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auto"/>
          <w:sz w:val="30"/>
        </w:rPr>
      </w:pPr>
    </w:p>
    <w:p>
      <w:pPr>
        <w:ind w:left="660"/>
        <w:rPr>
          <w:rFonts w:ascii="楷体_GB2312" w:eastAsia="楷体_GB2312"/>
          <w:bCs/>
          <w:color w:val="auto"/>
          <w:sz w:val="30"/>
        </w:rPr>
      </w:pPr>
    </w:p>
    <w:p>
      <w:pPr>
        <w:jc w:val="center"/>
        <w:rPr>
          <w:rFonts w:ascii="黑体" w:hAnsi="华文中宋" w:eastAsia="黑体"/>
          <w:bCs/>
          <w:color w:val="auto"/>
          <w:spacing w:val="20"/>
          <w:sz w:val="72"/>
          <w:szCs w:val="72"/>
        </w:rPr>
      </w:pPr>
      <w:r>
        <w:rPr>
          <w:rFonts w:hint="eastAsia" w:ascii="黑体" w:hAnsi="华文中宋" w:eastAsia="黑体"/>
          <w:bCs/>
          <w:color w:val="auto"/>
          <w:spacing w:val="20"/>
          <w:sz w:val="72"/>
          <w:szCs w:val="72"/>
        </w:rPr>
        <w:t>无锡市新吴区政府采购</w:t>
      </w:r>
    </w:p>
    <w:p>
      <w:pPr>
        <w:rPr>
          <w:rFonts w:ascii="华文中宋" w:hAnsi="华文中宋" w:eastAsia="华文中宋"/>
          <w:bCs/>
          <w:color w:val="auto"/>
          <w:sz w:val="30"/>
        </w:rPr>
      </w:pPr>
    </w:p>
    <w:p>
      <w:pPr>
        <w:rPr>
          <w:rFonts w:ascii="华文中宋" w:hAnsi="华文中宋" w:eastAsia="华文中宋"/>
          <w:bCs/>
          <w:color w:val="auto"/>
          <w:sz w:val="30"/>
        </w:rPr>
      </w:pPr>
    </w:p>
    <w:p>
      <w:pPr>
        <w:rPr>
          <w:rFonts w:ascii="华文中宋" w:hAnsi="华文中宋" w:eastAsia="华文中宋"/>
          <w:bCs/>
          <w:color w:val="auto"/>
          <w:sz w:val="30"/>
        </w:rPr>
      </w:pPr>
    </w:p>
    <w:p>
      <w:pPr>
        <w:jc w:val="center"/>
        <w:rPr>
          <w:rFonts w:ascii="黑体" w:hAnsi="华文中宋" w:eastAsia="黑体"/>
          <w:bCs/>
          <w:color w:val="auto"/>
          <w:spacing w:val="20"/>
          <w:w w:val="90"/>
          <w:sz w:val="48"/>
          <w:szCs w:val="48"/>
        </w:rPr>
      </w:pPr>
      <w:r>
        <w:rPr>
          <w:rFonts w:hint="eastAsia" w:ascii="黑体" w:hAnsi="华文中宋" w:eastAsia="黑体"/>
          <w:bCs/>
          <w:color w:val="auto"/>
          <w:spacing w:val="20"/>
          <w:w w:val="90"/>
          <w:sz w:val="48"/>
          <w:szCs w:val="48"/>
        </w:rPr>
        <w:t>公   开</w:t>
      </w:r>
    </w:p>
    <w:p>
      <w:pPr>
        <w:jc w:val="center"/>
        <w:rPr>
          <w:rFonts w:ascii="黑体" w:hAnsi="华文中宋" w:eastAsia="黑体"/>
          <w:bCs/>
          <w:color w:val="auto"/>
          <w:spacing w:val="20"/>
          <w:sz w:val="52"/>
          <w:szCs w:val="52"/>
        </w:rPr>
      </w:pPr>
      <w:r>
        <w:rPr>
          <w:color w:val="auto"/>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f+tcAAAAJ&#10;AQAADwAAAAAAAAABACAAAAAiAAAAZHJzL2Rvd25yZXYueG1sUEsBAhQAFAAAAAgAh07iQFXeqUfk&#10;AQAA1wMAAA4AAAAAAAAAAQAgAAAAJgEAAGRycy9lMm9Eb2MueG1sUEsFBgAAAAAGAAYAWQEAAHwF&#10;AAAAAA==&#10;">
                <v:fill on="f" focussize="0,0"/>
                <v:stroke color="#000000" joinstyle="round"/>
                <v:imagedata o:title=""/>
                <o:lock v:ext="edit" aspectratio="f"/>
              </v:line>
            </w:pict>
          </mc:Fallback>
        </mc:AlternateContent>
      </w:r>
      <w:r>
        <w:rPr>
          <w:rFonts w:hint="eastAsia" w:ascii="黑体" w:hAnsi="华文中宋" w:eastAsia="黑体"/>
          <w:bCs/>
          <w:color w:val="auto"/>
          <w:spacing w:val="20"/>
          <w:sz w:val="52"/>
          <w:szCs w:val="52"/>
        </w:rPr>
        <w:t>招  标  文  件</w:t>
      </w:r>
    </w:p>
    <w:p>
      <w:pPr>
        <w:rPr>
          <w:rFonts w:ascii="华文中宋" w:hAnsi="华文中宋" w:eastAsia="华文中宋"/>
          <w:bCs/>
          <w:color w:val="auto"/>
          <w:sz w:val="30"/>
        </w:rPr>
      </w:pPr>
    </w:p>
    <w:p>
      <w:pPr>
        <w:tabs>
          <w:tab w:val="left" w:pos="9921"/>
        </w:tabs>
        <w:jc w:val="center"/>
        <w:rPr>
          <w:rFonts w:ascii="华文中宋" w:hAnsi="华文中宋" w:eastAsia="华文中宋"/>
          <w:bCs/>
          <w:color w:val="auto"/>
          <w:sz w:val="30"/>
        </w:rPr>
      </w:pPr>
      <w:r>
        <w:rPr>
          <w:rFonts w:hint="eastAsia" w:ascii="华文中宋" w:hAnsi="华文中宋" w:eastAsia="华文中宋"/>
          <w:bCs/>
          <w:color w:val="auto"/>
          <w:sz w:val="30"/>
        </w:rPr>
        <w:t>（全流程电子化）</w:t>
      </w:r>
    </w:p>
    <w:p>
      <w:pPr>
        <w:jc w:val="left"/>
        <w:rPr>
          <w:rFonts w:ascii="华文中宋" w:hAnsi="华文中宋" w:eastAsia="华文中宋"/>
          <w:bCs/>
          <w:color w:val="auto"/>
          <w:sz w:val="30"/>
        </w:rPr>
      </w:pPr>
    </w:p>
    <w:p>
      <w:pPr>
        <w:ind w:left="1470" w:leftChars="700"/>
        <w:rPr>
          <w:rFonts w:hint="default" w:ascii="黑体" w:hAnsi="华文中宋" w:eastAsia="黑体"/>
          <w:bCs/>
          <w:color w:val="auto"/>
          <w:sz w:val="30"/>
          <w:szCs w:val="30"/>
          <w:lang w:val="en-US" w:eastAsia="zh-CN"/>
        </w:rPr>
      </w:pPr>
      <w:r>
        <w:rPr>
          <w:rFonts w:hint="eastAsia" w:ascii="黑体" w:hAnsi="华文中宋" w:eastAsia="黑体"/>
          <w:bCs/>
          <w:color w:val="auto"/>
          <w:sz w:val="30"/>
          <w:szCs w:val="30"/>
        </w:rPr>
        <w:t>采购项目编号：</w:t>
      </w:r>
      <w:r>
        <w:rPr>
          <w:rFonts w:ascii="黑体" w:hAnsi="华文中宋" w:eastAsia="黑体"/>
          <w:bCs/>
          <w:color w:val="auto"/>
          <w:sz w:val="30"/>
          <w:szCs w:val="30"/>
        </w:rPr>
        <w:t>WXXWQJC2022-</w:t>
      </w:r>
      <w:r>
        <w:rPr>
          <w:rFonts w:hint="eastAsia" w:ascii="黑体" w:hAnsi="华文中宋" w:eastAsia="黑体"/>
          <w:bCs/>
          <w:color w:val="auto"/>
          <w:sz w:val="30"/>
          <w:szCs w:val="30"/>
          <w:highlight w:val="none"/>
          <w:lang w:val="en-US" w:eastAsia="zh-CN"/>
        </w:rPr>
        <w:t>097</w:t>
      </w:r>
    </w:p>
    <w:p>
      <w:pPr>
        <w:ind w:left="1470" w:leftChars="700"/>
        <w:jc w:val="left"/>
        <w:rPr>
          <w:rFonts w:hint="eastAsia" w:ascii="黑体" w:hAnsi="华文中宋" w:eastAsia="黑体"/>
          <w:bCs/>
          <w:color w:val="auto"/>
          <w:sz w:val="30"/>
          <w:szCs w:val="30"/>
        </w:rPr>
      </w:pPr>
      <w:r>
        <w:rPr>
          <w:rFonts w:hint="eastAsia" w:ascii="黑体" w:hAnsi="华文中宋" w:eastAsia="黑体"/>
          <w:bCs/>
          <w:color w:val="auto"/>
          <w:sz w:val="30"/>
          <w:szCs w:val="30"/>
        </w:rPr>
        <w:t>采购项目名称：新吴反诈全流程工作平台</w:t>
      </w:r>
    </w:p>
    <w:p>
      <w:pPr>
        <w:ind w:left="1470" w:leftChars="700"/>
        <w:jc w:val="left"/>
        <w:rPr>
          <w:rFonts w:ascii="黑体" w:hAnsi="华文中宋" w:eastAsia="黑体"/>
          <w:bCs/>
          <w:color w:val="auto"/>
          <w:sz w:val="30"/>
          <w:szCs w:val="30"/>
        </w:rPr>
      </w:pPr>
      <w:r>
        <w:rPr>
          <w:rFonts w:hint="eastAsia" w:ascii="黑体" w:hAnsi="华文中宋" w:eastAsia="黑体"/>
          <w:bCs/>
          <w:color w:val="auto"/>
          <w:sz w:val="30"/>
          <w:szCs w:val="30"/>
        </w:rPr>
        <w:t>集中采购机构：无锡市公共资源交易中心新吴分中心</w:t>
      </w:r>
    </w:p>
    <w:p>
      <w:pPr>
        <w:rPr>
          <w:rFonts w:ascii="华文中宋" w:hAnsi="华文中宋" w:eastAsia="华文中宋"/>
          <w:bCs/>
          <w:color w:val="auto"/>
          <w:sz w:val="32"/>
        </w:rPr>
      </w:pPr>
    </w:p>
    <w:p>
      <w:pPr>
        <w:rPr>
          <w:rFonts w:ascii="华文中宋" w:hAnsi="华文中宋" w:eastAsia="华文中宋"/>
          <w:bCs/>
          <w:color w:val="auto"/>
          <w:sz w:val="30"/>
        </w:rPr>
      </w:pPr>
    </w:p>
    <w:p>
      <w:pPr>
        <w:rPr>
          <w:rFonts w:ascii="华文中宋" w:hAnsi="华文中宋" w:eastAsia="华文中宋"/>
          <w:bCs/>
          <w:color w:val="auto"/>
          <w:sz w:val="30"/>
        </w:rPr>
      </w:pPr>
    </w:p>
    <w:p>
      <w:pPr>
        <w:rPr>
          <w:rFonts w:ascii="华文中宋" w:hAnsi="华文中宋" w:eastAsia="华文中宋"/>
          <w:bCs/>
          <w:color w:val="auto"/>
          <w:sz w:val="30"/>
        </w:rPr>
      </w:pPr>
    </w:p>
    <w:p>
      <w:pPr>
        <w:rPr>
          <w:rFonts w:ascii="华文中宋" w:hAnsi="华文中宋" w:eastAsia="华文中宋"/>
          <w:bCs/>
          <w:color w:val="auto"/>
          <w:sz w:val="30"/>
        </w:rPr>
      </w:pPr>
    </w:p>
    <w:p>
      <w:pPr>
        <w:jc w:val="center"/>
        <w:rPr>
          <w:rFonts w:hint="default" w:ascii="黑体" w:hAnsi="华文中宋" w:eastAsia="黑体"/>
          <w:bCs/>
          <w:color w:val="auto"/>
          <w:sz w:val="44"/>
          <w:szCs w:val="44"/>
          <w:lang w:val="en-US" w:eastAsia="zh-CN"/>
        </w:rPr>
      </w:pPr>
      <w:r>
        <w:rPr>
          <w:rFonts w:hint="eastAsia" w:ascii="黑体" w:hAnsi="华文中宋" w:eastAsia="黑体"/>
          <w:bCs/>
          <w:color w:val="auto"/>
          <w:sz w:val="44"/>
          <w:szCs w:val="44"/>
        </w:rPr>
        <w:t>二</w:t>
      </w:r>
      <w:r>
        <w:rPr>
          <w:rFonts w:hint="eastAsia" w:ascii="黑体" w:hAnsi="华文中宋" w:eastAsia="黑体"/>
          <w:bCs/>
          <w:color w:val="auto"/>
          <w:sz w:val="44"/>
          <w:szCs w:val="44"/>
          <w:highlight w:val="none"/>
        </w:rPr>
        <w:t>○二二年十</w:t>
      </w:r>
      <w:r>
        <w:rPr>
          <w:rFonts w:hint="eastAsia" w:ascii="黑体" w:hAnsi="华文中宋" w:eastAsia="黑体"/>
          <w:bCs/>
          <w:color w:val="auto"/>
          <w:sz w:val="44"/>
          <w:szCs w:val="44"/>
          <w:highlight w:val="none"/>
          <w:lang w:val="en-US" w:eastAsia="zh-CN"/>
        </w:rPr>
        <w:t>二</w:t>
      </w:r>
      <w:r>
        <w:rPr>
          <w:rFonts w:hint="eastAsia" w:ascii="黑体" w:hAnsi="华文中宋" w:eastAsia="黑体"/>
          <w:bCs/>
          <w:color w:val="auto"/>
          <w:sz w:val="44"/>
          <w:szCs w:val="44"/>
          <w:highlight w:val="none"/>
        </w:rPr>
        <w:t>月</w:t>
      </w:r>
      <w:r>
        <w:rPr>
          <w:rFonts w:hint="eastAsia" w:ascii="黑体" w:hAnsi="华文中宋" w:eastAsia="黑体"/>
          <w:bCs/>
          <w:color w:val="auto"/>
          <w:sz w:val="44"/>
          <w:szCs w:val="44"/>
          <w:highlight w:val="none"/>
          <w:lang w:val="en-US" w:eastAsia="zh-CN"/>
        </w:rPr>
        <w:t>五日</w:t>
      </w:r>
    </w:p>
    <w:p>
      <w:pPr>
        <w:jc w:val="center"/>
        <w:rPr>
          <w:rFonts w:ascii="黑体" w:eastAsia="黑体"/>
          <w:bCs/>
          <w:color w:val="auto"/>
          <w:sz w:val="44"/>
        </w:rPr>
      </w:pPr>
    </w:p>
    <w:p>
      <w:pPr>
        <w:rPr>
          <w:rFonts w:ascii="华文新魏" w:eastAsia="华文新魏"/>
          <w:bCs/>
          <w:color w:val="auto"/>
          <w:sz w:val="44"/>
        </w:rPr>
      </w:pPr>
    </w:p>
    <w:p>
      <w:pPr>
        <w:jc w:val="center"/>
        <w:rPr>
          <w:rFonts w:eastAsia="黑体"/>
          <w:bCs/>
          <w:color w:val="auto"/>
          <w:sz w:val="48"/>
        </w:rPr>
        <w:sectPr>
          <w:headerReference r:id="rId4" w:type="first"/>
          <w:footerReference r:id="rId5" w:type="first"/>
          <w:headerReference r:id="rId3" w:type="default"/>
          <w:pgSz w:w="11906" w:h="16838"/>
          <w:pgMar w:top="567" w:right="851" w:bottom="567" w:left="1134" w:header="624" w:footer="907" w:gutter="0"/>
          <w:pgNumType w:start="0"/>
          <w:cols w:space="720" w:num="1"/>
          <w:titlePg/>
          <w:docGrid w:type="linesAndChars" w:linePitch="312" w:charSpace="0"/>
        </w:sectPr>
      </w:pPr>
    </w:p>
    <w:p>
      <w:pPr>
        <w:pStyle w:val="6"/>
        <w:rPr>
          <w:color w:val="auto"/>
        </w:rPr>
      </w:pPr>
    </w:p>
    <w:p>
      <w:pPr>
        <w:jc w:val="center"/>
        <w:rPr>
          <w:rFonts w:eastAsia="黑体"/>
          <w:bCs/>
          <w:color w:val="auto"/>
          <w:sz w:val="48"/>
        </w:rPr>
      </w:pPr>
    </w:p>
    <w:p>
      <w:pPr>
        <w:jc w:val="center"/>
        <w:rPr>
          <w:rFonts w:eastAsia="黑体"/>
          <w:bCs/>
          <w:color w:val="auto"/>
          <w:sz w:val="48"/>
        </w:rPr>
      </w:pPr>
    </w:p>
    <w:p>
      <w:pPr>
        <w:pStyle w:val="30"/>
        <w:rPr>
          <w:color w:val="auto"/>
        </w:rPr>
      </w:pPr>
    </w:p>
    <w:p>
      <w:pPr>
        <w:pStyle w:val="30"/>
        <w:rPr>
          <w:color w:val="auto"/>
        </w:rPr>
      </w:pPr>
    </w:p>
    <w:p>
      <w:pPr>
        <w:jc w:val="center"/>
        <w:rPr>
          <w:rFonts w:eastAsia="黑体"/>
          <w:bCs/>
          <w:color w:val="auto"/>
          <w:sz w:val="48"/>
        </w:rPr>
      </w:pPr>
      <w:r>
        <w:rPr>
          <w:rFonts w:hint="eastAsia" w:eastAsia="黑体"/>
          <w:bCs/>
          <w:color w:val="auto"/>
          <w:sz w:val="48"/>
        </w:rPr>
        <w:t>目     录</w:t>
      </w:r>
    </w:p>
    <w:p>
      <w:pPr>
        <w:jc w:val="center"/>
        <w:rPr>
          <w:rFonts w:ascii="黑体" w:eastAsia="黑体"/>
          <w:bCs/>
          <w:color w:val="auto"/>
          <w:sz w:val="30"/>
        </w:rPr>
      </w:pPr>
    </w:p>
    <w:p>
      <w:pPr>
        <w:jc w:val="center"/>
        <w:rPr>
          <w:rFonts w:ascii="黑体" w:eastAsia="黑体"/>
          <w:bCs/>
          <w:color w:val="auto"/>
          <w:sz w:val="30"/>
        </w:rPr>
      </w:pPr>
    </w:p>
    <w:p>
      <w:pPr>
        <w:spacing w:line="720" w:lineRule="auto"/>
        <w:ind w:firstLine="450" w:firstLineChars="150"/>
        <w:rPr>
          <w:rFonts w:ascii="宋体"/>
          <w:bCs/>
          <w:color w:val="auto"/>
          <w:sz w:val="30"/>
          <w:szCs w:val="30"/>
        </w:rPr>
      </w:pPr>
      <w:r>
        <w:rPr>
          <w:rFonts w:hint="eastAsia" w:ascii="宋体" w:hAnsi="宋体"/>
          <w:bCs/>
          <w:color w:val="auto"/>
          <w:sz w:val="30"/>
          <w:szCs w:val="30"/>
        </w:rPr>
        <w:t>一．投标邀请函</w:t>
      </w:r>
      <w:r>
        <w:rPr>
          <w:rFonts w:ascii="宋体"/>
          <w:bCs/>
          <w:color w:val="auto"/>
          <w:sz w:val="30"/>
          <w:szCs w:val="30"/>
        </w:rPr>
        <w:t>------------------------------------------</w:t>
      </w:r>
      <w:r>
        <w:rPr>
          <w:rFonts w:hint="eastAsia" w:ascii="宋体" w:hAnsi="宋体"/>
          <w:bCs/>
          <w:color w:val="auto"/>
          <w:sz w:val="30"/>
          <w:szCs w:val="30"/>
        </w:rPr>
        <w:t>（2）</w:t>
      </w:r>
    </w:p>
    <w:p>
      <w:pPr>
        <w:spacing w:line="720" w:lineRule="auto"/>
        <w:ind w:firstLine="450" w:firstLineChars="150"/>
        <w:rPr>
          <w:rFonts w:ascii="宋体"/>
          <w:bCs/>
          <w:color w:val="auto"/>
          <w:sz w:val="30"/>
          <w:szCs w:val="30"/>
        </w:rPr>
      </w:pPr>
      <w:r>
        <w:rPr>
          <w:rFonts w:hint="eastAsia" w:ascii="宋体" w:hAnsi="宋体"/>
          <w:bCs/>
          <w:color w:val="auto"/>
          <w:sz w:val="30"/>
          <w:szCs w:val="30"/>
        </w:rPr>
        <w:t>二．投标人须知</w:t>
      </w:r>
      <w:r>
        <w:rPr>
          <w:rFonts w:ascii="宋体"/>
          <w:bCs/>
          <w:color w:val="auto"/>
          <w:sz w:val="30"/>
          <w:szCs w:val="30"/>
        </w:rPr>
        <w:t>------------------------------------------</w:t>
      </w:r>
      <w:r>
        <w:rPr>
          <w:rFonts w:hint="eastAsia" w:ascii="宋体" w:hAnsi="宋体"/>
          <w:bCs/>
          <w:color w:val="auto"/>
          <w:sz w:val="30"/>
          <w:szCs w:val="30"/>
        </w:rPr>
        <w:t>（5）</w:t>
      </w:r>
    </w:p>
    <w:p>
      <w:pPr>
        <w:spacing w:line="720" w:lineRule="auto"/>
        <w:ind w:firstLine="450" w:firstLineChars="150"/>
        <w:rPr>
          <w:rFonts w:ascii="宋体"/>
          <w:bCs/>
          <w:color w:val="auto"/>
          <w:sz w:val="30"/>
          <w:szCs w:val="30"/>
        </w:rPr>
      </w:pPr>
      <w:r>
        <w:rPr>
          <w:rFonts w:hint="eastAsia" w:ascii="宋体" w:hAnsi="宋体"/>
          <w:bCs/>
          <w:color w:val="auto"/>
          <w:sz w:val="30"/>
          <w:szCs w:val="30"/>
        </w:rPr>
        <w:t>三．项目技术要求和有关说明</w:t>
      </w:r>
      <w:r>
        <w:rPr>
          <w:rFonts w:ascii="宋体"/>
          <w:bCs/>
          <w:color w:val="auto"/>
          <w:sz w:val="30"/>
          <w:szCs w:val="30"/>
        </w:rPr>
        <w:t>------------------------------</w:t>
      </w:r>
      <w:r>
        <w:rPr>
          <w:rFonts w:hint="eastAsia" w:ascii="宋体" w:hAnsi="宋体"/>
          <w:bCs/>
          <w:color w:val="auto"/>
          <w:sz w:val="30"/>
          <w:szCs w:val="30"/>
        </w:rPr>
        <w:t>（13）</w:t>
      </w:r>
    </w:p>
    <w:p>
      <w:pPr>
        <w:spacing w:line="720" w:lineRule="auto"/>
        <w:ind w:firstLine="450" w:firstLineChars="150"/>
        <w:rPr>
          <w:rFonts w:ascii="宋体"/>
          <w:bCs/>
          <w:color w:val="auto"/>
          <w:sz w:val="30"/>
          <w:szCs w:val="30"/>
        </w:rPr>
      </w:pPr>
      <w:r>
        <w:rPr>
          <w:rFonts w:hint="eastAsia" w:ascii="宋体" w:hAnsi="宋体"/>
          <w:bCs/>
          <w:color w:val="auto"/>
          <w:sz w:val="30"/>
          <w:szCs w:val="30"/>
        </w:rPr>
        <w:t>四</w:t>
      </w:r>
      <w:r>
        <w:rPr>
          <w:rFonts w:ascii="宋体" w:hAnsi="宋体"/>
          <w:bCs/>
          <w:color w:val="auto"/>
          <w:sz w:val="30"/>
          <w:szCs w:val="30"/>
        </w:rPr>
        <w:t xml:space="preserve">. </w:t>
      </w:r>
      <w:r>
        <w:rPr>
          <w:rFonts w:hint="eastAsia" w:ascii="宋体" w:hAnsi="宋体"/>
          <w:bCs/>
          <w:color w:val="auto"/>
          <w:sz w:val="30"/>
          <w:szCs w:val="30"/>
        </w:rPr>
        <w:t>合同书（格式文本）</w:t>
      </w:r>
      <w:r>
        <w:rPr>
          <w:rFonts w:ascii="宋体"/>
          <w:bCs/>
          <w:color w:val="auto"/>
          <w:sz w:val="30"/>
          <w:szCs w:val="30"/>
        </w:rPr>
        <w:t>----------------------------------</w:t>
      </w:r>
      <w:r>
        <w:rPr>
          <w:rFonts w:hint="eastAsia" w:ascii="宋体" w:hAnsi="宋体"/>
          <w:bCs/>
          <w:color w:val="auto"/>
          <w:sz w:val="30"/>
          <w:szCs w:val="30"/>
        </w:rPr>
        <w:t>（42）</w:t>
      </w:r>
    </w:p>
    <w:p>
      <w:pPr>
        <w:spacing w:line="720" w:lineRule="auto"/>
        <w:ind w:firstLine="450" w:firstLineChars="150"/>
        <w:rPr>
          <w:rFonts w:hint="eastAsia" w:ascii="宋体" w:hAnsi="宋体"/>
          <w:bCs/>
          <w:color w:val="auto"/>
          <w:sz w:val="30"/>
          <w:szCs w:val="30"/>
        </w:rPr>
      </w:pPr>
      <w:r>
        <w:rPr>
          <w:rFonts w:hint="eastAsia" w:ascii="宋体" w:hAnsi="宋体"/>
          <w:bCs/>
          <w:color w:val="auto"/>
          <w:sz w:val="30"/>
          <w:szCs w:val="30"/>
        </w:rPr>
        <w:t>五．合同条款（格式）</w:t>
      </w:r>
      <w:r>
        <w:rPr>
          <w:rFonts w:ascii="宋体"/>
          <w:bCs/>
          <w:color w:val="auto"/>
          <w:sz w:val="30"/>
          <w:szCs w:val="30"/>
        </w:rPr>
        <w:t>---------------------</w:t>
      </w:r>
      <w:r>
        <w:rPr>
          <w:rFonts w:hint="eastAsia" w:ascii="宋体"/>
          <w:bCs/>
          <w:color w:val="auto"/>
          <w:sz w:val="30"/>
          <w:szCs w:val="30"/>
        </w:rPr>
        <w:t>-----</w:t>
      </w:r>
      <w:r>
        <w:rPr>
          <w:rFonts w:ascii="宋体"/>
          <w:bCs/>
          <w:color w:val="auto"/>
          <w:sz w:val="30"/>
          <w:szCs w:val="30"/>
        </w:rPr>
        <w:t>----------</w:t>
      </w:r>
      <w:r>
        <w:rPr>
          <w:rFonts w:hint="eastAsia" w:ascii="宋体" w:hAnsi="宋体"/>
          <w:bCs/>
          <w:color w:val="auto"/>
          <w:sz w:val="30"/>
          <w:szCs w:val="30"/>
        </w:rPr>
        <w:t>（43）</w:t>
      </w:r>
    </w:p>
    <w:p>
      <w:pPr>
        <w:spacing w:line="720" w:lineRule="auto"/>
        <w:ind w:firstLine="450" w:firstLineChars="150"/>
        <w:rPr>
          <w:rFonts w:ascii="宋体" w:hAnsi="宋体"/>
          <w:bCs/>
          <w:color w:val="auto"/>
          <w:sz w:val="30"/>
          <w:szCs w:val="30"/>
        </w:rPr>
      </w:pPr>
      <w:r>
        <w:rPr>
          <w:rFonts w:ascii="宋体" w:hAnsi="宋体"/>
          <w:bCs/>
          <w:color w:val="auto"/>
          <w:sz w:val="30"/>
          <w:szCs w:val="30"/>
        </w:rPr>
        <w:t xml:space="preserve">六. </w:t>
      </w:r>
      <w:r>
        <w:rPr>
          <w:rFonts w:hint="eastAsia" w:ascii="宋体" w:hAnsi="宋体"/>
          <w:bCs/>
          <w:color w:val="auto"/>
          <w:sz w:val="30"/>
          <w:szCs w:val="30"/>
        </w:rPr>
        <w:t>附件</w:t>
      </w:r>
      <w:r>
        <w:rPr>
          <w:rFonts w:ascii="宋体"/>
          <w:bCs/>
          <w:color w:val="auto"/>
          <w:sz w:val="30"/>
          <w:szCs w:val="30"/>
        </w:rPr>
        <w:t>------------------------------------------------</w:t>
      </w:r>
      <w:r>
        <w:rPr>
          <w:rFonts w:hint="eastAsia" w:ascii="宋体" w:hAnsi="宋体"/>
          <w:bCs/>
          <w:color w:val="auto"/>
          <w:sz w:val="30"/>
          <w:szCs w:val="30"/>
        </w:rPr>
        <w:t>（47）</w:t>
      </w:r>
    </w:p>
    <w:p>
      <w:pPr>
        <w:spacing w:line="720" w:lineRule="auto"/>
        <w:rPr>
          <w:rFonts w:ascii="宋体"/>
          <w:bCs/>
          <w:color w:val="auto"/>
          <w:sz w:val="30"/>
        </w:rPr>
      </w:pPr>
    </w:p>
    <w:p>
      <w:pPr>
        <w:spacing w:line="720" w:lineRule="auto"/>
        <w:rPr>
          <w:rFonts w:ascii="宋体"/>
          <w:bCs/>
          <w:color w:val="auto"/>
          <w:sz w:val="30"/>
        </w:rPr>
      </w:pPr>
    </w:p>
    <w:p>
      <w:pPr>
        <w:spacing w:line="480" w:lineRule="auto"/>
        <w:rPr>
          <w:rFonts w:ascii="宋体"/>
          <w:bCs/>
          <w:color w:val="auto"/>
          <w:sz w:val="30"/>
        </w:rPr>
      </w:pPr>
    </w:p>
    <w:p>
      <w:pPr>
        <w:rPr>
          <w:rFonts w:ascii="宋体"/>
          <w:bCs/>
          <w:color w:val="auto"/>
          <w:sz w:val="32"/>
        </w:rPr>
      </w:pPr>
    </w:p>
    <w:p>
      <w:pPr>
        <w:rPr>
          <w:rFonts w:hint="eastAsia" w:ascii="宋体"/>
          <w:bCs/>
          <w:color w:val="auto"/>
          <w:sz w:val="32"/>
        </w:rPr>
      </w:pPr>
    </w:p>
    <w:p>
      <w:pPr>
        <w:rPr>
          <w:rFonts w:ascii="宋体"/>
          <w:bCs/>
          <w:color w:val="auto"/>
          <w:sz w:val="32"/>
        </w:rPr>
      </w:pPr>
    </w:p>
    <w:p>
      <w:pPr>
        <w:pStyle w:val="30"/>
        <w:rPr>
          <w:color w:val="auto"/>
        </w:rPr>
      </w:pPr>
    </w:p>
    <w:p>
      <w:pPr>
        <w:spacing w:line="360" w:lineRule="auto"/>
        <w:jc w:val="center"/>
        <w:outlineLvl w:val="0"/>
        <w:rPr>
          <w:rFonts w:ascii="黑体" w:eastAsia="黑体"/>
          <w:bCs/>
          <w:color w:val="auto"/>
          <w:sz w:val="28"/>
          <w:szCs w:val="28"/>
        </w:rPr>
      </w:pPr>
      <w:bookmarkStart w:id="0" w:name="报价方须知前附表"/>
      <w:bookmarkEnd w:id="0"/>
      <w:r>
        <w:rPr>
          <w:rFonts w:hint="eastAsia" w:ascii="黑体" w:eastAsia="黑体"/>
          <w:bCs/>
          <w:color w:val="auto"/>
          <w:sz w:val="28"/>
          <w:szCs w:val="28"/>
        </w:rPr>
        <w:t>一．投标邀请函</w:t>
      </w:r>
    </w:p>
    <w:p>
      <w:pPr>
        <w:widowControl/>
        <w:shd w:val="clear" w:color="auto" w:fill="FFFFFF"/>
        <w:spacing w:line="360" w:lineRule="auto"/>
        <w:ind w:firstLine="480" w:firstLineChars="200"/>
        <w:jc w:val="left"/>
        <w:rPr>
          <w:rFonts w:hint="eastAsia" w:ascii="宋体" w:hAnsi="宋体"/>
          <w:bCs/>
          <w:color w:val="auto"/>
          <w:sz w:val="24"/>
          <w:szCs w:val="24"/>
        </w:rPr>
      </w:pPr>
      <w:r>
        <w:rPr>
          <w:rFonts w:hint="eastAsia" w:ascii="宋体" w:hAnsi="宋体"/>
          <w:bCs/>
          <w:color w:val="auto"/>
          <w:sz w:val="24"/>
          <w:szCs w:val="24"/>
        </w:rPr>
        <w:t>我中心受</w:t>
      </w:r>
      <w:r>
        <w:rPr>
          <w:rFonts w:ascii="宋体" w:hAnsi="宋体"/>
          <w:bCs/>
          <w:color w:val="auto"/>
          <w:sz w:val="24"/>
          <w:szCs w:val="24"/>
        </w:rPr>
        <w:t>无锡市新吴区区域</w:t>
      </w:r>
      <w:r>
        <w:rPr>
          <w:rFonts w:hint="eastAsia" w:ascii="宋体" w:hAnsi="宋体"/>
          <w:bCs/>
          <w:color w:val="auto"/>
          <w:sz w:val="24"/>
          <w:szCs w:val="24"/>
          <w:lang w:val="en-US" w:eastAsia="zh-CN"/>
        </w:rPr>
        <w:t>社会</w:t>
      </w:r>
      <w:r>
        <w:rPr>
          <w:rFonts w:ascii="宋体" w:hAnsi="宋体"/>
          <w:bCs/>
          <w:color w:val="auto"/>
          <w:sz w:val="24"/>
          <w:szCs w:val="24"/>
        </w:rPr>
        <w:t>治理现代化指挥中心</w:t>
      </w:r>
      <w:r>
        <w:rPr>
          <w:rFonts w:hint="eastAsia" w:ascii="宋体" w:hAnsi="宋体"/>
          <w:bCs/>
          <w:color w:val="auto"/>
          <w:sz w:val="24"/>
          <w:szCs w:val="24"/>
        </w:rPr>
        <w:t>的委托，对</w:t>
      </w:r>
      <w:r>
        <w:rPr>
          <w:rFonts w:ascii="宋体" w:hAnsi="宋体"/>
          <w:bCs/>
          <w:color w:val="auto"/>
          <w:sz w:val="24"/>
          <w:szCs w:val="24"/>
        </w:rPr>
        <w:t>新吴反诈全流程工作平台</w:t>
      </w:r>
      <w:r>
        <w:rPr>
          <w:rFonts w:hint="eastAsia" w:ascii="宋体" w:hAnsi="宋体"/>
          <w:bCs/>
          <w:color w:val="auto"/>
          <w:sz w:val="24"/>
          <w:szCs w:val="24"/>
        </w:rPr>
        <w:t>进行公开招标采购，欢迎符合相关条件的供应商参加投标并提请注意下列相关事项：</w:t>
      </w:r>
    </w:p>
    <w:p>
      <w:pPr>
        <w:spacing w:line="360" w:lineRule="auto"/>
        <w:ind w:firstLine="480" w:firstLineChars="200"/>
        <w:outlineLvl w:val="1"/>
        <w:rPr>
          <w:rFonts w:ascii="黑体" w:hAnsi="黑体" w:eastAsia="黑体"/>
          <w:bCs/>
          <w:color w:val="auto"/>
          <w:sz w:val="24"/>
          <w:szCs w:val="24"/>
        </w:rPr>
      </w:pPr>
      <w:r>
        <w:rPr>
          <w:rFonts w:hint="eastAsia" w:ascii="黑体" w:hAnsi="黑体" w:eastAsia="黑体"/>
          <w:bCs/>
          <w:color w:val="auto"/>
          <w:sz w:val="24"/>
          <w:szCs w:val="24"/>
        </w:rPr>
        <w:t>（一）</w:t>
      </w:r>
      <w:r>
        <w:rPr>
          <w:rFonts w:hint="eastAsia" w:ascii="黑体" w:hAnsi="黑体" w:eastAsia="黑体" w:cs="宋体"/>
          <w:color w:val="auto"/>
          <w:kern w:val="0"/>
          <w:sz w:val="24"/>
          <w:szCs w:val="24"/>
        </w:rPr>
        <w:t>招标项目信息</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1.项目名称</w:t>
      </w:r>
      <w:r>
        <w:rPr>
          <w:rFonts w:hint="eastAsia" w:ascii="宋体" w:hAnsi="宋体"/>
          <w:bCs/>
          <w:color w:val="auto"/>
          <w:sz w:val="24"/>
          <w:szCs w:val="24"/>
        </w:rPr>
        <w:t>：</w:t>
      </w:r>
      <w:r>
        <w:rPr>
          <w:rFonts w:hint="eastAsia"/>
          <w:color w:val="auto"/>
          <w:sz w:val="24"/>
        </w:rPr>
        <w:t>新吴反诈全流程工作平台</w:t>
      </w:r>
    </w:p>
    <w:p>
      <w:pPr>
        <w:widowControl/>
        <w:shd w:val="clear" w:color="auto" w:fill="FFFFFF"/>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2.项目编号：</w:t>
      </w:r>
      <w:r>
        <w:rPr>
          <w:rFonts w:ascii="宋体" w:hAnsi="宋体" w:cs="宋体"/>
          <w:color w:val="auto"/>
          <w:kern w:val="0"/>
          <w:sz w:val="24"/>
          <w:szCs w:val="24"/>
        </w:rPr>
        <w:t>WXXWQJC2022-</w:t>
      </w:r>
      <w:r>
        <w:rPr>
          <w:rFonts w:hint="eastAsia" w:ascii="宋体" w:hAnsi="宋体" w:cs="宋体"/>
          <w:color w:val="auto"/>
          <w:kern w:val="0"/>
          <w:sz w:val="24"/>
          <w:szCs w:val="24"/>
          <w:lang w:val="en-US" w:eastAsia="zh-CN"/>
        </w:rPr>
        <w:t>097</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3.项目预算：5</w:t>
      </w:r>
      <w:r>
        <w:rPr>
          <w:rFonts w:ascii="宋体" w:hAnsi="宋体" w:cs="宋体"/>
          <w:color w:val="auto"/>
          <w:kern w:val="0"/>
          <w:sz w:val="24"/>
          <w:szCs w:val="24"/>
        </w:rPr>
        <w:t>17</w:t>
      </w:r>
      <w:r>
        <w:rPr>
          <w:rFonts w:hint="eastAsia" w:ascii="宋体" w:hAnsi="宋体" w:cs="宋体"/>
          <w:color w:val="auto"/>
          <w:kern w:val="0"/>
          <w:sz w:val="24"/>
          <w:szCs w:val="24"/>
        </w:rPr>
        <w:t>万元</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4.采购方式：公开招标</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5.采购人：无锡市新吴区区域</w:t>
      </w:r>
      <w:r>
        <w:rPr>
          <w:rFonts w:hint="eastAsia" w:ascii="宋体" w:hAnsi="宋体"/>
          <w:bCs/>
          <w:color w:val="auto"/>
          <w:sz w:val="24"/>
          <w:szCs w:val="24"/>
          <w:lang w:val="en-US" w:eastAsia="zh-CN"/>
        </w:rPr>
        <w:t>社会</w:t>
      </w:r>
      <w:r>
        <w:rPr>
          <w:rFonts w:hint="eastAsia" w:ascii="宋体" w:hAnsi="宋体" w:cs="宋体"/>
          <w:color w:val="auto"/>
          <w:kern w:val="0"/>
          <w:sz w:val="24"/>
          <w:szCs w:val="24"/>
        </w:rPr>
        <w:t>治理现代化指挥中心</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6.本项目标的所属行业：</w:t>
      </w:r>
      <w:r>
        <w:rPr>
          <w:rFonts w:hint="eastAsia" w:ascii="宋体" w:hAnsi="宋体"/>
          <w:bCs/>
          <w:color w:val="auto"/>
          <w:sz w:val="24"/>
          <w:szCs w:val="24"/>
        </w:rPr>
        <w:t>软件和信息技术服务业</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7.本项目是否专门面向中小企业：否</w:t>
      </w:r>
    </w:p>
    <w:p>
      <w:pPr>
        <w:spacing w:line="360" w:lineRule="auto"/>
        <w:ind w:firstLine="480" w:firstLineChars="200"/>
        <w:outlineLvl w:val="1"/>
        <w:rPr>
          <w:rFonts w:ascii="黑体" w:hAnsi="黑体" w:eastAsia="黑体" w:cs="宋体"/>
          <w:color w:val="auto"/>
          <w:kern w:val="0"/>
          <w:sz w:val="24"/>
          <w:szCs w:val="24"/>
        </w:rPr>
      </w:pPr>
      <w:r>
        <w:rPr>
          <w:rFonts w:hint="eastAsia" w:ascii="黑体" w:hAnsi="黑体" w:eastAsia="黑体" w:cs="宋体"/>
          <w:color w:val="auto"/>
          <w:kern w:val="0"/>
          <w:sz w:val="24"/>
          <w:szCs w:val="24"/>
        </w:rPr>
        <w:t>（二）投标人资格要求</w:t>
      </w:r>
    </w:p>
    <w:p>
      <w:pPr>
        <w:widowControl/>
        <w:shd w:val="clear" w:color="auto" w:fill="FFFFFF"/>
        <w:spacing w:line="360" w:lineRule="auto"/>
        <w:ind w:firstLine="480" w:firstLineChars="200"/>
        <w:jc w:val="left"/>
        <w:rPr>
          <w:rFonts w:ascii="宋体" w:hAnsi="宋体"/>
          <w:color w:val="auto"/>
          <w:sz w:val="24"/>
          <w:szCs w:val="24"/>
        </w:rPr>
      </w:pPr>
      <w:r>
        <w:rPr>
          <w:rFonts w:hint="eastAsia" w:ascii="宋体" w:hAnsi="宋体"/>
          <w:color w:val="auto"/>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color w:val="auto"/>
          <w:sz w:val="24"/>
          <w:szCs w:val="24"/>
        </w:rPr>
      </w:pPr>
      <w:r>
        <w:rPr>
          <w:rFonts w:hint="eastAsia" w:ascii="宋体" w:hAnsi="宋体"/>
          <w:color w:val="auto"/>
          <w:sz w:val="24"/>
          <w:szCs w:val="24"/>
        </w:rPr>
        <w:t>2.未被“信用中国”网站（</w:t>
      </w:r>
      <w:r>
        <w:rPr>
          <w:color w:val="auto"/>
        </w:rPr>
        <w:fldChar w:fldCharType="begin"/>
      </w:r>
      <w:r>
        <w:rPr>
          <w:color w:val="auto"/>
        </w:rPr>
        <w:instrText xml:space="preserve">HYPERLINK "http://www.creditchina.gov.cn"</w:instrText>
      </w:r>
      <w:r>
        <w:rPr>
          <w:color w:val="auto"/>
        </w:rPr>
        <w:fldChar w:fldCharType="separate"/>
      </w:r>
      <w:r>
        <w:rPr>
          <w:rFonts w:hint="eastAsia" w:ascii="宋体" w:hAnsi="宋体"/>
          <w:color w:val="auto"/>
          <w:sz w:val="24"/>
          <w:szCs w:val="24"/>
        </w:rPr>
        <w:t>www.creditchina.gov.cn</w:t>
      </w:r>
      <w:r>
        <w:rPr>
          <w:color w:val="auto"/>
        </w:rPr>
        <w:fldChar w:fldCharType="end"/>
      </w:r>
      <w:r>
        <w:rPr>
          <w:rFonts w:hint="eastAsia" w:ascii="宋体" w:hAnsi="宋体"/>
          <w:color w:val="auto"/>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bCs/>
          <w:color w:val="auto"/>
          <w:sz w:val="24"/>
          <w:szCs w:val="24"/>
        </w:rPr>
        <w:t>3.</w:t>
      </w:r>
      <w:r>
        <w:rPr>
          <w:rFonts w:hint="eastAsia" w:ascii="宋体" w:hAnsi="宋体"/>
          <w:color w:val="auto"/>
          <w:sz w:val="24"/>
          <w:szCs w:val="24"/>
        </w:rPr>
        <w:t>具备</w:t>
      </w:r>
      <w:r>
        <w:rPr>
          <w:rFonts w:hint="eastAsia" w:ascii="宋体" w:hAnsi="宋体" w:cs="宋体"/>
          <w:color w:val="auto"/>
          <w:kern w:val="0"/>
          <w:sz w:val="24"/>
          <w:szCs w:val="24"/>
        </w:rPr>
        <w:t>采购人根据招标项目的特殊要求规定的</w:t>
      </w:r>
      <w:r>
        <w:rPr>
          <w:rFonts w:hint="eastAsia" w:ascii="宋体" w:hAnsi="宋体"/>
          <w:color w:val="auto"/>
          <w:sz w:val="24"/>
          <w:szCs w:val="24"/>
        </w:rPr>
        <w:t>以下</w:t>
      </w:r>
      <w:r>
        <w:rPr>
          <w:rFonts w:hint="eastAsia" w:ascii="宋体" w:hAnsi="宋体" w:cs="宋体"/>
          <w:color w:val="auto"/>
          <w:kern w:val="0"/>
          <w:sz w:val="24"/>
          <w:szCs w:val="24"/>
        </w:rPr>
        <w:t>特定资质：</w:t>
      </w:r>
    </w:p>
    <w:p>
      <w:pPr>
        <w:widowControl/>
        <w:shd w:val="clear" w:color="auto" w:fill="FFFFFF"/>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（1）不接受联合体投标</w:t>
      </w:r>
    </w:p>
    <w:p>
      <w:pPr>
        <w:spacing w:line="360" w:lineRule="auto"/>
        <w:ind w:firstLine="480" w:firstLineChars="200"/>
        <w:outlineLvl w:val="1"/>
        <w:rPr>
          <w:rFonts w:ascii="黑体" w:hAnsi="黑体" w:eastAsia="黑体" w:cs="宋体"/>
          <w:color w:val="auto"/>
          <w:kern w:val="0"/>
          <w:sz w:val="24"/>
          <w:szCs w:val="24"/>
        </w:rPr>
      </w:pPr>
      <w:r>
        <w:rPr>
          <w:rFonts w:hint="eastAsia" w:ascii="黑体" w:hAnsi="黑体" w:eastAsia="黑体" w:cs="宋体"/>
          <w:color w:val="auto"/>
          <w:kern w:val="0"/>
          <w:sz w:val="24"/>
          <w:szCs w:val="24"/>
        </w:rPr>
        <w:t>（三）供应商主体信息库注册</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1.请有意参加本项目投标的供应商按以下流程进行操作：</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（3）投标客户端下载链接：</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 xml:space="preserve">https://zcy-cdn.oss-cn-shanghai.aliyuncs.com/zcy-client/bidding-client/wuxi/ZhengCaiYunStep.3.11.7.exe </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（4）CA驱动下载链接（江苏省-国信CA驱动）：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 xml:space="preserve">https://customer.zcygov.cn/CA-driver-download?utm=web-login-front.509b3709.0.0.004ab15096ee11ebbc33f5d151e70834 </w:t>
      </w:r>
    </w:p>
    <w:p>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技术服务电话：40</w:t>
      </w:r>
      <w:r>
        <w:rPr>
          <w:rFonts w:ascii="宋体" w:hAnsi="宋体"/>
          <w:bCs/>
          <w:color w:val="auto"/>
          <w:sz w:val="24"/>
          <w:szCs w:val="24"/>
        </w:rPr>
        <w:t>000</w:t>
      </w:r>
      <w:r>
        <w:rPr>
          <w:rFonts w:hint="eastAsia" w:ascii="宋体" w:hAnsi="宋体"/>
          <w:bCs/>
          <w:color w:val="auto"/>
          <w:sz w:val="24"/>
          <w:szCs w:val="24"/>
        </w:rPr>
        <w:t>17190（服务时间：工作日8:00-20:00）</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2.投标人在领取CA和办理电子签章前务必前往“无锡政府采购网”“供应商信息库”（网址：</w:t>
      </w:r>
    </w:p>
    <w:p>
      <w:pPr>
        <w:spacing w:line="360" w:lineRule="auto"/>
        <w:ind w:firstLine="480" w:firstLineChars="200"/>
        <w:rPr>
          <w:rFonts w:ascii="宋体" w:hAnsi="宋体"/>
          <w:bCs/>
          <w:color w:val="auto"/>
          <w:sz w:val="24"/>
          <w:szCs w:val="24"/>
        </w:rPr>
      </w:pPr>
      <w:r>
        <w:rPr>
          <w:rFonts w:ascii="宋体" w:hAnsi="宋体"/>
          <w:bCs/>
          <w:color w:val="auto"/>
          <w:sz w:val="24"/>
          <w:szCs w:val="24"/>
        </w:rPr>
        <w:t>https://cz.wuxi.zcygov.cn/wxCategory19/wxCategory125/index.html?utm=sites_group_front.5b1ba037.0.0.959ae250ca6711ebb0349920799faebc</w:t>
      </w:r>
      <w:r>
        <w:rPr>
          <w:rFonts w:hint="eastAsia" w:ascii="宋体" w:hAnsi="宋体"/>
          <w:bCs/>
          <w:color w:val="auto"/>
          <w:sz w:val="24"/>
          <w:szCs w:val="24"/>
        </w:rPr>
        <w:t>）查询是否完成注册登记。</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color w:val="auto"/>
          <w:kern w:val="0"/>
          <w:sz w:val="24"/>
          <w:szCs w:val="24"/>
        </w:rPr>
      </w:pPr>
      <w:r>
        <w:rPr>
          <w:rFonts w:hint="eastAsia" w:ascii="宋体" w:hAnsi="宋体"/>
          <w:bCs/>
          <w:color w:val="auto"/>
          <w:sz w:val="24"/>
          <w:szCs w:val="24"/>
        </w:rPr>
        <w:t>3.如投标人未按上述要求操作，由此所产生的损失及风险由投标人自行承担。在“供应商信息库”中无法查询的投标人，由评标委员会审</w:t>
      </w:r>
      <w:r>
        <w:rPr>
          <w:rFonts w:hint="eastAsia" w:ascii="宋体" w:hAnsi="宋体" w:cs="宋体"/>
          <w:color w:val="auto"/>
          <w:kern w:val="0"/>
          <w:sz w:val="24"/>
          <w:szCs w:val="24"/>
        </w:rPr>
        <w:t>查其投标截止时间前提交的未审核资料。</w:t>
      </w:r>
    </w:p>
    <w:p>
      <w:pPr>
        <w:spacing w:line="360" w:lineRule="auto"/>
        <w:ind w:firstLine="480" w:firstLineChars="200"/>
        <w:outlineLvl w:val="1"/>
        <w:rPr>
          <w:rFonts w:ascii="黑体" w:hAnsi="黑体" w:eastAsia="黑体" w:cs="宋体"/>
          <w:color w:val="auto"/>
          <w:sz w:val="24"/>
          <w:szCs w:val="24"/>
        </w:rPr>
      </w:pPr>
      <w:r>
        <w:rPr>
          <w:rFonts w:hint="eastAsia" w:ascii="黑体" w:hAnsi="黑体" w:eastAsia="黑体" w:cs="宋体"/>
          <w:color w:val="auto"/>
          <w:sz w:val="24"/>
          <w:szCs w:val="24"/>
        </w:rPr>
        <w:t>（四）完成项目报名，获取采购文件</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color w:val="auto"/>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pPr>
        <w:spacing w:line="360" w:lineRule="auto"/>
        <w:ind w:firstLine="480" w:firstLineChars="200"/>
        <w:outlineLvl w:val="1"/>
        <w:rPr>
          <w:rFonts w:ascii="黑体" w:hAnsi="黑体" w:eastAsia="黑体" w:cs="宋体"/>
          <w:color w:val="auto"/>
          <w:kern w:val="0"/>
          <w:sz w:val="24"/>
          <w:szCs w:val="24"/>
        </w:rPr>
      </w:pPr>
      <w:r>
        <w:rPr>
          <w:rFonts w:hint="eastAsia" w:ascii="黑体" w:hAnsi="黑体" w:eastAsia="黑体" w:cs="宋体"/>
          <w:color w:val="auto"/>
          <w:kern w:val="0"/>
          <w:sz w:val="24"/>
          <w:szCs w:val="24"/>
        </w:rPr>
        <w:t>（五）公开答疑时间、地点</w:t>
      </w:r>
    </w:p>
    <w:p>
      <w:pPr>
        <w:spacing w:line="360" w:lineRule="auto"/>
        <w:ind w:left="-58" w:leftChars="-28" w:firstLine="480" w:firstLineChars="200"/>
        <w:rPr>
          <w:rFonts w:ascii="黑体" w:hAnsi="黑体" w:eastAsia="黑体" w:cs="宋体"/>
          <w:color w:val="auto"/>
          <w:kern w:val="0"/>
          <w:sz w:val="24"/>
          <w:szCs w:val="24"/>
        </w:rPr>
      </w:pPr>
      <w:r>
        <w:rPr>
          <w:rFonts w:hint="eastAsia" w:ascii="宋体" w:hAnsi="宋体"/>
          <w:bCs/>
          <w:color w:val="auto"/>
          <w:sz w:val="24"/>
          <w:szCs w:val="24"/>
        </w:rPr>
        <w:t>采购人、无锡市公共资源交易中心新吴分中心将于以下时间、地点对投标人针对招标文件书面提出的要求澄清的问题进行公开答疑。投标人如有需要对招标文件要求澄清的问题，请以书面形式提出“</w:t>
      </w:r>
      <w:r>
        <w:rPr>
          <w:rFonts w:ascii="宋体" w:hAnsi="宋体"/>
          <w:bCs/>
          <w:color w:val="auto"/>
          <w:sz w:val="24"/>
          <w:szCs w:val="24"/>
        </w:rPr>
        <w:t>WXXWQJC2022-</w:t>
      </w:r>
      <w:r>
        <w:rPr>
          <w:rFonts w:hint="eastAsia" w:ascii="宋体" w:hAnsi="宋体"/>
          <w:bCs/>
          <w:color w:val="auto"/>
          <w:sz w:val="24"/>
          <w:szCs w:val="24"/>
          <w:lang w:val="en-US" w:eastAsia="zh-CN"/>
        </w:rPr>
        <w:t>097</w:t>
      </w:r>
      <w:r>
        <w:rPr>
          <w:rFonts w:hint="eastAsia" w:ascii="宋体" w:hAnsi="宋体"/>
          <w:bCs/>
          <w:color w:val="auto"/>
          <w:sz w:val="24"/>
          <w:szCs w:val="24"/>
        </w:rPr>
        <w:t>项目需澄清问题”，并于答疑会前传真项目联系人（答疑会时递交盖章原件）。</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bCs/>
          <w:color w:val="auto"/>
          <w:sz w:val="24"/>
          <w:szCs w:val="24"/>
        </w:rPr>
        <w:t>公开答疑会地点：腾讯会议在线答疑（为响应疫情防控要求，本次答疑会通过腾讯会议的方式在线</w:t>
      </w:r>
      <w:r>
        <w:rPr>
          <w:rFonts w:hint="eastAsia" w:ascii="宋体" w:hAnsi="宋体"/>
          <w:color w:val="auto"/>
          <w:sz w:val="24"/>
          <w:szCs w:val="24"/>
        </w:rPr>
        <w:t>召开（会议房间号</w:t>
      </w:r>
      <w:r>
        <w:rPr>
          <w:rFonts w:hint="eastAsia" w:ascii="宋体" w:hAnsi="宋体"/>
          <w:color w:val="auto"/>
          <w:sz w:val="24"/>
          <w:szCs w:val="24"/>
          <w:lang w:val="en-US" w:eastAsia="zh-CN"/>
        </w:rPr>
        <w:t>896</w:t>
      </w:r>
      <w:r>
        <w:rPr>
          <w:rFonts w:hint="eastAsia" w:ascii="宋体" w:hAnsi="宋体"/>
          <w:color w:val="auto"/>
          <w:sz w:val="24"/>
          <w:szCs w:val="24"/>
        </w:rPr>
        <w:t>-</w:t>
      </w:r>
      <w:r>
        <w:rPr>
          <w:rFonts w:hint="eastAsia" w:ascii="宋体" w:hAnsi="宋体"/>
          <w:color w:val="auto"/>
          <w:sz w:val="24"/>
          <w:szCs w:val="24"/>
          <w:lang w:val="en-US" w:eastAsia="zh-CN"/>
        </w:rPr>
        <w:t>460</w:t>
      </w:r>
      <w:r>
        <w:rPr>
          <w:rFonts w:hint="eastAsia" w:ascii="宋体" w:hAnsi="宋体"/>
          <w:color w:val="auto"/>
          <w:sz w:val="24"/>
          <w:szCs w:val="24"/>
        </w:rPr>
        <w:t>-</w:t>
      </w:r>
      <w:r>
        <w:rPr>
          <w:rFonts w:hint="eastAsia" w:ascii="宋体" w:hAnsi="宋体"/>
          <w:color w:val="auto"/>
          <w:sz w:val="24"/>
          <w:szCs w:val="24"/>
          <w:lang w:val="en-US" w:eastAsia="zh-CN"/>
        </w:rPr>
        <w:t>041</w:t>
      </w:r>
      <w:r>
        <w:rPr>
          <w:rFonts w:hint="eastAsia" w:ascii="宋体" w:hAnsi="宋体"/>
          <w:color w:val="auto"/>
          <w:sz w:val="24"/>
          <w:szCs w:val="24"/>
        </w:rPr>
        <w:t>），各投标人如需参加答疑会，请准点加入腾讯会议，无需到达中心现场参会。）</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公开答疑会时间：2022年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 1</w:t>
      </w:r>
      <w:r>
        <w:rPr>
          <w:rFonts w:hint="eastAsia" w:ascii="宋体" w:hAnsi="宋体"/>
          <w:color w:val="auto"/>
          <w:sz w:val="24"/>
          <w:szCs w:val="24"/>
          <w:lang w:val="en-US" w:eastAsia="zh-CN"/>
        </w:rPr>
        <w:t>5</w:t>
      </w:r>
      <w:r>
        <w:rPr>
          <w:rFonts w:hint="eastAsia" w:ascii="宋体" w:hAnsi="宋体"/>
          <w:color w:val="auto"/>
          <w:sz w:val="24"/>
          <w:szCs w:val="24"/>
        </w:rPr>
        <w:t xml:space="preserve">：00    </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（六）投标及开标、定标时间、地点  </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网上投标截止时间：2022年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28</w:t>
      </w:r>
      <w:r>
        <w:rPr>
          <w:rFonts w:hint="eastAsia" w:ascii="宋体" w:hAnsi="宋体"/>
          <w:color w:val="auto"/>
          <w:sz w:val="24"/>
          <w:szCs w:val="24"/>
        </w:rPr>
        <w:t>日 13：30（投标截止时间后的投标文件恕不接受）</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网上投标解密时间：2022年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28</w:t>
      </w:r>
      <w:r>
        <w:rPr>
          <w:rFonts w:hint="eastAsia" w:ascii="宋体" w:hAnsi="宋体"/>
          <w:color w:val="auto"/>
          <w:sz w:val="24"/>
          <w:szCs w:val="24"/>
        </w:rPr>
        <w:t>日开启</w:t>
      </w:r>
      <w:r>
        <w:rPr>
          <w:rFonts w:hint="eastAsia" w:ascii="宋体" w:hAnsi="宋体" w:cs="宋体"/>
          <w:color w:val="auto"/>
          <w:kern w:val="0"/>
          <w:sz w:val="24"/>
          <w:szCs w:val="24"/>
        </w:rPr>
        <w:t>解密后半小时。</w:t>
      </w:r>
    </w:p>
    <w:p>
      <w:pPr>
        <w:widowControl/>
        <w:shd w:val="clear" w:color="auto" w:fill="FFFFFF"/>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系统演示等候地点：本项目为在线演示，投标人无需到现场。</w:t>
      </w:r>
    </w:p>
    <w:p>
      <w:pPr>
        <w:spacing w:line="360" w:lineRule="auto"/>
        <w:ind w:firstLine="480" w:firstLineChars="200"/>
        <w:rPr>
          <w:rFonts w:ascii="宋体"/>
          <w:bCs/>
          <w:color w:val="auto"/>
          <w:sz w:val="24"/>
          <w:szCs w:val="24"/>
        </w:rPr>
      </w:pPr>
      <w:r>
        <w:rPr>
          <w:rFonts w:hint="eastAsia" w:ascii="宋体" w:hAnsi="宋体"/>
          <w:bCs/>
          <w:color w:val="auto"/>
          <w:sz w:val="24"/>
          <w:szCs w:val="24"/>
        </w:rPr>
        <w:t>定标时间：评标结束</w:t>
      </w:r>
    </w:p>
    <w:p>
      <w:pPr>
        <w:widowControl/>
        <w:shd w:val="clear" w:color="auto" w:fill="FFFFFF"/>
        <w:spacing w:line="360" w:lineRule="auto"/>
        <w:ind w:firstLine="480" w:firstLineChars="200"/>
        <w:jc w:val="left"/>
        <w:rPr>
          <w:rFonts w:ascii="宋体" w:hAnsi="宋体" w:cs="宋体"/>
          <w:color w:val="auto"/>
          <w:kern w:val="0"/>
          <w:sz w:val="24"/>
          <w:szCs w:val="24"/>
        </w:rPr>
      </w:pPr>
      <w:r>
        <w:rPr>
          <w:rFonts w:hint="eastAsia" w:ascii="宋体" w:hAnsi="宋体"/>
          <w:bCs/>
          <w:color w:val="auto"/>
          <w:sz w:val="24"/>
          <w:szCs w:val="24"/>
        </w:rPr>
        <w:t>定标地点：</w:t>
      </w:r>
      <w:r>
        <w:rPr>
          <w:rFonts w:hint="eastAsia" w:ascii="宋体" w:hAnsi="宋体"/>
          <w:color w:val="auto"/>
          <w:sz w:val="24"/>
          <w:szCs w:val="24"/>
        </w:rPr>
        <w:t>无锡市公共资源交易中心新吴分中心评标室</w:t>
      </w:r>
    </w:p>
    <w:p>
      <w:pPr>
        <w:spacing w:line="360" w:lineRule="auto"/>
        <w:ind w:firstLine="480" w:firstLineChars="200"/>
        <w:outlineLvl w:val="1"/>
        <w:rPr>
          <w:rFonts w:ascii="宋体"/>
          <w:bCs/>
          <w:color w:val="auto"/>
          <w:sz w:val="24"/>
          <w:szCs w:val="24"/>
        </w:rPr>
      </w:pPr>
      <w:r>
        <w:rPr>
          <w:rFonts w:hint="eastAsia" w:ascii="黑体" w:hAnsi="黑体" w:eastAsia="黑体"/>
          <w:bCs/>
          <w:color w:val="auto"/>
          <w:sz w:val="24"/>
          <w:szCs w:val="24"/>
        </w:rPr>
        <w:t>（七）投标有效期：</w:t>
      </w:r>
      <w:r>
        <w:rPr>
          <w:rFonts w:hint="eastAsia" w:ascii="宋体" w:hAnsi="宋体"/>
          <w:bCs/>
          <w:color w:val="auto"/>
          <w:sz w:val="24"/>
          <w:szCs w:val="24"/>
        </w:rPr>
        <w:t>开标之日起</w:t>
      </w:r>
      <w:r>
        <w:rPr>
          <w:rFonts w:ascii="宋体" w:hAnsi="宋体"/>
          <w:bCs/>
          <w:color w:val="auto"/>
          <w:sz w:val="24"/>
          <w:szCs w:val="24"/>
        </w:rPr>
        <w:t>90</w:t>
      </w:r>
      <w:r>
        <w:rPr>
          <w:rFonts w:hint="eastAsia" w:ascii="宋体" w:hAnsi="宋体"/>
          <w:bCs/>
          <w:color w:val="auto"/>
          <w:sz w:val="24"/>
          <w:szCs w:val="24"/>
        </w:rPr>
        <w:t>天</w:t>
      </w:r>
    </w:p>
    <w:p>
      <w:pPr>
        <w:spacing w:line="360" w:lineRule="auto"/>
        <w:ind w:firstLine="480" w:firstLineChars="200"/>
        <w:outlineLvl w:val="1"/>
        <w:rPr>
          <w:rFonts w:ascii="黑体" w:hAnsi="黑体" w:eastAsia="黑体"/>
          <w:bCs/>
          <w:color w:val="auto"/>
          <w:sz w:val="24"/>
          <w:szCs w:val="24"/>
        </w:rPr>
      </w:pPr>
      <w:r>
        <w:rPr>
          <w:rFonts w:hint="eastAsia" w:ascii="黑体" w:hAnsi="黑体" w:eastAsia="黑体"/>
          <w:bCs/>
          <w:color w:val="auto"/>
          <w:sz w:val="24"/>
          <w:szCs w:val="24"/>
        </w:rPr>
        <w:t>（八）采购方法：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本次采购采用《无锡市政府采购交易管理一体化系统》进行招标投标活动，招标、投标、评标和中标结果发布全程电子化。</w:t>
      </w:r>
    </w:p>
    <w:p>
      <w:pPr>
        <w:spacing w:line="360" w:lineRule="auto"/>
        <w:ind w:firstLine="480" w:firstLineChars="200"/>
        <w:outlineLvl w:val="1"/>
        <w:rPr>
          <w:rFonts w:ascii="黑体" w:hAnsi="黑体" w:eastAsia="黑体"/>
          <w:bCs/>
          <w:color w:val="auto"/>
          <w:sz w:val="24"/>
          <w:szCs w:val="24"/>
        </w:rPr>
      </w:pPr>
      <w:r>
        <w:rPr>
          <w:rFonts w:hint="eastAsia" w:ascii="黑体" w:hAnsi="黑体" w:eastAsia="黑体"/>
          <w:bCs/>
          <w:color w:val="auto"/>
          <w:sz w:val="24"/>
          <w:szCs w:val="24"/>
        </w:rPr>
        <w:t>（九）其它</w:t>
      </w:r>
    </w:p>
    <w:p>
      <w:pPr>
        <w:pStyle w:val="179"/>
        <w:widowControl/>
        <w:ind w:left="420" w:leftChars="200"/>
        <w:rPr>
          <w:rFonts w:hint="eastAsia" w:ascii="宋体" w:hAnsi="宋体" w:eastAsia="宋体"/>
          <w:color w:val="auto"/>
          <w:kern w:val="2"/>
          <w:sz w:val="24"/>
          <w:szCs w:val="24"/>
        </w:rPr>
      </w:pPr>
      <w:r>
        <w:rPr>
          <w:rFonts w:hint="eastAsia" w:ascii="宋体" w:hAnsi="宋体" w:eastAsia="宋体"/>
          <w:color w:val="auto"/>
          <w:kern w:val="2"/>
          <w:sz w:val="24"/>
          <w:szCs w:val="24"/>
        </w:rPr>
        <w:t>集中采购机构：无锡市公共资源交易中心新吴分中心       </w:t>
      </w:r>
    </w:p>
    <w:p>
      <w:pPr>
        <w:pStyle w:val="179"/>
        <w:widowControl/>
        <w:ind w:left="420" w:leftChars="200"/>
        <w:rPr>
          <w:rFonts w:hint="eastAsia" w:ascii="宋体" w:hAnsi="宋体" w:eastAsia="宋体"/>
          <w:color w:val="auto"/>
          <w:kern w:val="2"/>
          <w:sz w:val="24"/>
          <w:szCs w:val="24"/>
        </w:rPr>
      </w:pPr>
      <w:r>
        <w:rPr>
          <w:rFonts w:hint="eastAsia" w:ascii="宋体" w:hAnsi="宋体" w:eastAsia="宋体"/>
          <w:color w:val="auto"/>
          <w:kern w:val="2"/>
          <w:sz w:val="24"/>
          <w:szCs w:val="24"/>
        </w:rPr>
        <w:t>地址:无锡市新吴区硅谷大道与清晏路交叉路口往西约80米（清晏路停车场一楼）</w:t>
      </w:r>
    </w:p>
    <w:p>
      <w:pPr>
        <w:pStyle w:val="179"/>
        <w:widowControl/>
        <w:ind w:left="420" w:leftChars="200"/>
        <w:rPr>
          <w:rFonts w:hint="eastAsia" w:ascii="宋体" w:hAnsi="宋体" w:eastAsia="宋体"/>
          <w:color w:val="auto"/>
          <w:kern w:val="2"/>
          <w:sz w:val="24"/>
          <w:szCs w:val="24"/>
        </w:rPr>
      </w:pPr>
      <w:r>
        <w:rPr>
          <w:rFonts w:hint="eastAsia" w:ascii="宋体" w:hAnsi="宋体" w:eastAsia="宋体"/>
          <w:color w:val="auto"/>
          <w:kern w:val="2"/>
          <w:sz w:val="24"/>
          <w:szCs w:val="24"/>
        </w:rPr>
        <w:t>项目联系人：陈辰、华晓芸；   电话：0510-85253025；     传真：0510-85227192</w:t>
      </w:r>
    </w:p>
    <w:p>
      <w:pPr>
        <w:widowControl/>
        <w:shd w:val="clear" w:color="auto" w:fill="FFFFFF"/>
        <w:spacing w:line="360" w:lineRule="auto"/>
        <w:ind w:firstLine="480" w:firstLineChars="200"/>
        <w:jc w:val="left"/>
        <w:rPr>
          <w:rFonts w:ascii="宋体" w:hAnsi="宋体" w:cs="宋体"/>
          <w:color w:val="auto"/>
          <w:kern w:val="0"/>
          <w:sz w:val="24"/>
          <w:szCs w:val="24"/>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jc w:val="center"/>
        <w:rPr>
          <w:rFonts w:hint="eastAsia" w:ascii="黑体" w:eastAsia="黑体"/>
          <w:bCs/>
          <w:color w:val="auto"/>
          <w:sz w:val="28"/>
          <w:szCs w:val="28"/>
        </w:rPr>
      </w:pPr>
    </w:p>
    <w:p>
      <w:pPr>
        <w:spacing w:line="490" w:lineRule="exact"/>
        <w:rPr>
          <w:rFonts w:hint="eastAsia" w:ascii="黑体" w:eastAsia="黑体"/>
          <w:bCs/>
          <w:color w:val="auto"/>
          <w:sz w:val="28"/>
          <w:szCs w:val="28"/>
        </w:rPr>
      </w:pPr>
    </w:p>
    <w:p>
      <w:pPr>
        <w:pStyle w:val="30"/>
        <w:rPr>
          <w:rFonts w:hint="eastAsia"/>
          <w:color w:val="auto"/>
        </w:rPr>
      </w:pPr>
    </w:p>
    <w:p>
      <w:pPr>
        <w:spacing w:line="360" w:lineRule="auto"/>
        <w:jc w:val="center"/>
        <w:outlineLvl w:val="0"/>
        <w:rPr>
          <w:rFonts w:ascii="黑体" w:eastAsia="黑体"/>
          <w:bCs/>
          <w:color w:val="auto"/>
          <w:sz w:val="28"/>
          <w:szCs w:val="28"/>
        </w:rPr>
      </w:pPr>
      <w:r>
        <w:rPr>
          <w:rFonts w:hint="eastAsia" w:ascii="黑体" w:eastAsia="黑体"/>
          <w:bCs/>
          <w:color w:val="auto"/>
          <w:sz w:val="28"/>
          <w:szCs w:val="28"/>
        </w:rPr>
        <w:t>二．投标人须知</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（一）遵循原则：</w:t>
      </w:r>
    </w:p>
    <w:p>
      <w:pPr>
        <w:spacing w:line="360" w:lineRule="auto"/>
        <w:ind w:firstLine="480" w:firstLineChars="200"/>
        <w:rPr>
          <w:rFonts w:ascii="黑体" w:hAnsi="宋体" w:eastAsia="黑体"/>
          <w:bCs/>
          <w:color w:val="auto"/>
          <w:sz w:val="24"/>
          <w:szCs w:val="24"/>
        </w:rPr>
      </w:pPr>
      <w:r>
        <w:rPr>
          <w:rFonts w:hint="eastAsia" w:ascii="宋体" w:hAnsi="宋体"/>
          <w:bCs/>
          <w:color w:val="auto"/>
          <w:sz w:val="24"/>
          <w:szCs w:val="24"/>
        </w:rPr>
        <w:t>公开透明原则、公平竞争原则、公正原则和诚实信用原则。</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（二）招标文件：</w:t>
      </w:r>
    </w:p>
    <w:p>
      <w:pPr>
        <w:numPr>
          <w:ilvl w:val="0"/>
          <w:numId w:val="5"/>
        </w:numPr>
        <w:tabs>
          <w:tab w:val="left" w:pos="-1260"/>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招标文件包括本文件目录所列全部内容，投标人应仔细阅读，并在投标文件中充分响应招标文件的所有要求。</w:t>
      </w:r>
    </w:p>
    <w:p>
      <w:pPr>
        <w:numPr>
          <w:ilvl w:val="0"/>
          <w:numId w:val="5"/>
        </w:numPr>
        <w:tabs>
          <w:tab w:val="left" w:pos="0"/>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采购文件中的“法定代表人”是指投标人的营业执照的“法定代表人”或相关部门的登记证明文件中的“负责人”。</w:t>
      </w:r>
    </w:p>
    <w:p>
      <w:pPr>
        <w:numPr>
          <w:ilvl w:val="0"/>
          <w:numId w:val="5"/>
        </w:numPr>
        <w:tabs>
          <w:tab w:val="left" w:pos="0"/>
          <w:tab w:val="left" w:pos="525"/>
          <w:tab w:val="left" w:pos="945"/>
        </w:tabs>
        <w:spacing w:line="360" w:lineRule="auto"/>
        <w:ind w:left="0" w:firstLine="480" w:firstLineChars="200"/>
        <w:rPr>
          <w:rFonts w:ascii="宋体" w:hAnsi="宋体"/>
          <w:bCs/>
          <w:color w:val="auto"/>
          <w:sz w:val="24"/>
          <w:szCs w:val="24"/>
        </w:rPr>
      </w:pPr>
      <w:r>
        <w:rPr>
          <w:rFonts w:hint="eastAsia" w:ascii="宋体" w:hAnsi="宋体"/>
          <w:bCs/>
          <w:color w:val="auto"/>
          <w:sz w:val="24"/>
          <w:szCs w:val="24"/>
        </w:rPr>
        <w:t>投标人应在无锡市公共资源交易中心政府采购专栏（</w:t>
      </w:r>
      <w:r>
        <w:rPr>
          <w:rFonts w:ascii="宋体" w:hAnsi="宋体"/>
          <w:bCs/>
          <w:color w:val="auto"/>
          <w:sz w:val="24"/>
          <w:szCs w:val="24"/>
        </w:rPr>
        <w:t>http://xzfw.wuxi.gov.cn/ztzl/wxsggzyjyzxzl/jyxx/zfcg/index.shtml</w:t>
      </w:r>
      <w:r>
        <w:rPr>
          <w:rFonts w:hint="eastAsia" w:ascii="宋体" w:hAnsi="宋体"/>
          <w:bCs/>
          <w:color w:val="auto"/>
          <w:sz w:val="24"/>
          <w:szCs w:val="24"/>
        </w:rPr>
        <w:t>，下同）或登录政府采购交易管理一体化系统下载招标文件及有关资料，</w:t>
      </w:r>
      <w:r>
        <w:rPr>
          <w:rFonts w:hint="eastAsia" w:ascii="宋体" w:hAnsi="宋体"/>
          <w:color w:val="auto"/>
          <w:sz w:val="24"/>
          <w:szCs w:val="24"/>
        </w:rPr>
        <w:t>按要求制作、上传投标文件，</w:t>
      </w:r>
      <w:r>
        <w:rPr>
          <w:rFonts w:hint="eastAsia" w:ascii="宋体" w:hAnsi="宋体"/>
          <w:bCs/>
          <w:color w:val="auto"/>
          <w:sz w:val="24"/>
          <w:szCs w:val="24"/>
        </w:rPr>
        <w:t>对招标文件各项内容做出实质性响应，否则投标无效。</w:t>
      </w:r>
    </w:p>
    <w:p>
      <w:pPr>
        <w:numPr>
          <w:ilvl w:val="0"/>
          <w:numId w:val="5"/>
        </w:numPr>
        <w:tabs>
          <w:tab w:val="left" w:pos="0"/>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招标文件仅作为本次招投标使用。</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（三）招标文件的解释：</w:t>
      </w:r>
    </w:p>
    <w:p>
      <w:pPr>
        <w:tabs>
          <w:tab w:val="left" w:pos="945"/>
        </w:tabs>
        <w:spacing w:line="360" w:lineRule="auto"/>
        <w:ind w:left="523"/>
        <w:rPr>
          <w:rFonts w:ascii="宋体"/>
          <w:bCs/>
          <w:color w:val="auto"/>
          <w:sz w:val="24"/>
          <w:szCs w:val="24"/>
        </w:rPr>
      </w:pPr>
      <w:r>
        <w:rPr>
          <w:rFonts w:hint="eastAsia" w:ascii="宋体" w:hAnsi="宋体"/>
          <w:bCs/>
          <w:color w:val="auto"/>
          <w:sz w:val="24"/>
          <w:szCs w:val="24"/>
        </w:rPr>
        <w:t>本文件的最终解释权归无锡市公共资源交易中心新吴分中心。</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（四）招标文件的补充或修正：</w:t>
      </w:r>
    </w:p>
    <w:p>
      <w:pPr>
        <w:numPr>
          <w:ilvl w:val="0"/>
          <w:numId w:val="6"/>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无锡市公共资源交易中心新吴分中心可在投标截止时间十五日前对招标文件进行必要的澄清或者修改，不足15日的，将顺延提交投标文件的截止时间。</w:t>
      </w:r>
    </w:p>
    <w:p>
      <w:pPr>
        <w:numPr>
          <w:ilvl w:val="0"/>
          <w:numId w:val="6"/>
        </w:numPr>
        <w:tabs>
          <w:tab w:val="left" w:pos="525"/>
          <w:tab w:val="left" w:pos="945"/>
        </w:tabs>
        <w:spacing w:line="360" w:lineRule="auto"/>
        <w:ind w:left="1" w:firstLine="523" w:firstLineChars="218"/>
        <w:rPr>
          <w:rFonts w:hint="eastAsia" w:ascii="宋体"/>
          <w:bCs/>
          <w:color w:val="auto"/>
          <w:sz w:val="24"/>
          <w:szCs w:val="24"/>
        </w:rPr>
      </w:pPr>
      <w:r>
        <w:rPr>
          <w:rFonts w:hint="eastAsia" w:ascii="宋体" w:hAnsi="宋体"/>
          <w:bCs/>
          <w:color w:val="auto"/>
          <w:sz w:val="24"/>
          <w:szCs w:val="24"/>
        </w:rPr>
        <w:t>如需对招标文件进行澄清或修正，无锡市公共资源交易中心新吴分中心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color w:val="auto"/>
          <w:sz w:val="24"/>
          <w:szCs w:val="24"/>
        </w:rPr>
        <w:t>登录</w:t>
      </w:r>
      <w:r>
        <w:rPr>
          <w:rFonts w:hint="eastAsia" w:ascii="宋体" w:hAnsi="宋体"/>
          <w:bCs/>
          <w:color w:val="auto"/>
          <w:sz w:val="24"/>
          <w:szCs w:val="24"/>
        </w:rPr>
        <w:t>投标客户端</w:t>
      </w:r>
      <w:r>
        <w:rPr>
          <w:rFonts w:hint="eastAsia" w:ascii="宋体" w:hAnsi="宋体"/>
          <w:color w:val="auto"/>
          <w:sz w:val="24"/>
          <w:szCs w:val="24"/>
        </w:rPr>
        <w:t>或</w:t>
      </w:r>
      <w:r>
        <w:rPr>
          <w:rFonts w:hint="eastAsia" w:ascii="宋体" w:hAnsi="宋体"/>
          <w:bCs/>
          <w:color w:val="auto"/>
          <w:sz w:val="24"/>
          <w:szCs w:val="24"/>
        </w:rPr>
        <w:t>关注原招标公告媒体上发布的相关更正公告</w:t>
      </w:r>
      <w:r>
        <w:rPr>
          <w:rFonts w:hint="eastAsia" w:ascii="宋体" w:hAnsi="宋体"/>
          <w:color w:val="auto"/>
          <w:sz w:val="24"/>
          <w:szCs w:val="24"/>
        </w:rPr>
        <w:t>。</w:t>
      </w:r>
      <w:r>
        <w:rPr>
          <w:rFonts w:hint="eastAsia" w:ascii="宋体" w:hAnsi="宋体"/>
          <w:bCs/>
          <w:color w:val="auto"/>
          <w:sz w:val="24"/>
          <w:szCs w:val="24"/>
        </w:rPr>
        <w:t>因投标人未尽注意义务，未及时更新上传投标文件</w:t>
      </w:r>
      <w:r>
        <w:rPr>
          <w:rFonts w:hint="eastAsia" w:ascii="宋体" w:hAnsi="宋体"/>
          <w:color w:val="auto"/>
          <w:sz w:val="24"/>
          <w:szCs w:val="24"/>
        </w:rPr>
        <w:t>或</w:t>
      </w:r>
      <w:r>
        <w:rPr>
          <w:rFonts w:hint="eastAsia" w:ascii="宋体" w:hAnsi="宋体"/>
          <w:bCs/>
          <w:color w:val="auto"/>
          <w:sz w:val="24"/>
          <w:szCs w:val="24"/>
        </w:rPr>
        <w:t>全面地关注更正公告导致其提交的投标材料不符合无锡市公共资源交易中心新吴分中心要求，而造成的损失及风险（包括但不限于未中标）由投标人自行承担。</w:t>
      </w:r>
    </w:p>
    <w:p>
      <w:pPr>
        <w:numPr>
          <w:ilvl w:val="0"/>
          <w:numId w:val="6"/>
        </w:numPr>
        <w:tabs>
          <w:tab w:val="left" w:pos="525"/>
          <w:tab w:val="left" w:pos="945"/>
        </w:tabs>
        <w:spacing w:line="360" w:lineRule="auto"/>
        <w:ind w:left="1" w:firstLine="523" w:firstLineChars="218"/>
        <w:rPr>
          <w:rFonts w:ascii="宋体"/>
          <w:bCs/>
          <w:color w:val="auto"/>
          <w:sz w:val="24"/>
          <w:szCs w:val="24"/>
        </w:rPr>
      </w:pPr>
      <w:r>
        <w:rPr>
          <w:rFonts w:ascii="宋体" w:hAnsi="宋体"/>
          <w:bCs/>
          <w:color w:val="auto"/>
          <w:sz w:val="24"/>
          <w:szCs w:val="24"/>
        </w:rPr>
        <w:t>供应商认为</w:t>
      </w:r>
      <w:r>
        <w:rPr>
          <w:rFonts w:hint="eastAsia" w:ascii="宋体" w:hAnsi="宋体"/>
          <w:bCs/>
          <w:color w:val="auto"/>
          <w:sz w:val="24"/>
          <w:szCs w:val="24"/>
        </w:rPr>
        <w:t>招标</w:t>
      </w:r>
      <w:r>
        <w:rPr>
          <w:rFonts w:ascii="宋体" w:hAnsi="宋体"/>
          <w:bCs/>
          <w:color w:val="auto"/>
          <w:sz w:val="24"/>
          <w:szCs w:val="24"/>
        </w:rPr>
        <w:t>文件使自己的权益受到损害的，可以自获取</w:t>
      </w:r>
      <w:r>
        <w:rPr>
          <w:rFonts w:hint="eastAsia" w:ascii="宋体" w:hAnsi="宋体"/>
          <w:bCs/>
          <w:color w:val="auto"/>
          <w:sz w:val="24"/>
          <w:szCs w:val="24"/>
        </w:rPr>
        <w:t>招标</w:t>
      </w:r>
      <w:r>
        <w:rPr>
          <w:rFonts w:ascii="宋体" w:hAnsi="宋体"/>
          <w:bCs/>
          <w:color w:val="auto"/>
          <w:sz w:val="24"/>
          <w:szCs w:val="24"/>
        </w:rPr>
        <w:t>文件之日或者</w:t>
      </w:r>
      <w:r>
        <w:rPr>
          <w:rFonts w:hint="eastAsia" w:ascii="宋体" w:hAnsi="宋体"/>
          <w:bCs/>
          <w:color w:val="auto"/>
          <w:sz w:val="24"/>
          <w:szCs w:val="24"/>
        </w:rPr>
        <w:t>招标</w:t>
      </w:r>
      <w:r>
        <w:rPr>
          <w:rFonts w:ascii="宋体" w:hAnsi="宋体"/>
          <w:bCs/>
          <w:color w:val="auto"/>
          <w:sz w:val="24"/>
          <w:szCs w:val="24"/>
        </w:rPr>
        <w:t>公告期限届满之日（公告期限届满后获取招标文件的，以公告期限届满之日为准）起7个工作日内，以书面形式向</w:t>
      </w:r>
      <w:r>
        <w:rPr>
          <w:rFonts w:hint="eastAsia" w:ascii="宋体" w:hAnsi="宋体"/>
          <w:bCs/>
          <w:color w:val="auto"/>
          <w:sz w:val="24"/>
          <w:szCs w:val="24"/>
        </w:rPr>
        <w:t>采购人、采购代理机构提出质疑。</w:t>
      </w:r>
      <w:r>
        <w:rPr>
          <w:rFonts w:ascii="宋体" w:hAnsi="宋体"/>
          <w:bCs/>
          <w:color w:val="auto"/>
          <w:sz w:val="24"/>
          <w:szCs w:val="24"/>
        </w:rPr>
        <w:t>针对同一采购程序环节的质疑</w:t>
      </w:r>
      <w:r>
        <w:rPr>
          <w:rFonts w:hint="eastAsia" w:ascii="宋体" w:hAnsi="宋体"/>
          <w:bCs/>
          <w:color w:val="auto"/>
          <w:sz w:val="24"/>
          <w:szCs w:val="24"/>
        </w:rPr>
        <w:t>，须</w:t>
      </w:r>
      <w:r>
        <w:rPr>
          <w:rFonts w:ascii="宋体" w:hAnsi="宋体"/>
          <w:bCs/>
          <w:color w:val="auto"/>
          <w:sz w:val="24"/>
          <w:szCs w:val="24"/>
        </w:rPr>
        <w:t>在法定质疑期内一次性提出</w:t>
      </w:r>
      <w:r>
        <w:rPr>
          <w:rFonts w:hint="eastAsia" w:ascii="宋体" w:hAnsi="宋体"/>
          <w:bCs/>
          <w:color w:val="auto"/>
          <w:sz w:val="24"/>
          <w:szCs w:val="24"/>
        </w:rPr>
        <w:t>。质疑函的质疑事项应具体、明确，并有必要的事实依据和法律依据（格式详见中国政府采购网《</w:t>
      </w:r>
      <w:r>
        <w:rPr>
          <w:color w:val="auto"/>
        </w:rPr>
        <w:fldChar w:fldCharType="begin"/>
      </w:r>
      <w:r>
        <w:rPr>
          <w:color w:val="auto"/>
        </w:rPr>
        <w:instrText xml:space="preserve">HYPERLINK "http://download.ccgp.gov.cn/2018/zhiyihanfanben.zip" \t "_blank"</w:instrText>
      </w:r>
      <w:r>
        <w:rPr>
          <w:color w:val="auto"/>
        </w:rPr>
        <w:fldChar w:fldCharType="separate"/>
      </w:r>
      <w:r>
        <w:rPr>
          <w:rFonts w:hint="eastAsia" w:ascii="宋体" w:hAnsi="宋体"/>
          <w:bCs/>
          <w:color w:val="auto"/>
          <w:sz w:val="24"/>
          <w:szCs w:val="24"/>
        </w:rPr>
        <w:t>政府采购供应商质疑函范本</w:t>
      </w:r>
      <w:r>
        <w:rPr>
          <w:color w:val="auto"/>
        </w:rPr>
        <w:fldChar w:fldCharType="end"/>
      </w:r>
      <w:r>
        <w:rPr>
          <w:rFonts w:hint="eastAsia" w:ascii="宋体" w:hAnsi="宋体"/>
          <w:bCs/>
          <w:color w:val="auto"/>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w:t>
      </w:r>
    </w:p>
    <w:p>
      <w:pPr>
        <w:spacing w:line="360" w:lineRule="auto"/>
        <w:ind w:firstLine="480" w:firstLineChars="200"/>
        <w:outlineLvl w:val="1"/>
        <w:rPr>
          <w:rFonts w:ascii="宋体"/>
          <w:bCs/>
          <w:color w:val="auto"/>
          <w:sz w:val="24"/>
          <w:szCs w:val="24"/>
        </w:rPr>
      </w:pPr>
      <w:r>
        <w:rPr>
          <w:rFonts w:hint="eastAsia" w:ascii="黑体" w:hAnsi="宋体" w:eastAsia="黑体"/>
          <w:bCs/>
          <w:color w:val="auto"/>
          <w:sz w:val="24"/>
          <w:szCs w:val="24"/>
        </w:rPr>
        <w:t>（五）投标文件的组成</w:t>
      </w:r>
      <w:r>
        <w:rPr>
          <w:rFonts w:hint="eastAsia" w:ascii="宋体" w:hAnsi="宋体"/>
          <w:bCs/>
          <w:color w:val="auto"/>
          <w:sz w:val="24"/>
          <w:szCs w:val="24"/>
        </w:rPr>
        <w:t>（</w:t>
      </w:r>
      <w:r>
        <w:rPr>
          <w:rFonts w:hint="eastAsia" w:ascii="宋体" w:hAnsi="宋体"/>
          <w:b/>
          <w:bCs/>
          <w:color w:val="auto"/>
          <w:sz w:val="24"/>
          <w:szCs w:val="24"/>
        </w:rPr>
        <w:t>相应内容上传至投标客户端</w:t>
      </w:r>
      <w:r>
        <w:rPr>
          <w:rFonts w:hint="eastAsia" w:ascii="宋体" w:hAnsi="宋体"/>
          <w:bCs/>
          <w:color w:val="auto"/>
          <w:sz w:val="24"/>
          <w:szCs w:val="24"/>
        </w:rPr>
        <w:t>）</w:t>
      </w:r>
      <w:r>
        <w:rPr>
          <w:rFonts w:hint="eastAsia" w:ascii="黑体" w:hAnsi="宋体" w:eastAsia="黑体"/>
          <w:bCs/>
          <w:color w:val="auto"/>
          <w:sz w:val="24"/>
          <w:szCs w:val="24"/>
        </w:rPr>
        <w:t>：</w:t>
      </w:r>
    </w:p>
    <w:p>
      <w:pPr>
        <w:numPr>
          <w:ilvl w:val="0"/>
          <w:numId w:val="7"/>
        </w:numPr>
        <w:tabs>
          <w:tab w:val="left" w:pos="525"/>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投标函</w:t>
      </w:r>
      <w:r>
        <w:rPr>
          <w:rFonts w:hint="eastAsia" w:ascii="宋体" w:hAnsi="宋体"/>
          <w:b/>
          <w:bCs/>
          <w:color w:val="auto"/>
          <w:sz w:val="24"/>
          <w:szCs w:val="24"/>
        </w:rPr>
        <w:t>（格式见附件）</w:t>
      </w:r>
    </w:p>
    <w:p>
      <w:pPr>
        <w:numPr>
          <w:ilvl w:val="0"/>
          <w:numId w:val="7"/>
        </w:numPr>
        <w:tabs>
          <w:tab w:val="left" w:pos="525"/>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资格、资信证明文件</w:t>
      </w:r>
      <w:r>
        <w:rPr>
          <w:rFonts w:hint="eastAsia" w:ascii="宋体" w:hAnsi="宋体"/>
          <w:b/>
          <w:bCs/>
          <w:color w:val="auto"/>
          <w:sz w:val="24"/>
          <w:szCs w:val="24"/>
        </w:rPr>
        <w:t>（扫描后上传，身份证应为正、反面）：</w:t>
      </w:r>
    </w:p>
    <w:p>
      <w:pPr>
        <w:pStyle w:val="165"/>
        <w:numPr>
          <w:ilvl w:val="1"/>
          <w:numId w:val="7"/>
        </w:numPr>
        <w:tabs>
          <w:tab w:val="left" w:pos="1276"/>
        </w:tabs>
        <w:spacing w:line="360" w:lineRule="auto"/>
        <w:ind w:left="0" w:firstLine="567" w:firstLineChars="0"/>
        <w:rPr>
          <w:rFonts w:ascii="宋体"/>
          <w:bCs/>
          <w:color w:val="auto"/>
          <w:sz w:val="24"/>
          <w:szCs w:val="24"/>
        </w:rPr>
      </w:pPr>
      <w:r>
        <w:rPr>
          <w:rFonts w:hint="eastAsia" w:ascii="宋体" w:hAnsi="宋体"/>
          <w:bCs/>
          <w:color w:val="auto"/>
          <w:sz w:val="24"/>
          <w:szCs w:val="24"/>
        </w:rPr>
        <w:t>关于资格的声明函（</w:t>
      </w:r>
      <w:r>
        <w:rPr>
          <w:rFonts w:hint="eastAsia" w:ascii="宋体" w:hAnsi="宋体"/>
          <w:b/>
          <w:bCs/>
          <w:color w:val="auto"/>
          <w:sz w:val="24"/>
          <w:szCs w:val="24"/>
        </w:rPr>
        <w:t>格式见附件</w:t>
      </w:r>
      <w:r>
        <w:rPr>
          <w:rFonts w:hint="eastAsia" w:ascii="宋体" w:hAnsi="宋体"/>
          <w:bCs/>
          <w:color w:val="auto"/>
          <w:sz w:val="24"/>
          <w:szCs w:val="24"/>
        </w:rPr>
        <w:t>）</w:t>
      </w:r>
    </w:p>
    <w:p>
      <w:pPr>
        <w:pStyle w:val="165"/>
        <w:numPr>
          <w:ilvl w:val="1"/>
          <w:numId w:val="7"/>
        </w:numPr>
        <w:tabs>
          <w:tab w:val="left" w:pos="1276"/>
        </w:tabs>
        <w:spacing w:line="360" w:lineRule="auto"/>
        <w:ind w:left="0" w:firstLine="567" w:firstLineChars="0"/>
        <w:rPr>
          <w:rFonts w:ascii="宋体"/>
          <w:bCs/>
          <w:color w:val="auto"/>
          <w:sz w:val="24"/>
          <w:szCs w:val="24"/>
        </w:rPr>
      </w:pPr>
      <w:r>
        <w:rPr>
          <w:rFonts w:hint="eastAsia" w:ascii="宋体" w:hAnsi="宋体"/>
          <w:bCs/>
          <w:color w:val="auto"/>
          <w:sz w:val="24"/>
          <w:szCs w:val="24"/>
        </w:rPr>
        <w:t>具有独立承担民事责任能力的投标人营业执照或相关部门的登记证明文件复印件（投标人如是</w:t>
      </w:r>
      <w:r>
        <w:rPr>
          <w:rFonts w:hint="eastAsia" w:ascii="宋体" w:hAnsi="宋体" w:cs="宋体"/>
          <w:color w:val="auto"/>
          <w:kern w:val="0"/>
          <w:sz w:val="24"/>
          <w:szCs w:val="24"/>
        </w:rPr>
        <w:t>允许以分支机构身份参加投标的，提供投标人分支机构的营业执照复印件</w:t>
      </w:r>
      <w:r>
        <w:rPr>
          <w:rFonts w:hint="eastAsia" w:ascii="宋体" w:hAnsi="宋体"/>
          <w:bCs/>
          <w:color w:val="auto"/>
          <w:sz w:val="24"/>
          <w:szCs w:val="24"/>
        </w:rPr>
        <w:t>）；</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投标人法定代表人授权委托书</w:t>
      </w:r>
      <w:r>
        <w:rPr>
          <w:rFonts w:hint="eastAsia" w:ascii="宋体" w:hAnsi="宋体"/>
          <w:color w:val="auto"/>
          <w:sz w:val="24"/>
          <w:szCs w:val="24"/>
        </w:rPr>
        <w:t>（</w:t>
      </w:r>
      <w:r>
        <w:rPr>
          <w:rFonts w:hint="eastAsia" w:ascii="宋体" w:hAnsi="宋体"/>
          <w:b/>
          <w:bCs/>
          <w:color w:val="auto"/>
          <w:sz w:val="24"/>
          <w:szCs w:val="24"/>
        </w:rPr>
        <w:t>格式见附件，法定代表人亲自参加投标的除外</w:t>
      </w:r>
      <w:r>
        <w:rPr>
          <w:rFonts w:hint="eastAsia" w:ascii="宋体" w:hAnsi="宋体"/>
          <w:color w:val="auto"/>
          <w:sz w:val="24"/>
          <w:szCs w:val="24"/>
        </w:rPr>
        <w:t>）（投标人</w:t>
      </w:r>
      <w:r>
        <w:rPr>
          <w:rFonts w:hint="eastAsia" w:ascii="宋体" w:hAnsi="宋体"/>
          <w:bCs/>
          <w:color w:val="auto"/>
          <w:sz w:val="24"/>
          <w:szCs w:val="24"/>
        </w:rPr>
        <w:t>如是</w:t>
      </w:r>
      <w:r>
        <w:rPr>
          <w:rFonts w:hint="eastAsia" w:ascii="宋体" w:hAnsi="宋体" w:cs="宋体"/>
          <w:color w:val="auto"/>
          <w:kern w:val="0"/>
          <w:sz w:val="24"/>
          <w:szCs w:val="24"/>
        </w:rPr>
        <w:t>允许以分支机构身份参加投标的，请自行</w:t>
      </w:r>
      <w:r>
        <w:rPr>
          <w:rFonts w:ascii="宋体" w:hAnsi="宋体" w:cs="宋体"/>
          <w:color w:val="auto"/>
          <w:kern w:val="0"/>
          <w:sz w:val="24"/>
          <w:szCs w:val="24"/>
        </w:rPr>
        <w:t>将“</w:t>
      </w:r>
      <w:r>
        <w:rPr>
          <w:rFonts w:hint="eastAsia" w:ascii="宋体" w:hAnsi="宋体" w:cs="宋体"/>
          <w:color w:val="auto"/>
          <w:kern w:val="0"/>
          <w:sz w:val="24"/>
          <w:szCs w:val="24"/>
        </w:rPr>
        <w:t>法定代表人</w:t>
      </w:r>
      <w:r>
        <w:rPr>
          <w:rFonts w:ascii="宋体" w:hAnsi="宋体" w:cs="宋体"/>
          <w:color w:val="auto"/>
          <w:kern w:val="0"/>
          <w:sz w:val="24"/>
          <w:szCs w:val="24"/>
        </w:rPr>
        <w:t>”</w:t>
      </w:r>
      <w:r>
        <w:rPr>
          <w:rFonts w:hint="eastAsia" w:ascii="宋体" w:hAnsi="宋体" w:cs="宋体"/>
          <w:color w:val="auto"/>
          <w:kern w:val="0"/>
          <w:sz w:val="24"/>
          <w:szCs w:val="24"/>
        </w:rPr>
        <w:t>更改为</w:t>
      </w:r>
      <w:r>
        <w:rPr>
          <w:rFonts w:ascii="宋体" w:hAnsi="宋体" w:cs="宋体"/>
          <w:color w:val="auto"/>
          <w:kern w:val="0"/>
          <w:sz w:val="24"/>
          <w:szCs w:val="24"/>
        </w:rPr>
        <w:t>“</w:t>
      </w:r>
      <w:r>
        <w:rPr>
          <w:rFonts w:hint="eastAsia" w:ascii="宋体" w:hAnsi="宋体" w:cs="宋体"/>
          <w:color w:val="auto"/>
          <w:kern w:val="0"/>
          <w:sz w:val="24"/>
          <w:szCs w:val="24"/>
        </w:rPr>
        <w:t>负责人</w:t>
      </w:r>
      <w:r>
        <w:rPr>
          <w:rFonts w:ascii="宋体" w:hAnsi="宋体" w:cs="宋体"/>
          <w:color w:val="auto"/>
          <w:kern w:val="0"/>
          <w:sz w:val="24"/>
          <w:szCs w:val="24"/>
        </w:rPr>
        <w:t>”</w:t>
      </w:r>
      <w:r>
        <w:rPr>
          <w:rFonts w:hint="eastAsia" w:ascii="宋体" w:hAnsi="宋体" w:cs="宋体"/>
          <w:color w:val="auto"/>
          <w:kern w:val="0"/>
          <w:sz w:val="24"/>
          <w:szCs w:val="24"/>
        </w:rPr>
        <w:t>，分支机构投标</w:t>
      </w:r>
      <w:r>
        <w:rPr>
          <w:rFonts w:ascii="宋体" w:hAnsi="宋体" w:cs="宋体"/>
          <w:color w:val="auto"/>
          <w:kern w:val="0"/>
          <w:sz w:val="24"/>
          <w:szCs w:val="24"/>
        </w:rPr>
        <w:t>时</w:t>
      </w:r>
      <w:r>
        <w:rPr>
          <w:rFonts w:hint="eastAsia" w:ascii="宋体" w:hAnsi="宋体" w:cs="宋体"/>
          <w:color w:val="auto"/>
          <w:kern w:val="0"/>
          <w:sz w:val="24"/>
          <w:szCs w:val="24"/>
        </w:rPr>
        <w:t>涉及到采购文件</w:t>
      </w:r>
      <w:r>
        <w:rPr>
          <w:rFonts w:ascii="宋体" w:hAnsi="宋体" w:cs="宋体"/>
          <w:color w:val="auto"/>
          <w:kern w:val="0"/>
          <w:sz w:val="24"/>
          <w:szCs w:val="24"/>
        </w:rPr>
        <w:t>“</w:t>
      </w:r>
      <w:r>
        <w:rPr>
          <w:rFonts w:hint="eastAsia" w:ascii="宋体" w:hAnsi="宋体" w:cs="宋体"/>
          <w:color w:val="auto"/>
          <w:kern w:val="0"/>
          <w:sz w:val="24"/>
          <w:szCs w:val="24"/>
        </w:rPr>
        <w:t>法定代表人</w:t>
      </w:r>
      <w:r>
        <w:rPr>
          <w:rFonts w:ascii="宋体" w:hAnsi="宋体" w:cs="宋体"/>
          <w:color w:val="auto"/>
          <w:kern w:val="0"/>
          <w:sz w:val="24"/>
          <w:szCs w:val="24"/>
        </w:rPr>
        <w:t>”</w:t>
      </w:r>
      <w:r>
        <w:rPr>
          <w:rFonts w:hint="eastAsia" w:ascii="宋体" w:hAnsi="宋体" w:cs="宋体"/>
          <w:color w:val="auto"/>
          <w:kern w:val="0"/>
          <w:sz w:val="24"/>
          <w:szCs w:val="24"/>
        </w:rPr>
        <w:t>要求的部分</w:t>
      </w:r>
      <w:r>
        <w:rPr>
          <w:rFonts w:ascii="宋体" w:hAnsi="宋体" w:cs="宋体"/>
          <w:color w:val="auto"/>
          <w:kern w:val="0"/>
          <w:sz w:val="24"/>
          <w:szCs w:val="24"/>
        </w:rPr>
        <w:t>，其</w:t>
      </w:r>
      <w:r>
        <w:rPr>
          <w:rFonts w:hint="eastAsia" w:ascii="宋体" w:hAnsi="宋体" w:cs="宋体"/>
          <w:color w:val="auto"/>
          <w:kern w:val="0"/>
          <w:sz w:val="24"/>
          <w:szCs w:val="24"/>
        </w:rPr>
        <w:t>具体要求</w:t>
      </w:r>
      <w:r>
        <w:rPr>
          <w:rFonts w:ascii="宋体" w:hAnsi="宋体" w:cs="宋体"/>
          <w:color w:val="auto"/>
          <w:kern w:val="0"/>
          <w:sz w:val="24"/>
          <w:szCs w:val="24"/>
        </w:rPr>
        <w:t>视同本条规定</w:t>
      </w:r>
      <w:r>
        <w:rPr>
          <w:rFonts w:hint="eastAsia" w:ascii="宋体" w:hAnsi="宋体"/>
          <w:color w:val="auto"/>
          <w:sz w:val="24"/>
          <w:szCs w:val="24"/>
        </w:rPr>
        <w:t>）；</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投标人法定代表人身份证；</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投标人法定代表人授权代表身份证（</w:t>
      </w:r>
      <w:r>
        <w:rPr>
          <w:rFonts w:hint="eastAsia" w:ascii="宋体" w:hAnsi="宋体"/>
          <w:b/>
          <w:bCs/>
          <w:color w:val="auto"/>
          <w:sz w:val="24"/>
          <w:szCs w:val="24"/>
        </w:rPr>
        <w:t>法定代表人亲自参加投标的除外</w:t>
      </w:r>
      <w:r>
        <w:rPr>
          <w:rFonts w:hint="eastAsia" w:ascii="宋体" w:hAnsi="宋体"/>
          <w:bCs/>
          <w:color w:val="auto"/>
          <w:sz w:val="24"/>
          <w:szCs w:val="24"/>
        </w:rPr>
        <w:t>）</w:t>
      </w:r>
      <w:r>
        <w:rPr>
          <w:rFonts w:hint="eastAsia" w:ascii="宋体" w:hAnsi="宋体"/>
          <w:color w:val="auto"/>
          <w:sz w:val="24"/>
          <w:szCs w:val="24"/>
        </w:rPr>
        <w:t>；</w:t>
      </w:r>
    </w:p>
    <w:p>
      <w:pPr>
        <w:numPr>
          <w:ilvl w:val="1"/>
          <w:numId w:val="7"/>
        </w:numPr>
        <w:tabs>
          <w:tab w:val="left" w:pos="945"/>
          <w:tab w:val="left" w:pos="1276"/>
        </w:tabs>
        <w:spacing w:line="360" w:lineRule="auto"/>
        <w:ind w:left="0" w:firstLine="523" w:firstLineChars="218"/>
        <w:rPr>
          <w:rFonts w:ascii="宋体" w:hAnsi="宋体"/>
          <w:bCs/>
          <w:color w:val="auto"/>
          <w:sz w:val="24"/>
          <w:szCs w:val="24"/>
        </w:rPr>
      </w:pPr>
      <w:r>
        <w:rPr>
          <w:rFonts w:hint="eastAsia" w:ascii="宋体" w:hAnsi="宋体"/>
          <w:bCs/>
          <w:color w:val="auto"/>
          <w:sz w:val="24"/>
          <w:szCs w:val="24"/>
        </w:rPr>
        <w:t>投标人连续三个月</w:t>
      </w:r>
      <w:r>
        <w:rPr>
          <w:rFonts w:ascii="宋体" w:hAnsi="宋体"/>
          <w:bCs/>
          <w:color w:val="auto"/>
          <w:sz w:val="24"/>
          <w:szCs w:val="24"/>
        </w:rPr>
        <w:t>(</w:t>
      </w:r>
      <w:r>
        <w:rPr>
          <w:rFonts w:hint="eastAsia" w:ascii="宋体" w:hAnsi="宋体"/>
          <w:bCs/>
          <w:color w:val="auto"/>
          <w:sz w:val="24"/>
          <w:szCs w:val="24"/>
        </w:rPr>
        <w:t>至少包含近三个月中任意一个月份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为其法定代表人授权代表缴纳社保的证明（由相关主管部门出具，</w:t>
      </w:r>
      <w:r>
        <w:rPr>
          <w:rFonts w:hint="eastAsia" w:ascii="宋体" w:hAnsi="宋体"/>
          <w:b/>
          <w:bCs/>
          <w:color w:val="auto"/>
          <w:sz w:val="24"/>
          <w:szCs w:val="24"/>
        </w:rPr>
        <w:t>新成立公司除外、法定代表人亲自参加投标的除外</w:t>
      </w:r>
      <w:r>
        <w:rPr>
          <w:rFonts w:hint="eastAsia" w:ascii="宋体" w:hAnsi="宋体"/>
          <w:bCs/>
          <w:color w:val="auto"/>
          <w:sz w:val="24"/>
          <w:szCs w:val="24"/>
        </w:rPr>
        <w:t>）；</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的财务状况报告（资产负债表和利润表）或由会计师事务所出具的近两年中任意一个年度的审计报告和所附已审财务报告；</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投标人近三个月中任意一个月份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的依法缴纳税收的相关材料（提供相关主管部门证明或银行代扣证明）；</w:t>
      </w:r>
    </w:p>
    <w:p>
      <w:pPr>
        <w:numPr>
          <w:ilvl w:val="1"/>
          <w:numId w:val="7"/>
        </w:numPr>
        <w:tabs>
          <w:tab w:val="left" w:pos="945"/>
          <w:tab w:val="left" w:pos="1276"/>
        </w:tabs>
        <w:spacing w:line="360" w:lineRule="auto"/>
        <w:ind w:left="0" w:firstLine="523" w:firstLineChars="218"/>
        <w:rPr>
          <w:rFonts w:hint="eastAsia" w:ascii="宋体"/>
          <w:bCs/>
          <w:color w:val="auto"/>
          <w:sz w:val="24"/>
          <w:szCs w:val="24"/>
        </w:rPr>
      </w:pPr>
      <w:r>
        <w:rPr>
          <w:rFonts w:hint="eastAsia" w:ascii="宋体" w:hAnsi="宋体"/>
          <w:bCs/>
          <w:color w:val="auto"/>
          <w:sz w:val="24"/>
          <w:szCs w:val="24"/>
        </w:rPr>
        <w:t>投标人近三个月中任意一个月份</w:t>
      </w:r>
      <w:r>
        <w:rPr>
          <w:rFonts w:ascii="宋体" w:hAnsi="宋体"/>
          <w:bCs/>
          <w:color w:val="auto"/>
          <w:sz w:val="24"/>
          <w:szCs w:val="24"/>
        </w:rPr>
        <w:t>(</w:t>
      </w:r>
      <w:r>
        <w:rPr>
          <w:rFonts w:hint="eastAsia" w:ascii="宋体" w:hAnsi="宋体"/>
          <w:bCs/>
          <w:color w:val="auto"/>
          <w:sz w:val="24"/>
          <w:szCs w:val="24"/>
        </w:rPr>
        <w:t>不含投标当月</w:t>
      </w:r>
      <w:r>
        <w:rPr>
          <w:rFonts w:ascii="宋体" w:hAnsi="宋体"/>
          <w:bCs/>
          <w:color w:val="auto"/>
          <w:sz w:val="24"/>
          <w:szCs w:val="24"/>
        </w:rPr>
        <w:t>)</w:t>
      </w:r>
      <w:r>
        <w:rPr>
          <w:rFonts w:hint="eastAsia" w:ascii="宋体" w:hAnsi="宋体"/>
          <w:bCs/>
          <w:color w:val="auto"/>
          <w:sz w:val="24"/>
          <w:szCs w:val="24"/>
        </w:rPr>
        <w:t>的依法缴纳社会保障资金的相关材料（提供相关主管部门证明或银行代扣证明）；</w:t>
      </w:r>
    </w:p>
    <w:p>
      <w:pPr>
        <w:numPr>
          <w:ilvl w:val="1"/>
          <w:numId w:val="7"/>
        </w:numPr>
        <w:tabs>
          <w:tab w:val="left" w:pos="945"/>
          <w:tab w:val="left" w:pos="1276"/>
        </w:tabs>
        <w:spacing w:line="360" w:lineRule="auto"/>
        <w:ind w:left="0" w:firstLine="523" w:firstLineChars="218"/>
        <w:rPr>
          <w:rFonts w:ascii="宋体"/>
          <w:bCs/>
          <w:color w:val="auto"/>
          <w:sz w:val="24"/>
          <w:szCs w:val="24"/>
        </w:rPr>
      </w:pPr>
      <w:r>
        <w:rPr>
          <w:rFonts w:hint="eastAsia" w:ascii="宋体" w:hAnsi="宋体"/>
          <w:bCs/>
          <w:color w:val="auto"/>
          <w:sz w:val="24"/>
          <w:szCs w:val="24"/>
        </w:rPr>
        <w:t>承诺书（</w:t>
      </w:r>
      <w:r>
        <w:rPr>
          <w:rFonts w:hint="eastAsia" w:ascii="宋体" w:hAnsi="宋体"/>
          <w:b/>
          <w:bCs/>
          <w:color w:val="auto"/>
          <w:sz w:val="24"/>
          <w:szCs w:val="24"/>
        </w:rPr>
        <w:t>格式见附件</w:t>
      </w:r>
      <w:r>
        <w:rPr>
          <w:rFonts w:hint="eastAsia" w:ascii="宋体" w:hAnsi="宋体"/>
          <w:bCs/>
          <w:color w:val="auto"/>
          <w:sz w:val="24"/>
          <w:szCs w:val="24"/>
        </w:rPr>
        <w:t>）；</w:t>
      </w:r>
    </w:p>
    <w:p>
      <w:pPr>
        <w:numPr>
          <w:ilvl w:val="1"/>
          <w:numId w:val="7"/>
        </w:numPr>
        <w:tabs>
          <w:tab w:val="left" w:pos="945"/>
          <w:tab w:val="left" w:pos="1276"/>
        </w:tabs>
        <w:spacing w:line="360" w:lineRule="auto"/>
        <w:ind w:left="0" w:firstLine="523" w:firstLineChars="218"/>
        <w:rPr>
          <w:rFonts w:hint="eastAsia" w:ascii="宋体"/>
          <w:bCs/>
          <w:color w:val="auto"/>
          <w:sz w:val="24"/>
          <w:szCs w:val="24"/>
        </w:rPr>
      </w:pPr>
      <w:r>
        <w:rPr>
          <w:rFonts w:hint="eastAsia" w:ascii="宋体" w:hAnsi="宋体"/>
          <w:bCs/>
          <w:color w:val="auto"/>
          <w:sz w:val="24"/>
          <w:szCs w:val="24"/>
        </w:rPr>
        <w:t>采购人要求的特定资质证明（</w:t>
      </w:r>
      <w:r>
        <w:rPr>
          <w:rFonts w:hint="eastAsia" w:ascii="宋体" w:hAnsi="宋体"/>
          <w:b/>
          <w:bCs/>
          <w:color w:val="auto"/>
          <w:sz w:val="24"/>
          <w:szCs w:val="24"/>
        </w:rPr>
        <w:t>详见“投标邀请函”-“投标人资格要求”之3中要求）</w:t>
      </w:r>
      <w:r>
        <w:rPr>
          <w:rFonts w:hint="eastAsia" w:ascii="宋体" w:hAnsi="宋体"/>
          <w:bCs/>
          <w:color w:val="auto"/>
          <w:sz w:val="24"/>
          <w:szCs w:val="24"/>
        </w:rPr>
        <w:t>。</w:t>
      </w:r>
    </w:p>
    <w:p>
      <w:pPr>
        <w:tabs>
          <w:tab w:val="left" w:pos="630"/>
          <w:tab w:val="left" w:pos="945"/>
          <w:tab w:val="left" w:pos="1276"/>
        </w:tabs>
        <w:spacing w:line="360" w:lineRule="auto"/>
        <w:ind w:firstLine="480" w:firstLineChars="200"/>
        <w:rPr>
          <w:rFonts w:ascii="宋体"/>
          <w:bCs/>
          <w:color w:val="auto"/>
          <w:sz w:val="24"/>
          <w:szCs w:val="24"/>
        </w:rPr>
      </w:pPr>
      <w:r>
        <w:rPr>
          <w:rFonts w:hint="eastAsia" w:ascii="宋体" w:hAnsi="宋体" w:cs="宋体"/>
          <w:color w:val="auto"/>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开标一览表（</w:t>
      </w:r>
      <w:r>
        <w:rPr>
          <w:rFonts w:hint="eastAsia" w:ascii="宋体" w:hAnsi="宋体"/>
          <w:b/>
          <w:bCs/>
          <w:color w:val="auto"/>
          <w:sz w:val="24"/>
          <w:szCs w:val="24"/>
        </w:rPr>
        <w:t>格式见附件</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明细报价表（</w:t>
      </w:r>
      <w:r>
        <w:rPr>
          <w:rFonts w:hint="eastAsia" w:ascii="宋体" w:hAnsi="宋体"/>
          <w:b/>
          <w:bCs/>
          <w:color w:val="auto"/>
          <w:sz w:val="24"/>
          <w:szCs w:val="24"/>
        </w:rPr>
        <w:t>格式见附件</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hint="eastAsia" w:ascii="宋体" w:hAnsi="宋体"/>
          <w:bCs/>
          <w:color w:val="auto"/>
          <w:sz w:val="24"/>
          <w:szCs w:val="24"/>
        </w:rPr>
      </w:pPr>
      <w:r>
        <w:rPr>
          <w:rFonts w:hint="eastAsia" w:ascii="宋体" w:hAnsi="宋体"/>
          <w:bCs/>
          <w:color w:val="auto"/>
          <w:sz w:val="24"/>
          <w:szCs w:val="24"/>
        </w:rPr>
        <w:t>投标偏离表（</w:t>
      </w:r>
      <w:r>
        <w:rPr>
          <w:rFonts w:hint="eastAsia" w:ascii="宋体" w:hAnsi="宋体"/>
          <w:b/>
          <w:bCs/>
          <w:color w:val="auto"/>
          <w:sz w:val="24"/>
          <w:szCs w:val="24"/>
        </w:rPr>
        <w:t>格式见附件</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项目技术要求中须提供的证明材料（</w:t>
      </w:r>
      <w:r>
        <w:rPr>
          <w:rFonts w:hint="eastAsia" w:ascii="宋体" w:hAnsi="宋体"/>
          <w:b/>
          <w:bCs/>
          <w:color w:val="auto"/>
          <w:sz w:val="24"/>
          <w:szCs w:val="24"/>
        </w:rPr>
        <w:t>如有自行添加</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评分标准中对应的其它所需证明材料（</w:t>
      </w:r>
      <w:r>
        <w:rPr>
          <w:rFonts w:hint="eastAsia" w:ascii="宋体" w:hAnsi="宋体"/>
          <w:b/>
          <w:bCs/>
          <w:color w:val="auto"/>
          <w:sz w:val="24"/>
          <w:szCs w:val="24"/>
        </w:rPr>
        <w:t>如有自行添加</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要求采购人提供的配合（</w:t>
      </w:r>
      <w:r>
        <w:rPr>
          <w:rFonts w:hint="eastAsia" w:ascii="宋体" w:hAnsi="宋体"/>
          <w:b/>
          <w:bCs/>
          <w:color w:val="auto"/>
          <w:sz w:val="24"/>
          <w:szCs w:val="24"/>
        </w:rPr>
        <w:t>如有自拟并自行添加</w:t>
      </w:r>
      <w:r>
        <w:rPr>
          <w:rFonts w:hint="eastAsia" w:ascii="宋体" w:hAnsi="宋体"/>
          <w:bCs/>
          <w:color w:val="auto"/>
          <w:sz w:val="24"/>
          <w:szCs w:val="24"/>
        </w:rPr>
        <w:t>）</w:t>
      </w:r>
    </w:p>
    <w:p>
      <w:pPr>
        <w:numPr>
          <w:ilvl w:val="0"/>
          <w:numId w:val="7"/>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其它（</w:t>
      </w:r>
      <w:r>
        <w:rPr>
          <w:rFonts w:hint="eastAsia" w:ascii="宋体" w:hAnsi="宋体"/>
          <w:b/>
          <w:bCs/>
          <w:color w:val="auto"/>
          <w:sz w:val="24"/>
          <w:szCs w:val="24"/>
        </w:rPr>
        <w:t>投标人认为有必要提供的声明和文件，如有自拟并自行添加</w:t>
      </w:r>
      <w:r>
        <w:rPr>
          <w:rFonts w:hint="eastAsia" w:ascii="宋体" w:hAnsi="宋体"/>
          <w:bCs/>
          <w:color w:val="auto"/>
          <w:sz w:val="24"/>
          <w:szCs w:val="24"/>
        </w:rPr>
        <w:t>）</w:t>
      </w:r>
    </w:p>
    <w:p>
      <w:pPr>
        <w:tabs>
          <w:tab w:val="left" w:pos="945"/>
        </w:tabs>
        <w:spacing w:line="360" w:lineRule="auto"/>
        <w:ind w:firstLine="480" w:firstLineChars="200"/>
        <w:rPr>
          <w:rFonts w:ascii="宋体"/>
          <w:bCs/>
          <w:color w:val="auto"/>
          <w:sz w:val="24"/>
          <w:szCs w:val="24"/>
        </w:rPr>
      </w:pPr>
      <w:r>
        <w:rPr>
          <w:rFonts w:hint="eastAsia" w:ascii="宋体" w:hAnsi="宋体"/>
          <w:bCs/>
          <w:color w:val="auto"/>
          <w:sz w:val="24"/>
          <w:szCs w:val="24"/>
        </w:rPr>
        <w:t>上述</w:t>
      </w:r>
      <w:r>
        <w:rPr>
          <w:rFonts w:ascii="宋体" w:hAnsi="宋体"/>
          <w:bCs/>
          <w:color w:val="auto"/>
          <w:sz w:val="24"/>
          <w:szCs w:val="24"/>
        </w:rPr>
        <w:t>1-6</w:t>
      </w:r>
      <w:r>
        <w:rPr>
          <w:rFonts w:hint="eastAsia" w:ascii="宋体" w:hAnsi="宋体"/>
          <w:bCs/>
          <w:color w:val="auto"/>
          <w:sz w:val="24"/>
          <w:szCs w:val="24"/>
        </w:rPr>
        <w:t>项投标人必须按要求全部提供，否则投标文件无效。</w:t>
      </w:r>
      <w:r>
        <w:rPr>
          <w:rFonts w:hint="eastAsia" w:ascii="Tahoma" w:hAnsi="Tahoma" w:cs="Tahoma"/>
          <w:color w:val="auto"/>
          <w:sz w:val="24"/>
          <w:szCs w:val="24"/>
        </w:rPr>
        <w:t>如上述资格证明文件遇年检、换证，则必须提供法定年检、换证单位出具的有效证明复印件。如上述资格证明文件第</w:t>
      </w:r>
      <w:r>
        <w:rPr>
          <w:rFonts w:hint="eastAsia" w:ascii="宋体" w:hAnsi="宋体" w:cs="Tahoma"/>
          <w:color w:val="auto"/>
          <w:sz w:val="24"/>
          <w:szCs w:val="24"/>
        </w:rPr>
        <w:t>（6）（</w:t>
      </w:r>
      <w:r>
        <w:rPr>
          <w:rFonts w:ascii="宋体" w:hAnsi="宋体" w:cs="Tahoma"/>
          <w:color w:val="auto"/>
          <w:sz w:val="24"/>
          <w:szCs w:val="24"/>
        </w:rPr>
        <w:t>7</w:t>
      </w:r>
      <w:r>
        <w:rPr>
          <w:rFonts w:hint="eastAsia" w:ascii="宋体" w:hAnsi="宋体" w:cs="Tahoma"/>
          <w:color w:val="auto"/>
          <w:sz w:val="24"/>
          <w:szCs w:val="24"/>
        </w:rPr>
        <w:t>）（8）（9）</w:t>
      </w:r>
      <w:r>
        <w:rPr>
          <w:rFonts w:hint="eastAsia" w:ascii="Tahoma" w:hAnsi="Tahoma" w:cs="Tahoma"/>
          <w:color w:val="auto"/>
          <w:sz w:val="24"/>
          <w:szCs w:val="24"/>
        </w:rPr>
        <w:t>四项遇有国家相关政策规定可不具备的，必须提供相关政策规定或相关单位出具的有效证明复印件。</w:t>
      </w:r>
      <w:r>
        <w:rPr>
          <w:rFonts w:hint="eastAsia" w:ascii="宋体" w:hAnsi="宋体"/>
          <w:bCs/>
          <w:color w:val="auto"/>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（六）投标文件的制作：</w:t>
      </w:r>
    </w:p>
    <w:p>
      <w:pPr>
        <w:numPr>
          <w:ilvl w:val="0"/>
          <w:numId w:val="8"/>
        </w:numPr>
        <w:tabs>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所有文件、往来函件均应使用简体中文（规格、型号辅助符号例外）。</w:t>
      </w:r>
    </w:p>
    <w:p>
      <w:pPr>
        <w:numPr>
          <w:ilvl w:val="0"/>
          <w:numId w:val="8"/>
        </w:numPr>
        <w:tabs>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投标文件由投标人按要求如实填写，须有投标人（签章）、法定代表人或法定代表人授权代表签章，方为有效，未尽事宜可自行补充。</w:t>
      </w:r>
    </w:p>
    <w:p>
      <w:pPr>
        <w:numPr>
          <w:ilvl w:val="0"/>
          <w:numId w:val="8"/>
        </w:numPr>
        <w:tabs>
          <w:tab w:val="left" w:pos="525"/>
          <w:tab w:val="left" w:pos="945"/>
        </w:tabs>
        <w:spacing w:line="360" w:lineRule="auto"/>
        <w:ind w:left="0" w:firstLine="523" w:firstLineChars="218"/>
        <w:rPr>
          <w:rFonts w:ascii="宋体"/>
          <w:bCs/>
          <w:color w:val="auto"/>
          <w:sz w:val="24"/>
          <w:szCs w:val="24"/>
        </w:rPr>
      </w:pPr>
      <w:r>
        <w:rPr>
          <w:rFonts w:hint="eastAsia" w:ascii="宋体"/>
          <w:color w:val="auto"/>
          <w:sz w:val="24"/>
          <w:szCs w:val="24"/>
          <w:lang w:val="zh-CN"/>
        </w:rPr>
        <w:t>如无特别说明，</w:t>
      </w:r>
      <w:r>
        <w:rPr>
          <w:rFonts w:hint="eastAsia" w:ascii="宋体" w:hAnsi="宋体"/>
          <w:bCs/>
          <w:color w:val="auto"/>
          <w:sz w:val="24"/>
          <w:szCs w:val="24"/>
        </w:rPr>
        <w:t>投标人报价一律以人民币为投标结算货币</w:t>
      </w:r>
      <w:r>
        <w:rPr>
          <w:rFonts w:ascii="宋体"/>
          <w:bCs/>
          <w:color w:val="auto"/>
          <w:sz w:val="24"/>
          <w:szCs w:val="24"/>
        </w:rPr>
        <w:t>,</w:t>
      </w:r>
      <w:r>
        <w:rPr>
          <w:rFonts w:hint="eastAsia" w:ascii="宋体" w:hAnsi="宋体"/>
          <w:bCs/>
          <w:color w:val="auto"/>
          <w:sz w:val="24"/>
          <w:szCs w:val="24"/>
        </w:rPr>
        <w:t>结算单位为“元”。</w:t>
      </w:r>
    </w:p>
    <w:p>
      <w:pPr>
        <w:numPr>
          <w:ilvl w:val="0"/>
          <w:numId w:val="8"/>
        </w:numPr>
        <w:tabs>
          <w:tab w:val="left" w:pos="525"/>
          <w:tab w:val="left" w:pos="945"/>
        </w:tabs>
        <w:spacing w:line="360" w:lineRule="auto"/>
        <w:ind w:left="0" w:firstLine="523" w:firstLineChars="218"/>
        <w:rPr>
          <w:rFonts w:ascii="宋体"/>
          <w:bCs/>
          <w:color w:val="auto"/>
          <w:sz w:val="24"/>
          <w:szCs w:val="24"/>
        </w:rPr>
      </w:pPr>
      <w:r>
        <w:rPr>
          <w:rFonts w:hint="eastAsia" w:ascii="宋体" w:hAnsi="宋体"/>
          <w:bCs/>
          <w:color w:val="auto"/>
          <w:sz w:val="24"/>
          <w:szCs w:val="24"/>
        </w:rPr>
        <w:t>投标费用自理。</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（七）网上投标</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投标人应由其法定代表人或法定代表人授权代表在规定的网上投标时间内，凭</w:t>
      </w:r>
      <w:r>
        <w:rPr>
          <w:rFonts w:ascii="宋体" w:hAnsi="宋体"/>
          <w:bCs/>
          <w:color w:val="auto"/>
          <w:sz w:val="24"/>
          <w:szCs w:val="24"/>
        </w:rPr>
        <w:t>CA</w:t>
      </w:r>
      <w:r>
        <w:rPr>
          <w:rFonts w:hint="eastAsia" w:ascii="宋体" w:hAnsi="宋体"/>
          <w:bCs/>
          <w:color w:val="auto"/>
          <w:sz w:val="24"/>
          <w:szCs w:val="24"/>
        </w:rPr>
        <w:t>数字证书登陆政府采购交易管理一体化系统获取招标文件，在投标客户端制作投标文件（电子数据），并在投标截止时间之前上传投标文件。</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投标人应对</w:t>
      </w:r>
      <w:r>
        <w:rPr>
          <w:rFonts w:ascii="宋体" w:hAnsi="宋体"/>
          <w:bCs/>
          <w:color w:val="auto"/>
          <w:sz w:val="24"/>
          <w:szCs w:val="24"/>
        </w:rPr>
        <w:t>CA</w:t>
      </w:r>
      <w:r>
        <w:rPr>
          <w:rFonts w:hint="eastAsia" w:ascii="宋体" w:hAnsi="宋体"/>
          <w:bCs/>
          <w:color w:val="auto"/>
          <w:sz w:val="24"/>
          <w:szCs w:val="24"/>
        </w:rPr>
        <w:t>数字证书妥善保管，如被他人盗用投标，后果自负。</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投标人按招标文件规定的</w:t>
      </w:r>
      <w:r>
        <w:rPr>
          <w:rFonts w:hint="eastAsia" w:ascii="宋体" w:hAnsi="宋体"/>
          <w:color w:val="auto"/>
          <w:sz w:val="24"/>
          <w:szCs w:val="24"/>
        </w:rPr>
        <w:t>网上解密时间</w:t>
      </w:r>
      <w:r>
        <w:rPr>
          <w:rFonts w:hint="eastAsia" w:ascii="宋体" w:hAnsi="宋体"/>
          <w:bCs/>
          <w:color w:val="auto"/>
          <w:sz w:val="24"/>
          <w:szCs w:val="24"/>
        </w:rPr>
        <w:t>进行解密，如未按时解密后果自负。</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投标人应当对招标文件提出的要求和条件作出实质性响应，并在电子投标系统逐条应答。</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投标人应对要求提供的资格证明文件（如资质证书、资格证书）、技术资料（如白皮书、彩页、手册、检测报告等）扫描上传至投标系统。</w:t>
      </w:r>
    </w:p>
    <w:p>
      <w:pPr>
        <w:numPr>
          <w:ilvl w:val="0"/>
          <w:numId w:val="9"/>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投标人进行网上</w:t>
      </w:r>
      <w:r>
        <w:rPr>
          <w:rFonts w:hint="eastAsia" w:ascii="宋体" w:hAnsi="宋体"/>
          <w:color w:val="auto"/>
          <w:sz w:val="24"/>
          <w:szCs w:val="24"/>
        </w:rPr>
        <w:t>投标</w:t>
      </w:r>
      <w:r>
        <w:rPr>
          <w:rFonts w:hint="eastAsia" w:ascii="宋体" w:hAnsi="宋体"/>
          <w:bCs/>
          <w:color w:val="auto"/>
          <w:sz w:val="24"/>
          <w:szCs w:val="24"/>
        </w:rPr>
        <w:t>请参照《</w:t>
      </w:r>
      <w:r>
        <w:rPr>
          <w:rFonts w:hint="eastAsia" w:ascii="宋体" w:hAnsi="宋体"/>
          <w:color w:val="auto"/>
          <w:sz w:val="24"/>
          <w:szCs w:val="24"/>
        </w:rPr>
        <w:t>政府采购项目电子交易管理操作指南-供应商》。</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（八）无效投标文件的确认：</w:t>
      </w:r>
    </w:p>
    <w:p>
      <w:pPr>
        <w:tabs>
          <w:tab w:val="left" w:pos="945"/>
        </w:tabs>
        <w:spacing w:line="360" w:lineRule="auto"/>
        <w:ind w:firstLine="480" w:firstLineChars="200"/>
        <w:rPr>
          <w:rFonts w:ascii="黑体" w:hAnsi="宋体" w:eastAsia="黑体"/>
          <w:bCs/>
          <w:color w:val="auto"/>
          <w:sz w:val="24"/>
          <w:szCs w:val="24"/>
        </w:rPr>
      </w:pPr>
      <w:r>
        <w:rPr>
          <w:rFonts w:hint="eastAsia" w:ascii="宋体" w:hAnsi="宋体"/>
          <w:bCs/>
          <w:color w:val="auto"/>
          <w:sz w:val="24"/>
          <w:szCs w:val="24"/>
        </w:rPr>
        <w:t>投标人有下列情况之一者，投标文件无效：</w:t>
      </w:r>
    </w:p>
    <w:p>
      <w:pPr>
        <w:numPr>
          <w:ilvl w:val="0"/>
          <w:numId w:val="10"/>
        </w:numPr>
        <w:tabs>
          <w:tab w:val="left" w:pos="762"/>
          <w:tab w:val="left" w:pos="945"/>
        </w:tabs>
        <w:spacing w:line="360" w:lineRule="auto"/>
        <w:rPr>
          <w:rFonts w:ascii="宋体"/>
          <w:bCs/>
          <w:color w:val="auto"/>
          <w:sz w:val="24"/>
          <w:szCs w:val="24"/>
        </w:rPr>
      </w:pPr>
      <w:r>
        <w:rPr>
          <w:rFonts w:hint="eastAsia" w:ascii="宋体" w:hAnsi="宋体"/>
          <w:color w:val="auto"/>
          <w:sz w:val="24"/>
          <w:szCs w:val="24"/>
        </w:rPr>
        <w:t>未按规定在无锡市政府采购供应商信息库注册的；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电子投标文件未按规定期限投标的，纸质投标文件（如有）未按规定的期限、地点送达的；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电子投标文件未按招标文件要求签章的；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投标人未按招标文件要求解密电子投标文件的；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投标人的法定代表人授权代表，无法定代表人授权委托书的；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不具备招标文件中规定的资格要求或未按招标文件规定的要求提供资格、资信证明文件的；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color w:val="auto"/>
          <w:sz w:val="24"/>
          <w:szCs w:val="24"/>
        </w:rPr>
        <w:t>被“信用中国”网站（</w:t>
      </w:r>
      <w:r>
        <w:rPr>
          <w:rFonts w:ascii="宋体" w:hAnsi="宋体"/>
          <w:color w:val="auto"/>
          <w:sz w:val="24"/>
          <w:szCs w:val="24"/>
        </w:rPr>
        <w:fldChar w:fldCharType="begin"/>
      </w:r>
      <w:r>
        <w:rPr>
          <w:rFonts w:ascii="宋体" w:hAnsi="宋体"/>
          <w:color w:val="auto"/>
          <w:sz w:val="24"/>
          <w:szCs w:val="24"/>
        </w:rPr>
        <w:instrText xml:space="preserve"> HYPERLINK "http://www.creditchina.gov.cn" </w:instrText>
      </w:r>
      <w:r>
        <w:rPr>
          <w:rFonts w:ascii="宋体" w:hAnsi="宋体"/>
          <w:color w:val="auto"/>
          <w:sz w:val="24"/>
          <w:szCs w:val="24"/>
        </w:rPr>
        <w:fldChar w:fldCharType="separate"/>
      </w:r>
      <w:r>
        <w:rPr>
          <w:rFonts w:hint="eastAsia" w:ascii="宋体" w:hAnsi="宋体"/>
          <w:color w:val="auto"/>
          <w:sz w:val="24"/>
          <w:szCs w:val="24"/>
        </w:rPr>
        <w:t>www.creditchina.gov.cn</w:t>
      </w:r>
      <w:r>
        <w:rPr>
          <w:rFonts w:ascii="宋体" w:hAnsi="宋体"/>
          <w:color w:val="auto"/>
          <w:sz w:val="24"/>
          <w:szCs w:val="24"/>
        </w:rPr>
        <w:fldChar w:fldCharType="end"/>
      </w:r>
      <w:r>
        <w:rPr>
          <w:rFonts w:hint="eastAsia" w:ascii="宋体" w:hAnsi="宋体"/>
          <w:color w:val="auto"/>
          <w:sz w:val="24"/>
          <w:szCs w:val="24"/>
        </w:rPr>
        <w:t>）、中国政府采购网(www.ccgp.gov.cn)列入失信被执行人、重大税收违法案件当事人名单、政府采购严重违法失信行为记录名单的；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投标文件未按招标文件规定的内容和要求填写的；没有在投标系统指定位置上传对应文件、材料的；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电子投标文件图片、字迹模糊不清、无法辨认的；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投标文件中有招标文件未允许提供的选择性内容；</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不同投标人委托同一单位或者个人办理投标事宜的；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不同投标人的单位负责人为同一人或者存在直接控股、管理关系的；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不同投标人的投标文件的装订形式、纸张情况、目录序号、排版格式、文字风格等存在明显的相似性或一致性，特征显示由同一单位或者同一个人编制的；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不同投标人投标文件内容存在非正常一致、项目组成员出现同一人、投标文件中错误（或异常）一致或雷同、电子文档信息一致或雷同的、投标报价呈规律性差异的；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项目（标段）投标总价超过本项目（标段）预算或最高限价的；</w:t>
      </w:r>
    </w:p>
    <w:p>
      <w:pPr>
        <w:numPr>
          <w:ilvl w:val="0"/>
          <w:numId w:val="10"/>
        </w:numPr>
        <w:tabs>
          <w:tab w:val="left" w:pos="762"/>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提供虚假材料的（包括工商营业执照、财务报表、资格证明文件等）；</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投标文件含有采购人不能接受的附加条件的；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除单一来源采购项目外，为采购项目提供整体设计、规范编制或者项目管理、监理、检测等服务的；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投标文件内容不全或不符合招标文件中规定的其它实质性要求的；</w:t>
      </w:r>
    </w:p>
    <w:p>
      <w:pPr>
        <w:numPr>
          <w:ilvl w:val="0"/>
          <w:numId w:val="10"/>
        </w:numPr>
        <w:tabs>
          <w:tab w:val="left" w:pos="762"/>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法律法规和招标文件规定的其它无效情形。</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（九）开标、评标：</w:t>
      </w:r>
    </w:p>
    <w:p>
      <w:pPr>
        <w:numPr>
          <w:ilvl w:val="1"/>
          <w:numId w:val="11"/>
        </w:numPr>
        <w:tabs>
          <w:tab w:val="left" w:pos="525"/>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所有投标单位在招标文件规定的时间内解密各自投标文件；</w:t>
      </w:r>
    </w:p>
    <w:p>
      <w:pPr>
        <w:numPr>
          <w:ilvl w:val="1"/>
          <w:numId w:val="11"/>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投标截止时间后参加投标的供应商或解密投标文件的供应商不足三家的，不开标；开标后，所有投标供应商可在线上开标大厅中看到所有投标人的投标报价；</w:t>
      </w:r>
    </w:p>
    <w:p>
      <w:pPr>
        <w:numPr>
          <w:ilvl w:val="1"/>
          <w:numId w:val="11"/>
        </w:numPr>
        <w:tabs>
          <w:tab w:val="left" w:pos="525"/>
          <w:tab w:val="left" w:pos="945"/>
        </w:tabs>
        <w:spacing w:line="360" w:lineRule="auto"/>
        <w:ind w:left="1" w:firstLine="523" w:firstLineChars="218"/>
        <w:rPr>
          <w:rFonts w:hint="eastAsia" w:ascii="宋体"/>
          <w:bCs/>
          <w:color w:val="auto"/>
          <w:sz w:val="24"/>
          <w:szCs w:val="24"/>
        </w:rPr>
      </w:pPr>
      <w:r>
        <w:rPr>
          <w:rFonts w:hint="eastAsia" w:ascii="宋体" w:hAnsi="宋体"/>
          <w:bCs/>
          <w:color w:val="auto"/>
          <w:sz w:val="24"/>
          <w:szCs w:val="24"/>
        </w:rPr>
        <w:t>开标时，投标文件</w:t>
      </w:r>
      <w:r>
        <w:rPr>
          <w:rFonts w:ascii="宋体" w:hAnsi="宋体"/>
          <w:bCs/>
          <w:color w:val="auto"/>
          <w:sz w:val="24"/>
          <w:szCs w:val="24"/>
        </w:rPr>
        <w:t>报价出现前后不一致的，按照下列规定修正：</w:t>
      </w:r>
    </w:p>
    <w:p>
      <w:pPr>
        <w:numPr>
          <w:ilvl w:val="0"/>
          <w:numId w:val="12"/>
        </w:numPr>
        <w:tabs>
          <w:tab w:val="left" w:pos="510"/>
          <w:tab w:val="left" w:pos="945"/>
        </w:tabs>
        <w:spacing w:line="360" w:lineRule="auto"/>
        <w:ind w:left="0" w:firstLine="480" w:firstLineChars="200"/>
        <w:rPr>
          <w:rFonts w:hint="eastAsia" w:ascii="宋体"/>
          <w:bCs/>
          <w:color w:val="auto"/>
          <w:sz w:val="24"/>
          <w:szCs w:val="24"/>
        </w:rPr>
      </w:pPr>
      <w:r>
        <w:rPr>
          <w:rFonts w:hint="eastAsia" w:ascii="宋体"/>
          <w:bCs/>
          <w:color w:val="auto"/>
          <w:sz w:val="24"/>
          <w:szCs w:val="24"/>
        </w:rPr>
        <w:t>.投标文件中开标一览表（报价表）内容与投标文件中相应内容不一致的，以开标一览表（报价表）为准；</w:t>
      </w:r>
    </w:p>
    <w:p>
      <w:pPr>
        <w:numPr>
          <w:ilvl w:val="0"/>
          <w:numId w:val="12"/>
        </w:numPr>
        <w:tabs>
          <w:tab w:val="left" w:pos="510"/>
          <w:tab w:val="left" w:pos="945"/>
        </w:tabs>
        <w:spacing w:line="360" w:lineRule="auto"/>
        <w:ind w:left="0" w:firstLine="480" w:firstLineChars="200"/>
        <w:rPr>
          <w:rFonts w:hint="eastAsia" w:ascii="宋体"/>
          <w:bCs/>
          <w:color w:val="auto"/>
          <w:sz w:val="24"/>
          <w:szCs w:val="24"/>
        </w:rPr>
      </w:pPr>
      <w:r>
        <w:rPr>
          <w:rFonts w:hint="eastAsia" w:ascii="宋体"/>
          <w:bCs/>
          <w:color w:val="auto"/>
          <w:sz w:val="24"/>
          <w:szCs w:val="24"/>
        </w:rPr>
        <w:t>.大写金额和小写金额不一致的，以大写金额为准；</w:t>
      </w:r>
    </w:p>
    <w:p>
      <w:pPr>
        <w:numPr>
          <w:ilvl w:val="0"/>
          <w:numId w:val="12"/>
        </w:numPr>
        <w:tabs>
          <w:tab w:val="left" w:pos="510"/>
          <w:tab w:val="left" w:pos="945"/>
        </w:tabs>
        <w:spacing w:line="360" w:lineRule="auto"/>
        <w:ind w:left="0" w:firstLine="480" w:firstLineChars="200"/>
        <w:rPr>
          <w:rFonts w:hint="eastAsia" w:ascii="宋体"/>
          <w:bCs/>
          <w:color w:val="auto"/>
          <w:sz w:val="24"/>
          <w:szCs w:val="24"/>
        </w:rPr>
      </w:pPr>
      <w:r>
        <w:rPr>
          <w:rFonts w:hint="eastAsia" w:ascii="宋体"/>
          <w:bCs/>
          <w:color w:val="auto"/>
          <w:sz w:val="24"/>
          <w:szCs w:val="24"/>
        </w:rPr>
        <w:t>.单价金额小数点或者百分比有明显错位的，以开标一览表的总价为准，并修改单价；</w:t>
      </w:r>
    </w:p>
    <w:p>
      <w:pPr>
        <w:numPr>
          <w:ilvl w:val="0"/>
          <w:numId w:val="12"/>
        </w:numPr>
        <w:tabs>
          <w:tab w:val="left" w:pos="510"/>
          <w:tab w:val="left" w:pos="945"/>
        </w:tabs>
        <w:spacing w:line="360" w:lineRule="auto"/>
        <w:ind w:left="0" w:firstLine="480" w:firstLineChars="200"/>
        <w:rPr>
          <w:rFonts w:hint="eastAsia" w:ascii="宋体"/>
          <w:bCs/>
          <w:color w:val="auto"/>
          <w:sz w:val="24"/>
          <w:szCs w:val="24"/>
        </w:rPr>
      </w:pPr>
      <w:r>
        <w:rPr>
          <w:rFonts w:hint="eastAsia" w:ascii="宋体"/>
          <w:bCs/>
          <w:color w:val="auto"/>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color w:val="auto"/>
          <w:sz w:val="24"/>
          <w:szCs w:val="24"/>
        </w:rPr>
      </w:pPr>
      <w:r>
        <w:rPr>
          <w:rFonts w:hint="eastAsia" w:ascii="宋体"/>
          <w:bCs/>
          <w:color w:val="auto"/>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11"/>
        </w:numPr>
        <w:tabs>
          <w:tab w:val="left" w:pos="525"/>
          <w:tab w:val="left" w:pos="945"/>
        </w:tabs>
        <w:spacing w:line="360" w:lineRule="auto"/>
        <w:ind w:left="1" w:firstLine="523" w:firstLineChars="218"/>
        <w:rPr>
          <w:rFonts w:hint="eastAsia" w:ascii="宋体" w:hAnsi="宋体"/>
          <w:bCs/>
          <w:color w:val="auto"/>
          <w:sz w:val="24"/>
          <w:szCs w:val="24"/>
        </w:rPr>
      </w:pPr>
      <w:r>
        <w:rPr>
          <w:rFonts w:hint="eastAsia" w:ascii="宋体" w:hAnsi="宋体"/>
          <w:bCs/>
          <w:color w:val="auto"/>
          <w:sz w:val="24"/>
          <w:szCs w:val="24"/>
        </w:rPr>
        <w:t>电子投标文件与纸质投标文件（如有）不符的，以电子投标文件为准。</w:t>
      </w:r>
    </w:p>
    <w:p>
      <w:pPr>
        <w:numPr>
          <w:ilvl w:val="1"/>
          <w:numId w:val="11"/>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投标人未参加开标的，视同认可开标结果。</w:t>
      </w:r>
    </w:p>
    <w:p>
      <w:pPr>
        <w:numPr>
          <w:ilvl w:val="1"/>
          <w:numId w:val="11"/>
        </w:numPr>
        <w:tabs>
          <w:tab w:val="left" w:pos="525"/>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评标程序</w:t>
      </w:r>
    </w:p>
    <w:p>
      <w:pPr>
        <w:tabs>
          <w:tab w:val="left" w:pos="945"/>
        </w:tabs>
        <w:spacing w:line="360" w:lineRule="auto"/>
        <w:ind w:firstLine="523" w:firstLineChars="218"/>
        <w:rPr>
          <w:rFonts w:ascii="宋体"/>
          <w:bCs/>
          <w:color w:val="auto"/>
          <w:sz w:val="24"/>
          <w:szCs w:val="24"/>
        </w:rPr>
      </w:pPr>
      <w:r>
        <w:rPr>
          <w:rFonts w:hint="eastAsia" w:ascii="宋体" w:hAnsi="宋体"/>
          <w:bCs/>
          <w:color w:val="auto"/>
          <w:sz w:val="24"/>
          <w:szCs w:val="24"/>
        </w:rPr>
        <w:t>评标工作由无锡市公共资源交易中心新吴分中心负责组织，具体评标事务由依法组建的评标委员会负责。</w:t>
      </w:r>
    </w:p>
    <w:p>
      <w:pPr>
        <w:numPr>
          <w:ilvl w:val="0"/>
          <w:numId w:val="13"/>
        </w:numPr>
        <w:tabs>
          <w:tab w:val="left" w:pos="630"/>
          <w:tab w:val="left" w:pos="945"/>
          <w:tab w:val="left" w:pos="1155"/>
          <w:tab w:val="clear" w:pos="1104"/>
        </w:tabs>
        <w:spacing w:line="360" w:lineRule="auto"/>
        <w:ind w:left="0" w:firstLine="523" w:firstLineChars="218"/>
        <w:rPr>
          <w:rFonts w:ascii="宋体"/>
          <w:bCs/>
          <w:color w:val="auto"/>
          <w:sz w:val="24"/>
          <w:szCs w:val="24"/>
        </w:rPr>
      </w:pPr>
      <w:r>
        <w:rPr>
          <w:rFonts w:hint="eastAsia" w:ascii="宋体" w:hAnsi="宋体"/>
          <w:bCs/>
          <w:color w:val="auto"/>
          <w:sz w:val="24"/>
        </w:rPr>
        <w:t>投标文件初审。初审分为资格性检查和符合性检查。</w:t>
      </w:r>
    </w:p>
    <w:p>
      <w:pPr>
        <w:numPr>
          <w:ilvl w:val="0"/>
          <w:numId w:val="14"/>
        </w:numPr>
        <w:tabs>
          <w:tab w:val="left" w:pos="525"/>
          <w:tab w:val="left" w:pos="630"/>
          <w:tab w:val="left" w:pos="945"/>
          <w:tab w:val="left" w:pos="1365"/>
        </w:tabs>
        <w:spacing w:line="360" w:lineRule="auto"/>
        <w:ind w:left="0" w:firstLine="523" w:firstLineChars="218"/>
        <w:rPr>
          <w:rFonts w:ascii="宋体"/>
          <w:bCs/>
          <w:color w:val="auto"/>
          <w:sz w:val="24"/>
        </w:rPr>
      </w:pPr>
      <w:r>
        <w:rPr>
          <w:rFonts w:hint="eastAsia" w:ascii="宋体" w:hAnsi="宋体"/>
          <w:bCs/>
          <w:color w:val="auto"/>
          <w:sz w:val="24"/>
        </w:rPr>
        <w:t>资格性检查。采购人依据法律法规和招标文件的规定，对投标文件中的资格证明、投标（报价）承诺函等进行审查；</w:t>
      </w:r>
      <w:r>
        <w:rPr>
          <w:rFonts w:hint="eastAsia" w:ascii="宋体" w:hAnsi="宋体"/>
          <w:bCs/>
          <w:color w:val="auto"/>
          <w:sz w:val="24"/>
          <w:szCs w:val="24"/>
        </w:rPr>
        <w:t>通过“信用中国”网站（</w:t>
      </w:r>
      <w:r>
        <w:rPr>
          <w:color w:val="auto"/>
        </w:rPr>
        <w:fldChar w:fldCharType="begin"/>
      </w:r>
      <w:r>
        <w:rPr>
          <w:color w:val="auto"/>
        </w:rPr>
        <w:instrText xml:space="preserve">HYPERLINK "http://www.creditchina.gov.cn"</w:instrText>
      </w:r>
      <w:r>
        <w:rPr>
          <w:color w:val="auto"/>
        </w:rPr>
        <w:fldChar w:fldCharType="separate"/>
      </w:r>
      <w:r>
        <w:rPr>
          <w:rFonts w:hint="eastAsia" w:ascii="宋体" w:hAnsi="宋体"/>
          <w:bCs/>
          <w:color w:val="auto"/>
          <w:sz w:val="24"/>
          <w:szCs w:val="24"/>
        </w:rPr>
        <w:t>www.creditchina.gov.cn</w:t>
      </w:r>
      <w:r>
        <w:rPr>
          <w:color w:val="auto"/>
        </w:rPr>
        <w:fldChar w:fldCharType="end"/>
      </w:r>
      <w:r>
        <w:rPr>
          <w:rFonts w:hint="eastAsia" w:ascii="宋体" w:hAnsi="宋体"/>
          <w:bCs/>
          <w:color w:val="auto"/>
          <w:sz w:val="24"/>
          <w:szCs w:val="24"/>
        </w:rPr>
        <w:t>）、</w:t>
      </w:r>
      <w:r>
        <w:rPr>
          <w:rFonts w:hint="eastAsia" w:ascii="宋体" w:hAnsi="宋体"/>
          <w:color w:val="auto"/>
          <w:sz w:val="24"/>
          <w:szCs w:val="24"/>
        </w:rPr>
        <w:t>中国政府采购网(www.ccgp.gov.cn)</w:t>
      </w:r>
      <w:r>
        <w:rPr>
          <w:rFonts w:hint="eastAsia" w:ascii="宋体" w:hAnsi="宋体"/>
          <w:bCs/>
          <w:color w:val="auto"/>
          <w:sz w:val="24"/>
          <w:szCs w:val="24"/>
        </w:rPr>
        <w:t>查询投标供应商在投标截止时间之前，是否被列入</w:t>
      </w:r>
      <w:r>
        <w:rPr>
          <w:rFonts w:hint="eastAsia" w:ascii="宋体" w:hAnsi="宋体"/>
          <w:color w:val="auto"/>
          <w:sz w:val="24"/>
          <w:szCs w:val="24"/>
        </w:rPr>
        <w:t>失信被执行人、重大税收违法案件当事人名单、政府采购严重违法失信行为记录名单，</w:t>
      </w:r>
      <w:r>
        <w:rPr>
          <w:rFonts w:hint="eastAsia" w:ascii="宋体" w:hAnsi="宋体"/>
          <w:bCs/>
          <w:color w:val="auto"/>
          <w:sz w:val="24"/>
        </w:rPr>
        <w:t>以确定投标供应商是否具备投标资格。信用</w:t>
      </w:r>
      <w:r>
        <w:rPr>
          <w:rFonts w:hint="eastAsia" w:ascii="宋体" w:hAnsi="宋体"/>
          <w:color w:val="auto"/>
          <w:sz w:val="24"/>
          <w:szCs w:val="24"/>
        </w:rPr>
        <w:t>查询结果以网页打印的形式留存并归档。</w:t>
      </w:r>
    </w:p>
    <w:p>
      <w:pPr>
        <w:numPr>
          <w:ilvl w:val="0"/>
          <w:numId w:val="14"/>
        </w:numPr>
        <w:tabs>
          <w:tab w:val="left" w:pos="525"/>
          <w:tab w:val="left" w:pos="630"/>
          <w:tab w:val="left" w:pos="945"/>
          <w:tab w:val="left" w:pos="1365"/>
        </w:tabs>
        <w:spacing w:line="360" w:lineRule="auto"/>
        <w:ind w:left="0" w:firstLine="523" w:firstLineChars="218"/>
        <w:rPr>
          <w:rFonts w:ascii="宋体"/>
          <w:bCs/>
          <w:color w:val="auto"/>
          <w:sz w:val="24"/>
        </w:rPr>
      </w:pPr>
      <w:r>
        <w:rPr>
          <w:rFonts w:hint="eastAsia" w:ascii="宋体" w:hAnsi="宋体"/>
          <w:bCs/>
          <w:color w:val="auto"/>
          <w:sz w:val="24"/>
        </w:rPr>
        <w:t>符合性检查。评标委员会依据招标文件的规定，从投标文件的有效性、完整性和对招标文件的响应程度进行审查，以确定是否对招标文件的实质性要求作出响应。</w:t>
      </w:r>
    </w:p>
    <w:p>
      <w:pPr>
        <w:numPr>
          <w:ilvl w:val="0"/>
          <w:numId w:val="13"/>
        </w:numPr>
        <w:tabs>
          <w:tab w:val="left" w:pos="525"/>
          <w:tab w:val="left" w:pos="945"/>
          <w:tab w:val="left" w:pos="1155"/>
          <w:tab w:val="clear" w:pos="1104"/>
        </w:tabs>
        <w:spacing w:line="360" w:lineRule="auto"/>
        <w:ind w:left="0" w:firstLine="523" w:firstLineChars="218"/>
        <w:rPr>
          <w:rFonts w:ascii="宋体"/>
          <w:bCs/>
          <w:color w:val="auto"/>
          <w:sz w:val="24"/>
          <w:szCs w:val="24"/>
        </w:rPr>
      </w:pPr>
      <w:r>
        <w:rPr>
          <w:rFonts w:hint="eastAsia" w:ascii="宋体" w:hAnsi="宋体"/>
          <w:bCs/>
          <w:color w:val="auto"/>
          <w:sz w:val="24"/>
        </w:rPr>
        <w:t>澄清有关问题。对投标文件中含义不明确、同类问题表述不一致或者有明显文字和计算错误的内容，评标委员会可以通过</w:t>
      </w:r>
      <w:r>
        <w:rPr>
          <w:rFonts w:hint="eastAsia" w:ascii="宋体" w:hAnsi="宋体"/>
          <w:bCs/>
          <w:color w:val="auto"/>
          <w:sz w:val="24"/>
          <w:szCs w:val="24"/>
        </w:rPr>
        <w:t>政府采购交易管理一体化系统</w:t>
      </w:r>
      <w:r>
        <w:rPr>
          <w:rFonts w:hint="eastAsia" w:ascii="宋体" w:hAnsi="宋体"/>
          <w:bCs/>
          <w:color w:val="auto"/>
          <w:sz w:val="24"/>
        </w:rPr>
        <w:t>发起询标，要求投标人作出必要的澄清、说明或者纠正。投标人的澄清、说明或者补正应当通过</w:t>
      </w:r>
      <w:r>
        <w:rPr>
          <w:rFonts w:hint="eastAsia" w:ascii="宋体" w:hAnsi="宋体"/>
          <w:bCs/>
          <w:color w:val="auto"/>
          <w:sz w:val="24"/>
          <w:szCs w:val="24"/>
        </w:rPr>
        <w:t>政府采购交易管理一体化系统</w:t>
      </w:r>
      <w:r>
        <w:rPr>
          <w:rFonts w:hint="eastAsia" w:ascii="宋体" w:hAnsi="宋体"/>
          <w:bCs/>
          <w:color w:val="auto"/>
          <w:sz w:val="24"/>
        </w:rPr>
        <w:t>，由其授权的代表应答并加盖电子公章，且不得超出投标文件的范围或者改变投标文件的实质性内容</w:t>
      </w:r>
      <w:r>
        <w:rPr>
          <w:rFonts w:hint="eastAsia" w:ascii="宋体" w:hAnsi="宋体"/>
          <w:bCs/>
          <w:color w:val="auto"/>
          <w:sz w:val="24"/>
          <w:szCs w:val="24"/>
        </w:rPr>
        <w:t>。</w:t>
      </w:r>
    </w:p>
    <w:p>
      <w:pPr>
        <w:numPr>
          <w:ilvl w:val="0"/>
          <w:numId w:val="13"/>
        </w:numPr>
        <w:tabs>
          <w:tab w:val="left" w:pos="945"/>
          <w:tab w:val="left" w:pos="1155"/>
          <w:tab w:val="left" w:pos="1365"/>
          <w:tab w:val="clear" w:pos="1104"/>
        </w:tabs>
        <w:spacing w:line="360" w:lineRule="auto"/>
        <w:ind w:left="0" w:firstLine="523" w:firstLineChars="218"/>
        <w:rPr>
          <w:rFonts w:ascii="宋体"/>
          <w:bCs/>
          <w:color w:val="auto"/>
          <w:sz w:val="24"/>
          <w:szCs w:val="24"/>
        </w:rPr>
      </w:pPr>
      <w:r>
        <w:rPr>
          <w:rFonts w:hint="eastAsia" w:ascii="宋体" w:hAnsi="宋体"/>
          <w:bCs/>
          <w:color w:val="auto"/>
          <w:sz w:val="24"/>
        </w:rPr>
        <w:t>比较与评价。按招标文件中规定的评标方法和标准，对资格性检查和符合性检查合格的投标文件进行商务和技术评估，综合比较与评价</w:t>
      </w:r>
      <w:r>
        <w:rPr>
          <w:rFonts w:hint="eastAsia" w:ascii="宋体" w:hAnsi="宋体"/>
          <w:bCs/>
          <w:color w:val="auto"/>
          <w:sz w:val="24"/>
          <w:szCs w:val="24"/>
        </w:rPr>
        <w:t>。</w:t>
      </w:r>
    </w:p>
    <w:p>
      <w:pPr>
        <w:numPr>
          <w:ilvl w:val="1"/>
          <w:numId w:val="11"/>
        </w:numPr>
        <w:tabs>
          <w:tab w:val="left" w:pos="525"/>
          <w:tab w:val="left" w:pos="945"/>
        </w:tabs>
        <w:spacing w:line="360" w:lineRule="auto"/>
        <w:ind w:left="1" w:firstLine="523" w:firstLineChars="218"/>
        <w:rPr>
          <w:rFonts w:ascii="宋体"/>
          <w:bCs/>
          <w:color w:val="auto"/>
          <w:sz w:val="24"/>
          <w:szCs w:val="24"/>
        </w:rPr>
      </w:pPr>
      <w:r>
        <w:rPr>
          <w:rFonts w:hint="eastAsia" w:ascii="宋体" w:hAnsi="宋体"/>
          <w:bCs/>
          <w:color w:val="auto"/>
          <w:sz w:val="24"/>
          <w:szCs w:val="24"/>
        </w:rPr>
        <w:t>评标方法</w:t>
      </w:r>
    </w:p>
    <w:p>
      <w:pPr>
        <w:tabs>
          <w:tab w:val="left" w:pos="945"/>
        </w:tabs>
        <w:spacing w:line="360" w:lineRule="auto"/>
        <w:ind w:firstLine="523" w:firstLineChars="218"/>
        <w:rPr>
          <w:rFonts w:ascii="宋体"/>
          <w:bCs/>
          <w:color w:val="auto"/>
          <w:sz w:val="24"/>
          <w:szCs w:val="24"/>
        </w:rPr>
      </w:pPr>
      <w:r>
        <w:rPr>
          <w:rFonts w:hint="eastAsia" w:ascii="宋体" w:hAnsi="宋体"/>
          <w:bCs/>
          <w:color w:val="auto"/>
          <w:sz w:val="24"/>
          <w:szCs w:val="24"/>
        </w:rPr>
        <w:t>投标人通过初审的，方可进入</w:t>
      </w:r>
      <w:r>
        <w:rPr>
          <w:rFonts w:hint="eastAsia" w:ascii="宋体" w:hAnsi="宋体"/>
          <w:bCs/>
          <w:color w:val="auto"/>
          <w:sz w:val="24"/>
        </w:rPr>
        <w:t>比较与评价程序</w:t>
      </w:r>
      <w:r>
        <w:rPr>
          <w:rFonts w:hint="eastAsia" w:ascii="宋体" w:hAnsi="宋体"/>
          <w:bCs/>
          <w:color w:val="auto"/>
          <w:sz w:val="24"/>
          <w:szCs w:val="24"/>
        </w:rPr>
        <w:t>。</w:t>
      </w:r>
    </w:p>
    <w:p>
      <w:pPr>
        <w:tabs>
          <w:tab w:val="left" w:pos="945"/>
        </w:tabs>
        <w:spacing w:line="360" w:lineRule="auto"/>
        <w:ind w:firstLine="523" w:firstLineChars="218"/>
        <w:rPr>
          <w:rFonts w:ascii="宋体"/>
          <w:bCs/>
          <w:color w:val="auto"/>
          <w:sz w:val="24"/>
          <w:szCs w:val="24"/>
        </w:rPr>
      </w:pPr>
      <w:r>
        <w:rPr>
          <w:rFonts w:hint="eastAsia" w:ascii="宋体" w:hAnsi="宋体"/>
          <w:bCs/>
          <w:color w:val="auto"/>
          <w:sz w:val="24"/>
        </w:rPr>
        <w:t>比较与评价</w:t>
      </w:r>
      <w:r>
        <w:rPr>
          <w:rFonts w:hint="eastAsia" w:ascii="宋体" w:hAnsi="宋体"/>
          <w:bCs/>
          <w:color w:val="auto"/>
          <w:sz w:val="24"/>
          <w:szCs w:val="24"/>
        </w:rPr>
        <w:t>采用综合评分法。</w:t>
      </w:r>
    </w:p>
    <w:p>
      <w:pPr>
        <w:tabs>
          <w:tab w:val="left" w:pos="945"/>
        </w:tabs>
        <w:spacing w:line="360" w:lineRule="auto"/>
        <w:ind w:firstLine="523" w:firstLineChars="218"/>
        <w:rPr>
          <w:rFonts w:ascii="宋体" w:hAnsi="宋体"/>
          <w:bCs/>
          <w:color w:val="auto"/>
          <w:sz w:val="24"/>
          <w:szCs w:val="24"/>
        </w:rPr>
      </w:pPr>
      <w:r>
        <w:rPr>
          <w:rFonts w:hint="eastAsia" w:ascii="宋体" w:hAnsi="宋体"/>
          <w:bCs/>
          <w:color w:val="auto"/>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color w:val="auto"/>
          <w:sz w:val="24"/>
        </w:rPr>
        <w:t>非单一产品采购项目，多家投标人提供的核心产品品牌相同的，同上处理。</w:t>
      </w:r>
    </w:p>
    <w:p>
      <w:pPr>
        <w:numPr>
          <w:ilvl w:val="1"/>
          <w:numId w:val="11"/>
        </w:numPr>
        <w:tabs>
          <w:tab w:val="left" w:pos="525"/>
          <w:tab w:val="left" w:pos="945"/>
        </w:tabs>
        <w:spacing w:line="360" w:lineRule="auto"/>
        <w:ind w:left="1" w:firstLine="523" w:firstLineChars="218"/>
        <w:rPr>
          <w:rFonts w:ascii="宋体" w:hAnsi="宋体"/>
          <w:bCs/>
          <w:color w:val="auto"/>
          <w:sz w:val="24"/>
          <w:szCs w:val="24"/>
        </w:rPr>
      </w:pPr>
      <w:r>
        <w:rPr>
          <w:rFonts w:hint="eastAsia" w:ascii="宋体" w:hAnsi="宋体"/>
          <w:bCs/>
          <w:color w:val="auto"/>
          <w:sz w:val="24"/>
          <w:szCs w:val="24"/>
        </w:rPr>
        <w:t>评分标准</w:t>
      </w:r>
    </w:p>
    <w:p>
      <w:pPr>
        <w:tabs>
          <w:tab w:val="left" w:pos="525"/>
          <w:tab w:val="left" w:pos="945"/>
        </w:tabs>
        <w:spacing w:line="360" w:lineRule="auto"/>
        <w:ind w:left="524"/>
        <w:rPr>
          <w:rFonts w:ascii="宋体" w:hAnsi="宋体"/>
          <w:bCs/>
          <w:color w:val="auto"/>
          <w:sz w:val="24"/>
          <w:szCs w:val="24"/>
        </w:rPr>
      </w:pPr>
      <w:r>
        <w:rPr>
          <w:rFonts w:hint="eastAsia" w:ascii="宋体" w:hAnsi="宋体"/>
          <w:bCs/>
          <w:color w:val="auto"/>
          <w:sz w:val="24"/>
          <w:szCs w:val="24"/>
        </w:rPr>
        <w:t>详见附件。</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（十）定标：</w:t>
      </w:r>
    </w:p>
    <w:p>
      <w:pPr>
        <w:numPr>
          <w:ilvl w:val="0"/>
          <w:numId w:val="15"/>
        </w:numPr>
        <w:tabs>
          <w:tab w:val="left" w:pos="525"/>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评标委员会根据招标文件规定的评标方法和评标标准进行评审，按招标文件的要求依法确定中标供应商。无锡市公共资源交易中心新吴分中心将在无锡市公共资源交易中心政府采购专栏、无锡政府采购网、江苏政府采购网和中国政府采购网发布中标公告。如有质疑，应在法定质疑期限内，即</w:t>
      </w:r>
      <w:r>
        <w:rPr>
          <w:rFonts w:hint="eastAsia" w:ascii="宋体" w:hAnsi="宋体"/>
          <w:color w:val="auto"/>
          <w:sz w:val="24"/>
          <w:szCs w:val="24"/>
        </w:rPr>
        <w:t>中标公告</w:t>
      </w:r>
      <w:r>
        <w:rPr>
          <w:rFonts w:hint="eastAsia" w:ascii="宋体" w:hAnsi="宋体" w:cs="宋体"/>
          <w:bCs/>
          <w:color w:val="auto"/>
          <w:kern w:val="0"/>
          <w:sz w:val="24"/>
        </w:rPr>
        <w:t>期限届满之日</w:t>
      </w:r>
      <w:r>
        <w:rPr>
          <w:rFonts w:hint="eastAsia" w:ascii="宋体" w:hAnsi="宋体"/>
          <w:color w:val="auto"/>
          <w:sz w:val="24"/>
          <w:szCs w:val="24"/>
        </w:rPr>
        <w:t>起</w:t>
      </w:r>
      <w:r>
        <w:rPr>
          <w:rFonts w:ascii="宋体" w:hAnsi="宋体"/>
          <w:color w:val="auto"/>
          <w:sz w:val="24"/>
          <w:szCs w:val="24"/>
        </w:rPr>
        <w:t>7</w:t>
      </w:r>
      <w:r>
        <w:rPr>
          <w:rFonts w:hint="eastAsia" w:ascii="宋体" w:hAnsi="宋体"/>
          <w:color w:val="auto"/>
          <w:sz w:val="24"/>
          <w:szCs w:val="24"/>
        </w:rPr>
        <w:t>个工作日</w:t>
      </w:r>
      <w:r>
        <w:rPr>
          <w:rFonts w:hint="eastAsia" w:ascii="宋体" w:hAnsi="宋体"/>
          <w:bCs/>
          <w:color w:val="auto"/>
          <w:sz w:val="24"/>
          <w:szCs w:val="24"/>
        </w:rPr>
        <w:t>内，以书面形式（原件）送达无锡市公共资源交易中心新吴分中心，并且</w:t>
      </w:r>
      <w:r>
        <w:rPr>
          <w:rFonts w:ascii="宋体" w:hAnsi="宋体"/>
          <w:bCs/>
          <w:color w:val="auto"/>
          <w:sz w:val="24"/>
          <w:szCs w:val="24"/>
        </w:rPr>
        <w:t>针对同一采购程序环节的质疑</w:t>
      </w:r>
      <w:r>
        <w:rPr>
          <w:rFonts w:hint="eastAsia" w:ascii="宋体" w:hAnsi="宋体"/>
          <w:bCs/>
          <w:color w:val="auto"/>
          <w:sz w:val="24"/>
          <w:szCs w:val="24"/>
        </w:rPr>
        <w:t>，须</w:t>
      </w:r>
      <w:r>
        <w:rPr>
          <w:rFonts w:ascii="宋体" w:hAnsi="宋体"/>
          <w:bCs/>
          <w:color w:val="auto"/>
          <w:sz w:val="24"/>
          <w:szCs w:val="24"/>
        </w:rPr>
        <w:t>在法定质疑期内一次性提出</w:t>
      </w:r>
      <w:r>
        <w:rPr>
          <w:rFonts w:hint="eastAsia" w:ascii="宋体" w:hAnsi="宋体"/>
          <w:bCs/>
          <w:color w:val="auto"/>
          <w:sz w:val="24"/>
          <w:szCs w:val="24"/>
        </w:rPr>
        <w:t>。质疑函的质疑事项应具体、明确，并有必要的事实依据和法律依据（格式详见中国政府采购网《</w:t>
      </w:r>
      <w:r>
        <w:rPr>
          <w:color w:val="auto"/>
        </w:rPr>
        <w:fldChar w:fldCharType="begin"/>
      </w:r>
      <w:r>
        <w:rPr>
          <w:color w:val="auto"/>
        </w:rPr>
        <w:instrText xml:space="preserve">HYPERLINK "http://download.ccgp.gov.cn/2018/zhiyihanfanben.zip" \t "_blank"</w:instrText>
      </w:r>
      <w:r>
        <w:rPr>
          <w:color w:val="auto"/>
        </w:rPr>
        <w:fldChar w:fldCharType="separate"/>
      </w:r>
      <w:r>
        <w:rPr>
          <w:rFonts w:hint="eastAsia" w:ascii="宋体" w:hAnsi="宋体"/>
          <w:bCs/>
          <w:color w:val="auto"/>
          <w:sz w:val="24"/>
          <w:szCs w:val="24"/>
        </w:rPr>
        <w:t>政府采购供应商质疑函范本</w:t>
      </w:r>
      <w:r>
        <w:rPr>
          <w:color w:val="auto"/>
        </w:rPr>
        <w:fldChar w:fldCharType="end"/>
      </w:r>
      <w:r>
        <w:rPr>
          <w:rFonts w:hint="eastAsia" w:ascii="宋体" w:hAnsi="宋体"/>
          <w:bCs/>
          <w:color w:val="auto"/>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5"/>
        </w:numPr>
        <w:tabs>
          <w:tab w:val="left" w:pos="525"/>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无锡市公共资源交易中心新吴分中心向中标供应商发中标通知书。</w:t>
      </w:r>
    </w:p>
    <w:p>
      <w:pPr>
        <w:numPr>
          <w:ilvl w:val="0"/>
          <w:numId w:val="15"/>
        </w:numPr>
        <w:tabs>
          <w:tab w:val="left" w:pos="525"/>
          <w:tab w:val="left" w:pos="945"/>
          <w:tab w:val="left" w:pos="1155"/>
        </w:tabs>
        <w:spacing w:line="360" w:lineRule="auto"/>
        <w:ind w:left="0" w:firstLine="523" w:firstLineChars="218"/>
        <w:rPr>
          <w:rFonts w:ascii="宋体" w:hAnsi="宋体"/>
          <w:bCs/>
          <w:color w:val="auto"/>
          <w:sz w:val="24"/>
          <w:szCs w:val="24"/>
        </w:rPr>
      </w:pPr>
      <w:r>
        <w:rPr>
          <w:rFonts w:hint="eastAsia" w:ascii="宋体" w:hAnsi="宋体"/>
          <w:bCs/>
          <w:color w:val="auto"/>
          <w:sz w:val="24"/>
          <w:szCs w:val="24"/>
        </w:rPr>
        <w:t>投标供应商电子投标文件将作为电子档案保存。</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（十一）废标的确认：</w:t>
      </w:r>
    </w:p>
    <w:p>
      <w:pPr>
        <w:spacing w:line="360" w:lineRule="auto"/>
        <w:ind w:firstLine="480" w:firstLineChars="200"/>
        <w:rPr>
          <w:rFonts w:ascii="宋体"/>
          <w:bCs/>
          <w:color w:val="auto"/>
          <w:sz w:val="24"/>
          <w:szCs w:val="24"/>
        </w:rPr>
      </w:pPr>
      <w:r>
        <w:rPr>
          <w:rFonts w:hint="eastAsia" w:ascii="宋体" w:hAnsi="宋体"/>
          <w:bCs/>
          <w:color w:val="auto"/>
          <w:sz w:val="24"/>
          <w:szCs w:val="24"/>
        </w:rPr>
        <w:t>在招标采购中，出现下列情况之一的，应予废标：</w:t>
      </w:r>
    </w:p>
    <w:p>
      <w:pPr>
        <w:numPr>
          <w:ilvl w:val="0"/>
          <w:numId w:val="16"/>
        </w:numPr>
        <w:tabs>
          <w:tab w:val="left" w:pos="525"/>
          <w:tab w:val="left" w:pos="945"/>
          <w:tab w:val="left" w:pos="1260"/>
        </w:tabs>
        <w:spacing w:line="360" w:lineRule="auto"/>
        <w:ind w:left="0" w:firstLine="525"/>
        <w:rPr>
          <w:rFonts w:ascii="宋体"/>
          <w:bCs/>
          <w:color w:val="auto"/>
          <w:sz w:val="24"/>
          <w:szCs w:val="24"/>
        </w:rPr>
      </w:pPr>
      <w:r>
        <w:rPr>
          <w:rFonts w:hint="eastAsia" w:ascii="宋体" w:hAnsi="宋体"/>
          <w:bCs/>
          <w:color w:val="auto"/>
          <w:sz w:val="24"/>
          <w:szCs w:val="24"/>
        </w:rPr>
        <w:t>符合专业条件的投标人或者对招标文件作出实质性响应的投标人不足三家；</w:t>
      </w:r>
    </w:p>
    <w:p>
      <w:pPr>
        <w:numPr>
          <w:ilvl w:val="0"/>
          <w:numId w:val="16"/>
        </w:numPr>
        <w:tabs>
          <w:tab w:val="left" w:pos="525"/>
          <w:tab w:val="left" w:pos="945"/>
          <w:tab w:val="left" w:pos="1260"/>
        </w:tabs>
        <w:spacing w:line="360" w:lineRule="auto"/>
        <w:ind w:left="0" w:firstLine="525"/>
        <w:rPr>
          <w:rFonts w:ascii="宋体"/>
          <w:bCs/>
          <w:color w:val="auto"/>
          <w:sz w:val="24"/>
          <w:szCs w:val="24"/>
        </w:rPr>
      </w:pPr>
      <w:r>
        <w:rPr>
          <w:rFonts w:hint="eastAsia" w:ascii="宋体" w:hAnsi="宋体"/>
          <w:bCs/>
          <w:color w:val="auto"/>
          <w:sz w:val="24"/>
          <w:szCs w:val="24"/>
        </w:rPr>
        <w:t>出现影响采购公正的违法、违规行为；</w:t>
      </w:r>
    </w:p>
    <w:p>
      <w:pPr>
        <w:numPr>
          <w:ilvl w:val="0"/>
          <w:numId w:val="16"/>
        </w:numPr>
        <w:tabs>
          <w:tab w:val="left" w:pos="525"/>
          <w:tab w:val="left" w:pos="945"/>
          <w:tab w:val="left" w:pos="1260"/>
        </w:tabs>
        <w:spacing w:line="360" w:lineRule="auto"/>
        <w:ind w:left="0" w:firstLine="525"/>
        <w:rPr>
          <w:rFonts w:ascii="宋体"/>
          <w:bCs/>
          <w:color w:val="auto"/>
          <w:sz w:val="24"/>
          <w:szCs w:val="24"/>
        </w:rPr>
      </w:pPr>
      <w:r>
        <w:rPr>
          <w:rFonts w:hint="eastAsia" w:ascii="宋体" w:hAnsi="宋体"/>
          <w:bCs/>
          <w:color w:val="auto"/>
          <w:sz w:val="24"/>
          <w:szCs w:val="24"/>
        </w:rPr>
        <w:t>投标人的报价均超过采购预算，采购人不能支付的；</w:t>
      </w:r>
    </w:p>
    <w:p>
      <w:pPr>
        <w:numPr>
          <w:ilvl w:val="0"/>
          <w:numId w:val="16"/>
        </w:numPr>
        <w:tabs>
          <w:tab w:val="right" w:pos="180"/>
          <w:tab w:val="left" w:pos="525"/>
          <w:tab w:val="left" w:pos="945"/>
          <w:tab w:val="left" w:pos="1260"/>
        </w:tabs>
        <w:spacing w:line="360" w:lineRule="auto"/>
        <w:ind w:left="0" w:firstLine="525"/>
        <w:rPr>
          <w:rFonts w:ascii="宋体"/>
          <w:bCs/>
          <w:color w:val="auto"/>
          <w:sz w:val="24"/>
          <w:szCs w:val="24"/>
        </w:rPr>
      </w:pPr>
      <w:r>
        <w:rPr>
          <w:rFonts w:hint="eastAsia" w:ascii="宋体" w:hAnsi="宋体"/>
          <w:bCs/>
          <w:color w:val="auto"/>
          <w:sz w:val="24"/>
          <w:szCs w:val="24"/>
        </w:rPr>
        <w:t>因重大变故，采购任务取消。</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（十二）中标无效的确认：</w:t>
      </w:r>
    </w:p>
    <w:p>
      <w:pPr>
        <w:numPr>
          <w:ilvl w:val="0"/>
          <w:numId w:val="17"/>
        </w:numPr>
        <w:tabs>
          <w:tab w:val="left" w:pos="420"/>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提供虚假材料谋取中标的；</w:t>
      </w:r>
    </w:p>
    <w:p>
      <w:pPr>
        <w:numPr>
          <w:ilvl w:val="0"/>
          <w:numId w:val="17"/>
        </w:numPr>
        <w:tabs>
          <w:tab w:val="left" w:pos="420"/>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采取不正当手段诋毁、排挤其他投标人的；</w:t>
      </w:r>
    </w:p>
    <w:p>
      <w:pPr>
        <w:numPr>
          <w:ilvl w:val="0"/>
          <w:numId w:val="17"/>
        </w:numPr>
        <w:tabs>
          <w:tab w:val="left" w:pos="420"/>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与招标采购单位、其他投标人恶意串通的；</w:t>
      </w:r>
    </w:p>
    <w:p>
      <w:pPr>
        <w:numPr>
          <w:ilvl w:val="0"/>
          <w:numId w:val="17"/>
        </w:numPr>
        <w:tabs>
          <w:tab w:val="left" w:pos="420"/>
          <w:tab w:val="left" w:pos="945"/>
          <w:tab w:val="left" w:pos="1155"/>
        </w:tabs>
        <w:spacing w:line="360" w:lineRule="auto"/>
        <w:ind w:left="0" w:firstLine="523" w:firstLineChars="218"/>
        <w:rPr>
          <w:rFonts w:ascii="宋体" w:hAnsi="宋体"/>
          <w:bCs/>
          <w:color w:val="auto"/>
          <w:sz w:val="24"/>
          <w:szCs w:val="24"/>
        </w:rPr>
      </w:pPr>
      <w:r>
        <w:rPr>
          <w:rFonts w:hint="eastAsia" w:ascii="宋体" w:hAnsi="宋体"/>
          <w:bCs/>
          <w:color w:val="auto"/>
          <w:sz w:val="24"/>
          <w:szCs w:val="24"/>
        </w:rPr>
        <w:t>向招标采购单位行贿或者提供其他不正当利益的；</w:t>
      </w:r>
    </w:p>
    <w:p>
      <w:pPr>
        <w:numPr>
          <w:ilvl w:val="0"/>
          <w:numId w:val="17"/>
        </w:numPr>
        <w:tabs>
          <w:tab w:val="left" w:pos="420"/>
          <w:tab w:val="left" w:pos="945"/>
          <w:tab w:val="left" w:pos="1155"/>
        </w:tabs>
        <w:spacing w:line="360" w:lineRule="auto"/>
        <w:ind w:left="0" w:firstLine="523" w:firstLineChars="218"/>
        <w:rPr>
          <w:rFonts w:ascii="宋体" w:hAnsi="宋体"/>
          <w:bCs/>
          <w:color w:val="auto"/>
          <w:sz w:val="24"/>
          <w:szCs w:val="24"/>
        </w:rPr>
      </w:pPr>
      <w:r>
        <w:rPr>
          <w:rFonts w:hint="eastAsia" w:ascii="宋体" w:hAnsi="宋体"/>
          <w:bCs/>
          <w:color w:val="auto"/>
          <w:sz w:val="24"/>
          <w:szCs w:val="24"/>
        </w:rPr>
        <w:t>在招标过程中与招标采购单位进行协商谈判、不按照招标文件和中标供应商的投标文件订立合同，或者与采购人另行订立背离合同实质性内容的协议的；</w:t>
      </w:r>
    </w:p>
    <w:p>
      <w:pPr>
        <w:numPr>
          <w:ilvl w:val="0"/>
          <w:numId w:val="17"/>
        </w:numPr>
        <w:tabs>
          <w:tab w:val="left" w:pos="420"/>
          <w:tab w:val="left" w:pos="945"/>
          <w:tab w:val="left" w:pos="1155"/>
        </w:tabs>
        <w:spacing w:line="360" w:lineRule="auto"/>
        <w:ind w:left="0" w:firstLine="523" w:firstLineChars="218"/>
        <w:rPr>
          <w:rFonts w:ascii="宋体" w:hAnsi="宋体"/>
          <w:bCs/>
          <w:color w:val="auto"/>
          <w:sz w:val="24"/>
          <w:szCs w:val="24"/>
        </w:rPr>
      </w:pPr>
      <w:r>
        <w:rPr>
          <w:rFonts w:hint="eastAsia" w:ascii="宋体" w:hAnsi="宋体"/>
          <w:bCs/>
          <w:color w:val="auto"/>
          <w:sz w:val="24"/>
          <w:szCs w:val="24"/>
        </w:rPr>
        <w:t>拒绝有关部门监督检查或者提供虚假情况的。</w:t>
      </w:r>
    </w:p>
    <w:p>
      <w:pPr>
        <w:tabs>
          <w:tab w:val="left" w:pos="945"/>
        </w:tabs>
        <w:spacing w:line="360" w:lineRule="auto"/>
        <w:ind w:firstLine="480" w:firstLineChars="200"/>
        <w:rPr>
          <w:rFonts w:ascii="宋体" w:hAnsi="宋体"/>
          <w:bCs/>
          <w:color w:val="auto"/>
          <w:sz w:val="24"/>
          <w:szCs w:val="24"/>
        </w:rPr>
      </w:pPr>
      <w:r>
        <w:rPr>
          <w:rFonts w:hint="eastAsia" w:ascii="宋体" w:hAnsi="宋体"/>
          <w:bCs/>
          <w:color w:val="auto"/>
          <w:sz w:val="24"/>
          <w:szCs w:val="24"/>
        </w:rPr>
        <w:t>投标人有上述（</w:t>
      </w:r>
      <w:r>
        <w:rPr>
          <w:rFonts w:ascii="宋体" w:hAnsi="宋体"/>
          <w:bCs/>
          <w:color w:val="auto"/>
          <w:sz w:val="24"/>
          <w:szCs w:val="24"/>
        </w:rPr>
        <w:t>1</w:t>
      </w:r>
      <w:r>
        <w:rPr>
          <w:rFonts w:hint="eastAsia" w:ascii="宋体" w:hAnsi="宋体"/>
          <w:bCs/>
          <w:color w:val="auto"/>
          <w:sz w:val="24"/>
          <w:szCs w:val="24"/>
        </w:rPr>
        <w:t>）至（</w:t>
      </w:r>
      <w:r>
        <w:rPr>
          <w:rFonts w:ascii="宋体" w:hAnsi="宋体"/>
          <w:bCs/>
          <w:color w:val="auto"/>
          <w:sz w:val="24"/>
          <w:szCs w:val="24"/>
        </w:rPr>
        <w:t>5</w:t>
      </w:r>
      <w:r>
        <w:rPr>
          <w:rFonts w:hint="eastAsia" w:ascii="宋体" w:hAnsi="宋体"/>
          <w:bCs/>
          <w:color w:val="auto"/>
          <w:sz w:val="24"/>
          <w:szCs w:val="24"/>
        </w:rPr>
        <w:t>）项情形之一的，中标无效。有上述（</w:t>
      </w:r>
      <w:r>
        <w:rPr>
          <w:rFonts w:ascii="宋体" w:hAnsi="宋体"/>
          <w:bCs/>
          <w:color w:val="auto"/>
          <w:sz w:val="24"/>
          <w:szCs w:val="24"/>
        </w:rPr>
        <w:t>1</w:t>
      </w:r>
      <w:r>
        <w:rPr>
          <w:rFonts w:hint="eastAsia" w:ascii="宋体" w:hAnsi="宋体"/>
          <w:bCs/>
          <w:color w:val="auto"/>
          <w:sz w:val="24"/>
          <w:szCs w:val="24"/>
        </w:rPr>
        <w:t>）至（</w:t>
      </w:r>
      <w:r>
        <w:rPr>
          <w:rFonts w:ascii="宋体" w:hAnsi="宋体"/>
          <w:bCs/>
          <w:color w:val="auto"/>
          <w:sz w:val="24"/>
          <w:szCs w:val="24"/>
        </w:rPr>
        <w:t>6</w:t>
      </w:r>
      <w:r>
        <w:rPr>
          <w:rFonts w:hint="eastAsia" w:ascii="宋体" w:hAnsi="宋体"/>
          <w:bCs/>
          <w:color w:val="auto"/>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1"/>
        <w:rPr>
          <w:rFonts w:ascii="黑体" w:hAnsi="宋体" w:eastAsia="黑体"/>
          <w:b/>
          <w:color w:val="auto"/>
          <w:sz w:val="24"/>
          <w:szCs w:val="24"/>
        </w:rPr>
      </w:pPr>
      <w:r>
        <w:rPr>
          <w:rFonts w:hint="eastAsia" w:ascii="黑体" w:hAnsi="宋体" w:eastAsia="黑体"/>
          <w:b/>
          <w:color w:val="auto"/>
          <w:sz w:val="24"/>
          <w:szCs w:val="24"/>
        </w:rPr>
        <w:t>（十三）</w:t>
      </w:r>
      <w:r>
        <w:rPr>
          <w:rFonts w:hint="eastAsia" w:ascii="黑体" w:hAnsi="宋体" w:eastAsia="黑体"/>
          <w:bCs/>
          <w:color w:val="auto"/>
          <w:sz w:val="24"/>
          <w:szCs w:val="24"/>
        </w:rPr>
        <w:t>签订</w:t>
      </w:r>
      <w:r>
        <w:rPr>
          <w:rFonts w:hint="eastAsia" w:ascii="黑体" w:hAnsi="宋体" w:eastAsia="黑体"/>
          <w:b/>
          <w:color w:val="auto"/>
          <w:sz w:val="24"/>
          <w:szCs w:val="24"/>
        </w:rPr>
        <w:t>、履行</w:t>
      </w:r>
      <w:r>
        <w:rPr>
          <w:rFonts w:hint="eastAsia" w:ascii="黑体" w:hAnsi="宋体" w:eastAsia="黑体"/>
          <w:bCs/>
          <w:color w:val="auto"/>
          <w:sz w:val="24"/>
          <w:szCs w:val="24"/>
        </w:rPr>
        <w:t>合同：</w:t>
      </w:r>
    </w:p>
    <w:p>
      <w:pPr>
        <w:numPr>
          <w:ilvl w:val="0"/>
          <w:numId w:val="18"/>
        </w:numPr>
        <w:tabs>
          <w:tab w:val="left" w:pos="525"/>
          <w:tab w:val="left" w:pos="945"/>
          <w:tab w:val="left" w:pos="1050"/>
          <w:tab w:val="left" w:pos="3113"/>
        </w:tabs>
        <w:spacing w:line="360" w:lineRule="auto"/>
        <w:ind w:left="0" w:firstLine="525"/>
        <w:rPr>
          <w:rFonts w:ascii="宋体" w:hAnsi="宋体"/>
          <w:bCs/>
          <w:color w:val="auto"/>
          <w:sz w:val="24"/>
          <w:szCs w:val="24"/>
        </w:rPr>
      </w:pPr>
      <w:r>
        <w:rPr>
          <w:rFonts w:ascii="宋体" w:hAnsi="宋体"/>
          <w:bCs/>
          <w:color w:val="auto"/>
          <w:sz w:val="24"/>
          <w:szCs w:val="24"/>
        </w:rPr>
        <w:t>采购人应当自中标通知书发出之日起三十日内（到新冠疫情应急响应解除之日前缩短至十五日内），按照招标文件和中标供应商投标文件的约定，在无锡市公共资源交易中心新吴分中心就实质性条款见证后，与中标供应商签订合同。所签订的合同不得对招标文件和中标供应商投标文件作实质性修改。采购人不得向中标供应商提出任何不合理的要求，作为签订合同的条件，不得与中标供应商私下订立背离合同实质性内容的协议。无锡市公共资源交易中心新吴分中心见证部分详见招标文件合同书（格式</w:t>
      </w:r>
      <w:r>
        <w:rPr>
          <w:rFonts w:hint="eastAsia" w:ascii="宋体" w:hAnsi="宋体"/>
          <w:bCs/>
          <w:color w:val="auto"/>
          <w:sz w:val="24"/>
          <w:szCs w:val="24"/>
        </w:rPr>
        <w:t>条款</w:t>
      </w:r>
      <w:r>
        <w:rPr>
          <w:rFonts w:ascii="宋体" w:hAnsi="宋体"/>
          <w:bCs/>
          <w:color w:val="auto"/>
          <w:sz w:val="24"/>
          <w:szCs w:val="24"/>
        </w:rPr>
        <w:t>），见证后的格式</w:t>
      </w:r>
      <w:r>
        <w:rPr>
          <w:rFonts w:hint="eastAsia" w:ascii="宋体" w:hAnsi="宋体"/>
          <w:bCs/>
          <w:color w:val="auto"/>
          <w:sz w:val="24"/>
          <w:szCs w:val="24"/>
        </w:rPr>
        <w:t>条款</w:t>
      </w:r>
      <w:r>
        <w:rPr>
          <w:rFonts w:ascii="宋体" w:hAnsi="宋体"/>
          <w:bCs/>
          <w:color w:val="auto"/>
          <w:sz w:val="24"/>
          <w:szCs w:val="24"/>
        </w:rPr>
        <w:t>不得作任何修改。</w:t>
      </w:r>
    </w:p>
    <w:p>
      <w:pPr>
        <w:numPr>
          <w:ilvl w:val="0"/>
          <w:numId w:val="18"/>
        </w:numPr>
        <w:tabs>
          <w:tab w:val="left" w:pos="525"/>
          <w:tab w:val="left" w:pos="945"/>
          <w:tab w:val="left" w:pos="1050"/>
        </w:tabs>
        <w:spacing w:line="360" w:lineRule="auto"/>
        <w:ind w:left="0" w:firstLine="525"/>
        <w:rPr>
          <w:rFonts w:ascii="宋体"/>
          <w:bCs/>
          <w:color w:val="auto"/>
          <w:sz w:val="24"/>
          <w:szCs w:val="24"/>
        </w:rPr>
      </w:pPr>
      <w:r>
        <w:rPr>
          <w:rFonts w:hint="eastAsia" w:ascii="宋体" w:hAnsi="宋体"/>
          <w:bCs/>
          <w:color w:val="auto"/>
          <w:sz w:val="24"/>
          <w:szCs w:val="24"/>
        </w:rPr>
        <w:t>中标方非因不可抗力未履行招、投标文件和合同规定的义务，一经查实，无锡市公共资源交易中心新吴分中心将根据具体情况提请政府采购管理部门作出相应处理。</w:t>
      </w:r>
    </w:p>
    <w:p>
      <w:pPr>
        <w:numPr>
          <w:ilvl w:val="0"/>
          <w:numId w:val="18"/>
        </w:numPr>
        <w:tabs>
          <w:tab w:val="left" w:pos="525"/>
          <w:tab w:val="left" w:pos="945"/>
          <w:tab w:val="left" w:pos="1050"/>
        </w:tabs>
        <w:spacing w:line="360" w:lineRule="auto"/>
        <w:ind w:left="0" w:firstLine="525"/>
        <w:rPr>
          <w:rFonts w:ascii="宋体"/>
          <w:bCs/>
          <w:color w:val="auto"/>
          <w:sz w:val="24"/>
          <w:szCs w:val="24"/>
        </w:rPr>
      </w:pPr>
      <w:r>
        <w:rPr>
          <w:rFonts w:hint="eastAsia" w:ascii="宋体" w:hAnsi="宋体"/>
          <w:bCs/>
          <w:color w:val="auto"/>
          <w:sz w:val="24"/>
          <w:szCs w:val="24"/>
        </w:rPr>
        <w:t>中标供应商向采购人缴纳的履约保证金不超过政府采购合同金额的10%。</w:t>
      </w:r>
      <w:r>
        <w:rPr>
          <w:rFonts w:hint="eastAsia" w:ascii="宋体" w:hAnsi="宋体"/>
          <w:bCs/>
          <w:color w:val="auto"/>
          <w:sz w:val="24"/>
        </w:rPr>
        <w:t>收取履约保证金的，采购人应当</w:t>
      </w:r>
      <w:r>
        <w:rPr>
          <w:rFonts w:hint="eastAsia" w:ascii="宋体"/>
          <w:bCs/>
          <w:color w:val="auto"/>
          <w:sz w:val="24"/>
        </w:rPr>
        <w:t>允许</w:t>
      </w:r>
      <w:r>
        <w:rPr>
          <w:rFonts w:ascii="宋体"/>
          <w:bCs/>
          <w:color w:val="auto"/>
          <w:sz w:val="24"/>
          <w:szCs w:val="24"/>
        </w:rPr>
        <w:t>供应商自主选择以支票、 汇票、 本票、 保函等非现金形式缴纳或提交，</w:t>
      </w:r>
      <w:r>
        <w:rPr>
          <w:rFonts w:hint="eastAsia" w:ascii="宋体"/>
          <w:bCs/>
          <w:color w:val="auto"/>
          <w:sz w:val="24"/>
          <w:szCs w:val="24"/>
        </w:rPr>
        <w:t>并</w:t>
      </w:r>
      <w:r>
        <w:rPr>
          <w:rFonts w:hint="eastAsia" w:ascii="宋体" w:hAnsi="宋体"/>
          <w:bCs/>
          <w:color w:val="auto"/>
          <w:sz w:val="24"/>
        </w:rPr>
        <w:t>与中标供应商在采购合同中约定履约保证金退还的方式、时间、条件和不予退还的情形，明确逾期退还履约保证金的违约责任。</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（十四）注意事项：</w:t>
      </w:r>
    </w:p>
    <w:p>
      <w:pPr>
        <w:tabs>
          <w:tab w:val="left" w:pos="945"/>
        </w:tabs>
        <w:spacing w:line="360" w:lineRule="auto"/>
        <w:ind w:firstLine="480" w:firstLineChars="200"/>
        <w:rPr>
          <w:rFonts w:ascii="宋体"/>
          <w:bCs/>
          <w:color w:val="auto"/>
          <w:sz w:val="24"/>
          <w:szCs w:val="24"/>
        </w:rPr>
      </w:pPr>
      <w:r>
        <w:rPr>
          <w:rFonts w:hint="eastAsia" w:ascii="宋体" w:hAnsi="宋体"/>
          <w:bCs/>
          <w:color w:val="auto"/>
          <w:sz w:val="24"/>
          <w:szCs w:val="24"/>
        </w:rPr>
        <w:t>中标供应商有下列情形之一的，情节严重的，由财政部门将其列入不良行为记录名单，在一至三年内禁止参加政府采购活动，并予以通报：</w:t>
      </w:r>
    </w:p>
    <w:p>
      <w:pPr>
        <w:numPr>
          <w:ilvl w:val="3"/>
          <w:numId w:val="11"/>
        </w:numPr>
        <w:tabs>
          <w:tab w:val="left" w:pos="735"/>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中标后无正当理由不与采购人签订合同的；</w:t>
      </w:r>
    </w:p>
    <w:p>
      <w:pPr>
        <w:numPr>
          <w:ilvl w:val="3"/>
          <w:numId w:val="11"/>
        </w:numPr>
        <w:tabs>
          <w:tab w:val="left" w:pos="735"/>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将中标项目转让给他人，或者在投标文件中未说明，且未经过采购人同意，将中标项目分包给他人的；</w:t>
      </w:r>
    </w:p>
    <w:p>
      <w:pPr>
        <w:numPr>
          <w:ilvl w:val="3"/>
          <w:numId w:val="11"/>
        </w:numPr>
        <w:tabs>
          <w:tab w:val="left" w:pos="735"/>
          <w:tab w:val="left" w:pos="945"/>
          <w:tab w:val="left" w:pos="1155"/>
        </w:tabs>
        <w:spacing w:line="360" w:lineRule="auto"/>
        <w:ind w:left="0" w:firstLine="523" w:firstLineChars="218"/>
        <w:rPr>
          <w:rFonts w:ascii="宋体"/>
          <w:bCs/>
          <w:color w:val="auto"/>
          <w:sz w:val="24"/>
          <w:szCs w:val="24"/>
        </w:rPr>
      </w:pPr>
      <w:r>
        <w:rPr>
          <w:rFonts w:hint="eastAsia" w:ascii="宋体" w:hAnsi="宋体"/>
          <w:bCs/>
          <w:color w:val="auto"/>
          <w:sz w:val="24"/>
          <w:szCs w:val="24"/>
        </w:rPr>
        <w:t>拒绝履行合同义务的。</w:t>
      </w: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（十五）中标服务费：</w:t>
      </w:r>
    </w:p>
    <w:p>
      <w:pPr>
        <w:spacing w:line="360" w:lineRule="auto"/>
        <w:ind w:firstLine="480" w:firstLineChars="200"/>
        <w:rPr>
          <w:rFonts w:ascii="宋体"/>
          <w:bCs/>
          <w:color w:val="auto"/>
          <w:sz w:val="24"/>
          <w:szCs w:val="24"/>
        </w:rPr>
      </w:pPr>
      <w:r>
        <w:rPr>
          <w:rFonts w:hint="eastAsia" w:ascii="宋体" w:hAnsi="宋体"/>
          <w:bCs/>
          <w:color w:val="auto"/>
          <w:sz w:val="24"/>
          <w:szCs w:val="24"/>
        </w:rPr>
        <w:t>本次招标，无锡市公共资源交易中心新吴分中心为中标供应商提供免费服务，不收取中标服务费。</w:t>
      </w:r>
    </w:p>
    <w:p>
      <w:pPr>
        <w:spacing w:line="400" w:lineRule="exact"/>
        <w:jc w:val="center"/>
        <w:rPr>
          <w:rFonts w:ascii="黑体" w:eastAsia="黑体"/>
          <w:bCs/>
          <w:color w:val="auto"/>
          <w:sz w:val="30"/>
          <w:szCs w:val="30"/>
        </w:rPr>
      </w:pPr>
    </w:p>
    <w:p>
      <w:pPr>
        <w:spacing w:line="400" w:lineRule="exact"/>
        <w:jc w:val="center"/>
        <w:rPr>
          <w:rFonts w:ascii="黑体" w:eastAsia="黑体"/>
          <w:bCs/>
          <w:color w:val="auto"/>
          <w:sz w:val="30"/>
          <w:szCs w:val="30"/>
        </w:rPr>
      </w:pPr>
    </w:p>
    <w:p>
      <w:pPr>
        <w:spacing w:line="400" w:lineRule="exact"/>
        <w:jc w:val="center"/>
        <w:rPr>
          <w:rFonts w:ascii="黑体" w:eastAsia="黑体"/>
          <w:bCs/>
          <w:color w:val="auto"/>
          <w:sz w:val="30"/>
          <w:szCs w:val="30"/>
        </w:rPr>
      </w:pPr>
    </w:p>
    <w:p>
      <w:pPr>
        <w:spacing w:line="400" w:lineRule="exact"/>
        <w:jc w:val="center"/>
        <w:rPr>
          <w:rFonts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hint="eastAsia" w:ascii="黑体" w:eastAsia="黑体"/>
          <w:bCs/>
          <w:color w:val="auto"/>
          <w:sz w:val="30"/>
          <w:szCs w:val="30"/>
        </w:rPr>
      </w:pPr>
    </w:p>
    <w:p>
      <w:pPr>
        <w:spacing w:line="400" w:lineRule="exact"/>
        <w:jc w:val="center"/>
        <w:rPr>
          <w:rFonts w:ascii="黑体" w:eastAsia="黑体"/>
          <w:bCs/>
          <w:color w:val="auto"/>
          <w:sz w:val="30"/>
          <w:szCs w:val="30"/>
        </w:rPr>
      </w:pPr>
    </w:p>
    <w:p>
      <w:pPr>
        <w:pStyle w:val="2"/>
        <w:ind w:firstLine="420"/>
        <w:rPr>
          <w:color w:val="auto"/>
        </w:rPr>
      </w:pPr>
    </w:p>
    <w:p>
      <w:pPr>
        <w:pStyle w:val="3"/>
        <w:rPr>
          <w:rFonts w:eastAsia="等线"/>
          <w:color w:val="auto"/>
        </w:rPr>
      </w:pPr>
    </w:p>
    <w:p>
      <w:pPr>
        <w:pStyle w:val="3"/>
        <w:rPr>
          <w:rFonts w:eastAsia="等线"/>
          <w:color w:val="auto"/>
        </w:rPr>
      </w:pPr>
    </w:p>
    <w:p>
      <w:pPr>
        <w:pStyle w:val="3"/>
        <w:rPr>
          <w:rFonts w:eastAsia="等线"/>
          <w:color w:val="auto"/>
        </w:rPr>
      </w:pPr>
    </w:p>
    <w:p>
      <w:pPr>
        <w:pStyle w:val="3"/>
        <w:rPr>
          <w:rFonts w:eastAsia="等线"/>
          <w:color w:val="auto"/>
        </w:rPr>
      </w:pPr>
    </w:p>
    <w:p>
      <w:pPr>
        <w:pStyle w:val="3"/>
        <w:rPr>
          <w:rFonts w:eastAsia="等线"/>
          <w:color w:val="auto"/>
        </w:rPr>
      </w:pPr>
    </w:p>
    <w:p>
      <w:pPr>
        <w:pStyle w:val="3"/>
        <w:rPr>
          <w:rFonts w:hint="eastAsia" w:eastAsia="等线"/>
          <w:color w:val="auto"/>
        </w:rPr>
      </w:pPr>
    </w:p>
    <w:p>
      <w:pPr>
        <w:pStyle w:val="30"/>
        <w:ind w:left="0" w:leftChars="0" w:firstLine="0" w:firstLineChars="0"/>
        <w:rPr>
          <w:rFonts w:hint="eastAsia"/>
          <w:color w:val="auto"/>
        </w:rPr>
      </w:pPr>
    </w:p>
    <w:p>
      <w:pPr>
        <w:spacing w:line="360" w:lineRule="auto"/>
        <w:jc w:val="center"/>
        <w:outlineLvl w:val="0"/>
        <w:rPr>
          <w:rFonts w:ascii="黑体" w:eastAsia="黑体"/>
          <w:bCs/>
          <w:color w:val="auto"/>
          <w:sz w:val="30"/>
          <w:szCs w:val="30"/>
        </w:rPr>
      </w:pPr>
      <w:r>
        <w:rPr>
          <w:rFonts w:hint="eastAsia" w:ascii="黑体" w:eastAsia="黑体"/>
          <w:bCs/>
          <w:color w:val="auto"/>
          <w:sz w:val="30"/>
          <w:szCs w:val="30"/>
        </w:rPr>
        <w:t>三．</w:t>
      </w:r>
      <w:r>
        <w:rPr>
          <w:rFonts w:hint="eastAsia" w:ascii="黑体" w:eastAsia="黑体"/>
          <w:b/>
          <w:color w:val="auto"/>
          <w:sz w:val="30"/>
          <w:szCs w:val="30"/>
        </w:rPr>
        <w:t>项目技术要求和有关说明</w:t>
      </w:r>
    </w:p>
    <w:p>
      <w:pPr>
        <w:widowControl/>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投标人所投内容必须满足以下要求，不得有负偏离。</w:t>
      </w:r>
    </w:p>
    <w:p>
      <w:pPr>
        <w:tabs>
          <w:tab w:val="left" w:pos="525"/>
          <w:tab w:val="left" w:pos="945"/>
          <w:tab w:val="left" w:pos="1050"/>
        </w:tabs>
        <w:spacing w:line="360" w:lineRule="auto"/>
        <w:ind w:firstLine="240" w:firstLineChars="100"/>
        <w:jc w:val="left"/>
        <w:rPr>
          <w:rFonts w:hint="eastAsia" w:ascii="宋体" w:hAnsi="宋体" w:cs="宋体"/>
          <w:b/>
          <w:bCs/>
          <w:color w:val="auto"/>
          <w:sz w:val="24"/>
          <w:szCs w:val="24"/>
        </w:rPr>
      </w:pPr>
      <w:r>
        <w:rPr>
          <w:rFonts w:hint="eastAsia" w:ascii="宋体" w:hAnsi="宋体" w:cs="宋体"/>
          <w:b/>
          <w:bCs/>
          <w:color w:val="auto"/>
          <w:sz w:val="24"/>
          <w:szCs w:val="24"/>
          <w:lang w:eastAsia="zh-Hans"/>
        </w:rPr>
        <w:t>（一）</w:t>
      </w:r>
      <w:r>
        <w:rPr>
          <w:rFonts w:hint="eastAsia" w:ascii="宋体" w:hAnsi="宋体" w:cs="宋体"/>
          <w:b/>
          <w:bCs/>
          <w:color w:val="auto"/>
          <w:sz w:val="24"/>
          <w:szCs w:val="24"/>
        </w:rPr>
        <w:t>项目采购清单</w:t>
      </w:r>
    </w:p>
    <w:tbl>
      <w:tblPr>
        <w:tblStyle w:val="31"/>
        <w:tblW w:w="0" w:type="auto"/>
        <w:tblInd w:w="88" w:type="dxa"/>
        <w:tblLayout w:type="fixed"/>
        <w:tblCellMar>
          <w:top w:w="0" w:type="dxa"/>
          <w:left w:w="108" w:type="dxa"/>
          <w:bottom w:w="0" w:type="dxa"/>
          <w:right w:w="108" w:type="dxa"/>
        </w:tblCellMar>
      </w:tblPr>
      <w:tblGrid>
        <w:gridCol w:w="537"/>
        <w:gridCol w:w="884"/>
        <w:gridCol w:w="739"/>
        <w:gridCol w:w="1282"/>
        <w:gridCol w:w="4854"/>
        <w:gridCol w:w="625"/>
        <w:gridCol w:w="587"/>
        <w:gridCol w:w="542"/>
      </w:tblGrid>
      <w:tr>
        <w:tblPrEx>
          <w:tblCellMar>
            <w:top w:w="0" w:type="dxa"/>
            <w:left w:w="108" w:type="dxa"/>
            <w:bottom w:w="0" w:type="dxa"/>
            <w:right w:w="108" w:type="dxa"/>
          </w:tblCellMar>
        </w:tblPrEx>
        <w:trPr>
          <w:trHeight w:val="52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序号</w:t>
            </w:r>
          </w:p>
        </w:tc>
        <w:tc>
          <w:tcPr>
            <w:tcW w:w="2905" w:type="dxa"/>
            <w:gridSpan w:val="3"/>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产品/服务名称</w:t>
            </w:r>
          </w:p>
        </w:tc>
        <w:tc>
          <w:tcPr>
            <w:tcW w:w="4854" w:type="dxa"/>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参数/功能描述</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数量</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单位</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center"/>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备注</w:t>
            </w:r>
          </w:p>
        </w:tc>
      </w:tr>
      <w:tr>
        <w:tblPrEx>
          <w:tblCellMar>
            <w:top w:w="0" w:type="dxa"/>
            <w:left w:w="108" w:type="dxa"/>
            <w:bottom w:w="0" w:type="dxa"/>
            <w:right w:w="108" w:type="dxa"/>
          </w:tblCellMar>
        </w:tblPrEx>
        <w:trPr>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c>
          <w:tcPr>
            <w:tcW w:w="2905" w:type="dxa"/>
            <w:gridSpan w:val="3"/>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c>
          <w:tcPr>
            <w:tcW w:w="4854" w:type="dxa"/>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jc w:val="center"/>
              <w:rPr>
                <w:rFonts w:hint="eastAsia" w:ascii="宋体" w:hAnsi="宋体" w:cs="宋体"/>
                <w:b/>
                <w:bCs/>
                <w:color w:val="auto"/>
                <w:sz w:val="16"/>
                <w:szCs w:val="16"/>
              </w:rPr>
            </w:pPr>
          </w:p>
        </w:tc>
      </w:tr>
      <w:tr>
        <w:tblPrEx>
          <w:tblCellMar>
            <w:top w:w="0" w:type="dxa"/>
            <w:left w:w="108" w:type="dxa"/>
            <w:bottom w:w="0" w:type="dxa"/>
            <w:right w:w="108" w:type="dxa"/>
          </w:tblCellMar>
        </w:tblPrEx>
        <w:trPr>
          <w:trHeight w:val="90" w:hRule="atLeast"/>
        </w:trPr>
        <w:tc>
          <w:tcPr>
            <w:tcW w:w="10050" w:type="dxa"/>
            <w:gridSpan w:val="8"/>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left"/>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一、数据服务</w:t>
            </w:r>
          </w:p>
        </w:tc>
      </w:tr>
      <w:tr>
        <w:tblPrEx>
          <w:tblCellMar>
            <w:top w:w="0" w:type="dxa"/>
            <w:left w:w="108" w:type="dxa"/>
            <w:bottom w:w="0" w:type="dxa"/>
            <w:right w:w="108" w:type="dxa"/>
          </w:tblCellMar>
        </w:tblPrEx>
        <w:trPr>
          <w:trHeight w:val="761"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数据采集</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数据源</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合作数据、警情数据、采集数据、举报数据等各渠道数据源汇聚整合，每日实时检出3000万恶意网址，250W恶意APK，动态扩充黑产库</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1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数据分类</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实时地对恶意数据进行分类，主要分为三大类，恶意APP数据、恶意网址数据、网络电话VOS数据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44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数据采集</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恶意网址数据采集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对数据源中恶意网址类数据的分类动态采集，实时补充网址数据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网络电话数据采集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对数据源中网络电话类数据的分类动态采集，实时补充电话类数据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5</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恶意APP数据采集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对数据源中恶意APP类数据的分类动态采集，实时补充APP数据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6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6</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数据处理</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数据预处理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采集数据去重、垃圾数据处理、冗余处理、文本处理等数据预处理</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7</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结构化数据处理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包括预警信息、手机号码、身份信息、多源数据通过结构化数据处理</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8</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非结构化数据处理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通缉令诈骗的OCR处理，杀猪盘诈骗的文件处理等等非结构化数据的处理</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9</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模型分析</w:t>
            </w: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分析模型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分类模型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对数据进行分类的模型</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10</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聚类模型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以对象为条件，进行数据聚类学习的模型</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6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11</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图谱类模型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根据对象图谱识别子环节的涉诈风险</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12</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感知模型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恶意APP感知模型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根据当前诈骗形式，实时调整感知app的恶意程度</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13</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恶意网址感知模型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根据当前诈骗形式，实时调整感知网址的风险程度</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14</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受害程度模型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网络电话类受害程度</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根据当前诈骗形式，实时调整电话诈骗的受害程度</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15</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网址、恶意APP类受害程度</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根据当前诈骗形式，实时调整网址诈骗、app诈骗的受害程度</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9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16</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类型识别模型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杀猪盘诈骗识别模型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从采集数据中分析识别出各类诈骗类型的模型，共12大类的诈骗类型，本文以杀猪盘诈骗识别模型为例。需根据热点诈骗形式，实时调整</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40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17</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防误报模型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网址防误报</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根据预警信息，动态的调整误报偏差模型，纠正报错率，以网址为例介绍</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18</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风险洞察模型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网络购物风险洞察模型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从数据中分析出网络购物的行为人员</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19</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信贷提额风险洞察模型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从数据中分析出信贷提额的行为人员</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1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20</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虚假交友风险洞察模型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从数据中分析出可能的虚假交友的行为人员</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21</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网络刷单风险洞察模型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从数据中分析出可能的网络刷单的行为人员</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22</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其他相关模型</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其他类型的人员筛选模型</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374"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23</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关联分析</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数据仓库</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建模分析的数据统一进入数据仓库，分为原始库、资源库、主题库等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1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24</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数据标识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对数据进行标签标识，方便对数据的快速调用</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25</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关联分析</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实现人、手机卡号、地、事、的信息关联归一，将各关联分析的数据，进行虚实结合关联分析</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40" w:hRule="atLeast"/>
        </w:trPr>
        <w:tc>
          <w:tcPr>
            <w:tcW w:w="10050" w:type="dxa"/>
            <w:gridSpan w:val="8"/>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left"/>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二、功能服务</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26</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大屏应用</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数据大屏</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将关键性数据输出至数据大屏，直观的展示辖区反诈数据，为下一步反诈提供直观的数据支撑</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套</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27</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反诈预警服务功能</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待处理预警</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展示辖区范围内，需要处理的预警信息</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28</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已处理预警</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展示辖区范围内，已经处理的预警信息</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29</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预警趋势</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提供整体预警数据的显示，及图标变化趋势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30</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预警检索</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可根据时间、类型、等级、手段等查看相关预警信息</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31</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预警导出</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可选择区间时间段，导出相关预警信息数据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32</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预警回访服务功能</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预警信息详情</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详细展示此预警的基本信息，如诈骗手段，类型、号码区域等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33</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回访话术</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根据诈骗类型，自动匹配不同类型的回访话术，方便回访人员快速的回访</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34</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回访基本信息录入</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录入预警信息的回访情况，包括，是否被骗，诈骗分子使用的诈骗工具，如：qq号、微信号、App，是否上门，预警是否有效、便捷回复等等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31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35</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回访记录同步</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可同步记录智能外呼的回访录音。</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36</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短信回访</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支持一键发送预警短信，内容可编辑</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37</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预警反制服务功能</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Style w:val="61"/>
                <w:rFonts w:hint="default"/>
                <w:color w:val="auto"/>
                <w:sz w:val="16"/>
                <w:szCs w:val="16"/>
                <w:lang w:bidi="ar"/>
              </w:rPr>
              <w:t>涉案QQ、微信号码的快速反制</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配合分局第一时间实现涉案QQ号码、微信号码的快速封停。</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38</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涉案网址的反制</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配合分局第一时间拦截举报的涉案网址，阻止其准受害者访问</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39</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手机号码标识反制</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配合分局第一时间对于涉案的黑号码进行批量标识，并同步给辖区的内准受害者</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30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40</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批量反制</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支持按模板批量提交反制信息，进行批量反制</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41</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Style w:val="61"/>
                <w:rFonts w:hint="default"/>
                <w:color w:val="auto"/>
                <w:sz w:val="16"/>
                <w:szCs w:val="16"/>
                <w:lang w:bidi="ar"/>
              </w:rPr>
              <w:t>QQ的拦截</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拦截涉案qq添加本区域居民</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2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42</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涉案网址的拦截</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拦截本区域居民访问涉案网址</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2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43</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手机号码的拦截</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拦截本区域居民接听涉案电话</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44</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风险洞察服务功能</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标签体系建设</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对感知人群进行标签体系建设，目前支持3000多个标签</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45</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样本分析</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基于相关风险洞察的标签能力，对样本就行实体、主体抽取，并对标签定义</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46</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风险感知</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根据风险洞察的各类风险模型，在海量的数据中，洞察相关风险人员、人群</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47</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交互设计</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体现友好交互的UI界面的设计</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2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48</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智能外呼服务功能</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坐席管理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16"/>
                <w:szCs w:val="16"/>
                <w:lang w:eastAsia="zh-CN" w:bidi="ar"/>
              </w:rPr>
            </w:pPr>
            <w:r>
              <w:rPr>
                <w:rFonts w:hint="eastAsia" w:ascii="宋体" w:hAnsi="宋体" w:cs="宋体"/>
                <w:color w:val="auto"/>
                <w:kern w:val="0"/>
                <w:sz w:val="16"/>
                <w:szCs w:val="16"/>
                <w:lang w:bidi="ar"/>
              </w:rPr>
              <w:t>开展语音沟通，具备智能问答、语义理解、深度学习、变量赋值、信息采集等功能；</w:t>
            </w:r>
          </w:p>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一路AI一天10个小时可拨打约300-500通电话（包含通讯线路话费）</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49</w:t>
            </w: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话术管理</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Style w:val="61"/>
                <w:rFonts w:hint="default"/>
                <w:color w:val="auto"/>
                <w:sz w:val="16"/>
                <w:szCs w:val="16"/>
                <w:lang w:bidi="ar"/>
              </w:rPr>
              <w:t>提供反制话术运维服务，含20多个场景已有通用话术模版，用于AI民警开展语音沟通，全年定期调优运维。包括劝阻话术和宣防话术</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项</w:t>
            </w:r>
          </w:p>
        </w:tc>
        <w:tc>
          <w:tcPr>
            <w:tcW w:w="54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6"/>
                <w:szCs w:val="16"/>
              </w:rPr>
            </w:pPr>
            <w:r>
              <w:rPr>
                <w:rFonts w:hint="eastAsia" w:ascii="宋体" w:hAnsi="宋体" w:cs="宋体"/>
                <w:color w:val="auto"/>
                <w:kern w:val="0"/>
                <w:sz w:val="16"/>
                <w:szCs w:val="16"/>
                <w:lang w:bidi="ar"/>
              </w:rPr>
              <w:t>　</w:t>
            </w:r>
          </w:p>
        </w:tc>
      </w:tr>
      <w:tr>
        <w:tblPrEx>
          <w:tblCellMar>
            <w:top w:w="0" w:type="dxa"/>
            <w:left w:w="108" w:type="dxa"/>
            <w:bottom w:w="0" w:type="dxa"/>
            <w:right w:w="108" w:type="dxa"/>
          </w:tblCellMar>
        </w:tblPrEx>
        <w:trPr>
          <w:trHeight w:val="135" w:hRule="atLeast"/>
        </w:trPr>
        <w:tc>
          <w:tcPr>
            <w:tcW w:w="10050" w:type="dxa"/>
            <w:gridSpan w:val="8"/>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widowControl/>
              <w:jc w:val="left"/>
              <w:textAlignment w:val="center"/>
              <w:rPr>
                <w:rFonts w:hint="eastAsia" w:ascii="宋体" w:hAnsi="宋体" w:cs="宋体"/>
                <w:b/>
                <w:bCs/>
                <w:color w:val="auto"/>
                <w:sz w:val="16"/>
                <w:szCs w:val="16"/>
              </w:rPr>
            </w:pPr>
            <w:r>
              <w:rPr>
                <w:rFonts w:hint="eastAsia" w:ascii="宋体" w:hAnsi="宋体" w:cs="宋体"/>
                <w:b/>
                <w:bCs/>
                <w:color w:val="auto"/>
                <w:kern w:val="0"/>
                <w:sz w:val="16"/>
                <w:szCs w:val="16"/>
                <w:lang w:bidi="ar"/>
              </w:rPr>
              <w:t>三、驻场服务</w:t>
            </w:r>
          </w:p>
        </w:tc>
      </w:tr>
      <w:tr>
        <w:tblPrEx>
          <w:tblCellMar>
            <w:top w:w="0" w:type="dxa"/>
            <w:left w:w="108" w:type="dxa"/>
            <w:bottom w:w="0" w:type="dxa"/>
            <w:right w:w="108" w:type="dxa"/>
          </w:tblCellMar>
        </w:tblPrEx>
        <w:trPr>
          <w:trHeight w:val="280" w:hRule="atLeast"/>
        </w:trPr>
        <w:tc>
          <w:tcPr>
            <w:tcW w:w="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50</w:t>
            </w:r>
          </w:p>
        </w:tc>
        <w:tc>
          <w:tcPr>
            <w:tcW w:w="29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驻场服务（三年）</w:t>
            </w:r>
          </w:p>
        </w:tc>
        <w:tc>
          <w:tcPr>
            <w:tcW w:w="48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Style w:val="61"/>
                <w:rFonts w:hint="default"/>
                <w:color w:val="auto"/>
                <w:sz w:val="16"/>
                <w:szCs w:val="16"/>
                <w:lang w:bidi="ar"/>
              </w:rPr>
              <w:t>配备1名驻场服务人员，提供3年驻场服务。</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3</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年</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6"/>
                <w:szCs w:val="16"/>
              </w:rPr>
            </w:pPr>
          </w:p>
        </w:tc>
      </w:tr>
    </w:tbl>
    <w:p>
      <w:pPr>
        <w:tabs>
          <w:tab w:val="left" w:pos="525"/>
          <w:tab w:val="left" w:pos="945"/>
          <w:tab w:val="left" w:pos="1050"/>
        </w:tabs>
        <w:spacing w:line="360" w:lineRule="auto"/>
        <w:jc w:val="left"/>
        <w:rPr>
          <w:rFonts w:hint="eastAsia" w:ascii="宋体" w:hAnsi="宋体" w:cs="宋体"/>
          <w:b/>
          <w:bCs/>
          <w:color w:val="auto"/>
          <w:sz w:val="24"/>
          <w:szCs w:val="24"/>
          <w:lang w:eastAsia="zh-Hans"/>
        </w:rPr>
      </w:pPr>
    </w:p>
    <w:p>
      <w:pPr>
        <w:tabs>
          <w:tab w:val="left" w:pos="525"/>
          <w:tab w:val="left" w:pos="945"/>
          <w:tab w:val="left" w:pos="1050"/>
        </w:tabs>
        <w:spacing w:line="360" w:lineRule="auto"/>
        <w:jc w:val="left"/>
        <w:rPr>
          <w:rFonts w:hint="eastAsia" w:ascii="宋体" w:hAnsi="宋体" w:cs="宋体"/>
          <w:b/>
          <w:bCs/>
          <w:color w:val="auto"/>
          <w:sz w:val="24"/>
          <w:szCs w:val="24"/>
          <w:lang w:eastAsia="zh-Hans"/>
        </w:rPr>
      </w:pPr>
      <w:r>
        <w:rPr>
          <w:rFonts w:hint="eastAsia" w:ascii="宋体" w:hAnsi="宋体" w:cs="宋体"/>
          <w:b/>
          <w:bCs/>
          <w:color w:val="auto"/>
          <w:sz w:val="24"/>
          <w:szCs w:val="24"/>
          <w:lang w:eastAsia="zh-Hans"/>
        </w:rPr>
        <w:t>（二）技术要求</w:t>
      </w:r>
    </w:p>
    <w:p>
      <w:pPr>
        <w:spacing w:line="360" w:lineRule="auto"/>
        <w:outlineLvl w:val="1"/>
        <w:rPr>
          <w:rFonts w:hint="eastAsia" w:ascii="黑体" w:hAnsi="宋体" w:eastAsia="黑体"/>
          <w:b/>
          <w:color w:val="auto"/>
          <w:sz w:val="24"/>
          <w:szCs w:val="24"/>
          <w:lang w:eastAsia="zh-Hans"/>
        </w:rPr>
      </w:pPr>
      <w:r>
        <w:rPr>
          <w:rFonts w:hint="eastAsia" w:ascii="黑体" w:hAnsi="宋体" w:eastAsia="黑体"/>
          <w:b/>
          <w:color w:val="auto"/>
          <w:sz w:val="24"/>
          <w:szCs w:val="24"/>
          <w:lang w:eastAsia="zh-Hans"/>
        </w:rPr>
        <w:t>1、项目概况</w:t>
      </w:r>
    </w:p>
    <w:p>
      <w:pPr>
        <w:pStyle w:val="2"/>
        <w:spacing w:line="360" w:lineRule="auto"/>
        <w:ind w:firstLine="480"/>
        <w:rPr>
          <w:rFonts w:hAnsi="宋体"/>
          <w:color w:val="auto"/>
          <w:sz w:val="24"/>
          <w:szCs w:val="24"/>
        </w:rPr>
      </w:pPr>
      <w:r>
        <w:rPr>
          <w:rFonts w:hAnsi="宋体"/>
          <w:color w:val="auto"/>
          <w:sz w:val="24"/>
          <w:szCs w:val="24"/>
        </w:rPr>
        <w:t>近年来，各地区各部门贯彻落实党中央决策部署，持续开展电信网络诈骗犯罪打击治理工作，随着打击网络诈骗犯罪力度的不断加大，犯罪分子为逃避打击、规避风险，不断对诈骗手段进行“升级”，在犯罪形式、犯罪手法上呈现公司化、平台化、智能化；境外犯罪团伙与境内黑灰产业勾连日益加剧，使公安机关侦查办案面临严峻挑战</w:t>
      </w:r>
      <w:r>
        <w:rPr>
          <w:rFonts w:hint="eastAsia" w:hAnsi="宋体"/>
          <w:color w:val="auto"/>
          <w:sz w:val="24"/>
          <w:szCs w:val="24"/>
        </w:rPr>
        <w:t>。亟须通过</w:t>
      </w:r>
      <w:r>
        <w:rPr>
          <w:rFonts w:hAnsi="宋体"/>
          <w:color w:val="auto"/>
          <w:sz w:val="24"/>
          <w:szCs w:val="24"/>
        </w:rPr>
        <w:t>新型信息化手段更新应对策略，强化作战手法，固化作战模式，挖掘涉案线索，以信息化、智能化提升警务实战能力。</w:t>
      </w:r>
    </w:p>
    <w:p>
      <w:pPr>
        <w:pStyle w:val="2"/>
        <w:spacing w:line="360" w:lineRule="auto"/>
        <w:ind w:firstLine="480"/>
        <w:rPr>
          <w:rFonts w:hAnsi="宋体"/>
          <w:color w:val="auto"/>
          <w:sz w:val="24"/>
          <w:szCs w:val="24"/>
        </w:rPr>
      </w:pPr>
      <w:r>
        <w:rPr>
          <w:rFonts w:hAnsi="宋体"/>
          <w:color w:val="auto"/>
          <w:sz w:val="24"/>
          <w:szCs w:val="24"/>
        </w:rPr>
        <w:t>在这一形势下，2021年4月8日习近平总书记对关于打击治理新型电信网络违法犯罪工作作出重要强调指示，“坚持以人民为中心，全面落实打防管控措施，坚决遏制电信网络违法犯罪多发、高发态势”。2021年10月23日，第十三届全国人大常委会公布的《中华人民共和国反电信网络诈骗法</w:t>
      </w:r>
      <w:r>
        <w:rPr>
          <w:rFonts w:hint="eastAsia" w:hAnsi="宋体"/>
          <w:color w:val="auto"/>
          <w:sz w:val="24"/>
          <w:szCs w:val="24"/>
        </w:rPr>
        <w:t>（</w:t>
      </w:r>
      <w:r>
        <w:rPr>
          <w:rFonts w:hAnsi="宋体"/>
          <w:color w:val="auto"/>
          <w:sz w:val="24"/>
          <w:szCs w:val="24"/>
        </w:rPr>
        <w:t>草案</w:t>
      </w:r>
      <w:r>
        <w:rPr>
          <w:rFonts w:hint="eastAsia" w:hAnsi="宋体"/>
          <w:color w:val="auto"/>
          <w:sz w:val="24"/>
          <w:szCs w:val="24"/>
        </w:rPr>
        <w:t>）</w:t>
      </w:r>
      <w:r>
        <w:rPr>
          <w:rFonts w:hAnsi="宋体"/>
          <w:color w:val="auto"/>
          <w:sz w:val="24"/>
          <w:szCs w:val="24"/>
        </w:rPr>
        <w:t>》第二十八条规定：“公安机关应当建立预警劝阻系统，对预警发现的潜在被害人，根据情况及时采取相应劝阻措施”。</w:t>
      </w:r>
    </w:p>
    <w:p>
      <w:pPr>
        <w:pStyle w:val="2"/>
        <w:spacing w:line="360" w:lineRule="auto"/>
        <w:ind w:firstLine="480"/>
        <w:rPr>
          <w:rFonts w:hAnsi="宋体"/>
          <w:color w:val="auto"/>
          <w:sz w:val="24"/>
          <w:szCs w:val="24"/>
        </w:rPr>
      </w:pPr>
      <w:r>
        <w:rPr>
          <w:rFonts w:hAnsi="宋体"/>
          <w:color w:val="auto"/>
          <w:sz w:val="24"/>
          <w:szCs w:val="24"/>
        </w:rPr>
        <w:t>2022年</w:t>
      </w:r>
      <w:r>
        <w:rPr>
          <w:rFonts w:hint="eastAsia" w:hAnsi="宋体"/>
          <w:color w:val="auto"/>
          <w:sz w:val="24"/>
          <w:szCs w:val="24"/>
        </w:rPr>
        <w:t>4月1</w:t>
      </w:r>
      <w:r>
        <w:rPr>
          <w:rFonts w:hAnsi="宋体"/>
          <w:color w:val="auto"/>
          <w:sz w:val="24"/>
          <w:szCs w:val="24"/>
        </w:rPr>
        <w:t>8</w:t>
      </w:r>
      <w:r>
        <w:rPr>
          <w:rFonts w:hint="eastAsia" w:hAnsi="宋体"/>
          <w:color w:val="auto"/>
          <w:sz w:val="24"/>
          <w:szCs w:val="24"/>
        </w:rPr>
        <w:t>日，</w:t>
      </w:r>
      <w:r>
        <w:rPr>
          <w:rFonts w:hAnsi="宋体"/>
          <w:color w:val="auto"/>
          <w:sz w:val="24"/>
          <w:szCs w:val="24"/>
        </w:rPr>
        <w:t>中央“两办”出台《关于加强打击治理电信网络诈骗违法犯罪工作的意见》。主要目标：到2023年年底，与打击治理电信网络诈骗违法犯罪新形势新任务相适应的工作机制和工作格局基本形成，电诈网络诈骗违法犯罪多发高发态势有效遏制。到2025年年底，打击治理电信网络诈骗违法犯罪的长效工作机制基本完善，打击治理能力显著提升，全国电信网络诈骗违法犯罪案件数量以及群众受骗损失明显下降，电信网络诈骗违法犯罪多发高发态势基本扭转，党委领导、政府主导、部门主责、行业监管、有关方面齐抓共管、社会各界广泛参与的工作格局进一步健全。</w:t>
      </w:r>
    </w:p>
    <w:p>
      <w:pPr>
        <w:pStyle w:val="2"/>
        <w:spacing w:line="360" w:lineRule="auto"/>
        <w:ind w:firstLine="480"/>
        <w:rPr>
          <w:rFonts w:hAnsi="宋体"/>
          <w:color w:val="auto"/>
          <w:sz w:val="24"/>
          <w:szCs w:val="24"/>
        </w:rPr>
      </w:pPr>
      <w:r>
        <w:rPr>
          <w:rFonts w:hint="eastAsia" w:hAnsi="宋体"/>
          <w:color w:val="auto"/>
          <w:sz w:val="24"/>
          <w:szCs w:val="24"/>
        </w:rPr>
        <w:t>综上，在公安机关打击电信诈骗违法犯罪活动的工作中，反诈中心要发挥越来越大的作用。但反诈中心如果不能用信息化、自动化的手段去开展工作，以现有的警力依然是杯水车薪，无法满足《公安机关侦办电信诈骗案件工作机制》的要求，所以必须尽快启动分局反诈中心新吴反诈全流程工作平台项目的建设工作。</w:t>
      </w:r>
    </w:p>
    <w:p>
      <w:pPr>
        <w:rPr>
          <w:rFonts w:hint="eastAsia"/>
          <w:color w:val="auto"/>
          <w:lang w:eastAsia="zh-Hans"/>
        </w:rPr>
      </w:pPr>
    </w:p>
    <w:p>
      <w:pPr>
        <w:pStyle w:val="6"/>
        <w:spacing w:line="360" w:lineRule="auto"/>
        <w:jc w:val="left"/>
        <w:rPr>
          <w:rFonts w:hint="eastAsia" w:ascii="宋体" w:hAnsi="宋体" w:eastAsia="宋体" w:cs="宋体"/>
          <w:color w:val="auto"/>
          <w:kern w:val="2"/>
          <w:sz w:val="24"/>
          <w:szCs w:val="24"/>
        </w:rPr>
      </w:pPr>
      <w:r>
        <w:rPr>
          <w:rFonts w:ascii="宋体" w:hAnsi="宋体" w:eastAsia="宋体" w:cs="宋体"/>
          <w:color w:val="auto"/>
          <w:kern w:val="2"/>
          <w:sz w:val="24"/>
          <w:szCs w:val="24"/>
        </w:rPr>
        <w:t>1）</w:t>
      </w:r>
      <w:r>
        <w:rPr>
          <w:rFonts w:hint="eastAsia" w:ascii="宋体" w:hAnsi="宋体" w:eastAsia="宋体" w:cs="宋体"/>
          <w:color w:val="auto"/>
          <w:kern w:val="2"/>
          <w:sz w:val="24"/>
          <w:szCs w:val="24"/>
        </w:rPr>
        <w:t>建设目标</w:t>
      </w:r>
    </w:p>
    <w:p>
      <w:pPr>
        <w:pStyle w:val="2"/>
        <w:spacing w:line="360" w:lineRule="auto"/>
        <w:ind w:firstLine="480"/>
        <w:rPr>
          <w:rFonts w:hAnsi="宋体"/>
          <w:color w:val="auto"/>
          <w:sz w:val="24"/>
          <w:szCs w:val="24"/>
        </w:rPr>
      </w:pPr>
      <w:r>
        <w:rPr>
          <w:rFonts w:hAnsi="宋体"/>
          <w:color w:val="auto"/>
          <w:sz w:val="24"/>
          <w:szCs w:val="24"/>
        </w:rPr>
        <w:t>平台整体建设紧紧围绕“贴近实战、服务实战”进行整体规划，依托海量数据的覆盖，对当前诈骗犯罪采用的工具、通道进行特征收集</w:t>
      </w:r>
      <w:r>
        <w:rPr>
          <w:rFonts w:hint="eastAsia" w:hAnsi="宋体"/>
          <w:color w:val="auto"/>
          <w:sz w:val="24"/>
          <w:szCs w:val="24"/>
        </w:rPr>
        <w:t>，</w:t>
      </w:r>
      <w:r>
        <w:rPr>
          <w:rFonts w:hAnsi="宋体"/>
          <w:color w:val="auto"/>
          <w:sz w:val="24"/>
          <w:szCs w:val="24"/>
        </w:rPr>
        <w:t>汇聚特征数据，建立</w:t>
      </w:r>
      <w:r>
        <w:rPr>
          <w:rFonts w:hint="eastAsia" w:hAnsi="宋体"/>
          <w:color w:val="auto"/>
          <w:sz w:val="24"/>
          <w:szCs w:val="24"/>
        </w:rPr>
        <w:t>新吴反诈全流程工作平</w:t>
      </w:r>
      <w:r>
        <w:rPr>
          <w:rFonts w:hAnsi="宋体"/>
          <w:color w:val="auto"/>
          <w:sz w:val="24"/>
          <w:szCs w:val="24"/>
        </w:rPr>
        <w:t>台，从而获得</w:t>
      </w:r>
      <w:r>
        <w:rPr>
          <w:rFonts w:hint="eastAsia" w:hAnsi="宋体"/>
          <w:color w:val="auto"/>
          <w:sz w:val="24"/>
          <w:szCs w:val="24"/>
        </w:rPr>
        <w:t>风险洞察能力、预警劝阻能力、A</w:t>
      </w:r>
      <w:r>
        <w:rPr>
          <w:rFonts w:hAnsi="宋体"/>
          <w:color w:val="auto"/>
          <w:sz w:val="24"/>
          <w:szCs w:val="24"/>
        </w:rPr>
        <w:t>I</w:t>
      </w:r>
      <w:r>
        <w:rPr>
          <w:rFonts w:hint="eastAsia" w:hAnsi="宋体"/>
          <w:color w:val="auto"/>
          <w:sz w:val="24"/>
          <w:szCs w:val="24"/>
        </w:rPr>
        <w:t>外呼能力、技术反制能力，</w:t>
      </w:r>
      <w:r>
        <w:rPr>
          <w:rFonts w:hAnsi="宋体"/>
          <w:color w:val="auto"/>
          <w:sz w:val="24"/>
          <w:szCs w:val="24"/>
        </w:rPr>
        <w:t>助力实现公安部反电诈“两降两升”的总体要求。</w:t>
      </w:r>
    </w:p>
    <w:p>
      <w:pPr>
        <w:pStyle w:val="6"/>
        <w:spacing w:line="360" w:lineRule="auto"/>
        <w:jc w:val="both"/>
        <w:rPr>
          <w:rFonts w:hint="eastAsia" w:ascii="宋体" w:hAnsi="宋体" w:eastAsia="宋体" w:cs="宋体"/>
          <w:color w:val="auto"/>
          <w:kern w:val="2"/>
          <w:sz w:val="24"/>
          <w:szCs w:val="24"/>
          <w:lang w:eastAsia="zh-Hans"/>
        </w:rPr>
      </w:pPr>
      <w:r>
        <w:rPr>
          <w:rFonts w:ascii="宋体" w:hAnsi="宋体" w:eastAsia="宋体" w:cs="宋体"/>
          <w:color w:val="auto"/>
          <w:kern w:val="2"/>
          <w:sz w:val="24"/>
          <w:szCs w:val="24"/>
          <w:lang w:eastAsia="zh-Hans"/>
        </w:rPr>
        <w:t>2）</w:t>
      </w:r>
      <w:r>
        <w:rPr>
          <w:rFonts w:hint="eastAsia" w:ascii="宋体" w:hAnsi="宋体" w:eastAsia="宋体" w:cs="宋体"/>
          <w:color w:val="auto"/>
          <w:kern w:val="2"/>
          <w:sz w:val="24"/>
          <w:szCs w:val="24"/>
          <w:lang w:eastAsia="zh-Hans"/>
        </w:rPr>
        <w:t>项目建设的意义和必要性</w:t>
      </w:r>
    </w:p>
    <w:p>
      <w:pPr>
        <w:pStyle w:val="2"/>
        <w:spacing w:line="360" w:lineRule="auto"/>
        <w:ind w:firstLine="480"/>
        <w:rPr>
          <w:rFonts w:hAnsi="宋体"/>
          <w:color w:val="auto"/>
          <w:sz w:val="24"/>
          <w:szCs w:val="24"/>
        </w:rPr>
      </w:pPr>
      <w:r>
        <w:rPr>
          <w:rFonts w:hAnsi="宋体"/>
          <w:color w:val="auto"/>
          <w:sz w:val="24"/>
          <w:szCs w:val="24"/>
        </w:rPr>
        <w:t>总书记的重要指示除了肯定全国反诈战线取得的成绩外，也从责任落实、法律制度建设、宣传防范、国际执法合作等几个层面指明了努力方向，同时还提出了工作目标——坚决遏制此类犯罪多发高发态势，为建设更高水平的平安中国、法治中国作出新的更大的贡献。可谓是提供了根本遵循！表明反</w:t>
      </w:r>
      <w:r>
        <w:rPr>
          <w:rFonts w:hint="eastAsia" w:hAnsi="宋体"/>
          <w:color w:val="auto"/>
          <w:sz w:val="24"/>
          <w:szCs w:val="24"/>
        </w:rPr>
        <w:t>电</w:t>
      </w:r>
      <w:r>
        <w:rPr>
          <w:rFonts w:hAnsi="宋体"/>
          <w:color w:val="auto"/>
          <w:sz w:val="24"/>
          <w:szCs w:val="24"/>
        </w:rPr>
        <w:t>诈工作已经正式上升到党中央、国务院层面，也表明全党全国将会充分发挥政治优势、制度优势进一步打击治理电信网络诈骗，更充分表明，全国的反</w:t>
      </w:r>
      <w:r>
        <w:rPr>
          <w:rFonts w:hint="eastAsia" w:hAnsi="宋体"/>
          <w:color w:val="auto"/>
          <w:sz w:val="24"/>
          <w:szCs w:val="24"/>
        </w:rPr>
        <w:t>电</w:t>
      </w:r>
      <w:r>
        <w:rPr>
          <w:rFonts w:hAnsi="宋体"/>
          <w:color w:val="auto"/>
          <w:sz w:val="24"/>
          <w:szCs w:val="24"/>
        </w:rPr>
        <w:t>诈工作将进入一个全党全国全社会动员和以源头治理、综合治理为主的新时代！</w:t>
      </w:r>
    </w:p>
    <w:p>
      <w:pPr>
        <w:pStyle w:val="2"/>
        <w:spacing w:line="360" w:lineRule="auto"/>
        <w:ind w:firstLine="480"/>
        <w:rPr>
          <w:rFonts w:hAnsi="宋体"/>
          <w:color w:val="auto"/>
          <w:sz w:val="24"/>
          <w:szCs w:val="24"/>
        </w:rPr>
      </w:pPr>
      <w:r>
        <w:rPr>
          <w:rFonts w:hAnsi="宋体"/>
          <w:color w:val="auto"/>
          <w:sz w:val="24"/>
          <w:szCs w:val="24"/>
        </w:rPr>
        <w:t>总书记的重要指示，明确了方向，也为反电诈工作提出了“打防结合，以防为主”，把宣传防范工作提升到了一个更高的地位。</w:t>
      </w:r>
    </w:p>
    <w:p>
      <w:pPr>
        <w:pStyle w:val="2"/>
        <w:spacing w:line="360" w:lineRule="auto"/>
        <w:ind w:firstLine="480"/>
        <w:rPr>
          <w:rFonts w:hAnsi="宋体"/>
          <w:color w:val="auto"/>
          <w:sz w:val="24"/>
          <w:szCs w:val="24"/>
        </w:rPr>
      </w:pPr>
      <w:r>
        <w:rPr>
          <w:rFonts w:hint="eastAsia" w:hAnsi="宋体"/>
          <w:color w:val="auto"/>
          <w:sz w:val="24"/>
          <w:szCs w:val="24"/>
        </w:rPr>
        <w:t>新吴反诈全流程工作平台</w:t>
      </w:r>
      <w:r>
        <w:rPr>
          <w:rFonts w:hAnsi="宋体"/>
          <w:color w:val="auto"/>
          <w:sz w:val="24"/>
          <w:szCs w:val="24"/>
        </w:rPr>
        <w:t>的建设正是落实总书记的重要指示的实践，</w:t>
      </w:r>
      <w:r>
        <w:rPr>
          <w:rFonts w:hint="eastAsia" w:hAnsi="宋体"/>
          <w:color w:val="auto"/>
          <w:sz w:val="24"/>
          <w:szCs w:val="24"/>
        </w:rPr>
        <w:t>对于深</w:t>
      </w:r>
      <w:r>
        <w:rPr>
          <w:rFonts w:hAnsi="宋体"/>
          <w:color w:val="auto"/>
          <w:sz w:val="24"/>
          <w:szCs w:val="24"/>
        </w:rPr>
        <w:t>入剖析各类诈骗手段共同特征</w:t>
      </w:r>
      <w:r>
        <w:rPr>
          <w:rFonts w:hint="eastAsia" w:hAnsi="宋体"/>
          <w:color w:val="auto"/>
          <w:sz w:val="24"/>
          <w:szCs w:val="24"/>
        </w:rPr>
        <w:t>的工作</w:t>
      </w:r>
      <w:r>
        <w:rPr>
          <w:rFonts w:hAnsi="宋体"/>
          <w:color w:val="auto"/>
          <w:sz w:val="24"/>
          <w:szCs w:val="24"/>
        </w:rPr>
        <w:t>，需要一套科技化、多样化、实战化的管理平台，既能有深度的进行反电信诈骗的预警和</w:t>
      </w:r>
      <w:r>
        <w:rPr>
          <w:rFonts w:hint="eastAsia" w:hAnsi="宋体"/>
          <w:color w:val="auto"/>
          <w:sz w:val="24"/>
          <w:szCs w:val="24"/>
        </w:rPr>
        <w:t>反制</w:t>
      </w:r>
      <w:r>
        <w:rPr>
          <w:rFonts w:hAnsi="宋体"/>
          <w:color w:val="auto"/>
          <w:sz w:val="24"/>
          <w:szCs w:val="24"/>
        </w:rPr>
        <w:t>，提高人民群众反电诈和预防的意识，又能掌控全区目前电信诈骗案件的动态，通过有效预警、劝阻、</w:t>
      </w:r>
      <w:r>
        <w:rPr>
          <w:rFonts w:hint="eastAsia" w:hAnsi="宋体"/>
          <w:color w:val="auto"/>
          <w:sz w:val="24"/>
          <w:szCs w:val="24"/>
        </w:rPr>
        <w:t>反制</w:t>
      </w:r>
      <w:r>
        <w:rPr>
          <w:rFonts w:hAnsi="宋体"/>
          <w:color w:val="auto"/>
          <w:sz w:val="24"/>
          <w:szCs w:val="24"/>
        </w:rPr>
        <w:t>和打击等手段的统一指挥，实现“</w:t>
      </w:r>
      <w:r>
        <w:rPr>
          <w:rFonts w:hint="eastAsia" w:hAnsi="宋体"/>
          <w:color w:val="auto"/>
          <w:sz w:val="24"/>
          <w:szCs w:val="24"/>
        </w:rPr>
        <w:t>宣</w:t>
      </w:r>
      <w:r>
        <w:rPr>
          <w:rFonts w:hAnsi="宋体"/>
          <w:color w:val="auto"/>
          <w:sz w:val="24"/>
          <w:szCs w:val="24"/>
        </w:rPr>
        <w:t>、防、管、控、</w:t>
      </w:r>
      <w:r>
        <w:rPr>
          <w:rFonts w:hint="eastAsia" w:hAnsi="宋体"/>
          <w:color w:val="auto"/>
          <w:sz w:val="24"/>
          <w:szCs w:val="24"/>
        </w:rPr>
        <w:t>打</w:t>
      </w:r>
      <w:r>
        <w:rPr>
          <w:rFonts w:hAnsi="宋体"/>
          <w:color w:val="auto"/>
          <w:sz w:val="24"/>
          <w:szCs w:val="24"/>
        </w:rPr>
        <w:t>”的目标。</w:t>
      </w:r>
    </w:p>
    <w:p>
      <w:pPr>
        <w:pStyle w:val="2"/>
        <w:spacing w:line="360" w:lineRule="auto"/>
        <w:ind w:firstLine="480"/>
        <w:rPr>
          <w:rFonts w:hAnsi="宋体"/>
          <w:color w:val="auto"/>
          <w:sz w:val="24"/>
          <w:szCs w:val="24"/>
        </w:rPr>
      </w:pPr>
      <w:r>
        <w:rPr>
          <w:rFonts w:hAnsi="宋体"/>
          <w:color w:val="auto"/>
          <w:sz w:val="24"/>
          <w:szCs w:val="24"/>
        </w:rPr>
        <w:t>建设</w:t>
      </w:r>
      <w:r>
        <w:rPr>
          <w:rFonts w:hint="eastAsia" w:hAnsi="宋体"/>
          <w:color w:val="auto"/>
          <w:sz w:val="24"/>
          <w:szCs w:val="24"/>
        </w:rPr>
        <w:t>新吴反诈全流程工作平台</w:t>
      </w:r>
      <w:r>
        <w:rPr>
          <w:rFonts w:hAnsi="宋体"/>
          <w:color w:val="auto"/>
          <w:sz w:val="24"/>
          <w:szCs w:val="24"/>
        </w:rPr>
        <w:t>，可持续提高对电信网络诈骗检出能力与预防能力，为努力实现“两降两升”</w:t>
      </w:r>
      <w:r>
        <w:rPr>
          <w:rFonts w:hint="eastAsia" w:hAnsi="宋体"/>
          <w:color w:val="auto"/>
          <w:sz w:val="24"/>
          <w:szCs w:val="24"/>
        </w:rPr>
        <w:t>（</w:t>
      </w:r>
      <w:r>
        <w:rPr>
          <w:rFonts w:hAnsi="宋体"/>
          <w:color w:val="auto"/>
          <w:sz w:val="24"/>
          <w:szCs w:val="24"/>
        </w:rPr>
        <w:t>电信诈骗案件发案数、群众损失数明显下降、破获案件数、查处违法犯罪人员数明显上升</w:t>
      </w:r>
      <w:r>
        <w:rPr>
          <w:rFonts w:hint="eastAsia" w:hAnsi="宋体"/>
          <w:color w:val="auto"/>
          <w:sz w:val="24"/>
          <w:szCs w:val="24"/>
        </w:rPr>
        <w:t>）</w:t>
      </w:r>
      <w:r>
        <w:rPr>
          <w:rFonts w:hAnsi="宋体"/>
          <w:color w:val="auto"/>
          <w:sz w:val="24"/>
          <w:szCs w:val="24"/>
        </w:rPr>
        <w:t>目标奠定坚实的基础。</w:t>
      </w:r>
    </w:p>
    <w:p>
      <w:pPr>
        <w:pStyle w:val="6"/>
        <w:spacing w:line="360" w:lineRule="auto"/>
        <w:jc w:val="both"/>
        <w:rPr>
          <w:rFonts w:hint="eastAsia" w:ascii="宋体" w:hAnsi="宋体" w:eastAsia="宋体" w:cs="宋体"/>
          <w:color w:val="auto"/>
          <w:kern w:val="2"/>
          <w:sz w:val="24"/>
          <w:szCs w:val="24"/>
          <w:lang w:eastAsia="zh-Hans"/>
        </w:rPr>
      </w:pPr>
      <w:r>
        <w:rPr>
          <w:rFonts w:ascii="宋体" w:hAnsi="宋体" w:eastAsia="宋体" w:cs="宋体"/>
          <w:color w:val="auto"/>
          <w:kern w:val="2"/>
          <w:sz w:val="24"/>
          <w:szCs w:val="24"/>
          <w:lang w:eastAsia="zh-Hans"/>
        </w:rPr>
        <w:t>3）</w:t>
      </w:r>
      <w:r>
        <w:rPr>
          <w:rFonts w:hint="eastAsia" w:ascii="宋体" w:hAnsi="宋体" w:eastAsia="宋体" w:cs="宋体"/>
          <w:color w:val="auto"/>
          <w:kern w:val="2"/>
          <w:sz w:val="24"/>
          <w:szCs w:val="24"/>
          <w:lang w:eastAsia="zh-Hans"/>
        </w:rPr>
        <w:t>业务需求说明</w:t>
      </w:r>
    </w:p>
    <w:p>
      <w:pPr>
        <w:spacing w:line="360" w:lineRule="auto"/>
        <w:ind w:firstLine="420" w:firstLineChars="200"/>
        <w:rPr>
          <w:rFonts w:hint="eastAsia"/>
          <w:color w:val="auto"/>
        </w:rPr>
      </w:pPr>
      <w:r>
        <w:rPr>
          <w:color w:val="auto"/>
        </w:rPr>
        <w:t>（1）</w:t>
      </w:r>
      <w:r>
        <w:rPr>
          <w:rFonts w:hint="eastAsia"/>
          <w:color w:val="auto"/>
        </w:rPr>
        <w:t>预警推送能力。结合互联网数据实时检出涉诈网址、涉诈</w:t>
      </w:r>
      <w:r>
        <w:rPr>
          <w:color w:val="auto"/>
        </w:rPr>
        <w:t>APP</w:t>
      </w:r>
      <w:r>
        <w:rPr>
          <w:rFonts w:hint="eastAsia"/>
          <w:color w:val="auto"/>
        </w:rPr>
        <w:t>、涉诈电话号码，第一时间推送预警信息。</w:t>
      </w:r>
    </w:p>
    <w:p>
      <w:pPr>
        <w:pStyle w:val="2"/>
        <w:spacing w:line="360" w:lineRule="auto"/>
        <w:ind w:firstLine="480"/>
        <w:rPr>
          <w:rFonts w:hint="eastAsia" w:hAnsi="宋体" w:cs="宋体"/>
          <w:color w:val="auto"/>
          <w:sz w:val="24"/>
          <w:szCs w:val="24"/>
        </w:rPr>
      </w:pPr>
      <w:r>
        <w:rPr>
          <w:rFonts w:hAnsi="宋体" w:cs="宋体"/>
          <w:color w:val="auto"/>
          <w:sz w:val="24"/>
          <w:szCs w:val="24"/>
        </w:rPr>
        <w:t>（2）</w:t>
      </w:r>
      <w:r>
        <w:rPr>
          <w:rFonts w:hint="eastAsia" w:hAnsi="宋体" w:cs="宋体"/>
          <w:color w:val="auto"/>
          <w:sz w:val="24"/>
          <w:szCs w:val="24"/>
        </w:rPr>
        <w:t>风险洞察能力。在海量数据中提前感知风险，根据行为人的互联网行为进行标签画像，输出具备可执行条件的感知数据。</w:t>
      </w:r>
    </w:p>
    <w:p>
      <w:pPr>
        <w:pStyle w:val="2"/>
        <w:spacing w:line="360" w:lineRule="auto"/>
        <w:ind w:firstLine="480"/>
        <w:rPr>
          <w:rFonts w:hint="eastAsia" w:hAnsi="宋体" w:cs="宋体"/>
          <w:color w:val="auto"/>
          <w:sz w:val="24"/>
          <w:szCs w:val="24"/>
        </w:rPr>
      </w:pPr>
      <w:r>
        <w:rPr>
          <w:rFonts w:hAnsi="宋体" w:cs="宋体"/>
          <w:color w:val="auto"/>
          <w:sz w:val="24"/>
          <w:szCs w:val="24"/>
        </w:rPr>
        <w:t>（3）</w:t>
      </w:r>
      <w:r>
        <w:rPr>
          <w:rFonts w:hint="eastAsia" w:hAnsi="宋体" w:cs="宋体"/>
          <w:color w:val="auto"/>
          <w:sz w:val="24"/>
          <w:szCs w:val="24"/>
        </w:rPr>
        <w:t>智能外呼能力。不同的诈骗类型匹配不同的外呼话术，模仿人声的通话质量，人性化的问答机制，第一时间劝阻，避免群众被骗。</w:t>
      </w:r>
    </w:p>
    <w:p>
      <w:pPr>
        <w:pStyle w:val="2"/>
        <w:spacing w:line="360" w:lineRule="auto"/>
        <w:ind w:firstLine="48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拦截反制能力。需要打通反制通道，实现30分钟内对涉案手机号码、微信、QQ的反制。</w:t>
      </w:r>
    </w:p>
    <w:p>
      <w:pPr>
        <w:pStyle w:val="6"/>
        <w:spacing w:line="360" w:lineRule="auto"/>
        <w:jc w:val="both"/>
        <w:rPr>
          <w:rFonts w:hint="eastAsia" w:ascii="宋体" w:hAnsi="宋体" w:eastAsia="宋体" w:cs="宋体"/>
          <w:color w:val="auto"/>
          <w:kern w:val="2"/>
          <w:sz w:val="24"/>
          <w:szCs w:val="24"/>
          <w:lang w:eastAsia="zh-Hans"/>
        </w:rPr>
      </w:pPr>
      <w:r>
        <w:rPr>
          <w:rFonts w:ascii="宋体" w:hAnsi="宋体" w:eastAsia="宋体" w:cs="宋体"/>
          <w:color w:val="auto"/>
          <w:kern w:val="2"/>
          <w:sz w:val="24"/>
          <w:szCs w:val="24"/>
          <w:lang w:eastAsia="zh-Hans"/>
        </w:rPr>
        <w:t>4）</w:t>
      </w:r>
      <w:r>
        <w:rPr>
          <w:rFonts w:hint="eastAsia" w:ascii="宋体" w:hAnsi="宋体" w:eastAsia="宋体" w:cs="宋体"/>
          <w:color w:val="auto"/>
          <w:kern w:val="2"/>
          <w:sz w:val="24"/>
          <w:szCs w:val="24"/>
          <w:lang w:eastAsia="zh-Hans"/>
        </w:rPr>
        <w:t>建设内容</w:t>
      </w:r>
    </w:p>
    <w:p>
      <w:pPr>
        <w:pStyle w:val="2"/>
        <w:spacing w:line="360" w:lineRule="auto"/>
        <w:ind w:firstLine="480"/>
        <w:rPr>
          <w:rFonts w:hAnsi="宋体"/>
          <w:color w:val="auto"/>
          <w:sz w:val="24"/>
          <w:szCs w:val="24"/>
        </w:rPr>
      </w:pPr>
      <w:r>
        <w:rPr>
          <w:rFonts w:hint="eastAsia" w:hAnsi="宋体"/>
          <w:color w:val="auto"/>
          <w:sz w:val="24"/>
          <w:szCs w:val="24"/>
        </w:rPr>
        <w:t>总体</w:t>
      </w:r>
      <w:r>
        <w:rPr>
          <w:rFonts w:hAnsi="宋体"/>
          <w:color w:val="auto"/>
          <w:sz w:val="24"/>
          <w:szCs w:val="24"/>
        </w:rPr>
        <w:t>建设</w:t>
      </w:r>
      <w:r>
        <w:rPr>
          <w:rFonts w:hint="eastAsia" w:hAnsi="宋体"/>
          <w:color w:val="auto"/>
          <w:sz w:val="24"/>
          <w:szCs w:val="24"/>
          <w:lang w:eastAsia="zh-Hans"/>
        </w:rPr>
        <w:t>内容</w:t>
      </w:r>
      <w:r>
        <w:rPr>
          <w:rFonts w:hAnsi="宋体"/>
          <w:color w:val="auto"/>
          <w:sz w:val="24"/>
          <w:szCs w:val="24"/>
        </w:rPr>
        <w:t>以互联网预警数据资源为基础，形成多源化数据融合中心，依托</w:t>
      </w:r>
      <w:r>
        <w:rPr>
          <w:rFonts w:hint="eastAsia" w:hAnsi="宋体"/>
          <w:color w:val="auto"/>
          <w:sz w:val="24"/>
          <w:szCs w:val="24"/>
        </w:rPr>
        <w:t>政务</w:t>
      </w:r>
      <w:r>
        <w:rPr>
          <w:rFonts w:hAnsi="宋体"/>
          <w:color w:val="auto"/>
          <w:sz w:val="24"/>
          <w:szCs w:val="24"/>
        </w:rPr>
        <w:t>网，搭建</w:t>
      </w:r>
      <w:r>
        <w:rPr>
          <w:rFonts w:hint="eastAsia" w:hAnsi="宋体"/>
          <w:color w:val="auto"/>
          <w:sz w:val="24"/>
          <w:szCs w:val="24"/>
        </w:rPr>
        <w:t>新吴反诈全流程工作</w:t>
      </w:r>
      <w:r>
        <w:rPr>
          <w:rFonts w:hAnsi="宋体"/>
          <w:color w:val="auto"/>
          <w:sz w:val="24"/>
          <w:szCs w:val="24"/>
        </w:rPr>
        <w:t>平台，实现数据和平台的互联互通、优势互补，完成劝阻与宣传结合，在防范的同时完成民众思想武装，构建数据资源、情报信息的关联共享、联动应用，为实战应用提供实时</w:t>
      </w:r>
      <w:r>
        <w:rPr>
          <w:rFonts w:hint="eastAsia" w:hAnsi="宋体"/>
          <w:color w:val="auto"/>
          <w:sz w:val="24"/>
          <w:szCs w:val="24"/>
        </w:rPr>
        <w:t>高效的综合</w:t>
      </w:r>
      <w:r>
        <w:rPr>
          <w:rFonts w:hAnsi="宋体"/>
          <w:color w:val="auto"/>
          <w:sz w:val="24"/>
          <w:szCs w:val="24"/>
        </w:rPr>
        <w:t>处置平台。</w:t>
      </w:r>
    </w:p>
    <w:p>
      <w:pPr>
        <w:pStyle w:val="2"/>
        <w:spacing w:line="360" w:lineRule="auto"/>
        <w:ind w:firstLine="480"/>
        <w:rPr>
          <w:rFonts w:hAnsi="宋体"/>
          <w:color w:val="auto"/>
          <w:sz w:val="24"/>
          <w:szCs w:val="24"/>
        </w:rPr>
      </w:pPr>
      <w:r>
        <w:rPr>
          <w:rFonts w:hint="eastAsia" w:hAnsi="宋体"/>
          <w:color w:val="auto"/>
          <w:sz w:val="24"/>
          <w:szCs w:val="24"/>
        </w:rPr>
        <w:t>建设</w:t>
      </w:r>
      <w:r>
        <w:rPr>
          <w:rFonts w:hint="eastAsia" w:hAnsi="宋体"/>
          <w:color w:val="auto"/>
          <w:sz w:val="24"/>
          <w:szCs w:val="24"/>
          <w:lang w:eastAsia="zh-Hans"/>
        </w:rPr>
        <w:t>内容</w:t>
      </w:r>
      <w:r>
        <w:rPr>
          <w:rFonts w:hint="eastAsia" w:hAnsi="宋体"/>
          <w:color w:val="auto"/>
          <w:sz w:val="24"/>
          <w:szCs w:val="24"/>
        </w:rPr>
        <w:t>如下：</w:t>
      </w:r>
    </w:p>
    <w:tbl>
      <w:tblPr>
        <w:tblStyle w:val="3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56"/>
        <w:gridCol w:w="3475"/>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D9D9D9"/>
            <w:noWrap w:val="0"/>
            <w:vAlign w:val="center"/>
          </w:tcPr>
          <w:p>
            <w:pPr>
              <w:spacing w:line="360" w:lineRule="auto"/>
              <w:jc w:val="center"/>
              <w:rPr>
                <w:b/>
                <w:bCs/>
                <w:color w:val="auto"/>
                <w:sz w:val="18"/>
                <w:szCs w:val="20"/>
              </w:rPr>
            </w:pPr>
            <w:r>
              <w:rPr>
                <w:rFonts w:hint="eastAsia"/>
                <w:b/>
                <w:bCs/>
                <w:color w:val="auto"/>
                <w:sz w:val="18"/>
                <w:szCs w:val="20"/>
              </w:rPr>
              <w:t>序号</w:t>
            </w:r>
          </w:p>
        </w:tc>
        <w:tc>
          <w:tcPr>
            <w:tcW w:w="1556" w:type="dxa"/>
            <w:shd w:val="clear" w:color="auto" w:fill="D9D9D9"/>
            <w:noWrap w:val="0"/>
            <w:vAlign w:val="center"/>
          </w:tcPr>
          <w:p>
            <w:pPr>
              <w:spacing w:line="360" w:lineRule="auto"/>
              <w:jc w:val="center"/>
              <w:rPr>
                <w:b/>
                <w:bCs/>
                <w:color w:val="auto"/>
                <w:sz w:val="18"/>
                <w:szCs w:val="20"/>
              </w:rPr>
            </w:pPr>
            <w:r>
              <w:rPr>
                <w:rFonts w:hint="eastAsia"/>
                <w:b/>
                <w:bCs/>
                <w:color w:val="auto"/>
                <w:sz w:val="18"/>
                <w:szCs w:val="20"/>
              </w:rPr>
              <w:t>采购项目</w:t>
            </w:r>
          </w:p>
        </w:tc>
        <w:tc>
          <w:tcPr>
            <w:tcW w:w="3475" w:type="dxa"/>
            <w:shd w:val="clear" w:color="auto" w:fill="D9D9D9"/>
            <w:noWrap w:val="0"/>
            <w:vAlign w:val="center"/>
          </w:tcPr>
          <w:p>
            <w:pPr>
              <w:spacing w:line="360" w:lineRule="auto"/>
              <w:jc w:val="center"/>
              <w:rPr>
                <w:b/>
                <w:bCs/>
                <w:color w:val="auto"/>
                <w:sz w:val="18"/>
                <w:szCs w:val="20"/>
              </w:rPr>
            </w:pPr>
            <w:r>
              <w:rPr>
                <w:rFonts w:hint="eastAsia"/>
                <w:b/>
                <w:bCs/>
                <w:color w:val="auto"/>
                <w:sz w:val="18"/>
                <w:szCs w:val="20"/>
              </w:rPr>
              <w:t>描述</w:t>
            </w:r>
          </w:p>
        </w:tc>
        <w:tc>
          <w:tcPr>
            <w:tcW w:w="2115" w:type="dxa"/>
            <w:shd w:val="clear" w:color="auto" w:fill="D9D9D9"/>
            <w:noWrap w:val="0"/>
            <w:vAlign w:val="center"/>
          </w:tcPr>
          <w:p>
            <w:pPr>
              <w:spacing w:line="360" w:lineRule="auto"/>
              <w:jc w:val="center"/>
              <w:rPr>
                <w:b/>
                <w:bCs/>
                <w:color w:val="auto"/>
                <w:sz w:val="18"/>
                <w:szCs w:val="20"/>
              </w:rPr>
            </w:pPr>
            <w:r>
              <w:rPr>
                <w:rFonts w:hint="eastAsia"/>
                <w:b/>
                <w:bCs/>
                <w:color w:val="auto"/>
                <w:sz w:val="18"/>
                <w:szCs w:val="20"/>
              </w:rPr>
              <w:t>数量及单位</w:t>
            </w:r>
          </w:p>
        </w:tc>
        <w:tc>
          <w:tcPr>
            <w:tcW w:w="2115" w:type="dxa"/>
            <w:shd w:val="clear" w:color="auto" w:fill="D9D9D9"/>
            <w:noWrap w:val="0"/>
            <w:vAlign w:val="center"/>
          </w:tcPr>
          <w:p>
            <w:pPr>
              <w:spacing w:line="360" w:lineRule="auto"/>
              <w:jc w:val="center"/>
              <w:rPr>
                <w:rFonts w:hint="eastAsia"/>
                <w:b/>
                <w:bCs/>
                <w:color w:val="auto"/>
                <w:sz w:val="18"/>
                <w:szCs w:val="20"/>
                <w:lang w:eastAsia="zh-Hans"/>
              </w:rPr>
            </w:pPr>
            <w:r>
              <w:rPr>
                <w:rFonts w:hint="eastAsia"/>
                <w:b/>
                <w:bCs/>
                <w:color w:val="auto"/>
                <w:sz w:val="18"/>
                <w:szCs w:val="20"/>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pPr>
              <w:spacing w:line="360" w:lineRule="auto"/>
              <w:jc w:val="center"/>
              <w:rPr>
                <w:color w:val="auto"/>
                <w:sz w:val="18"/>
                <w:szCs w:val="20"/>
              </w:rPr>
            </w:pPr>
            <w:r>
              <w:rPr>
                <w:rFonts w:hint="eastAsia"/>
                <w:color w:val="auto"/>
                <w:sz w:val="18"/>
                <w:szCs w:val="20"/>
              </w:rPr>
              <w:t>1</w:t>
            </w:r>
          </w:p>
        </w:tc>
        <w:tc>
          <w:tcPr>
            <w:tcW w:w="1556" w:type="dxa"/>
            <w:noWrap w:val="0"/>
            <w:vAlign w:val="center"/>
          </w:tcPr>
          <w:p>
            <w:pPr>
              <w:spacing w:line="360" w:lineRule="auto"/>
              <w:jc w:val="center"/>
              <w:rPr>
                <w:color w:val="auto"/>
                <w:sz w:val="18"/>
                <w:szCs w:val="18"/>
              </w:rPr>
            </w:pPr>
            <w:r>
              <w:rPr>
                <w:rFonts w:hint="eastAsia"/>
                <w:color w:val="auto"/>
                <w:sz w:val="18"/>
                <w:szCs w:val="18"/>
              </w:rPr>
              <w:t>新吴反诈全流程工作平台</w:t>
            </w:r>
          </w:p>
        </w:tc>
        <w:tc>
          <w:tcPr>
            <w:tcW w:w="3475" w:type="dxa"/>
            <w:noWrap w:val="0"/>
            <w:vAlign w:val="center"/>
          </w:tcPr>
          <w:p>
            <w:pPr>
              <w:spacing w:line="360" w:lineRule="auto"/>
              <w:rPr>
                <w:color w:val="auto"/>
                <w:sz w:val="18"/>
                <w:szCs w:val="18"/>
              </w:rPr>
            </w:pPr>
            <w:r>
              <w:rPr>
                <w:rFonts w:hint="eastAsia"/>
                <w:color w:val="auto"/>
                <w:sz w:val="18"/>
                <w:szCs w:val="18"/>
              </w:rPr>
              <w:t>依托平台数据处理、建模分析及GF能力形成以预警中心、回访中心、反制中心为主体，同时以风险洞察及智能外呼为辅助的反电诈智能大数据平台。</w:t>
            </w:r>
          </w:p>
        </w:tc>
        <w:tc>
          <w:tcPr>
            <w:tcW w:w="2115" w:type="dxa"/>
            <w:noWrap w:val="0"/>
            <w:vAlign w:val="center"/>
          </w:tcPr>
          <w:p>
            <w:pPr>
              <w:spacing w:line="360" w:lineRule="auto"/>
              <w:jc w:val="center"/>
              <w:rPr>
                <w:color w:val="auto"/>
                <w:sz w:val="18"/>
                <w:szCs w:val="20"/>
              </w:rPr>
            </w:pPr>
            <w:r>
              <w:rPr>
                <w:rFonts w:hint="eastAsia"/>
                <w:color w:val="auto"/>
                <w:sz w:val="18"/>
                <w:szCs w:val="20"/>
              </w:rPr>
              <w:t>1套</w:t>
            </w:r>
          </w:p>
        </w:tc>
        <w:tc>
          <w:tcPr>
            <w:tcW w:w="2115" w:type="dxa"/>
            <w:noWrap w:val="0"/>
            <w:vAlign w:val="center"/>
          </w:tcPr>
          <w:p>
            <w:pPr>
              <w:spacing w:line="360" w:lineRule="auto"/>
              <w:jc w:val="center"/>
              <w:rPr>
                <w:rFonts w:hint="default"/>
                <w:color w:val="auto"/>
                <w:sz w:val="18"/>
                <w:szCs w:val="20"/>
                <w:lang w:val="en-US"/>
              </w:rPr>
            </w:pPr>
            <w:r>
              <w:rPr>
                <w:rFonts w:hint="eastAsia" w:hAnsi="宋体" w:cs="宋体"/>
                <w:b w:val="0"/>
                <w:bCs w:val="0"/>
                <w:color w:val="auto"/>
                <w:szCs w:val="21"/>
              </w:rPr>
              <w:t>项目本地化部署，承诺中标后交付代码。</w:t>
            </w:r>
            <w:r>
              <w:rPr>
                <w:rFonts w:hint="eastAsia"/>
                <w:b/>
                <w:bCs/>
                <w:lang w:eastAsia="zh-CN"/>
              </w:rPr>
              <w:t>（</w:t>
            </w:r>
            <w:r>
              <w:rPr>
                <w:rFonts w:hint="eastAsia"/>
                <w:b/>
                <w:bCs/>
                <w:lang w:val="en-US" w:eastAsia="zh-CN"/>
              </w:rPr>
              <w:t>需提供中标后交付代码的承诺函，否则为无效投标文件）</w:t>
            </w:r>
          </w:p>
        </w:tc>
      </w:tr>
    </w:tbl>
    <w:p>
      <w:pPr>
        <w:numPr>
          <w:ilvl w:val="0"/>
          <w:numId w:val="19"/>
        </w:numPr>
        <w:spacing w:line="360" w:lineRule="auto"/>
        <w:ind w:firstLine="480" w:firstLineChars="200"/>
        <w:outlineLvl w:val="1"/>
        <w:rPr>
          <w:rFonts w:hint="eastAsia" w:ascii="黑体" w:hAnsi="宋体" w:eastAsia="黑体"/>
          <w:b/>
          <w:color w:val="auto"/>
          <w:sz w:val="24"/>
          <w:szCs w:val="24"/>
          <w:lang w:eastAsia="zh-Hans"/>
        </w:rPr>
        <w:sectPr>
          <w:footerReference r:id="rId7" w:type="first"/>
          <w:footerReference r:id="rId6" w:type="default"/>
          <w:pgSz w:w="11906" w:h="16838"/>
          <w:pgMar w:top="567" w:right="851" w:bottom="567" w:left="1134" w:header="624" w:footer="907" w:gutter="0"/>
          <w:cols w:space="720" w:num="1"/>
          <w:titlePg/>
          <w:docGrid w:type="linesAndChars" w:linePitch="312" w:charSpace="0"/>
        </w:sectPr>
      </w:pPr>
    </w:p>
    <w:p>
      <w:pPr>
        <w:numPr>
          <w:ilvl w:val="0"/>
          <w:numId w:val="19"/>
        </w:numPr>
        <w:spacing w:line="360" w:lineRule="auto"/>
        <w:ind w:firstLine="480" w:firstLineChars="200"/>
        <w:outlineLvl w:val="1"/>
        <w:rPr>
          <w:rFonts w:hint="eastAsia" w:ascii="黑体" w:hAnsi="宋体" w:eastAsia="黑体"/>
          <w:b/>
          <w:color w:val="auto"/>
          <w:sz w:val="24"/>
          <w:szCs w:val="24"/>
          <w:lang w:eastAsia="zh-Hans"/>
        </w:rPr>
      </w:pPr>
      <w:r>
        <w:rPr>
          <w:rFonts w:hint="eastAsia" w:ascii="黑体" w:hAnsi="宋体" w:eastAsia="黑体"/>
          <w:b/>
          <w:color w:val="auto"/>
          <w:sz w:val="24"/>
          <w:szCs w:val="24"/>
          <w:lang w:eastAsia="zh-Hans"/>
        </w:rPr>
        <w:t>系统功能需求</w:t>
      </w:r>
    </w:p>
    <w:tbl>
      <w:tblPr>
        <w:tblStyle w:val="31"/>
        <w:tblW w:w="0" w:type="auto"/>
        <w:jc w:val="center"/>
        <w:tblLayout w:type="fixed"/>
        <w:tblCellMar>
          <w:top w:w="0" w:type="dxa"/>
          <w:left w:w="108" w:type="dxa"/>
          <w:bottom w:w="0" w:type="dxa"/>
          <w:right w:w="108" w:type="dxa"/>
        </w:tblCellMar>
      </w:tblPr>
      <w:tblGrid>
        <w:gridCol w:w="868"/>
        <w:gridCol w:w="1112"/>
        <w:gridCol w:w="1276"/>
        <w:gridCol w:w="1984"/>
        <w:gridCol w:w="4380"/>
      </w:tblGrid>
      <w:tr>
        <w:tblPrEx>
          <w:tblCellMar>
            <w:top w:w="0" w:type="dxa"/>
            <w:left w:w="108" w:type="dxa"/>
            <w:bottom w:w="0" w:type="dxa"/>
            <w:right w:w="108" w:type="dxa"/>
          </w:tblCellMar>
        </w:tblPrEx>
        <w:trPr>
          <w:trHeight w:val="330" w:hRule="atLeast"/>
          <w:jc w:val="center"/>
        </w:trPr>
        <w:tc>
          <w:tcPr>
            <w:tcW w:w="9620" w:type="dxa"/>
            <w:gridSpan w:val="5"/>
            <w:tcBorders>
              <w:top w:val="single" w:color="auto" w:sz="4" w:space="0"/>
              <w:left w:val="single" w:color="auto" w:sz="4" w:space="0"/>
              <w:bottom w:val="single" w:color="auto" w:sz="4" w:space="0"/>
              <w:right w:val="single" w:color="auto" w:sz="4" w:space="0"/>
            </w:tcBorders>
            <w:shd w:val="clear" w:color="auto" w:fill="DDEBF7"/>
            <w:noWrap w:val="0"/>
            <w:vAlign w:val="center"/>
          </w:tcPr>
          <w:p>
            <w:pPr>
              <w:jc w:val="center"/>
              <w:textAlignment w:val="baseline"/>
              <w:rPr>
                <w:rFonts w:hint="eastAsia"/>
                <w:b/>
                <w:color w:val="auto"/>
                <w:sz w:val="16"/>
                <w:szCs w:val="16"/>
                <w:lang w:bidi="ar"/>
              </w:rPr>
            </w:pPr>
            <w:r>
              <w:rPr>
                <w:rFonts w:hint="eastAsia"/>
                <w:b/>
                <w:color w:val="auto"/>
                <w:szCs w:val="21"/>
                <w:lang w:bidi="ar"/>
              </w:rPr>
              <w:t>新吴反诈全流程工作平台功能要求</w:t>
            </w:r>
          </w:p>
        </w:tc>
      </w:tr>
      <w:tr>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shd w:val="clear" w:color="auto" w:fill="DDEBF7"/>
            <w:noWrap w:val="0"/>
            <w:vAlign w:val="center"/>
          </w:tcPr>
          <w:p>
            <w:pPr>
              <w:textAlignment w:val="baseline"/>
              <w:rPr>
                <w:rFonts w:hint="eastAsia"/>
                <w:b/>
                <w:color w:val="auto"/>
                <w:sz w:val="16"/>
                <w:szCs w:val="16"/>
              </w:rPr>
            </w:pPr>
            <w:r>
              <w:rPr>
                <w:rFonts w:hint="eastAsia"/>
                <w:b/>
                <w:color w:val="auto"/>
                <w:sz w:val="16"/>
                <w:szCs w:val="16"/>
                <w:lang w:bidi="ar"/>
              </w:rPr>
              <w:t>序号</w:t>
            </w:r>
          </w:p>
        </w:tc>
        <w:tc>
          <w:tcPr>
            <w:tcW w:w="1112" w:type="dxa"/>
            <w:tcBorders>
              <w:top w:val="single" w:color="auto" w:sz="4" w:space="0"/>
              <w:left w:val="nil"/>
              <w:bottom w:val="single" w:color="auto" w:sz="4" w:space="0"/>
              <w:right w:val="single" w:color="auto" w:sz="4" w:space="0"/>
            </w:tcBorders>
            <w:shd w:val="clear" w:color="auto" w:fill="DDEBF7"/>
            <w:noWrap w:val="0"/>
            <w:vAlign w:val="center"/>
          </w:tcPr>
          <w:p>
            <w:pPr>
              <w:textAlignment w:val="baseline"/>
              <w:rPr>
                <w:rFonts w:hint="eastAsia"/>
                <w:b/>
                <w:color w:val="auto"/>
                <w:sz w:val="16"/>
                <w:szCs w:val="16"/>
              </w:rPr>
            </w:pPr>
            <w:r>
              <w:rPr>
                <w:rFonts w:hint="eastAsia"/>
                <w:b/>
                <w:color w:val="auto"/>
                <w:sz w:val="16"/>
                <w:szCs w:val="16"/>
                <w:lang w:bidi="ar"/>
              </w:rPr>
              <w:t>服务模块</w:t>
            </w:r>
          </w:p>
        </w:tc>
        <w:tc>
          <w:tcPr>
            <w:tcW w:w="1276" w:type="dxa"/>
            <w:tcBorders>
              <w:top w:val="single" w:color="auto" w:sz="4" w:space="0"/>
              <w:left w:val="nil"/>
              <w:bottom w:val="single" w:color="auto" w:sz="4" w:space="0"/>
              <w:right w:val="single" w:color="auto" w:sz="4" w:space="0"/>
            </w:tcBorders>
            <w:shd w:val="clear" w:color="auto" w:fill="DDEBF7"/>
            <w:noWrap w:val="0"/>
            <w:vAlign w:val="center"/>
          </w:tcPr>
          <w:p>
            <w:pPr>
              <w:textAlignment w:val="baseline"/>
              <w:rPr>
                <w:rFonts w:hint="eastAsia"/>
                <w:b/>
                <w:color w:val="auto"/>
                <w:sz w:val="16"/>
                <w:szCs w:val="16"/>
              </w:rPr>
            </w:pPr>
            <w:r>
              <w:rPr>
                <w:rFonts w:hint="eastAsia"/>
                <w:b/>
                <w:color w:val="auto"/>
                <w:sz w:val="16"/>
                <w:szCs w:val="16"/>
                <w:lang w:bidi="ar"/>
              </w:rPr>
              <w:t>服务项目</w:t>
            </w:r>
          </w:p>
        </w:tc>
        <w:tc>
          <w:tcPr>
            <w:tcW w:w="1984" w:type="dxa"/>
            <w:tcBorders>
              <w:top w:val="single" w:color="auto" w:sz="4" w:space="0"/>
              <w:left w:val="nil"/>
              <w:bottom w:val="single" w:color="auto" w:sz="4" w:space="0"/>
              <w:right w:val="single" w:color="auto" w:sz="4" w:space="0"/>
            </w:tcBorders>
            <w:shd w:val="clear" w:color="auto" w:fill="DDEBF7"/>
            <w:noWrap w:val="0"/>
            <w:vAlign w:val="center"/>
          </w:tcPr>
          <w:p>
            <w:pPr>
              <w:textAlignment w:val="baseline"/>
              <w:rPr>
                <w:rFonts w:hint="eastAsia"/>
                <w:b/>
                <w:color w:val="auto"/>
                <w:sz w:val="16"/>
                <w:szCs w:val="16"/>
              </w:rPr>
            </w:pPr>
            <w:r>
              <w:rPr>
                <w:rFonts w:hint="eastAsia"/>
                <w:b/>
                <w:color w:val="auto"/>
                <w:sz w:val="16"/>
                <w:szCs w:val="16"/>
                <w:lang w:bidi="ar"/>
              </w:rPr>
              <w:t>服务要求</w:t>
            </w:r>
          </w:p>
        </w:tc>
        <w:tc>
          <w:tcPr>
            <w:tcW w:w="4380" w:type="dxa"/>
            <w:tcBorders>
              <w:top w:val="single" w:color="auto" w:sz="4" w:space="0"/>
              <w:left w:val="nil"/>
              <w:bottom w:val="single" w:color="auto" w:sz="4" w:space="0"/>
              <w:right w:val="single" w:color="auto" w:sz="4" w:space="0"/>
            </w:tcBorders>
            <w:shd w:val="clear" w:color="auto" w:fill="DDEBF7"/>
            <w:noWrap w:val="0"/>
            <w:vAlign w:val="center"/>
          </w:tcPr>
          <w:p>
            <w:pPr>
              <w:textAlignment w:val="baseline"/>
              <w:rPr>
                <w:rFonts w:hint="eastAsia"/>
                <w:b/>
                <w:color w:val="auto"/>
                <w:sz w:val="16"/>
                <w:szCs w:val="16"/>
              </w:rPr>
            </w:pPr>
            <w:r>
              <w:rPr>
                <w:rFonts w:hint="eastAsia"/>
                <w:b/>
                <w:color w:val="auto"/>
                <w:sz w:val="16"/>
                <w:szCs w:val="16"/>
                <w:lang w:bidi="ar"/>
              </w:rPr>
              <w:t>服务要求描述</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平台访问权限控制</w:t>
            </w: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账号检测</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支持账号规则检测</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支持检测账号不包含空格、中文、特殊字符</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密码检测</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支持密码规则检测</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密码不包含空格、中文，必须包含字母、数字、特殊符号中至少两种，密码账号在6-16位，不包含账号信息</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登录认证</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支持账号密码双重认证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系统支持账号密码双重身份认证</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支持密码爆破行为检测</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系统能够检测密码爆破行为，对于同一IP，10次以上错误密码登录行为锁定账号30分钟，后台可人为解除限制</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记住账号</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支持记住账号</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系统支持记住账号，自动回填账号</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找回密码</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支持找回密码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系统支持当用户忘记密码时，在登录页面通过用户身份安全校验后，设置新密码以登录系统</w:t>
            </w:r>
          </w:p>
        </w:tc>
      </w:tr>
      <w:tr>
        <w:tblPrEx>
          <w:tblCellMar>
            <w:top w:w="0" w:type="dxa"/>
            <w:left w:w="108" w:type="dxa"/>
            <w:bottom w:w="0" w:type="dxa"/>
            <w:right w:w="108" w:type="dxa"/>
          </w:tblCellMar>
        </w:tblPrEx>
        <w:trPr>
          <w:trHeight w:val="9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页面全局布局要求</w:t>
            </w:r>
          </w:p>
        </w:tc>
        <w:tc>
          <w:tcPr>
            <w:tcW w:w="1276" w:type="dxa"/>
            <w:tcBorders>
              <w:top w:val="single" w:color="auto" w:sz="4" w:space="0"/>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具备导航栏</w:t>
            </w:r>
          </w:p>
        </w:tc>
        <w:tc>
          <w:tcPr>
            <w:tcW w:w="1984" w:type="dxa"/>
            <w:tcBorders>
              <w:top w:val="single" w:color="auto" w:sz="4" w:space="0"/>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支持展开和折叠导航栏</w:t>
            </w:r>
          </w:p>
        </w:tc>
        <w:tc>
          <w:tcPr>
            <w:tcW w:w="4380" w:type="dxa"/>
            <w:tcBorders>
              <w:top w:val="single" w:color="auto" w:sz="4" w:space="0"/>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导航栏展开和折叠，导航菜单包含：态势大屏、预警处置、反制拦截、风险洞察、智能外呼、数据总览、系统管理；点击对应按钮进入相应的系统功能界面</w:t>
            </w:r>
          </w:p>
        </w:tc>
      </w:tr>
      <w:tr>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反诈大屏</w:t>
            </w:r>
          </w:p>
        </w:tc>
        <w:tc>
          <w:tcPr>
            <w:tcW w:w="1276" w:type="dxa"/>
            <w:tcBorders>
              <w:top w:val="single" w:color="auto" w:sz="4" w:space="0"/>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大屏全屏展示</w:t>
            </w:r>
          </w:p>
        </w:tc>
        <w:tc>
          <w:tcPr>
            <w:tcW w:w="1984" w:type="dxa"/>
            <w:tcBorders>
              <w:top w:val="single" w:color="auto" w:sz="4" w:space="0"/>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rPr>
              <w:t>新窗口打开态势大屏</w:t>
            </w:r>
          </w:p>
        </w:tc>
        <w:tc>
          <w:tcPr>
            <w:tcW w:w="4380" w:type="dxa"/>
            <w:tcBorders>
              <w:top w:val="single" w:color="auto" w:sz="4" w:space="0"/>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浏览器新窗口打开态势大屏，并支持全屏显示</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今日预警</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支持查看今日预警数量指标</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在大屏显示今日预警实时总量</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实时预警</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实时预警列表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在大屏上滚动显示今日最新预警，显示字段包括：预警时间、诈骗类型、归属地、事主号码、预警等级</w:t>
            </w:r>
          </w:p>
        </w:tc>
      </w:tr>
      <w:tr>
        <w:tblPrEx>
          <w:tblCellMar>
            <w:top w:w="0" w:type="dxa"/>
            <w:left w:w="108" w:type="dxa"/>
            <w:bottom w:w="0" w:type="dxa"/>
            <w:right w:w="108" w:type="dxa"/>
          </w:tblCellMar>
        </w:tblPrEx>
        <w:trPr>
          <w:trHeight w:val="9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3D地图</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3D地图显示预警空间分布</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系统支持在3D地图上投射今日预警实时空间分布，并以叠加柱状图热力的形式，展示辖区的预警数量；地图支持拖拽，放大，翻转等操作</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关键指标卡</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支持系统关键指标呈现</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展示系统关键数据，包括：累计预警、累计劝阻、追回总金额、累计反制数量、累计拦截数量</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预警类型分布</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预警类型分布直观呈现</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大屏以图形的形式展示系统累计预警数据中不同诈骗类型的预警数量分布，并标明数量</w:t>
            </w:r>
          </w:p>
        </w:tc>
      </w:tr>
      <w:tr>
        <w:tblPrEx>
          <w:tblCellMar>
            <w:top w:w="0" w:type="dxa"/>
            <w:left w:w="108" w:type="dxa"/>
            <w:bottom w:w="0" w:type="dxa"/>
            <w:right w:w="108" w:type="dxa"/>
          </w:tblCellMar>
        </w:tblPrEx>
        <w:trPr>
          <w:trHeight w:val="132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趋势概览</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用合适的图表呈现系统数据时间纬度的趋势</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支持以复合折线图的图表形式呈现当天或最近30天的数据趋势，数据指标包括：预警总量，回访总量。当选择当天时间范围时，以小时为时间粒度；当选择30天时间范围时，以天为时间粒度</w:t>
            </w:r>
          </w:p>
        </w:tc>
      </w:tr>
      <w:tr>
        <w:tblPrEx>
          <w:tblCellMar>
            <w:top w:w="0" w:type="dxa"/>
            <w:left w:w="108" w:type="dxa"/>
            <w:bottom w:w="0" w:type="dxa"/>
            <w:right w:w="108" w:type="dxa"/>
          </w:tblCellMar>
        </w:tblPrEx>
        <w:trPr>
          <w:trHeight w:val="132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lang w:bidi="ar"/>
              </w:rPr>
            </w:pPr>
            <w:r>
              <w:rPr>
                <w:rFonts w:hint="eastAsia"/>
                <w:color w:val="auto"/>
                <w:sz w:val="16"/>
                <w:szCs w:val="16"/>
                <w:lang w:bidi="ar"/>
              </w:rPr>
              <w:t>安全预览</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lang w:bidi="ar"/>
              </w:rPr>
            </w:pPr>
            <w:r>
              <w:rPr>
                <w:rFonts w:hint="eastAsia"/>
                <w:color w:val="auto"/>
                <w:sz w:val="16"/>
                <w:szCs w:val="16"/>
                <w:lang w:bidi="ar"/>
              </w:rPr>
              <w:t>数据安全预览</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hAnsi="宋体"/>
                <w:b/>
                <w:bCs/>
                <w:color w:val="auto"/>
                <w:sz w:val="16"/>
                <w:szCs w:val="16"/>
                <w:lang w:bidi="ar"/>
              </w:rPr>
            </w:pPr>
            <w:r>
              <w:rPr>
                <w:rFonts w:hint="eastAsia"/>
                <w:color w:val="auto"/>
                <w:sz w:val="16"/>
                <w:szCs w:val="16"/>
                <w:lang w:bidi="ar"/>
              </w:rPr>
              <w:t>同一块屏幕展示不同网络环境的数据，技术指标需符合BMB45-2019《涉密信息系统外设共享切换产品安全保密技术要求》标准，</w:t>
            </w:r>
            <w:r>
              <w:rPr>
                <w:rFonts w:hint="eastAsia"/>
                <w:b/>
                <w:bCs/>
                <w:color w:val="auto"/>
                <w:sz w:val="16"/>
                <w:szCs w:val="16"/>
                <w:lang w:val="en-US" w:eastAsia="zh-CN" w:bidi="ar"/>
              </w:rPr>
              <w:t>投标时</w:t>
            </w:r>
            <w:r>
              <w:rPr>
                <w:rFonts w:hint="eastAsia"/>
                <w:b/>
                <w:bCs/>
                <w:color w:val="auto"/>
                <w:sz w:val="16"/>
                <w:szCs w:val="16"/>
                <w:lang w:bidi="ar"/>
              </w:rPr>
              <w:t>提供相关证明材料</w:t>
            </w:r>
            <w:r>
              <w:rPr>
                <w:rFonts w:hint="eastAsia"/>
                <w:color w:val="auto"/>
                <w:sz w:val="16"/>
                <w:szCs w:val="16"/>
                <w:lang w:bidi="ar"/>
              </w:rPr>
              <w:t>。必须满足以下参数：主控芯片，自主可控微控制器；接口性能，支持键盘及鼠标USB2.0全速接口，支持显示器HDMI标准接口；显示分辨率，最大支持2560*1440分辨率（刷新频率60HZ）；操作系统，支持Windows XP 32/64、Windows 7 32/64、Windows 8 32/64、Windows10、中科方德、麒麟、UOS等操作系统；工作电压，DC 5V；工作电流＜2A；存储温度，-25℃～85℃；存储湿度，10%~90% RH；工作温度，-10℃～50℃；工作湿度，20%~80% RH。</w:t>
            </w:r>
          </w:p>
        </w:tc>
      </w:tr>
      <w:tr>
        <w:tblPrEx>
          <w:tblCellMar>
            <w:top w:w="0" w:type="dxa"/>
            <w:left w:w="108" w:type="dxa"/>
            <w:bottom w:w="0" w:type="dxa"/>
            <w:right w:w="108" w:type="dxa"/>
          </w:tblCellMar>
        </w:tblPrEx>
        <w:trPr>
          <w:trHeight w:val="72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风险洞察数据展示</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展示风险洞察信息</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展示最近的风险洞察任务，包括任务名称、任务执行结果、样本总量、风险样本比例</w:t>
            </w:r>
          </w:p>
        </w:tc>
      </w:tr>
      <w:tr>
        <w:tblPrEx>
          <w:tblCellMar>
            <w:top w:w="0" w:type="dxa"/>
            <w:left w:w="108" w:type="dxa"/>
            <w:bottom w:w="0" w:type="dxa"/>
            <w:right w:w="108" w:type="dxa"/>
          </w:tblCellMar>
        </w:tblPrEx>
        <w:trPr>
          <w:trHeight w:val="49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智能外呼数据展示</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展示智能外呼数据量</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展示智能外呼总量、接通率等数据，展示最近5条外呼任务。</w:t>
            </w:r>
          </w:p>
        </w:tc>
      </w:tr>
      <w:tr>
        <w:tblPrEx>
          <w:tblCellMar>
            <w:top w:w="0" w:type="dxa"/>
            <w:left w:w="108" w:type="dxa"/>
            <w:bottom w:w="0" w:type="dxa"/>
            <w:right w:w="108" w:type="dxa"/>
          </w:tblCellMar>
        </w:tblPrEx>
        <w:trPr>
          <w:trHeight w:val="6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预警处置</w:t>
            </w: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预警提示音</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新预警声音提醒</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支持新预警声音提醒开关控制，开启声音提醒时，如系统有新的预警数据，触发预警提示音，关闭提示音时则有新预警时不触发声音提醒</w:t>
            </w:r>
          </w:p>
        </w:tc>
      </w:tr>
      <w:tr>
        <w:tblPrEx>
          <w:tblCellMar>
            <w:top w:w="0" w:type="dxa"/>
            <w:left w:w="108" w:type="dxa"/>
            <w:bottom w:w="0" w:type="dxa"/>
            <w:right w:w="108" w:type="dxa"/>
          </w:tblCellMar>
        </w:tblPrEx>
        <w:trPr>
          <w:trHeight w:val="25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预警分类展示</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支持今日/全部预警展示</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支持呈现今日预警和全部预警数量</w:t>
            </w:r>
          </w:p>
        </w:tc>
      </w:tr>
      <w:tr>
        <w:tblPrEx>
          <w:tblCellMar>
            <w:top w:w="0" w:type="dxa"/>
            <w:left w:w="108" w:type="dxa"/>
            <w:bottom w:w="0" w:type="dxa"/>
            <w:right w:w="108" w:type="dxa"/>
          </w:tblCellMar>
        </w:tblPrEx>
        <w:trPr>
          <w:trHeight w:val="3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支持待处理预警/已处理预警切换</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支持呈现待处理预警和已处理预警</w:t>
            </w:r>
          </w:p>
        </w:tc>
      </w:tr>
      <w:tr>
        <w:tblPrEx>
          <w:tblCellMar>
            <w:top w:w="0" w:type="dxa"/>
            <w:left w:w="108" w:type="dxa"/>
            <w:bottom w:w="0" w:type="dxa"/>
            <w:right w:w="108" w:type="dxa"/>
          </w:tblCellMar>
        </w:tblPrEx>
        <w:trPr>
          <w:trHeight w:val="2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数据指标统计</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呈现关键数据指标</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展示今日预警和全部预警中待处理和已处理的实时统计结果</w:t>
            </w:r>
          </w:p>
        </w:tc>
      </w:tr>
      <w:tr>
        <w:tblPrEx>
          <w:tblCellMar>
            <w:top w:w="0" w:type="dxa"/>
            <w:left w:w="108" w:type="dxa"/>
            <w:bottom w:w="0" w:type="dxa"/>
            <w:right w:w="108" w:type="dxa"/>
          </w:tblCellMar>
        </w:tblPrEx>
        <w:trPr>
          <w:trHeight w:val="21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数据刷新控制</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自动刷新</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有新预警数据时自动刷新</w:t>
            </w:r>
          </w:p>
        </w:tc>
      </w:tr>
      <w:tr>
        <w:tblPrEx>
          <w:tblCellMar>
            <w:top w:w="0" w:type="dxa"/>
            <w:left w:w="108" w:type="dxa"/>
            <w:bottom w:w="0" w:type="dxa"/>
            <w:right w:w="108" w:type="dxa"/>
          </w:tblCellMar>
        </w:tblPrEx>
        <w:trPr>
          <w:trHeight w:val="25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新预警处理页面</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各功能中都支持手动刷新进入新预警列表模式</w:t>
            </w:r>
          </w:p>
        </w:tc>
      </w:tr>
      <w:tr>
        <w:tblPrEx>
          <w:tblCellMar>
            <w:top w:w="0" w:type="dxa"/>
            <w:left w:w="108" w:type="dxa"/>
            <w:bottom w:w="0" w:type="dxa"/>
            <w:right w:w="108" w:type="dxa"/>
          </w:tblCellMar>
        </w:tblPrEx>
        <w:trPr>
          <w:trHeight w:val="44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全局显示最新预警任务条数</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在各个模块中，可随时显示并查看有几条新增预警数据。</w:t>
            </w:r>
          </w:p>
        </w:tc>
      </w:tr>
      <w:tr>
        <w:tblPrEx>
          <w:tblCellMar>
            <w:top w:w="0" w:type="dxa"/>
            <w:left w:w="108" w:type="dxa"/>
            <w:bottom w:w="0" w:type="dxa"/>
            <w:right w:w="108" w:type="dxa"/>
          </w:tblCellMar>
        </w:tblPrEx>
        <w:trPr>
          <w:trHeight w:val="37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带参数刷新</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列表自动或手动刷新时带筛选条件参数刷新，如仅刷新指定的诈骗手段和指定诈骗类型的预警数据</w:t>
            </w:r>
          </w:p>
        </w:tc>
      </w:tr>
      <w:tr>
        <w:tblPrEx>
          <w:tblCellMar>
            <w:top w:w="0" w:type="dxa"/>
            <w:left w:w="108" w:type="dxa"/>
            <w:bottom w:w="0" w:type="dxa"/>
            <w:right w:w="108" w:type="dxa"/>
          </w:tblCellMar>
        </w:tblPrEx>
        <w:trPr>
          <w:trHeight w:val="636"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数据列表展示</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列表呈现待处理预警</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以列表方式呈现待处理预警数据，列表表头包括：推送时间、诈骗类型、恶意信息、诈骗等级、诈骗手段、受害地区、标签、受害人号码、AI处理结果，风洞检索操作</w:t>
            </w:r>
          </w:p>
        </w:tc>
      </w:tr>
      <w:tr>
        <w:tblPrEx>
          <w:tblCellMar>
            <w:top w:w="0" w:type="dxa"/>
            <w:left w:w="108" w:type="dxa"/>
            <w:bottom w:w="0" w:type="dxa"/>
            <w:right w:w="108" w:type="dxa"/>
          </w:tblCellMar>
        </w:tblPrEx>
        <w:trPr>
          <w:trHeight w:val="9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列表呈现已处理预警</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以列表方式呈现已处理预警数据，列表表头包括：推送时间、受害人号码、预警地区、诈骗等级、诈骗类型、诈骗手段、AI处理结果、风洞检索、是否有效、处理结果、状态、处理人、处理时间、操作</w:t>
            </w:r>
          </w:p>
        </w:tc>
      </w:tr>
      <w:tr>
        <w:tblPrEx>
          <w:tblCellMar>
            <w:top w:w="0" w:type="dxa"/>
            <w:left w:w="108" w:type="dxa"/>
            <w:bottom w:w="0" w:type="dxa"/>
            <w:right w:w="108" w:type="dxa"/>
          </w:tblCellMar>
        </w:tblPrEx>
        <w:trPr>
          <w:trHeight w:val="25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数据分页显示</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列表数据支持分页显示，支持控制每页显示数据条数，支持统计列表数据总量，支持跳转到指定页面</w:t>
            </w:r>
          </w:p>
        </w:tc>
      </w:tr>
      <w:tr>
        <w:tblPrEx>
          <w:tblCellMar>
            <w:top w:w="0" w:type="dxa"/>
            <w:left w:w="108" w:type="dxa"/>
            <w:bottom w:w="0" w:type="dxa"/>
            <w:right w:w="108" w:type="dxa"/>
          </w:tblCellMar>
        </w:tblPrEx>
        <w:trPr>
          <w:trHeight w:val="15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列表数据脱敏显示</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预警列表脱敏显示事主号码信息</w:t>
            </w:r>
          </w:p>
        </w:tc>
      </w:tr>
      <w:tr>
        <w:tblPrEx>
          <w:tblCellMar>
            <w:top w:w="0" w:type="dxa"/>
            <w:left w:w="108" w:type="dxa"/>
            <w:bottom w:w="0" w:type="dxa"/>
            <w:right w:w="108" w:type="dxa"/>
          </w:tblCellMar>
        </w:tblPrEx>
        <w:trPr>
          <w:trHeight w:val="41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列表自定义排序</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按推送时间排序</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预警列表支持按推送时间排列，最近预警在最上面</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按推送时间筛选预警</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允许用户根据预警推送时间查询</w:t>
            </w:r>
          </w:p>
        </w:tc>
      </w:tr>
      <w:tr>
        <w:tblPrEx>
          <w:tblCellMar>
            <w:top w:w="0" w:type="dxa"/>
            <w:left w:w="108" w:type="dxa"/>
            <w:bottom w:w="0" w:type="dxa"/>
            <w:right w:w="108" w:type="dxa"/>
          </w:tblCellMar>
        </w:tblPrEx>
        <w:trPr>
          <w:trHeight w:val="30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按诈骗手段筛选预警</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允许用户按诈骗手段如：网络电话诈骗、网址诈骗、APP诈骗手段筛选预警数据</w:t>
            </w:r>
          </w:p>
        </w:tc>
      </w:tr>
      <w:tr>
        <w:tblPrEx>
          <w:tblCellMar>
            <w:top w:w="0" w:type="dxa"/>
            <w:left w:w="108" w:type="dxa"/>
            <w:bottom w:w="0" w:type="dxa"/>
            <w:right w:w="108" w:type="dxa"/>
          </w:tblCellMar>
        </w:tblPrEx>
        <w:trPr>
          <w:trHeight w:val="5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按诈骗类型筛选预警</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允许用户按诈骗类型如：刷单诈骗、贷款诈骗、仿冒公检法诈骗、仿冒他人、网购订单/贷款注销、游戏充值、博彩/投资/交友、虚假购物消费诈骗、裸聊色情诈骗筛选预警数据</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按预警等级筛选预警</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允许用户按预警等级如：浅度、中度、深度筛选预警</w:t>
            </w:r>
          </w:p>
        </w:tc>
      </w:tr>
      <w:tr>
        <w:tblPrEx>
          <w:tblCellMar>
            <w:top w:w="0" w:type="dxa"/>
            <w:left w:w="108" w:type="dxa"/>
            <w:bottom w:w="0" w:type="dxa"/>
            <w:right w:w="108" w:type="dxa"/>
          </w:tblCellMar>
        </w:tblPrEx>
        <w:trPr>
          <w:trHeight w:val="279"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列表自定义查找</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highlight w:val="yellow"/>
              </w:rPr>
            </w:pPr>
            <w:r>
              <w:rPr>
                <w:rFonts w:hint="eastAsia"/>
                <w:color w:val="auto"/>
                <w:sz w:val="16"/>
                <w:szCs w:val="16"/>
                <w:lang w:bidi="ar"/>
              </w:rPr>
              <w:t>按事主手机号码查找</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highlight w:val="yellow"/>
              </w:rPr>
            </w:pPr>
            <w:r>
              <w:rPr>
                <w:rFonts w:hint="eastAsia"/>
                <w:color w:val="auto"/>
                <w:sz w:val="16"/>
                <w:szCs w:val="16"/>
                <w:lang w:bidi="ar"/>
              </w:rPr>
              <w:t>允许用户按事主手机号码查找预警数据</w:t>
            </w:r>
          </w:p>
        </w:tc>
      </w:tr>
      <w:tr>
        <w:tblPrEx>
          <w:tblCellMar>
            <w:top w:w="0" w:type="dxa"/>
            <w:left w:w="108" w:type="dxa"/>
            <w:bottom w:w="0" w:type="dxa"/>
            <w:right w:w="108" w:type="dxa"/>
          </w:tblCellMar>
        </w:tblPrEx>
        <w:trPr>
          <w:trHeight w:val="45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数据操作同步控制机制</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处理中预警任务锁定</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同一时间仅允许一位回访员处置同一个预警任务，列表采用加锁的形式呈现，其他用户不可操作此预警数据，同时告知其他系统用户该任务是哪位回访员正在处理</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导出功能</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预警数据导出</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导出预警列表中的数据，导出为指定格式的Excel文件，导出字段包括全部的预警详情</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rPr>
              <w:t>处置详情</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发送预警短信</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支持给被预警号码发送电诈短信提醒</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短信数量限制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同一号码单日最多发送预警次数限制，同一号码单日最多发送3条短信</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自定义预警短信模板</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支持自定义短信模板</w:t>
            </w:r>
          </w:p>
        </w:tc>
      </w:tr>
      <w:tr>
        <w:tblPrEx>
          <w:tblCellMar>
            <w:top w:w="0" w:type="dxa"/>
            <w:left w:w="108" w:type="dxa"/>
            <w:bottom w:w="0" w:type="dxa"/>
            <w:right w:w="108" w:type="dxa"/>
          </w:tblCellMar>
        </w:tblPrEx>
        <w:trPr>
          <w:trHeight w:val="31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查看预警处置日志</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具备完整的预警处理日志，包括预警推送时间，处理日志</w:t>
            </w:r>
          </w:p>
        </w:tc>
      </w:tr>
      <w:tr>
        <w:tblPrEx>
          <w:tblCellMar>
            <w:top w:w="0" w:type="dxa"/>
            <w:left w:w="108" w:type="dxa"/>
            <w:bottom w:w="0" w:type="dxa"/>
            <w:right w:w="108" w:type="dxa"/>
          </w:tblCellMar>
        </w:tblPrEx>
        <w:trPr>
          <w:trHeight w:val="91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填写完整的回访记录</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具备完整的回访记录填写表单，包括：预警是否有效、受害人是否被骗、劝阻金额、诈骗类型、诈骗工具（QQ号码，电话号码，微信号码，APP名称，网址）、是否上门回访，处理备注</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支持填写的诈骗工具</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要求系统支持在回访记录里填写的诈骗工具，用于数据溯源。</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AI智能外呼处理</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展示AI处理记录，外呼时间、通话状态、处理结果、通话时长、挂断状态、通话录音等</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标记预警号码为空号</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标记无效的空号预警，被标记的空号此后不会再次推送预警</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自定义快捷备注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一键快捷添加回访备注，支持自定义备注内容</w:t>
            </w:r>
          </w:p>
        </w:tc>
      </w:tr>
      <w:tr>
        <w:tblPrEx>
          <w:tblCellMar>
            <w:top w:w="0" w:type="dxa"/>
            <w:left w:w="108" w:type="dxa"/>
            <w:bottom w:w="0" w:type="dxa"/>
            <w:right w:w="108" w:type="dxa"/>
          </w:tblCellMar>
        </w:tblPrEx>
        <w:trPr>
          <w:trHeight w:val="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一键切换下一条待处理任务</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一键快捷添加回访备注，支持自定义备注内容</w:t>
            </w:r>
          </w:p>
        </w:tc>
      </w:tr>
      <w:tr>
        <w:tblPrEx>
          <w:tblCellMar>
            <w:top w:w="0" w:type="dxa"/>
            <w:left w:w="108" w:type="dxa"/>
            <w:bottom w:w="0" w:type="dxa"/>
            <w:right w:w="108" w:type="dxa"/>
          </w:tblCellMar>
        </w:tblPrEx>
        <w:trPr>
          <w:trHeight w:val="411"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反制拦截</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具备对通联工具进行技术反制的能力</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涉诈QQ号反制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反制涉诈 QQ，对于反制成功的涉诈QQ，在一定条件下不可被添加为好友，要求3</w:t>
            </w:r>
            <w:r>
              <w:rPr>
                <w:color w:val="auto"/>
                <w:sz w:val="16"/>
                <w:szCs w:val="16"/>
                <w:lang w:bidi="ar"/>
              </w:rPr>
              <w:t>0</w:t>
            </w:r>
            <w:r>
              <w:rPr>
                <w:rFonts w:hint="eastAsia"/>
                <w:color w:val="auto"/>
                <w:sz w:val="16"/>
                <w:szCs w:val="16"/>
                <w:lang w:bidi="ar"/>
              </w:rPr>
              <w:t>分钟内进行封停处置，同时将结果反馈至系统</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涉诈微信号反制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反制涉诈微信号码，对于反制成功的微信号码，在微信中添加该对象为好友时不可被搜索出，且进行风险提示，要求3</w:t>
            </w:r>
            <w:r>
              <w:rPr>
                <w:color w:val="auto"/>
                <w:sz w:val="16"/>
                <w:szCs w:val="16"/>
                <w:lang w:bidi="ar"/>
              </w:rPr>
              <w:t>0</w:t>
            </w:r>
            <w:r>
              <w:rPr>
                <w:rFonts w:hint="eastAsia"/>
                <w:color w:val="auto"/>
                <w:sz w:val="16"/>
                <w:szCs w:val="16"/>
                <w:lang w:bidi="ar"/>
              </w:rPr>
              <w:t>分钟内进行封停处置，同时将结果反馈至系统</w:t>
            </w:r>
          </w:p>
        </w:tc>
      </w:tr>
      <w:tr>
        <w:tblPrEx>
          <w:tblCellMar>
            <w:top w:w="0" w:type="dxa"/>
            <w:left w:w="108" w:type="dxa"/>
            <w:bottom w:w="0" w:type="dxa"/>
            <w:right w:w="108" w:type="dxa"/>
          </w:tblCellMar>
        </w:tblPrEx>
        <w:trPr>
          <w:trHeight w:val="9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涉诈手机号反制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反制手机号码或电话号码，对于反制成功的手机号码或电话号码，在被腾讯产品生态覆盖的终端设备或国产安卓手机，被此类号码呼叫时进行风险提示，要求3</w:t>
            </w:r>
            <w:r>
              <w:rPr>
                <w:color w:val="auto"/>
                <w:sz w:val="16"/>
                <w:szCs w:val="16"/>
                <w:lang w:bidi="ar"/>
              </w:rPr>
              <w:t>0</w:t>
            </w:r>
            <w:r>
              <w:rPr>
                <w:rFonts w:hint="eastAsia"/>
                <w:color w:val="auto"/>
                <w:sz w:val="16"/>
                <w:szCs w:val="16"/>
                <w:lang w:bidi="ar"/>
              </w:rPr>
              <w:t>分钟内进行封停处置，同时将结果反馈至系统</w:t>
            </w:r>
          </w:p>
        </w:tc>
      </w:tr>
      <w:tr>
        <w:tblPrEx>
          <w:tblCellMar>
            <w:top w:w="0" w:type="dxa"/>
            <w:left w:w="108" w:type="dxa"/>
            <w:bottom w:w="0" w:type="dxa"/>
            <w:right w:w="108" w:type="dxa"/>
          </w:tblCellMar>
        </w:tblPrEx>
        <w:trPr>
          <w:trHeight w:val="9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涉诈网址反制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反制涉诈网址，对于反制成功的网址，在被</w:t>
            </w:r>
            <w:r>
              <w:rPr>
                <w:rFonts w:hint="eastAsia"/>
                <w:color w:val="auto"/>
                <w:sz w:val="16"/>
                <w:szCs w:val="18"/>
              </w:rPr>
              <w:t>合作生态覆盖</w:t>
            </w:r>
            <w:r>
              <w:rPr>
                <w:rFonts w:hint="eastAsia"/>
                <w:color w:val="auto"/>
                <w:sz w:val="16"/>
                <w:szCs w:val="16"/>
                <w:lang w:bidi="ar"/>
              </w:rPr>
              <w:t>的终端设备或国产安卓手机上访问此类网址时，进行风险提示或无法访问，要求3</w:t>
            </w:r>
            <w:r>
              <w:rPr>
                <w:color w:val="auto"/>
                <w:sz w:val="16"/>
                <w:szCs w:val="16"/>
                <w:lang w:bidi="ar"/>
              </w:rPr>
              <w:t>0</w:t>
            </w:r>
            <w:r>
              <w:rPr>
                <w:rFonts w:hint="eastAsia"/>
                <w:color w:val="auto"/>
                <w:sz w:val="16"/>
                <w:szCs w:val="16"/>
                <w:lang w:bidi="ar"/>
              </w:rPr>
              <w:t>分钟内进行封停处置，同时将结果反馈至系统</w:t>
            </w:r>
          </w:p>
        </w:tc>
      </w:tr>
      <w:tr>
        <w:tblPrEx>
          <w:tblCellMar>
            <w:top w:w="0" w:type="dxa"/>
            <w:left w:w="108" w:type="dxa"/>
            <w:bottom w:w="0" w:type="dxa"/>
            <w:right w:w="108" w:type="dxa"/>
          </w:tblCellMar>
        </w:tblPrEx>
        <w:trPr>
          <w:trHeight w:val="27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单个或批量反制操作模式</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单个或多个号码混合反制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单个或多个混合模式提交不同涉诈类型的不同号码类型的反制</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按模板批量反制</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按模板批量反制涉诈号码或网址，支持下载导入模板，通过下载模板填写后上传审核，表格内每一行提供一个“上传截图”按钮用于上传审核的证据</w:t>
            </w:r>
          </w:p>
        </w:tc>
      </w:tr>
      <w:tr>
        <w:tblPrEx>
          <w:tblCellMar>
            <w:top w:w="0" w:type="dxa"/>
            <w:left w:w="108" w:type="dxa"/>
            <w:bottom w:w="0" w:type="dxa"/>
            <w:right w:w="108" w:type="dxa"/>
          </w:tblCellMar>
        </w:tblPrEx>
        <w:trPr>
          <w:trHeight w:val="19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查看已反制号码</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列表展示已反制号码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以列表的形式展示已提交反制的QQ号码、微信号码、手机或电话号码、网址</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按反制时间筛选反制号码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按提交反制的时间段筛选已提交反制的号码</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按诈骗类型筛选反制号码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按诈骗类型筛选已提交反制的号码</w:t>
            </w:r>
          </w:p>
        </w:tc>
      </w:tr>
      <w:tr>
        <w:tblPrEx>
          <w:tblCellMar>
            <w:top w:w="0" w:type="dxa"/>
            <w:left w:w="108" w:type="dxa"/>
            <w:bottom w:w="0" w:type="dxa"/>
            <w:right w:w="108" w:type="dxa"/>
          </w:tblCellMar>
        </w:tblPrEx>
        <w:trPr>
          <w:trHeight w:val="31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按反制状态筛选反制号码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按反制状态筛选已提交反制的号码，反制状态包括：反制中、反制失败、已反制等</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号码查找反制对象</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按号码关键词查找已提交反制的号码</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导出已提交的反制号码</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导出列表呈现的以提交反制的号码数据，导出为文件</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反制拦截统计</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按不同号码类型统计已反制号码的数量</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实时统计手机号码、QQ号码、微信号码、网址的反制总量</w:t>
            </w:r>
          </w:p>
        </w:tc>
      </w:tr>
      <w:tr>
        <w:tblPrEx>
          <w:tblCellMar>
            <w:top w:w="0" w:type="dxa"/>
            <w:left w:w="108" w:type="dxa"/>
            <w:bottom w:w="0" w:type="dxa"/>
            <w:right w:w="108" w:type="dxa"/>
          </w:tblCellMar>
        </w:tblPrEx>
        <w:trPr>
          <w:trHeight w:val="49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按不同号码类型统计已反制号码的反制成功率</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实时统计手机号码、QQ号码、微信号码、网址的反制成功率</w:t>
            </w:r>
          </w:p>
        </w:tc>
      </w:tr>
      <w:tr>
        <w:tblPrEx>
          <w:tblCellMar>
            <w:top w:w="0" w:type="dxa"/>
            <w:left w:w="108" w:type="dxa"/>
            <w:bottom w:w="0" w:type="dxa"/>
            <w:right w:w="108" w:type="dxa"/>
          </w:tblCellMar>
        </w:tblPrEx>
        <w:trPr>
          <w:trHeight w:val="3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按号码类型统计拦截总量和拦截总量</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实时统计手机号码、QQ号码、网址的拦截总量</w:t>
            </w:r>
          </w:p>
        </w:tc>
      </w:tr>
      <w:tr>
        <w:tblPrEx>
          <w:tblCellMar>
            <w:top w:w="0" w:type="dxa"/>
            <w:left w:w="108" w:type="dxa"/>
            <w:bottom w:w="0" w:type="dxa"/>
            <w:right w:w="108" w:type="dxa"/>
          </w:tblCellMar>
        </w:tblPrEx>
        <w:trPr>
          <w:trHeight w:val="2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以图表形式展示反制趋势</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包括但不限于多折线图的形式展示不同号码类型的反制量随时间纬度的变化趋势</w:t>
            </w:r>
          </w:p>
        </w:tc>
      </w:tr>
      <w:tr>
        <w:tblPrEx>
          <w:tblCellMar>
            <w:top w:w="0" w:type="dxa"/>
            <w:left w:w="108" w:type="dxa"/>
            <w:bottom w:w="0" w:type="dxa"/>
            <w:right w:w="108" w:type="dxa"/>
          </w:tblCellMar>
        </w:tblPrEx>
        <w:trPr>
          <w:trHeight w:val="3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以图表形式展示拦截趋势</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包括但不限于多折线图的形式展示不同号码类型的拦截量随时间纬度的变化趋势</w:t>
            </w:r>
          </w:p>
        </w:tc>
      </w:tr>
      <w:tr>
        <w:tblPrEx>
          <w:tblCellMar>
            <w:top w:w="0" w:type="dxa"/>
            <w:left w:w="108" w:type="dxa"/>
            <w:bottom w:w="0" w:type="dxa"/>
            <w:right w:w="108" w:type="dxa"/>
          </w:tblCellMar>
        </w:tblPrEx>
        <w:trPr>
          <w:trHeight w:val="35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以表格形式展示反制拦截数量</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以表格的形式展示每日反制和拦截数据</w:t>
            </w:r>
          </w:p>
        </w:tc>
      </w:tr>
      <w:tr>
        <w:tblPrEx>
          <w:tblCellMar>
            <w:top w:w="0" w:type="dxa"/>
            <w:left w:w="108" w:type="dxa"/>
            <w:bottom w:w="0" w:type="dxa"/>
            <w:right w:w="108" w:type="dxa"/>
          </w:tblCellMar>
        </w:tblPrEx>
        <w:trPr>
          <w:trHeight w:val="6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按时间区间查看反制拦截数量</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按时间区间查看系统反制拦截数据量，以每日为纬度，统计QQ、微信、手机号码、网址的反制数量和QQ，手机号，网址的拦截数量</w:t>
            </w:r>
          </w:p>
        </w:tc>
      </w:tr>
      <w:tr>
        <w:tblPrEx>
          <w:tblCellMar>
            <w:top w:w="0" w:type="dxa"/>
            <w:left w:w="108" w:type="dxa"/>
            <w:bottom w:w="0" w:type="dxa"/>
            <w:right w:w="108" w:type="dxa"/>
          </w:tblCellMar>
        </w:tblPrEx>
        <w:trPr>
          <w:trHeight w:val="30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表格和图表的数据联动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反制拦截数据量已图表的可视化形式和表格的精确数据呈现形式的联动</w:t>
            </w:r>
          </w:p>
        </w:tc>
      </w:tr>
      <w:tr>
        <w:tblPrEx>
          <w:tblCellMar>
            <w:top w:w="0" w:type="dxa"/>
            <w:left w:w="108" w:type="dxa"/>
            <w:bottom w:w="0" w:type="dxa"/>
            <w:right w:w="108" w:type="dxa"/>
          </w:tblCellMar>
        </w:tblPrEx>
        <w:trPr>
          <w:trHeight w:val="579"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拦截成果展示</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查看QQ号码的拦截具体数据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以列表形式查看QQ号码的具体拦截情况，表头字段包括：QQ号码、诈骗类型、拦截数，最后活跃时间</w:t>
            </w:r>
          </w:p>
        </w:tc>
      </w:tr>
      <w:tr>
        <w:tblPrEx>
          <w:tblCellMar>
            <w:top w:w="0" w:type="dxa"/>
            <w:left w:w="108" w:type="dxa"/>
            <w:bottom w:w="0" w:type="dxa"/>
            <w:right w:w="108" w:type="dxa"/>
          </w:tblCellMar>
        </w:tblPrEx>
        <w:trPr>
          <w:trHeight w:val="3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按时间区间查看QQ拦截详情</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按时间区间查看该时间段内已反制的QQ号码的每日拦截情况</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查看某个QQ号码的拦截情况</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模糊查找并查看某个QQ号码的具体拦截情况</w:t>
            </w:r>
          </w:p>
        </w:tc>
      </w:tr>
      <w:tr>
        <w:tblPrEx>
          <w:tblCellMar>
            <w:top w:w="0" w:type="dxa"/>
            <w:left w:w="108" w:type="dxa"/>
            <w:bottom w:w="0" w:type="dxa"/>
            <w:right w:w="108" w:type="dxa"/>
          </w:tblCellMar>
        </w:tblPrEx>
        <w:trPr>
          <w:trHeight w:val="26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导出某个QQ区间拦截数据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导出QQ拦截列表数据为Excel文件</w:t>
            </w:r>
          </w:p>
        </w:tc>
      </w:tr>
      <w:tr>
        <w:tblPrEx>
          <w:tblCellMar>
            <w:top w:w="0" w:type="dxa"/>
            <w:left w:w="108" w:type="dxa"/>
            <w:bottom w:w="0" w:type="dxa"/>
            <w:right w:w="108" w:type="dxa"/>
          </w:tblCellMar>
        </w:tblPrEx>
        <w:trPr>
          <w:trHeight w:val="35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查看手机或电话号码的拦截具体数据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以列表形式查看手机或电话号码的具体拦截情况，表头字段包括：手机或电话号码、诈骗类型、拦截数，最后活跃时间</w:t>
            </w:r>
          </w:p>
        </w:tc>
      </w:tr>
      <w:tr>
        <w:tblPrEx>
          <w:tblCellMar>
            <w:top w:w="0" w:type="dxa"/>
            <w:left w:w="108" w:type="dxa"/>
            <w:bottom w:w="0" w:type="dxa"/>
            <w:right w:w="108" w:type="dxa"/>
          </w:tblCellMar>
        </w:tblPrEx>
        <w:trPr>
          <w:trHeight w:val="32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按时间区间查看手机或电话号码拦截详情</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按时间区间查看该时间段内已反制的手机或电话号码的每日拦截情况</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按时间区间查看手机或电话号码拦截详情</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模糊查找并查看某个手机或电话号码的具体拦截情况</w:t>
            </w:r>
          </w:p>
        </w:tc>
      </w:tr>
      <w:tr>
        <w:tblPrEx>
          <w:tblCellMar>
            <w:top w:w="0" w:type="dxa"/>
            <w:left w:w="108" w:type="dxa"/>
            <w:bottom w:w="0" w:type="dxa"/>
            <w:right w:w="108" w:type="dxa"/>
          </w:tblCellMar>
        </w:tblPrEx>
        <w:trPr>
          <w:trHeight w:val="35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导出每日手机或电话号码拦截数据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导出手机或电话号码拦截列表数据为Excel文件</w:t>
            </w:r>
          </w:p>
        </w:tc>
      </w:tr>
      <w:tr>
        <w:tblPrEx>
          <w:tblCellMar>
            <w:top w:w="0" w:type="dxa"/>
            <w:left w:w="108" w:type="dxa"/>
            <w:bottom w:w="0" w:type="dxa"/>
            <w:right w:w="108" w:type="dxa"/>
          </w:tblCellMar>
        </w:tblPrEx>
        <w:trPr>
          <w:trHeight w:val="3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查看网址号码的拦截具体数据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以列表形式查看网址号码的具体拦截情况，表头字段包括：网址、诈骗类型、拦截数，最后活跃时间</w:t>
            </w:r>
          </w:p>
        </w:tc>
      </w:tr>
      <w:tr>
        <w:tblPrEx>
          <w:tblCellMar>
            <w:top w:w="0" w:type="dxa"/>
            <w:left w:w="108" w:type="dxa"/>
            <w:bottom w:w="0" w:type="dxa"/>
            <w:right w:w="108" w:type="dxa"/>
          </w:tblCellMar>
        </w:tblPrEx>
        <w:trPr>
          <w:trHeight w:val="26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查看某个网址号码的拦截情况</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模糊查找并查看某个网址号码的具体拦截情况</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导出每日网址拦截数据</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导出网址拦截列表数据为Excel文件</w:t>
            </w:r>
          </w:p>
        </w:tc>
      </w:tr>
      <w:tr>
        <w:tblPrEx>
          <w:tblCellMar>
            <w:top w:w="0" w:type="dxa"/>
            <w:left w:w="108" w:type="dxa"/>
            <w:bottom w:w="0" w:type="dxa"/>
            <w:right w:w="108" w:type="dxa"/>
          </w:tblCellMar>
        </w:tblPrEx>
        <w:trPr>
          <w:trHeight w:val="37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r>
              <w:rPr>
                <w:rFonts w:hint="eastAsia"/>
                <w:color w:val="auto"/>
                <w:sz w:val="16"/>
                <w:szCs w:val="16"/>
                <w:lang w:bidi="ar"/>
              </w:rPr>
              <w:t>风险洞察</w:t>
            </w:r>
          </w:p>
          <w:p>
            <w:pPr>
              <w:textAlignment w:val="baseline"/>
              <w:rPr>
                <w:color w:val="auto"/>
                <w:sz w:val="16"/>
                <w:szCs w:val="16"/>
                <w:lang w:bidi="ar"/>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任务列表展示</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根据日期区间查看任务列表</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根据日期区间搜索查看任务列表</w:t>
            </w:r>
          </w:p>
        </w:tc>
      </w:tr>
      <w:tr>
        <w:tblPrEx>
          <w:tblCellMar>
            <w:top w:w="0" w:type="dxa"/>
            <w:left w:w="108" w:type="dxa"/>
            <w:bottom w:w="0" w:type="dxa"/>
            <w:right w:w="108" w:type="dxa"/>
          </w:tblCellMar>
        </w:tblPrEx>
        <w:trPr>
          <w:trHeight w:val="12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搜索名称查看任务列表</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根据任务名称搜索任务列表</w:t>
            </w:r>
          </w:p>
        </w:tc>
      </w:tr>
      <w:tr>
        <w:tblPrEx>
          <w:tblCellMar>
            <w:top w:w="0" w:type="dxa"/>
            <w:left w:w="108" w:type="dxa"/>
            <w:bottom w:w="0" w:type="dxa"/>
            <w:right w:w="108" w:type="dxa"/>
          </w:tblCellMar>
        </w:tblPrEx>
        <w:trPr>
          <w:trHeight w:val="368"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highlight w:val="magenta"/>
                <w:lang w:bidi="ar"/>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列表展示</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列表包括任务名称、任务时间、任务处理情况、操作；操作中包含数据导出，重新检测，删除操作</w:t>
            </w:r>
          </w:p>
        </w:tc>
      </w:tr>
      <w:tr>
        <w:tblPrEx>
          <w:tblCellMar>
            <w:top w:w="0" w:type="dxa"/>
            <w:left w:w="108" w:type="dxa"/>
            <w:bottom w:w="0" w:type="dxa"/>
            <w:right w:w="108" w:type="dxa"/>
          </w:tblCellMar>
        </w:tblPrEx>
        <w:trPr>
          <w:trHeight w:val="24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highlight w:val="magenta"/>
                <w:lang w:bidi="ar"/>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一键上传</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支持表格形式上传号码资源</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一键上传号码资源，号码资源包按模板要求整理</w:t>
            </w:r>
          </w:p>
        </w:tc>
      </w:tr>
      <w:tr>
        <w:tblPrEx>
          <w:tblCellMar>
            <w:top w:w="0" w:type="dxa"/>
            <w:left w:w="108" w:type="dxa"/>
            <w:bottom w:w="0" w:type="dxa"/>
            <w:right w:w="108" w:type="dxa"/>
          </w:tblCellMar>
        </w:tblPrEx>
        <w:trPr>
          <w:trHeight w:val="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highlight w:val="magenta"/>
                <w:lang w:bidi="ar"/>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模板下载</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支持模板下载，按要求填写模板内数据</w:t>
            </w:r>
          </w:p>
        </w:tc>
      </w:tr>
      <w:tr>
        <w:tblPrEx>
          <w:tblCellMar>
            <w:top w:w="0" w:type="dxa"/>
            <w:left w:w="108" w:type="dxa"/>
            <w:bottom w:w="0" w:type="dxa"/>
            <w:right w:w="108" w:type="dxa"/>
          </w:tblCellMar>
        </w:tblPrEx>
        <w:trPr>
          <w:trHeight w:val="324"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感知结果</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感知结果</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感知结果展示，展示感知结果并和预警数据碰撞，预警次数统计在风险洞察列表展示。</w:t>
            </w:r>
          </w:p>
        </w:tc>
      </w:tr>
      <w:tr>
        <w:tblPrEx>
          <w:tblCellMar>
            <w:top w:w="0" w:type="dxa"/>
            <w:left w:w="108" w:type="dxa"/>
            <w:bottom w:w="0" w:type="dxa"/>
            <w:right w:w="108" w:type="dxa"/>
          </w:tblCellMar>
        </w:tblPrEx>
        <w:trPr>
          <w:trHeight w:val="2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一键外呼</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根据风险值进行外呼设置</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设置智能外呼的风险值，风险结果超过风险值后一键外呼。</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restart"/>
            <w:tcBorders>
              <w:top w:val="nil"/>
              <w:left w:val="single" w:color="auto" w:sz="4" w:space="0"/>
              <w:right w:val="single" w:color="auto" w:sz="4" w:space="0"/>
            </w:tcBorders>
            <w:noWrap w:val="0"/>
            <w:vAlign w:val="center"/>
          </w:tcPr>
          <w:p>
            <w:pPr>
              <w:textAlignment w:val="baseline"/>
              <w:rPr>
                <w:rFonts w:hint="eastAsia"/>
                <w:color w:val="auto"/>
                <w:sz w:val="16"/>
                <w:szCs w:val="16"/>
                <w:lang w:bidi="ar"/>
              </w:rPr>
            </w:pPr>
            <w:r>
              <w:rPr>
                <w:rFonts w:hint="eastAsia"/>
                <w:color w:val="auto"/>
                <w:sz w:val="16"/>
                <w:szCs w:val="16"/>
                <w:lang w:bidi="ar"/>
              </w:rPr>
              <w:t>智能外呼</w:t>
            </w: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任务管理</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任务列表展示</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展示任务名称、可搜索任务、完成情况，具体任务的通话情况，包含通话总量和接通率</w:t>
            </w:r>
          </w:p>
        </w:tc>
      </w:tr>
      <w:tr>
        <w:tblPrEx>
          <w:tblCellMar>
            <w:top w:w="0" w:type="dxa"/>
            <w:left w:w="108" w:type="dxa"/>
            <w:bottom w:w="0" w:type="dxa"/>
            <w:right w:w="108" w:type="dxa"/>
          </w:tblCellMar>
        </w:tblPrEx>
        <w:trPr>
          <w:trHeight w:val="32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left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座席管理</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提供AI座席管理</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lang w:bidi="ar"/>
              </w:rPr>
            </w:pPr>
            <w:r>
              <w:rPr>
                <w:rFonts w:hint="eastAsia"/>
                <w:color w:val="auto"/>
                <w:sz w:val="16"/>
                <w:szCs w:val="16"/>
                <w:lang w:bidi="ar"/>
              </w:rPr>
              <w:t>AI预警劝阻管理，预警数据劝阻详情留存。</w:t>
            </w:r>
          </w:p>
        </w:tc>
      </w:tr>
      <w:tr>
        <w:tblPrEx>
          <w:tblCellMar>
            <w:top w:w="0" w:type="dxa"/>
            <w:left w:w="108" w:type="dxa"/>
            <w:bottom w:w="0" w:type="dxa"/>
            <w:right w:w="108" w:type="dxa"/>
          </w:tblCellMar>
        </w:tblPrEx>
        <w:trPr>
          <w:trHeight w:val="2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rFonts w:hint="eastAsia"/>
                <w:color w:val="auto"/>
                <w:sz w:val="16"/>
                <w:szCs w:val="16"/>
                <w:lang w:bidi="ar"/>
              </w:rPr>
            </w:pPr>
          </w:p>
        </w:tc>
        <w:tc>
          <w:tcPr>
            <w:tcW w:w="1112" w:type="dxa"/>
            <w:vMerge w:val="continue"/>
            <w:tcBorders>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1276" w:type="dxa"/>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话术调优</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lang w:bidi="ar"/>
              </w:rPr>
            </w:pP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提供20种以上话术模板，包含劝阻和宣防</w:t>
            </w:r>
          </w:p>
        </w:tc>
      </w:tr>
      <w:tr>
        <w:tblPrEx>
          <w:tblCellMar>
            <w:top w:w="0" w:type="dxa"/>
            <w:left w:w="108" w:type="dxa"/>
            <w:bottom w:w="0" w:type="dxa"/>
            <w:right w:w="108" w:type="dxa"/>
          </w:tblCellMar>
        </w:tblPrEx>
        <w:trPr>
          <w:trHeight w:val="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统计查询</w:t>
            </w: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预警统计功能</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可视化预警统计图表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包括但不限于多折线图图表展示不同诈骗类型的预警数据</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图表和表格联动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预警统计支持列表数据详情和可视化图表的联动</w:t>
            </w:r>
          </w:p>
        </w:tc>
      </w:tr>
      <w:tr>
        <w:tblPrEx>
          <w:tblCellMar>
            <w:top w:w="0" w:type="dxa"/>
            <w:left w:w="108" w:type="dxa"/>
            <w:bottom w:w="0" w:type="dxa"/>
            <w:right w:w="108" w:type="dxa"/>
          </w:tblCellMar>
        </w:tblPrEx>
        <w:trPr>
          <w:trHeight w:val="46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自定义时间区间查看预警统计</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按时间区间查看对应时间段内的总预警和不同类型的预警数量</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区间预警统计数据导出图表</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区间数据导出图表，不限于饼图、折线图，图表分为预警量趋势、诈骗类型分布、挽回金额、挽回金额诈骗类别占比、预警量区域排名、挽回金额区域排名、运营商预警量排名、被骗金额运营商排名、预警响应时间、回访成功率等图表。</w:t>
            </w:r>
          </w:p>
        </w:tc>
      </w:tr>
      <w:tr>
        <w:tblPrEx>
          <w:tblCellMar>
            <w:top w:w="0" w:type="dxa"/>
            <w:left w:w="108" w:type="dxa"/>
            <w:bottom w:w="0" w:type="dxa"/>
            <w:right w:w="108" w:type="dxa"/>
          </w:tblCellMar>
        </w:tblPrEx>
        <w:trPr>
          <w:trHeight w:val="66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每日预警数据导出</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导出每日预警数据总量和不同诈骗类型的预警数量为表格文件</w:t>
            </w:r>
          </w:p>
        </w:tc>
      </w:tr>
      <w:tr>
        <w:tblPrEx>
          <w:tblCellMar>
            <w:top w:w="0" w:type="dxa"/>
            <w:left w:w="108" w:type="dxa"/>
            <w:bottom w:w="0" w:type="dxa"/>
            <w:right w:w="108" w:type="dxa"/>
          </w:tblCellMar>
        </w:tblPrEx>
        <w:trPr>
          <w:trHeight w:val="33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回访统计功能</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可视化回访统计图表</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包括但不限于柱状图图表展示每日预警回访情况</w:t>
            </w:r>
          </w:p>
        </w:tc>
      </w:tr>
      <w:tr>
        <w:tblPrEx>
          <w:tblCellMar>
            <w:top w:w="0" w:type="dxa"/>
            <w:left w:w="108" w:type="dxa"/>
            <w:bottom w:w="0" w:type="dxa"/>
            <w:right w:w="108" w:type="dxa"/>
          </w:tblCellMar>
        </w:tblPrEx>
        <w:trPr>
          <w:trHeight w:val="27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按日期查看每日预警处置情况</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列表展示每日预警回访处理情况，包括总预警数、已处理数、挽回金额</w:t>
            </w:r>
          </w:p>
        </w:tc>
      </w:tr>
      <w:tr>
        <w:tblPrEx>
          <w:tblCellMar>
            <w:top w:w="0" w:type="dxa"/>
            <w:left w:w="108" w:type="dxa"/>
            <w:bottom w:w="0" w:type="dxa"/>
            <w:right w:w="108" w:type="dxa"/>
          </w:tblCellMar>
        </w:tblPrEx>
        <w:trPr>
          <w:trHeight w:val="9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restart"/>
            <w:tcBorders>
              <w:top w:val="nil"/>
              <w:left w:val="single" w:color="auto" w:sz="4" w:space="0"/>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系统管理</w:t>
            </w:r>
          </w:p>
        </w:tc>
        <w:tc>
          <w:tcPr>
            <w:tcW w:w="1276" w:type="dxa"/>
            <w:vMerge w:val="restart"/>
            <w:tcBorders>
              <w:top w:val="nil"/>
              <w:left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设置管理</w:t>
            </w: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用户自定义系统值守时间</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可设置系统值守时间，值守时间外推送的预警处理时效由此处设置的时间区间参与时效修复计算</w:t>
            </w:r>
          </w:p>
        </w:tc>
      </w:tr>
      <w:tr>
        <w:tblPrEx>
          <w:tblCellMar>
            <w:top w:w="0" w:type="dxa"/>
            <w:left w:w="108" w:type="dxa"/>
            <w:bottom w:w="0" w:type="dxa"/>
            <w:right w:w="108" w:type="dxa"/>
          </w:tblCellMar>
        </w:tblPrEx>
        <w:trPr>
          <w:trHeight w:val="11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支持用户自定义系统自动发送预警短信</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可设置是否自动发送预警短信提醒</w:t>
            </w:r>
          </w:p>
        </w:tc>
      </w:tr>
      <w:tr>
        <w:tblPrEx>
          <w:tblCellMar>
            <w:top w:w="0" w:type="dxa"/>
            <w:left w:w="108" w:type="dxa"/>
            <w:bottom w:w="0" w:type="dxa"/>
            <w:right w:w="108" w:type="dxa"/>
          </w:tblCellMar>
        </w:tblPrEx>
        <w:trPr>
          <w:trHeight w:val="35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AI智能外呼处理设置</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可开启AI自动处理外呼开关，选择外呼的等级选项</w:t>
            </w:r>
          </w:p>
        </w:tc>
      </w:tr>
      <w:tr>
        <w:tblPrEx>
          <w:tblCellMar>
            <w:top w:w="0" w:type="dxa"/>
            <w:left w:w="108" w:type="dxa"/>
            <w:bottom w:w="0" w:type="dxa"/>
            <w:right w:w="108" w:type="dxa"/>
          </w:tblCellMar>
        </w:tblPrEx>
        <w:trPr>
          <w:trHeight w:val="28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劝阻话术设置</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根据诈骗类型，设置对应的劝阻话术</w:t>
            </w:r>
          </w:p>
        </w:tc>
      </w:tr>
      <w:tr>
        <w:tblPrEx>
          <w:tblCellMar>
            <w:top w:w="0" w:type="dxa"/>
            <w:left w:w="108" w:type="dxa"/>
            <w:bottom w:w="0" w:type="dxa"/>
            <w:right w:w="108" w:type="dxa"/>
          </w:tblCellMar>
        </w:tblPrEx>
        <w:trPr>
          <w:trHeight w:val="23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restart"/>
            <w:tcBorders>
              <w:top w:val="nil"/>
              <w:left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资料管理</w:t>
            </w: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审核管理</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lang w:bidi="ar"/>
              </w:rPr>
            </w:pPr>
            <w:r>
              <w:rPr>
                <w:rFonts w:hint="eastAsia"/>
                <w:color w:val="auto"/>
                <w:sz w:val="16"/>
                <w:szCs w:val="16"/>
                <w:lang w:bidi="ar"/>
              </w:rPr>
              <w:t>管理员可以对注册用户进行审核</w:t>
            </w:r>
          </w:p>
        </w:tc>
      </w:tr>
      <w:tr>
        <w:tblPrEx>
          <w:tblCellMar>
            <w:top w:w="0" w:type="dxa"/>
            <w:left w:w="108" w:type="dxa"/>
            <w:bottom w:w="0" w:type="dxa"/>
            <w:right w:w="108" w:type="dxa"/>
          </w:tblCellMar>
        </w:tblPrEx>
        <w:trPr>
          <w:trHeight w:val="58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列表查看系统用户</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rPr>
            </w:pPr>
            <w:r>
              <w:rPr>
                <w:rFonts w:hint="eastAsia"/>
                <w:color w:val="auto"/>
                <w:sz w:val="16"/>
                <w:szCs w:val="16"/>
                <w:lang w:bidi="ar"/>
              </w:rPr>
              <w:t>可以列表方式查看系统用户，展示字段包括：注册时间，手机号，区域，单位，用户组，用户角色，登录状态，服务期限和操作</w:t>
            </w:r>
          </w:p>
        </w:tc>
      </w:tr>
      <w:tr>
        <w:tblPrEx>
          <w:tblCellMar>
            <w:top w:w="0" w:type="dxa"/>
            <w:left w:w="108" w:type="dxa"/>
            <w:bottom w:w="0" w:type="dxa"/>
            <w:right w:w="108" w:type="dxa"/>
          </w:tblCellMar>
        </w:tblPrEx>
        <w:trPr>
          <w:trHeight w:val="145"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自定义搜索系统用户</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按用户姓名、手机号、单位、区域搜索系统用户</w:t>
            </w:r>
          </w:p>
        </w:tc>
      </w:tr>
      <w:tr>
        <w:tblPrEx>
          <w:tblCellMar>
            <w:top w:w="0" w:type="dxa"/>
            <w:left w:w="108" w:type="dxa"/>
            <w:bottom w:w="0" w:type="dxa"/>
            <w:right w:w="108" w:type="dxa"/>
          </w:tblCellMar>
        </w:tblPrEx>
        <w:trPr>
          <w:trHeight w:val="55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查看系统用户登录情况</w:t>
            </w:r>
          </w:p>
        </w:tc>
        <w:tc>
          <w:tcPr>
            <w:tcW w:w="4380" w:type="dxa"/>
            <w:tcBorders>
              <w:top w:val="nil"/>
              <w:left w:val="nil"/>
              <w:bottom w:val="single" w:color="auto" w:sz="4" w:space="0"/>
              <w:right w:val="single" w:color="auto" w:sz="4" w:space="0"/>
            </w:tcBorders>
            <w:noWrap w:val="0"/>
            <w:vAlign w:val="center"/>
          </w:tcPr>
          <w:p>
            <w:pPr>
              <w:textAlignment w:val="baseline"/>
              <w:rPr>
                <w:rFonts w:hint="eastAsia"/>
                <w:color w:val="auto"/>
                <w:sz w:val="16"/>
                <w:szCs w:val="16"/>
              </w:rPr>
            </w:pPr>
            <w:r>
              <w:rPr>
                <w:rFonts w:hint="eastAsia"/>
                <w:color w:val="auto"/>
                <w:sz w:val="16"/>
                <w:szCs w:val="16"/>
                <w:lang w:bidi="ar"/>
              </w:rPr>
              <w:t>可查看本系统用户的系统使用过情况，可自定义起止时间，查看某个用户在该时间区间内的账号登录情况，统计每日登录时长，回访次数</w:t>
            </w:r>
          </w:p>
        </w:tc>
      </w:tr>
      <w:tr>
        <w:tblPrEx>
          <w:tblCellMar>
            <w:top w:w="0" w:type="dxa"/>
            <w:left w:w="108" w:type="dxa"/>
            <w:bottom w:w="0" w:type="dxa"/>
            <w:right w:w="108" w:type="dxa"/>
          </w:tblCellMar>
        </w:tblPrEx>
        <w:trPr>
          <w:trHeight w:val="250" w:hRule="atLeast"/>
          <w:jc w:val="center"/>
        </w:trPr>
        <w:tc>
          <w:tcPr>
            <w:tcW w:w="868" w:type="dxa"/>
            <w:tcBorders>
              <w:top w:val="nil"/>
              <w:left w:val="single" w:color="auto" w:sz="4" w:space="0"/>
              <w:bottom w:val="single" w:color="auto" w:sz="4" w:space="0"/>
              <w:right w:val="single" w:color="auto" w:sz="4" w:space="0"/>
            </w:tcBorders>
            <w:noWrap w:val="0"/>
            <w:vAlign w:val="center"/>
          </w:tcPr>
          <w:p>
            <w:pPr>
              <w:numPr>
                <w:ilvl w:val="0"/>
                <w:numId w:val="20"/>
              </w:numPr>
              <w:textAlignment w:val="baseline"/>
              <w:rPr>
                <w:color w:val="auto"/>
                <w:sz w:val="16"/>
                <w:szCs w:val="16"/>
                <w:lang w:bidi="ar"/>
              </w:rPr>
            </w:pPr>
          </w:p>
        </w:tc>
        <w:tc>
          <w:tcPr>
            <w:tcW w:w="1112" w:type="dxa"/>
            <w:vMerge w:val="continue"/>
            <w:tcBorders>
              <w:top w:val="nil"/>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276" w:type="dxa"/>
            <w:vMerge w:val="continue"/>
            <w:tcBorders>
              <w:left w:val="single" w:color="auto" w:sz="4" w:space="0"/>
              <w:bottom w:val="single" w:color="auto" w:sz="4" w:space="0"/>
              <w:right w:val="single" w:color="auto" w:sz="4" w:space="0"/>
            </w:tcBorders>
            <w:noWrap w:val="0"/>
            <w:vAlign w:val="center"/>
          </w:tcPr>
          <w:p>
            <w:pPr>
              <w:textAlignment w:val="baseline"/>
              <w:rPr>
                <w:color w:val="auto"/>
                <w:sz w:val="16"/>
                <w:szCs w:val="16"/>
              </w:rPr>
            </w:pPr>
          </w:p>
        </w:tc>
        <w:tc>
          <w:tcPr>
            <w:tcW w:w="1984" w:type="dxa"/>
            <w:tcBorders>
              <w:top w:val="nil"/>
              <w:left w:val="nil"/>
              <w:bottom w:val="single" w:color="auto" w:sz="4" w:space="0"/>
              <w:right w:val="single" w:color="auto" w:sz="4" w:space="0"/>
            </w:tcBorders>
            <w:noWrap w:val="0"/>
            <w:vAlign w:val="center"/>
          </w:tcPr>
          <w:p>
            <w:pPr>
              <w:textAlignment w:val="baseline"/>
              <w:rPr>
                <w:color w:val="auto"/>
                <w:sz w:val="16"/>
                <w:szCs w:val="16"/>
                <w:highlight w:val="magenta"/>
                <w:lang w:bidi="ar"/>
              </w:rPr>
            </w:pPr>
            <w:r>
              <w:rPr>
                <w:rFonts w:hint="eastAsia"/>
                <w:color w:val="auto"/>
                <w:sz w:val="16"/>
                <w:szCs w:val="16"/>
                <w:lang w:bidi="ar"/>
              </w:rPr>
              <w:t>白名单</w:t>
            </w:r>
          </w:p>
        </w:tc>
        <w:tc>
          <w:tcPr>
            <w:tcW w:w="4380" w:type="dxa"/>
            <w:tcBorders>
              <w:top w:val="nil"/>
              <w:left w:val="nil"/>
              <w:bottom w:val="single" w:color="auto" w:sz="4" w:space="0"/>
              <w:right w:val="single" w:color="auto" w:sz="4" w:space="0"/>
            </w:tcBorders>
            <w:noWrap w:val="0"/>
            <w:vAlign w:val="center"/>
          </w:tcPr>
          <w:p>
            <w:pPr>
              <w:textAlignment w:val="baseline"/>
              <w:rPr>
                <w:color w:val="auto"/>
                <w:sz w:val="16"/>
                <w:szCs w:val="16"/>
                <w:highlight w:val="magenta"/>
                <w:lang w:bidi="ar"/>
              </w:rPr>
            </w:pPr>
            <w:r>
              <w:rPr>
                <w:rFonts w:hint="eastAsia"/>
                <w:color w:val="auto"/>
                <w:sz w:val="16"/>
                <w:szCs w:val="16"/>
                <w:lang w:bidi="ar"/>
              </w:rPr>
              <w:t>可以根据辖区范围、上传号码包作为本地的白名单数据。</w:t>
            </w:r>
          </w:p>
        </w:tc>
      </w:tr>
    </w:tbl>
    <w:p>
      <w:pPr>
        <w:rPr>
          <w:color w:val="auto"/>
          <w:lang w:eastAsia="zh-Hans"/>
        </w:rPr>
      </w:pPr>
    </w:p>
    <w:p>
      <w:pPr>
        <w:spacing w:line="360" w:lineRule="auto"/>
        <w:outlineLvl w:val="1"/>
        <w:rPr>
          <w:rFonts w:hint="eastAsia" w:ascii="黑体" w:hAnsi="宋体" w:eastAsia="黑体"/>
          <w:b/>
          <w:color w:val="auto"/>
          <w:sz w:val="24"/>
          <w:szCs w:val="24"/>
          <w:lang w:eastAsia="zh-Hans"/>
        </w:rPr>
      </w:pPr>
      <w:r>
        <w:rPr>
          <w:rFonts w:ascii="黑体" w:hAnsi="宋体" w:eastAsia="黑体"/>
          <w:b/>
          <w:color w:val="auto"/>
          <w:sz w:val="24"/>
          <w:szCs w:val="24"/>
          <w:lang w:eastAsia="zh-Hans"/>
        </w:rPr>
        <w:t>3、</w:t>
      </w:r>
      <w:r>
        <w:rPr>
          <w:rFonts w:hint="eastAsia" w:ascii="黑体" w:hAnsi="宋体" w:eastAsia="黑体"/>
          <w:b/>
          <w:color w:val="auto"/>
          <w:sz w:val="24"/>
          <w:szCs w:val="24"/>
          <w:lang w:eastAsia="zh-Hans"/>
        </w:rPr>
        <w:t>系统架构与技术要求</w:t>
      </w:r>
    </w:p>
    <w:p>
      <w:pPr>
        <w:pStyle w:val="6"/>
        <w:spacing w:line="360" w:lineRule="auto"/>
        <w:jc w:val="both"/>
        <w:rPr>
          <w:rFonts w:ascii="宋体" w:hAnsi="宋体"/>
          <w:color w:val="auto"/>
          <w:sz w:val="28"/>
          <w:szCs w:val="40"/>
        </w:rPr>
      </w:pPr>
      <w:r>
        <w:rPr>
          <w:rFonts w:ascii="宋体" w:hAnsi="宋体"/>
          <w:color w:val="auto"/>
          <w:sz w:val="28"/>
          <w:szCs w:val="40"/>
        </w:rPr>
        <w:t>1）</w:t>
      </w:r>
      <w:r>
        <w:rPr>
          <w:rFonts w:hint="eastAsia" w:ascii="宋体" w:hAnsi="宋体"/>
          <w:color w:val="auto"/>
          <w:sz w:val="28"/>
          <w:szCs w:val="40"/>
        </w:rPr>
        <w:t>系统总体架构</w:t>
      </w:r>
    </w:p>
    <w:p>
      <w:pPr>
        <w:jc w:val="center"/>
        <w:rPr>
          <w:color w:val="auto"/>
        </w:rPr>
      </w:pPr>
      <w:r>
        <w:rPr>
          <w:color w:val="auto"/>
        </w:rPr>
        <w:drawing>
          <wp:inline distT="0" distB="0" distL="114300" distR="114300">
            <wp:extent cx="5489575" cy="3834765"/>
            <wp:effectExtent l="0" t="0" r="15875" b="13335"/>
            <wp:docPr id="2" name="图片 1" descr="系统架构图(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系统架构图(xw）"/>
                    <pic:cNvPicPr>
                      <a:picLocks noChangeAspect="1"/>
                    </pic:cNvPicPr>
                  </pic:nvPicPr>
                  <pic:blipFill>
                    <a:blip r:embed="rId9"/>
                    <a:stretch>
                      <a:fillRect/>
                    </a:stretch>
                  </pic:blipFill>
                  <pic:spPr>
                    <a:xfrm>
                      <a:off x="0" y="0"/>
                      <a:ext cx="5489575" cy="3834765"/>
                    </a:xfrm>
                    <a:prstGeom prst="rect">
                      <a:avLst/>
                    </a:prstGeom>
                    <a:noFill/>
                    <a:ln>
                      <a:noFill/>
                    </a:ln>
                  </pic:spPr>
                </pic:pic>
              </a:graphicData>
            </a:graphic>
          </wp:inline>
        </w:drawing>
      </w:r>
    </w:p>
    <w:p>
      <w:pPr>
        <w:pStyle w:val="6"/>
        <w:spacing w:line="360" w:lineRule="auto"/>
        <w:jc w:val="both"/>
        <w:rPr>
          <w:rFonts w:hint="eastAsia" w:ascii="宋体" w:hAnsi="宋体"/>
          <w:color w:val="auto"/>
          <w:sz w:val="28"/>
          <w:szCs w:val="40"/>
        </w:rPr>
      </w:pPr>
      <w:r>
        <w:rPr>
          <w:rFonts w:ascii="宋体" w:hAnsi="宋体"/>
          <w:color w:val="auto"/>
          <w:sz w:val="28"/>
          <w:szCs w:val="40"/>
        </w:rPr>
        <w:t>2）</w:t>
      </w:r>
      <w:r>
        <w:rPr>
          <w:rFonts w:hint="eastAsia" w:ascii="宋体" w:hAnsi="宋体"/>
          <w:color w:val="auto"/>
          <w:sz w:val="28"/>
          <w:szCs w:val="40"/>
        </w:rPr>
        <w:t>技术路线</w:t>
      </w:r>
    </w:p>
    <w:p>
      <w:pPr>
        <w:pStyle w:val="7"/>
        <w:keepLines w:val="0"/>
        <w:pageBreakBefore w:val="0"/>
        <w:kinsoku/>
        <w:wordWrap/>
        <w:overflowPunct/>
        <w:topLinePunct w:val="0"/>
        <w:bidi w:val="0"/>
        <w:spacing w:line="360" w:lineRule="auto"/>
        <w:ind w:left="0" w:right="0" w:firstLine="516" w:firstLineChars="200"/>
        <w:jc w:val="left"/>
        <w:rPr>
          <w:rFonts w:ascii="宋体" w:hAnsi="宋体" w:eastAsia="宋体"/>
          <w:color w:val="auto"/>
          <w:sz w:val="24"/>
          <w:szCs w:val="40"/>
        </w:rPr>
      </w:pPr>
      <w:r>
        <w:rPr>
          <w:rFonts w:ascii="宋体" w:hAnsi="宋体" w:eastAsia="宋体"/>
          <w:color w:val="auto"/>
          <w:spacing w:val="9"/>
          <w:sz w:val="24"/>
          <w:szCs w:val="40"/>
        </w:rPr>
        <w:t>（1）大</w:t>
      </w:r>
      <w:r>
        <w:rPr>
          <w:rFonts w:ascii="宋体" w:hAnsi="宋体" w:eastAsia="宋体"/>
          <w:color w:val="auto"/>
          <w:sz w:val="24"/>
          <w:szCs w:val="40"/>
        </w:rPr>
        <w:t>数据技术</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大数据技术的意义不在于掌握庞大的数据信息，而在于对这些含有意义的数据进行专业化处理。换言之，如果把大数据比作一种产业，那么这种产业实现盈利的关键，在于提高对数据的“加工能力”，通过“加工”实现数据的“增值”。</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大数据需要特殊的技术，以有效地处理大量的经过实践的数据。适用于大数据的技术，包括大规模并行处理</w:t>
      </w:r>
      <w:r>
        <w:rPr>
          <w:rFonts w:hint="eastAsia" w:hAnsi="宋体"/>
          <w:color w:val="auto"/>
          <w:sz w:val="24"/>
          <w:szCs w:val="24"/>
        </w:rPr>
        <w:t>（</w:t>
      </w:r>
      <w:r>
        <w:rPr>
          <w:rFonts w:hAnsi="宋体"/>
          <w:color w:val="auto"/>
          <w:sz w:val="24"/>
          <w:szCs w:val="24"/>
        </w:rPr>
        <w:t>MPP</w:t>
      </w:r>
      <w:r>
        <w:rPr>
          <w:rFonts w:hint="eastAsia" w:hAnsi="宋体"/>
          <w:color w:val="auto"/>
          <w:sz w:val="24"/>
          <w:szCs w:val="24"/>
        </w:rPr>
        <w:t>）</w:t>
      </w:r>
      <w:r>
        <w:rPr>
          <w:rFonts w:hAnsi="宋体"/>
          <w:color w:val="auto"/>
          <w:sz w:val="24"/>
          <w:szCs w:val="24"/>
        </w:rPr>
        <w:t>数据库、数据挖掘、分布式文件系统、分布式数据库、云计算平台、互联网和可扩展的存储系统。</w:t>
      </w:r>
    </w:p>
    <w:p>
      <w:pPr>
        <w:pStyle w:val="7"/>
        <w:keepLines w:val="0"/>
        <w:pageBreakBefore w:val="0"/>
        <w:kinsoku/>
        <w:wordWrap/>
        <w:overflowPunct/>
        <w:topLinePunct w:val="0"/>
        <w:bidi w:val="0"/>
        <w:spacing w:line="360" w:lineRule="auto"/>
        <w:ind w:left="0" w:right="0" w:firstLine="516" w:firstLineChars="200"/>
        <w:jc w:val="left"/>
        <w:rPr>
          <w:rFonts w:ascii="宋体" w:hAnsi="宋体" w:eastAsia="宋体"/>
          <w:color w:val="auto"/>
          <w:spacing w:val="9"/>
          <w:sz w:val="24"/>
          <w:szCs w:val="40"/>
        </w:rPr>
      </w:pPr>
      <w:r>
        <w:rPr>
          <w:rFonts w:ascii="宋体" w:hAnsi="宋体" w:eastAsia="宋体"/>
          <w:color w:val="auto"/>
          <w:spacing w:val="9"/>
          <w:sz w:val="24"/>
          <w:szCs w:val="40"/>
        </w:rPr>
        <w:t>（2）数据仓库技术</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数据仓库技术</w:t>
      </w:r>
      <w:r>
        <w:rPr>
          <w:rFonts w:hint="eastAsia" w:hAnsi="宋体"/>
          <w:color w:val="auto"/>
          <w:sz w:val="24"/>
          <w:szCs w:val="24"/>
        </w:rPr>
        <w:t>（</w:t>
      </w:r>
      <w:r>
        <w:rPr>
          <w:rFonts w:hAnsi="宋体"/>
          <w:color w:val="auto"/>
          <w:sz w:val="24"/>
          <w:szCs w:val="24"/>
        </w:rPr>
        <w:t>Data Warehousing</w:t>
      </w:r>
      <w:r>
        <w:rPr>
          <w:rFonts w:hint="eastAsia" w:hAnsi="宋体"/>
          <w:color w:val="auto"/>
          <w:sz w:val="24"/>
          <w:szCs w:val="24"/>
        </w:rPr>
        <w:t>）</w:t>
      </w:r>
      <w:r>
        <w:rPr>
          <w:rFonts w:hAnsi="宋体"/>
          <w:color w:val="auto"/>
          <w:sz w:val="24"/>
          <w:szCs w:val="24"/>
        </w:rPr>
        <w:t>是基于信息系统业务发展的需要，基于数据库系统技术发展而来，并逐步独立的一系列新的应用技术。数据仓库是面向主题的、集成的、与时间相关的、不可修改的数据集合。其主要特征如下：</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面向主题</w:t>
      </w:r>
      <w:r>
        <w:rPr>
          <w:rFonts w:hint="eastAsia" w:hAnsi="宋体"/>
          <w:color w:val="auto"/>
          <w:sz w:val="24"/>
          <w:szCs w:val="24"/>
        </w:rPr>
        <w:t>：</w:t>
      </w:r>
      <w:r>
        <w:rPr>
          <w:rFonts w:hAnsi="宋体"/>
          <w:color w:val="auto"/>
          <w:sz w:val="24"/>
          <w:szCs w:val="24"/>
        </w:rPr>
        <w:t>与传统数据库面向应用进行数据组织的特点相对应，数据仓库中的数据是面向主题进行组织的。面向主题的数据组织方式，是在较高层次上对分析对象的数据的一个完整、一致的描述，能完整、统一地刻画各个分析对象所涉及的各项数据及数据间的联系。</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集成化特性：数据仓库中的数据是从原有分散的数据库中抽取出来的，由于数据仓库的每一主题所对应的源数据在原有分散的数据库中可能有重复或不一致的地方，加上综合数据不能从原有数据库中直接得到。因此数据在进入数据仓库之前必须要经过统一和综合形成集成化的数据。</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随时间不断变化：数据仓库中数据的不可更新性是针对应用来说的，即用户进行分析处理时是不进行数据更新操作的</w:t>
      </w:r>
      <w:r>
        <w:rPr>
          <w:rFonts w:hint="eastAsia" w:hAnsi="宋体"/>
          <w:color w:val="auto"/>
          <w:sz w:val="24"/>
          <w:szCs w:val="24"/>
        </w:rPr>
        <w:t>；</w:t>
      </w:r>
      <w:r>
        <w:rPr>
          <w:rFonts w:hAnsi="宋体"/>
          <w:color w:val="auto"/>
          <w:sz w:val="24"/>
          <w:szCs w:val="24"/>
        </w:rPr>
        <w:t>但</w:t>
      </w:r>
      <w:r>
        <w:rPr>
          <w:rFonts w:hint="eastAsia" w:hAnsi="宋体"/>
          <w:color w:val="auto"/>
          <w:sz w:val="24"/>
          <w:szCs w:val="24"/>
        </w:rPr>
        <w:t>并表示</w:t>
      </w:r>
      <w:r>
        <w:rPr>
          <w:rFonts w:hAnsi="宋体"/>
          <w:color w:val="auto"/>
          <w:sz w:val="24"/>
          <w:szCs w:val="24"/>
        </w:rPr>
        <w:t>从数据集成入库到最终被删除的整个数据生成周期中，所有数据仓库中的数据永远不变，而是随时间不断变化的。</w:t>
      </w:r>
    </w:p>
    <w:p>
      <w:pPr>
        <w:pStyle w:val="7"/>
        <w:keepLines w:val="0"/>
        <w:pageBreakBefore w:val="0"/>
        <w:kinsoku/>
        <w:wordWrap/>
        <w:overflowPunct/>
        <w:topLinePunct w:val="0"/>
        <w:bidi w:val="0"/>
        <w:spacing w:line="360" w:lineRule="auto"/>
        <w:ind w:left="0" w:right="0" w:firstLine="516" w:firstLineChars="200"/>
        <w:jc w:val="left"/>
        <w:rPr>
          <w:rFonts w:ascii="宋体" w:hAnsi="宋体" w:eastAsia="宋体"/>
          <w:color w:val="auto"/>
          <w:spacing w:val="9"/>
          <w:sz w:val="24"/>
          <w:szCs w:val="40"/>
        </w:rPr>
      </w:pPr>
      <w:r>
        <w:rPr>
          <w:rFonts w:ascii="宋体" w:hAnsi="宋体" w:eastAsia="宋体"/>
          <w:color w:val="auto"/>
          <w:spacing w:val="9"/>
          <w:sz w:val="24"/>
          <w:szCs w:val="40"/>
        </w:rPr>
        <w:t>（3）Web Service 技术</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Web Service 允许在 Web 站点上放置可编程的元素，能进行基于 Web 的分布式计算和处理，把 Internet/Intranet 变成一个虚拟计算环境的技术。在由Web Service 组成的虚拟环境中使用者可以</w:t>
      </w:r>
      <w:r>
        <w:rPr>
          <w:rFonts w:hint="eastAsia" w:hAnsi="宋体"/>
          <w:color w:val="auto"/>
          <w:sz w:val="24"/>
          <w:szCs w:val="24"/>
        </w:rPr>
        <w:t>使用任何的</w:t>
      </w:r>
      <w:r>
        <w:rPr>
          <w:rFonts w:hAnsi="宋体"/>
          <w:color w:val="auto"/>
          <w:sz w:val="24"/>
          <w:szCs w:val="24"/>
        </w:rPr>
        <w:t>客户端软件，例如浏览器，一般的 Window 或是 Java 应用程序或是电子行动设备等，来调用 Web Service 提供的服务。</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Web Service 是建立在开放和标准的规格之上，允许异质的客户端调用以使用它提供的服务。Web Service 具有以下一些主要优点：完好的封装性和松散耦合</w:t>
      </w:r>
      <w:r>
        <w:rPr>
          <w:rFonts w:hint="eastAsia" w:hAnsi="宋体"/>
          <w:color w:val="auto"/>
          <w:sz w:val="24"/>
          <w:szCs w:val="24"/>
        </w:rPr>
        <w:t>、</w:t>
      </w:r>
      <w:r>
        <w:rPr>
          <w:rFonts w:hAnsi="宋体"/>
          <w:color w:val="auto"/>
          <w:sz w:val="24"/>
          <w:szCs w:val="24"/>
        </w:rPr>
        <w:t>使用协约的规范性、使用标准协议规范</w:t>
      </w:r>
      <w:r>
        <w:rPr>
          <w:rFonts w:hint="eastAsia" w:hAnsi="宋体"/>
          <w:color w:val="auto"/>
          <w:sz w:val="24"/>
          <w:szCs w:val="24"/>
        </w:rPr>
        <w:t>、</w:t>
      </w:r>
      <w:r>
        <w:rPr>
          <w:rFonts w:hAnsi="宋体"/>
          <w:color w:val="auto"/>
          <w:sz w:val="24"/>
          <w:szCs w:val="24"/>
        </w:rPr>
        <w:t>高度可集成能力</w:t>
      </w:r>
      <w:r>
        <w:rPr>
          <w:rFonts w:hint="eastAsia" w:hAnsi="宋体"/>
          <w:color w:val="auto"/>
          <w:sz w:val="24"/>
          <w:szCs w:val="24"/>
        </w:rPr>
        <w:t>、</w:t>
      </w:r>
      <w:r>
        <w:rPr>
          <w:rFonts w:hAnsi="宋体"/>
          <w:color w:val="auto"/>
          <w:sz w:val="24"/>
          <w:szCs w:val="24"/>
        </w:rPr>
        <w:t>开放性、普遍性和互操作性</w:t>
      </w:r>
      <w:r>
        <w:rPr>
          <w:rFonts w:hint="eastAsia" w:hAnsi="宋体"/>
          <w:color w:val="auto"/>
          <w:sz w:val="24"/>
          <w:szCs w:val="24"/>
        </w:rPr>
        <w:t>、</w:t>
      </w:r>
      <w:r>
        <w:rPr>
          <w:rFonts w:hAnsi="宋体"/>
          <w:color w:val="auto"/>
          <w:sz w:val="24"/>
          <w:szCs w:val="24"/>
        </w:rPr>
        <w:t>易于使用</w:t>
      </w:r>
      <w:r>
        <w:rPr>
          <w:rFonts w:hint="eastAsia" w:hAnsi="宋体"/>
          <w:color w:val="auto"/>
          <w:sz w:val="24"/>
          <w:szCs w:val="24"/>
        </w:rPr>
        <w:t>、</w:t>
      </w:r>
      <w:r>
        <w:rPr>
          <w:rFonts w:hAnsi="宋体"/>
          <w:color w:val="auto"/>
          <w:sz w:val="24"/>
          <w:szCs w:val="24"/>
        </w:rPr>
        <w:t>广泛的行业支持。</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平台使用 Java EE Server 作为数据处理的平台，具有开放性和成长性，能够灵活加入新的模块，以实现新的业务需求。</w:t>
      </w:r>
    </w:p>
    <w:p>
      <w:pPr>
        <w:pStyle w:val="7"/>
        <w:keepLines w:val="0"/>
        <w:pageBreakBefore w:val="0"/>
        <w:kinsoku/>
        <w:wordWrap/>
        <w:overflowPunct/>
        <w:topLinePunct w:val="0"/>
        <w:bidi w:val="0"/>
        <w:spacing w:line="360" w:lineRule="auto"/>
        <w:ind w:left="0" w:right="0" w:firstLine="516" w:firstLineChars="200"/>
        <w:jc w:val="left"/>
        <w:rPr>
          <w:rFonts w:ascii="宋体" w:hAnsi="宋体" w:eastAsia="宋体"/>
          <w:color w:val="auto"/>
          <w:spacing w:val="9"/>
          <w:sz w:val="24"/>
          <w:szCs w:val="40"/>
        </w:rPr>
      </w:pPr>
      <w:r>
        <w:rPr>
          <w:rFonts w:ascii="宋体" w:hAnsi="宋体" w:eastAsia="宋体"/>
          <w:color w:val="auto"/>
          <w:spacing w:val="9"/>
          <w:sz w:val="24"/>
          <w:szCs w:val="40"/>
        </w:rPr>
        <w:t>（4）面向服务架构</w:t>
      </w:r>
      <w:r>
        <w:rPr>
          <w:rFonts w:hint="eastAsia" w:ascii="宋体" w:hAnsi="宋体" w:eastAsia="宋体"/>
          <w:color w:val="auto"/>
          <w:spacing w:val="9"/>
          <w:sz w:val="24"/>
          <w:szCs w:val="40"/>
        </w:rPr>
        <w:t>（SOA）</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采用面向服务架构</w:t>
      </w:r>
      <w:r>
        <w:rPr>
          <w:rFonts w:hint="eastAsia" w:hAnsi="宋体"/>
          <w:color w:val="auto"/>
          <w:sz w:val="24"/>
          <w:szCs w:val="24"/>
        </w:rPr>
        <w:t>（</w:t>
      </w:r>
      <w:r>
        <w:rPr>
          <w:rFonts w:hAnsi="宋体"/>
          <w:color w:val="auto"/>
          <w:sz w:val="24"/>
          <w:szCs w:val="24"/>
        </w:rPr>
        <w:t>SOA</w:t>
      </w:r>
      <w:r>
        <w:rPr>
          <w:rFonts w:hint="eastAsia" w:hAnsi="宋体"/>
          <w:color w:val="auto"/>
          <w:sz w:val="24"/>
          <w:szCs w:val="24"/>
        </w:rPr>
        <w:t>）</w:t>
      </w:r>
      <w:r>
        <w:rPr>
          <w:rFonts w:hAnsi="宋体"/>
          <w:color w:val="auto"/>
          <w:sz w:val="24"/>
          <w:szCs w:val="24"/>
        </w:rPr>
        <w:t>向应用系统提供调用，为以后的扩展打好基础。在不改变部门原有应用系统的情况下实现不同应用系统之间的资源共享。</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SOA(Service-Oriented Architecture，面向服务的架构</w:t>
      </w:r>
      <w:r>
        <w:rPr>
          <w:rFonts w:hint="eastAsia" w:hAnsi="宋体"/>
          <w:color w:val="auto"/>
          <w:sz w:val="24"/>
          <w:szCs w:val="24"/>
        </w:rPr>
        <w:t>）</w:t>
      </w:r>
      <w:r>
        <w:rPr>
          <w:rFonts w:hAnsi="宋体"/>
          <w:color w:val="auto"/>
          <w:sz w:val="24"/>
          <w:szCs w:val="24"/>
        </w:rPr>
        <w:t>：是一种新的应用开发体系架构，在基于SOA架构的系统中，具体应用程序的功能是由一些松耦合并且具有统一接口定义方式的组件</w:t>
      </w:r>
      <w:r>
        <w:rPr>
          <w:rFonts w:hint="eastAsia" w:hAnsi="宋体"/>
          <w:color w:val="auto"/>
          <w:sz w:val="24"/>
          <w:szCs w:val="24"/>
        </w:rPr>
        <w:t>（</w:t>
      </w:r>
      <w:r>
        <w:rPr>
          <w:rFonts w:hAnsi="宋体"/>
          <w:color w:val="auto"/>
          <w:sz w:val="24"/>
          <w:szCs w:val="24"/>
        </w:rPr>
        <w:t>也就是 service</w:t>
      </w:r>
      <w:r>
        <w:rPr>
          <w:rFonts w:hint="eastAsia" w:hAnsi="宋体"/>
          <w:color w:val="auto"/>
          <w:sz w:val="24"/>
          <w:szCs w:val="24"/>
        </w:rPr>
        <w:t>）</w:t>
      </w:r>
      <w:r>
        <w:rPr>
          <w:rFonts w:hAnsi="宋体"/>
          <w:color w:val="auto"/>
          <w:sz w:val="24"/>
          <w:szCs w:val="24"/>
        </w:rPr>
        <w:t>组合构建起来的。SOA 三大基本特征：</w:t>
      </w:r>
    </w:p>
    <w:p>
      <w:pPr>
        <w:pStyle w:val="2"/>
        <w:keepLines w:val="0"/>
        <w:pageBreakBefore w:val="0"/>
        <w:kinsoku/>
        <w:wordWrap/>
        <w:overflowPunct/>
        <w:topLinePunct w:val="0"/>
        <w:bidi w:val="0"/>
        <w:spacing w:line="360" w:lineRule="auto"/>
        <w:ind w:left="0" w:right="0" w:firstLine="0" w:firstLineChars="0"/>
        <w:rPr>
          <w:rFonts w:hAnsi="宋体"/>
          <w:color w:val="auto"/>
          <w:sz w:val="24"/>
          <w:szCs w:val="24"/>
        </w:rPr>
      </w:pPr>
      <w:r>
        <w:rPr>
          <w:rFonts w:hAnsi="宋体"/>
          <w:color w:val="auto"/>
          <w:sz w:val="24"/>
          <w:szCs w:val="24"/>
        </w:rPr>
        <w:t>独立的功能实体，SOA非常强调架构中提供服务的功能实体的完全独立自主的能力；</w:t>
      </w:r>
    </w:p>
    <w:p>
      <w:pPr>
        <w:pStyle w:val="2"/>
        <w:keepLines w:val="0"/>
        <w:pageBreakBefore w:val="0"/>
        <w:kinsoku/>
        <w:wordWrap/>
        <w:overflowPunct/>
        <w:topLinePunct w:val="0"/>
        <w:bidi w:val="0"/>
        <w:spacing w:line="360" w:lineRule="auto"/>
        <w:ind w:left="0" w:right="0" w:firstLine="0" w:firstLineChars="0"/>
        <w:rPr>
          <w:rFonts w:hAnsi="宋体"/>
          <w:color w:val="auto"/>
          <w:sz w:val="24"/>
          <w:szCs w:val="24"/>
        </w:rPr>
      </w:pPr>
      <w:r>
        <w:rPr>
          <w:rFonts w:hAnsi="宋体"/>
          <w:color w:val="auto"/>
          <w:sz w:val="24"/>
          <w:szCs w:val="24"/>
        </w:rPr>
        <w:t>大数据量低频率访问，SOA系统推荐采用大数据量的方式一次性进行信息交换；</w:t>
      </w:r>
    </w:p>
    <w:p>
      <w:pPr>
        <w:pStyle w:val="2"/>
        <w:keepLines w:val="0"/>
        <w:pageBreakBefore w:val="0"/>
        <w:kinsoku/>
        <w:wordWrap/>
        <w:overflowPunct/>
        <w:topLinePunct w:val="0"/>
        <w:bidi w:val="0"/>
        <w:spacing w:line="360" w:lineRule="auto"/>
        <w:ind w:left="0" w:right="0" w:firstLine="0" w:firstLineChars="0"/>
        <w:rPr>
          <w:rFonts w:hAnsi="宋体"/>
          <w:color w:val="auto"/>
          <w:sz w:val="24"/>
          <w:szCs w:val="24"/>
        </w:rPr>
      </w:pPr>
      <w:r>
        <w:rPr>
          <w:rFonts w:hAnsi="宋体"/>
          <w:color w:val="auto"/>
          <w:sz w:val="24"/>
          <w:szCs w:val="24"/>
        </w:rPr>
        <w:t>基于文本的消息传递。</w:t>
      </w:r>
    </w:p>
    <w:p>
      <w:pPr>
        <w:pStyle w:val="6"/>
        <w:keepLines w:val="0"/>
        <w:pageBreakBefore w:val="0"/>
        <w:kinsoku/>
        <w:wordWrap/>
        <w:overflowPunct/>
        <w:topLinePunct w:val="0"/>
        <w:bidi w:val="0"/>
        <w:spacing w:line="360" w:lineRule="auto"/>
        <w:ind w:left="0" w:right="0" w:firstLine="516" w:firstLineChars="200"/>
        <w:jc w:val="both"/>
        <w:rPr>
          <w:rFonts w:hint="eastAsia" w:ascii="宋体" w:hAnsi="宋体" w:eastAsia="宋体"/>
          <w:color w:val="auto"/>
          <w:spacing w:val="9"/>
          <w:sz w:val="24"/>
          <w:szCs w:val="40"/>
        </w:rPr>
      </w:pPr>
      <w:r>
        <w:rPr>
          <w:rFonts w:ascii="宋体" w:hAnsi="宋体" w:eastAsia="宋体"/>
          <w:color w:val="auto"/>
          <w:spacing w:val="9"/>
          <w:sz w:val="24"/>
          <w:szCs w:val="40"/>
        </w:rPr>
        <w:t>3）</w:t>
      </w:r>
      <w:r>
        <w:rPr>
          <w:rFonts w:hint="eastAsia" w:ascii="宋体" w:hAnsi="宋体" w:eastAsia="宋体"/>
          <w:color w:val="auto"/>
          <w:spacing w:val="9"/>
          <w:sz w:val="24"/>
          <w:szCs w:val="40"/>
        </w:rPr>
        <w:t>技术性能要求</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1</w:t>
      </w:r>
      <w:r>
        <w:rPr>
          <w:rFonts w:hAnsi="宋体"/>
          <w:color w:val="auto"/>
          <w:sz w:val="24"/>
          <w:szCs w:val="24"/>
        </w:rPr>
        <w:t>）当前，随着互联网经济和电信产业迅猛发展，电信网络在有力推动经济社会发展的同时，也成为不法人员实施犯罪的重要平台，与全国其他地区一样，</w:t>
      </w:r>
      <w:r>
        <w:rPr>
          <w:rFonts w:hint="eastAsia" w:hAnsi="宋体"/>
          <w:color w:val="auto"/>
          <w:sz w:val="24"/>
          <w:szCs w:val="24"/>
        </w:rPr>
        <w:t>新吴区</w:t>
      </w:r>
      <w:r>
        <w:rPr>
          <w:rFonts w:hAnsi="宋体"/>
          <w:color w:val="auto"/>
          <w:sz w:val="24"/>
          <w:szCs w:val="24"/>
        </w:rPr>
        <w:t>电信网络诈骗已成为当前发展最快的刑事犯罪，犯罪形势十分严峻，打击治理工作面临艰巨挑战。从全国情况看，2021年，公安机关共破获电信网络诈骗案件44.1万余起，抓获违法犯罪嫌疑人69万余名，打掉涉“两卡”违法犯罪团伙3.9万个，追缴返还人民群众被骗资金120亿元。在传统犯罪持续下降的情况下，以电信诈骗为代表的新型违法犯罪不降反升、愈演愈烈，也直接</w:t>
      </w:r>
      <w:r>
        <w:rPr>
          <w:rFonts w:hint="eastAsia" w:hAnsi="宋体"/>
          <w:color w:val="auto"/>
          <w:sz w:val="24"/>
          <w:szCs w:val="24"/>
        </w:rPr>
        <w:t>影响</w:t>
      </w:r>
      <w:r>
        <w:rPr>
          <w:rFonts w:hAnsi="宋体"/>
          <w:color w:val="auto"/>
          <w:sz w:val="24"/>
          <w:szCs w:val="24"/>
        </w:rPr>
        <w:t>了</w:t>
      </w:r>
      <w:r>
        <w:rPr>
          <w:rFonts w:hint="eastAsia" w:hAnsi="宋体"/>
          <w:color w:val="auto"/>
          <w:sz w:val="24"/>
          <w:szCs w:val="24"/>
        </w:rPr>
        <w:t>新吴区</w:t>
      </w:r>
      <w:r>
        <w:rPr>
          <w:rFonts w:hAnsi="宋体"/>
          <w:color w:val="auto"/>
          <w:sz w:val="24"/>
          <w:szCs w:val="24"/>
        </w:rPr>
        <w:t>刑事案件的发案</w:t>
      </w:r>
      <w:r>
        <w:rPr>
          <w:rFonts w:hint="eastAsia" w:hAnsi="宋体"/>
          <w:color w:val="auto"/>
          <w:sz w:val="24"/>
          <w:szCs w:val="24"/>
        </w:rPr>
        <w:t>趋势</w:t>
      </w:r>
      <w:r>
        <w:rPr>
          <w:rFonts w:hAnsi="宋体"/>
          <w:color w:val="auto"/>
          <w:sz w:val="24"/>
          <w:szCs w:val="24"/>
        </w:rPr>
        <w:t>。电信网络诈骗势头日益猖獗，不仅严重破坏了社会经济秩序，也给</w:t>
      </w:r>
      <w:r>
        <w:rPr>
          <w:rFonts w:hint="eastAsia" w:hAnsi="宋体"/>
          <w:color w:val="auto"/>
          <w:sz w:val="24"/>
          <w:szCs w:val="24"/>
        </w:rPr>
        <w:t>新吴区</w:t>
      </w:r>
      <w:r>
        <w:rPr>
          <w:rFonts w:hAnsi="宋体"/>
          <w:color w:val="auto"/>
          <w:sz w:val="24"/>
          <w:szCs w:val="24"/>
        </w:rPr>
        <w:t>人民群众生产生活造成了巨大损失</w:t>
      </w:r>
      <w:r>
        <w:rPr>
          <w:rFonts w:hint="eastAsia" w:hAnsi="宋体"/>
          <w:color w:val="auto"/>
          <w:sz w:val="24"/>
          <w:szCs w:val="24"/>
        </w:rPr>
        <w:t>，</w:t>
      </w:r>
      <w:r>
        <w:rPr>
          <w:rFonts w:hAnsi="宋体"/>
          <w:color w:val="auto"/>
          <w:sz w:val="24"/>
          <w:szCs w:val="24"/>
        </w:rPr>
        <w:t>已经成为影响</w:t>
      </w:r>
      <w:r>
        <w:rPr>
          <w:rFonts w:hint="eastAsia" w:hAnsi="宋体"/>
          <w:color w:val="auto"/>
          <w:sz w:val="24"/>
          <w:szCs w:val="24"/>
        </w:rPr>
        <w:t>新吴区</w:t>
      </w:r>
      <w:r>
        <w:rPr>
          <w:rFonts w:hAnsi="宋体"/>
          <w:color w:val="auto"/>
          <w:sz w:val="24"/>
          <w:szCs w:val="24"/>
        </w:rPr>
        <w:t>群众安全感和满意度的重要因素，必须予以严厉打击。</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2</w:t>
      </w:r>
      <w:r>
        <w:rPr>
          <w:rFonts w:hAnsi="宋体"/>
          <w:color w:val="auto"/>
          <w:sz w:val="24"/>
          <w:szCs w:val="24"/>
        </w:rPr>
        <w:t>）网络诈骗犯罪已成为整个互联网犯罪主要案件类型，犯罪手段具有科技含量高、更新快，具有跨区域、跨境和诈骗内容多样性</w:t>
      </w:r>
      <w:r>
        <w:rPr>
          <w:rFonts w:hint="eastAsia" w:hAnsi="宋体"/>
          <w:color w:val="auto"/>
          <w:sz w:val="24"/>
          <w:szCs w:val="24"/>
        </w:rPr>
        <w:t>的特点，具体特征如下：</w:t>
      </w:r>
    </w:p>
    <w:p>
      <w:pPr>
        <w:keepLines w:val="0"/>
        <w:pageBreakBefore w:val="0"/>
        <w:numPr>
          <w:ilvl w:val="0"/>
          <w:numId w:val="21"/>
        </w:numPr>
        <w:kinsoku/>
        <w:wordWrap/>
        <w:overflowPunct/>
        <w:topLinePunct w:val="0"/>
        <w:bidi w:val="0"/>
        <w:spacing w:line="360" w:lineRule="auto"/>
        <w:ind w:left="0" w:right="0"/>
        <w:rPr>
          <w:color w:val="auto"/>
          <w:sz w:val="24"/>
          <w:szCs w:val="24"/>
        </w:rPr>
      </w:pPr>
      <w:r>
        <w:rPr>
          <w:color w:val="auto"/>
          <w:sz w:val="24"/>
          <w:szCs w:val="24"/>
        </w:rPr>
        <w:t>犯罪集团化。从我国破获的网络犯罪团伙的规模来看，有逐年扩大的趋势。很多网络犯罪已经应用集团化的操作方式来策划和实施犯罪活动，这些团伙制定了业务绩效考核和奖励规则，操作流程越发细致，很难从犯罪团伙中获得实际的证据，令公安机关难以从受害人及犯罪团伙基层人员中获得全部犯罪证据。</w:t>
      </w:r>
    </w:p>
    <w:p>
      <w:pPr>
        <w:keepLines w:val="0"/>
        <w:pageBreakBefore w:val="0"/>
        <w:numPr>
          <w:ilvl w:val="0"/>
          <w:numId w:val="21"/>
        </w:numPr>
        <w:kinsoku/>
        <w:wordWrap/>
        <w:overflowPunct/>
        <w:topLinePunct w:val="0"/>
        <w:bidi w:val="0"/>
        <w:spacing w:line="360" w:lineRule="auto"/>
        <w:ind w:left="0" w:right="0"/>
        <w:rPr>
          <w:color w:val="auto"/>
          <w:sz w:val="24"/>
          <w:szCs w:val="24"/>
        </w:rPr>
      </w:pPr>
      <w:r>
        <w:rPr>
          <w:color w:val="auto"/>
          <w:sz w:val="24"/>
          <w:szCs w:val="24"/>
        </w:rPr>
        <w:t>跨区域跨境作案。依托便利的网络条件、通信条件以及支付技术的发展，犯罪嫌疑人可以十分便捷地实施诈骗。部分网络诈骗犯罪团伙利用东南亚部分国家法律体系不健全、法制观念不强的现实状况，在国外实施网络诈骗犯罪活动。</w:t>
      </w:r>
    </w:p>
    <w:p>
      <w:pPr>
        <w:keepLines w:val="0"/>
        <w:pageBreakBefore w:val="0"/>
        <w:numPr>
          <w:ilvl w:val="0"/>
          <w:numId w:val="21"/>
        </w:numPr>
        <w:kinsoku/>
        <w:wordWrap/>
        <w:overflowPunct/>
        <w:topLinePunct w:val="0"/>
        <w:bidi w:val="0"/>
        <w:snapToGrid w:val="0"/>
        <w:spacing w:line="360" w:lineRule="auto"/>
        <w:ind w:left="0" w:right="0"/>
        <w:rPr>
          <w:color w:val="auto"/>
          <w:sz w:val="24"/>
          <w:szCs w:val="24"/>
        </w:rPr>
      </w:pPr>
      <w:r>
        <w:rPr>
          <w:color w:val="auto"/>
          <w:sz w:val="24"/>
          <w:szCs w:val="24"/>
        </w:rPr>
        <w:t>手段多样化。信息技术的发展为网络诈骗犯罪带来了犯罪环境。犯罪分子利用诈骗网站、网络电话等方式实施诈骗活动，在盗取被害人的银行卡、密码等信息，获得赃款后，立即断掉和被害人的联系，消灭犯罪证据，让公安机关很难追溯到犯罪源头。</w:t>
      </w:r>
    </w:p>
    <w:p>
      <w:pPr>
        <w:keepLines w:val="0"/>
        <w:pageBreakBefore w:val="0"/>
        <w:kinsoku/>
        <w:wordWrap/>
        <w:overflowPunct/>
        <w:topLinePunct w:val="0"/>
        <w:bidi w:val="0"/>
        <w:snapToGrid w:val="0"/>
        <w:spacing w:line="360" w:lineRule="auto"/>
        <w:ind w:left="0" w:right="0" w:firstLine="480" w:firstLineChars="200"/>
        <w:rPr>
          <w:color w:val="auto"/>
          <w:sz w:val="24"/>
          <w:szCs w:val="24"/>
        </w:rPr>
      </w:pPr>
      <w:r>
        <w:rPr>
          <w:color w:val="auto"/>
          <w:sz w:val="24"/>
          <w:szCs w:val="24"/>
        </w:rPr>
        <w:t>（</w:t>
      </w:r>
      <w:r>
        <w:rPr>
          <w:rFonts w:hint="eastAsia"/>
          <w:color w:val="auto"/>
          <w:sz w:val="24"/>
          <w:szCs w:val="24"/>
        </w:rPr>
        <w:t>3</w:t>
      </w:r>
      <w:r>
        <w:rPr>
          <w:color w:val="auto"/>
          <w:sz w:val="24"/>
          <w:szCs w:val="24"/>
        </w:rPr>
        <w:t>）各地公安机关在预防、打击网络诈骗案件中遇到了诸多困难</w:t>
      </w:r>
      <w:r>
        <w:rPr>
          <w:rFonts w:hint="eastAsia"/>
          <w:color w:val="auto"/>
          <w:sz w:val="24"/>
          <w:szCs w:val="24"/>
        </w:rPr>
        <w:t>。</w:t>
      </w:r>
      <w:r>
        <w:rPr>
          <w:color w:val="auto"/>
          <w:sz w:val="24"/>
          <w:szCs w:val="24"/>
        </w:rPr>
        <w:t>其中受害人预警困难，主要体现在网络诈骗犯罪活动具有较强的隐蔽性，犯罪分子利用便利的网络条件可以面向全国实施诈骗</w:t>
      </w:r>
      <w:r>
        <w:rPr>
          <w:rFonts w:hint="eastAsia"/>
          <w:color w:val="auto"/>
          <w:sz w:val="24"/>
          <w:szCs w:val="24"/>
        </w:rPr>
        <w:t>。</w:t>
      </w:r>
      <w:r>
        <w:rPr>
          <w:color w:val="auto"/>
          <w:sz w:val="24"/>
          <w:szCs w:val="24"/>
        </w:rPr>
        <w:t>绝大部分的网络诈骗案件往往是在造成了人民群众财产损失之后，由当事人报案才能获取相关信息</w:t>
      </w:r>
      <w:r>
        <w:rPr>
          <w:rFonts w:hint="eastAsia"/>
          <w:color w:val="auto"/>
          <w:sz w:val="24"/>
          <w:szCs w:val="24"/>
        </w:rPr>
        <w:t>。由于</w:t>
      </w:r>
      <w:r>
        <w:rPr>
          <w:color w:val="auto"/>
          <w:sz w:val="24"/>
          <w:szCs w:val="24"/>
        </w:rPr>
        <w:t>网络诈骗手段丰富，很难进行事前预警，提前对疑似受害人进行劝阻，避免当事人损失。</w:t>
      </w:r>
    </w:p>
    <w:p>
      <w:pPr>
        <w:pStyle w:val="2"/>
        <w:keepLines w:val="0"/>
        <w:pageBreakBefore w:val="0"/>
        <w:kinsoku/>
        <w:wordWrap/>
        <w:overflowPunct/>
        <w:topLinePunct w:val="0"/>
        <w:bidi w:val="0"/>
        <w:spacing w:line="360" w:lineRule="auto"/>
        <w:ind w:left="0" w:right="0" w:firstLine="482"/>
        <w:rPr>
          <w:rFonts w:hint="eastAsia" w:hAnsi="宋体" w:eastAsia="宋体" w:cs="宋体"/>
          <w:b/>
          <w:bCs/>
          <w:color w:val="auto"/>
          <w:sz w:val="24"/>
          <w:szCs w:val="24"/>
        </w:rPr>
      </w:pPr>
      <w:r>
        <w:rPr>
          <w:rFonts w:hint="eastAsia" w:hAnsi="宋体" w:eastAsia="宋体" w:cs="宋体"/>
          <w:b/>
          <w:bCs/>
          <w:color w:val="auto"/>
          <w:sz w:val="24"/>
          <w:szCs w:val="24"/>
        </w:rPr>
        <w:t>基于以上现状，对</w:t>
      </w:r>
      <w:r>
        <w:rPr>
          <w:rFonts w:hint="eastAsia" w:hAnsi="宋体" w:eastAsia="宋体" w:cs="宋体"/>
          <w:b/>
          <w:bCs/>
          <w:color w:val="auto"/>
          <w:sz w:val="24"/>
          <w:szCs w:val="24"/>
          <w:lang w:eastAsia="zh-Hans"/>
        </w:rPr>
        <w:t>本项目</w:t>
      </w:r>
      <w:r>
        <w:rPr>
          <w:rFonts w:hint="eastAsia" w:hAnsi="宋体" w:eastAsia="宋体" w:cs="宋体"/>
          <w:b/>
          <w:bCs/>
          <w:color w:val="auto"/>
          <w:sz w:val="24"/>
          <w:szCs w:val="24"/>
        </w:rPr>
        <w:t>提出如下技术性能要求</w:t>
      </w:r>
      <w:r>
        <w:rPr>
          <w:rFonts w:hint="eastAsia" w:hAnsi="宋体" w:eastAsia="宋体" w:cs="宋体"/>
          <w:b/>
          <w:bCs/>
          <w:color w:val="auto"/>
          <w:sz w:val="24"/>
          <w:szCs w:val="24"/>
          <w:lang w:eastAsia="zh-Hans"/>
        </w:rPr>
        <w:t>并</w:t>
      </w:r>
      <w:r>
        <w:rPr>
          <w:rFonts w:hint="eastAsia" w:hAnsi="宋体" w:eastAsia="宋体" w:cs="宋体"/>
          <w:b/>
          <w:bCs/>
          <w:color w:val="auto"/>
          <w:sz w:val="24"/>
          <w:szCs w:val="24"/>
        </w:rPr>
        <w:t>在</w:t>
      </w:r>
      <w:r>
        <w:rPr>
          <w:rFonts w:hint="eastAsia" w:hAnsi="宋体" w:eastAsia="宋体" w:cs="宋体"/>
          <w:b/>
          <w:bCs/>
          <w:color w:val="auto"/>
          <w:sz w:val="24"/>
          <w:szCs w:val="24"/>
          <w:lang w:eastAsia="zh-Hans"/>
        </w:rPr>
        <w:t>服务期内按此要求进行考核</w:t>
      </w:r>
      <w:r>
        <w:rPr>
          <w:rFonts w:hint="eastAsia" w:hAnsi="宋体" w:eastAsia="宋体" w:cs="宋体"/>
          <w:b/>
          <w:bCs/>
          <w:color w:val="auto"/>
          <w:sz w:val="24"/>
          <w:szCs w:val="24"/>
        </w:rPr>
        <w:t>：</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为达到平台使用效果，要求合作数据每天处理5000亿条以上安全数据，可秒级结果反馈，具体数据情况如下：</w:t>
      </w:r>
    </w:p>
    <w:p>
      <w:pPr>
        <w:pStyle w:val="2"/>
        <w:keepLines w:val="0"/>
        <w:pageBreakBefore w:val="0"/>
        <w:kinsoku/>
        <w:wordWrap/>
        <w:overflowPunct/>
        <w:topLinePunct w:val="0"/>
        <w:bidi w:val="0"/>
        <w:spacing w:line="360" w:lineRule="auto"/>
        <w:ind w:left="0" w:right="0" w:firstLine="482"/>
        <w:rPr>
          <w:rFonts w:hAnsi="宋体" w:cs="宋体"/>
          <w:b/>
          <w:bCs/>
          <w:color w:val="auto"/>
          <w:sz w:val="24"/>
          <w:szCs w:val="24"/>
        </w:rPr>
      </w:pPr>
      <w:r>
        <w:rPr>
          <w:rFonts w:hint="eastAsia" w:hAnsi="宋体" w:cs="宋体"/>
          <w:b/>
          <w:bCs/>
          <w:color w:val="auto"/>
          <w:sz w:val="24"/>
          <w:szCs w:val="24"/>
        </w:rPr>
        <w:t>网址类安全服务，包括生态合作APP侧送检网址：</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每天对15亿网址进行安全检测。</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每天检测出3000万恶意网址。</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每天提供350亿次安全服务。</w:t>
      </w:r>
    </w:p>
    <w:p>
      <w:pPr>
        <w:pStyle w:val="2"/>
        <w:keepLines w:val="0"/>
        <w:pageBreakBefore w:val="0"/>
        <w:kinsoku/>
        <w:wordWrap/>
        <w:overflowPunct/>
        <w:topLinePunct w:val="0"/>
        <w:bidi w:val="0"/>
        <w:spacing w:line="360" w:lineRule="auto"/>
        <w:ind w:left="0" w:right="0" w:firstLine="482"/>
        <w:rPr>
          <w:rFonts w:hAnsi="宋体" w:cs="宋体"/>
          <w:b/>
          <w:bCs/>
          <w:color w:val="auto"/>
          <w:sz w:val="24"/>
          <w:szCs w:val="24"/>
        </w:rPr>
      </w:pPr>
      <w:r>
        <w:rPr>
          <w:rFonts w:hint="eastAsia" w:hAnsi="宋体" w:cs="宋体"/>
          <w:b/>
          <w:bCs/>
          <w:color w:val="auto"/>
          <w:sz w:val="24"/>
          <w:szCs w:val="24"/>
        </w:rPr>
        <w:t>电话类安全服务，包括系统级合作：</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每天对7亿电话号码进行识别。</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每天拦截5300万次欺诈骚扰电话。</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每天拦截1.2亿次垃圾短信。</w:t>
      </w:r>
    </w:p>
    <w:p>
      <w:pPr>
        <w:pStyle w:val="2"/>
        <w:keepLines w:val="0"/>
        <w:pageBreakBefore w:val="0"/>
        <w:kinsoku/>
        <w:wordWrap/>
        <w:overflowPunct/>
        <w:topLinePunct w:val="0"/>
        <w:bidi w:val="0"/>
        <w:spacing w:line="360" w:lineRule="auto"/>
        <w:ind w:left="0" w:right="0" w:firstLine="482"/>
        <w:rPr>
          <w:rFonts w:hAnsi="宋体" w:cs="宋体"/>
          <w:b/>
          <w:bCs/>
          <w:color w:val="auto"/>
          <w:sz w:val="24"/>
          <w:szCs w:val="24"/>
        </w:rPr>
      </w:pPr>
      <w:r>
        <w:rPr>
          <w:rFonts w:hint="eastAsia" w:hAnsi="宋体" w:cs="宋体"/>
          <w:b/>
          <w:bCs/>
          <w:color w:val="auto"/>
          <w:sz w:val="24"/>
          <w:szCs w:val="24"/>
        </w:rPr>
        <w:t>APP类安全服务，全网触达，最全面最鲜活涉诈APP：</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每天提供1600亿次安全服务。</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每天检测出250万恶意APK文件。</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每天对4000万APK文件进行检测。</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按照项目规划分析，推送到分局层面各类预警数据每日预警量300-500条左右。</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年预警量：（300—500）*365=109500-182500条预警。</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平台按照规划通过AI智能外呼，对预警数据外呼，每天每条链路大约300到500通外呼电话，每通电话录音存储大约在200KB。</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单路外呼年下限数据量：200KB*300*365=21900000KB=21386M=21G</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单路外呼年上限数据量：200KB*500*365=36500000KB=35644MB=35G</w:t>
      </w:r>
    </w:p>
    <w:p>
      <w:pPr>
        <w:pStyle w:val="2"/>
        <w:keepLines w:val="0"/>
        <w:pageBreakBefore w:val="0"/>
        <w:kinsoku/>
        <w:wordWrap/>
        <w:overflowPunct/>
        <w:topLinePunct w:val="0"/>
        <w:bidi w:val="0"/>
        <w:spacing w:line="360" w:lineRule="auto"/>
        <w:ind w:left="0" w:right="0" w:firstLine="480"/>
        <w:rPr>
          <w:rFonts w:hAnsi="宋体" w:cs="宋体"/>
          <w:color w:val="auto"/>
          <w:sz w:val="24"/>
          <w:szCs w:val="24"/>
        </w:rPr>
      </w:pPr>
      <w:r>
        <w:rPr>
          <w:rFonts w:hint="eastAsia" w:hAnsi="宋体" w:cs="宋体"/>
          <w:color w:val="auto"/>
          <w:sz w:val="24"/>
          <w:szCs w:val="24"/>
        </w:rPr>
        <w:t>智能外呼每年产生21G-35G的数据量，具体根据分局部署的链路条数可扩容。</w:t>
      </w:r>
    </w:p>
    <w:p>
      <w:pPr>
        <w:pStyle w:val="2"/>
        <w:keepLines w:val="0"/>
        <w:pageBreakBefore w:val="0"/>
        <w:kinsoku/>
        <w:wordWrap/>
        <w:overflowPunct/>
        <w:topLinePunct w:val="0"/>
        <w:bidi w:val="0"/>
        <w:spacing w:line="360" w:lineRule="auto"/>
        <w:ind w:left="0" w:right="0" w:firstLine="480"/>
        <w:rPr>
          <w:rFonts w:hint="eastAsia" w:hAnsi="宋体" w:cs="宋体"/>
          <w:color w:val="auto"/>
          <w:sz w:val="24"/>
          <w:szCs w:val="24"/>
        </w:rPr>
      </w:pPr>
      <w:r>
        <w:rPr>
          <w:rFonts w:hAnsi="宋体" w:cs="宋体"/>
          <w:color w:val="auto"/>
          <w:sz w:val="24"/>
          <w:szCs w:val="24"/>
        </w:rPr>
        <w:t>4、</w:t>
      </w:r>
      <w:r>
        <w:rPr>
          <w:rFonts w:hint="eastAsia" w:hAnsi="宋体" w:cs="宋体"/>
          <w:color w:val="auto"/>
          <w:sz w:val="24"/>
          <w:szCs w:val="24"/>
        </w:rPr>
        <w:t>风险洞察平台感知的风险人群按照样本数据的10%计算。如提供100万号码，可感知各类高危风险人群为10%，计10万预警号码。</w:t>
      </w:r>
    </w:p>
    <w:p>
      <w:pPr>
        <w:pStyle w:val="2"/>
        <w:keepLines w:val="0"/>
        <w:pageBreakBefore w:val="0"/>
        <w:kinsoku/>
        <w:wordWrap/>
        <w:overflowPunct/>
        <w:topLinePunct w:val="0"/>
        <w:bidi w:val="0"/>
        <w:spacing w:line="360" w:lineRule="auto"/>
        <w:ind w:left="0" w:right="0" w:firstLine="480"/>
        <w:rPr>
          <w:rFonts w:hint="eastAsia" w:hAnsi="宋体" w:cs="宋体"/>
          <w:color w:val="auto"/>
          <w:sz w:val="24"/>
          <w:szCs w:val="24"/>
        </w:rPr>
      </w:pPr>
      <w:r>
        <w:rPr>
          <w:rFonts w:hAnsi="宋体" w:cs="宋体"/>
          <w:color w:val="auto"/>
          <w:sz w:val="24"/>
          <w:szCs w:val="24"/>
        </w:rPr>
        <w:t>5、</w:t>
      </w:r>
      <w:r>
        <w:rPr>
          <w:rFonts w:hint="eastAsia" w:hAnsi="宋体" w:cs="宋体"/>
          <w:color w:val="auto"/>
          <w:sz w:val="24"/>
          <w:szCs w:val="24"/>
        </w:rPr>
        <w:t>数据质量要求：网址、</w:t>
      </w:r>
      <w:r>
        <w:rPr>
          <w:rFonts w:hAnsi="宋体" w:cs="宋体"/>
          <w:color w:val="auto"/>
          <w:sz w:val="24"/>
          <w:szCs w:val="24"/>
        </w:rPr>
        <w:t>APP</w:t>
      </w:r>
      <w:r>
        <w:rPr>
          <w:rFonts w:hint="eastAsia" w:hAnsi="宋体" w:cs="宋体"/>
          <w:color w:val="auto"/>
          <w:sz w:val="24"/>
          <w:szCs w:val="24"/>
        </w:rPr>
        <w:t>类诈骗预警数据占总体预警数据量8</w:t>
      </w:r>
      <w:r>
        <w:rPr>
          <w:rFonts w:hAnsi="宋体" w:cs="宋体"/>
          <w:color w:val="auto"/>
          <w:sz w:val="24"/>
          <w:szCs w:val="24"/>
        </w:rPr>
        <w:t>0%</w:t>
      </w:r>
      <w:r>
        <w:rPr>
          <w:rFonts w:hint="eastAsia" w:hAnsi="宋体" w:cs="宋体"/>
          <w:color w:val="auto"/>
          <w:sz w:val="24"/>
          <w:szCs w:val="24"/>
        </w:rPr>
        <w:t>以上，预警准确率</w:t>
      </w:r>
      <w:r>
        <w:rPr>
          <w:rFonts w:hAnsi="宋体" w:cs="宋体"/>
          <w:color w:val="auto"/>
          <w:sz w:val="24"/>
          <w:szCs w:val="24"/>
        </w:rPr>
        <w:t>95</w:t>
      </w:r>
      <w:r>
        <w:rPr>
          <w:rFonts w:hint="eastAsia" w:hAnsi="宋体" w:cs="宋体"/>
          <w:color w:val="auto"/>
          <w:sz w:val="24"/>
          <w:szCs w:val="24"/>
        </w:rPr>
        <w:t>%以上。</w:t>
      </w:r>
    </w:p>
    <w:p>
      <w:pPr>
        <w:keepLines w:val="0"/>
        <w:pageBreakBefore w:val="0"/>
        <w:kinsoku/>
        <w:wordWrap/>
        <w:overflowPunct/>
        <w:topLinePunct w:val="0"/>
        <w:bidi w:val="0"/>
        <w:spacing w:line="360" w:lineRule="auto"/>
        <w:ind w:left="0" w:right="0"/>
        <w:outlineLvl w:val="1"/>
        <w:rPr>
          <w:rFonts w:ascii="黑体" w:hAnsi="宋体" w:eastAsia="黑体"/>
          <w:b/>
          <w:color w:val="auto"/>
          <w:sz w:val="24"/>
          <w:szCs w:val="24"/>
          <w:lang w:eastAsia="zh-Hans"/>
        </w:rPr>
      </w:pPr>
      <w:r>
        <w:rPr>
          <w:rFonts w:ascii="黑体" w:hAnsi="宋体" w:eastAsia="黑体"/>
          <w:b/>
          <w:color w:val="auto"/>
          <w:sz w:val="24"/>
          <w:szCs w:val="24"/>
          <w:lang w:eastAsia="zh-Hans"/>
        </w:rPr>
        <w:t>4、</w:t>
      </w:r>
      <w:r>
        <w:rPr>
          <w:rFonts w:hint="eastAsia" w:ascii="黑体" w:hAnsi="宋体" w:eastAsia="黑体"/>
          <w:b/>
          <w:color w:val="auto"/>
          <w:sz w:val="24"/>
          <w:szCs w:val="24"/>
          <w:lang w:eastAsia="zh-Hans"/>
        </w:rPr>
        <w:t>系统安全要求</w:t>
      </w:r>
    </w:p>
    <w:p>
      <w:pPr>
        <w:keepLines w:val="0"/>
        <w:pageBreakBefore w:val="0"/>
        <w:kinsoku/>
        <w:wordWrap/>
        <w:overflowPunct/>
        <w:topLinePunct w:val="0"/>
        <w:bidi w:val="0"/>
        <w:spacing w:line="360" w:lineRule="auto"/>
        <w:ind w:left="0" w:right="0"/>
        <w:rPr>
          <w:b/>
          <w:bCs/>
          <w:color w:val="auto"/>
          <w:sz w:val="24"/>
          <w:szCs w:val="28"/>
        </w:rPr>
      </w:pPr>
      <w:r>
        <w:rPr>
          <w:b/>
          <w:bCs/>
          <w:color w:val="auto"/>
          <w:sz w:val="24"/>
          <w:szCs w:val="28"/>
        </w:rPr>
        <w:t>1）系统架构安全</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系统设计阶段充分考虑到系统的架构安全性，包括 B/S 形式的安全，主要体现在应用数据和用户会话的安全，应当考虑应用系统自身体系架构内部的安全，以及与外系统接口的安全。所有的安全设计都是为了保证系统的稳定性和连续性，</w:t>
      </w:r>
      <w:r>
        <w:rPr>
          <w:rFonts w:hint="eastAsia" w:hAnsi="宋体"/>
          <w:color w:val="auto"/>
          <w:sz w:val="24"/>
          <w:szCs w:val="24"/>
        </w:rPr>
        <w:t>有针对性地解决</w:t>
      </w:r>
      <w:r>
        <w:rPr>
          <w:rFonts w:hAnsi="宋体"/>
          <w:color w:val="auto"/>
          <w:sz w:val="24"/>
          <w:szCs w:val="24"/>
        </w:rPr>
        <w:t>自身安全问题。</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1</w:t>
      </w:r>
      <w:r>
        <w:rPr>
          <w:rFonts w:hAnsi="宋体"/>
          <w:color w:val="auto"/>
          <w:sz w:val="24"/>
          <w:szCs w:val="24"/>
        </w:rPr>
        <w:t>）自身结构中各组件之间通讯过程的安全机制组件之间的通讯包括命令级的和数据级的，应充分考虑：</w:t>
      </w:r>
    </w:p>
    <w:p>
      <w:pPr>
        <w:pStyle w:val="2"/>
        <w:keepLines w:val="0"/>
        <w:pageBreakBefore w:val="0"/>
        <w:numPr>
          <w:ilvl w:val="0"/>
          <w:numId w:val="22"/>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传输命令和数据所采用的协议的安全性。应根据组件之间通讯内容安全性要求程度的不同选择不同安全性要求的协议；</w:t>
      </w:r>
    </w:p>
    <w:p>
      <w:pPr>
        <w:pStyle w:val="2"/>
        <w:keepLines w:val="0"/>
        <w:pageBreakBefore w:val="0"/>
        <w:numPr>
          <w:ilvl w:val="0"/>
          <w:numId w:val="22"/>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考虑程序的模块之间的安全通讯机制；</w:t>
      </w:r>
    </w:p>
    <w:p>
      <w:pPr>
        <w:pStyle w:val="2"/>
        <w:keepLines w:val="0"/>
        <w:pageBreakBefore w:val="0"/>
        <w:numPr>
          <w:ilvl w:val="0"/>
          <w:numId w:val="22"/>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不应使用标准的服务端口或者常见病毒、蠕虫等使用的服务端口。</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（2）认证与访问控制机制，应考虑：</w:t>
      </w:r>
    </w:p>
    <w:p>
      <w:pPr>
        <w:pStyle w:val="2"/>
        <w:keepLines w:val="0"/>
        <w:pageBreakBefore w:val="0"/>
        <w:numPr>
          <w:ilvl w:val="0"/>
          <w:numId w:val="23"/>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组件之间的信任机制；</w:t>
      </w:r>
    </w:p>
    <w:p>
      <w:pPr>
        <w:pStyle w:val="2"/>
        <w:keepLines w:val="0"/>
        <w:pageBreakBefore w:val="0"/>
        <w:numPr>
          <w:ilvl w:val="0"/>
          <w:numId w:val="23"/>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用户的身份认证机制；</w:t>
      </w:r>
    </w:p>
    <w:p>
      <w:pPr>
        <w:pStyle w:val="2"/>
        <w:keepLines w:val="0"/>
        <w:pageBreakBefore w:val="0"/>
        <w:numPr>
          <w:ilvl w:val="0"/>
          <w:numId w:val="23"/>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对于组件资源的访问控制机制；</w:t>
      </w:r>
    </w:p>
    <w:p>
      <w:pPr>
        <w:pStyle w:val="2"/>
        <w:keepLines w:val="0"/>
        <w:pageBreakBefore w:val="0"/>
        <w:numPr>
          <w:ilvl w:val="0"/>
          <w:numId w:val="23"/>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不同用户对资源的权限控制机制。</w:t>
      </w:r>
    </w:p>
    <w:p>
      <w:pPr>
        <w:pStyle w:val="2"/>
        <w:keepLines w:val="0"/>
        <w:pageBreakBefore w:val="0"/>
        <w:kinsoku/>
        <w:wordWrap/>
        <w:overflowPunct/>
        <w:topLinePunct w:val="0"/>
        <w:bidi w:val="0"/>
        <w:spacing w:line="360" w:lineRule="auto"/>
        <w:ind w:left="0" w:right="0" w:firstLine="480"/>
        <w:rPr>
          <w:rFonts w:hint="eastAsia" w:hAnsi="宋体"/>
          <w:color w:val="auto"/>
          <w:sz w:val="24"/>
          <w:szCs w:val="24"/>
        </w:rPr>
      </w:pPr>
      <w:r>
        <w:rPr>
          <w:rFonts w:hAnsi="宋体"/>
          <w:color w:val="auto"/>
          <w:sz w:val="24"/>
          <w:szCs w:val="24"/>
        </w:rPr>
        <w:t>（3）组件内重要文件和数据的安全防护机制</w:t>
      </w:r>
      <w:r>
        <w:rPr>
          <w:rFonts w:hint="eastAsia" w:hAnsi="宋体"/>
          <w:color w:val="auto"/>
          <w:sz w:val="24"/>
          <w:szCs w:val="24"/>
        </w:rPr>
        <w:t>。</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存在于组件内部的重要数据资源应当考虑其相应的安全防护机制，重要的数据资源包括：</w:t>
      </w:r>
    </w:p>
    <w:p>
      <w:pPr>
        <w:pStyle w:val="2"/>
        <w:keepLines w:val="0"/>
        <w:pageBreakBefore w:val="0"/>
        <w:numPr>
          <w:ilvl w:val="0"/>
          <w:numId w:val="24"/>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配置文件；</w:t>
      </w:r>
    </w:p>
    <w:p>
      <w:pPr>
        <w:pStyle w:val="2"/>
        <w:keepLines w:val="0"/>
        <w:pageBreakBefore w:val="0"/>
        <w:numPr>
          <w:ilvl w:val="0"/>
          <w:numId w:val="24"/>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用户数据，包括文件数据及数据库中的数据；</w:t>
      </w:r>
    </w:p>
    <w:p>
      <w:pPr>
        <w:pStyle w:val="2"/>
        <w:keepLines w:val="0"/>
        <w:pageBreakBefore w:val="0"/>
        <w:numPr>
          <w:ilvl w:val="0"/>
          <w:numId w:val="24"/>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临时文件和数据；</w:t>
      </w:r>
    </w:p>
    <w:p>
      <w:pPr>
        <w:pStyle w:val="2"/>
        <w:keepLines w:val="0"/>
        <w:pageBreakBefore w:val="0"/>
        <w:numPr>
          <w:ilvl w:val="0"/>
          <w:numId w:val="24"/>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与外系统或者系统内部其他组件接口用的数据文件。</w:t>
      </w:r>
    </w:p>
    <w:p>
      <w:pPr>
        <w:keepLines w:val="0"/>
        <w:pageBreakBefore w:val="0"/>
        <w:kinsoku/>
        <w:wordWrap/>
        <w:overflowPunct/>
        <w:topLinePunct w:val="0"/>
        <w:bidi w:val="0"/>
        <w:spacing w:line="360" w:lineRule="auto"/>
        <w:ind w:left="0" w:right="0"/>
        <w:rPr>
          <w:b/>
          <w:bCs/>
          <w:color w:val="auto"/>
          <w:sz w:val="24"/>
          <w:szCs w:val="28"/>
        </w:rPr>
      </w:pPr>
      <w:r>
        <w:rPr>
          <w:b/>
          <w:bCs/>
          <w:color w:val="auto"/>
          <w:sz w:val="24"/>
          <w:szCs w:val="28"/>
        </w:rPr>
        <w:t>2）系统接口安全</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系统接口安全设计主要应考虑以下几个要素：</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（1）与其他系统之间的通讯安全机制</w:t>
      </w:r>
      <w:r>
        <w:rPr>
          <w:rFonts w:hint="eastAsia" w:hAnsi="宋体"/>
          <w:color w:val="auto"/>
          <w:sz w:val="24"/>
          <w:szCs w:val="24"/>
        </w:rPr>
        <w:t>，</w:t>
      </w:r>
      <w:r>
        <w:rPr>
          <w:rFonts w:hAnsi="宋体"/>
          <w:color w:val="auto"/>
          <w:sz w:val="24"/>
          <w:szCs w:val="24"/>
        </w:rPr>
        <w:t>应考虑：</w:t>
      </w:r>
    </w:p>
    <w:p>
      <w:pPr>
        <w:pStyle w:val="2"/>
        <w:keepLines w:val="0"/>
        <w:pageBreakBefore w:val="0"/>
        <w:numPr>
          <w:ilvl w:val="0"/>
          <w:numId w:val="25"/>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传输命令和数据所采用的协议的安全性。根据系统之间通讯内容安全性要求程度的不同选择不同安全性要求的协议；</w:t>
      </w:r>
    </w:p>
    <w:p>
      <w:pPr>
        <w:pStyle w:val="2"/>
        <w:keepLines w:val="0"/>
        <w:pageBreakBefore w:val="0"/>
        <w:numPr>
          <w:ilvl w:val="0"/>
          <w:numId w:val="25"/>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不使用默认的服务端口或者常见病毒、蠕虫等使用的服务端口，传输过程使用加密传输。</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（2）与外系统的认证与访问控制机制，应考虑：</w:t>
      </w:r>
    </w:p>
    <w:p>
      <w:pPr>
        <w:pStyle w:val="2"/>
        <w:keepLines w:val="0"/>
        <w:pageBreakBefore w:val="0"/>
        <w:numPr>
          <w:ilvl w:val="0"/>
          <w:numId w:val="26"/>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系统之间的信任机制；</w:t>
      </w:r>
    </w:p>
    <w:p>
      <w:pPr>
        <w:pStyle w:val="2"/>
        <w:keepLines w:val="0"/>
        <w:pageBreakBefore w:val="0"/>
        <w:numPr>
          <w:ilvl w:val="0"/>
          <w:numId w:val="26"/>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会话凭据的有效时间；</w:t>
      </w:r>
    </w:p>
    <w:p>
      <w:pPr>
        <w:pStyle w:val="2"/>
        <w:keepLines w:val="0"/>
        <w:pageBreakBefore w:val="0"/>
        <w:numPr>
          <w:ilvl w:val="0"/>
          <w:numId w:val="26"/>
        </w:numPr>
        <w:kinsoku/>
        <w:wordWrap/>
        <w:overflowPunct/>
        <w:topLinePunct w:val="0"/>
        <w:bidi w:val="0"/>
        <w:spacing w:line="360" w:lineRule="auto"/>
        <w:ind w:left="0" w:right="0" w:firstLineChars="0"/>
        <w:rPr>
          <w:rFonts w:hAnsi="宋体"/>
          <w:color w:val="auto"/>
          <w:sz w:val="24"/>
          <w:szCs w:val="24"/>
        </w:rPr>
      </w:pPr>
      <w:r>
        <w:rPr>
          <w:rFonts w:hAnsi="宋体"/>
          <w:color w:val="auto"/>
          <w:sz w:val="24"/>
          <w:szCs w:val="24"/>
        </w:rPr>
        <w:t>可以访问资源的权限控制；</w:t>
      </w:r>
    </w:p>
    <w:p>
      <w:pPr>
        <w:pStyle w:val="2"/>
        <w:keepNext w:val="0"/>
        <w:keepLines w:val="0"/>
        <w:pageBreakBefore w:val="0"/>
        <w:numPr>
          <w:ilvl w:val="0"/>
          <w:numId w:val="26"/>
        </w:numPr>
        <w:kinsoku/>
        <w:wordWrap/>
        <w:overflowPunct/>
        <w:topLinePunct w:val="0"/>
        <w:bidi w:val="0"/>
        <w:adjustRightInd/>
        <w:snapToGrid/>
        <w:spacing w:line="360" w:lineRule="auto"/>
        <w:ind w:left="0" w:right="0" w:firstLineChars="0"/>
        <w:textAlignment w:val="auto"/>
        <w:rPr>
          <w:rFonts w:hAnsi="宋体"/>
          <w:color w:val="auto"/>
          <w:sz w:val="24"/>
          <w:szCs w:val="24"/>
        </w:rPr>
      </w:pPr>
      <w:r>
        <w:rPr>
          <w:rFonts w:hAnsi="宋体"/>
          <w:color w:val="auto"/>
          <w:sz w:val="24"/>
          <w:szCs w:val="24"/>
        </w:rPr>
        <w:t>对于系统之间资源的访问控制机制。</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（3）对外系统安全机制的符合性，应考虑：</w:t>
      </w:r>
    </w:p>
    <w:p>
      <w:pPr>
        <w:pStyle w:val="2"/>
        <w:keepNext w:val="0"/>
        <w:keepLines w:val="0"/>
        <w:pageBreakBefore w:val="0"/>
        <w:numPr>
          <w:ilvl w:val="0"/>
          <w:numId w:val="27"/>
        </w:numPr>
        <w:kinsoku/>
        <w:wordWrap/>
        <w:overflowPunct/>
        <w:topLinePunct w:val="0"/>
        <w:bidi w:val="0"/>
        <w:adjustRightInd/>
        <w:snapToGrid/>
        <w:spacing w:line="360" w:lineRule="auto"/>
        <w:ind w:left="0" w:right="0" w:firstLineChars="0"/>
        <w:textAlignment w:val="auto"/>
        <w:rPr>
          <w:rFonts w:hAnsi="宋体"/>
          <w:color w:val="auto"/>
          <w:sz w:val="24"/>
          <w:szCs w:val="24"/>
        </w:rPr>
      </w:pPr>
      <w:r>
        <w:rPr>
          <w:rFonts w:hAnsi="宋体"/>
          <w:color w:val="auto"/>
          <w:sz w:val="24"/>
          <w:szCs w:val="24"/>
        </w:rPr>
        <w:t>如果外系统采用的接口方式经评估认为是安全的，本系统将沿用其接口规范进行设计开发；</w:t>
      </w:r>
    </w:p>
    <w:p>
      <w:pPr>
        <w:pStyle w:val="2"/>
        <w:keepNext w:val="0"/>
        <w:keepLines w:val="0"/>
        <w:pageBreakBefore w:val="0"/>
        <w:numPr>
          <w:ilvl w:val="0"/>
          <w:numId w:val="27"/>
        </w:numPr>
        <w:kinsoku/>
        <w:wordWrap/>
        <w:overflowPunct/>
        <w:topLinePunct w:val="0"/>
        <w:bidi w:val="0"/>
        <w:adjustRightInd/>
        <w:snapToGrid/>
        <w:spacing w:line="360" w:lineRule="auto"/>
        <w:ind w:left="0" w:right="0" w:firstLineChars="0"/>
        <w:textAlignment w:val="auto"/>
        <w:rPr>
          <w:rFonts w:hAnsi="宋体"/>
          <w:color w:val="auto"/>
          <w:sz w:val="24"/>
          <w:szCs w:val="24"/>
        </w:rPr>
      </w:pPr>
      <w:r>
        <w:rPr>
          <w:rFonts w:hAnsi="宋体"/>
          <w:color w:val="auto"/>
          <w:sz w:val="24"/>
          <w:szCs w:val="24"/>
        </w:rPr>
        <w:t>如果外系统采用的接口方式经评估认为存在安全缺陷，双方商定采用更加安全的接口方式；</w:t>
      </w:r>
    </w:p>
    <w:p>
      <w:pPr>
        <w:pStyle w:val="2"/>
        <w:keepNext w:val="0"/>
        <w:keepLines w:val="0"/>
        <w:pageBreakBefore w:val="0"/>
        <w:numPr>
          <w:ilvl w:val="0"/>
          <w:numId w:val="27"/>
        </w:numPr>
        <w:kinsoku/>
        <w:wordWrap/>
        <w:overflowPunct/>
        <w:topLinePunct w:val="0"/>
        <w:bidi w:val="0"/>
        <w:adjustRightInd/>
        <w:snapToGrid/>
        <w:spacing w:line="360" w:lineRule="auto"/>
        <w:ind w:left="0" w:right="0" w:firstLineChars="0"/>
        <w:textAlignment w:val="auto"/>
        <w:rPr>
          <w:rFonts w:hAnsi="宋体"/>
          <w:color w:val="auto"/>
          <w:sz w:val="24"/>
          <w:szCs w:val="24"/>
        </w:rPr>
      </w:pPr>
      <w:r>
        <w:rPr>
          <w:rFonts w:hAnsi="宋体"/>
          <w:color w:val="auto"/>
          <w:sz w:val="24"/>
          <w:szCs w:val="24"/>
        </w:rPr>
        <w:t>在考虑接口安全性的同时，也应当注意接口方式对双方系统性能、磁盘、连接数等各种性能指标和资源的影响。</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除了使用技术手段保证接口安全的同时，也需要保证接口相关代码和文件不被上传到互联网或泄漏给非必要人员。</w:t>
      </w:r>
    </w:p>
    <w:p>
      <w:pPr>
        <w:keepNext w:val="0"/>
        <w:keepLines w:val="0"/>
        <w:pageBreakBefore w:val="0"/>
        <w:kinsoku/>
        <w:wordWrap/>
        <w:overflowPunct/>
        <w:topLinePunct w:val="0"/>
        <w:bidi w:val="0"/>
        <w:adjustRightInd/>
        <w:snapToGrid/>
        <w:spacing w:line="360" w:lineRule="auto"/>
        <w:ind w:left="0" w:right="0"/>
        <w:textAlignment w:val="auto"/>
        <w:rPr>
          <w:b/>
          <w:bCs/>
          <w:color w:val="auto"/>
          <w:sz w:val="24"/>
          <w:szCs w:val="28"/>
        </w:rPr>
      </w:pPr>
      <w:r>
        <w:rPr>
          <w:b/>
          <w:bCs/>
          <w:color w:val="auto"/>
          <w:sz w:val="24"/>
          <w:szCs w:val="28"/>
        </w:rPr>
        <w:t>3）系统日志与安全审计</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建立完善的系统和数据库的日志体系和审计体系。</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对用户在系统中的操作行为和操作的数据等进行记录，以便对用户在系统中的操作进行查证，以便保证用户行为是不可被伪造的、不可销毁的、不可否认的。</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实现自动记录一些重要的安全事件，如非法入侵者持续地试验不同的口令企图登录主机、数据库中重要数据的修改和删除等，事件的记录包括每个用户所在工作站的网络地址和时间，同时对管理员的活动也要加以记录。</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需要进行审计的事件至少包括：进入和退出的时间</w:t>
      </w:r>
      <w:r>
        <w:rPr>
          <w:rFonts w:hint="eastAsia" w:hAnsi="宋体"/>
          <w:color w:val="auto"/>
          <w:sz w:val="24"/>
          <w:szCs w:val="24"/>
        </w:rPr>
        <w:t>（</w:t>
      </w:r>
      <w:r>
        <w:rPr>
          <w:rFonts w:hAnsi="宋体"/>
          <w:color w:val="auto"/>
          <w:sz w:val="24"/>
          <w:szCs w:val="24"/>
        </w:rPr>
        <w:t>登录、退出系统</w:t>
      </w:r>
      <w:r>
        <w:rPr>
          <w:rFonts w:hint="eastAsia" w:hAnsi="宋体"/>
          <w:color w:val="auto"/>
          <w:sz w:val="24"/>
          <w:szCs w:val="24"/>
        </w:rPr>
        <w:t>）</w:t>
      </w:r>
      <w:r>
        <w:rPr>
          <w:rFonts w:hAnsi="宋体"/>
          <w:color w:val="auto"/>
          <w:sz w:val="24"/>
          <w:szCs w:val="24"/>
        </w:rPr>
        <w:t>、异常的系统使用行为</w:t>
      </w:r>
      <w:r>
        <w:rPr>
          <w:rFonts w:hint="eastAsia" w:hAnsi="宋体"/>
          <w:color w:val="auto"/>
          <w:sz w:val="24"/>
          <w:szCs w:val="24"/>
        </w:rPr>
        <w:t>（</w:t>
      </w:r>
      <w:r>
        <w:rPr>
          <w:rFonts w:hAnsi="宋体"/>
          <w:color w:val="auto"/>
          <w:sz w:val="24"/>
          <w:szCs w:val="24"/>
        </w:rPr>
        <w:t>失败登录</w:t>
      </w:r>
      <w:r>
        <w:rPr>
          <w:rFonts w:hint="eastAsia" w:hAnsi="宋体"/>
          <w:color w:val="auto"/>
          <w:sz w:val="24"/>
          <w:szCs w:val="24"/>
        </w:rPr>
        <w:t>）</w:t>
      </w:r>
      <w:r>
        <w:rPr>
          <w:rFonts w:hAnsi="宋体"/>
          <w:color w:val="auto"/>
          <w:sz w:val="24"/>
          <w:szCs w:val="24"/>
        </w:rPr>
        <w:t>、系统维护行为、敏感行为</w:t>
      </w:r>
      <w:r>
        <w:rPr>
          <w:rFonts w:hint="eastAsia" w:hAnsi="宋体"/>
          <w:color w:val="auto"/>
          <w:sz w:val="24"/>
          <w:szCs w:val="24"/>
        </w:rPr>
        <w:t>和其他</w:t>
      </w:r>
      <w:r>
        <w:rPr>
          <w:rFonts w:hAnsi="宋体"/>
          <w:color w:val="auto"/>
          <w:sz w:val="24"/>
          <w:szCs w:val="24"/>
        </w:rPr>
        <w:t>安全功能要求的审计内容。</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审计记录包含：事件的日期和时间、事件的类型、主题标识、事件的结果</w:t>
      </w:r>
      <w:r>
        <w:rPr>
          <w:rFonts w:hint="eastAsia" w:hAnsi="宋体"/>
          <w:color w:val="auto"/>
          <w:sz w:val="24"/>
          <w:szCs w:val="24"/>
        </w:rPr>
        <w:t>（</w:t>
      </w:r>
      <w:r>
        <w:rPr>
          <w:rFonts w:hAnsi="宋体"/>
          <w:color w:val="auto"/>
          <w:sz w:val="24"/>
          <w:szCs w:val="24"/>
        </w:rPr>
        <w:t>成功、失败</w:t>
      </w:r>
      <w:r>
        <w:rPr>
          <w:rFonts w:hint="eastAsia" w:hAnsi="宋体"/>
          <w:color w:val="auto"/>
          <w:sz w:val="24"/>
          <w:szCs w:val="24"/>
        </w:rPr>
        <w:t>）</w:t>
      </w:r>
      <w:r>
        <w:rPr>
          <w:rFonts w:hAnsi="宋体"/>
          <w:color w:val="auto"/>
          <w:sz w:val="24"/>
          <w:szCs w:val="24"/>
        </w:rPr>
        <w:t>和事件相关信息。</w:t>
      </w:r>
    </w:p>
    <w:p>
      <w:pPr>
        <w:keepNext w:val="0"/>
        <w:keepLines w:val="0"/>
        <w:pageBreakBefore w:val="0"/>
        <w:kinsoku/>
        <w:wordWrap/>
        <w:overflowPunct/>
        <w:topLinePunct w:val="0"/>
        <w:bidi w:val="0"/>
        <w:adjustRightInd/>
        <w:snapToGrid/>
        <w:spacing w:line="360" w:lineRule="auto"/>
        <w:ind w:left="0" w:right="0"/>
        <w:textAlignment w:val="auto"/>
        <w:rPr>
          <w:b/>
          <w:bCs/>
          <w:color w:val="auto"/>
          <w:sz w:val="24"/>
          <w:szCs w:val="28"/>
        </w:rPr>
      </w:pPr>
      <w:r>
        <w:rPr>
          <w:b/>
          <w:bCs/>
          <w:color w:val="auto"/>
          <w:sz w:val="24"/>
          <w:szCs w:val="28"/>
        </w:rPr>
        <w:t>4）系统容错</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 xml:space="preserve">（1）应实现功能模块的出错处理设计。                        </w:t>
      </w:r>
      <w:r>
        <w:rPr>
          <w:rFonts w:hAnsi="宋体"/>
          <w:color w:val="auto"/>
          <w:sz w:val="24"/>
          <w:szCs w:val="24"/>
        </w:rPr>
        <w:tab/>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（2）应实现可能出现的各种异常情况的安全处理设计， 如：错误信息不回显给用户。</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（3）应实现对软件本身的资源及服务的安全保障设计。</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（4）针对应用系统的页面保护与恢复机制。系统设计阶段需要考虑对 Web 页面进行静态保护和监控的问题，当监控到网页被篡改时能够实时恢复页面。</w:t>
      </w:r>
    </w:p>
    <w:p>
      <w:pPr>
        <w:keepNext w:val="0"/>
        <w:keepLines w:val="0"/>
        <w:pageBreakBefore w:val="0"/>
        <w:kinsoku/>
        <w:wordWrap/>
        <w:overflowPunct/>
        <w:topLinePunct w:val="0"/>
        <w:bidi w:val="0"/>
        <w:adjustRightInd/>
        <w:snapToGrid/>
        <w:spacing w:line="360" w:lineRule="auto"/>
        <w:ind w:left="0" w:right="0"/>
        <w:textAlignment w:val="auto"/>
        <w:rPr>
          <w:b/>
          <w:bCs/>
          <w:color w:val="auto"/>
          <w:sz w:val="24"/>
          <w:szCs w:val="28"/>
        </w:rPr>
      </w:pPr>
      <w:r>
        <w:rPr>
          <w:b/>
          <w:bCs/>
          <w:color w:val="auto"/>
          <w:sz w:val="24"/>
          <w:szCs w:val="28"/>
        </w:rPr>
        <w:t>5）保密条款</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相关厂家应严格遵守国家保密法律、法规和相关规定，保守国家秘密和警务工作秘密。相关厂家应加强保密意识并严格遵守以下保密条款：</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w:t>
      </w:r>
      <w:r>
        <w:rPr>
          <w:rFonts w:hint="eastAsia" w:hAnsi="宋体"/>
          <w:color w:val="auto"/>
          <w:sz w:val="24"/>
          <w:szCs w:val="24"/>
        </w:rPr>
        <w:t>1</w:t>
      </w:r>
      <w:r>
        <w:rPr>
          <w:rFonts w:hAnsi="宋体"/>
          <w:color w:val="auto"/>
          <w:sz w:val="24"/>
          <w:szCs w:val="24"/>
        </w:rPr>
        <w:t>）严格遵守公安机关保密管理工作相关法律法规，保守在工作</w:t>
      </w:r>
      <w:r>
        <w:rPr>
          <w:rFonts w:hint="eastAsia" w:hAnsi="宋体"/>
          <w:color w:val="auto"/>
          <w:sz w:val="24"/>
          <w:szCs w:val="24"/>
        </w:rPr>
        <w:t>中</w:t>
      </w:r>
      <w:r>
        <w:rPr>
          <w:rFonts w:hAnsi="宋体"/>
          <w:color w:val="auto"/>
          <w:sz w:val="24"/>
          <w:szCs w:val="24"/>
        </w:rPr>
        <w:t>所涉及的秘密，保密有效时间与国家对各具体秘密事项的保密期限要求相一致。</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w:t>
      </w:r>
      <w:r>
        <w:rPr>
          <w:rFonts w:hint="eastAsia" w:hAnsi="宋体"/>
          <w:color w:val="auto"/>
          <w:sz w:val="24"/>
          <w:szCs w:val="24"/>
        </w:rPr>
        <w:t>2</w:t>
      </w:r>
      <w:r>
        <w:rPr>
          <w:rFonts w:hAnsi="宋体"/>
          <w:color w:val="auto"/>
          <w:sz w:val="24"/>
          <w:szCs w:val="24"/>
        </w:rPr>
        <w:t>）不得擅自记录、复制、拍摄、摘抄、收藏在工作中涉及的秘密和敏感信息。严禁将公安机关内部会议、谈话内容泄露给无关人员；严禁将工作中涉及的相关项目技术方案及实施规划透露给无关人员。</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（3）服从采购方的安排，依照有关法律、法规和合同规定工作，不得将工作过程中接触到的机关文件的内容泄露给无关人员；不得翻阅与工作无关的文件和资料。</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（4）不得带领无关人员进入办公场所。</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（5）无论相关厂家今后完成本项目工作或因故中途退出，均不得泄露所知悉的国家秘密和警务工作秘密。</w:t>
      </w:r>
    </w:p>
    <w:p>
      <w:pPr>
        <w:pStyle w:val="3"/>
        <w:keepNext w:val="0"/>
        <w:keepLines w:val="0"/>
        <w:pageBreakBefore w:val="0"/>
        <w:kinsoku/>
        <w:wordWrap/>
        <w:overflowPunct/>
        <w:topLinePunct w:val="0"/>
        <w:bidi w:val="0"/>
        <w:adjustRightInd/>
        <w:snapToGrid/>
        <w:spacing w:line="360" w:lineRule="auto"/>
        <w:ind w:left="0" w:right="0" w:firstLine="240" w:firstLineChars="100"/>
        <w:textAlignment w:val="auto"/>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（6）相关厂家如未能遵守上述协议，有违反保密规定行为而造成泄密的，采购方可依据有关规定追究相关厂家的责任，构成犯罪的，将依法追究刑事责任。</w:t>
      </w:r>
    </w:p>
    <w:p>
      <w:pPr>
        <w:keepNext w:val="0"/>
        <w:keepLines w:val="0"/>
        <w:pageBreakBefore w:val="0"/>
        <w:numPr>
          <w:ilvl w:val="0"/>
          <w:numId w:val="28"/>
        </w:numPr>
        <w:kinsoku/>
        <w:wordWrap/>
        <w:overflowPunct/>
        <w:topLinePunct w:val="0"/>
        <w:bidi w:val="0"/>
        <w:adjustRightInd/>
        <w:snapToGrid/>
        <w:spacing w:line="360" w:lineRule="auto"/>
        <w:ind w:left="0" w:right="0"/>
        <w:textAlignment w:val="auto"/>
        <w:outlineLvl w:val="1"/>
        <w:rPr>
          <w:rFonts w:hint="eastAsia" w:ascii="黑体" w:hAnsi="宋体" w:eastAsia="黑体"/>
          <w:b/>
          <w:color w:val="auto"/>
          <w:sz w:val="24"/>
          <w:szCs w:val="24"/>
          <w:lang w:eastAsia="zh-Hans"/>
        </w:rPr>
      </w:pPr>
      <w:r>
        <w:rPr>
          <w:rFonts w:ascii="黑体" w:hAnsi="宋体" w:eastAsia="黑体"/>
          <w:b/>
          <w:color w:val="auto"/>
          <w:sz w:val="24"/>
          <w:szCs w:val="24"/>
          <w:lang w:eastAsia="zh-Hans"/>
        </w:rPr>
        <w:t>软硬件</w:t>
      </w:r>
      <w:r>
        <w:rPr>
          <w:rFonts w:hint="eastAsia" w:ascii="黑体" w:hAnsi="宋体" w:eastAsia="黑体"/>
          <w:b/>
          <w:color w:val="auto"/>
          <w:sz w:val="24"/>
          <w:szCs w:val="24"/>
          <w:lang w:eastAsia="zh-Hans"/>
        </w:rPr>
        <w:t>部署设计要求</w:t>
      </w:r>
    </w:p>
    <w:p>
      <w:pPr>
        <w:keepNext w:val="0"/>
        <w:keepLines w:val="0"/>
        <w:pageBreakBefore w:val="0"/>
        <w:kinsoku/>
        <w:wordWrap/>
        <w:overflowPunct/>
        <w:topLinePunct w:val="0"/>
        <w:bidi w:val="0"/>
        <w:adjustRightInd/>
        <w:snapToGrid/>
        <w:spacing w:line="360" w:lineRule="auto"/>
        <w:ind w:left="0" w:right="0"/>
        <w:textAlignment w:val="auto"/>
        <w:rPr>
          <w:b/>
          <w:bCs/>
          <w:color w:val="auto"/>
          <w:sz w:val="24"/>
          <w:szCs w:val="28"/>
        </w:rPr>
      </w:pPr>
      <w:r>
        <w:rPr>
          <w:b/>
          <w:bCs/>
          <w:color w:val="auto"/>
          <w:sz w:val="24"/>
          <w:szCs w:val="28"/>
        </w:rPr>
        <w:t>1）</w:t>
      </w:r>
      <w:r>
        <w:rPr>
          <w:rFonts w:hint="eastAsia"/>
          <w:b/>
          <w:bCs/>
          <w:color w:val="auto"/>
          <w:sz w:val="24"/>
          <w:szCs w:val="28"/>
        </w:rPr>
        <w:t>软件</w:t>
      </w:r>
      <w:r>
        <w:rPr>
          <w:b/>
          <w:bCs/>
          <w:color w:val="auto"/>
          <w:sz w:val="24"/>
          <w:szCs w:val="28"/>
        </w:rPr>
        <w:t>设计思路</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1</w:t>
      </w:r>
      <w:r>
        <w:rPr>
          <w:rFonts w:hint="eastAsia" w:hAnsi="宋体"/>
          <w:color w:val="auto"/>
          <w:sz w:val="24"/>
          <w:szCs w:val="24"/>
        </w:rPr>
        <w:t>、</w:t>
      </w:r>
      <w:r>
        <w:rPr>
          <w:rFonts w:hAnsi="宋体"/>
          <w:color w:val="auto"/>
          <w:sz w:val="24"/>
          <w:szCs w:val="24"/>
        </w:rPr>
        <w:t>根据系统的数据及运行管理需求，提出项目的数据存储与备份系统设计方案。</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2</w:t>
      </w:r>
      <w:r>
        <w:rPr>
          <w:rFonts w:hint="eastAsia" w:hAnsi="宋体"/>
          <w:color w:val="auto"/>
          <w:sz w:val="24"/>
          <w:szCs w:val="24"/>
        </w:rPr>
        <w:t>、</w:t>
      </w:r>
      <w:r>
        <w:rPr>
          <w:rFonts w:hAnsi="宋体"/>
          <w:color w:val="auto"/>
          <w:sz w:val="24"/>
          <w:szCs w:val="24"/>
        </w:rPr>
        <w:t>根据数据需求分析，提出数据存储系统设计和管理方案，描述数据存储架构</w:t>
      </w:r>
      <w:r>
        <w:rPr>
          <w:rFonts w:hint="eastAsia" w:hAnsi="宋体"/>
          <w:color w:val="auto"/>
          <w:sz w:val="24"/>
          <w:szCs w:val="24"/>
        </w:rPr>
        <w:t>（</w:t>
      </w:r>
      <w:r>
        <w:rPr>
          <w:rFonts w:hAnsi="宋体"/>
          <w:color w:val="auto"/>
          <w:sz w:val="24"/>
          <w:szCs w:val="24"/>
        </w:rPr>
        <w:t>集中式、分布式等</w:t>
      </w:r>
      <w:r>
        <w:rPr>
          <w:rFonts w:hint="eastAsia" w:hAnsi="宋体"/>
          <w:color w:val="auto"/>
          <w:sz w:val="24"/>
          <w:szCs w:val="24"/>
        </w:rPr>
        <w:t>）</w:t>
      </w:r>
      <w:r>
        <w:rPr>
          <w:rFonts w:hAnsi="宋体"/>
          <w:color w:val="auto"/>
          <w:sz w:val="24"/>
          <w:szCs w:val="24"/>
        </w:rPr>
        <w:t>、存储容量、规模和配置、逻辑分区方案等，说明数据存储设计方案中新增存储设备与已有存储设备的关系。</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根据数据、业务及功能的需求分析，设计数据备份系统设计和管理方案，包括备份内容、备份机制</w:t>
      </w:r>
      <w:r>
        <w:rPr>
          <w:rFonts w:hint="eastAsia" w:hAnsi="宋体"/>
          <w:color w:val="auto"/>
          <w:sz w:val="24"/>
          <w:szCs w:val="24"/>
        </w:rPr>
        <w:t>（</w:t>
      </w:r>
      <w:r>
        <w:rPr>
          <w:rFonts w:hAnsi="宋体"/>
          <w:color w:val="auto"/>
          <w:sz w:val="24"/>
          <w:szCs w:val="24"/>
        </w:rPr>
        <w:t>本地备份/异地备份</w:t>
      </w:r>
      <w:r>
        <w:rPr>
          <w:rFonts w:hint="eastAsia" w:hAnsi="宋体"/>
          <w:color w:val="auto"/>
          <w:sz w:val="24"/>
          <w:szCs w:val="24"/>
        </w:rPr>
        <w:t>）</w:t>
      </w:r>
      <w:r>
        <w:rPr>
          <w:rFonts w:hAnsi="宋体"/>
          <w:color w:val="auto"/>
          <w:sz w:val="24"/>
          <w:szCs w:val="24"/>
        </w:rPr>
        <w:t>、备份计划、备份设备容量、备份管理方案等。</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int="eastAsia" w:hAnsi="宋体"/>
          <w:color w:val="auto"/>
          <w:sz w:val="24"/>
          <w:szCs w:val="24"/>
        </w:rPr>
        <w:t>4、</w:t>
      </w:r>
      <w:r>
        <w:rPr>
          <w:rFonts w:hAnsi="宋体"/>
          <w:color w:val="auto"/>
          <w:sz w:val="24"/>
          <w:szCs w:val="24"/>
        </w:rPr>
        <w:t>根据数据存储、数据备份和灾难恢复设计方案。</w:t>
      </w:r>
    </w:p>
    <w:p>
      <w:pPr>
        <w:keepNext w:val="0"/>
        <w:keepLines w:val="0"/>
        <w:pageBreakBefore w:val="0"/>
        <w:kinsoku/>
        <w:wordWrap/>
        <w:overflowPunct/>
        <w:topLinePunct w:val="0"/>
        <w:bidi w:val="0"/>
        <w:adjustRightInd/>
        <w:snapToGrid/>
        <w:spacing w:line="360" w:lineRule="auto"/>
        <w:ind w:left="0" w:right="0"/>
        <w:textAlignment w:val="auto"/>
        <w:rPr>
          <w:b/>
          <w:bCs/>
          <w:color w:val="auto"/>
          <w:sz w:val="24"/>
          <w:szCs w:val="28"/>
        </w:rPr>
      </w:pPr>
      <w:r>
        <w:rPr>
          <w:b/>
          <w:bCs/>
          <w:color w:val="auto"/>
          <w:sz w:val="24"/>
          <w:szCs w:val="28"/>
        </w:rPr>
        <w:t>2）</w:t>
      </w:r>
      <w:r>
        <w:rPr>
          <w:rFonts w:hint="eastAsia"/>
          <w:b/>
          <w:bCs/>
          <w:color w:val="auto"/>
          <w:sz w:val="24"/>
          <w:szCs w:val="28"/>
        </w:rPr>
        <w:t>软件</w:t>
      </w:r>
      <w:r>
        <w:rPr>
          <w:b/>
          <w:bCs/>
          <w:color w:val="auto"/>
          <w:sz w:val="24"/>
          <w:szCs w:val="28"/>
        </w:rPr>
        <w:t>部署方案</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本项目业务系统拟租用政务云服务</w:t>
      </w:r>
      <w:r>
        <w:rPr>
          <w:rFonts w:hint="eastAsia" w:hAnsi="宋体"/>
          <w:color w:val="auto"/>
          <w:sz w:val="24"/>
          <w:szCs w:val="24"/>
        </w:rPr>
        <w:t>，WEB端应用需要与外部互联网进行数据交换，则部署于DMZ区域，对外提供B/S架构的业务呈现；数据存储放于非DMZ区域，用于数据存储。</w:t>
      </w:r>
    </w:p>
    <w:p>
      <w:pPr>
        <w:keepNext w:val="0"/>
        <w:keepLines w:val="0"/>
        <w:pageBreakBefore w:val="0"/>
        <w:kinsoku/>
        <w:wordWrap/>
        <w:overflowPunct/>
        <w:topLinePunct w:val="0"/>
        <w:bidi w:val="0"/>
        <w:adjustRightInd/>
        <w:snapToGrid/>
        <w:spacing w:line="360" w:lineRule="auto"/>
        <w:ind w:left="0" w:right="0"/>
        <w:textAlignment w:val="auto"/>
        <w:rPr>
          <w:rFonts w:hint="eastAsia" w:eastAsia="楷体_GB2312"/>
          <w:b/>
          <w:bCs/>
          <w:color w:val="auto"/>
          <w:sz w:val="24"/>
          <w:szCs w:val="36"/>
          <w:lang w:eastAsia="zh-Hans"/>
        </w:rPr>
      </w:pPr>
      <w:r>
        <w:rPr>
          <w:b/>
          <w:bCs/>
          <w:color w:val="auto"/>
          <w:sz w:val="24"/>
          <w:szCs w:val="36"/>
        </w:rPr>
        <w:t>3）硬件</w:t>
      </w:r>
      <w:r>
        <w:rPr>
          <w:rFonts w:hint="eastAsia"/>
          <w:b/>
          <w:bCs/>
          <w:color w:val="auto"/>
          <w:sz w:val="24"/>
          <w:szCs w:val="36"/>
          <w:lang w:eastAsia="zh-Hans"/>
        </w:rPr>
        <w:t>需求</w:t>
      </w:r>
    </w:p>
    <w:p>
      <w:pPr>
        <w:pStyle w:val="2"/>
        <w:keepNext w:val="0"/>
        <w:keepLines w:val="0"/>
        <w:pageBreakBefore w:val="0"/>
        <w:kinsoku/>
        <w:wordWrap/>
        <w:overflowPunct/>
        <w:topLinePunct w:val="0"/>
        <w:bidi w:val="0"/>
        <w:adjustRightInd/>
        <w:snapToGrid/>
        <w:spacing w:line="360" w:lineRule="auto"/>
        <w:ind w:left="0" w:right="0" w:firstLine="480"/>
        <w:textAlignment w:val="auto"/>
        <w:rPr>
          <w:rFonts w:hAnsi="宋体"/>
          <w:color w:val="auto"/>
          <w:sz w:val="24"/>
          <w:szCs w:val="24"/>
        </w:rPr>
      </w:pPr>
      <w:r>
        <w:rPr>
          <w:rFonts w:hAnsi="宋体"/>
          <w:color w:val="auto"/>
          <w:sz w:val="24"/>
          <w:szCs w:val="24"/>
        </w:rPr>
        <w:t>本项目业务系统拟全部</w:t>
      </w:r>
      <w:r>
        <w:rPr>
          <w:rFonts w:hint="eastAsia" w:hAnsi="宋体"/>
          <w:color w:val="auto"/>
          <w:sz w:val="24"/>
          <w:szCs w:val="24"/>
          <w:lang w:eastAsia="zh-Hans"/>
        </w:rPr>
        <w:t>使用</w:t>
      </w:r>
      <w:r>
        <w:rPr>
          <w:rFonts w:hAnsi="宋体"/>
          <w:color w:val="auto"/>
          <w:sz w:val="24"/>
          <w:szCs w:val="24"/>
        </w:rPr>
        <w:t>政务云服务</w:t>
      </w:r>
      <w:r>
        <w:rPr>
          <w:rFonts w:hint="eastAsia" w:hAnsi="宋体"/>
          <w:color w:val="auto"/>
          <w:sz w:val="24"/>
          <w:szCs w:val="24"/>
          <w:lang w:eastAsia="zh-Hans"/>
        </w:rPr>
        <w:t>器</w:t>
      </w:r>
      <w:r>
        <w:rPr>
          <w:rFonts w:hAnsi="宋体"/>
          <w:color w:val="auto"/>
          <w:sz w:val="24"/>
          <w:szCs w:val="24"/>
          <w:lang w:eastAsia="zh-Hans"/>
        </w:rPr>
        <w:t>，</w:t>
      </w:r>
      <w:r>
        <w:rPr>
          <w:rFonts w:hint="eastAsia" w:hAnsi="宋体"/>
          <w:color w:val="auto"/>
          <w:sz w:val="24"/>
          <w:szCs w:val="24"/>
          <w:lang w:eastAsia="zh-Hans"/>
        </w:rPr>
        <w:t>相关服务器由区业务管理部门提供</w:t>
      </w:r>
      <w:r>
        <w:rPr>
          <w:rFonts w:hAnsi="宋体"/>
          <w:color w:val="auto"/>
          <w:sz w:val="24"/>
          <w:szCs w:val="24"/>
        </w:rPr>
        <w:t>。</w:t>
      </w:r>
    </w:p>
    <w:p>
      <w:pPr>
        <w:keepLines w:val="0"/>
        <w:pageBreakBefore w:val="0"/>
        <w:kinsoku/>
        <w:wordWrap/>
        <w:overflowPunct/>
        <w:topLinePunct w:val="0"/>
        <w:bidi w:val="0"/>
        <w:snapToGrid w:val="0"/>
        <w:spacing w:line="360" w:lineRule="auto"/>
        <w:ind w:left="0" w:right="0"/>
        <w:rPr>
          <w:color w:val="auto"/>
          <w:sz w:val="2"/>
        </w:rPr>
      </w:pPr>
    </w:p>
    <w:tbl>
      <w:tblPr>
        <w:tblStyle w:val="31"/>
        <w:tblW w:w="0" w:type="auto"/>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3"/>
        <w:gridCol w:w="2064"/>
        <w:gridCol w:w="4164"/>
        <w:gridCol w:w="840"/>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423" w:type="dxa"/>
            <w:tcBorders>
              <w:top w:val="single" w:color="000000" w:sz="2" w:space="0"/>
              <w:bottom w:val="single" w:color="000000" w:sz="2" w:space="0"/>
            </w:tcBorders>
            <w:noWrap w:val="0"/>
            <w:textDirection w:val="tbRlV"/>
            <w:vAlign w:val="center"/>
          </w:tcPr>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064" w:type="dxa"/>
            <w:tcBorders>
              <w:top w:val="single" w:color="000000" w:sz="2" w:space="0"/>
              <w:bottom w:val="single" w:color="000000" w:sz="2" w:space="0"/>
            </w:tcBorders>
            <w:noWrap w:val="0"/>
            <w:vAlign w:val="center"/>
          </w:tcPr>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pacing w:val="8"/>
                <w:sz w:val="24"/>
                <w:szCs w:val="24"/>
              </w:rPr>
              <w:t>货</w:t>
            </w:r>
            <w:r>
              <w:rPr>
                <w:rFonts w:ascii="仿宋" w:hAnsi="仿宋" w:eastAsia="仿宋" w:cs="仿宋"/>
                <w:color w:val="auto"/>
                <w:spacing w:val="4"/>
                <w:sz w:val="24"/>
                <w:szCs w:val="24"/>
              </w:rPr>
              <w:t>物服务名称</w:t>
            </w:r>
          </w:p>
        </w:tc>
        <w:tc>
          <w:tcPr>
            <w:tcW w:w="4164" w:type="dxa"/>
            <w:tcBorders>
              <w:top w:val="single" w:color="000000" w:sz="2" w:space="0"/>
              <w:bottom w:val="single" w:color="000000" w:sz="2" w:space="0"/>
            </w:tcBorders>
            <w:noWrap w:val="0"/>
            <w:vAlign w:val="center"/>
          </w:tcPr>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pacing w:val="12"/>
                <w:sz w:val="24"/>
                <w:szCs w:val="24"/>
              </w:rPr>
              <w:t>技</w:t>
            </w:r>
            <w:r>
              <w:rPr>
                <w:rFonts w:ascii="仿宋" w:hAnsi="仿宋" w:eastAsia="仿宋" w:cs="仿宋"/>
                <w:color w:val="auto"/>
                <w:spacing w:val="11"/>
                <w:sz w:val="24"/>
                <w:szCs w:val="24"/>
              </w:rPr>
              <w:t>术指标及参数</w:t>
            </w:r>
          </w:p>
        </w:tc>
        <w:tc>
          <w:tcPr>
            <w:tcW w:w="840" w:type="dxa"/>
            <w:tcBorders>
              <w:top w:val="single" w:color="000000" w:sz="2" w:space="0"/>
              <w:bottom w:val="single" w:color="000000" w:sz="2" w:space="0"/>
            </w:tcBorders>
            <w:noWrap w:val="0"/>
            <w:vAlign w:val="center"/>
          </w:tcPr>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pacing w:val="1"/>
                <w:sz w:val="24"/>
                <w:szCs w:val="24"/>
              </w:rPr>
              <w:t>数量</w:t>
            </w:r>
          </w:p>
        </w:tc>
        <w:tc>
          <w:tcPr>
            <w:tcW w:w="1444" w:type="dxa"/>
            <w:tcBorders>
              <w:top w:val="single" w:color="000000" w:sz="2" w:space="0"/>
              <w:bottom w:val="single" w:color="000000" w:sz="2" w:space="0"/>
            </w:tcBorders>
            <w:noWrap w:val="0"/>
            <w:vAlign w:val="center"/>
          </w:tcPr>
          <w:p>
            <w:pPr>
              <w:keepLines w:val="0"/>
              <w:pageBreakBefore w:val="0"/>
              <w:kinsoku/>
              <w:wordWrap/>
              <w:overflowPunct/>
              <w:topLinePunct w:val="0"/>
              <w:bidi w:val="0"/>
              <w:snapToGrid w:val="0"/>
              <w:spacing w:line="360" w:lineRule="auto"/>
              <w:ind w:left="0" w:right="0" w:hanging="226"/>
              <w:jc w:val="center"/>
              <w:rPr>
                <w:rFonts w:ascii="仿宋" w:hAnsi="仿宋" w:eastAsia="仿宋" w:cs="仿宋"/>
                <w:color w:val="auto"/>
                <w:sz w:val="24"/>
                <w:szCs w:val="24"/>
              </w:rPr>
            </w:pPr>
            <w:r>
              <w:rPr>
                <w:rFonts w:ascii="仿宋" w:hAnsi="仿宋" w:eastAsia="仿宋" w:cs="仿宋"/>
                <w:color w:val="auto"/>
                <w:spacing w:val="7"/>
                <w:sz w:val="24"/>
                <w:szCs w:val="24"/>
              </w:rPr>
              <w:t>计</w:t>
            </w:r>
            <w:r>
              <w:rPr>
                <w:rFonts w:ascii="仿宋" w:hAnsi="仿宋" w:eastAsia="仿宋" w:cs="仿宋"/>
                <w:color w:val="auto"/>
                <w:spacing w:val="5"/>
                <w:sz w:val="24"/>
                <w:szCs w:val="24"/>
              </w:rPr>
              <w:t>量单</w:t>
            </w:r>
            <w:r>
              <w:rPr>
                <w:rFonts w:ascii="仿宋" w:hAnsi="仿宋" w:eastAsia="仿宋" w:cs="仿宋"/>
                <w:color w:val="auto"/>
                <w:sz w:val="24"/>
                <w:szCs w:val="24"/>
              </w:rPr>
              <w:t xml:space="preserve"> 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3" w:hRule="atLeast"/>
        </w:trPr>
        <w:tc>
          <w:tcPr>
            <w:tcW w:w="423"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z w:val="24"/>
                <w:szCs w:val="24"/>
              </w:rPr>
              <w:t>1</w:t>
            </w:r>
          </w:p>
        </w:tc>
        <w:tc>
          <w:tcPr>
            <w:tcW w:w="206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pacing w:val="-2"/>
                <w:sz w:val="24"/>
                <w:szCs w:val="24"/>
              </w:rPr>
              <w:t>数据库</w:t>
            </w:r>
            <w:r>
              <w:rPr>
                <w:rFonts w:ascii="仿宋" w:hAnsi="仿宋" w:eastAsia="仿宋" w:cs="仿宋"/>
                <w:color w:val="auto"/>
                <w:spacing w:val="-1"/>
                <w:sz w:val="24"/>
                <w:szCs w:val="24"/>
              </w:rPr>
              <w:t>服务器</w:t>
            </w:r>
          </w:p>
        </w:tc>
        <w:tc>
          <w:tcPr>
            <w:tcW w:w="416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7"/>
                <w:sz w:val="24"/>
                <w:szCs w:val="24"/>
              </w:rPr>
              <w:t>机</w:t>
            </w:r>
            <w:r>
              <w:rPr>
                <w:rFonts w:ascii="仿宋" w:hAnsi="仿宋" w:eastAsia="仿宋" w:cs="仿宋"/>
                <w:color w:val="auto"/>
                <w:spacing w:val="-4"/>
                <w:sz w:val="24"/>
                <w:szCs w:val="24"/>
              </w:rPr>
              <w:t>架式服务器，配置如下：</w:t>
            </w:r>
          </w:p>
          <w:p>
            <w:pPr>
              <w:keepLines w:val="0"/>
              <w:pageBreakBefore w:val="0"/>
              <w:kinsoku/>
              <w:wordWrap/>
              <w:overflowPunct/>
              <w:topLinePunct w:val="0"/>
              <w:bidi w:val="0"/>
              <w:snapToGrid w:val="0"/>
              <w:spacing w:line="360" w:lineRule="auto"/>
              <w:ind w:left="0" w:right="0" w:firstLine="8"/>
              <w:jc w:val="left"/>
              <w:rPr>
                <w:rFonts w:ascii="仿宋" w:hAnsi="仿宋" w:eastAsia="仿宋" w:cs="仿宋"/>
                <w:color w:val="auto"/>
                <w:sz w:val="24"/>
                <w:szCs w:val="24"/>
              </w:rPr>
            </w:pPr>
            <w:r>
              <w:rPr>
                <w:rFonts w:ascii="仿宋" w:hAnsi="仿宋" w:eastAsia="仿宋" w:cs="仿宋"/>
                <w:color w:val="auto"/>
                <w:spacing w:val="-10"/>
                <w:sz w:val="24"/>
                <w:szCs w:val="24"/>
              </w:rPr>
              <w:t>1、处理</w:t>
            </w:r>
            <w:r>
              <w:rPr>
                <w:rFonts w:ascii="仿宋" w:hAnsi="仿宋" w:eastAsia="仿宋" w:cs="仿宋"/>
                <w:color w:val="auto"/>
                <w:spacing w:val="-7"/>
                <w:sz w:val="24"/>
                <w:szCs w:val="24"/>
              </w:rPr>
              <w:t>器</w:t>
            </w:r>
            <w:r>
              <w:rPr>
                <w:rFonts w:ascii="仿宋" w:hAnsi="仿宋" w:eastAsia="仿宋" w:cs="仿宋"/>
                <w:color w:val="auto"/>
                <w:spacing w:val="-5"/>
                <w:sz w:val="24"/>
                <w:szCs w:val="24"/>
              </w:rPr>
              <w:t>：不低于 2 颗 CPU，主频不低于 2.</w:t>
            </w:r>
            <w:r>
              <w:rPr>
                <w:rFonts w:hint="eastAsia" w:ascii="仿宋" w:hAnsi="仿宋" w:eastAsia="仿宋" w:cs="仿宋"/>
                <w:color w:val="auto"/>
                <w:spacing w:val="-5"/>
                <w:sz w:val="24"/>
                <w:szCs w:val="24"/>
              </w:rPr>
              <w:t>5</w:t>
            </w:r>
            <w:r>
              <w:rPr>
                <w:rFonts w:ascii="仿宋" w:hAnsi="仿宋" w:eastAsia="仿宋" w:cs="仿宋"/>
                <w:color w:val="auto"/>
                <w:spacing w:val="-5"/>
                <w:sz w:val="24"/>
                <w:szCs w:val="24"/>
              </w:rPr>
              <w:t>GHz，单</w:t>
            </w:r>
            <w:r>
              <w:rPr>
                <w:rFonts w:ascii="仿宋" w:hAnsi="仿宋" w:eastAsia="仿宋" w:cs="仿宋"/>
                <w:color w:val="auto"/>
                <w:spacing w:val="-14"/>
                <w:sz w:val="24"/>
                <w:szCs w:val="24"/>
              </w:rPr>
              <w:t>颗 CP</w:t>
            </w:r>
            <w:r>
              <w:rPr>
                <w:rFonts w:ascii="仿宋" w:hAnsi="仿宋" w:eastAsia="仿宋" w:cs="仿宋"/>
                <w:color w:val="auto"/>
                <w:spacing w:val="-13"/>
                <w:sz w:val="24"/>
                <w:szCs w:val="24"/>
              </w:rPr>
              <w:t>U</w:t>
            </w:r>
            <w:r>
              <w:rPr>
                <w:rFonts w:ascii="仿宋" w:hAnsi="仿宋" w:eastAsia="仿宋" w:cs="仿宋"/>
                <w:color w:val="auto"/>
                <w:spacing w:val="-14"/>
                <w:sz w:val="24"/>
                <w:szCs w:val="24"/>
              </w:rPr>
              <w:t xml:space="preserve"> 不低于 1</w:t>
            </w:r>
            <w:r>
              <w:rPr>
                <w:rFonts w:hint="eastAsia" w:ascii="仿宋" w:hAnsi="仿宋" w:eastAsia="仿宋" w:cs="仿宋"/>
                <w:color w:val="auto"/>
                <w:spacing w:val="-14"/>
                <w:sz w:val="24"/>
                <w:szCs w:val="24"/>
              </w:rPr>
              <w:t>6</w:t>
            </w:r>
            <w:r>
              <w:rPr>
                <w:rFonts w:ascii="仿宋" w:hAnsi="仿宋" w:eastAsia="仿宋" w:cs="仿宋"/>
                <w:color w:val="auto"/>
                <w:spacing w:val="-14"/>
                <w:sz w:val="24"/>
                <w:szCs w:val="24"/>
              </w:rPr>
              <w:t xml:space="preserve"> 核；</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12"/>
                <w:sz w:val="24"/>
                <w:szCs w:val="24"/>
              </w:rPr>
              <w:t>2</w:t>
            </w:r>
            <w:r>
              <w:rPr>
                <w:rFonts w:ascii="仿宋" w:hAnsi="仿宋" w:eastAsia="仿宋" w:cs="仿宋"/>
                <w:color w:val="auto"/>
                <w:spacing w:val="-6"/>
                <w:sz w:val="24"/>
                <w:szCs w:val="24"/>
              </w:rPr>
              <w:t xml:space="preserve">、内存：不低于 </w:t>
            </w:r>
            <w:r>
              <w:rPr>
                <w:rFonts w:hint="eastAsia" w:ascii="仿宋" w:hAnsi="仿宋" w:eastAsia="仿宋" w:cs="仿宋"/>
                <w:color w:val="auto"/>
                <w:spacing w:val="-6"/>
                <w:sz w:val="24"/>
                <w:szCs w:val="24"/>
              </w:rPr>
              <w:t>64</w:t>
            </w:r>
            <w:r>
              <w:rPr>
                <w:rFonts w:ascii="仿宋" w:hAnsi="仿宋" w:eastAsia="仿宋" w:cs="仿宋"/>
                <w:color w:val="auto"/>
                <w:spacing w:val="-6"/>
                <w:sz w:val="24"/>
                <w:szCs w:val="24"/>
              </w:rPr>
              <w:t>GB 内存；</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22"/>
                <w:sz w:val="24"/>
                <w:szCs w:val="24"/>
              </w:rPr>
              <w:t>3、</w:t>
            </w:r>
            <w:r>
              <w:rPr>
                <w:rFonts w:ascii="仿宋" w:hAnsi="仿宋" w:eastAsia="仿宋" w:cs="仿宋"/>
                <w:color w:val="auto"/>
                <w:spacing w:val="-17"/>
                <w:sz w:val="24"/>
                <w:szCs w:val="24"/>
              </w:rPr>
              <w:t>硬</w:t>
            </w:r>
            <w:r>
              <w:rPr>
                <w:rFonts w:ascii="仿宋" w:hAnsi="仿宋" w:eastAsia="仿宋" w:cs="仿宋"/>
                <w:color w:val="auto"/>
                <w:spacing w:val="-11"/>
                <w:sz w:val="24"/>
                <w:szCs w:val="24"/>
              </w:rPr>
              <w:t>盘：不低于 2 块 480GB SSD，</w:t>
            </w:r>
            <w:r>
              <w:rPr>
                <w:rFonts w:hint="eastAsia" w:ascii="仿宋" w:hAnsi="仿宋" w:eastAsia="仿宋" w:cs="仿宋"/>
                <w:color w:val="auto"/>
                <w:spacing w:val="-11"/>
                <w:sz w:val="24"/>
                <w:szCs w:val="24"/>
              </w:rPr>
              <w:t>共</w:t>
            </w:r>
            <w:r>
              <w:rPr>
                <w:rFonts w:ascii="仿宋" w:hAnsi="仿宋" w:eastAsia="仿宋" w:cs="仿宋"/>
                <w:color w:val="auto"/>
                <w:spacing w:val="-11"/>
                <w:sz w:val="24"/>
                <w:szCs w:val="24"/>
              </w:rPr>
              <w:t xml:space="preserve"> 1.2T </w:t>
            </w:r>
            <w:r>
              <w:rPr>
                <w:rFonts w:hint="eastAsia" w:ascii="仿宋" w:hAnsi="仿宋" w:eastAsia="仿宋" w:cs="仿宋"/>
                <w:color w:val="auto"/>
                <w:spacing w:val="-11"/>
                <w:sz w:val="24"/>
                <w:szCs w:val="24"/>
              </w:rPr>
              <w:t>以上</w:t>
            </w:r>
            <w:r>
              <w:rPr>
                <w:rFonts w:ascii="仿宋" w:hAnsi="仿宋" w:eastAsia="仿宋" w:cs="仿宋"/>
                <w:color w:val="auto"/>
                <w:spacing w:val="-3"/>
                <w:sz w:val="24"/>
                <w:szCs w:val="24"/>
              </w:rPr>
              <w:t>硬盘</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14"/>
                <w:sz w:val="24"/>
                <w:szCs w:val="24"/>
              </w:rPr>
              <w:t>4</w:t>
            </w:r>
            <w:r>
              <w:rPr>
                <w:rFonts w:ascii="仿宋" w:hAnsi="仿宋" w:eastAsia="仿宋" w:cs="仿宋"/>
                <w:color w:val="auto"/>
                <w:spacing w:val="-9"/>
                <w:sz w:val="24"/>
                <w:szCs w:val="24"/>
              </w:rPr>
              <w:t>、</w:t>
            </w:r>
            <w:r>
              <w:rPr>
                <w:rFonts w:ascii="仿宋" w:hAnsi="仿宋" w:eastAsia="仿宋" w:cs="仿宋"/>
                <w:color w:val="auto"/>
                <w:spacing w:val="-7"/>
                <w:sz w:val="24"/>
                <w:szCs w:val="24"/>
              </w:rPr>
              <w:t>网络：不低于 4 个千兆电口；</w:t>
            </w:r>
          </w:p>
        </w:tc>
        <w:tc>
          <w:tcPr>
            <w:tcW w:w="840"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z w:val="24"/>
                <w:szCs w:val="24"/>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trPr>
        <w:tc>
          <w:tcPr>
            <w:tcW w:w="423"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z w:val="24"/>
                <w:szCs w:val="24"/>
              </w:rPr>
              <w:t>2</w:t>
            </w:r>
          </w:p>
        </w:tc>
        <w:tc>
          <w:tcPr>
            <w:tcW w:w="206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pacing w:val="-2"/>
                <w:sz w:val="24"/>
                <w:szCs w:val="24"/>
              </w:rPr>
              <w:t>应用服务器</w:t>
            </w:r>
          </w:p>
        </w:tc>
        <w:tc>
          <w:tcPr>
            <w:tcW w:w="416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7"/>
                <w:sz w:val="24"/>
                <w:szCs w:val="24"/>
              </w:rPr>
              <w:t>机</w:t>
            </w:r>
            <w:r>
              <w:rPr>
                <w:rFonts w:ascii="仿宋" w:hAnsi="仿宋" w:eastAsia="仿宋" w:cs="仿宋"/>
                <w:color w:val="auto"/>
                <w:spacing w:val="-4"/>
                <w:sz w:val="24"/>
                <w:szCs w:val="24"/>
              </w:rPr>
              <w:t>架式服务器，配置如下：</w:t>
            </w:r>
          </w:p>
          <w:p>
            <w:pPr>
              <w:keepLines w:val="0"/>
              <w:pageBreakBefore w:val="0"/>
              <w:kinsoku/>
              <w:wordWrap/>
              <w:overflowPunct/>
              <w:topLinePunct w:val="0"/>
              <w:bidi w:val="0"/>
              <w:snapToGrid w:val="0"/>
              <w:spacing w:line="360" w:lineRule="auto"/>
              <w:ind w:left="0" w:right="0" w:firstLine="8"/>
              <w:jc w:val="left"/>
              <w:rPr>
                <w:rFonts w:ascii="仿宋" w:hAnsi="仿宋" w:eastAsia="仿宋" w:cs="仿宋"/>
                <w:color w:val="auto"/>
                <w:sz w:val="24"/>
                <w:szCs w:val="24"/>
              </w:rPr>
            </w:pPr>
            <w:r>
              <w:rPr>
                <w:rFonts w:ascii="仿宋" w:hAnsi="仿宋" w:eastAsia="仿宋" w:cs="仿宋"/>
                <w:color w:val="auto"/>
                <w:spacing w:val="-10"/>
                <w:sz w:val="24"/>
                <w:szCs w:val="24"/>
              </w:rPr>
              <w:t>1、处理</w:t>
            </w:r>
            <w:r>
              <w:rPr>
                <w:rFonts w:ascii="仿宋" w:hAnsi="仿宋" w:eastAsia="仿宋" w:cs="仿宋"/>
                <w:color w:val="auto"/>
                <w:spacing w:val="-7"/>
                <w:sz w:val="24"/>
                <w:szCs w:val="24"/>
              </w:rPr>
              <w:t>器</w:t>
            </w:r>
            <w:r>
              <w:rPr>
                <w:rFonts w:ascii="仿宋" w:hAnsi="仿宋" w:eastAsia="仿宋" w:cs="仿宋"/>
                <w:color w:val="auto"/>
                <w:spacing w:val="-5"/>
                <w:sz w:val="24"/>
                <w:szCs w:val="24"/>
              </w:rPr>
              <w:t>：不低于 1 颗 CPU，主频不低于 2.</w:t>
            </w:r>
            <w:r>
              <w:rPr>
                <w:rFonts w:hint="eastAsia" w:ascii="仿宋" w:hAnsi="仿宋" w:eastAsia="仿宋" w:cs="仿宋"/>
                <w:color w:val="auto"/>
                <w:spacing w:val="-5"/>
                <w:sz w:val="24"/>
                <w:szCs w:val="24"/>
              </w:rPr>
              <w:t>5</w:t>
            </w:r>
            <w:r>
              <w:rPr>
                <w:rFonts w:ascii="仿宋" w:hAnsi="仿宋" w:eastAsia="仿宋" w:cs="仿宋"/>
                <w:color w:val="auto"/>
                <w:spacing w:val="-5"/>
                <w:sz w:val="24"/>
                <w:szCs w:val="24"/>
              </w:rPr>
              <w:t>GHz，单</w:t>
            </w:r>
            <w:r>
              <w:rPr>
                <w:rFonts w:ascii="仿宋" w:hAnsi="仿宋" w:eastAsia="仿宋" w:cs="仿宋"/>
                <w:color w:val="auto"/>
                <w:sz w:val="24"/>
                <w:szCs w:val="24"/>
              </w:rPr>
              <w:t xml:space="preserve"> </w:t>
            </w:r>
            <w:r>
              <w:rPr>
                <w:rFonts w:ascii="仿宋" w:hAnsi="仿宋" w:eastAsia="仿宋" w:cs="仿宋"/>
                <w:color w:val="auto"/>
                <w:spacing w:val="-14"/>
                <w:sz w:val="24"/>
                <w:szCs w:val="24"/>
              </w:rPr>
              <w:t>颗 CP</w:t>
            </w:r>
            <w:r>
              <w:rPr>
                <w:rFonts w:ascii="仿宋" w:hAnsi="仿宋" w:eastAsia="仿宋" w:cs="仿宋"/>
                <w:color w:val="auto"/>
                <w:spacing w:val="-13"/>
                <w:sz w:val="24"/>
                <w:szCs w:val="24"/>
              </w:rPr>
              <w:t>U</w:t>
            </w:r>
            <w:r>
              <w:rPr>
                <w:rFonts w:ascii="仿宋" w:hAnsi="仿宋" w:eastAsia="仿宋" w:cs="仿宋"/>
                <w:color w:val="auto"/>
                <w:spacing w:val="-14"/>
                <w:sz w:val="24"/>
                <w:szCs w:val="24"/>
              </w:rPr>
              <w:t xml:space="preserve"> 不低于 12 核；</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12"/>
                <w:sz w:val="24"/>
                <w:szCs w:val="24"/>
              </w:rPr>
              <w:t>2、</w:t>
            </w:r>
            <w:r>
              <w:rPr>
                <w:rFonts w:ascii="仿宋" w:hAnsi="仿宋" w:eastAsia="仿宋" w:cs="仿宋"/>
                <w:color w:val="auto"/>
                <w:spacing w:val="-7"/>
                <w:sz w:val="24"/>
                <w:szCs w:val="24"/>
              </w:rPr>
              <w:t>内</w:t>
            </w:r>
            <w:r>
              <w:rPr>
                <w:rFonts w:ascii="仿宋" w:hAnsi="仿宋" w:eastAsia="仿宋" w:cs="仿宋"/>
                <w:color w:val="auto"/>
                <w:spacing w:val="-6"/>
                <w:sz w:val="24"/>
                <w:szCs w:val="24"/>
              </w:rPr>
              <w:t>存：不低于 64GB 内存；</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10"/>
                <w:sz w:val="24"/>
                <w:szCs w:val="24"/>
              </w:rPr>
              <w:t>3</w:t>
            </w:r>
            <w:r>
              <w:rPr>
                <w:rFonts w:ascii="仿宋" w:hAnsi="仿宋" w:eastAsia="仿宋" w:cs="仿宋"/>
                <w:color w:val="auto"/>
                <w:spacing w:val="-7"/>
                <w:sz w:val="24"/>
                <w:szCs w:val="24"/>
              </w:rPr>
              <w:t>、硬盘：不低于 2 块 480GB SSD</w:t>
            </w:r>
          </w:p>
          <w:p>
            <w:pPr>
              <w:keepLines w:val="0"/>
              <w:pageBreakBefore w:val="0"/>
              <w:kinsoku/>
              <w:wordWrap/>
              <w:overflowPunct/>
              <w:topLinePunct w:val="0"/>
              <w:bidi w:val="0"/>
              <w:snapToGrid w:val="0"/>
              <w:spacing w:line="360" w:lineRule="auto"/>
              <w:ind w:left="0" w:right="0"/>
              <w:jc w:val="left"/>
              <w:rPr>
                <w:rFonts w:ascii="仿宋" w:hAnsi="仿宋" w:eastAsia="仿宋" w:cs="仿宋"/>
                <w:color w:val="auto"/>
                <w:sz w:val="24"/>
                <w:szCs w:val="24"/>
              </w:rPr>
            </w:pPr>
            <w:r>
              <w:rPr>
                <w:rFonts w:ascii="仿宋" w:hAnsi="仿宋" w:eastAsia="仿宋" w:cs="仿宋"/>
                <w:color w:val="auto"/>
                <w:spacing w:val="-14"/>
                <w:sz w:val="24"/>
                <w:szCs w:val="24"/>
              </w:rPr>
              <w:t>4</w:t>
            </w:r>
            <w:r>
              <w:rPr>
                <w:rFonts w:ascii="仿宋" w:hAnsi="仿宋" w:eastAsia="仿宋" w:cs="仿宋"/>
                <w:color w:val="auto"/>
                <w:spacing w:val="-9"/>
                <w:sz w:val="24"/>
                <w:szCs w:val="24"/>
              </w:rPr>
              <w:t>、</w:t>
            </w:r>
            <w:r>
              <w:rPr>
                <w:rFonts w:ascii="仿宋" w:hAnsi="仿宋" w:eastAsia="仿宋" w:cs="仿宋"/>
                <w:color w:val="auto"/>
                <w:spacing w:val="-7"/>
                <w:sz w:val="24"/>
                <w:szCs w:val="24"/>
              </w:rPr>
              <w:t>网络：不低于 4 个千兆电口；</w:t>
            </w:r>
          </w:p>
        </w:tc>
        <w:tc>
          <w:tcPr>
            <w:tcW w:w="840"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z w:val="24"/>
                <w:szCs w:val="24"/>
              </w:rPr>
              <w:t>1</w:t>
            </w:r>
          </w:p>
        </w:tc>
        <w:tc>
          <w:tcPr>
            <w:tcW w:w="1444" w:type="dxa"/>
            <w:tcBorders>
              <w:top w:val="single" w:color="000000" w:sz="2" w:space="0"/>
              <w:bottom w:val="single" w:color="000000" w:sz="2" w:space="0"/>
            </w:tcBorders>
            <w:noWrap w:val="0"/>
            <w:vAlign w:val="top"/>
          </w:tcPr>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color w:val="auto"/>
                <w:sz w:val="24"/>
                <w:szCs w:val="24"/>
              </w:rPr>
            </w:pPr>
          </w:p>
          <w:p>
            <w:pPr>
              <w:keepLines w:val="0"/>
              <w:pageBreakBefore w:val="0"/>
              <w:kinsoku/>
              <w:wordWrap/>
              <w:overflowPunct/>
              <w:topLinePunct w:val="0"/>
              <w:bidi w:val="0"/>
              <w:snapToGrid w:val="0"/>
              <w:spacing w:line="360" w:lineRule="auto"/>
              <w:ind w:left="0" w:right="0"/>
              <w:jc w:val="center"/>
              <w:rPr>
                <w:rFonts w:ascii="仿宋" w:hAnsi="仿宋" w:eastAsia="仿宋" w:cs="仿宋"/>
                <w:color w:val="auto"/>
                <w:sz w:val="24"/>
                <w:szCs w:val="24"/>
              </w:rPr>
            </w:pPr>
            <w:r>
              <w:rPr>
                <w:rFonts w:ascii="仿宋" w:hAnsi="仿宋" w:eastAsia="仿宋" w:cs="仿宋"/>
                <w:color w:val="auto"/>
                <w:sz w:val="24"/>
                <w:szCs w:val="24"/>
              </w:rPr>
              <w:t>台</w:t>
            </w:r>
          </w:p>
        </w:tc>
      </w:tr>
    </w:tbl>
    <w:p>
      <w:pPr>
        <w:keepLines w:val="0"/>
        <w:pageBreakBefore w:val="0"/>
        <w:numPr>
          <w:ilvl w:val="0"/>
          <w:numId w:val="0"/>
        </w:numPr>
        <w:kinsoku/>
        <w:wordWrap/>
        <w:overflowPunct/>
        <w:topLinePunct w:val="0"/>
        <w:bidi w:val="0"/>
        <w:spacing w:line="360" w:lineRule="auto"/>
        <w:ind w:right="0" w:rightChars="0" w:firstLine="480" w:firstLineChars="200"/>
        <w:outlineLvl w:val="1"/>
        <w:rPr>
          <w:rFonts w:hint="eastAsia" w:ascii="黑体" w:hAnsi="宋体" w:eastAsia="黑体"/>
          <w:b/>
          <w:color w:val="auto"/>
          <w:sz w:val="24"/>
          <w:szCs w:val="24"/>
          <w:lang w:eastAsia="zh-Hans"/>
        </w:rPr>
      </w:pPr>
      <w:r>
        <w:rPr>
          <w:rFonts w:hint="eastAsia" w:ascii="黑体" w:hAnsi="宋体" w:eastAsia="黑体"/>
          <w:b/>
          <w:color w:val="auto"/>
          <w:sz w:val="24"/>
          <w:szCs w:val="24"/>
          <w:lang w:val="en-US" w:eastAsia="zh-CN"/>
        </w:rPr>
        <w:t>6、</w:t>
      </w:r>
      <w:r>
        <w:rPr>
          <w:rFonts w:hint="eastAsia" w:ascii="黑体" w:hAnsi="宋体" w:eastAsia="黑体"/>
          <w:b/>
          <w:color w:val="auto"/>
          <w:sz w:val="24"/>
          <w:szCs w:val="24"/>
          <w:lang w:eastAsia="zh-Hans"/>
        </w:rPr>
        <w:t>系统备份要求</w:t>
      </w:r>
    </w:p>
    <w:p>
      <w:pPr>
        <w:keepLines w:val="0"/>
        <w:pageBreakBefore w:val="0"/>
        <w:kinsoku/>
        <w:wordWrap/>
        <w:overflowPunct/>
        <w:topLinePunct w:val="0"/>
        <w:bidi w:val="0"/>
        <w:spacing w:line="360" w:lineRule="auto"/>
        <w:ind w:left="0" w:right="0" w:firstLine="480" w:firstLineChars="200"/>
        <w:rPr>
          <w:b/>
          <w:bCs/>
          <w:color w:val="auto"/>
          <w:sz w:val="24"/>
          <w:szCs w:val="28"/>
        </w:rPr>
      </w:pPr>
      <w:r>
        <w:rPr>
          <w:b/>
          <w:bCs/>
          <w:color w:val="auto"/>
          <w:sz w:val="24"/>
          <w:szCs w:val="28"/>
        </w:rPr>
        <w:t>1）数据库和存储</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本建设项目根据使用场景与技术性能要求的不同，</w:t>
      </w:r>
      <w:r>
        <w:rPr>
          <w:rFonts w:hint="eastAsia" w:hAnsi="宋体"/>
          <w:color w:val="auto"/>
          <w:sz w:val="24"/>
          <w:szCs w:val="24"/>
        </w:rPr>
        <w:t>选择</w:t>
      </w:r>
      <w:r>
        <w:rPr>
          <w:rFonts w:hAnsi="宋体"/>
          <w:color w:val="auto"/>
          <w:sz w:val="24"/>
          <w:szCs w:val="24"/>
        </w:rPr>
        <w:t>配置各类型数据库以支持系统的正常运转。</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（1）分布式数据库</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分布式数据库是指利用高速计算机网络将物理上分散的多个数据存储单元连接起来组成一个逻辑上统一的数据库。分布式数据库的基本思想是将原来集中式数据库中的数据分散存储到多个通过网络连接的数据存储节点上，以获取更大的存储容量和更高的并发访问量。</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（2）关系型数据库</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关系数据库，是建立在关系模型基础上的数据库，借助于集合代数等数学概念和方法来处理数据库中的数据。</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3</w:t>
      </w:r>
      <w:r>
        <w:rPr>
          <w:rFonts w:hAnsi="宋体"/>
          <w:color w:val="auto"/>
          <w:sz w:val="24"/>
          <w:szCs w:val="24"/>
        </w:rPr>
        <w:t>）全文索引库</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全文数据库具有强大的检索功能，表现在它能提供丰富的检索点，允许用户从信息载体的人名、地名、年代、关键词等多个角度进行单项检索或多项组配检索</w:t>
      </w:r>
      <w:r>
        <w:rPr>
          <w:rFonts w:hint="eastAsia" w:hAnsi="宋体"/>
          <w:color w:val="auto"/>
          <w:sz w:val="24"/>
          <w:szCs w:val="24"/>
        </w:rPr>
        <w:t>，</w:t>
      </w:r>
      <w:r>
        <w:rPr>
          <w:rFonts w:hAnsi="宋体"/>
          <w:color w:val="auto"/>
          <w:sz w:val="24"/>
          <w:szCs w:val="24"/>
        </w:rPr>
        <w:t>甚至可对文本中任意字段进行检索。除具有布尔逻辑检索功能外，还具有字符的位置检索、截词检索等功能。</w:t>
      </w:r>
    </w:p>
    <w:p>
      <w:pPr>
        <w:keepLines w:val="0"/>
        <w:pageBreakBefore w:val="0"/>
        <w:kinsoku/>
        <w:wordWrap/>
        <w:overflowPunct/>
        <w:topLinePunct w:val="0"/>
        <w:bidi w:val="0"/>
        <w:spacing w:line="360" w:lineRule="auto"/>
        <w:ind w:left="0" w:right="0" w:firstLine="480" w:firstLineChars="200"/>
        <w:rPr>
          <w:b/>
          <w:bCs/>
          <w:color w:val="auto"/>
          <w:sz w:val="24"/>
          <w:szCs w:val="28"/>
        </w:rPr>
      </w:pPr>
      <w:r>
        <w:rPr>
          <w:b/>
          <w:bCs/>
          <w:color w:val="auto"/>
          <w:sz w:val="24"/>
          <w:szCs w:val="28"/>
        </w:rPr>
        <w:t>2）数据备份</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系统采用分布式架构，所有数据实现冗余备份，任意节点离线均不影响主体功能，并具备灾难性故障的数据备份保全，快速恢复的能力。制定完备的备份方案和采取必要的冗余技术</w:t>
      </w:r>
      <w:r>
        <w:rPr>
          <w:rFonts w:hint="eastAsia" w:hAnsi="宋体"/>
          <w:color w:val="auto"/>
          <w:sz w:val="24"/>
          <w:szCs w:val="24"/>
        </w:rPr>
        <w:t>（</w:t>
      </w:r>
      <w:r>
        <w:rPr>
          <w:rFonts w:hAnsi="宋体"/>
          <w:color w:val="auto"/>
          <w:sz w:val="24"/>
          <w:szCs w:val="24"/>
        </w:rPr>
        <w:t>例如，RAID5、双机备份</w:t>
      </w:r>
      <w:r>
        <w:rPr>
          <w:rFonts w:hint="eastAsia" w:hAnsi="宋体"/>
          <w:color w:val="auto"/>
          <w:sz w:val="24"/>
          <w:szCs w:val="24"/>
        </w:rPr>
        <w:t>）</w:t>
      </w:r>
      <w:r>
        <w:rPr>
          <w:rFonts w:hAnsi="宋体"/>
          <w:color w:val="auto"/>
          <w:sz w:val="24"/>
          <w:szCs w:val="24"/>
        </w:rPr>
        <w:t>，以确保丢失数据的可能性尽可能的小，恢复数据尽可能的完备、方便、快捷。</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1</w:t>
      </w:r>
      <w:r>
        <w:rPr>
          <w:rFonts w:hAnsi="宋体"/>
          <w:color w:val="auto"/>
          <w:sz w:val="24"/>
          <w:szCs w:val="24"/>
        </w:rPr>
        <w:t>）</w:t>
      </w:r>
      <w:r>
        <w:rPr>
          <w:rFonts w:hint="eastAsia" w:hAnsi="宋体"/>
          <w:color w:val="auto"/>
          <w:sz w:val="24"/>
          <w:szCs w:val="24"/>
        </w:rPr>
        <w:t>制定</w:t>
      </w:r>
      <w:r>
        <w:rPr>
          <w:rFonts w:hAnsi="宋体"/>
          <w:color w:val="auto"/>
          <w:sz w:val="24"/>
          <w:szCs w:val="24"/>
        </w:rPr>
        <w:t>数据库服务器的备份策略</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2</w:t>
      </w:r>
      <w:r>
        <w:rPr>
          <w:rFonts w:hAnsi="宋体"/>
          <w:color w:val="auto"/>
          <w:sz w:val="24"/>
          <w:szCs w:val="24"/>
        </w:rPr>
        <w:t>）</w:t>
      </w:r>
      <w:r>
        <w:rPr>
          <w:rFonts w:hint="eastAsia" w:hAnsi="宋体"/>
          <w:color w:val="auto"/>
          <w:sz w:val="24"/>
          <w:szCs w:val="24"/>
        </w:rPr>
        <w:t>制定</w:t>
      </w:r>
      <w:r>
        <w:rPr>
          <w:rFonts w:hAnsi="宋体"/>
          <w:color w:val="auto"/>
          <w:sz w:val="24"/>
          <w:szCs w:val="24"/>
        </w:rPr>
        <w:t>文件的备份策略</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t>
      </w:r>
      <w:r>
        <w:rPr>
          <w:rFonts w:hint="eastAsia" w:hAnsi="宋体"/>
          <w:color w:val="auto"/>
          <w:sz w:val="24"/>
          <w:szCs w:val="24"/>
        </w:rPr>
        <w:t>3</w:t>
      </w:r>
      <w:r>
        <w:rPr>
          <w:rFonts w:hAnsi="宋体"/>
          <w:color w:val="auto"/>
          <w:sz w:val="24"/>
          <w:szCs w:val="24"/>
        </w:rPr>
        <w:t>）</w:t>
      </w:r>
      <w:r>
        <w:rPr>
          <w:rFonts w:hint="eastAsia" w:hAnsi="宋体"/>
          <w:color w:val="auto"/>
          <w:sz w:val="24"/>
          <w:szCs w:val="24"/>
        </w:rPr>
        <w:t>制定</w:t>
      </w:r>
      <w:r>
        <w:rPr>
          <w:rFonts w:hAnsi="宋体"/>
          <w:color w:val="auto"/>
          <w:sz w:val="24"/>
          <w:szCs w:val="24"/>
        </w:rPr>
        <w:t>恢复策略的制定</w:t>
      </w:r>
    </w:p>
    <w:p>
      <w:pPr>
        <w:keepLines w:val="0"/>
        <w:pageBreakBefore w:val="0"/>
        <w:kinsoku/>
        <w:wordWrap/>
        <w:overflowPunct/>
        <w:topLinePunct w:val="0"/>
        <w:bidi w:val="0"/>
        <w:spacing w:line="360" w:lineRule="auto"/>
        <w:ind w:left="0" w:right="0" w:firstLine="480" w:firstLineChars="200"/>
        <w:outlineLvl w:val="1"/>
        <w:rPr>
          <w:rFonts w:ascii="黑体" w:hAnsi="宋体" w:eastAsia="黑体"/>
          <w:b/>
          <w:color w:val="auto"/>
          <w:sz w:val="24"/>
          <w:szCs w:val="24"/>
          <w:lang w:eastAsia="zh-Hans"/>
        </w:rPr>
      </w:pPr>
      <w:r>
        <w:rPr>
          <w:rFonts w:ascii="黑体" w:hAnsi="宋体" w:eastAsia="黑体"/>
          <w:b/>
          <w:color w:val="auto"/>
          <w:sz w:val="24"/>
          <w:szCs w:val="24"/>
          <w:lang w:eastAsia="zh-Hans"/>
        </w:rPr>
        <w:t>7、</w:t>
      </w:r>
      <w:r>
        <w:rPr>
          <w:rFonts w:hint="eastAsia" w:ascii="黑体" w:hAnsi="宋体" w:eastAsia="黑体"/>
          <w:b/>
          <w:color w:val="auto"/>
          <w:sz w:val="24"/>
          <w:szCs w:val="24"/>
          <w:lang w:eastAsia="zh-Hans"/>
        </w:rPr>
        <w:t>资源共享设计要求</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本项目按照公安部、</w:t>
      </w:r>
      <w:r>
        <w:rPr>
          <w:rFonts w:hint="eastAsia" w:hAnsi="宋体"/>
          <w:color w:val="auto"/>
          <w:sz w:val="24"/>
          <w:szCs w:val="24"/>
        </w:rPr>
        <w:t>江苏省</w:t>
      </w:r>
      <w:r>
        <w:rPr>
          <w:rFonts w:hAnsi="宋体"/>
          <w:color w:val="auto"/>
          <w:sz w:val="24"/>
          <w:szCs w:val="24"/>
        </w:rPr>
        <w:t>公安厅关于加强智</w:t>
      </w:r>
      <w:r>
        <w:rPr>
          <w:rFonts w:hint="eastAsia" w:hAnsi="宋体"/>
          <w:color w:val="auto"/>
          <w:sz w:val="24"/>
          <w:szCs w:val="24"/>
        </w:rPr>
        <w:t>慧</w:t>
      </w:r>
      <w:r>
        <w:rPr>
          <w:rFonts w:hAnsi="宋体"/>
          <w:color w:val="auto"/>
          <w:sz w:val="24"/>
          <w:szCs w:val="24"/>
        </w:rPr>
        <w:t>警务建设的相关规划与指导意见，</w:t>
      </w:r>
      <w:r>
        <w:rPr>
          <w:rFonts w:hint="eastAsia" w:hAnsi="宋体"/>
          <w:color w:val="auto"/>
          <w:sz w:val="24"/>
          <w:szCs w:val="24"/>
        </w:rPr>
        <w:t>预留后期</w:t>
      </w:r>
      <w:r>
        <w:rPr>
          <w:rFonts w:hAnsi="宋体"/>
          <w:color w:val="auto"/>
          <w:sz w:val="24"/>
          <w:szCs w:val="24"/>
        </w:rPr>
        <w:t>实现公安机关数据与</w:t>
      </w:r>
      <w:r>
        <w:rPr>
          <w:rFonts w:hint="eastAsia" w:hAnsi="宋体"/>
          <w:color w:val="auto"/>
          <w:sz w:val="24"/>
          <w:szCs w:val="24"/>
        </w:rPr>
        <w:t>平台</w:t>
      </w:r>
      <w:r>
        <w:rPr>
          <w:rFonts w:hAnsi="宋体"/>
          <w:color w:val="auto"/>
          <w:sz w:val="24"/>
          <w:szCs w:val="24"/>
        </w:rPr>
        <w:t>的互联、互通、互享，该项目在总体布局与方案设计等方面需满足新一代公安信息网的标准规范要求，具体如下：</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1）总体技术框架技术要求</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应以数据安全为中心，以安全基础设施为支撑，以安全大数据智能分析为抓手，实现高效安全应用和运行管理，构建“安全、可行、合规”的大数据智能化安全立体纵深防御体系。</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2）安全访问平台技术要求</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应满足通过安全访问平台将用户和数据中心隔离，分为用户访问安全、数据交换安全两类服务。</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3）存储资源技术要求</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分布式</w:t>
      </w:r>
      <w:r>
        <w:rPr>
          <w:rFonts w:hint="eastAsia" w:hAnsi="宋体"/>
          <w:color w:val="auto"/>
          <w:sz w:val="24"/>
          <w:szCs w:val="24"/>
        </w:rPr>
        <w:t>块</w:t>
      </w:r>
      <w:r>
        <w:rPr>
          <w:rFonts w:hAnsi="宋体"/>
          <w:color w:val="auto"/>
          <w:sz w:val="24"/>
          <w:szCs w:val="24"/>
        </w:rPr>
        <w:t>存储：分布式块存储需支持多种存储介质和多种应用场景。</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对象存储：对象存储将数据存储在一个扁平化的容器组织中，提供基于对象方式的存储和访问服务。可以通过调用控制台和接口调用来上传和下载数据。</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文件存储：文件存储系统通过标准的文件访问协议，提供多共享、高可靠和高可用等特性的文件访问。客户应用可以挂载并使用平台预先分配的文件系统。文件系统具有文件与目录操作、文件访问以及文件访问控制功能。</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4）接口规则</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即标准接口方式。平台不限定任何业务接口规范，最大化的允许几乎所有形式的接口通讯，如基于Web Service、HTTP、SOCKET、SMTP、IMAP、RMI、SOAP等等。平台可通过这些接口交换应用数据。</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Web Service通过HTTP协议进行调用的API方式</w:t>
      </w:r>
      <w:r>
        <w:rPr>
          <w:rFonts w:hint="eastAsia" w:hAnsi="宋体"/>
          <w:color w:val="auto"/>
          <w:sz w:val="24"/>
          <w:szCs w:val="24"/>
        </w:rPr>
        <w:t>，</w:t>
      </w:r>
      <w:r>
        <w:rPr>
          <w:rFonts w:hAnsi="宋体"/>
          <w:color w:val="auto"/>
          <w:sz w:val="24"/>
          <w:szCs w:val="24"/>
        </w:rPr>
        <w:t>HTTP协议是互联网的标准协议，被很多网站和应用程序所使用，并且很多防火墙都仅开放HTTP协议。Webservice已经逐渐成为互联网上的最流行接口方式。</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规则如下：</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所属应用：API 服务所在的应用。</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配置名称：指定任何有意义的且能描述本服务的名称。</w:t>
      </w:r>
    </w:p>
    <w:p>
      <w:pPr>
        <w:pStyle w:val="2"/>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服务 ID：建议配置唯一ID作为前端 Ajax 调用的常量在服务聚合时也会根据此 ID 来组合输出 JSON。</w:t>
      </w:r>
    </w:p>
    <w:p>
      <w:pPr>
        <w:pStyle w:val="2"/>
        <w:keepNext w:val="0"/>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服务 URL：尽量符合 Rest 风格</w:t>
      </w:r>
      <w:r>
        <w:rPr>
          <w:rFonts w:hint="eastAsia" w:hAnsi="宋体"/>
          <w:color w:val="auto"/>
          <w:sz w:val="24"/>
          <w:szCs w:val="24"/>
        </w:rPr>
        <w:t>，</w:t>
      </w:r>
      <w:r>
        <w:rPr>
          <w:rFonts w:hAnsi="宋体"/>
          <w:color w:val="auto"/>
          <w:sz w:val="24"/>
          <w:szCs w:val="24"/>
        </w:rPr>
        <w:t>{id</w:t>
      </w:r>
      <w:r>
        <w:rPr>
          <w:rFonts w:hint="eastAsia" w:hAnsi="宋体"/>
          <w:color w:val="auto"/>
          <w:sz w:val="24"/>
          <w:szCs w:val="24"/>
        </w:rPr>
        <w:t>｝</w:t>
      </w:r>
      <w:r>
        <w:rPr>
          <w:rFonts w:hAnsi="宋体"/>
          <w:color w:val="auto"/>
          <w:sz w:val="24"/>
          <w:szCs w:val="24"/>
        </w:rPr>
        <w:t>为路径参数在 Bean 方法中可以通过@GetParam("id")String id 获取</w:t>
      </w:r>
      <w:r>
        <w:rPr>
          <w:rFonts w:hint="eastAsia" w:hAnsi="宋体"/>
          <w:color w:val="auto"/>
          <w:sz w:val="24"/>
          <w:szCs w:val="24"/>
        </w:rPr>
        <w:t>，</w:t>
      </w:r>
      <w:r>
        <w:rPr>
          <w:rFonts w:hAnsi="宋体"/>
          <w:color w:val="auto"/>
          <w:sz w:val="24"/>
          <w:szCs w:val="24"/>
        </w:rPr>
        <w:t>路径参数越往后性能越好</w:t>
      </w:r>
      <w:r>
        <w:rPr>
          <w:rFonts w:hint="eastAsia" w:hAnsi="宋体"/>
          <w:color w:val="auto"/>
          <w:sz w:val="24"/>
          <w:szCs w:val="24"/>
        </w:rPr>
        <w:t>，</w:t>
      </w:r>
      <w:r>
        <w:rPr>
          <w:rFonts w:hAnsi="宋体"/>
          <w:color w:val="auto"/>
          <w:sz w:val="24"/>
          <w:szCs w:val="24"/>
        </w:rPr>
        <w:t>服务URL格式约定为:/root</w:t>
      </w:r>
      <w:r>
        <w:rPr>
          <w:rFonts w:hint="eastAsia" w:hAnsi="宋体"/>
          <w:color w:val="auto"/>
          <w:sz w:val="24"/>
          <w:szCs w:val="24"/>
        </w:rPr>
        <w:t>（</w:t>
      </w:r>
      <w:r>
        <w:rPr>
          <w:rFonts w:hAnsi="宋体"/>
          <w:color w:val="auto"/>
          <w:sz w:val="24"/>
          <w:szCs w:val="24"/>
        </w:rPr>
        <w:t>可在web.xml中配置</w:t>
      </w:r>
      <w:r>
        <w:rPr>
          <w:rFonts w:hint="eastAsia" w:hAnsi="宋体"/>
          <w:color w:val="auto"/>
          <w:sz w:val="24"/>
          <w:szCs w:val="24"/>
        </w:rPr>
        <w:t>）</w:t>
      </w:r>
      <w:r>
        <w:rPr>
          <w:rFonts w:hAnsi="宋体"/>
          <w:color w:val="auto"/>
          <w:sz w:val="24"/>
          <w:szCs w:val="24"/>
        </w:rPr>
        <w:t>/app id</w:t>
      </w:r>
      <w:r>
        <w:rPr>
          <w:rFonts w:hint="eastAsia" w:hAnsi="宋体"/>
          <w:color w:val="auto"/>
          <w:sz w:val="24"/>
          <w:szCs w:val="24"/>
        </w:rPr>
        <w:t>（</w:t>
      </w:r>
      <w:r>
        <w:rPr>
          <w:rFonts w:hAnsi="宋体"/>
          <w:color w:val="auto"/>
          <w:sz w:val="24"/>
          <w:szCs w:val="24"/>
        </w:rPr>
        <w:t>应用唯一 id)/自定义路径。</w:t>
      </w:r>
    </w:p>
    <w:p>
      <w:pPr>
        <w:pStyle w:val="2"/>
        <w:keepNext w:val="0"/>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API 版本：允许相同的 API 使用不同的版本号，只需要在http头中请求时带上version 版本号即可以强制调用指定版本号的API。</w:t>
      </w:r>
    </w:p>
    <w:p>
      <w:pPr>
        <w:pStyle w:val="2"/>
        <w:keepNext w:val="0"/>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Produces Content Type：指定API的返回数据类型。 Consumes Content Type: 指定传入的字符类型。</w:t>
      </w:r>
    </w:p>
    <w:p>
      <w:pPr>
        <w:pStyle w:val="2"/>
        <w:keepNext w:val="0"/>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参数类型：前端调用时参数传入的方式， 一般的提交模式为键值对方式。</w:t>
      </w:r>
    </w:p>
    <w:p>
      <w:pPr>
        <w:pStyle w:val="2"/>
        <w:keepNext w:val="0"/>
        <w:keepLines w:val="0"/>
        <w:pageBreakBefore w:val="0"/>
        <w:kinsoku/>
        <w:wordWrap/>
        <w:overflowPunct/>
        <w:topLinePunct w:val="0"/>
        <w:bidi w:val="0"/>
        <w:spacing w:line="360" w:lineRule="auto"/>
        <w:ind w:left="0" w:right="0" w:firstLine="480"/>
        <w:rPr>
          <w:rFonts w:hAnsi="宋体"/>
          <w:color w:val="auto"/>
          <w:sz w:val="24"/>
          <w:szCs w:val="24"/>
        </w:rPr>
      </w:pPr>
      <w:r>
        <w:rPr>
          <w:rFonts w:hAnsi="宋体"/>
          <w:color w:val="auto"/>
          <w:sz w:val="24"/>
          <w:szCs w:val="24"/>
        </w:rPr>
        <w:t>日记记录：是否记录数据的调用记录</w:t>
      </w:r>
      <w:r>
        <w:rPr>
          <w:rFonts w:hint="eastAsia" w:hAnsi="宋体"/>
          <w:color w:val="auto"/>
          <w:sz w:val="24"/>
          <w:szCs w:val="24"/>
        </w:rPr>
        <w:t>，</w:t>
      </w:r>
      <w:r>
        <w:rPr>
          <w:rFonts w:hAnsi="宋体"/>
          <w:color w:val="auto"/>
          <w:sz w:val="24"/>
          <w:szCs w:val="24"/>
        </w:rPr>
        <w:t>记录下来方便追踪数据但是影响性能。</w:t>
      </w:r>
    </w:p>
    <w:p>
      <w:pPr>
        <w:keepNext w:val="0"/>
        <w:keepLines w:val="0"/>
        <w:pageBreakBefore w:val="0"/>
        <w:kinsoku/>
        <w:wordWrap/>
        <w:overflowPunct/>
        <w:topLinePunct w:val="0"/>
        <w:bidi w:val="0"/>
        <w:spacing w:line="360" w:lineRule="auto"/>
        <w:ind w:left="0" w:right="0" w:firstLine="480" w:firstLineChars="200"/>
        <w:outlineLvl w:val="1"/>
        <w:rPr>
          <w:rFonts w:hint="eastAsia" w:ascii="黑体" w:hAnsi="宋体" w:eastAsia="黑体"/>
          <w:b/>
          <w:color w:val="auto"/>
          <w:sz w:val="24"/>
          <w:szCs w:val="24"/>
          <w:lang w:eastAsia="zh-Hans"/>
        </w:rPr>
      </w:pPr>
      <w:r>
        <w:rPr>
          <w:rFonts w:ascii="黑体" w:hAnsi="宋体" w:eastAsia="黑体"/>
          <w:b/>
          <w:color w:val="auto"/>
          <w:sz w:val="24"/>
          <w:szCs w:val="24"/>
          <w:lang w:eastAsia="zh-Hans"/>
        </w:rPr>
        <w:t>8、</w:t>
      </w:r>
      <w:r>
        <w:rPr>
          <w:rFonts w:hint="eastAsia" w:ascii="黑体" w:hAnsi="宋体" w:eastAsia="黑体"/>
          <w:b/>
          <w:color w:val="auto"/>
          <w:sz w:val="24"/>
          <w:szCs w:val="24"/>
          <w:lang w:eastAsia="zh-Hans"/>
        </w:rPr>
        <w:t>项目实施要求</w:t>
      </w:r>
    </w:p>
    <w:p>
      <w:pPr>
        <w:pStyle w:val="98"/>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1</w:t>
      </w:r>
      <w:r>
        <w:rPr>
          <w:color w:val="auto"/>
          <w:sz w:val="24"/>
          <w:szCs w:val="24"/>
        </w:rPr>
        <w:t>）</w:t>
      </w:r>
      <w:r>
        <w:rPr>
          <w:rFonts w:hint="eastAsia"/>
          <w:color w:val="auto"/>
          <w:sz w:val="24"/>
          <w:szCs w:val="24"/>
        </w:rPr>
        <w:t>进度要求</w:t>
      </w:r>
    </w:p>
    <w:p>
      <w:pPr>
        <w:pStyle w:val="98"/>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color w:val="auto"/>
          <w:sz w:val="24"/>
          <w:szCs w:val="24"/>
        </w:rPr>
        <w:t>本项目</w:t>
      </w:r>
      <w:r>
        <w:rPr>
          <w:rFonts w:hint="eastAsia"/>
          <w:color w:val="auto"/>
          <w:sz w:val="24"/>
          <w:szCs w:val="24"/>
        </w:rPr>
        <w:t>计划</w:t>
      </w:r>
      <w:r>
        <w:rPr>
          <w:color w:val="auto"/>
          <w:sz w:val="24"/>
          <w:szCs w:val="24"/>
        </w:rPr>
        <w:t>建设</w:t>
      </w:r>
      <w:r>
        <w:rPr>
          <w:rFonts w:hint="eastAsia"/>
          <w:color w:val="auto"/>
          <w:sz w:val="24"/>
          <w:szCs w:val="24"/>
        </w:rPr>
        <w:t>工</w:t>
      </w:r>
      <w:r>
        <w:rPr>
          <w:color w:val="auto"/>
          <w:sz w:val="24"/>
          <w:szCs w:val="24"/>
        </w:rPr>
        <w:t>期为3个月</w:t>
      </w:r>
      <w:r>
        <w:rPr>
          <w:rFonts w:hint="eastAsia"/>
          <w:color w:val="auto"/>
          <w:sz w:val="24"/>
          <w:szCs w:val="24"/>
        </w:rPr>
        <w:t>。</w:t>
      </w:r>
    </w:p>
    <w:p>
      <w:pPr>
        <w:pStyle w:val="98"/>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在项目建设过程中，除不可抗力或采购方的原因造成的延期外，中标方有义务按照合同或工作说明书的要求严格控制项目进度，保证项目按期交付。</w:t>
      </w:r>
    </w:p>
    <w:p>
      <w:pPr>
        <w:pStyle w:val="98"/>
        <w:keepNext w:val="0"/>
        <w:keepLines w:val="0"/>
        <w:pageBreakBefore w:val="0"/>
        <w:kinsoku/>
        <w:wordWrap/>
        <w:overflowPunct/>
        <w:topLinePunct w:val="0"/>
        <w:bidi w:val="0"/>
        <w:snapToGrid w:val="0"/>
        <w:spacing w:line="360" w:lineRule="auto"/>
        <w:ind w:left="0" w:right="0" w:firstLine="480" w:firstLineChars="200"/>
        <w:rPr>
          <w:color w:val="auto"/>
          <w:sz w:val="24"/>
          <w:szCs w:val="24"/>
        </w:rPr>
      </w:pPr>
      <w:r>
        <w:rPr>
          <w:rFonts w:hint="eastAsia"/>
          <w:color w:val="auto"/>
          <w:sz w:val="24"/>
          <w:szCs w:val="24"/>
        </w:rPr>
        <w:t>2</w:t>
      </w:r>
      <w:r>
        <w:rPr>
          <w:color w:val="auto"/>
          <w:sz w:val="24"/>
          <w:szCs w:val="24"/>
        </w:rPr>
        <w:t>）</w:t>
      </w:r>
      <w:r>
        <w:rPr>
          <w:rFonts w:hint="eastAsia"/>
          <w:color w:val="auto"/>
          <w:sz w:val="24"/>
          <w:szCs w:val="24"/>
        </w:rPr>
        <w:t>验收要求</w:t>
      </w:r>
    </w:p>
    <w:p>
      <w:pPr>
        <w:pStyle w:val="98"/>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招标单位对中标方提供的货物在使用前进行调试时，中标方须负责安装并培训采购人的使用操作人员，并协助招标单位一起调试，直到符合技术要求，并通过业主方组织的测评。</w:t>
      </w:r>
    </w:p>
    <w:p>
      <w:pPr>
        <w:pStyle w:val="98"/>
        <w:keepNext w:val="0"/>
        <w:keepLines w:val="0"/>
        <w:pageBreakBefore w:val="0"/>
        <w:kinsoku/>
        <w:wordWrap/>
        <w:overflowPunct/>
        <w:topLinePunct w:val="0"/>
        <w:bidi w:val="0"/>
        <w:snapToGrid w:val="0"/>
        <w:spacing w:line="360" w:lineRule="auto"/>
        <w:ind w:left="0" w:right="0" w:firstLine="120" w:firstLineChars="50"/>
        <w:rPr>
          <w:color w:val="auto"/>
          <w:sz w:val="24"/>
          <w:szCs w:val="24"/>
        </w:rPr>
      </w:pPr>
      <w:r>
        <w:rPr>
          <w:rFonts w:hint="eastAsia"/>
          <w:color w:val="auto"/>
          <w:sz w:val="24"/>
          <w:szCs w:val="24"/>
        </w:rPr>
        <w:t>3</w:t>
      </w:r>
      <w:r>
        <w:rPr>
          <w:color w:val="auto"/>
          <w:sz w:val="24"/>
          <w:szCs w:val="24"/>
        </w:rPr>
        <w:t>）</w:t>
      </w:r>
      <w:r>
        <w:rPr>
          <w:rFonts w:hint="eastAsia"/>
          <w:color w:val="auto"/>
          <w:sz w:val="24"/>
          <w:szCs w:val="24"/>
        </w:rPr>
        <w:t>培训要求</w:t>
      </w:r>
    </w:p>
    <w:p>
      <w:pPr>
        <w:keepNext w:val="0"/>
        <w:keepLines w:val="0"/>
        <w:pageBreakBefore w:val="0"/>
        <w:kinsoku/>
        <w:wordWrap/>
        <w:overflowPunct/>
        <w:topLinePunct w:val="0"/>
        <w:bidi w:val="0"/>
        <w:snapToGrid w:val="0"/>
        <w:spacing w:line="360" w:lineRule="auto"/>
        <w:ind w:left="0" w:right="0" w:firstLine="480"/>
        <w:rPr>
          <w:color w:val="auto"/>
          <w:sz w:val="24"/>
          <w:szCs w:val="24"/>
        </w:rPr>
      </w:pPr>
      <w:r>
        <w:rPr>
          <w:rFonts w:hint="eastAsia"/>
          <w:color w:val="auto"/>
          <w:sz w:val="24"/>
          <w:szCs w:val="24"/>
        </w:rPr>
        <w:t>平台上线后的操作使用，需要靠系统化的培训来完成，培训的目的是提高反诈人员的使用技能，加强对平台的理解，使他们能够有效地熟悉平台的操作和平台的管理职责。</w:t>
      </w:r>
    </w:p>
    <w:p>
      <w:pPr>
        <w:keepNext w:val="0"/>
        <w:keepLines w:val="0"/>
        <w:pageBreakBefore w:val="0"/>
        <w:kinsoku/>
        <w:wordWrap/>
        <w:overflowPunct/>
        <w:topLinePunct w:val="0"/>
        <w:bidi w:val="0"/>
        <w:snapToGrid w:val="0"/>
        <w:spacing w:line="360" w:lineRule="auto"/>
        <w:ind w:left="0" w:right="0" w:firstLine="480"/>
        <w:rPr>
          <w:rFonts w:hint="eastAsia"/>
          <w:color w:val="auto"/>
          <w:sz w:val="24"/>
          <w:szCs w:val="24"/>
        </w:rPr>
      </w:pPr>
      <w:r>
        <w:rPr>
          <w:rFonts w:hint="eastAsia"/>
          <w:color w:val="auto"/>
          <w:sz w:val="24"/>
          <w:szCs w:val="24"/>
        </w:rPr>
        <w:t>（1）供应商必须在其投标文件中列出培训课程大纲，同时提出培训计划。</w:t>
      </w:r>
    </w:p>
    <w:p>
      <w:pPr>
        <w:keepNext w:val="0"/>
        <w:keepLines w:val="0"/>
        <w:pageBreakBefore w:val="0"/>
        <w:kinsoku/>
        <w:wordWrap/>
        <w:overflowPunct/>
        <w:topLinePunct w:val="0"/>
        <w:bidi w:val="0"/>
        <w:snapToGrid w:val="0"/>
        <w:spacing w:line="360" w:lineRule="auto"/>
        <w:ind w:left="0" w:right="0" w:firstLine="480"/>
        <w:rPr>
          <w:rFonts w:hint="eastAsia"/>
          <w:color w:val="auto"/>
          <w:sz w:val="24"/>
          <w:szCs w:val="24"/>
        </w:rPr>
      </w:pPr>
      <w:r>
        <w:rPr>
          <w:rFonts w:hint="eastAsia"/>
          <w:color w:val="auto"/>
          <w:sz w:val="24"/>
          <w:szCs w:val="24"/>
        </w:rPr>
        <w:t>（2）培训在采购人指定的地点进行，提供的培训专家不少于2人，培训周期不少于3天。</w:t>
      </w:r>
    </w:p>
    <w:p>
      <w:pPr>
        <w:keepNext w:val="0"/>
        <w:keepLines w:val="0"/>
        <w:pageBreakBefore w:val="0"/>
        <w:kinsoku/>
        <w:wordWrap/>
        <w:overflowPunct/>
        <w:topLinePunct w:val="0"/>
        <w:bidi w:val="0"/>
        <w:snapToGrid w:val="0"/>
        <w:spacing w:line="360" w:lineRule="auto"/>
        <w:ind w:left="0" w:right="0" w:firstLine="480"/>
        <w:rPr>
          <w:rFonts w:hint="eastAsia"/>
          <w:color w:val="auto"/>
          <w:sz w:val="24"/>
          <w:szCs w:val="24"/>
        </w:rPr>
      </w:pPr>
      <w:r>
        <w:rPr>
          <w:rFonts w:hint="eastAsia"/>
          <w:color w:val="auto"/>
          <w:sz w:val="24"/>
          <w:szCs w:val="24"/>
        </w:rPr>
        <w:t>（3）供应商应提供业务培训以及系统日常操作与维护，常见故障排除，紧急情况处理等专业培训。</w:t>
      </w:r>
    </w:p>
    <w:p>
      <w:pPr>
        <w:keepNext w:val="0"/>
        <w:keepLines w:val="0"/>
        <w:pageBreakBefore w:val="0"/>
        <w:kinsoku/>
        <w:wordWrap/>
        <w:overflowPunct/>
        <w:topLinePunct w:val="0"/>
        <w:bidi w:val="0"/>
        <w:snapToGrid w:val="0"/>
        <w:spacing w:line="360" w:lineRule="auto"/>
        <w:ind w:left="0" w:right="0" w:firstLine="480"/>
        <w:rPr>
          <w:rFonts w:hint="eastAsia"/>
          <w:color w:val="auto"/>
          <w:sz w:val="24"/>
          <w:szCs w:val="24"/>
        </w:rPr>
      </w:pPr>
      <w:r>
        <w:rPr>
          <w:rFonts w:hint="eastAsia"/>
          <w:color w:val="auto"/>
          <w:sz w:val="24"/>
          <w:szCs w:val="24"/>
        </w:rPr>
        <w:t>（4）培训应采取课堂讲解和操作训练相结合的方法。</w:t>
      </w:r>
    </w:p>
    <w:p>
      <w:pPr>
        <w:keepNext w:val="0"/>
        <w:keepLines w:val="0"/>
        <w:pageBreakBefore w:val="0"/>
        <w:kinsoku/>
        <w:wordWrap/>
        <w:overflowPunct/>
        <w:topLinePunct w:val="0"/>
        <w:bidi w:val="0"/>
        <w:snapToGrid w:val="0"/>
        <w:spacing w:line="360" w:lineRule="auto"/>
        <w:ind w:left="420" w:leftChars="200" w:right="0" w:firstLine="480"/>
        <w:rPr>
          <w:rFonts w:hint="eastAsia"/>
          <w:color w:val="auto"/>
          <w:sz w:val="24"/>
          <w:szCs w:val="24"/>
        </w:rPr>
      </w:pPr>
      <w:r>
        <w:rPr>
          <w:rFonts w:hint="eastAsia"/>
          <w:color w:val="auto"/>
          <w:sz w:val="24"/>
          <w:szCs w:val="24"/>
        </w:rPr>
        <w:t>（5）培训资料和手册</w:t>
      </w:r>
    </w:p>
    <w:p>
      <w:pPr>
        <w:keepNext w:val="0"/>
        <w:keepLines w:val="0"/>
        <w:pageBreakBefore w:val="0"/>
        <w:numPr>
          <w:ilvl w:val="0"/>
          <w:numId w:val="29"/>
        </w:numPr>
        <w:kinsoku/>
        <w:wordWrap/>
        <w:overflowPunct/>
        <w:topLinePunct w:val="0"/>
        <w:bidi w:val="0"/>
        <w:adjustRightInd w:val="0"/>
        <w:snapToGrid w:val="0"/>
        <w:spacing w:line="360" w:lineRule="auto"/>
        <w:ind w:left="420" w:leftChars="200" w:right="0"/>
        <w:rPr>
          <w:color w:val="auto"/>
          <w:sz w:val="24"/>
          <w:szCs w:val="24"/>
        </w:rPr>
      </w:pPr>
      <w:r>
        <w:rPr>
          <w:rFonts w:hint="eastAsia"/>
          <w:color w:val="auto"/>
          <w:sz w:val="24"/>
          <w:szCs w:val="24"/>
        </w:rPr>
        <w:t>供应商应编制和提供投标文件中描述的培训工作所需的所有培训手册和材料。</w:t>
      </w:r>
    </w:p>
    <w:p>
      <w:pPr>
        <w:keepNext w:val="0"/>
        <w:keepLines w:val="0"/>
        <w:pageBreakBefore w:val="0"/>
        <w:numPr>
          <w:ilvl w:val="0"/>
          <w:numId w:val="29"/>
        </w:numPr>
        <w:kinsoku/>
        <w:wordWrap/>
        <w:overflowPunct/>
        <w:topLinePunct w:val="0"/>
        <w:bidi w:val="0"/>
        <w:adjustRightInd w:val="0"/>
        <w:snapToGrid w:val="0"/>
        <w:spacing w:line="360" w:lineRule="auto"/>
        <w:ind w:left="420" w:leftChars="200" w:right="0"/>
        <w:rPr>
          <w:color w:val="auto"/>
          <w:sz w:val="24"/>
          <w:szCs w:val="24"/>
        </w:rPr>
      </w:pPr>
      <w:r>
        <w:rPr>
          <w:rFonts w:hint="eastAsia"/>
          <w:color w:val="auto"/>
          <w:sz w:val="24"/>
          <w:szCs w:val="24"/>
        </w:rPr>
        <w:t>培训课程使用供应商提供的有关文件，并且在培训班开始之前完成有关文件认可后的最终稿。</w:t>
      </w:r>
    </w:p>
    <w:p>
      <w:pPr>
        <w:keepNext w:val="0"/>
        <w:keepLines w:val="0"/>
        <w:pageBreakBefore w:val="0"/>
        <w:numPr>
          <w:ilvl w:val="0"/>
          <w:numId w:val="29"/>
        </w:numPr>
        <w:kinsoku/>
        <w:wordWrap/>
        <w:overflowPunct/>
        <w:topLinePunct w:val="0"/>
        <w:bidi w:val="0"/>
        <w:adjustRightInd w:val="0"/>
        <w:snapToGrid w:val="0"/>
        <w:spacing w:line="360" w:lineRule="auto"/>
        <w:ind w:left="420" w:leftChars="200" w:right="0"/>
        <w:rPr>
          <w:color w:val="auto"/>
          <w:sz w:val="24"/>
          <w:szCs w:val="24"/>
        </w:rPr>
      </w:pPr>
      <w:r>
        <w:rPr>
          <w:rFonts w:hint="eastAsia"/>
          <w:color w:val="auto"/>
          <w:sz w:val="24"/>
          <w:szCs w:val="24"/>
        </w:rPr>
        <w:t>除采购人另有认可外，最终文件应于开始任何培训课至少5个工作日之前提交采购人确认。</w:t>
      </w:r>
    </w:p>
    <w:p>
      <w:pPr>
        <w:keepNext w:val="0"/>
        <w:keepLines w:val="0"/>
        <w:pageBreakBefore w:val="0"/>
        <w:numPr>
          <w:ilvl w:val="0"/>
          <w:numId w:val="29"/>
        </w:numPr>
        <w:kinsoku/>
        <w:wordWrap/>
        <w:overflowPunct/>
        <w:topLinePunct w:val="0"/>
        <w:bidi w:val="0"/>
        <w:adjustRightInd w:val="0"/>
        <w:snapToGrid w:val="0"/>
        <w:spacing w:line="360" w:lineRule="auto"/>
        <w:ind w:left="420" w:leftChars="200" w:right="0"/>
        <w:rPr>
          <w:color w:val="auto"/>
          <w:sz w:val="24"/>
          <w:szCs w:val="24"/>
        </w:rPr>
      </w:pPr>
      <w:r>
        <w:rPr>
          <w:rFonts w:hint="eastAsia"/>
          <w:color w:val="auto"/>
          <w:sz w:val="24"/>
          <w:szCs w:val="24"/>
        </w:rPr>
        <w:t>供应商应提交包括所有培训手册的完整的电子文件。</w:t>
      </w:r>
    </w:p>
    <w:p>
      <w:pPr>
        <w:pStyle w:val="3"/>
        <w:keepNext w:val="0"/>
        <w:keepLines w:val="0"/>
        <w:pageBreakBefore w:val="0"/>
        <w:numPr>
          <w:ilvl w:val="0"/>
          <w:numId w:val="29"/>
        </w:numPr>
        <w:kinsoku/>
        <w:wordWrap/>
        <w:overflowPunct/>
        <w:topLinePunct w:val="0"/>
        <w:bidi w:val="0"/>
        <w:spacing w:line="360" w:lineRule="auto"/>
        <w:ind w:left="420" w:leftChars="200" w:right="0"/>
        <w:rPr>
          <w:rFonts w:eastAsia="宋体" w:cs="Times New Roman"/>
          <w:color w:val="auto"/>
          <w:sz w:val="24"/>
          <w:szCs w:val="24"/>
        </w:rPr>
      </w:pPr>
      <w:r>
        <w:rPr>
          <w:rFonts w:hint="eastAsia" w:eastAsia="宋体" w:cs="Times New Roman"/>
          <w:color w:val="auto"/>
          <w:sz w:val="24"/>
          <w:szCs w:val="24"/>
        </w:rPr>
        <w:t>采购方提供培训所需的场地及演示网络环境等。</w:t>
      </w:r>
    </w:p>
    <w:p>
      <w:pPr>
        <w:keepNext w:val="0"/>
        <w:keepLines w:val="0"/>
        <w:pageBreakBefore w:val="0"/>
        <w:kinsoku/>
        <w:wordWrap/>
        <w:overflowPunct/>
        <w:topLinePunct w:val="0"/>
        <w:bidi w:val="0"/>
        <w:spacing w:line="360" w:lineRule="auto"/>
        <w:ind w:left="0" w:right="0"/>
        <w:outlineLvl w:val="1"/>
        <w:rPr>
          <w:rFonts w:hint="eastAsia" w:ascii="黑体" w:hAnsi="宋体" w:eastAsia="黑体"/>
          <w:b/>
          <w:color w:val="auto"/>
          <w:sz w:val="24"/>
          <w:szCs w:val="24"/>
          <w:lang w:eastAsia="zh-Hans"/>
        </w:rPr>
      </w:pPr>
      <w:r>
        <w:rPr>
          <w:rFonts w:ascii="黑体" w:hAnsi="宋体" w:eastAsia="黑体"/>
          <w:b/>
          <w:color w:val="auto"/>
          <w:sz w:val="24"/>
          <w:szCs w:val="24"/>
          <w:lang w:eastAsia="zh-Hans"/>
        </w:rPr>
        <w:t>9、</w:t>
      </w:r>
      <w:r>
        <w:rPr>
          <w:rFonts w:hint="eastAsia" w:ascii="黑体" w:hAnsi="宋体" w:eastAsia="黑体"/>
          <w:b/>
          <w:color w:val="auto"/>
          <w:sz w:val="24"/>
          <w:szCs w:val="24"/>
          <w:lang w:eastAsia="zh-Hans"/>
        </w:rPr>
        <w:t>项目维护要求</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项目保障期间，负责项目建设服务的供应商应建立一套完整的运维管理服务体系。通过运维管理制度以及运行维护技术具备队伍的建设，提高整体运行维护水平，实现运行维护工作的智能化和高效化。</w:t>
      </w:r>
    </w:p>
    <w:p>
      <w:pPr>
        <w:pStyle w:val="98"/>
        <w:keepNext w:val="0"/>
        <w:keepLines w:val="0"/>
        <w:pageBreakBefore w:val="0"/>
        <w:kinsoku/>
        <w:wordWrap/>
        <w:overflowPunct/>
        <w:topLinePunct w:val="0"/>
        <w:bidi w:val="0"/>
        <w:snapToGrid w:val="0"/>
        <w:spacing w:line="360" w:lineRule="auto"/>
        <w:ind w:left="0" w:right="0" w:firstLine="120" w:firstLineChars="50"/>
        <w:rPr>
          <w:rFonts w:hint="eastAsia"/>
          <w:color w:val="auto"/>
          <w:sz w:val="24"/>
          <w:szCs w:val="24"/>
        </w:rPr>
      </w:pPr>
      <w:r>
        <w:rPr>
          <w:color w:val="auto"/>
          <w:sz w:val="24"/>
          <w:szCs w:val="24"/>
        </w:rPr>
        <w:t>1）</w:t>
      </w:r>
      <w:r>
        <w:rPr>
          <w:rFonts w:hint="eastAsia"/>
          <w:color w:val="auto"/>
          <w:sz w:val="24"/>
          <w:szCs w:val="24"/>
        </w:rPr>
        <w:t>质保服务要求</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本项目免费质量保证期从验收合格之日起开始计算，中标单位要提供三年免费质量保证和售后服务。</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投标人须承诺保修期过后以合理价格对平台进行后期维护服务，投标人须说明过保后如何收费。</w:t>
      </w:r>
    </w:p>
    <w:p>
      <w:pPr>
        <w:pStyle w:val="98"/>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color w:val="auto"/>
          <w:sz w:val="24"/>
          <w:szCs w:val="24"/>
        </w:rPr>
        <w:t>2）</w:t>
      </w:r>
      <w:r>
        <w:rPr>
          <w:rFonts w:hint="eastAsia"/>
          <w:color w:val="auto"/>
          <w:sz w:val="24"/>
          <w:szCs w:val="24"/>
        </w:rPr>
        <w:t>运维服务要求</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投标人服务人员应具备相应的通信手段，以保证提供每天24小时、每周7天的7×24小时的连续响应服务。</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 xml:space="preserve">一般问题，在60分钟内给予答复或解决问题；不能答复或解决的则须派具有解决故障能力的工程师在24小时内到达现场配合驻场工程师解决问题，软件方面的重大技术问题在24小时内予以解决。 </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产品升级更新服务：对于系统存在的问题提供系统更新升级服务。</w:t>
      </w:r>
    </w:p>
    <w:p>
      <w:pPr>
        <w:pStyle w:val="98"/>
        <w:keepNext w:val="0"/>
        <w:keepLines w:val="0"/>
        <w:pageBreakBefore w:val="0"/>
        <w:kinsoku/>
        <w:wordWrap/>
        <w:overflowPunct/>
        <w:topLinePunct w:val="0"/>
        <w:bidi w:val="0"/>
        <w:snapToGrid w:val="0"/>
        <w:spacing w:line="360" w:lineRule="auto"/>
        <w:ind w:left="0" w:right="0"/>
        <w:rPr>
          <w:b/>
          <w:bCs/>
          <w:color w:val="auto"/>
          <w:sz w:val="24"/>
          <w:szCs w:val="24"/>
        </w:rPr>
      </w:pPr>
      <w:r>
        <w:rPr>
          <w:rFonts w:hint="eastAsia"/>
          <w:color w:val="auto"/>
          <w:sz w:val="24"/>
          <w:szCs w:val="24"/>
        </w:rPr>
        <w:t>3</w:t>
      </w:r>
      <w:r>
        <w:rPr>
          <w:color w:val="auto"/>
          <w:sz w:val="24"/>
          <w:szCs w:val="24"/>
        </w:rPr>
        <w:t>）</w:t>
      </w:r>
      <w:r>
        <w:rPr>
          <w:rFonts w:hint="eastAsia"/>
          <w:color w:val="auto"/>
          <w:sz w:val="24"/>
          <w:szCs w:val="24"/>
        </w:rPr>
        <w:t>驻场服务要求</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提供3年的驻场服务，主要负责日常运维、涉案账号反制协调、模型调优对接、回访成效指导及其他需要现场配合业务，运维场地由采购人提供，运维期间与其签订保密协议，保证数据安全，否则按无效投标处理。</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驻场人员需在合同签订之日起一周内到采购单位指定地点开展驻场服务工作。</w:t>
      </w:r>
    </w:p>
    <w:p>
      <w:pPr>
        <w:keepNext w:val="0"/>
        <w:keepLines w:val="0"/>
        <w:pageBreakBefore w:val="0"/>
        <w:kinsoku/>
        <w:wordWrap/>
        <w:overflowPunct/>
        <w:topLinePunct w:val="0"/>
        <w:bidi w:val="0"/>
        <w:snapToGrid w:val="0"/>
        <w:spacing w:line="360" w:lineRule="auto"/>
        <w:ind w:left="0" w:right="0" w:firstLine="480" w:firstLineChars="200"/>
        <w:rPr>
          <w:rFonts w:hint="eastAsia"/>
          <w:color w:val="auto"/>
          <w:sz w:val="24"/>
          <w:szCs w:val="24"/>
        </w:rPr>
      </w:pPr>
      <w:r>
        <w:rPr>
          <w:rFonts w:hint="eastAsia"/>
          <w:color w:val="auto"/>
          <w:sz w:val="24"/>
          <w:szCs w:val="24"/>
        </w:rPr>
        <w:t>投标方驻场人员的考核由采购单位负责，驻场人员必须服从采购单位的管理，包括工作时间、工作安排，建立值班备勤制度，在突发情况下能按时限要求及时到现场进行维护处置。驻场人员在服务期间不得兼任其他项目的维护工作。</w:t>
      </w:r>
    </w:p>
    <w:p>
      <w:pPr>
        <w:keepNext w:val="0"/>
        <w:keepLines w:val="0"/>
        <w:pageBreakBefore w:val="0"/>
        <w:kinsoku/>
        <w:wordWrap/>
        <w:overflowPunct/>
        <w:topLinePunct w:val="0"/>
        <w:bidi w:val="0"/>
        <w:snapToGrid w:val="0"/>
        <w:spacing w:line="360" w:lineRule="auto"/>
        <w:ind w:left="0" w:right="0" w:firstLine="480" w:firstLineChars="200"/>
        <w:rPr>
          <w:color w:val="auto"/>
          <w:sz w:val="24"/>
          <w:szCs w:val="24"/>
          <w:lang w:eastAsia="zh-Hans"/>
        </w:rPr>
      </w:pPr>
      <w:r>
        <w:rPr>
          <w:rFonts w:hint="eastAsia"/>
          <w:color w:val="auto"/>
          <w:sz w:val="24"/>
          <w:szCs w:val="24"/>
        </w:rPr>
        <w:t>投标方应对驻场服务人员进行相关技术培训，掌握运维工作所涉及系统的技术特点和关键参数，不断提高驻场服务人员的技术水平，优化服务质量。</w:t>
      </w:r>
    </w:p>
    <w:p>
      <w:pPr>
        <w:keepNext w:val="0"/>
        <w:keepLines w:val="0"/>
        <w:pageBreakBefore w:val="0"/>
        <w:numPr>
          <w:ilvl w:val="0"/>
          <w:numId w:val="30"/>
        </w:numPr>
        <w:kinsoku/>
        <w:wordWrap/>
        <w:overflowPunct/>
        <w:topLinePunct w:val="0"/>
        <w:bidi w:val="0"/>
        <w:spacing w:line="360" w:lineRule="auto"/>
        <w:ind w:left="0" w:right="0"/>
        <w:outlineLvl w:val="1"/>
        <w:rPr>
          <w:color w:val="auto"/>
          <w:sz w:val="24"/>
          <w:szCs w:val="24"/>
          <w:lang w:eastAsia="zh-Hans"/>
        </w:rPr>
      </w:pPr>
      <w:r>
        <w:rPr>
          <w:rFonts w:hint="eastAsia" w:ascii="黑体" w:hAnsi="宋体" w:eastAsia="黑体"/>
          <w:b/>
          <w:color w:val="auto"/>
          <w:sz w:val="24"/>
          <w:szCs w:val="24"/>
          <w:lang w:eastAsia="zh-Hans"/>
        </w:rPr>
        <w:t>培训方案要求</w:t>
      </w:r>
    </w:p>
    <w:p>
      <w:pPr>
        <w:keepNext w:val="0"/>
        <w:keepLines w:val="0"/>
        <w:pageBreakBefore w:val="0"/>
        <w:kinsoku/>
        <w:wordWrap/>
        <w:overflowPunct/>
        <w:topLinePunct w:val="0"/>
        <w:bidi w:val="0"/>
        <w:spacing w:line="360" w:lineRule="auto"/>
        <w:ind w:left="0" w:right="0" w:firstLine="480" w:firstLineChars="200"/>
        <w:rPr>
          <w:color w:val="auto"/>
          <w:sz w:val="24"/>
          <w:szCs w:val="24"/>
        </w:rPr>
      </w:pPr>
      <w:r>
        <w:rPr>
          <w:rFonts w:hint="eastAsia"/>
          <w:color w:val="auto"/>
          <w:sz w:val="24"/>
          <w:szCs w:val="24"/>
        </w:rPr>
        <w:t>先进的平台系统需要一支高素质、专业的队伍来操作、控制和管理。本项目中为相关运维人员、操作人员、平台管理人员等提供了系统化、一体化的培训，帮助其熟练而全面地掌握操作与维护，培训内容涉及到</w:t>
      </w:r>
      <w:r>
        <w:rPr>
          <w:color w:val="auto"/>
          <w:sz w:val="24"/>
          <w:szCs w:val="24"/>
        </w:rPr>
        <w:t>平台</w:t>
      </w:r>
      <w:r>
        <w:rPr>
          <w:rFonts w:hint="eastAsia"/>
          <w:color w:val="auto"/>
          <w:sz w:val="24"/>
          <w:szCs w:val="24"/>
        </w:rPr>
        <w:t>的</w:t>
      </w:r>
      <w:r>
        <w:rPr>
          <w:color w:val="auto"/>
          <w:sz w:val="24"/>
          <w:szCs w:val="24"/>
        </w:rPr>
        <w:t>使用、</w:t>
      </w:r>
      <w:r>
        <w:rPr>
          <w:rFonts w:hint="eastAsia"/>
          <w:color w:val="auto"/>
          <w:sz w:val="24"/>
          <w:szCs w:val="24"/>
        </w:rPr>
        <w:t>日常</w:t>
      </w:r>
      <w:r>
        <w:rPr>
          <w:color w:val="auto"/>
          <w:sz w:val="24"/>
          <w:szCs w:val="24"/>
        </w:rPr>
        <w:t>维护</w:t>
      </w:r>
      <w:r>
        <w:rPr>
          <w:rFonts w:hint="eastAsia"/>
          <w:color w:val="auto"/>
          <w:sz w:val="24"/>
          <w:szCs w:val="24"/>
        </w:rPr>
        <w:t>等知识。通过</w:t>
      </w:r>
      <w:r>
        <w:rPr>
          <w:color w:val="auto"/>
          <w:sz w:val="24"/>
          <w:szCs w:val="24"/>
        </w:rPr>
        <w:t>平台</w:t>
      </w:r>
      <w:r>
        <w:rPr>
          <w:rFonts w:hint="eastAsia"/>
          <w:color w:val="auto"/>
          <w:sz w:val="24"/>
          <w:szCs w:val="24"/>
        </w:rPr>
        <w:t>专业</w:t>
      </w:r>
      <w:r>
        <w:rPr>
          <w:color w:val="auto"/>
          <w:sz w:val="24"/>
          <w:szCs w:val="24"/>
        </w:rPr>
        <w:t>的培训</w:t>
      </w:r>
      <w:r>
        <w:rPr>
          <w:rFonts w:hint="eastAsia"/>
          <w:color w:val="auto"/>
          <w:sz w:val="24"/>
          <w:szCs w:val="24"/>
        </w:rPr>
        <w:t>，使相关技术人员能够独立进行管理、故障处理及日常测试维护等工作，保证整个平台可以健康、稳定的运行。</w:t>
      </w:r>
    </w:p>
    <w:p>
      <w:pPr>
        <w:keepLines w:val="0"/>
        <w:pageBreakBefore w:val="0"/>
        <w:kinsoku/>
        <w:wordWrap/>
        <w:overflowPunct/>
        <w:topLinePunct w:val="0"/>
        <w:bidi w:val="0"/>
        <w:spacing w:line="360" w:lineRule="auto"/>
        <w:ind w:left="0" w:right="0" w:firstLine="480" w:firstLineChars="200"/>
        <w:outlineLvl w:val="1"/>
        <w:rPr>
          <w:rFonts w:ascii="黑体" w:hAnsi="宋体" w:eastAsia="黑体"/>
          <w:b/>
          <w:color w:val="auto"/>
          <w:sz w:val="24"/>
          <w:szCs w:val="24"/>
        </w:rPr>
      </w:pPr>
      <w:r>
        <w:rPr>
          <w:rFonts w:hint="eastAsia" w:ascii="黑体" w:hAnsi="宋体" w:eastAsia="黑体"/>
          <w:b/>
          <w:color w:val="auto"/>
          <w:sz w:val="24"/>
          <w:szCs w:val="24"/>
        </w:rPr>
        <w:t>（</w:t>
      </w:r>
      <w:r>
        <w:rPr>
          <w:rFonts w:hint="eastAsia" w:ascii="黑体" w:eastAsia="黑体"/>
          <w:b/>
          <w:color w:val="auto"/>
          <w:sz w:val="24"/>
          <w:szCs w:val="24"/>
          <w:u w:val="none" w:color="000000"/>
        </w:rPr>
        <w:t>三</w:t>
      </w:r>
      <w:r>
        <w:rPr>
          <w:rFonts w:hint="eastAsia" w:ascii="黑体" w:hAnsi="宋体" w:eastAsia="黑体"/>
          <w:b/>
          <w:color w:val="auto"/>
          <w:sz w:val="24"/>
          <w:szCs w:val="24"/>
        </w:rPr>
        <w:t>）有关</w:t>
      </w:r>
      <w:r>
        <w:rPr>
          <w:rFonts w:hint="eastAsia" w:ascii="黑体" w:eastAsia="黑体"/>
          <w:b/>
          <w:color w:val="auto"/>
          <w:sz w:val="24"/>
          <w:szCs w:val="24"/>
          <w:u w:val="none" w:color="000000"/>
        </w:rPr>
        <w:t>说明</w:t>
      </w:r>
      <w:r>
        <w:rPr>
          <w:rFonts w:hint="eastAsia" w:ascii="黑体" w:hAnsi="宋体" w:eastAsia="黑体"/>
          <w:b/>
          <w:color w:val="auto"/>
          <w:sz w:val="24"/>
          <w:szCs w:val="24"/>
        </w:rPr>
        <w:t>：</w:t>
      </w:r>
    </w:p>
    <w:p>
      <w:pPr>
        <w:keepNext w:val="0"/>
        <w:keepLines w:val="0"/>
        <w:pageBreakBefore w:val="0"/>
        <w:numPr>
          <w:ilvl w:val="1"/>
          <w:numId w:val="31"/>
        </w:numPr>
        <w:tabs>
          <w:tab w:val="left" w:pos="52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bCs/>
          <w:color w:val="auto"/>
          <w:sz w:val="24"/>
          <w:szCs w:val="24"/>
        </w:rPr>
        <w:t>投标总报价包括满足本项目要求的所有产品及其配件、包装、运杂、安装调试及售后服务等从项目中标起到项目正式交付以及质保期内所发生的一切费用。</w:t>
      </w:r>
    </w:p>
    <w:p>
      <w:pPr>
        <w:keepNext w:val="0"/>
        <w:keepLines w:val="0"/>
        <w:pageBreakBefore w:val="0"/>
        <w:numPr>
          <w:ilvl w:val="1"/>
          <w:numId w:val="31"/>
        </w:numPr>
        <w:tabs>
          <w:tab w:val="left" w:pos="52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bCs/>
          <w:color w:val="auto"/>
          <w:sz w:val="24"/>
          <w:szCs w:val="24"/>
        </w:rPr>
        <w:t>通过中国海关报关验放进入中国境内且产自关境外的产品不在本项目的报价范围。</w:t>
      </w:r>
    </w:p>
    <w:p>
      <w:pPr>
        <w:keepNext w:val="0"/>
        <w:keepLines w:val="0"/>
        <w:pageBreakBefore w:val="0"/>
        <w:numPr>
          <w:ilvl w:val="1"/>
          <w:numId w:val="31"/>
        </w:numPr>
        <w:tabs>
          <w:tab w:val="left" w:pos="52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bCs/>
          <w:color w:val="auto"/>
          <w:sz w:val="24"/>
          <w:szCs w:val="24"/>
        </w:rPr>
        <w:t>本项目中有信息安全产品的，必须选择经国家认证的信息安全产品，并提供由中国信息安全认证中心（中国网络安全审查技术与认证中心）颁发的有效认证证书复印件。</w:t>
      </w:r>
    </w:p>
    <w:p>
      <w:pPr>
        <w:keepNext w:val="0"/>
        <w:keepLines w:val="0"/>
        <w:pageBreakBefore w:val="0"/>
        <w:numPr>
          <w:ilvl w:val="1"/>
          <w:numId w:val="31"/>
        </w:numPr>
        <w:tabs>
          <w:tab w:val="left" w:pos="52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cs="宋体"/>
          <w:color w:val="auto"/>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keepNext w:val="0"/>
        <w:keepLines w:val="0"/>
        <w:pageBreakBefore w:val="0"/>
        <w:numPr>
          <w:ilvl w:val="1"/>
          <w:numId w:val="31"/>
        </w:numPr>
        <w:tabs>
          <w:tab w:val="left" w:pos="52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hAnsi="宋体"/>
          <w:bCs/>
          <w:color w:val="auto"/>
          <w:sz w:val="24"/>
          <w:szCs w:val="24"/>
        </w:rPr>
      </w:pPr>
      <w:r>
        <w:rPr>
          <w:rFonts w:hint="eastAsia" w:ascii="宋体" w:hAnsi="宋体"/>
          <w:bCs/>
          <w:color w:val="auto"/>
          <w:sz w:val="24"/>
          <w:szCs w:val="24"/>
        </w:rPr>
        <w:t>投标人必须在满足招标文件要求的基础上进行报价，如有技术偏离请于投标偏离表中说明。</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hAnsi="宋体"/>
          <w:bCs/>
          <w:color w:val="auto"/>
          <w:sz w:val="24"/>
          <w:szCs w:val="24"/>
        </w:rPr>
      </w:pPr>
      <w:r>
        <w:rPr>
          <w:rFonts w:hint="eastAsia" w:ascii="宋体" w:hAnsi="宋体"/>
          <w:bCs/>
          <w:color w:val="auto"/>
          <w:sz w:val="24"/>
          <w:szCs w:val="24"/>
        </w:rPr>
        <w:t>完工期：合同签订生效后为</w:t>
      </w:r>
      <w:r>
        <w:rPr>
          <w:rFonts w:ascii="宋体" w:hAnsi="宋体"/>
          <w:bCs/>
          <w:color w:val="auto"/>
          <w:sz w:val="24"/>
          <w:szCs w:val="24"/>
        </w:rPr>
        <w:t>3</w:t>
      </w:r>
      <w:r>
        <w:rPr>
          <w:rFonts w:hint="eastAsia" w:ascii="宋体" w:hAnsi="宋体"/>
          <w:bCs/>
          <w:color w:val="auto"/>
          <w:sz w:val="24"/>
          <w:szCs w:val="24"/>
        </w:rPr>
        <w:t>个月安装调试完毕</w:t>
      </w:r>
      <w:r>
        <w:rPr>
          <w:rFonts w:ascii="宋体" w:hAnsi="宋体"/>
          <w:bCs/>
          <w:color w:val="auto"/>
          <w:sz w:val="24"/>
          <w:szCs w:val="24"/>
          <w:lang w:eastAsia="zh-Hans"/>
        </w:rPr>
        <w:t>。</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hAnsi="宋体"/>
          <w:bCs/>
          <w:color w:val="auto"/>
          <w:sz w:val="24"/>
          <w:szCs w:val="24"/>
        </w:rPr>
      </w:pPr>
      <w:r>
        <w:rPr>
          <w:rFonts w:hint="eastAsia" w:ascii="宋体" w:hAnsi="宋体"/>
          <w:bCs/>
          <w:color w:val="auto"/>
          <w:sz w:val="24"/>
          <w:szCs w:val="24"/>
        </w:rPr>
        <w:t>项目整体质保期及服务期：</w:t>
      </w:r>
      <w:r>
        <w:rPr>
          <w:rFonts w:hint="eastAsia" w:ascii="宋体" w:hAnsi="宋体"/>
          <w:bCs/>
          <w:color w:val="auto"/>
          <w:sz w:val="24"/>
          <w:szCs w:val="24"/>
          <w:lang w:eastAsia="zh-Hans"/>
        </w:rPr>
        <w:t>软件系统质保期</w:t>
      </w:r>
      <w:r>
        <w:rPr>
          <w:rFonts w:ascii="宋体" w:hAnsi="宋体"/>
          <w:bCs/>
          <w:color w:val="auto"/>
          <w:sz w:val="24"/>
          <w:szCs w:val="24"/>
          <w:lang w:eastAsia="zh-Hans"/>
        </w:rPr>
        <w:t>3</w:t>
      </w:r>
      <w:r>
        <w:rPr>
          <w:rFonts w:hint="eastAsia" w:ascii="宋体" w:hAnsi="宋体"/>
          <w:bCs/>
          <w:color w:val="auto"/>
          <w:sz w:val="24"/>
          <w:szCs w:val="24"/>
          <w:lang w:eastAsia="zh-Hans"/>
        </w:rPr>
        <w:t>年</w:t>
      </w:r>
      <w:r>
        <w:rPr>
          <w:rFonts w:ascii="宋体" w:hAnsi="宋体"/>
          <w:bCs/>
          <w:color w:val="auto"/>
          <w:sz w:val="24"/>
          <w:szCs w:val="24"/>
          <w:lang w:eastAsia="zh-Hans"/>
        </w:rPr>
        <w:t>；</w:t>
      </w:r>
      <w:r>
        <w:rPr>
          <w:rFonts w:hint="eastAsia" w:ascii="宋体" w:hAnsi="宋体"/>
          <w:bCs/>
          <w:color w:val="auto"/>
          <w:sz w:val="24"/>
          <w:szCs w:val="24"/>
          <w:lang w:eastAsia="zh-Hans"/>
        </w:rPr>
        <w:t>项目</w:t>
      </w:r>
      <w:r>
        <w:rPr>
          <w:rFonts w:hint="eastAsia" w:ascii="宋体" w:hAnsi="宋体"/>
          <w:bCs/>
          <w:color w:val="auto"/>
          <w:sz w:val="24"/>
          <w:szCs w:val="24"/>
        </w:rPr>
        <w:t>服务期</w:t>
      </w:r>
      <w:r>
        <w:rPr>
          <w:rFonts w:ascii="宋体" w:hAnsi="宋体"/>
          <w:bCs/>
          <w:color w:val="auto"/>
          <w:sz w:val="24"/>
          <w:szCs w:val="24"/>
        </w:rPr>
        <w:t>3</w:t>
      </w:r>
      <w:r>
        <w:rPr>
          <w:rFonts w:hint="eastAsia" w:ascii="宋体" w:hAnsi="宋体"/>
          <w:bCs/>
          <w:color w:val="auto"/>
          <w:sz w:val="24"/>
          <w:szCs w:val="24"/>
        </w:rPr>
        <w:t>年</w:t>
      </w:r>
      <w:r>
        <w:rPr>
          <w:rFonts w:ascii="宋体" w:hAnsi="宋体"/>
          <w:bCs/>
          <w:color w:val="auto"/>
          <w:sz w:val="24"/>
          <w:szCs w:val="24"/>
          <w:lang w:eastAsia="zh-Hans"/>
        </w:rPr>
        <w:t>，</w:t>
      </w:r>
      <w:r>
        <w:rPr>
          <w:rFonts w:hint="eastAsia" w:ascii="宋体" w:hAnsi="宋体"/>
          <w:bCs/>
          <w:color w:val="auto"/>
          <w:sz w:val="24"/>
          <w:szCs w:val="24"/>
        </w:rPr>
        <w:t>服务期自验收通过之日计算。</w:t>
      </w:r>
    </w:p>
    <w:p>
      <w:pPr>
        <w:pStyle w:val="27"/>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textAlignment w:val="auto"/>
        <w:rPr>
          <w:rFonts w:cs="Times New Roman"/>
          <w:bCs/>
          <w:color w:val="auto"/>
          <w:kern w:val="2"/>
        </w:rPr>
      </w:pPr>
      <w:r>
        <w:rPr>
          <w:rFonts w:hint="eastAsia" w:cs="Times New Roman"/>
          <w:bCs/>
          <w:color w:val="auto"/>
        </w:rPr>
        <w:t>付款方式：</w:t>
      </w:r>
      <w:r>
        <w:rPr>
          <w:rFonts w:hint="eastAsia" w:cs="Times New Roman"/>
          <w:bCs/>
          <w:color w:val="auto"/>
          <w:kern w:val="2"/>
        </w:rPr>
        <w:t>合同签订之日起15日内支付合同总金额的25%；项目验收合格后15日内支付合同总金额的25%；第一年服务期满且通过</w:t>
      </w:r>
      <w:r>
        <w:rPr>
          <w:rFonts w:hint="eastAsia" w:cs="Times New Roman"/>
          <w:bCs/>
          <w:color w:val="auto"/>
          <w:kern w:val="2"/>
          <w:lang w:eastAsia="zh-Hans"/>
        </w:rPr>
        <w:t>考核</w:t>
      </w:r>
      <w:r>
        <w:rPr>
          <w:rFonts w:hint="eastAsia" w:cs="Times New Roman"/>
          <w:bCs/>
          <w:color w:val="auto"/>
          <w:kern w:val="2"/>
        </w:rPr>
        <w:t>后15日内支付合同总金额的25%；第二年服务期满且通过</w:t>
      </w:r>
      <w:r>
        <w:rPr>
          <w:rFonts w:hint="eastAsia" w:cs="Times New Roman"/>
          <w:bCs/>
          <w:color w:val="auto"/>
          <w:kern w:val="2"/>
          <w:lang w:eastAsia="zh-Hans"/>
        </w:rPr>
        <w:t>考核</w:t>
      </w:r>
      <w:r>
        <w:rPr>
          <w:rFonts w:hint="eastAsia" w:cs="Times New Roman"/>
          <w:bCs/>
          <w:color w:val="auto"/>
          <w:kern w:val="2"/>
        </w:rPr>
        <w:t>后15日内支付合同总金额的20%。第三年服务期满且通过</w:t>
      </w:r>
      <w:r>
        <w:rPr>
          <w:rFonts w:hint="eastAsia" w:cs="Times New Roman"/>
          <w:bCs/>
          <w:color w:val="auto"/>
          <w:kern w:val="2"/>
          <w:lang w:eastAsia="zh-Hans"/>
        </w:rPr>
        <w:t>考核</w:t>
      </w:r>
      <w:r>
        <w:rPr>
          <w:rFonts w:hint="eastAsia" w:cs="Times New Roman"/>
          <w:bCs/>
          <w:color w:val="auto"/>
          <w:kern w:val="2"/>
        </w:rPr>
        <w:t>后15日内支付合同总金额的5%。</w:t>
      </w:r>
      <w:r>
        <w:rPr>
          <w:rFonts w:hint="eastAsia" w:cs="Times New Roman"/>
          <w:bCs/>
          <w:color w:val="auto"/>
          <w:kern w:val="2"/>
          <w:lang w:eastAsia="zh-Hans"/>
        </w:rPr>
        <w:t>具体考核办法由相关部门依据招标要求另行制定</w:t>
      </w:r>
      <w:r>
        <w:rPr>
          <w:rFonts w:cs="Times New Roman"/>
          <w:bCs/>
          <w:color w:val="auto"/>
          <w:kern w:val="2"/>
          <w:lang w:eastAsia="zh-Hans"/>
        </w:rPr>
        <w:t>。</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ascii="宋体" w:hAnsi="宋体"/>
          <w:bCs/>
          <w:color w:val="auto"/>
          <w:sz w:val="24"/>
          <w:szCs w:val="24"/>
        </w:rPr>
      </w:pPr>
      <w:r>
        <w:rPr>
          <w:rFonts w:hint="eastAsia" w:ascii="宋体" w:hAnsi="宋体"/>
          <w:bCs/>
          <w:color w:val="auto"/>
          <w:sz w:val="24"/>
          <w:szCs w:val="24"/>
        </w:rPr>
        <w:t>本项目合同履行地点：无锡市。具体地点以合同书约定为准。成交方必须按采购人要求将本项目中货物送到指定地点(包括可能的分布范围)，并分地实施安装调试。</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bCs/>
          <w:color w:val="auto"/>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bCs/>
          <w:color w:val="auto"/>
          <w:sz w:val="24"/>
          <w:szCs w:val="24"/>
        </w:rPr>
      </w:pPr>
      <w:r>
        <w:rPr>
          <w:rFonts w:hint="eastAsia" w:ascii="宋体" w:hAnsi="宋体"/>
          <w:bCs/>
          <w:color w:val="auto"/>
          <w:sz w:val="24"/>
        </w:rPr>
        <w:t>根据国家扶持中小企业的有关政策，在我中心组织的采购项目中标的供应商，如需要政府采购合同融资，请按锡财购【2020】17号文件执行。</w:t>
      </w:r>
    </w:p>
    <w:p>
      <w:pPr>
        <w:keepNext w:val="0"/>
        <w:keepLines w:val="0"/>
        <w:pageBreakBefore w:val="0"/>
        <w:tabs>
          <w:tab w:val="left" w:pos="525"/>
          <w:tab w:val="left" w:pos="630"/>
          <w:tab w:val="left" w:pos="735"/>
          <w:tab w:val="left" w:pos="945"/>
          <w:tab w:val="left" w:pos="1080"/>
        </w:tabs>
        <w:kinsoku/>
        <w:wordWrap/>
        <w:overflowPunct/>
        <w:topLinePunct w:val="0"/>
        <w:autoSpaceDE/>
        <w:autoSpaceDN/>
        <w:bidi w:val="0"/>
        <w:adjustRightInd/>
        <w:snapToGrid/>
        <w:spacing w:line="360" w:lineRule="auto"/>
        <w:ind w:left="0" w:right="0" w:firstLine="480" w:firstLineChars="200"/>
        <w:textAlignment w:val="auto"/>
        <w:rPr>
          <w:rFonts w:hint="eastAsia" w:ascii="宋体"/>
          <w:bCs/>
          <w:color w:val="auto"/>
          <w:sz w:val="24"/>
          <w:szCs w:val="24"/>
        </w:rPr>
      </w:pPr>
      <w:r>
        <w:rPr>
          <w:rFonts w:hint="eastAsia" w:ascii="宋体"/>
          <w:bCs/>
          <w:color w:val="auto"/>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tabs>
          <w:tab w:val="left" w:pos="525"/>
          <w:tab w:val="left" w:pos="630"/>
          <w:tab w:val="left" w:pos="735"/>
          <w:tab w:val="left" w:pos="945"/>
          <w:tab w:val="left" w:pos="1080"/>
        </w:tabs>
        <w:kinsoku/>
        <w:wordWrap/>
        <w:overflowPunct/>
        <w:topLinePunct w:val="0"/>
        <w:autoSpaceDE/>
        <w:autoSpaceDN/>
        <w:bidi w:val="0"/>
        <w:adjustRightInd/>
        <w:snapToGrid/>
        <w:spacing w:line="360" w:lineRule="auto"/>
        <w:ind w:left="0" w:right="0" w:firstLine="480" w:firstLineChars="200"/>
        <w:textAlignment w:val="auto"/>
        <w:rPr>
          <w:rFonts w:ascii="宋体"/>
          <w:bCs/>
          <w:color w:val="auto"/>
          <w:sz w:val="24"/>
          <w:szCs w:val="24"/>
        </w:rPr>
      </w:pPr>
      <w:r>
        <w:rPr>
          <w:rFonts w:hint="eastAsia" w:ascii="宋体"/>
          <w:bCs/>
          <w:color w:val="auto"/>
          <w:sz w:val="24"/>
          <w:szCs w:val="24"/>
        </w:rPr>
        <w:t>中标、成交供应商可根据自身情况，自行决定是否选择采用合同融资形式，在无锡政府采购网——政采贷专栏提供的银行名录内自主选择合作银行。</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bCs/>
          <w:color w:val="auto"/>
          <w:sz w:val="24"/>
          <w:szCs w:val="24"/>
        </w:rPr>
      </w:pPr>
      <w:r>
        <w:rPr>
          <w:rFonts w:hint="eastAsia" w:ascii="宋体"/>
          <w:bCs/>
          <w:color w:val="auto"/>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keepNext w:val="0"/>
        <w:keepLines w:val="0"/>
        <w:pageBreakBefore w:val="0"/>
        <w:tabs>
          <w:tab w:val="left" w:pos="525"/>
          <w:tab w:val="left" w:pos="630"/>
          <w:tab w:val="left" w:pos="735"/>
          <w:tab w:val="left" w:pos="945"/>
          <w:tab w:val="left" w:pos="1080"/>
        </w:tabs>
        <w:kinsoku/>
        <w:wordWrap/>
        <w:overflowPunct/>
        <w:topLinePunct w:val="0"/>
        <w:autoSpaceDE/>
        <w:autoSpaceDN/>
        <w:bidi w:val="0"/>
        <w:adjustRightInd/>
        <w:snapToGrid/>
        <w:spacing w:line="360" w:lineRule="auto"/>
        <w:ind w:left="0" w:right="0" w:firstLine="480" w:firstLineChars="200"/>
        <w:textAlignment w:val="auto"/>
        <w:rPr>
          <w:rFonts w:hint="eastAsia" w:ascii="宋体"/>
          <w:bCs/>
          <w:color w:val="auto"/>
          <w:sz w:val="24"/>
          <w:szCs w:val="24"/>
        </w:rPr>
      </w:pPr>
      <w:r>
        <w:rPr>
          <w:rFonts w:hint="eastAsia" w:ascii="宋体"/>
          <w:bCs/>
          <w:color w:val="auto"/>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bCs/>
          <w:color w:val="auto"/>
          <w:sz w:val="24"/>
          <w:szCs w:val="24"/>
        </w:rPr>
      </w:pPr>
      <w:r>
        <w:rPr>
          <w:rFonts w:hint="eastAsia" w:ascii="宋体" w:hAnsi="宋体"/>
          <w:bCs/>
          <w:color w:val="auto"/>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hint="eastAsia" w:ascii="宋体"/>
          <w:bCs/>
          <w:color w:val="auto"/>
          <w:sz w:val="24"/>
          <w:szCs w:val="24"/>
        </w:rPr>
      </w:pPr>
      <w:r>
        <w:rPr>
          <w:rFonts w:hint="eastAsia" w:ascii="宋体"/>
          <w:bCs/>
          <w:color w:val="auto"/>
          <w:sz w:val="24"/>
          <w:szCs w:val="24"/>
        </w:rPr>
        <w:t>依据《政府采购促进中小企业发展管理办法》规定享受扶持政策获得政府采购合同的，小微企业不得将合同分包给大中型企业，中型企业不得将合同分包给大型企业。</w:t>
      </w:r>
    </w:p>
    <w:p>
      <w:pPr>
        <w:keepNext w:val="0"/>
        <w:keepLines w:val="0"/>
        <w:pageBreakBefore w:val="0"/>
        <w:numPr>
          <w:ilvl w:val="1"/>
          <w:numId w:val="31"/>
        </w:numPr>
        <w:tabs>
          <w:tab w:val="left" w:pos="525"/>
          <w:tab w:val="left" w:pos="630"/>
          <w:tab w:val="left" w:pos="735"/>
          <w:tab w:val="left" w:pos="945"/>
        </w:tabs>
        <w:kinsoku/>
        <w:wordWrap/>
        <w:overflowPunct/>
        <w:topLinePunct w:val="0"/>
        <w:autoSpaceDE/>
        <w:autoSpaceDN/>
        <w:bidi w:val="0"/>
        <w:adjustRightInd/>
        <w:snapToGrid/>
        <w:spacing w:line="360" w:lineRule="auto"/>
        <w:ind w:left="0" w:right="0" w:firstLine="525"/>
        <w:textAlignment w:val="auto"/>
        <w:rPr>
          <w:rFonts w:ascii="宋体"/>
          <w:bCs/>
          <w:color w:val="auto"/>
          <w:sz w:val="24"/>
          <w:szCs w:val="24"/>
        </w:rPr>
      </w:pPr>
      <w:r>
        <w:rPr>
          <w:rFonts w:hint="eastAsia" w:ascii="宋体" w:hAnsi="宋体"/>
          <w:bCs/>
          <w:color w:val="auto"/>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pStyle w:val="126"/>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黑体" w:eastAsia="黑体"/>
          <w:bCs/>
          <w:color w:val="auto"/>
          <w:sz w:val="28"/>
          <w:szCs w:val="28"/>
          <w:lang w:eastAsia="zh-CN"/>
        </w:rPr>
      </w:pPr>
    </w:p>
    <w:p>
      <w:pPr>
        <w:pStyle w:val="126"/>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黑体" w:eastAsia="黑体"/>
          <w:bCs/>
          <w:color w:val="auto"/>
          <w:sz w:val="28"/>
          <w:szCs w:val="28"/>
          <w:lang w:eastAsia="zh-CN"/>
        </w:rPr>
      </w:pPr>
    </w:p>
    <w:p>
      <w:pPr>
        <w:pStyle w:val="126"/>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黑体" w:eastAsia="黑体"/>
          <w:bCs/>
          <w:color w:val="auto"/>
          <w:sz w:val="28"/>
          <w:szCs w:val="28"/>
          <w:lang w:eastAsia="zh-CN"/>
        </w:rPr>
      </w:pPr>
    </w:p>
    <w:p>
      <w:pPr>
        <w:pStyle w:val="126"/>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pStyle w:val="126"/>
        <w:rPr>
          <w:rFonts w:hint="eastAsia" w:ascii="黑体" w:eastAsia="黑体"/>
          <w:bCs/>
          <w:color w:val="auto"/>
          <w:sz w:val="28"/>
          <w:szCs w:val="28"/>
          <w:lang w:eastAsia="zh-CN"/>
        </w:rPr>
      </w:pPr>
    </w:p>
    <w:p>
      <w:pPr>
        <w:spacing w:line="360" w:lineRule="auto"/>
        <w:jc w:val="center"/>
        <w:outlineLvl w:val="0"/>
        <w:rPr>
          <w:rFonts w:hint="eastAsia" w:ascii="黑体" w:hAnsi="宋体" w:eastAsia="黑体"/>
          <w:b/>
          <w:color w:val="auto"/>
          <w:sz w:val="28"/>
          <w:szCs w:val="28"/>
        </w:rPr>
      </w:pPr>
      <w:bookmarkStart w:id="1" w:name="五．合同条款"/>
      <w:bookmarkEnd w:id="1"/>
      <w:r>
        <w:rPr>
          <w:rFonts w:hint="eastAsia" w:ascii="黑体" w:eastAsia="黑体"/>
          <w:bCs/>
          <w:color w:val="auto"/>
          <w:sz w:val="28"/>
          <w:szCs w:val="28"/>
        </w:rPr>
        <w:t>四．</w:t>
      </w:r>
      <w:r>
        <w:rPr>
          <w:rFonts w:hint="eastAsia" w:ascii="黑体" w:eastAsia="黑体"/>
          <w:bCs/>
          <w:color w:val="auto"/>
          <w:sz w:val="30"/>
          <w:szCs w:val="30"/>
        </w:rPr>
        <w:t>合同书</w:t>
      </w:r>
      <w:r>
        <w:rPr>
          <w:rFonts w:hint="eastAsia" w:ascii="黑体" w:eastAsia="黑体"/>
          <w:bCs/>
          <w:color w:val="auto"/>
          <w:sz w:val="28"/>
          <w:szCs w:val="28"/>
        </w:rPr>
        <w:t>（格式文本）</w:t>
      </w:r>
    </w:p>
    <w:p>
      <w:pPr>
        <w:spacing w:line="360" w:lineRule="auto"/>
        <w:ind w:firstLine="560" w:firstLineChars="200"/>
        <w:jc w:val="center"/>
        <w:rPr>
          <w:rFonts w:ascii="黑体" w:hAnsi="宋体" w:eastAsia="黑体"/>
          <w:b/>
          <w:color w:val="auto"/>
          <w:sz w:val="28"/>
          <w:szCs w:val="28"/>
        </w:rPr>
      </w:pPr>
      <w:r>
        <w:rPr>
          <w:rFonts w:hint="eastAsia" w:ascii="黑体" w:hAnsi="宋体" w:eastAsia="黑体"/>
          <w:b/>
          <w:color w:val="auto"/>
          <w:sz w:val="28"/>
          <w:szCs w:val="28"/>
        </w:rPr>
        <w:t>合同书（服务）格式条款</w:t>
      </w:r>
    </w:p>
    <w:p>
      <w:pPr>
        <w:snapToGrid w:val="0"/>
        <w:spacing w:line="288" w:lineRule="auto"/>
        <w:ind w:firstLine="480" w:firstLineChars="200"/>
        <w:rPr>
          <w:rFonts w:ascii="黑体" w:eastAsia="黑体"/>
          <w:b/>
          <w:color w:val="auto"/>
          <w:sz w:val="28"/>
          <w:szCs w:val="28"/>
        </w:rPr>
      </w:pPr>
      <w:r>
        <w:rPr>
          <w:rFonts w:hint="eastAsia" w:ascii="宋体" w:hAnsi="宋体"/>
          <w:b/>
          <w:color w:val="auto"/>
          <w:sz w:val="24"/>
          <w:szCs w:val="24"/>
        </w:rPr>
        <w:t>根据《中华人民共和国政府采购法》及相关法规、《中华人民共和国民法典》，遵循平等、自愿、公平和诚实信用的原则，甲乙双方就项目（项目编号：</w:t>
      </w:r>
      <w:r>
        <w:rPr>
          <w:rFonts w:hint="eastAsia" w:ascii="宋体" w:hAnsi="宋体"/>
          <w:b/>
          <w:color w:val="auto"/>
          <w:sz w:val="24"/>
          <w:szCs w:val="24"/>
          <w:u w:val="single"/>
        </w:rPr>
        <w:t xml:space="preserve">        </w:t>
      </w:r>
      <w:r>
        <w:rPr>
          <w:rFonts w:hint="eastAsia" w:ascii="宋体" w:hAnsi="宋体"/>
          <w:b/>
          <w:color w:val="auto"/>
          <w:sz w:val="24"/>
          <w:szCs w:val="24"/>
        </w:rPr>
        <w:t xml:space="preserve"> ）实施及有关事项协商一致，共同达成如下协议：</w:t>
      </w:r>
    </w:p>
    <w:p>
      <w:pPr>
        <w:snapToGrid w:val="0"/>
        <w:spacing w:line="288" w:lineRule="auto"/>
        <w:rPr>
          <w:rFonts w:ascii="宋体"/>
          <w:bCs/>
          <w:color w:val="auto"/>
          <w:sz w:val="24"/>
          <w:szCs w:val="24"/>
          <w:u w:val="single"/>
        </w:rPr>
      </w:pPr>
      <w:r>
        <w:rPr>
          <w:rFonts w:hint="eastAsia" w:ascii="宋体" w:hAnsi="宋体"/>
          <w:bCs/>
          <w:color w:val="auto"/>
          <w:sz w:val="24"/>
          <w:szCs w:val="24"/>
        </w:rPr>
        <w:t>需方（采购人）：</w:t>
      </w:r>
    </w:p>
    <w:p>
      <w:pPr>
        <w:snapToGrid w:val="0"/>
        <w:spacing w:line="288" w:lineRule="auto"/>
        <w:rPr>
          <w:rFonts w:ascii="宋体" w:hAnsi="宋体"/>
          <w:bCs/>
          <w:color w:val="auto"/>
          <w:sz w:val="24"/>
          <w:szCs w:val="24"/>
        </w:rPr>
      </w:pPr>
      <w:r>
        <w:rPr>
          <w:rFonts w:hint="eastAsia" w:ascii="宋体" w:hAnsi="宋体"/>
          <w:bCs/>
          <w:color w:val="auto"/>
          <w:sz w:val="24"/>
          <w:szCs w:val="24"/>
        </w:rPr>
        <w:t>供方（中标方）：</w:t>
      </w:r>
    </w:p>
    <w:p>
      <w:pPr>
        <w:snapToGrid w:val="0"/>
        <w:spacing w:line="288" w:lineRule="auto"/>
        <w:ind w:firstLine="480" w:firstLineChars="200"/>
        <w:rPr>
          <w:rFonts w:ascii="宋体"/>
          <w:bCs/>
          <w:color w:val="auto"/>
          <w:sz w:val="24"/>
          <w:szCs w:val="24"/>
          <w:u w:val="single"/>
        </w:rPr>
      </w:pPr>
      <w:r>
        <w:rPr>
          <w:rFonts w:hint="eastAsia" w:ascii="宋体" w:hAnsi="宋体"/>
          <w:bCs/>
          <w:color w:val="auto"/>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二、采购项目名称：</w:t>
      </w:r>
    </w:p>
    <w:p>
      <w:pPr>
        <w:tabs>
          <w:tab w:val="left" w:pos="210"/>
          <w:tab w:val="left" w:pos="840"/>
          <w:tab w:val="left" w:pos="1260"/>
        </w:tabs>
        <w:snapToGrid w:val="0"/>
        <w:spacing w:line="288" w:lineRule="auto"/>
        <w:ind w:left="420" w:leftChars="200"/>
        <w:rPr>
          <w:rFonts w:ascii="宋体"/>
          <w:bCs/>
          <w:color w:val="auto"/>
          <w:sz w:val="24"/>
          <w:szCs w:val="24"/>
        </w:rPr>
      </w:pPr>
      <w:r>
        <w:rPr>
          <w:rFonts w:hint="eastAsia" w:ascii="宋体" w:hAnsi="宋体"/>
          <w:bCs/>
          <w:color w:val="auto"/>
          <w:sz w:val="24"/>
          <w:szCs w:val="24"/>
        </w:rPr>
        <w:t>三、中标（成交）金额：</w:t>
      </w:r>
      <w:r>
        <w:rPr>
          <w:rFonts w:hint="eastAsia" w:ascii="宋体" w:hAnsi="宋体"/>
          <w:bCs/>
          <w:color w:val="auto"/>
          <w:sz w:val="24"/>
          <w:szCs w:val="24"/>
          <w:u w:val="single"/>
        </w:rPr>
        <w:t xml:space="preserve">                       </w:t>
      </w:r>
      <w:r>
        <w:rPr>
          <w:rFonts w:hint="eastAsia" w:ascii="宋体" w:hAnsi="宋体"/>
          <w:bCs/>
          <w:color w:val="auto"/>
          <w:sz w:val="24"/>
          <w:szCs w:val="24"/>
        </w:rPr>
        <w:t>（大写）；</w:t>
      </w:r>
      <w:r>
        <w:rPr>
          <w:rFonts w:hint="eastAsia" w:ascii="宋体" w:hAnsi="宋体"/>
          <w:bCs/>
          <w:color w:val="auto"/>
          <w:sz w:val="24"/>
          <w:szCs w:val="24"/>
          <w:u w:val="single"/>
        </w:rPr>
        <w:t xml:space="preserve">                  </w:t>
      </w:r>
      <w:r>
        <w:rPr>
          <w:rFonts w:hint="eastAsia" w:ascii="宋体" w:hAnsi="宋体"/>
          <w:bCs/>
          <w:color w:val="auto"/>
          <w:sz w:val="24"/>
          <w:szCs w:val="24"/>
        </w:rPr>
        <w:t>（小写）；</w:t>
      </w:r>
    </w:p>
    <w:p>
      <w:pPr>
        <w:tabs>
          <w:tab w:val="left" w:pos="210"/>
          <w:tab w:val="left" w:pos="450"/>
          <w:tab w:val="left" w:pos="840"/>
          <w:tab w:val="left" w:pos="1260"/>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七、合同书不可分割部分：</w:t>
      </w:r>
    </w:p>
    <w:p>
      <w:pPr>
        <w:tabs>
          <w:tab w:val="left" w:pos="210"/>
          <w:tab w:val="left" w:pos="420"/>
          <w:tab w:val="left" w:pos="1155"/>
        </w:tabs>
        <w:snapToGrid w:val="0"/>
        <w:spacing w:line="288" w:lineRule="auto"/>
        <w:ind w:firstLine="480" w:firstLineChars="200"/>
        <w:rPr>
          <w:rFonts w:ascii="宋体"/>
          <w:bCs/>
          <w:color w:val="auto"/>
          <w:sz w:val="24"/>
          <w:szCs w:val="24"/>
        </w:rPr>
      </w:pPr>
      <w:r>
        <w:rPr>
          <w:rFonts w:hint="eastAsia" w:ascii="宋体" w:hAnsi="宋体"/>
          <w:bCs/>
          <w:color w:val="auto"/>
          <w:sz w:val="24"/>
          <w:szCs w:val="24"/>
        </w:rPr>
        <w:t>招标（采购）文件、投标（报价）文件、合同条款及中标</w:t>
      </w:r>
      <w:r>
        <w:rPr>
          <w:rFonts w:hint="eastAsia" w:ascii="宋体" w:hAnsi="宋体"/>
          <w:color w:val="auto"/>
          <w:sz w:val="24"/>
          <w:szCs w:val="24"/>
        </w:rPr>
        <w:t>（成交）</w:t>
      </w:r>
      <w:r>
        <w:rPr>
          <w:rFonts w:hint="eastAsia" w:ascii="宋体" w:hAnsi="宋体"/>
          <w:bCs/>
          <w:color w:val="auto"/>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auto"/>
          <w:sz w:val="24"/>
          <w:szCs w:val="24"/>
        </w:rPr>
      </w:pPr>
      <w:r>
        <w:rPr>
          <w:rFonts w:hint="eastAsia" w:ascii="宋体" w:hAnsi="宋体"/>
          <w:color w:val="auto"/>
          <w:sz w:val="24"/>
          <w:szCs w:val="24"/>
        </w:rPr>
        <w:t>八、合同书组成：</w:t>
      </w:r>
    </w:p>
    <w:p>
      <w:pPr>
        <w:tabs>
          <w:tab w:val="left" w:pos="210"/>
          <w:tab w:val="left" w:pos="735"/>
          <w:tab w:val="left" w:pos="1155"/>
        </w:tabs>
        <w:snapToGrid w:val="0"/>
        <w:spacing w:line="288" w:lineRule="auto"/>
        <w:ind w:firstLine="480" w:firstLineChars="200"/>
        <w:rPr>
          <w:rFonts w:ascii="宋体" w:hAnsi="宋体"/>
          <w:bCs/>
          <w:color w:val="auto"/>
          <w:sz w:val="24"/>
          <w:szCs w:val="24"/>
        </w:rPr>
      </w:pPr>
      <w:r>
        <w:rPr>
          <w:rFonts w:hint="eastAsia" w:ascii="宋体" w:hAnsi="宋体"/>
          <w:color w:val="auto"/>
          <w:sz w:val="24"/>
          <w:szCs w:val="24"/>
        </w:rPr>
        <w:t>合同书由格式条款</w:t>
      </w:r>
      <w:r>
        <w:rPr>
          <w:rFonts w:hint="eastAsia" w:ascii="宋体" w:hAnsi="宋体"/>
          <w:bCs/>
          <w:color w:val="auto"/>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如有）要求，价款或报酬、付款进度安排、</w:t>
      </w:r>
      <w:r>
        <w:rPr>
          <w:rFonts w:ascii="宋体" w:hAnsi="宋体" w:cs="宋体"/>
          <w:color w:val="auto"/>
          <w:sz w:val="24"/>
          <w:szCs w:val="24"/>
        </w:rPr>
        <w:t>与履约验收挂钩的资金支付条件及时间</w:t>
      </w:r>
      <w:r>
        <w:rPr>
          <w:rFonts w:hint="eastAsia" w:ascii="宋体" w:hAnsi="宋体"/>
          <w:bCs/>
          <w:color w:val="auto"/>
          <w:sz w:val="24"/>
          <w:szCs w:val="24"/>
        </w:rPr>
        <w:t>，验收、交付标准和方法，质量保修范围和保修期，违约责任与解决争议的方法，甲乙双方权利与义务，合同分包要求，</w:t>
      </w:r>
      <w:r>
        <w:rPr>
          <w:rFonts w:hint="eastAsia" w:ascii="宋体" w:hAnsi="宋体"/>
          <w:color w:val="auto"/>
          <w:sz w:val="24"/>
          <w:szCs w:val="24"/>
        </w:rPr>
        <w:t>合同类型</w:t>
      </w:r>
      <w:r>
        <w:rPr>
          <w:rFonts w:hint="eastAsia" w:ascii="宋体" w:hAnsi="宋体"/>
          <w:bCs/>
          <w:color w:val="auto"/>
          <w:sz w:val="24"/>
          <w:szCs w:val="24"/>
        </w:rPr>
        <w:t>等。</w:t>
      </w:r>
    </w:p>
    <w:p>
      <w:pPr>
        <w:tabs>
          <w:tab w:val="left" w:pos="210"/>
          <w:tab w:val="left" w:pos="840"/>
          <w:tab w:val="left" w:pos="1155"/>
        </w:tabs>
        <w:snapToGrid w:val="0"/>
        <w:spacing w:line="288" w:lineRule="auto"/>
        <w:ind w:firstLine="480" w:firstLineChars="200"/>
        <w:rPr>
          <w:rFonts w:ascii="宋体" w:hAnsi="宋体"/>
          <w:bCs/>
          <w:color w:val="auto"/>
          <w:sz w:val="24"/>
          <w:szCs w:val="24"/>
        </w:rPr>
      </w:pPr>
      <w:r>
        <w:rPr>
          <w:rFonts w:hint="eastAsia" w:ascii="宋体" w:hAnsi="宋体"/>
          <w:bCs/>
          <w:color w:val="auto"/>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color w:val="auto"/>
          <w:sz w:val="24"/>
          <w:szCs w:val="24"/>
        </w:rPr>
      </w:pPr>
      <w:r>
        <w:rPr>
          <w:rFonts w:hint="eastAsia" w:ascii="宋体" w:hAnsi="宋体"/>
          <w:bCs/>
          <w:color w:val="auto"/>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auto"/>
          <w:sz w:val="24"/>
          <w:szCs w:val="24"/>
        </w:rPr>
      </w:pPr>
      <w:r>
        <w:rPr>
          <w:rFonts w:hint="eastAsia" w:ascii="宋体" w:hAnsi="宋体"/>
          <w:bCs/>
          <w:color w:val="auto"/>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auto"/>
          <w:sz w:val="24"/>
          <w:szCs w:val="24"/>
        </w:rPr>
      </w:pPr>
      <w:r>
        <w:rPr>
          <w:rFonts w:hint="eastAsia" w:ascii="宋体" w:hAnsi="宋体"/>
          <w:bCs/>
          <w:color w:val="auto"/>
          <w:sz w:val="24"/>
          <w:szCs w:val="24"/>
        </w:rPr>
        <w:t>十一、根据《政府采购法》第四十九、五十条规定，甲乙双方不得擅自变更、中止或终止合同。</w:t>
      </w:r>
    </w:p>
    <w:p>
      <w:pPr>
        <w:snapToGrid w:val="0"/>
        <w:spacing w:line="288" w:lineRule="auto"/>
        <w:jc w:val="right"/>
        <w:rPr>
          <w:rFonts w:ascii="宋体" w:hAnsi="宋体"/>
          <w:bCs/>
          <w:color w:val="auto"/>
          <w:sz w:val="24"/>
          <w:szCs w:val="24"/>
        </w:rPr>
      </w:pPr>
      <w:r>
        <w:rPr>
          <w:rFonts w:hint="eastAsia" w:ascii="宋体" w:hAnsi="宋体"/>
          <w:bCs/>
          <w:color w:val="auto"/>
          <w:sz w:val="24"/>
          <w:szCs w:val="24"/>
        </w:rPr>
        <w:t>见证方：无锡市公共资源交易中心新吴分中心（签章）</w:t>
      </w:r>
    </w:p>
    <w:p>
      <w:pPr>
        <w:wordWrap w:val="0"/>
        <w:snapToGrid w:val="0"/>
        <w:spacing w:line="288" w:lineRule="auto"/>
        <w:ind w:right="960"/>
        <w:jc w:val="right"/>
        <w:rPr>
          <w:rFonts w:ascii="宋体" w:hAnsi="宋体"/>
          <w:bCs/>
          <w:color w:val="auto"/>
          <w:sz w:val="24"/>
          <w:szCs w:val="24"/>
        </w:rPr>
      </w:pPr>
      <w:r>
        <w:rPr>
          <w:rFonts w:hint="eastAsia" w:ascii="宋体" w:hAnsi="宋体"/>
          <w:bCs/>
          <w:color w:val="auto"/>
          <w:sz w:val="24"/>
          <w:szCs w:val="24"/>
        </w:rPr>
        <w:t xml:space="preserve">见证人：                  </w:t>
      </w:r>
    </w:p>
    <w:p>
      <w:pPr>
        <w:snapToGrid w:val="0"/>
        <w:spacing w:line="288" w:lineRule="auto"/>
        <w:jc w:val="right"/>
        <w:rPr>
          <w:rFonts w:ascii="宋体" w:hAnsi="宋体"/>
          <w:bCs/>
          <w:color w:val="auto"/>
          <w:sz w:val="24"/>
          <w:szCs w:val="24"/>
        </w:rPr>
      </w:pPr>
      <w:r>
        <w:rPr>
          <w:rFonts w:hint="eastAsia" w:ascii="宋体" w:hAnsi="宋体"/>
          <w:bCs/>
          <w:color w:val="auto"/>
          <w:sz w:val="24"/>
          <w:szCs w:val="24"/>
        </w:rPr>
        <w:t xml:space="preserve">   年   月    日</w:t>
      </w:r>
    </w:p>
    <w:p>
      <w:pPr>
        <w:snapToGrid w:val="0"/>
        <w:spacing w:line="288" w:lineRule="auto"/>
        <w:jc w:val="center"/>
        <w:rPr>
          <w:rFonts w:hint="eastAsia" w:ascii="黑体" w:hAnsi="宋体" w:eastAsia="黑体"/>
          <w:b/>
          <w:color w:val="auto"/>
          <w:sz w:val="28"/>
          <w:szCs w:val="28"/>
        </w:rPr>
      </w:pPr>
    </w:p>
    <w:p>
      <w:pPr>
        <w:spacing w:line="360" w:lineRule="auto"/>
        <w:jc w:val="center"/>
        <w:outlineLvl w:val="0"/>
        <w:rPr>
          <w:rFonts w:ascii="黑体" w:eastAsia="黑体"/>
          <w:bCs/>
          <w:color w:val="auto"/>
          <w:sz w:val="28"/>
          <w:szCs w:val="28"/>
        </w:rPr>
      </w:pPr>
      <w:r>
        <w:rPr>
          <w:rFonts w:hint="eastAsia" w:ascii="黑体" w:eastAsia="黑体"/>
          <w:bCs/>
          <w:color w:val="auto"/>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（根据相关法律规定以及采购文件确定事项订立）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7"/>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7"/>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65"/>
        <w:numPr>
          <w:ilvl w:val="0"/>
          <w:numId w:val="32"/>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1.合同</w:t>
      </w:r>
      <w:r>
        <w:rPr>
          <w:rFonts w:ascii="宋体" w:hAnsi="宋体"/>
          <w:bCs/>
          <w:sz w:val="24"/>
          <w:szCs w:val="24"/>
        </w:rPr>
        <w:t>经无锡市政府采购中心对</w:t>
      </w:r>
      <w:r>
        <w:rPr>
          <w:rFonts w:hint="eastAsia" w:ascii="宋体" w:hAnsi="宋体"/>
          <w:bCs/>
          <w:sz w:val="24"/>
          <w:szCs w:val="24"/>
        </w:rPr>
        <w:t>《合同书（格式条款）》</w:t>
      </w:r>
      <w:r>
        <w:rPr>
          <w:rFonts w:ascii="宋体" w:hAnsi="宋体"/>
          <w:bCs/>
          <w:sz w:val="24"/>
          <w:szCs w:val="24"/>
        </w:rPr>
        <w:t>见证后，供需双方代表需签字并盖章后生效</w:t>
      </w:r>
      <w:r>
        <w:rPr>
          <w:rFonts w:hint="eastAsia" w:ascii="宋体" w:hAnsi="宋体"/>
          <w:bCs/>
          <w:sz w:val="24"/>
          <w:szCs w:val="24"/>
        </w:rPr>
        <w:t>。</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480" w:firstLineChars="2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hint="eastAsia" w:ascii="黑体" w:eastAsia="黑体"/>
          <w:bCs/>
          <w:color w:val="auto"/>
          <w:sz w:val="28"/>
          <w:szCs w:val="28"/>
        </w:rPr>
      </w:pPr>
      <w:r>
        <w:rPr>
          <w:rFonts w:ascii="宋体" w:hAnsi="宋体"/>
          <w:bCs/>
          <w:sz w:val="24"/>
          <w:szCs w:val="24"/>
        </w:rPr>
        <w:t xml:space="preserve">                           </w:t>
      </w:r>
      <w:r>
        <w:rPr>
          <w:rFonts w:hint="eastAsia" w:ascii="宋体" w:hAnsi="宋体"/>
          <w:bCs/>
          <w:sz w:val="24"/>
          <w:szCs w:val="24"/>
        </w:rPr>
        <w:t xml:space="preserve">          供方帐号：</w:t>
      </w:r>
    </w:p>
    <w:p>
      <w:pPr>
        <w:spacing w:line="360" w:lineRule="auto"/>
        <w:jc w:val="center"/>
        <w:outlineLvl w:val="0"/>
        <w:rPr>
          <w:rFonts w:ascii="黑体" w:eastAsia="黑体"/>
          <w:bCs/>
          <w:color w:val="auto"/>
          <w:sz w:val="28"/>
          <w:szCs w:val="28"/>
        </w:rPr>
      </w:pPr>
      <w:r>
        <w:rPr>
          <w:rFonts w:hint="eastAsia" w:ascii="黑体" w:eastAsia="黑体"/>
          <w:bCs/>
          <w:color w:val="auto"/>
          <w:sz w:val="28"/>
          <w:szCs w:val="28"/>
        </w:rPr>
        <w:t>六.附件</w:t>
      </w:r>
    </w:p>
    <w:p>
      <w:pPr>
        <w:jc w:val="left"/>
        <w:outlineLvl w:val="1"/>
        <w:rPr>
          <w:rFonts w:ascii="黑体" w:eastAsia="黑体"/>
          <w:bCs/>
          <w:color w:val="auto"/>
          <w:sz w:val="24"/>
          <w:szCs w:val="24"/>
        </w:rPr>
      </w:pPr>
      <w:r>
        <w:rPr>
          <w:rFonts w:hint="eastAsia" w:ascii="黑体" w:eastAsia="黑体"/>
          <w:bCs/>
          <w:color w:val="auto"/>
          <w:sz w:val="24"/>
          <w:szCs w:val="24"/>
        </w:rPr>
        <w:t>附件一：评分标准</w:t>
      </w:r>
    </w:p>
    <w:p>
      <w:pPr>
        <w:tabs>
          <w:tab w:val="left" w:pos="525"/>
          <w:tab w:val="left" w:pos="945"/>
        </w:tabs>
        <w:spacing w:line="360" w:lineRule="auto"/>
        <w:ind w:left="521"/>
        <w:rPr>
          <w:rFonts w:hint="eastAsia" w:ascii="宋体" w:hAnsi="宋体" w:cs="宋体"/>
          <w:bCs/>
          <w:color w:val="auto"/>
          <w:sz w:val="24"/>
          <w:szCs w:val="24"/>
        </w:rPr>
      </w:pPr>
      <w:r>
        <w:rPr>
          <w:rFonts w:hint="eastAsia" w:ascii="宋体" w:hAnsi="宋体" w:cs="宋体"/>
          <w:b/>
          <w:bCs/>
          <w:color w:val="auto"/>
          <w:sz w:val="24"/>
          <w:szCs w:val="24"/>
        </w:rPr>
        <w:t>（1）价格（</w:t>
      </w:r>
      <w:r>
        <w:rPr>
          <w:rFonts w:ascii="宋体" w:hAnsi="宋体" w:cs="宋体"/>
          <w:b/>
          <w:bCs/>
          <w:color w:val="auto"/>
          <w:sz w:val="24"/>
          <w:szCs w:val="24"/>
        </w:rPr>
        <w:t>1</w:t>
      </w:r>
      <w:r>
        <w:rPr>
          <w:rFonts w:hint="eastAsia" w:ascii="宋体" w:hAnsi="宋体" w:cs="宋体"/>
          <w:b/>
          <w:bCs/>
          <w:color w:val="auto"/>
          <w:sz w:val="24"/>
          <w:szCs w:val="24"/>
        </w:rPr>
        <w:t>0分）：</w:t>
      </w:r>
    </w:p>
    <w:p>
      <w:pPr>
        <w:tabs>
          <w:tab w:val="left" w:pos="945"/>
          <w:tab w:val="left" w:pos="1155"/>
        </w:tabs>
        <w:spacing w:line="360" w:lineRule="auto"/>
        <w:ind w:firstLine="480" w:firstLineChars="200"/>
        <w:rPr>
          <w:rFonts w:ascii="宋体"/>
          <w:bCs/>
          <w:color w:val="auto"/>
          <w:sz w:val="24"/>
          <w:szCs w:val="24"/>
        </w:rPr>
      </w:pPr>
      <w:r>
        <w:rPr>
          <w:rFonts w:hint="eastAsia" w:ascii="宋体" w:hAnsi="宋体"/>
          <w:bCs/>
          <w:color w:val="auto"/>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color w:val="auto"/>
          <w:sz w:val="24"/>
          <w:szCs w:val="24"/>
        </w:rPr>
      </w:pPr>
      <w:r>
        <w:rPr>
          <w:rFonts w:hint="eastAsia" w:ascii="宋体" w:hAnsi="宋体"/>
          <w:bCs/>
          <w:color w:val="auto"/>
          <w:sz w:val="24"/>
          <w:szCs w:val="24"/>
        </w:rPr>
        <w:t>投标报价得分</w:t>
      </w:r>
      <w:r>
        <w:rPr>
          <w:rFonts w:ascii="宋体" w:hAnsi="宋体"/>
          <w:bCs/>
          <w:color w:val="auto"/>
          <w:sz w:val="24"/>
          <w:szCs w:val="24"/>
        </w:rPr>
        <w:t>=(</w:t>
      </w:r>
      <w:r>
        <w:rPr>
          <w:rFonts w:hint="eastAsia" w:ascii="宋体" w:hAnsi="宋体"/>
          <w:bCs/>
          <w:color w:val="auto"/>
          <w:sz w:val="24"/>
          <w:szCs w:val="24"/>
        </w:rPr>
        <w:t>评标基准价／投标报价</w:t>
      </w:r>
      <w:r>
        <w:rPr>
          <w:rFonts w:ascii="宋体" w:hAnsi="宋体"/>
          <w:bCs/>
          <w:color w:val="auto"/>
          <w:sz w:val="24"/>
          <w:szCs w:val="24"/>
        </w:rPr>
        <w:t>)</w:t>
      </w:r>
      <w:r>
        <w:rPr>
          <w:rFonts w:hint="eastAsia" w:ascii="宋体" w:hAnsi="宋体"/>
          <w:bCs/>
          <w:color w:val="auto"/>
          <w:sz w:val="24"/>
          <w:szCs w:val="24"/>
        </w:rPr>
        <w:t>×价格权值×</w:t>
      </w:r>
      <w:r>
        <w:rPr>
          <w:rFonts w:ascii="宋体" w:hAnsi="宋体"/>
          <w:bCs/>
          <w:color w:val="auto"/>
          <w:sz w:val="24"/>
          <w:szCs w:val="24"/>
        </w:rPr>
        <w:t>100</w:t>
      </w:r>
      <w:r>
        <w:rPr>
          <w:rFonts w:hint="eastAsia" w:ascii="宋体" w:hAnsi="宋体"/>
          <w:bCs/>
          <w:color w:val="auto"/>
          <w:sz w:val="24"/>
          <w:szCs w:val="24"/>
        </w:rPr>
        <w:t>。</w:t>
      </w:r>
    </w:p>
    <w:p>
      <w:pPr>
        <w:spacing w:line="360" w:lineRule="auto"/>
        <w:ind w:firstLine="480" w:firstLineChars="200"/>
        <w:jc w:val="left"/>
        <w:rPr>
          <w:rFonts w:ascii="宋体" w:hAnsi="宋体"/>
          <w:bCs/>
          <w:color w:val="auto"/>
          <w:sz w:val="24"/>
          <w:szCs w:val="24"/>
        </w:rPr>
      </w:pPr>
      <w:r>
        <w:rPr>
          <w:rFonts w:hint="eastAsia" w:ascii="宋体" w:hAnsi="宋体"/>
          <w:bCs/>
          <w:color w:val="auto"/>
          <w:sz w:val="24"/>
          <w:szCs w:val="24"/>
        </w:rPr>
        <w:t>价格扣除：专门面向中小/小微企业的项目除外。</w:t>
      </w:r>
    </w:p>
    <w:p>
      <w:pPr>
        <w:spacing w:line="360" w:lineRule="auto"/>
        <w:ind w:firstLine="480" w:firstLineChars="200"/>
        <w:jc w:val="left"/>
        <w:rPr>
          <w:rFonts w:ascii="宋体" w:hAnsi="宋体"/>
          <w:bCs/>
          <w:color w:val="auto"/>
          <w:sz w:val="24"/>
          <w:szCs w:val="24"/>
        </w:rPr>
      </w:pPr>
      <w:r>
        <w:rPr>
          <w:rFonts w:hint="eastAsia" w:ascii="宋体" w:hAnsi="宋体"/>
          <w:bCs/>
          <w:color w:val="auto"/>
          <w:sz w:val="24"/>
          <w:szCs w:val="24"/>
        </w:rPr>
        <w:t>①对小型和微型企业产品的价格给予10</w:t>
      </w:r>
      <w:r>
        <w:rPr>
          <w:rFonts w:ascii="宋体" w:hAnsi="宋体"/>
          <w:bCs/>
          <w:color w:val="auto"/>
          <w:sz w:val="24"/>
          <w:szCs w:val="24"/>
        </w:rPr>
        <w:t>%</w:t>
      </w:r>
      <w:r>
        <w:rPr>
          <w:rFonts w:hint="eastAsia" w:ascii="宋体" w:hAnsi="宋体"/>
          <w:bCs/>
          <w:color w:val="auto"/>
          <w:sz w:val="24"/>
          <w:szCs w:val="24"/>
        </w:rPr>
        <w:t>的扣除，用扣除后的价格参与评审。参加投标的中小企业，应当按照《政府采购促进中小企业发展管理办法》</w:t>
      </w:r>
      <w:r>
        <w:rPr>
          <w:rFonts w:ascii="宋体" w:hAnsi="宋体"/>
          <w:bCs/>
          <w:color w:val="auto"/>
          <w:sz w:val="24"/>
          <w:szCs w:val="24"/>
        </w:rPr>
        <w:t>（财库﹝2020﹞46 号）</w:t>
      </w:r>
      <w:r>
        <w:rPr>
          <w:rFonts w:hint="eastAsia" w:ascii="宋体" w:hAnsi="宋体"/>
          <w:bCs/>
          <w:color w:val="auto"/>
          <w:sz w:val="24"/>
          <w:szCs w:val="24"/>
        </w:rPr>
        <w:t>的规定提供《中小企业声明函》（货物/</w:t>
      </w:r>
      <w:r>
        <w:rPr>
          <w:rFonts w:ascii="宋体" w:hAnsi="宋体"/>
          <w:bCs/>
          <w:color w:val="auto"/>
          <w:sz w:val="24"/>
          <w:szCs w:val="24"/>
        </w:rPr>
        <w:t>服务</w:t>
      </w:r>
      <w:r>
        <w:rPr>
          <w:rFonts w:hint="eastAsia" w:ascii="宋体" w:hAnsi="宋体"/>
          <w:bCs/>
          <w:color w:val="auto"/>
          <w:sz w:val="24"/>
          <w:szCs w:val="24"/>
        </w:rPr>
        <w:t>）（中小企业划型标准详见《关于印发中小企业划型标准规定的通知》工信部联企业〔</w:t>
      </w:r>
      <w:r>
        <w:rPr>
          <w:rFonts w:ascii="宋体" w:hAnsi="宋体"/>
          <w:bCs/>
          <w:color w:val="auto"/>
          <w:sz w:val="24"/>
          <w:szCs w:val="24"/>
        </w:rPr>
        <w:t>2011</w:t>
      </w:r>
      <w:r>
        <w:rPr>
          <w:rFonts w:hint="eastAsia" w:ascii="宋体" w:hAnsi="宋体"/>
          <w:bCs/>
          <w:color w:val="auto"/>
          <w:sz w:val="24"/>
          <w:szCs w:val="24"/>
        </w:rPr>
        <w:t>〕</w:t>
      </w:r>
      <w:r>
        <w:rPr>
          <w:rFonts w:ascii="宋体" w:hAnsi="宋体"/>
          <w:bCs/>
          <w:color w:val="auto"/>
          <w:sz w:val="24"/>
          <w:szCs w:val="24"/>
        </w:rPr>
        <w:t>300</w:t>
      </w:r>
      <w:r>
        <w:rPr>
          <w:rFonts w:hint="eastAsia" w:ascii="宋体" w:hAnsi="宋体"/>
          <w:bCs/>
          <w:color w:val="auto"/>
          <w:sz w:val="24"/>
          <w:szCs w:val="24"/>
        </w:rPr>
        <w:t>号）。</w:t>
      </w:r>
    </w:p>
    <w:p>
      <w:pPr>
        <w:spacing w:line="360" w:lineRule="auto"/>
        <w:ind w:firstLine="480" w:firstLineChars="200"/>
        <w:jc w:val="left"/>
        <w:rPr>
          <w:rFonts w:ascii="宋体" w:hAnsi="宋体"/>
          <w:bCs/>
          <w:color w:val="auto"/>
          <w:sz w:val="24"/>
          <w:szCs w:val="24"/>
        </w:rPr>
      </w:pPr>
      <w:r>
        <w:rPr>
          <w:rFonts w:hint="eastAsia" w:ascii="宋体" w:hAnsi="宋体"/>
          <w:bCs/>
          <w:color w:val="auto"/>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扫描件。</w:t>
      </w:r>
    </w:p>
    <w:p>
      <w:pPr>
        <w:spacing w:line="360" w:lineRule="auto"/>
        <w:ind w:firstLine="480" w:firstLineChars="200"/>
        <w:jc w:val="left"/>
        <w:rPr>
          <w:rFonts w:ascii="宋体" w:hAnsi="宋体"/>
          <w:bCs/>
          <w:color w:val="auto"/>
          <w:sz w:val="24"/>
          <w:szCs w:val="24"/>
        </w:rPr>
      </w:pPr>
      <w:r>
        <w:rPr>
          <w:rFonts w:hint="eastAsia" w:ascii="宋体" w:hAnsi="宋体"/>
          <w:bCs/>
          <w:color w:val="auto"/>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同一投标人，上述三项价格扣除优惠不得重复享受。</w:t>
      </w:r>
    </w:p>
    <w:p>
      <w:pPr>
        <w:keepLines w:val="0"/>
        <w:pageBreakBefore w:val="0"/>
        <w:tabs>
          <w:tab w:val="left" w:pos="0"/>
          <w:tab w:val="left" w:pos="945"/>
        </w:tabs>
        <w:kinsoku/>
        <w:wordWrap/>
        <w:overflowPunct/>
        <w:topLinePunct w:val="0"/>
        <w:bidi w:val="0"/>
        <w:adjustRightInd/>
        <w:snapToGrid/>
        <w:spacing w:line="360" w:lineRule="auto"/>
        <w:ind w:left="-100" w:leftChars="-48"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bCs/>
          <w:color w:val="auto"/>
          <w:sz w:val="24"/>
          <w:szCs w:val="24"/>
        </w:rPr>
        <w:t>投标人综合情况（</w:t>
      </w:r>
      <w:r>
        <w:rPr>
          <w:rFonts w:hint="eastAsia" w:ascii="宋体" w:hAnsi="宋体" w:cs="宋体"/>
          <w:b/>
          <w:bCs/>
          <w:color w:val="auto"/>
          <w:sz w:val="24"/>
          <w:szCs w:val="24"/>
          <w:lang w:val="en-US" w:eastAsia="zh-CN"/>
        </w:rPr>
        <w:t>19</w:t>
      </w:r>
      <w:r>
        <w:rPr>
          <w:rFonts w:hint="eastAsia" w:ascii="宋体" w:hAnsi="宋体" w:eastAsia="宋体" w:cs="宋体"/>
          <w:b/>
          <w:bCs/>
          <w:color w:val="auto"/>
          <w:sz w:val="24"/>
          <w:szCs w:val="24"/>
        </w:rPr>
        <w:t>分）</w:t>
      </w:r>
    </w:p>
    <w:p>
      <w:pPr>
        <w:keepLines w:val="0"/>
        <w:pageBreakBefore w:val="0"/>
        <w:tabs>
          <w:tab w:val="left" w:pos="0"/>
          <w:tab w:val="left" w:pos="945"/>
        </w:tabs>
        <w:kinsoku/>
        <w:wordWrap/>
        <w:overflowPunct/>
        <w:topLinePunct w:val="0"/>
        <w:bidi w:val="0"/>
        <w:adjustRightInd/>
        <w:snapToGrid/>
        <w:spacing w:line="360" w:lineRule="auto"/>
        <w:ind w:left="-100" w:leftChars="-48"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A、业绩（6分）：投标人</w:t>
      </w:r>
      <w:r>
        <w:rPr>
          <w:rFonts w:hint="eastAsia" w:ascii="宋体" w:hAnsi="宋体" w:eastAsia="宋体" w:cs="宋体"/>
          <w:color w:val="auto"/>
          <w:sz w:val="24"/>
          <w:szCs w:val="24"/>
          <w:lang w:eastAsia="zh-Hans"/>
        </w:rPr>
        <w:t>2021年1月1日</w:t>
      </w:r>
      <w:r>
        <w:rPr>
          <w:rFonts w:hint="eastAsia" w:ascii="宋体" w:hAnsi="宋体" w:eastAsia="宋体" w:cs="宋体"/>
          <w:color w:val="auto"/>
          <w:sz w:val="24"/>
          <w:szCs w:val="24"/>
        </w:rPr>
        <w:t>以来（以合同签订日期为准）</w:t>
      </w:r>
      <w:r>
        <w:rPr>
          <w:rFonts w:hint="eastAsia" w:ascii="宋体" w:hAnsi="宋体" w:eastAsia="宋体" w:cs="宋体"/>
          <w:bCs/>
          <w:color w:val="auto"/>
          <w:sz w:val="24"/>
          <w:szCs w:val="24"/>
        </w:rPr>
        <w:t>具有同类项目成功案例，</w:t>
      </w:r>
      <w:r>
        <w:rPr>
          <w:rFonts w:hint="eastAsia" w:ascii="宋体" w:hAnsi="宋体" w:eastAsia="宋体" w:cs="宋体"/>
          <w:color w:val="auto"/>
          <w:sz w:val="24"/>
          <w:szCs w:val="24"/>
        </w:rPr>
        <w:t>每提供一份得3分，最多6分。须提供有效合同、竣工验收证明，</w:t>
      </w:r>
      <w:r>
        <w:rPr>
          <w:rFonts w:hint="eastAsia" w:ascii="宋体" w:hAnsi="宋体" w:eastAsia="宋体" w:cs="宋体"/>
          <w:bCs/>
          <w:color w:val="auto"/>
          <w:kern w:val="0"/>
          <w:sz w:val="24"/>
          <w:szCs w:val="24"/>
          <w:lang w:eastAsia="zh-Hans" w:bidi="ar"/>
        </w:rPr>
        <w:t>投标时</w:t>
      </w:r>
      <w:r>
        <w:rPr>
          <w:rFonts w:hint="eastAsia" w:ascii="宋体" w:hAnsi="宋体" w:eastAsia="宋体" w:cs="宋体"/>
          <w:bCs/>
          <w:color w:val="auto"/>
          <w:kern w:val="0"/>
          <w:sz w:val="24"/>
          <w:szCs w:val="24"/>
          <w:lang w:bidi="ar"/>
        </w:rPr>
        <w:t>须提供</w:t>
      </w:r>
      <w:r>
        <w:rPr>
          <w:rFonts w:hint="eastAsia" w:ascii="宋体" w:hAnsi="宋体" w:eastAsia="宋体" w:cs="宋体"/>
          <w:bCs/>
          <w:color w:val="auto"/>
          <w:kern w:val="0"/>
          <w:sz w:val="24"/>
          <w:szCs w:val="24"/>
          <w:lang w:eastAsia="zh-Hans" w:bidi="ar"/>
        </w:rPr>
        <w:t>证明材料</w:t>
      </w:r>
      <w:r>
        <w:rPr>
          <w:rFonts w:hint="eastAsia" w:ascii="宋体" w:hAnsi="宋体" w:eastAsia="宋体" w:cs="宋体"/>
          <w:bCs/>
          <w:color w:val="auto"/>
          <w:kern w:val="0"/>
          <w:sz w:val="24"/>
          <w:szCs w:val="24"/>
          <w:lang w:bidi="ar"/>
        </w:rPr>
        <w:t>扫描件加盖</w:t>
      </w:r>
      <w:r>
        <w:rPr>
          <w:rFonts w:hint="eastAsia" w:ascii="宋体" w:hAnsi="宋体" w:eastAsia="宋体" w:cs="宋体"/>
          <w:bCs/>
          <w:color w:val="auto"/>
          <w:kern w:val="0"/>
          <w:sz w:val="24"/>
          <w:szCs w:val="24"/>
          <w:lang w:eastAsia="zh-Hans" w:bidi="ar"/>
        </w:rPr>
        <w:t>投标人</w:t>
      </w:r>
      <w:r>
        <w:rPr>
          <w:rFonts w:hint="eastAsia" w:ascii="宋体" w:hAnsi="宋体" w:eastAsia="宋体" w:cs="宋体"/>
          <w:bCs/>
          <w:color w:val="auto"/>
          <w:kern w:val="0"/>
          <w:sz w:val="24"/>
          <w:szCs w:val="24"/>
          <w:lang w:bidi="ar"/>
        </w:rPr>
        <w:t>公章</w:t>
      </w:r>
      <w:r>
        <w:rPr>
          <w:rFonts w:hint="eastAsia" w:ascii="宋体" w:hAnsi="宋体" w:eastAsia="宋体" w:cs="宋体"/>
          <w:color w:val="auto"/>
          <w:sz w:val="24"/>
          <w:szCs w:val="24"/>
        </w:rPr>
        <w:t>，未提供不得分。</w:t>
      </w:r>
    </w:p>
    <w:p>
      <w:pPr>
        <w:keepLines w:val="0"/>
        <w:pageBreakBefore w:val="0"/>
        <w:tabs>
          <w:tab w:val="left" w:pos="0"/>
          <w:tab w:val="left" w:pos="945"/>
        </w:tabs>
        <w:kinsoku/>
        <w:wordWrap/>
        <w:overflowPunct/>
        <w:topLinePunct w:val="0"/>
        <w:bidi w:val="0"/>
        <w:adjustRightInd/>
        <w:snapToGrid/>
        <w:spacing w:line="360" w:lineRule="auto"/>
        <w:ind w:left="-100" w:leftChars="-48"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B、</w:t>
      </w:r>
      <w:r>
        <w:rPr>
          <w:rFonts w:hint="eastAsia" w:ascii="宋体" w:hAnsi="宋体" w:eastAsia="宋体" w:cs="宋体"/>
          <w:color w:val="auto"/>
          <w:kern w:val="0"/>
          <w:sz w:val="24"/>
          <w:szCs w:val="24"/>
          <w:lang w:eastAsia="zh-Hans" w:bidi="ar"/>
        </w:rPr>
        <w:t>综合实力</w:t>
      </w:r>
      <w:r>
        <w:rPr>
          <w:rFonts w:hint="eastAsia" w:ascii="宋体" w:hAnsi="宋体" w:eastAsia="宋体" w:cs="宋体"/>
          <w:color w:val="auto"/>
          <w:kern w:val="0"/>
          <w:sz w:val="24"/>
          <w:szCs w:val="24"/>
          <w:lang w:bidi="ar"/>
        </w:rPr>
        <w:t>(1</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分)：</w:t>
      </w:r>
    </w:p>
    <w:p>
      <w:pPr>
        <w:keepLines w:val="0"/>
        <w:pageBreakBefore w:val="0"/>
        <w:tabs>
          <w:tab w:val="left" w:pos="0"/>
          <w:tab w:val="left" w:pos="945"/>
        </w:tabs>
        <w:kinsoku/>
        <w:wordWrap/>
        <w:overflowPunct/>
        <w:topLinePunct w:val="0"/>
        <w:bidi w:val="0"/>
        <w:adjustRightInd/>
        <w:snapToGrid/>
        <w:spacing w:line="360" w:lineRule="auto"/>
        <w:ind w:left="319" w:leftChars="152"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1）投标人具有ISO9001质量管理体系认证（软件开发类）证书，</w:t>
      </w:r>
      <w:r>
        <w:rPr>
          <w:rFonts w:hint="eastAsia" w:ascii="宋体" w:hAnsi="宋体" w:eastAsia="宋体" w:cs="宋体"/>
          <w:bCs/>
          <w:color w:val="auto"/>
          <w:kern w:val="0"/>
          <w:sz w:val="24"/>
          <w:szCs w:val="24"/>
          <w:lang w:eastAsia="zh-Hans" w:bidi="ar"/>
        </w:rPr>
        <w:t>投标时</w:t>
      </w:r>
      <w:r>
        <w:rPr>
          <w:rFonts w:hint="eastAsia" w:ascii="宋体" w:hAnsi="宋体" w:eastAsia="宋体" w:cs="宋体"/>
          <w:bCs/>
          <w:color w:val="auto"/>
          <w:kern w:val="0"/>
          <w:sz w:val="24"/>
          <w:szCs w:val="24"/>
          <w:lang w:bidi="ar"/>
        </w:rPr>
        <w:t>须提供</w:t>
      </w:r>
      <w:r>
        <w:rPr>
          <w:rFonts w:hint="eastAsia" w:ascii="宋体" w:hAnsi="宋体" w:eastAsia="宋体" w:cs="宋体"/>
          <w:bCs/>
          <w:color w:val="auto"/>
          <w:kern w:val="0"/>
          <w:sz w:val="24"/>
          <w:szCs w:val="24"/>
          <w:lang w:eastAsia="zh-Hans" w:bidi="ar"/>
        </w:rPr>
        <w:t>证明材料</w:t>
      </w:r>
      <w:r>
        <w:rPr>
          <w:rFonts w:hint="eastAsia" w:ascii="宋体" w:hAnsi="宋体" w:eastAsia="宋体" w:cs="宋体"/>
          <w:bCs/>
          <w:color w:val="auto"/>
          <w:kern w:val="0"/>
          <w:sz w:val="24"/>
          <w:szCs w:val="24"/>
          <w:lang w:bidi="ar"/>
        </w:rPr>
        <w:t>扫描件加盖</w:t>
      </w:r>
      <w:r>
        <w:rPr>
          <w:rFonts w:hint="eastAsia" w:ascii="宋体" w:hAnsi="宋体" w:eastAsia="宋体" w:cs="宋体"/>
          <w:bCs/>
          <w:color w:val="auto"/>
          <w:kern w:val="0"/>
          <w:sz w:val="24"/>
          <w:szCs w:val="24"/>
          <w:lang w:eastAsia="zh-Hans" w:bidi="ar"/>
        </w:rPr>
        <w:t>投标人</w:t>
      </w:r>
      <w:r>
        <w:rPr>
          <w:rFonts w:hint="eastAsia" w:ascii="宋体" w:hAnsi="宋体" w:eastAsia="宋体" w:cs="宋体"/>
          <w:bCs/>
          <w:color w:val="auto"/>
          <w:kern w:val="0"/>
          <w:sz w:val="24"/>
          <w:szCs w:val="24"/>
          <w:lang w:bidi="ar"/>
        </w:rPr>
        <w:t>公章</w:t>
      </w:r>
      <w:r>
        <w:rPr>
          <w:rFonts w:hint="eastAsia" w:ascii="宋体" w:hAnsi="宋体" w:eastAsia="宋体" w:cs="宋体"/>
          <w:bCs/>
          <w:color w:val="auto"/>
          <w:sz w:val="24"/>
          <w:szCs w:val="24"/>
        </w:rPr>
        <w:t>，满足得3分，</w:t>
      </w:r>
      <w:r>
        <w:rPr>
          <w:rFonts w:hint="eastAsia" w:ascii="宋体" w:hAnsi="宋体" w:eastAsia="宋体" w:cs="宋体"/>
          <w:color w:val="auto"/>
          <w:kern w:val="0"/>
          <w:sz w:val="24"/>
          <w:szCs w:val="24"/>
          <w:lang w:bidi="ar"/>
        </w:rPr>
        <w:t>否则不得分。</w:t>
      </w:r>
    </w:p>
    <w:p>
      <w:pPr>
        <w:keepLines w:val="0"/>
        <w:pageBreakBefore w:val="0"/>
        <w:tabs>
          <w:tab w:val="left" w:pos="0"/>
          <w:tab w:val="left" w:pos="945"/>
        </w:tabs>
        <w:kinsoku/>
        <w:wordWrap/>
        <w:overflowPunct/>
        <w:topLinePunct w:val="0"/>
        <w:bidi w:val="0"/>
        <w:adjustRightInd/>
        <w:snapToGrid/>
        <w:spacing w:line="360" w:lineRule="auto"/>
        <w:ind w:left="319" w:leftChars="152"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2）投标人具有行为大数据预警系统</w:t>
      </w:r>
      <w:r>
        <w:rPr>
          <w:rFonts w:hint="eastAsia" w:ascii="宋体" w:hAnsi="宋体" w:eastAsia="宋体" w:cs="宋体"/>
          <w:color w:val="auto"/>
          <w:kern w:val="0"/>
          <w:sz w:val="24"/>
          <w:szCs w:val="24"/>
          <w:lang w:eastAsia="zh-Hans" w:bidi="ar"/>
        </w:rPr>
        <w:t>相关</w:t>
      </w:r>
      <w:r>
        <w:rPr>
          <w:rFonts w:hint="eastAsia" w:ascii="宋体" w:hAnsi="宋体" w:eastAsia="宋体" w:cs="宋体"/>
          <w:color w:val="auto"/>
          <w:kern w:val="0"/>
          <w:sz w:val="24"/>
          <w:szCs w:val="24"/>
          <w:lang w:bidi="ar"/>
        </w:rPr>
        <w:t>软件</w:t>
      </w:r>
      <w:r>
        <w:rPr>
          <w:rFonts w:hint="eastAsia" w:ascii="宋体" w:hAnsi="宋体" w:eastAsia="宋体" w:cs="宋体"/>
          <w:color w:val="auto"/>
          <w:kern w:val="0"/>
          <w:sz w:val="24"/>
          <w:szCs w:val="24"/>
          <w:lang w:eastAsia="zh-Hans" w:bidi="ar"/>
        </w:rPr>
        <w:t>著作权的</w:t>
      </w:r>
      <w:r>
        <w:rPr>
          <w:rFonts w:hint="eastAsia" w:ascii="宋体" w:hAnsi="宋体" w:eastAsia="宋体" w:cs="宋体"/>
          <w:color w:val="auto"/>
          <w:kern w:val="0"/>
          <w:sz w:val="24"/>
          <w:szCs w:val="24"/>
          <w:lang w:bidi="ar"/>
        </w:rPr>
        <w:t>，</w:t>
      </w:r>
      <w:r>
        <w:rPr>
          <w:rFonts w:hint="eastAsia" w:ascii="宋体" w:hAnsi="宋体" w:eastAsia="宋体" w:cs="宋体"/>
          <w:bCs/>
          <w:color w:val="auto"/>
          <w:kern w:val="0"/>
          <w:sz w:val="24"/>
          <w:szCs w:val="24"/>
          <w:lang w:eastAsia="zh-Hans" w:bidi="ar"/>
        </w:rPr>
        <w:t>投标时</w:t>
      </w:r>
      <w:r>
        <w:rPr>
          <w:rFonts w:hint="eastAsia" w:ascii="宋体" w:hAnsi="宋体" w:eastAsia="宋体" w:cs="宋体"/>
          <w:bCs/>
          <w:color w:val="auto"/>
          <w:kern w:val="0"/>
          <w:sz w:val="24"/>
          <w:szCs w:val="24"/>
          <w:lang w:bidi="ar"/>
        </w:rPr>
        <w:t>须提供</w:t>
      </w:r>
      <w:r>
        <w:rPr>
          <w:rFonts w:hint="eastAsia" w:ascii="宋体" w:hAnsi="宋体" w:eastAsia="宋体" w:cs="宋体"/>
          <w:bCs/>
          <w:color w:val="auto"/>
          <w:kern w:val="0"/>
          <w:sz w:val="24"/>
          <w:szCs w:val="24"/>
          <w:lang w:eastAsia="zh-Hans" w:bidi="ar"/>
        </w:rPr>
        <w:t>证明材料</w:t>
      </w:r>
      <w:r>
        <w:rPr>
          <w:rFonts w:hint="eastAsia" w:ascii="宋体" w:hAnsi="宋体" w:eastAsia="宋体" w:cs="宋体"/>
          <w:bCs/>
          <w:color w:val="auto"/>
          <w:kern w:val="0"/>
          <w:sz w:val="24"/>
          <w:szCs w:val="24"/>
          <w:lang w:bidi="ar"/>
        </w:rPr>
        <w:t>扫描件加盖</w:t>
      </w:r>
      <w:r>
        <w:rPr>
          <w:rFonts w:hint="eastAsia" w:ascii="宋体" w:hAnsi="宋体" w:eastAsia="宋体" w:cs="宋体"/>
          <w:bCs/>
          <w:color w:val="auto"/>
          <w:kern w:val="0"/>
          <w:sz w:val="24"/>
          <w:szCs w:val="24"/>
          <w:lang w:eastAsia="zh-Hans" w:bidi="ar"/>
        </w:rPr>
        <w:t>投标人</w:t>
      </w:r>
      <w:r>
        <w:rPr>
          <w:rFonts w:hint="eastAsia" w:ascii="宋体" w:hAnsi="宋体" w:eastAsia="宋体" w:cs="宋体"/>
          <w:bCs/>
          <w:color w:val="auto"/>
          <w:kern w:val="0"/>
          <w:sz w:val="24"/>
          <w:szCs w:val="24"/>
          <w:lang w:bidi="ar"/>
        </w:rPr>
        <w:t>公章，满足得3分，</w:t>
      </w:r>
      <w:r>
        <w:rPr>
          <w:rFonts w:hint="eastAsia" w:ascii="宋体" w:hAnsi="宋体" w:eastAsia="宋体" w:cs="宋体"/>
          <w:color w:val="auto"/>
          <w:kern w:val="0"/>
          <w:sz w:val="24"/>
          <w:szCs w:val="24"/>
          <w:lang w:bidi="ar"/>
        </w:rPr>
        <w:t>否则不得分。</w:t>
      </w:r>
    </w:p>
    <w:p>
      <w:pPr>
        <w:keepLines w:val="0"/>
        <w:pageBreakBefore w:val="0"/>
        <w:tabs>
          <w:tab w:val="left" w:pos="0"/>
          <w:tab w:val="left" w:pos="945"/>
        </w:tabs>
        <w:kinsoku/>
        <w:wordWrap/>
        <w:overflowPunct/>
        <w:topLinePunct w:val="0"/>
        <w:bidi w:val="0"/>
        <w:adjustRightInd/>
        <w:snapToGrid/>
        <w:spacing w:line="360" w:lineRule="auto"/>
        <w:ind w:left="319" w:leftChars="152"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3）投标人具有大数据反诈预警</w:t>
      </w:r>
      <w:r>
        <w:rPr>
          <w:rFonts w:hint="eastAsia" w:ascii="宋体" w:hAnsi="宋体" w:eastAsia="宋体" w:cs="宋体"/>
          <w:color w:val="auto"/>
          <w:kern w:val="0"/>
          <w:sz w:val="24"/>
          <w:szCs w:val="24"/>
          <w:lang w:eastAsia="zh-Hans" w:bidi="ar"/>
        </w:rPr>
        <w:t>系统相关</w:t>
      </w:r>
      <w:r>
        <w:rPr>
          <w:rFonts w:hint="eastAsia" w:ascii="宋体" w:hAnsi="宋体" w:eastAsia="宋体" w:cs="宋体"/>
          <w:color w:val="auto"/>
          <w:kern w:val="0"/>
          <w:sz w:val="24"/>
          <w:szCs w:val="24"/>
          <w:lang w:bidi="ar"/>
        </w:rPr>
        <w:t>软件</w:t>
      </w:r>
      <w:r>
        <w:rPr>
          <w:rFonts w:hint="eastAsia" w:ascii="宋体" w:hAnsi="宋体" w:eastAsia="宋体" w:cs="宋体"/>
          <w:color w:val="auto"/>
          <w:kern w:val="0"/>
          <w:sz w:val="24"/>
          <w:szCs w:val="24"/>
          <w:lang w:eastAsia="zh-Hans" w:bidi="ar"/>
        </w:rPr>
        <w:t>著作权的</w:t>
      </w:r>
      <w:r>
        <w:rPr>
          <w:rFonts w:hint="eastAsia" w:ascii="宋体" w:hAnsi="宋体" w:eastAsia="宋体" w:cs="宋体"/>
          <w:color w:val="auto"/>
          <w:kern w:val="0"/>
          <w:sz w:val="24"/>
          <w:szCs w:val="24"/>
          <w:lang w:bidi="ar"/>
        </w:rPr>
        <w:t>，</w:t>
      </w:r>
      <w:r>
        <w:rPr>
          <w:rFonts w:hint="eastAsia" w:ascii="宋体" w:hAnsi="宋体" w:eastAsia="宋体" w:cs="宋体"/>
          <w:bCs/>
          <w:color w:val="auto"/>
          <w:kern w:val="0"/>
          <w:sz w:val="24"/>
          <w:szCs w:val="24"/>
          <w:lang w:eastAsia="zh-Hans" w:bidi="ar"/>
        </w:rPr>
        <w:t>投标时</w:t>
      </w:r>
      <w:r>
        <w:rPr>
          <w:rFonts w:hint="eastAsia" w:ascii="宋体" w:hAnsi="宋体" w:eastAsia="宋体" w:cs="宋体"/>
          <w:bCs/>
          <w:color w:val="auto"/>
          <w:kern w:val="0"/>
          <w:sz w:val="24"/>
          <w:szCs w:val="24"/>
          <w:lang w:bidi="ar"/>
        </w:rPr>
        <w:t>须提供</w:t>
      </w:r>
      <w:r>
        <w:rPr>
          <w:rFonts w:hint="eastAsia" w:ascii="宋体" w:hAnsi="宋体" w:eastAsia="宋体" w:cs="宋体"/>
          <w:bCs/>
          <w:color w:val="auto"/>
          <w:kern w:val="0"/>
          <w:sz w:val="24"/>
          <w:szCs w:val="24"/>
          <w:lang w:eastAsia="zh-Hans" w:bidi="ar"/>
        </w:rPr>
        <w:t>证明材料</w:t>
      </w:r>
      <w:r>
        <w:rPr>
          <w:rFonts w:hint="eastAsia" w:ascii="宋体" w:hAnsi="宋体" w:eastAsia="宋体" w:cs="宋体"/>
          <w:bCs/>
          <w:color w:val="auto"/>
          <w:kern w:val="0"/>
          <w:sz w:val="24"/>
          <w:szCs w:val="24"/>
          <w:lang w:bidi="ar"/>
        </w:rPr>
        <w:t>扫描件加盖</w:t>
      </w:r>
      <w:r>
        <w:rPr>
          <w:rFonts w:hint="eastAsia" w:ascii="宋体" w:hAnsi="宋体" w:eastAsia="宋体" w:cs="宋体"/>
          <w:bCs/>
          <w:color w:val="auto"/>
          <w:kern w:val="0"/>
          <w:sz w:val="24"/>
          <w:szCs w:val="24"/>
          <w:lang w:eastAsia="zh-Hans" w:bidi="ar"/>
        </w:rPr>
        <w:t>投标人</w:t>
      </w:r>
      <w:r>
        <w:rPr>
          <w:rFonts w:hint="eastAsia" w:ascii="宋体" w:hAnsi="宋体" w:eastAsia="宋体" w:cs="宋体"/>
          <w:bCs/>
          <w:color w:val="auto"/>
          <w:kern w:val="0"/>
          <w:sz w:val="24"/>
          <w:szCs w:val="24"/>
          <w:lang w:bidi="ar"/>
        </w:rPr>
        <w:t>公章，满足得</w:t>
      </w:r>
      <w:r>
        <w:rPr>
          <w:rFonts w:hint="eastAsia" w:ascii="宋体" w:hAnsi="宋体" w:eastAsia="宋体" w:cs="宋体"/>
          <w:bCs/>
          <w:color w:val="auto"/>
          <w:kern w:val="0"/>
          <w:sz w:val="24"/>
          <w:szCs w:val="24"/>
          <w:lang w:val="en-US" w:eastAsia="zh-CN" w:bidi="ar"/>
        </w:rPr>
        <w:t>3</w:t>
      </w:r>
      <w:r>
        <w:rPr>
          <w:rFonts w:hint="eastAsia" w:ascii="宋体" w:hAnsi="宋体" w:eastAsia="宋体" w:cs="宋体"/>
          <w:bCs/>
          <w:color w:val="auto"/>
          <w:kern w:val="0"/>
          <w:sz w:val="24"/>
          <w:szCs w:val="24"/>
          <w:lang w:bidi="ar"/>
        </w:rPr>
        <w:t>分，</w:t>
      </w:r>
      <w:r>
        <w:rPr>
          <w:rFonts w:hint="eastAsia" w:ascii="宋体" w:hAnsi="宋体" w:eastAsia="宋体" w:cs="宋体"/>
          <w:color w:val="auto"/>
          <w:kern w:val="0"/>
          <w:sz w:val="24"/>
          <w:szCs w:val="24"/>
          <w:lang w:bidi="ar"/>
        </w:rPr>
        <w:t>否则不得分。</w:t>
      </w:r>
    </w:p>
    <w:p>
      <w:pPr>
        <w:keepLines w:val="0"/>
        <w:pageBreakBefore w:val="0"/>
        <w:tabs>
          <w:tab w:val="left" w:pos="0"/>
          <w:tab w:val="left" w:pos="945"/>
        </w:tabs>
        <w:kinsoku/>
        <w:wordWrap/>
        <w:overflowPunct/>
        <w:topLinePunct w:val="0"/>
        <w:bidi w:val="0"/>
        <w:adjustRightInd/>
        <w:snapToGrid/>
        <w:spacing w:line="360" w:lineRule="auto"/>
        <w:ind w:left="319" w:leftChars="152"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4）投标人持有腾讯云计算（北京）有限责任公司针对本项目的授权文件的，</w:t>
      </w:r>
      <w:r>
        <w:rPr>
          <w:rFonts w:hint="eastAsia" w:ascii="宋体" w:hAnsi="宋体" w:eastAsia="宋体" w:cs="宋体"/>
          <w:bCs/>
          <w:color w:val="auto"/>
          <w:kern w:val="0"/>
          <w:sz w:val="24"/>
          <w:szCs w:val="24"/>
          <w:lang w:eastAsia="zh-Hans" w:bidi="ar"/>
        </w:rPr>
        <w:t>投标时</w:t>
      </w:r>
      <w:r>
        <w:rPr>
          <w:rFonts w:hint="eastAsia" w:ascii="宋体" w:hAnsi="宋体" w:eastAsia="宋体" w:cs="宋体"/>
          <w:bCs/>
          <w:color w:val="auto"/>
          <w:kern w:val="0"/>
          <w:sz w:val="24"/>
          <w:szCs w:val="24"/>
          <w:lang w:bidi="ar"/>
        </w:rPr>
        <w:t>须提供</w:t>
      </w:r>
      <w:r>
        <w:rPr>
          <w:rFonts w:hint="eastAsia" w:ascii="宋体" w:hAnsi="宋体" w:eastAsia="宋体" w:cs="宋体"/>
          <w:bCs/>
          <w:color w:val="auto"/>
          <w:kern w:val="0"/>
          <w:sz w:val="24"/>
          <w:szCs w:val="24"/>
          <w:lang w:eastAsia="zh-Hans" w:bidi="ar"/>
        </w:rPr>
        <w:t>证明材料</w:t>
      </w:r>
      <w:r>
        <w:rPr>
          <w:rFonts w:hint="eastAsia" w:ascii="宋体" w:hAnsi="宋体" w:eastAsia="宋体" w:cs="宋体"/>
          <w:bCs/>
          <w:color w:val="auto"/>
          <w:kern w:val="0"/>
          <w:sz w:val="24"/>
          <w:szCs w:val="24"/>
          <w:lang w:bidi="ar"/>
        </w:rPr>
        <w:t>扫描件加盖</w:t>
      </w:r>
      <w:r>
        <w:rPr>
          <w:rFonts w:hint="eastAsia" w:ascii="宋体" w:hAnsi="宋体" w:eastAsia="宋体" w:cs="宋体"/>
          <w:bCs/>
          <w:color w:val="auto"/>
          <w:kern w:val="0"/>
          <w:sz w:val="24"/>
          <w:szCs w:val="24"/>
          <w:lang w:eastAsia="zh-Hans" w:bidi="ar"/>
        </w:rPr>
        <w:t>投标人</w:t>
      </w:r>
      <w:r>
        <w:rPr>
          <w:rFonts w:hint="eastAsia" w:ascii="宋体" w:hAnsi="宋体" w:eastAsia="宋体" w:cs="宋体"/>
          <w:bCs/>
          <w:color w:val="auto"/>
          <w:kern w:val="0"/>
          <w:sz w:val="24"/>
          <w:szCs w:val="24"/>
          <w:lang w:bidi="ar"/>
        </w:rPr>
        <w:t>公章，</w:t>
      </w:r>
      <w:r>
        <w:rPr>
          <w:rFonts w:hint="eastAsia" w:ascii="宋体" w:hAnsi="宋体" w:eastAsia="宋体" w:cs="宋体"/>
          <w:color w:val="auto"/>
          <w:kern w:val="0"/>
          <w:sz w:val="24"/>
          <w:szCs w:val="24"/>
          <w:lang w:bidi="ar"/>
        </w:rPr>
        <w:t xml:space="preserve">满足得4分，否则不得分。   </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注：</w:t>
      </w:r>
      <w:r>
        <w:rPr>
          <w:rFonts w:hint="eastAsia" w:ascii="宋体" w:hAnsi="宋体" w:eastAsia="宋体" w:cs="宋体"/>
          <w:b/>
          <w:color w:val="auto"/>
          <w:kern w:val="0"/>
          <w:sz w:val="24"/>
          <w:szCs w:val="24"/>
        </w:rPr>
        <w:t>投标时</w:t>
      </w:r>
      <w:r>
        <w:rPr>
          <w:rFonts w:hint="eastAsia" w:ascii="宋体" w:hAnsi="宋体" w:eastAsia="宋体" w:cs="宋体"/>
          <w:b/>
          <w:color w:val="auto"/>
          <w:sz w:val="24"/>
          <w:szCs w:val="24"/>
        </w:rPr>
        <w:t>须提供证明材料扫描件并加盖公章</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投标供应商提供连续三个月(至少包含近三个月中任意一个月份(不含投标当月))为持证人员缴纳社保的证明扫描件（由相关主管部门出具，新成立公司除外）。上述材料不提供或提供不全不得分。</w:t>
      </w:r>
    </w:p>
    <w:p>
      <w:pPr>
        <w:keepLines w:val="0"/>
        <w:pageBreakBefore w:val="0"/>
        <w:tabs>
          <w:tab w:val="left" w:pos="0"/>
          <w:tab w:val="left" w:pos="945"/>
          <w:tab w:val="left" w:pos="1155"/>
        </w:tabs>
        <w:kinsoku/>
        <w:wordWrap/>
        <w:overflowPunct/>
        <w:topLinePunct w:val="0"/>
        <w:bidi w:val="0"/>
        <w:adjustRightInd/>
        <w:snapToGrid/>
        <w:spacing w:line="360" w:lineRule="auto"/>
        <w:ind w:firstLine="520" w:firstLineChars="217"/>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）项目技术方案（6</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color w:val="auto"/>
          <w:sz w:val="24"/>
          <w:szCs w:val="24"/>
        </w:rPr>
        <w:t>:</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kern w:val="0"/>
          <w:sz w:val="24"/>
          <w:szCs w:val="24"/>
          <w:lang w:bidi="ar"/>
        </w:rPr>
      </w:pPr>
      <w:bookmarkStart w:id="2" w:name="_Hlk20222179"/>
      <w:r>
        <w:rPr>
          <w:rFonts w:hint="eastAsia" w:ascii="宋体" w:hAnsi="宋体" w:eastAsia="宋体" w:cs="宋体"/>
          <w:color w:val="auto"/>
          <w:kern w:val="0"/>
          <w:sz w:val="24"/>
          <w:szCs w:val="24"/>
          <w:lang w:bidi="ar"/>
        </w:rPr>
        <w:t>1、方案先进性和合理性（1</w:t>
      </w:r>
      <w:r>
        <w:rPr>
          <w:rFonts w:hint="eastAsia" w:ascii="宋体" w:hAnsi="宋体" w:eastAsia="宋体" w:cs="宋体"/>
          <w:color w:val="auto"/>
          <w:kern w:val="0"/>
          <w:sz w:val="24"/>
          <w:szCs w:val="24"/>
          <w:lang w:val="en-US" w:eastAsia="zh-CN" w:bidi="ar"/>
        </w:rPr>
        <w:t>6</w:t>
      </w:r>
      <w:r>
        <w:rPr>
          <w:rFonts w:hint="eastAsia" w:ascii="宋体" w:hAnsi="宋体" w:eastAsia="宋体" w:cs="宋体"/>
          <w:color w:val="auto"/>
          <w:kern w:val="0"/>
          <w:sz w:val="24"/>
          <w:szCs w:val="24"/>
          <w:lang w:bidi="ar"/>
        </w:rPr>
        <w:t>分）：</w:t>
      </w:r>
      <w:r>
        <w:rPr>
          <w:rFonts w:hint="eastAsia" w:ascii="宋体" w:hAnsi="宋体" w:eastAsia="宋体" w:cs="宋体"/>
          <w:color w:val="auto"/>
          <w:kern w:val="0"/>
          <w:sz w:val="24"/>
          <w:szCs w:val="24"/>
          <w:lang w:eastAsia="zh-Hans" w:bidi="ar"/>
        </w:rPr>
        <w:t>考察</w:t>
      </w:r>
      <w:r>
        <w:rPr>
          <w:rFonts w:hint="eastAsia" w:ascii="宋体" w:hAnsi="宋体" w:eastAsia="宋体" w:cs="宋体"/>
          <w:color w:val="auto"/>
          <w:kern w:val="0"/>
          <w:sz w:val="24"/>
          <w:szCs w:val="24"/>
          <w:lang w:bidi="ar"/>
        </w:rPr>
        <w:t>投标人</w:t>
      </w:r>
      <w:r>
        <w:rPr>
          <w:rFonts w:hint="eastAsia" w:ascii="宋体" w:hAnsi="宋体" w:eastAsia="宋体" w:cs="宋体"/>
          <w:color w:val="auto"/>
          <w:kern w:val="0"/>
          <w:sz w:val="24"/>
          <w:szCs w:val="24"/>
          <w:lang w:eastAsia="zh-Hans" w:bidi="ar"/>
        </w:rPr>
        <w:t>对于本项目的</w:t>
      </w:r>
      <w:r>
        <w:rPr>
          <w:rFonts w:hint="eastAsia" w:ascii="宋体" w:hAnsi="宋体" w:eastAsia="宋体" w:cs="宋体"/>
          <w:color w:val="auto"/>
          <w:kern w:val="0"/>
          <w:sz w:val="24"/>
          <w:szCs w:val="24"/>
          <w:lang w:bidi="ar"/>
        </w:rPr>
        <w:t>总体思路、原则、特点把握准确，技术路线符合公安行业要求及相关规定，清晰合理，技术目标符合现状及未来发展要求，应在任何情况下不影响系统的正常运行。系统逻辑架构、物理架构完整严谨；系统组成</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color w:val="auto"/>
          <w:kern w:val="0"/>
          <w:sz w:val="24"/>
          <w:szCs w:val="24"/>
          <w:lang w:bidi="ar"/>
        </w:rPr>
        <w:t>、建设方案</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color w:val="auto"/>
          <w:kern w:val="0"/>
          <w:sz w:val="24"/>
          <w:szCs w:val="24"/>
          <w:lang w:bidi="ar"/>
        </w:rPr>
        <w:t>、系统功能</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color w:val="auto"/>
          <w:kern w:val="0"/>
          <w:sz w:val="24"/>
          <w:szCs w:val="24"/>
          <w:lang w:bidi="ar"/>
        </w:rPr>
        <w:t>、系统性能</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color w:val="auto"/>
          <w:kern w:val="0"/>
          <w:sz w:val="24"/>
          <w:szCs w:val="24"/>
          <w:lang w:bidi="ar"/>
        </w:rPr>
        <w:t>、与现有系统关联描述</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2分）</w:t>
      </w:r>
      <w:r>
        <w:rPr>
          <w:rFonts w:hint="eastAsia" w:ascii="宋体" w:hAnsi="宋体" w:eastAsia="宋体" w:cs="宋体"/>
          <w:color w:val="auto"/>
          <w:kern w:val="0"/>
          <w:sz w:val="24"/>
          <w:szCs w:val="24"/>
          <w:lang w:bidi="ar"/>
        </w:rPr>
        <w:t>、本地部署</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2分）</w:t>
      </w:r>
      <w:r>
        <w:rPr>
          <w:rFonts w:hint="eastAsia" w:ascii="宋体" w:hAnsi="宋体" w:eastAsia="宋体" w:cs="宋体"/>
          <w:color w:val="auto"/>
          <w:kern w:val="0"/>
          <w:sz w:val="24"/>
          <w:szCs w:val="24"/>
          <w:lang w:bidi="ar"/>
        </w:rPr>
        <w:t>。</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Hans"/>
        </w:rPr>
        <w:t>系统功能、架构设计方案</w:t>
      </w:r>
      <w:r>
        <w:rPr>
          <w:rFonts w:hint="eastAsia" w:ascii="宋体" w:hAnsi="宋体" w:eastAsia="宋体" w:cs="宋体"/>
          <w:bCs/>
          <w:color w:val="auto"/>
          <w:sz w:val="24"/>
          <w:szCs w:val="24"/>
        </w:rPr>
        <w:t>设计（10分）：</w:t>
      </w:r>
      <w:bookmarkEnd w:id="2"/>
      <w:r>
        <w:rPr>
          <w:rFonts w:hint="eastAsia" w:ascii="宋体" w:hAnsi="宋体" w:eastAsia="宋体" w:cs="宋体"/>
          <w:bCs/>
          <w:color w:val="auto"/>
          <w:sz w:val="24"/>
          <w:szCs w:val="24"/>
        </w:rPr>
        <w:t>考察投标人对于本次</w:t>
      </w:r>
      <w:r>
        <w:rPr>
          <w:rFonts w:hint="eastAsia" w:ascii="宋体" w:hAnsi="宋体" w:eastAsia="宋体" w:cs="宋体"/>
          <w:bCs/>
          <w:color w:val="auto"/>
          <w:sz w:val="24"/>
          <w:szCs w:val="24"/>
          <w:lang w:eastAsia="zh-Hans"/>
        </w:rPr>
        <w:t>项目系统功能模块的功能</w:t>
      </w:r>
      <w:r>
        <w:rPr>
          <w:rFonts w:hint="eastAsia" w:ascii="宋体" w:hAnsi="宋体" w:eastAsia="宋体" w:cs="宋体"/>
          <w:bCs/>
          <w:color w:val="auto"/>
          <w:sz w:val="24"/>
          <w:szCs w:val="24"/>
        </w:rPr>
        <w:t>设计能力</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Hans"/>
        </w:rPr>
        <w:t>技术架构方案</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4分）、</w:t>
      </w:r>
      <w:r>
        <w:rPr>
          <w:rFonts w:hint="eastAsia" w:ascii="宋体" w:hAnsi="宋体" w:eastAsia="宋体" w:cs="宋体"/>
          <w:bCs/>
          <w:color w:val="auto"/>
          <w:sz w:val="24"/>
          <w:szCs w:val="24"/>
          <w:lang w:eastAsia="zh-Hans"/>
        </w:rPr>
        <w:t>本项目的功能的贴合程度</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3分）</w:t>
      </w:r>
      <w:r>
        <w:rPr>
          <w:rFonts w:hint="eastAsia" w:ascii="宋体" w:hAnsi="宋体" w:eastAsia="宋体" w:cs="宋体"/>
          <w:bCs/>
          <w:color w:val="auto"/>
          <w:sz w:val="24"/>
          <w:szCs w:val="24"/>
        </w:rPr>
        <w:t>。</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kern w:val="0"/>
          <w:sz w:val="24"/>
          <w:szCs w:val="24"/>
          <w:lang w:bidi="ar"/>
        </w:rPr>
        <w:t>3</w:t>
      </w:r>
      <w:r>
        <w:rPr>
          <w:rFonts w:hint="eastAsia" w:ascii="宋体" w:hAnsi="宋体" w:eastAsia="宋体" w:cs="宋体"/>
          <w:color w:val="auto"/>
          <w:sz w:val="24"/>
          <w:szCs w:val="24"/>
          <w:lang w:eastAsia="zh-Hans"/>
        </w:rPr>
        <w:t>、系统安全设计方案（5分)：考察投标人根据招标文件要求，结合公安行业的特点制定完善的系统安全设计方案。</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4、软硬件部署设计方案（5分)：考察投标人根据招标文件要求，结合新吴区网络及新吴区政务云的现状制定完善对软硬件部署设计方案。</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5、系统备份需求方案（5分)：考察投标人根据招标文件要求，结合公安行业对于系统备份要求，制定完善的系统备份需求设计方案。</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6、资源共享设计方案（5分)：考察投标人根据招标文件要求，结合新吴区及公安行业要求制定完善的资源共享设计方案。</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7、项目实施方案（5分)：考察投标人根据招标文件要求，结合新吴区公安分局现状制定完善的项目实施设计方案。</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8、项目维护服务方案（5分)：考察投标人根据招标文件要求，制定完善的项目维护设计方案（如服务体系、服务内容、响应时间、故障解决方案、专业技术人员保障及驻场服务等。）</w:t>
      </w:r>
    </w:p>
    <w:p>
      <w:pPr>
        <w:keepLines w:val="0"/>
        <w:pageBreakBefore w:val="0"/>
        <w:tabs>
          <w:tab w:val="left" w:pos="945"/>
          <w:tab w:val="left" w:pos="1155"/>
        </w:tabs>
        <w:kinsoku/>
        <w:wordWrap/>
        <w:overflowPunct/>
        <w:topLinePunct w:val="0"/>
        <w:bidi w:val="0"/>
        <w:adjustRightInd/>
        <w:snapToGrid/>
        <w:spacing w:line="360" w:lineRule="auto"/>
        <w:ind w:firstLine="566" w:firstLineChars="236"/>
        <w:textAlignment w:val="auto"/>
        <w:rPr>
          <w:rFonts w:hint="eastAsia" w:ascii="宋体" w:hAnsi="宋体" w:eastAsia="宋体" w:cs="宋体"/>
          <w:bCs/>
          <w:color w:val="auto"/>
          <w:sz w:val="24"/>
          <w:szCs w:val="24"/>
        </w:rPr>
      </w:pPr>
      <w:r>
        <w:rPr>
          <w:rFonts w:hint="eastAsia" w:ascii="宋体" w:hAnsi="宋体" w:eastAsia="宋体" w:cs="宋体"/>
          <w:color w:val="auto"/>
          <w:kern w:val="0"/>
          <w:sz w:val="24"/>
          <w:szCs w:val="24"/>
          <w:lang w:bidi="ar"/>
        </w:rPr>
        <w:t xml:space="preserve">9、培训方案（5分): </w:t>
      </w:r>
      <w:r>
        <w:rPr>
          <w:rFonts w:hint="eastAsia" w:ascii="宋体" w:hAnsi="宋体" w:eastAsia="宋体" w:cs="宋体"/>
          <w:color w:val="auto"/>
          <w:sz w:val="24"/>
          <w:szCs w:val="24"/>
          <w:lang w:eastAsia="zh-Hans"/>
        </w:rPr>
        <w:t>考察投标人根据招标文件要求，制定完善的</w:t>
      </w:r>
      <w:r>
        <w:rPr>
          <w:rFonts w:hint="eastAsia" w:ascii="宋体" w:hAnsi="宋体" w:eastAsia="宋体" w:cs="宋体"/>
          <w:color w:val="auto"/>
          <w:kern w:val="0"/>
          <w:sz w:val="24"/>
          <w:szCs w:val="24"/>
          <w:lang w:bidi="ar"/>
        </w:rPr>
        <w:t>培训</w:t>
      </w:r>
      <w:r>
        <w:rPr>
          <w:rFonts w:hint="eastAsia" w:ascii="宋体" w:hAnsi="宋体" w:eastAsia="宋体" w:cs="宋体"/>
          <w:color w:val="auto"/>
          <w:kern w:val="0"/>
          <w:sz w:val="24"/>
          <w:szCs w:val="24"/>
          <w:lang w:eastAsia="zh-Hans" w:bidi="ar"/>
        </w:rPr>
        <w:t>设计</w:t>
      </w:r>
      <w:r>
        <w:rPr>
          <w:rFonts w:hint="eastAsia" w:ascii="宋体" w:hAnsi="宋体" w:eastAsia="宋体" w:cs="宋体"/>
          <w:color w:val="auto"/>
          <w:sz w:val="24"/>
          <w:szCs w:val="24"/>
          <w:lang w:eastAsia="zh-Hans"/>
        </w:rPr>
        <w:t>方案</w:t>
      </w:r>
      <w:r>
        <w:rPr>
          <w:rFonts w:hint="eastAsia" w:ascii="宋体" w:hAnsi="宋体" w:eastAsia="宋体" w:cs="宋体"/>
          <w:color w:val="auto"/>
          <w:kern w:val="0"/>
          <w:sz w:val="24"/>
          <w:szCs w:val="24"/>
          <w:lang w:eastAsia="zh-Hans" w:bidi="ar"/>
        </w:rPr>
        <w:t>。</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评委按照下列评分幅度对技术文件进行评分：</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90%≤</w:t>
      </w:r>
      <w:r>
        <w:rPr>
          <w:rFonts w:hint="eastAsia" w:ascii="宋体" w:hAnsi="宋体" w:eastAsia="宋体" w:cs="宋体"/>
          <w:bCs/>
          <w:color w:val="auto"/>
          <w:sz w:val="24"/>
          <w:szCs w:val="24"/>
        </w:rPr>
        <w:t>方案完善、详细、安排科学、合理、可操作性强</w:t>
      </w:r>
      <w:r>
        <w:rPr>
          <w:rFonts w:hint="eastAsia" w:ascii="宋体" w:hAnsi="宋体" w:eastAsia="宋体" w:cs="宋体"/>
          <w:b/>
          <w:color w:val="auto"/>
          <w:sz w:val="24"/>
          <w:szCs w:val="24"/>
        </w:rPr>
        <w:t>≤100%；</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80%≤</w:t>
      </w:r>
      <w:r>
        <w:rPr>
          <w:rFonts w:hint="eastAsia" w:ascii="宋体" w:hAnsi="宋体" w:eastAsia="宋体" w:cs="宋体"/>
          <w:bCs/>
          <w:color w:val="auto"/>
          <w:sz w:val="24"/>
          <w:szCs w:val="24"/>
        </w:rPr>
        <w:t>方案较为完善、详细、安排较为科学、合理、可操作性较强</w:t>
      </w:r>
      <w:r>
        <w:rPr>
          <w:rFonts w:hint="eastAsia" w:ascii="宋体" w:hAnsi="宋体" w:eastAsia="宋体" w:cs="宋体"/>
          <w:b/>
          <w:color w:val="auto"/>
          <w:sz w:val="24"/>
          <w:szCs w:val="24"/>
        </w:rPr>
        <w:t>＜90%；</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70%≤</w:t>
      </w:r>
      <w:r>
        <w:rPr>
          <w:rFonts w:hint="eastAsia" w:ascii="宋体" w:hAnsi="宋体" w:eastAsia="宋体" w:cs="宋体"/>
          <w:bCs/>
          <w:color w:val="auto"/>
          <w:sz w:val="24"/>
          <w:szCs w:val="24"/>
        </w:rPr>
        <w:t>方案一般、安排一般、可操作性一般</w:t>
      </w:r>
      <w:r>
        <w:rPr>
          <w:rFonts w:hint="eastAsia" w:ascii="宋体" w:hAnsi="宋体" w:eastAsia="宋体" w:cs="宋体"/>
          <w:b/>
          <w:color w:val="auto"/>
          <w:sz w:val="24"/>
          <w:szCs w:val="24"/>
        </w:rPr>
        <w:t>＜80%；</w:t>
      </w:r>
    </w:p>
    <w:p>
      <w:pPr>
        <w:keepLines w:val="0"/>
        <w:pageBreakBefore w:val="0"/>
        <w:tabs>
          <w:tab w:val="left" w:pos="945"/>
          <w:tab w:val="left" w:pos="1155"/>
        </w:tabs>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60%≤</w:t>
      </w:r>
      <w:r>
        <w:rPr>
          <w:rFonts w:hint="eastAsia" w:ascii="宋体" w:hAnsi="宋体" w:eastAsia="宋体" w:cs="宋体"/>
          <w:bCs/>
          <w:color w:val="auto"/>
          <w:sz w:val="24"/>
          <w:szCs w:val="24"/>
        </w:rPr>
        <w:t>方案、安排、可操作性基本满足招标文件要求</w:t>
      </w:r>
      <w:r>
        <w:rPr>
          <w:rFonts w:hint="eastAsia" w:ascii="宋体" w:hAnsi="宋体" w:eastAsia="宋体" w:cs="宋体"/>
          <w:b/>
          <w:color w:val="auto"/>
          <w:sz w:val="24"/>
          <w:szCs w:val="24"/>
        </w:rPr>
        <w:t>＜70%。</w:t>
      </w:r>
    </w:p>
    <w:p>
      <w:pPr>
        <w:keepLines w:val="0"/>
        <w:pageBreakBefore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b/>
          <w:sz w:val="24"/>
          <w:szCs w:val="24"/>
        </w:rPr>
        <w:t>系统操作与展示（1</w:t>
      </w:r>
      <w:r>
        <w:rPr>
          <w:rFonts w:hint="eastAsia" w:ascii="宋体" w:hAnsi="宋体"/>
          <w:b/>
          <w:sz w:val="24"/>
          <w:szCs w:val="24"/>
          <w:lang w:val="en-US" w:eastAsia="zh-CN"/>
        </w:rPr>
        <w:t>0</w:t>
      </w:r>
      <w:r>
        <w:rPr>
          <w:rFonts w:hint="eastAsia" w:ascii="宋体" w:hAnsi="宋体"/>
          <w:b/>
          <w:sz w:val="24"/>
          <w:szCs w:val="24"/>
        </w:rPr>
        <w:t>分）</w:t>
      </w:r>
      <w:r>
        <w:rPr>
          <w:rFonts w:hint="eastAsia" w:ascii="宋体" w:hAnsi="宋体"/>
          <w:bCs/>
          <w:sz w:val="24"/>
          <w:szCs w:val="24"/>
        </w:rPr>
        <w:t>本项目演示为投标人在线提供演示，投标人无需到现场，关于在线演示时的系统内操作，详见无锡市公共资源交易中心网站政府采购栏-公示栏中《投标人在线演示操作指南》。投标人提供演示的须自行配备好演示所需设备（包括：电脑、摄像头、耳机、麦克风、网络环境等），并确保有人随时响应演示请求以及演示时网络的通畅，不能按时响应演示请求的视为无演示，不得分。</w:t>
      </w:r>
    </w:p>
    <w:p>
      <w:pPr>
        <w:pStyle w:val="2"/>
        <w:keepLines w:val="0"/>
        <w:pageBreakBefore w:val="0"/>
        <w:kinsoku/>
        <w:wordWrap/>
        <w:overflowPunct/>
        <w:topLinePunct w:val="0"/>
        <w:bidi w:val="0"/>
        <w:adjustRightInd/>
        <w:snapToGrid/>
        <w:spacing w:line="360" w:lineRule="auto"/>
        <w:ind w:firstLine="840" w:firstLineChars="35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1、能够统计本区域内微信、QQ及电话已反制账号的拦截情况，满足得2分，否则不得分；</w:t>
      </w:r>
    </w:p>
    <w:p>
      <w:pPr>
        <w:pStyle w:val="2"/>
        <w:keepLines w:val="0"/>
        <w:pageBreakBefore w:val="0"/>
        <w:kinsoku/>
        <w:wordWrap/>
        <w:overflowPunct/>
        <w:topLinePunct w:val="0"/>
        <w:bidi w:val="0"/>
        <w:adjustRightInd/>
        <w:snapToGrid/>
        <w:spacing w:line="360" w:lineRule="auto"/>
        <w:ind w:firstLine="840" w:firstLineChars="35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2、风险人群检测能够给出相应涉诈类型及风险等级，满足得2分，否则不得分；</w:t>
      </w:r>
    </w:p>
    <w:p>
      <w:pPr>
        <w:pStyle w:val="2"/>
        <w:keepLines w:val="0"/>
        <w:pageBreakBefore w:val="0"/>
        <w:kinsoku/>
        <w:wordWrap/>
        <w:overflowPunct/>
        <w:topLinePunct w:val="0"/>
        <w:bidi w:val="0"/>
        <w:adjustRightInd/>
        <w:snapToGrid/>
        <w:spacing w:line="360" w:lineRule="auto"/>
        <w:ind w:firstLine="840" w:firstLineChars="35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3、涉诈类型包含网址、APP、电话类诈骗，满足得1分，否则不得分；</w:t>
      </w:r>
    </w:p>
    <w:p>
      <w:pPr>
        <w:pStyle w:val="2"/>
        <w:keepLines w:val="0"/>
        <w:pageBreakBefore w:val="0"/>
        <w:kinsoku/>
        <w:wordWrap/>
        <w:overflowPunct/>
        <w:topLinePunct w:val="0"/>
        <w:bidi w:val="0"/>
        <w:adjustRightInd/>
        <w:snapToGrid/>
        <w:spacing w:line="360" w:lineRule="auto"/>
        <w:ind w:firstLine="840" w:firstLineChars="35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网址、APP类诈骗预警数据为主的</w:t>
      </w:r>
      <w:r>
        <w:rPr>
          <w:rFonts w:hint="eastAsia" w:ascii="宋体" w:hAnsi="宋体" w:eastAsia="宋体" w:cs="宋体"/>
          <w:color w:val="auto"/>
          <w:sz w:val="24"/>
          <w:szCs w:val="24"/>
          <w:lang w:bidi="ar"/>
        </w:rPr>
        <w:t>预警数据日均300条以上，满足得1分，否则不得分；</w:t>
      </w:r>
    </w:p>
    <w:p>
      <w:pPr>
        <w:pStyle w:val="2"/>
        <w:keepLines w:val="0"/>
        <w:pageBreakBefore w:val="0"/>
        <w:kinsoku/>
        <w:wordWrap/>
        <w:overflowPunct/>
        <w:topLinePunct w:val="0"/>
        <w:bidi w:val="0"/>
        <w:adjustRightInd/>
        <w:snapToGrid/>
        <w:spacing w:line="360" w:lineRule="auto"/>
        <w:ind w:left="495" w:leftChars="236" w:firstLine="360" w:firstLineChars="15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5、平台可独立完成新吴区辖区内的预警信息研判及推送，满足得1分，否则不得分；</w:t>
      </w:r>
    </w:p>
    <w:p>
      <w:pPr>
        <w:pStyle w:val="2"/>
        <w:keepLines w:val="0"/>
        <w:pageBreakBefore w:val="0"/>
        <w:kinsoku/>
        <w:wordWrap/>
        <w:overflowPunct/>
        <w:topLinePunct w:val="0"/>
        <w:bidi w:val="0"/>
        <w:adjustRightInd/>
        <w:snapToGrid/>
        <w:spacing w:line="360" w:lineRule="auto"/>
        <w:ind w:left="495" w:leftChars="236" w:firstLine="360" w:firstLineChars="150"/>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6、支持检出裸聊诈骗预警，满足得3分，否则不得分；</w:t>
      </w: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加分因素：</w:t>
      </w: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r>
        <w:rPr>
          <w:rFonts w:ascii="宋体" w:hAnsi="宋体"/>
          <w:bCs/>
          <w:sz w:val="24"/>
          <w:szCs w:val="24"/>
        </w:rPr>
        <w:t>）</w:t>
      </w:r>
      <w:r>
        <w:rPr>
          <w:rFonts w:hint="eastAsia" w:ascii="宋体" w:hAnsi="宋体"/>
          <w:bCs/>
          <w:sz w:val="24"/>
          <w:szCs w:val="24"/>
        </w:rPr>
        <w:t>。</w:t>
      </w: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keepLines w:val="0"/>
        <w:pageBreakBefore w:val="0"/>
        <w:kinsoku/>
        <w:wordWrap/>
        <w:overflowPunct/>
        <w:topLinePunct w:val="0"/>
        <w:bidi w:val="0"/>
        <w:adjustRightInd/>
        <w:snapToGrid/>
        <w:spacing w:line="360" w:lineRule="auto"/>
        <w:textAlignment w:val="auto"/>
        <w:rPr>
          <w:rFonts w:hint="eastAsia" w:ascii="宋体" w:hAnsi="宋体" w:eastAsia="宋体" w:cs="宋体"/>
          <w:bCs w:val="0"/>
          <w:color w:val="auto"/>
          <w:sz w:val="24"/>
          <w:szCs w:val="24"/>
        </w:rPr>
      </w:pPr>
    </w:p>
    <w:p>
      <w:pPr>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rPr>
      </w:pPr>
    </w:p>
    <w:p>
      <w:pPr>
        <w:pStyle w:val="6"/>
        <w:rPr>
          <w:rFonts w:hint="eastAsia" w:ascii="黑体" w:eastAsia="黑体"/>
          <w:bCs w:val="0"/>
          <w:color w:val="auto"/>
          <w:sz w:val="24"/>
          <w:szCs w:val="24"/>
        </w:rPr>
      </w:pPr>
    </w:p>
    <w:p>
      <w:pPr>
        <w:rPr>
          <w:rFonts w:hint="eastAsia" w:ascii="黑体" w:eastAsia="黑体"/>
          <w:bCs/>
          <w:color w:val="auto"/>
          <w:sz w:val="24"/>
          <w:szCs w:val="24"/>
        </w:rPr>
      </w:pPr>
    </w:p>
    <w:p>
      <w:pPr>
        <w:pStyle w:val="6"/>
        <w:rPr>
          <w:rFonts w:hint="eastAsia" w:ascii="黑体" w:eastAsia="黑体"/>
          <w:bCs w:val="0"/>
          <w:color w:val="auto"/>
          <w:sz w:val="24"/>
          <w:szCs w:val="24"/>
        </w:rPr>
      </w:pPr>
    </w:p>
    <w:p>
      <w:pPr>
        <w:rPr>
          <w:rFonts w:hint="eastAsia" w:ascii="黑体" w:eastAsia="黑体"/>
          <w:bCs/>
          <w:color w:val="auto"/>
          <w:sz w:val="24"/>
          <w:szCs w:val="24"/>
        </w:rPr>
      </w:pPr>
    </w:p>
    <w:p>
      <w:pPr>
        <w:rPr>
          <w:rFonts w:hint="eastAsia"/>
          <w:color w:val="auto"/>
        </w:rPr>
      </w:pPr>
      <w:bookmarkStart w:id="7" w:name="_GoBack"/>
      <w:bookmarkEnd w:id="7"/>
    </w:p>
    <w:p>
      <w:pPr>
        <w:jc w:val="left"/>
        <w:outlineLvl w:val="1"/>
        <w:rPr>
          <w:rFonts w:ascii="黑体" w:eastAsia="黑体"/>
          <w:bCs/>
          <w:color w:val="auto"/>
          <w:sz w:val="24"/>
          <w:szCs w:val="24"/>
        </w:rPr>
      </w:pPr>
      <w:r>
        <w:rPr>
          <w:rFonts w:hint="eastAsia" w:ascii="黑体" w:eastAsia="黑体"/>
          <w:bCs/>
          <w:color w:val="auto"/>
          <w:sz w:val="24"/>
          <w:szCs w:val="24"/>
        </w:rPr>
        <w:t>附件二：投标文件格式</w:t>
      </w:r>
    </w:p>
    <w:p>
      <w:pPr>
        <w:rPr>
          <w:rFonts w:ascii="黑体" w:eastAsia="黑体"/>
          <w:bCs/>
          <w:color w:val="auto"/>
          <w:sz w:val="32"/>
        </w:rPr>
      </w:pPr>
    </w:p>
    <w:p>
      <w:pPr>
        <w:rPr>
          <w:rFonts w:ascii="黑体" w:eastAsia="黑体"/>
          <w:bCs/>
          <w:color w:val="auto"/>
          <w:sz w:val="32"/>
        </w:rPr>
      </w:pPr>
    </w:p>
    <w:p>
      <w:pPr>
        <w:jc w:val="center"/>
        <w:rPr>
          <w:rFonts w:ascii="黑体" w:eastAsia="黑体"/>
          <w:bCs/>
          <w:color w:val="auto"/>
          <w:sz w:val="52"/>
          <w:szCs w:val="52"/>
        </w:rPr>
      </w:pPr>
      <w:r>
        <w:rPr>
          <w:rFonts w:hint="eastAsia" w:ascii="黑体" w:eastAsia="黑体"/>
          <w:bCs/>
          <w:color w:val="auto"/>
          <w:sz w:val="52"/>
          <w:szCs w:val="52"/>
        </w:rPr>
        <w:t>投</w:t>
      </w:r>
    </w:p>
    <w:p>
      <w:pPr>
        <w:jc w:val="center"/>
        <w:rPr>
          <w:rFonts w:ascii="黑体" w:eastAsia="黑体"/>
          <w:bCs/>
          <w:color w:val="auto"/>
          <w:sz w:val="72"/>
        </w:rPr>
      </w:pPr>
    </w:p>
    <w:p>
      <w:pPr>
        <w:jc w:val="center"/>
        <w:rPr>
          <w:rFonts w:ascii="黑体" w:eastAsia="黑体"/>
          <w:bCs/>
          <w:color w:val="auto"/>
          <w:sz w:val="52"/>
          <w:szCs w:val="52"/>
        </w:rPr>
      </w:pPr>
      <w:r>
        <w:rPr>
          <w:rFonts w:hint="eastAsia" w:ascii="黑体" w:eastAsia="黑体"/>
          <w:bCs/>
          <w:color w:val="auto"/>
          <w:sz w:val="52"/>
          <w:szCs w:val="52"/>
        </w:rPr>
        <w:t>标</w:t>
      </w:r>
    </w:p>
    <w:p>
      <w:pPr>
        <w:jc w:val="center"/>
        <w:rPr>
          <w:rFonts w:ascii="黑体" w:eastAsia="黑体"/>
          <w:bCs/>
          <w:color w:val="auto"/>
          <w:sz w:val="72"/>
        </w:rPr>
      </w:pPr>
    </w:p>
    <w:p>
      <w:pPr>
        <w:jc w:val="center"/>
        <w:rPr>
          <w:rFonts w:ascii="黑体" w:eastAsia="黑体"/>
          <w:bCs/>
          <w:color w:val="auto"/>
          <w:sz w:val="52"/>
          <w:szCs w:val="52"/>
        </w:rPr>
      </w:pPr>
      <w:r>
        <w:rPr>
          <w:rFonts w:hint="eastAsia" w:ascii="黑体" w:eastAsia="黑体"/>
          <w:bCs/>
          <w:color w:val="auto"/>
          <w:sz w:val="52"/>
          <w:szCs w:val="52"/>
        </w:rPr>
        <w:t>文</w:t>
      </w:r>
    </w:p>
    <w:p>
      <w:pPr>
        <w:jc w:val="center"/>
        <w:rPr>
          <w:rFonts w:ascii="黑体" w:eastAsia="黑体"/>
          <w:bCs/>
          <w:color w:val="auto"/>
          <w:sz w:val="52"/>
          <w:szCs w:val="52"/>
        </w:rPr>
      </w:pPr>
    </w:p>
    <w:p>
      <w:pPr>
        <w:jc w:val="center"/>
        <w:rPr>
          <w:rFonts w:ascii="黑体" w:eastAsia="黑体"/>
          <w:bCs/>
          <w:color w:val="auto"/>
          <w:sz w:val="52"/>
          <w:szCs w:val="52"/>
        </w:rPr>
      </w:pPr>
      <w:r>
        <w:rPr>
          <w:rFonts w:hint="eastAsia" w:ascii="黑体" w:eastAsia="黑体"/>
          <w:bCs/>
          <w:color w:val="auto"/>
          <w:sz w:val="52"/>
          <w:szCs w:val="52"/>
        </w:rPr>
        <w:t>件</w:t>
      </w:r>
    </w:p>
    <w:p>
      <w:pPr>
        <w:rPr>
          <w:rFonts w:ascii="楷体_GB2312" w:eastAsia="楷体_GB2312"/>
          <w:bCs/>
          <w:color w:val="auto"/>
          <w:sz w:val="72"/>
        </w:rPr>
      </w:pPr>
    </w:p>
    <w:p>
      <w:pPr>
        <w:rPr>
          <w:rFonts w:ascii="楷体_GB2312" w:eastAsia="楷体_GB2312"/>
          <w:bCs/>
          <w:color w:val="auto"/>
          <w:sz w:val="28"/>
        </w:rPr>
      </w:pPr>
    </w:p>
    <w:p>
      <w:pPr>
        <w:ind w:left="1050" w:leftChars="500"/>
        <w:rPr>
          <w:rFonts w:hint="default" w:ascii="黑体" w:eastAsia="黑体"/>
          <w:bCs/>
          <w:color w:val="auto"/>
          <w:sz w:val="28"/>
          <w:szCs w:val="28"/>
          <w:lang w:val="en-US" w:eastAsia="zh-CN"/>
        </w:rPr>
      </w:pPr>
      <w:r>
        <w:rPr>
          <w:rFonts w:hint="eastAsia" w:ascii="黑体" w:eastAsia="黑体"/>
          <w:bCs/>
          <w:color w:val="auto"/>
          <w:sz w:val="28"/>
          <w:szCs w:val="28"/>
        </w:rPr>
        <w:t>采购项目编号：</w:t>
      </w:r>
      <w:r>
        <w:rPr>
          <w:rFonts w:ascii="黑体" w:eastAsia="黑体"/>
          <w:bCs/>
          <w:color w:val="auto"/>
          <w:sz w:val="28"/>
          <w:szCs w:val="28"/>
        </w:rPr>
        <w:t>WXXWQJC2022-0</w:t>
      </w:r>
      <w:r>
        <w:rPr>
          <w:rFonts w:hint="eastAsia" w:ascii="黑体" w:eastAsia="黑体"/>
          <w:bCs/>
          <w:color w:val="auto"/>
          <w:sz w:val="28"/>
          <w:szCs w:val="28"/>
          <w:lang w:val="en-US" w:eastAsia="zh-CN"/>
        </w:rPr>
        <w:t>97</w:t>
      </w:r>
    </w:p>
    <w:p>
      <w:pPr>
        <w:ind w:left="1050" w:leftChars="500"/>
        <w:rPr>
          <w:rFonts w:hint="eastAsia" w:ascii="黑体" w:eastAsia="黑体"/>
          <w:bCs/>
          <w:color w:val="auto"/>
          <w:sz w:val="28"/>
          <w:szCs w:val="28"/>
        </w:rPr>
      </w:pPr>
      <w:r>
        <w:rPr>
          <w:rFonts w:hint="eastAsia" w:ascii="黑体" w:eastAsia="黑体"/>
          <w:bCs/>
          <w:color w:val="auto"/>
          <w:sz w:val="28"/>
          <w:szCs w:val="28"/>
        </w:rPr>
        <w:t>采购项目名称：</w:t>
      </w:r>
      <w:r>
        <w:rPr>
          <w:rFonts w:ascii="黑体" w:eastAsia="黑体"/>
          <w:bCs/>
          <w:color w:val="auto"/>
          <w:sz w:val="28"/>
          <w:szCs w:val="28"/>
        </w:rPr>
        <w:t>新吴反诈全流程工作平台</w:t>
      </w:r>
      <w:r>
        <w:rPr>
          <w:rFonts w:hint="eastAsia" w:ascii="黑体" w:eastAsia="黑体"/>
          <w:bCs/>
          <w:color w:val="auto"/>
          <w:sz w:val="28"/>
          <w:szCs w:val="28"/>
        </w:rPr>
        <w:t xml:space="preserve"> </w:t>
      </w:r>
    </w:p>
    <w:p>
      <w:pPr>
        <w:ind w:left="1050" w:leftChars="500"/>
        <w:rPr>
          <w:rFonts w:ascii="黑体" w:eastAsia="黑体"/>
          <w:bCs/>
          <w:color w:val="auto"/>
          <w:sz w:val="28"/>
          <w:szCs w:val="28"/>
        </w:rPr>
      </w:pPr>
      <w:r>
        <w:rPr>
          <w:rFonts w:hint="eastAsia" w:ascii="黑体" w:eastAsia="黑体"/>
          <w:bCs/>
          <w:color w:val="auto"/>
          <w:sz w:val="28"/>
          <w:szCs w:val="28"/>
        </w:rPr>
        <w:t>投标人：</w:t>
      </w:r>
    </w:p>
    <w:p>
      <w:pPr>
        <w:rPr>
          <w:rFonts w:ascii="黑体" w:eastAsia="黑体"/>
          <w:bCs/>
          <w:color w:val="auto"/>
          <w:sz w:val="32"/>
        </w:rPr>
      </w:pPr>
    </w:p>
    <w:p>
      <w:pPr>
        <w:jc w:val="center"/>
        <w:rPr>
          <w:rFonts w:ascii="黑体" w:eastAsia="黑体"/>
          <w:bCs/>
          <w:color w:val="auto"/>
          <w:sz w:val="36"/>
          <w:szCs w:val="36"/>
        </w:rPr>
      </w:pPr>
      <w:bookmarkStart w:id="3" w:name="一．报价函（格式）"/>
      <w:bookmarkEnd w:id="3"/>
      <w:r>
        <w:rPr>
          <w:rFonts w:hint="eastAsia" w:ascii="黑体" w:eastAsia="黑体"/>
          <w:bCs/>
          <w:color w:val="auto"/>
          <w:sz w:val="36"/>
          <w:szCs w:val="36"/>
        </w:rPr>
        <w:t>二○二二年</w:t>
      </w:r>
      <w:r>
        <w:rPr>
          <w:rFonts w:ascii="黑体" w:eastAsia="黑体"/>
          <w:bCs/>
          <w:color w:val="auto"/>
          <w:sz w:val="36"/>
          <w:szCs w:val="36"/>
        </w:rPr>
        <w:t xml:space="preserve">   </w:t>
      </w:r>
      <w:r>
        <w:rPr>
          <w:rFonts w:hint="eastAsia" w:ascii="黑体" w:eastAsia="黑体"/>
          <w:bCs/>
          <w:color w:val="auto"/>
          <w:sz w:val="36"/>
          <w:szCs w:val="36"/>
        </w:rPr>
        <w:t>月</w:t>
      </w:r>
      <w:r>
        <w:rPr>
          <w:rFonts w:ascii="黑体" w:eastAsia="黑体"/>
          <w:bCs/>
          <w:color w:val="auto"/>
          <w:sz w:val="36"/>
          <w:szCs w:val="36"/>
        </w:rPr>
        <w:t xml:space="preserve">    </w:t>
      </w:r>
      <w:r>
        <w:rPr>
          <w:rFonts w:hint="eastAsia" w:ascii="黑体" w:eastAsia="黑体"/>
          <w:bCs/>
          <w:color w:val="auto"/>
          <w:sz w:val="36"/>
          <w:szCs w:val="36"/>
        </w:rPr>
        <w:t>日</w:t>
      </w:r>
    </w:p>
    <w:p>
      <w:pPr>
        <w:spacing w:line="360" w:lineRule="auto"/>
        <w:rPr>
          <w:rFonts w:ascii="黑体" w:hAnsi="宋体" w:eastAsia="黑体"/>
          <w:bCs/>
          <w:color w:val="auto"/>
          <w:sz w:val="24"/>
          <w:szCs w:val="24"/>
        </w:rPr>
      </w:pPr>
    </w:p>
    <w:p>
      <w:pPr>
        <w:rPr>
          <w:rFonts w:ascii="黑体" w:hAnsi="宋体" w:eastAsia="黑体"/>
          <w:bCs/>
          <w:color w:val="auto"/>
          <w:sz w:val="24"/>
          <w:szCs w:val="24"/>
        </w:rPr>
      </w:pPr>
    </w:p>
    <w:p>
      <w:pPr>
        <w:pStyle w:val="30"/>
        <w:ind w:firstLine="480"/>
        <w:rPr>
          <w:rFonts w:ascii="黑体" w:hAnsi="宋体" w:eastAsia="黑体"/>
          <w:bCs/>
          <w:color w:val="auto"/>
          <w:sz w:val="24"/>
          <w:szCs w:val="24"/>
        </w:rPr>
      </w:pPr>
    </w:p>
    <w:p>
      <w:pPr>
        <w:rPr>
          <w:rFonts w:ascii="黑体" w:hAnsi="宋体" w:eastAsia="黑体"/>
          <w:bCs/>
          <w:color w:val="auto"/>
          <w:sz w:val="24"/>
          <w:szCs w:val="24"/>
        </w:rPr>
      </w:pPr>
    </w:p>
    <w:p>
      <w:pPr>
        <w:pStyle w:val="2"/>
      </w:pP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（一）投标函（格式）：</w:t>
      </w:r>
    </w:p>
    <w:p>
      <w:pPr>
        <w:rPr>
          <w:rFonts w:ascii="宋体"/>
          <w:b/>
          <w:bCs/>
          <w:color w:val="auto"/>
          <w:sz w:val="24"/>
          <w:szCs w:val="24"/>
        </w:rPr>
      </w:pPr>
    </w:p>
    <w:p>
      <w:pPr>
        <w:spacing w:line="360" w:lineRule="auto"/>
        <w:jc w:val="center"/>
        <w:rPr>
          <w:rFonts w:ascii="宋体"/>
          <w:bCs/>
          <w:color w:val="auto"/>
          <w:sz w:val="24"/>
          <w:szCs w:val="24"/>
        </w:rPr>
      </w:pPr>
      <w:r>
        <w:rPr>
          <w:rFonts w:hint="eastAsia" w:ascii="黑体" w:eastAsia="黑体"/>
          <w:bCs/>
          <w:color w:val="auto"/>
          <w:sz w:val="28"/>
          <w:szCs w:val="28"/>
        </w:rPr>
        <w:t>投标函</w:t>
      </w:r>
    </w:p>
    <w:p>
      <w:pPr>
        <w:spacing w:line="360" w:lineRule="auto"/>
        <w:rPr>
          <w:rFonts w:ascii="宋体"/>
          <w:bCs/>
          <w:color w:val="auto"/>
          <w:sz w:val="24"/>
          <w:szCs w:val="24"/>
        </w:rPr>
      </w:pPr>
      <w:r>
        <w:rPr>
          <w:rFonts w:hint="eastAsia" w:ascii="宋体" w:hAnsi="宋体"/>
          <w:bCs/>
          <w:color w:val="auto"/>
          <w:sz w:val="24"/>
          <w:szCs w:val="24"/>
        </w:rPr>
        <w:t>致无锡市公共资源交易中心新吴分中心：</w:t>
      </w:r>
    </w:p>
    <w:p>
      <w:pPr>
        <w:spacing w:line="360" w:lineRule="auto"/>
        <w:ind w:firstLine="480" w:firstLineChars="200"/>
        <w:rPr>
          <w:rFonts w:ascii="宋体"/>
          <w:bCs/>
          <w:color w:val="auto"/>
          <w:sz w:val="24"/>
          <w:szCs w:val="24"/>
        </w:rPr>
      </w:pPr>
    </w:p>
    <w:p>
      <w:pPr>
        <w:spacing w:line="360" w:lineRule="auto"/>
        <w:ind w:firstLine="480" w:firstLineChars="200"/>
        <w:rPr>
          <w:rFonts w:ascii="宋体"/>
          <w:bCs/>
          <w:color w:val="auto"/>
          <w:sz w:val="24"/>
          <w:szCs w:val="24"/>
        </w:rPr>
      </w:pPr>
      <w:r>
        <w:rPr>
          <w:rFonts w:hint="eastAsia" w:ascii="宋体" w:hAnsi="宋体"/>
          <w:bCs/>
          <w:color w:val="auto"/>
          <w:sz w:val="24"/>
          <w:szCs w:val="24"/>
        </w:rPr>
        <w:t>我方收到贵方编号</w:t>
      </w:r>
      <w:r>
        <w:rPr>
          <w:rFonts w:ascii="宋体" w:hAnsi="宋体"/>
          <w:bCs/>
          <w:color w:val="auto"/>
          <w:sz w:val="24"/>
          <w:szCs w:val="24"/>
        </w:rPr>
        <w:t>WXXWQJC2022-0</w:t>
      </w:r>
      <w:r>
        <w:rPr>
          <w:rFonts w:hint="eastAsia" w:ascii="宋体" w:hAnsi="宋体"/>
          <w:bCs/>
          <w:color w:val="auto"/>
          <w:sz w:val="24"/>
          <w:szCs w:val="24"/>
          <w:lang w:val="en-US" w:eastAsia="zh-CN"/>
        </w:rPr>
        <w:t>97</w:t>
      </w:r>
      <w:r>
        <w:rPr>
          <w:rFonts w:hint="eastAsia" w:ascii="宋体" w:hAnsi="宋体"/>
          <w:bCs/>
          <w:color w:val="auto"/>
          <w:sz w:val="24"/>
          <w:szCs w:val="24"/>
        </w:rPr>
        <w:t>招标文件，经仔细阅读和研究，我方决定参加此项目的投标。</w:t>
      </w:r>
    </w:p>
    <w:p>
      <w:pPr>
        <w:numPr>
          <w:ilvl w:val="0"/>
          <w:numId w:val="33"/>
        </w:numPr>
        <w:tabs>
          <w:tab w:val="left" w:pos="315"/>
          <w:tab w:val="left" w:pos="840"/>
          <w:tab w:val="left" w:pos="945"/>
          <w:tab w:val="left" w:pos="1050"/>
          <w:tab w:val="left" w:pos="1260"/>
        </w:tabs>
        <w:spacing w:line="360" w:lineRule="auto"/>
        <w:ind w:left="0" w:firstLine="525"/>
        <w:rPr>
          <w:rFonts w:ascii="宋体"/>
          <w:bCs/>
          <w:color w:val="auto"/>
          <w:sz w:val="24"/>
          <w:szCs w:val="24"/>
        </w:rPr>
      </w:pPr>
      <w:r>
        <w:rPr>
          <w:rFonts w:hint="eastAsia" w:ascii="宋体" w:hAnsi="宋体"/>
          <w:bCs/>
          <w:color w:val="auto"/>
          <w:sz w:val="24"/>
          <w:szCs w:val="24"/>
        </w:rPr>
        <w:t>我方愿意按照招标文件的一切要求，提供本项目的投标，投标总价见《开标一览表》。</w:t>
      </w:r>
    </w:p>
    <w:p>
      <w:pPr>
        <w:numPr>
          <w:ilvl w:val="0"/>
          <w:numId w:val="33"/>
        </w:numPr>
        <w:tabs>
          <w:tab w:val="left" w:pos="0"/>
          <w:tab w:val="left" w:pos="315"/>
          <w:tab w:val="left" w:pos="525"/>
          <w:tab w:val="left" w:pos="840"/>
          <w:tab w:val="left" w:pos="945"/>
          <w:tab w:val="left" w:pos="1050"/>
        </w:tabs>
        <w:spacing w:line="360" w:lineRule="auto"/>
        <w:ind w:left="0" w:firstLine="523" w:firstLineChars="218"/>
        <w:rPr>
          <w:rStyle w:val="36"/>
          <w:rFonts w:hAnsi="Times New Roman" w:cs="Times New Roman"/>
          <w:bCs/>
          <w:color w:val="auto"/>
        </w:rPr>
      </w:pPr>
      <w:r>
        <w:rPr>
          <w:rFonts w:hint="eastAsia" w:ascii="宋体" w:hAnsi="宋体"/>
          <w:bCs/>
          <w:color w:val="auto"/>
          <w:sz w:val="24"/>
          <w:szCs w:val="24"/>
        </w:rPr>
        <w:t>我方愿意提供无锡市公共资源交易中心新吴分中心在招标文件中要求的文件、资料。</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我方同意按招标文件中的规定，本投标文件投标的有效期限为开标之日起</w:t>
      </w:r>
      <w:r>
        <w:rPr>
          <w:rFonts w:ascii="宋体" w:hAnsi="宋体"/>
          <w:bCs/>
          <w:color w:val="auto"/>
          <w:sz w:val="24"/>
          <w:szCs w:val="24"/>
        </w:rPr>
        <w:t>90</w:t>
      </w:r>
      <w:r>
        <w:rPr>
          <w:rFonts w:hint="eastAsia" w:ascii="宋体" w:hAnsi="宋体"/>
          <w:bCs/>
          <w:color w:val="auto"/>
          <w:sz w:val="24"/>
          <w:szCs w:val="24"/>
        </w:rPr>
        <w:t>天。</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如果我方的投标文件被接受，我方将履行招标文件中规定的每一项要求，按期、按质、按量，完成交货任务。</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我方认为贵中心有权决定中标者。</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我方愿意遵守《中华人民共和国政府采购法》，并按《中华人民共和国民法典》、财政部《政府采购货物和服务招标投标管理办法》</w:t>
      </w:r>
      <w:r>
        <w:rPr>
          <w:rFonts w:hint="eastAsia" w:ascii="宋体" w:hAnsi="宋体"/>
          <w:color w:val="auto"/>
          <w:sz w:val="24"/>
          <w:szCs w:val="24"/>
        </w:rPr>
        <w:t>和</w:t>
      </w:r>
      <w:r>
        <w:rPr>
          <w:rFonts w:hint="eastAsia" w:ascii="宋体" w:hAnsi="宋体"/>
          <w:bCs/>
          <w:color w:val="auto"/>
          <w:sz w:val="24"/>
          <w:szCs w:val="24"/>
        </w:rPr>
        <w:t>合同条款履行自己的全部责任。</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我方认可并遵守招标文件的所有规定，放弃对招标文件提出质疑的权利。</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我方愿意按招标文件的规定上传《投标（报价）承诺函》。如我方在投标截止期后撤回投标及中标后拒绝遵守投标承诺或拒绝在规定的时间内与采购人签订合同，则接受政府采购监督管理部门的处理。</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如果我方被确定为中标供应商，且我方如无不可抗力，又未履行招标文件、投标文件和合同条款的，一经查实，我方愿意赔偿由此而造成的一切损失，并同意接受按招标文件的相关要求对我方进行的处理。</w:t>
      </w:r>
    </w:p>
    <w:p>
      <w:pPr>
        <w:numPr>
          <w:ilvl w:val="0"/>
          <w:numId w:val="33"/>
        </w:numPr>
        <w:tabs>
          <w:tab w:val="left" w:pos="0"/>
          <w:tab w:val="left" w:pos="315"/>
          <w:tab w:val="left" w:pos="525"/>
          <w:tab w:val="left" w:pos="945"/>
          <w:tab w:val="left" w:pos="1050"/>
        </w:tabs>
        <w:spacing w:line="360" w:lineRule="auto"/>
        <w:ind w:left="0" w:firstLine="523" w:firstLineChars="218"/>
        <w:rPr>
          <w:rFonts w:ascii="宋体"/>
          <w:bCs/>
          <w:color w:val="auto"/>
          <w:sz w:val="24"/>
          <w:szCs w:val="24"/>
        </w:rPr>
      </w:pPr>
      <w:r>
        <w:rPr>
          <w:rFonts w:hint="eastAsia" w:ascii="宋体" w:hAnsi="宋体"/>
          <w:bCs/>
          <w:color w:val="auto"/>
          <w:sz w:val="24"/>
          <w:szCs w:val="24"/>
        </w:rPr>
        <w:t>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color w:val="auto"/>
          <w:sz w:val="24"/>
          <w:szCs w:val="24"/>
        </w:rPr>
      </w:pPr>
    </w:p>
    <w:p>
      <w:pPr>
        <w:spacing w:line="400" w:lineRule="exact"/>
        <w:ind w:firstLine="480" w:firstLineChars="200"/>
        <w:rPr>
          <w:rFonts w:ascii="宋体"/>
          <w:bCs/>
          <w:color w:val="auto"/>
          <w:sz w:val="24"/>
          <w:szCs w:val="24"/>
        </w:rPr>
      </w:pPr>
      <w:r>
        <w:rPr>
          <w:rFonts w:hint="eastAsia" w:ascii="宋体" w:hAnsi="宋体"/>
          <w:bCs/>
          <w:color w:val="auto"/>
          <w:sz w:val="24"/>
          <w:szCs w:val="24"/>
        </w:rPr>
        <w:t>投标人（盖章）：</w:t>
      </w:r>
    </w:p>
    <w:p>
      <w:pPr>
        <w:spacing w:line="400" w:lineRule="exact"/>
        <w:ind w:firstLine="480" w:firstLineChars="200"/>
        <w:rPr>
          <w:rFonts w:ascii="宋体"/>
          <w:bCs/>
          <w:color w:val="auto"/>
          <w:sz w:val="24"/>
          <w:szCs w:val="24"/>
        </w:rPr>
      </w:pPr>
      <w:r>
        <w:rPr>
          <w:rFonts w:hint="eastAsia" w:ascii="宋体" w:hAnsi="宋体"/>
          <w:bCs/>
          <w:color w:val="auto"/>
          <w:sz w:val="24"/>
          <w:szCs w:val="24"/>
        </w:rPr>
        <w:t>法定代表人或法定代表人授权代表签字或盖章：</w:t>
      </w:r>
    </w:p>
    <w:p>
      <w:pPr>
        <w:spacing w:line="400" w:lineRule="exact"/>
        <w:ind w:firstLine="480" w:firstLineChars="200"/>
        <w:rPr>
          <w:rFonts w:ascii="宋体"/>
          <w:bCs/>
          <w:color w:val="auto"/>
          <w:sz w:val="24"/>
          <w:szCs w:val="24"/>
        </w:rPr>
      </w:pPr>
      <w:r>
        <w:rPr>
          <w:rFonts w:hint="eastAsia" w:ascii="宋体" w:hAnsi="宋体"/>
          <w:bCs/>
          <w:color w:val="auto"/>
          <w:sz w:val="24"/>
          <w:szCs w:val="24"/>
        </w:rPr>
        <w:t>电话：                              传真：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通讯地址：                          邮编：</w:t>
      </w:r>
    </w:p>
    <w:p>
      <w:pPr>
        <w:spacing w:line="400" w:lineRule="exact"/>
        <w:ind w:firstLine="480" w:firstLineChars="200"/>
        <w:rPr>
          <w:rFonts w:ascii="宋体" w:hAnsi="宋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（二）（投标人）关于资格的声明函（格式）：</w:t>
      </w:r>
    </w:p>
    <w:p>
      <w:pPr>
        <w:spacing w:line="360" w:lineRule="auto"/>
        <w:rPr>
          <w:rFonts w:ascii="黑体" w:eastAsia="黑体"/>
          <w:bCs/>
          <w:color w:val="auto"/>
          <w:sz w:val="36"/>
        </w:rPr>
      </w:pPr>
    </w:p>
    <w:p>
      <w:pPr>
        <w:jc w:val="center"/>
        <w:rPr>
          <w:rFonts w:ascii="黑体" w:eastAsia="黑体"/>
          <w:bCs/>
          <w:color w:val="auto"/>
          <w:sz w:val="28"/>
          <w:szCs w:val="28"/>
        </w:rPr>
      </w:pPr>
      <w:bookmarkStart w:id="4" w:name="报价方关于资格的声明函（格式）"/>
      <w:bookmarkEnd w:id="4"/>
      <w:r>
        <w:rPr>
          <w:rFonts w:hint="eastAsia" w:ascii="黑体" w:eastAsia="黑体"/>
          <w:bCs/>
          <w:color w:val="auto"/>
          <w:sz w:val="28"/>
          <w:szCs w:val="28"/>
        </w:rPr>
        <w:t>关于资格的声明函</w:t>
      </w:r>
    </w:p>
    <w:p>
      <w:pPr>
        <w:jc w:val="center"/>
        <w:rPr>
          <w:rFonts w:ascii="黑体" w:eastAsia="黑体"/>
          <w:bCs/>
          <w:color w:val="auto"/>
          <w:sz w:val="32"/>
        </w:rPr>
      </w:pPr>
    </w:p>
    <w:p>
      <w:pPr>
        <w:spacing w:line="480" w:lineRule="auto"/>
        <w:jc w:val="center"/>
        <w:rPr>
          <w:rFonts w:ascii="宋体"/>
          <w:bCs/>
          <w:color w:val="auto"/>
          <w:sz w:val="24"/>
          <w:szCs w:val="24"/>
        </w:rPr>
      </w:pPr>
      <w:r>
        <w:rPr>
          <w:rFonts w:hint="eastAsia" w:ascii="宋体" w:hAnsi="宋体"/>
          <w:bCs/>
          <w:color w:val="auto"/>
          <w:sz w:val="24"/>
          <w:szCs w:val="24"/>
        </w:rPr>
        <w:t>采购项目编号：</w:t>
      </w:r>
    </w:p>
    <w:p>
      <w:pPr>
        <w:tabs>
          <w:tab w:val="left" w:pos="6300"/>
        </w:tabs>
        <w:spacing w:line="480" w:lineRule="auto"/>
        <w:jc w:val="center"/>
        <w:rPr>
          <w:rFonts w:ascii="宋体"/>
          <w:bCs/>
          <w:color w:val="auto"/>
          <w:sz w:val="24"/>
          <w:szCs w:val="24"/>
        </w:rPr>
      </w:pPr>
      <w:r>
        <w:rPr>
          <w:rFonts w:hint="eastAsia" w:ascii="宋体" w:hAnsi="宋体"/>
          <w:bCs/>
          <w:color w:val="auto"/>
          <w:sz w:val="24"/>
          <w:szCs w:val="24"/>
        </w:rPr>
        <w:t>日期：</w:t>
      </w:r>
    </w:p>
    <w:p>
      <w:pPr>
        <w:spacing w:line="480" w:lineRule="auto"/>
        <w:jc w:val="center"/>
        <w:rPr>
          <w:rFonts w:ascii="宋体"/>
          <w:bCs/>
          <w:color w:val="auto"/>
          <w:sz w:val="24"/>
          <w:szCs w:val="24"/>
        </w:rPr>
      </w:pPr>
    </w:p>
    <w:p>
      <w:pPr>
        <w:spacing w:line="480" w:lineRule="auto"/>
        <w:rPr>
          <w:rFonts w:ascii="宋体"/>
          <w:bCs/>
          <w:color w:val="auto"/>
          <w:sz w:val="24"/>
          <w:szCs w:val="24"/>
        </w:rPr>
      </w:pPr>
      <w:r>
        <w:rPr>
          <w:rFonts w:hint="eastAsia" w:ascii="宋体" w:hAnsi="宋体"/>
          <w:bCs/>
          <w:color w:val="auto"/>
          <w:sz w:val="24"/>
          <w:szCs w:val="24"/>
        </w:rPr>
        <w:t>无锡市公共资源交易中心新吴分中心：</w:t>
      </w:r>
    </w:p>
    <w:p>
      <w:pPr>
        <w:spacing w:line="480" w:lineRule="auto"/>
        <w:rPr>
          <w:rFonts w:ascii="宋体"/>
          <w:bCs/>
          <w:color w:val="auto"/>
          <w:sz w:val="24"/>
          <w:szCs w:val="24"/>
        </w:rPr>
      </w:pPr>
    </w:p>
    <w:p>
      <w:pPr>
        <w:spacing w:line="480" w:lineRule="auto"/>
        <w:ind w:firstLine="480" w:firstLineChars="200"/>
        <w:rPr>
          <w:rFonts w:ascii="宋体"/>
          <w:bCs/>
          <w:color w:val="auto"/>
          <w:sz w:val="24"/>
          <w:szCs w:val="24"/>
        </w:rPr>
      </w:pPr>
      <w:r>
        <w:rPr>
          <w:rFonts w:hint="eastAsia" w:ascii="宋体" w:hAnsi="宋体"/>
          <w:bCs/>
          <w:color w:val="auto"/>
          <w:sz w:val="24"/>
          <w:szCs w:val="24"/>
        </w:rPr>
        <w:t>我公司（单位）参加本次项目（</w:t>
      </w:r>
      <w:r>
        <w:rPr>
          <w:rFonts w:ascii="黑体" w:eastAsia="黑体"/>
          <w:bCs/>
          <w:color w:val="auto"/>
          <w:sz w:val="24"/>
          <w:szCs w:val="24"/>
        </w:rPr>
        <w:t>WXXWQJC2022-0</w:t>
      </w:r>
      <w:r>
        <w:rPr>
          <w:rFonts w:hint="eastAsia" w:ascii="黑体" w:eastAsia="黑体"/>
          <w:bCs/>
          <w:color w:val="auto"/>
          <w:sz w:val="24"/>
          <w:szCs w:val="24"/>
          <w:lang w:val="en-US" w:eastAsia="zh-CN"/>
        </w:rPr>
        <w:t>97</w:t>
      </w:r>
      <w:r>
        <w:rPr>
          <w:rFonts w:hint="eastAsia" w:ascii="黑体" w:eastAsia="黑体"/>
          <w:bCs/>
          <w:color w:val="auto"/>
          <w:sz w:val="24"/>
          <w:szCs w:val="24"/>
        </w:rPr>
        <w:t>）</w:t>
      </w:r>
      <w:r>
        <w:rPr>
          <w:rFonts w:hint="eastAsia" w:ascii="宋体" w:hAnsi="宋体"/>
          <w:bCs/>
          <w:color w:val="auto"/>
          <w:sz w:val="24"/>
          <w:szCs w:val="24"/>
        </w:rPr>
        <w:t>政府采购活动前三年内，在经营活动中没有重大违法记录，我公司（单位）愿针对本次项目（</w:t>
      </w:r>
      <w:r>
        <w:rPr>
          <w:rFonts w:ascii="黑体" w:eastAsia="黑体"/>
          <w:bCs/>
          <w:color w:val="auto"/>
          <w:sz w:val="24"/>
          <w:szCs w:val="24"/>
        </w:rPr>
        <w:t>WXXWQJC2022-0</w:t>
      </w:r>
      <w:r>
        <w:rPr>
          <w:rFonts w:hint="eastAsia" w:ascii="黑体" w:eastAsia="黑体"/>
          <w:bCs/>
          <w:color w:val="auto"/>
          <w:sz w:val="24"/>
          <w:szCs w:val="24"/>
          <w:lang w:val="en-US" w:eastAsia="zh-CN"/>
        </w:rPr>
        <w:t>97</w:t>
      </w:r>
      <w:r>
        <w:rPr>
          <w:rFonts w:hint="eastAsia" w:ascii="黑体" w:eastAsia="黑体"/>
          <w:bCs/>
          <w:color w:val="auto"/>
          <w:sz w:val="24"/>
          <w:szCs w:val="24"/>
        </w:rPr>
        <w:t>）</w:t>
      </w:r>
      <w:r>
        <w:rPr>
          <w:rFonts w:hint="eastAsia" w:ascii="宋体" w:hAnsi="宋体"/>
          <w:bCs/>
          <w:color w:val="auto"/>
          <w:sz w:val="24"/>
          <w:szCs w:val="24"/>
        </w:rPr>
        <w:t>进行投标，投标文件中所有关于投标资格的文件、证明、陈述均是真实的、准确的。若有违背，我公司（单位）愿意承担由此而产生的一切后果。</w:t>
      </w:r>
    </w:p>
    <w:p>
      <w:pPr>
        <w:spacing w:line="480" w:lineRule="auto"/>
        <w:rPr>
          <w:rFonts w:ascii="宋体"/>
          <w:bCs/>
          <w:color w:val="auto"/>
          <w:sz w:val="24"/>
          <w:szCs w:val="24"/>
        </w:rPr>
      </w:pPr>
    </w:p>
    <w:p>
      <w:pPr>
        <w:spacing w:line="480" w:lineRule="auto"/>
        <w:rPr>
          <w:rFonts w:ascii="宋体"/>
          <w:bCs/>
          <w:color w:val="auto"/>
          <w:sz w:val="24"/>
          <w:szCs w:val="24"/>
        </w:rPr>
      </w:pPr>
      <w:r>
        <w:rPr>
          <w:rFonts w:hint="eastAsia" w:ascii="宋体" w:hAnsi="宋体"/>
          <w:bCs/>
          <w:color w:val="auto"/>
          <w:sz w:val="24"/>
          <w:szCs w:val="24"/>
        </w:rPr>
        <w:t>投标人（盖章）：</w:t>
      </w:r>
    </w:p>
    <w:p>
      <w:pPr>
        <w:spacing w:line="480" w:lineRule="auto"/>
        <w:rPr>
          <w:rFonts w:ascii="宋体"/>
          <w:bCs/>
          <w:color w:val="auto"/>
          <w:sz w:val="24"/>
          <w:szCs w:val="24"/>
        </w:rPr>
      </w:pPr>
      <w:r>
        <w:rPr>
          <w:rFonts w:hint="eastAsia" w:ascii="宋体" w:hAnsi="宋体"/>
          <w:bCs/>
          <w:color w:val="auto"/>
          <w:sz w:val="24"/>
          <w:szCs w:val="24"/>
        </w:rPr>
        <w:t>法定代表人或法定代表人授权代表（签字或盖章）：</w:t>
      </w:r>
    </w:p>
    <w:p>
      <w:pPr>
        <w:spacing w:line="480" w:lineRule="auto"/>
        <w:rPr>
          <w:rFonts w:ascii="宋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20" w:firstLineChars="200"/>
        <w:rPr>
          <w:rFonts w:ascii="黑体" w:hAnsi="宋体" w:eastAsia="黑体"/>
          <w:bCs/>
          <w:color w:val="auto"/>
          <w:sz w:val="24"/>
          <w:szCs w:val="24"/>
        </w:rPr>
      </w:pPr>
      <w:r>
        <w:rPr>
          <w:rFonts w:hint="eastAsia"/>
          <w:color w:val="auto"/>
        </w:rPr>
        <w:t>备注：上述所称“重大违法记录”,是指供应商因违法经营受到刑事处罚或者责令停产停业、吊销许可证或者执照、较大数额罚款等行政处罚。</w:t>
      </w: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rPr>
          <w:rFonts w:ascii="黑体" w:hAnsi="宋体" w:eastAsia="黑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（三）（投标人）法定代表人授权委托书（格式）：</w:t>
      </w:r>
    </w:p>
    <w:p>
      <w:pPr>
        <w:rPr>
          <w:rFonts w:ascii="黑体" w:eastAsia="黑体"/>
          <w:bCs/>
          <w:color w:val="auto"/>
          <w:sz w:val="28"/>
          <w:szCs w:val="28"/>
        </w:rPr>
      </w:pPr>
    </w:p>
    <w:p>
      <w:pPr>
        <w:jc w:val="center"/>
        <w:rPr>
          <w:rFonts w:ascii="黑体" w:eastAsia="黑体"/>
          <w:bCs/>
          <w:color w:val="auto"/>
          <w:sz w:val="28"/>
          <w:szCs w:val="28"/>
        </w:rPr>
      </w:pPr>
      <w:r>
        <w:rPr>
          <w:rFonts w:hint="eastAsia" w:ascii="黑体" w:eastAsia="黑体"/>
          <w:bCs/>
          <w:color w:val="auto"/>
          <w:sz w:val="28"/>
          <w:szCs w:val="28"/>
        </w:rPr>
        <w:t>法定代表人授权委托书</w:t>
      </w:r>
    </w:p>
    <w:p>
      <w:pPr>
        <w:spacing w:line="360" w:lineRule="auto"/>
        <w:jc w:val="center"/>
        <w:rPr>
          <w:rFonts w:ascii="楷体_GB2312" w:eastAsia="楷体_GB2312"/>
          <w:bCs/>
          <w:color w:val="auto"/>
          <w:sz w:val="36"/>
        </w:rPr>
      </w:pPr>
    </w:p>
    <w:p>
      <w:pPr>
        <w:spacing w:line="480" w:lineRule="auto"/>
        <w:ind w:firstLine="6000" w:firstLineChars="2500"/>
        <w:rPr>
          <w:rFonts w:ascii="宋体"/>
          <w:bCs/>
          <w:color w:val="auto"/>
          <w:sz w:val="24"/>
          <w:szCs w:val="24"/>
        </w:rPr>
      </w:pPr>
      <w:r>
        <w:rPr>
          <w:rFonts w:hint="eastAsia" w:ascii="宋体" w:hAnsi="宋体"/>
          <w:bCs/>
          <w:color w:val="auto"/>
          <w:sz w:val="24"/>
          <w:szCs w:val="24"/>
        </w:rPr>
        <w:t>采购项目编号：</w:t>
      </w:r>
    </w:p>
    <w:p>
      <w:pPr>
        <w:spacing w:line="480" w:lineRule="auto"/>
        <w:ind w:firstLine="6960" w:firstLineChars="2900"/>
        <w:rPr>
          <w:rFonts w:ascii="宋体"/>
          <w:bCs/>
          <w:color w:val="auto"/>
          <w:sz w:val="24"/>
          <w:szCs w:val="24"/>
        </w:rPr>
      </w:pPr>
      <w:r>
        <w:rPr>
          <w:rFonts w:hint="eastAsia" w:ascii="宋体" w:hAnsi="宋体"/>
          <w:bCs/>
          <w:color w:val="auto"/>
          <w:sz w:val="24"/>
          <w:szCs w:val="24"/>
        </w:rPr>
        <w:t>日期：</w:t>
      </w:r>
    </w:p>
    <w:p>
      <w:pPr>
        <w:spacing w:line="600" w:lineRule="exact"/>
        <w:rPr>
          <w:rFonts w:ascii="宋体"/>
          <w:bCs/>
          <w:color w:val="auto"/>
          <w:sz w:val="24"/>
          <w:szCs w:val="24"/>
        </w:rPr>
      </w:pPr>
      <w:r>
        <w:rPr>
          <w:rFonts w:hint="eastAsia" w:ascii="宋体" w:hAnsi="宋体"/>
          <w:bCs/>
          <w:color w:val="auto"/>
          <w:sz w:val="24"/>
          <w:szCs w:val="24"/>
        </w:rPr>
        <w:t>无锡市公共资源交易中心新吴分中心：</w:t>
      </w:r>
    </w:p>
    <w:p>
      <w:pPr>
        <w:spacing w:line="580" w:lineRule="exact"/>
        <w:ind w:firstLine="1920" w:firstLineChars="800"/>
        <w:rPr>
          <w:rFonts w:ascii="宋体"/>
          <w:bCs/>
          <w:color w:val="auto"/>
          <w:sz w:val="24"/>
          <w:szCs w:val="24"/>
        </w:rPr>
      </w:pPr>
      <w:r>
        <w:rPr>
          <w:rFonts w:hint="eastAsia" w:ascii="宋体" w:hAnsi="宋体"/>
          <w:bCs/>
          <w:color w:val="auto"/>
          <w:sz w:val="24"/>
          <w:szCs w:val="24"/>
        </w:rPr>
        <w:t>系中华人民共和国合法公司（单位），特授权代表我公司（单位）全权办理针对本项目（</w:t>
      </w:r>
      <w:r>
        <w:rPr>
          <w:rFonts w:ascii="黑体" w:eastAsia="黑体"/>
          <w:bCs/>
          <w:color w:val="auto"/>
          <w:sz w:val="24"/>
          <w:szCs w:val="24"/>
        </w:rPr>
        <w:t>WXXWQJC2022-0</w:t>
      </w:r>
      <w:r>
        <w:rPr>
          <w:rFonts w:hint="eastAsia" w:ascii="黑体" w:eastAsia="黑体"/>
          <w:bCs/>
          <w:color w:val="auto"/>
          <w:sz w:val="24"/>
          <w:szCs w:val="24"/>
          <w:lang w:val="en-US" w:eastAsia="zh-CN"/>
        </w:rPr>
        <w:t>97</w:t>
      </w:r>
      <w:r>
        <w:rPr>
          <w:rFonts w:hint="eastAsia" w:ascii="黑体" w:eastAsia="黑体"/>
          <w:bCs/>
          <w:color w:val="auto"/>
          <w:sz w:val="24"/>
          <w:szCs w:val="24"/>
        </w:rPr>
        <w:t>）</w:t>
      </w:r>
      <w:r>
        <w:rPr>
          <w:rFonts w:hint="eastAsia" w:ascii="宋体" w:hAnsi="宋体"/>
          <w:bCs/>
          <w:color w:val="auto"/>
          <w:sz w:val="24"/>
          <w:szCs w:val="24"/>
        </w:rPr>
        <w:t>的投标、参与开标、评标、签约等具体工作，并签署全部有关的文件、协议及合同。</w:t>
      </w:r>
    </w:p>
    <w:p>
      <w:pPr>
        <w:spacing w:line="580" w:lineRule="exact"/>
        <w:ind w:firstLine="480" w:firstLineChars="200"/>
        <w:rPr>
          <w:rFonts w:ascii="宋体"/>
          <w:bCs/>
          <w:color w:val="auto"/>
          <w:sz w:val="24"/>
          <w:szCs w:val="24"/>
        </w:rPr>
      </w:pPr>
      <w:r>
        <w:rPr>
          <w:rFonts w:hint="eastAsia" w:ascii="宋体" w:hAnsi="宋体"/>
          <w:bCs/>
          <w:color w:val="auto"/>
          <w:sz w:val="24"/>
          <w:szCs w:val="24"/>
        </w:rPr>
        <w:t>我公司（单位）对被授权代表的签名负全部责任。</w:t>
      </w:r>
    </w:p>
    <w:p>
      <w:pPr>
        <w:spacing w:line="580" w:lineRule="exact"/>
        <w:ind w:firstLine="480" w:firstLineChars="200"/>
        <w:rPr>
          <w:rFonts w:ascii="宋体"/>
          <w:bCs/>
          <w:color w:val="auto"/>
          <w:sz w:val="24"/>
          <w:szCs w:val="24"/>
        </w:rPr>
      </w:pPr>
      <w:r>
        <w:rPr>
          <w:rFonts w:hint="eastAsia" w:ascii="宋体" w:hAnsi="宋体"/>
          <w:bCs/>
          <w:color w:val="auto"/>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auto"/>
          <w:sz w:val="24"/>
          <w:szCs w:val="24"/>
        </w:rPr>
      </w:pPr>
      <w:r>
        <w:rPr>
          <w:rFonts w:hint="eastAsia" w:ascii="宋体" w:hAnsi="宋体"/>
          <w:bCs/>
          <w:color w:val="auto"/>
          <w:sz w:val="24"/>
          <w:szCs w:val="24"/>
        </w:rPr>
        <w:t>被授权代表情况：</w:t>
      </w:r>
    </w:p>
    <w:p>
      <w:pPr>
        <w:spacing w:line="580" w:lineRule="exact"/>
        <w:ind w:firstLine="525"/>
        <w:rPr>
          <w:rFonts w:ascii="宋体"/>
          <w:bCs/>
          <w:color w:val="auto"/>
          <w:sz w:val="24"/>
          <w:szCs w:val="24"/>
        </w:rPr>
      </w:pPr>
      <w:r>
        <w:rPr>
          <w:rFonts w:hint="eastAsia" w:ascii="宋体" w:hAnsi="宋体"/>
          <w:bCs/>
          <w:color w:val="auto"/>
          <w:sz w:val="24"/>
          <w:szCs w:val="24"/>
        </w:rPr>
        <w:t>姓名：               性别：                 电话：</w:t>
      </w:r>
    </w:p>
    <w:p>
      <w:pPr>
        <w:spacing w:line="580" w:lineRule="exact"/>
        <w:ind w:firstLine="3240" w:firstLineChars="1350"/>
        <w:rPr>
          <w:rFonts w:ascii="宋体"/>
          <w:bCs/>
          <w:color w:val="auto"/>
          <w:sz w:val="24"/>
          <w:szCs w:val="24"/>
        </w:rPr>
      </w:pPr>
    </w:p>
    <w:p>
      <w:pPr>
        <w:spacing w:line="580" w:lineRule="exact"/>
        <w:ind w:firstLine="3240" w:firstLineChars="1350"/>
        <w:rPr>
          <w:rFonts w:ascii="宋体"/>
          <w:bCs/>
          <w:color w:val="auto"/>
          <w:sz w:val="24"/>
          <w:szCs w:val="24"/>
        </w:rPr>
      </w:pPr>
    </w:p>
    <w:p>
      <w:pPr>
        <w:spacing w:line="580" w:lineRule="exact"/>
        <w:ind w:firstLine="5160" w:firstLineChars="2150"/>
        <w:rPr>
          <w:rFonts w:ascii="宋体"/>
          <w:bCs/>
          <w:color w:val="auto"/>
          <w:sz w:val="24"/>
          <w:szCs w:val="24"/>
        </w:rPr>
      </w:pPr>
      <w:r>
        <w:rPr>
          <w:rFonts w:hint="eastAsia" w:ascii="宋体" w:hAnsi="宋体"/>
          <w:bCs/>
          <w:color w:val="auto"/>
          <w:sz w:val="24"/>
          <w:szCs w:val="24"/>
        </w:rPr>
        <w:t>单位名称（盖章）：</w:t>
      </w:r>
    </w:p>
    <w:p>
      <w:pPr>
        <w:spacing w:line="580" w:lineRule="exact"/>
        <w:ind w:firstLine="4080" w:firstLineChars="1700"/>
        <w:rPr>
          <w:rFonts w:ascii="宋体"/>
          <w:bCs/>
          <w:color w:val="auto"/>
          <w:sz w:val="24"/>
          <w:szCs w:val="24"/>
        </w:rPr>
      </w:pPr>
      <w:r>
        <w:rPr>
          <w:rFonts w:hint="eastAsia" w:ascii="宋体" w:hAnsi="宋体"/>
          <w:bCs/>
          <w:color w:val="auto"/>
          <w:sz w:val="24"/>
          <w:szCs w:val="24"/>
        </w:rPr>
        <w:t>法定代表人（签字或盖章）：</w:t>
      </w:r>
    </w:p>
    <w:p>
      <w:pPr>
        <w:spacing w:line="580" w:lineRule="exact"/>
        <w:ind w:firstLine="420"/>
        <w:rPr>
          <w:rFonts w:ascii="宋体"/>
          <w:bCs/>
          <w:color w:val="auto"/>
          <w:sz w:val="24"/>
          <w:szCs w:val="24"/>
        </w:rPr>
      </w:pPr>
    </w:p>
    <w:p>
      <w:pPr>
        <w:spacing w:line="580" w:lineRule="exact"/>
        <w:ind w:firstLine="420"/>
        <w:rPr>
          <w:rFonts w:ascii="宋体"/>
          <w:bCs/>
          <w:color w:val="auto"/>
          <w:sz w:val="24"/>
          <w:szCs w:val="24"/>
        </w:rPr>
      </w:pPr>
    </w:p>
    <w:p>
      <w:pPr>
        <w:ind w:firstLine="480" w:firstLineChars="200"/>
        <w:rPr>
          <w:rFonts w:hint="eastAsia" w:ascii="黑体" w:hAnsi="宋体" w:eastAsia="黑体"/>
          <w:bCs/>
          <w:color w:val="auto"/>
          <w:sz w:val="24"/>
          <w:szCs w:val="24"/>
        </w:rPr>
      </w:pPr>
    </w:p>
    <w:p>
      <w:pPr>
        <w:ind w:firstLine="480" w:firstLineChars="200"/>
        <w:rPr>
          <w:rFonts w:hint="eastAsia" w:ascii="黑体" w:hAnsi="宋体" w:eastAsia="黑体"/>
          <w:bCs/>
          <w:color w:val="auto"/>
          <w:sz w:val="24"/>
          <w:szCs w:val="24"/>
        </w:rPr>
      </w:pPr>
    </w:p>
    <w:p>
      <w:pPr>
        <w:ind w:firstLine="480" w:firstLineChars="200"/>
        <w:rPr>
          <w:rFonts w:hint="eastAsia" w:ascii="黑体" w:hAnsi="宋体" w:eastAsia="黑体"/>
          <w:bCs/>
          <w:color w:val="auto"/>
          <w:sz w:val="24"/>
          <w:szCs w:val="24"/>
        </w:rPr>
      </w:pPr>
    </w:p>
    <w:p>
      <w:pPr>
        <w:ind w:firstLine="480" w:firstLineChars="200"/>
        <w:rPr>
          <w:rFonts w:hint="eastAsia" w:ascii="黑体" w:hAnsi="宋体" w:eastAsia="黑体"/>
          <w:bCs/>
          <w:color w:val="auto"/>
          <w:sz w:val="24"/>
          <w:szCs w:val="24"/>
        </w:rPr>
      </w:pPr>
    </w:p>
    <w:p>
      <w:pPr>
        <w:ind w:firstLine="480" w:firstLineChars="200"/>
        <w:rPr>
          <w:rFonts w:hint="eastAsia" w:ascii="黑体" w:hAnsi="宋体" w:eastAsia="黑体"/>
          <w:bCs/>
          <w:color w:val="auto"/>
          <w:sz w:val="24"/>
          <w:szCs w:val="24"/>
        </w:rPr>
      </w:pPr>
    </w:p>
    <w:p>
      <w:pPr>
        <w:pStyle w:val="6"/>
        <w:jc w:val="both"/>
        <w:rPr>
          <w:rFonts w:hint="eastAsia" w:ascii="黑体" w:hAnsi="宋体" w:eastAsia="黑体"/>
          <w:bCs w:val="0"/>
          <w:color w:val="auto"/>
          <w:sz w:val="24"/>
          <w:szCs w:val="24"/>
        </w:rPr>
      </w:pPr>
    </w:p>
    <w:p>
      <w:pPr>
        <w:rPr>
          <w:rFonts w:hint="eastAsia"/>
          <w:color w:val="auto"/>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（四）承诺书（格式）：</w:t>
      </w:r>
    </w:p>
    <w:p>
      <w:pPr>
        <w:rPr>
          <w:rFonts w:ascii="黑体" w:eastAsia="黑体"/>
          <w:bCs/>
          <w:color w:val="auto"/>
          <w:sz w:val="28"/>
          <w:szCs w:val="28"/>
        </w:rPr>
      </w:pPr>
    </w:p>
    <w:p>
      <w:pPr>
        <w:jc w:val="center"/>
        <w:rPr>
          <w:rFonts w:ascii="黑体" w:eastAsia="黑体"/>
          <w:bCs/>
          <w:color w:val="auto"/>
          <w:sz w:val="28"/>
          <w:szCs w:val="28"/>
        </w:rPr>
      </w:pPr>
      <w:r>
        <w:rPr>
          <w:rFonts w:hint="eastAsia" w:ascii="黑体" w:eastAsia="黑体"/>
          <w:bCs/>
          <w:color w:val="auto"/>
          <w:sz w:val="28"/>
          <w:szCs w:val="28"/>
        </w:rPr>
        <w:t>承诺书</w:t>
      </w:r>
    </w:p>
    <w:p>
      <w:pPr>
        <w:jc w:val="center"/>
        <w:rPr>
          <w:rFonts w:ascii="黑体" w:eastAsia="黑体"/>
          <w:bCs/>
          <w:color w:val="auto"/>
          <w:sz w:val="28"/>
          <w:szCs w:val="28"/>
        </w:rPr>
      </w:pPr>
    </w:p>
    <w:p>
      <w:pPr>
        <w:spacing w:line="480" w:lineRule="auto"/>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rPr>
        <w:t>投标人</w:t>
      </w:r>
      <w:r>
        <w:rPr>
          <w:rFonts w:hint="eastAsia" w:ascii="宋体" w:hAnsi="宋体"/>
          <w:color w:val="auto"/>
          <w:sz w:val="24"/>
          <w:szCs w:val="24"/>
        </w:rPr>
        <w:t>名称）在此承诺：</w:t>
      </w:r>
    </w:p>
    <w:p>
      <w:pPr>
        <w:spacing w:line="480" w:lineRule="auto"/>
        <w:ind w:firstLine="480" w:firstLineChars="200"/>
        <w:rPr>
          <w:rFonts w:ascii="宋体" w:hAnsi="宋体"/>
          <w:color w:val="auto"/>
          <w:sz w:val="24"/>
          <w:szCs w:val="24"/>
        </w:rPr>
      </w:pPr>
    </w:p>
    <w:p>
      <w:pPr>
        <w:spacing w:line="480" w:lineRule="auto"/>
        <w:ind w:firstLine="480" w:firstLineChars="200"/>
        <w:rPr>
          <w:rFonts w:ascii="宋体" w:hAnsi="宋体"/>
          <w:bCs/>
          <w:color w:val="auto"/>
          <w:sz w:val="24"/>
          <w:szCs w:val="24"/>
        </w:rPr>
      </w:pPr>
      <w:r>
        <w:rPr>
          <w:rFonts w:hint="eastAsia" w:ascii="宋体" w:hAnsi="宋体"/>
          <w:color w:val="auto"/>
          <w:sz w:val="24"/>
          <w:szCs w:val="24"/>
        </w:rPr>
        <w:t>1. 本公司（单位）</w:t>
      </w:r>
      <w:r>
        <w:rPr>
          <w:rFonts w:hint="eastAsia" w:ascii="宋体" w:hAnsi="宋体"/>
          <w:bCs/>
          <w:color w:val="auto"/>
          <w:sz w:val="24"/>
          <w:szCs w:val="24"/>
        </w:rPr>
        <w:t>对本项目（</w:t>
      </w:r>
      <w:r>
        <w:rPr>
          <w:rFonts w:ascii="宋体" w:hAnsi="宋体"/>
          <w:bCs/>
          <w:color w:val="auto"/>
          <w:sz w:val="24"/>
          <w:szCs w:val="24"/>
        </w:rPr>
        <w:t>WXXWQJC2022-0</w:t>
      </w:r>
      <w:r>
        <w:rPr>
          <w:rFonts w:hint="eastAsia" w:ascii="宋体" w:hAnsi="宋体"/>
          <w:bCs/>
          <w:color w:val="auto"/>
          <w:sz w:val="24"/>
          <w:szCs w:val="24"/>
          <w:lang w:val="en-US" w:eastAsia="zh-CN"/>
        </w:rPr>
        <w:t>97</w:t>
      </w:r>
      <w:r>
        <w:rPr>
          <w:rFonts w:hint="eastAsia" w:ascii="宋体" w:hAnsi="宋体"/>
          <w:bCs/>
          <w:color w:val="auto"/>
          <w:sz w:val="24"/>
          <w:szCs w:val="24"/>
        </w:rPr>
        <w:t>）所提供的货物均为原厂全新合格品，提供的服务符合招标文件要求；</w:t>
      </w:r>
    </w:p>
    <w:p>
      <w:pPr>
        <w:spacing w:line="480" w:lineRule="auto"/>
        <w:ind w:firstLine="480" w:firstLineChars="200"/>
        <w:rPr>
          <w:rFonts w:ascii="宋体" w:hAnsi="宋体"/>
          <w:bCs/>
          <w:color w:val="auto"/>
          <w:sz w:val="24"/>
          <w:szCs w:val="24"/>
        </w:rPr>
      </w:pPr>
      <w:r>
        <w:rPr>
          <w:rFonts w:hint="eastAsia" w:ascii="宋体" w:hAnsi="宋体"/>
          <w:bCs/>
          <w:color w:val="auto"/>
          <w:sz w:val="24"/>
          <w:szCs w:val="24"/>
        </w:rPr>
        <w:t>2.</w:t>
      </w:r>
      <w:r>
        <w:rPr>
          <w:rFonts w:hint="eastAsia" w:ascii="宋体" w:hAnsi="宋体"/>
          <w:color w:val="auto"/>
          <w:sz w:val="24"/>
          <w:szCs w:val="24"/>
        </w:rPr>
        <w:t>本公司（单位）</w:t>
      </w:r>
      <w:r>
        <w:rPr>
          <w:rFonts w:hint="eastAsia" w:ascii="宋体" w:hAnsi="宋体"/>
          <w:bCs/>
          <w:color w:val="auto"/>
          <w:sz w:val="24"/>
          <w:szCs w:val="24"/>
        </w:rPr>
        <w:t>具备履行合同所必需的设备和专业技术能力；</w:t>
      </w:r>
    </w:p>
    <w:p>
      <w:pPr>
        <w:spacing w:line="480" w:lineRule="auto"/>
        <w:ind w:firstLine="480" w:firstLineChars="200"/>
        <w:rPr>
          <w:rFonts w:ascii="宋体" w:hAnsi="宋体"/>
          <w:bCs/>
          <w:color w:val="auto"/>
          <w:sz w:val="24"/>
          <w:szCs w:val="24"/>
        </w:rPr>
      </w:pPr>
      <w:r>
        <w:rPr>
          <w:rFonts w:hint="eastAsia" w:ascii="宋体" w:hAnsi="宋体"/>
          <w:bCs/>
          <w:color w:val="auto"/>
          <w:sz w:val="24"/>
          <w:szCs w:val="24"/>
        </w:rPr>
        <w:t>3.</w:t>
      </w:r>
      <w:r>
        <w:rPr>
          <w:rFonts w:hint="eastAsia" w:ascii="宋体"/>
          <w:bCs/>
          <w:color w:val="auto"/>
          <w:szCs w:val="21"/>
        </w:rPr>
        <w:t xml:space="preserve"> </w:t>
      </w:r>
      <w:r>
        <w:rPr>
          <w:rFonts w:hint="eastAsia" w:ascii="宋体" w:hAnsi="宋体"/>
          <w:color w:val="auto"/>
          <w:sz w:val="24"/>
          <w:szCs w:val="24"/>
        </w:rPr>
        <w:t>本公司未被“</w:t>
      </w:r>
      <w:r>
        <w:rPr>
          <w:rFonts w:hint="eastAsia" w:ascii="宋体" w:hAnsi="宋体"/>
          <w:bCs/>
          <w:color w:val="auto"/>
          <w:sz w:val="24"/>
          <w:szCs w:val="24"/>
        </w:rPr>
        <w:t>信用中国</w:t>
      </w:r>
      <w:r>
        <w:rPr>
          <w:rFonts w:hint="eastAsia" w:ascii="宋体" w:hAnsi="宋体"/>
          <w:color w:val="auto"/>
          <w:sz w:val="24"/>
          <w:szCs w:val="24"/>
        </w:rPr>
        <w:t>”</w:t>
      </w:r>
      <w:r>
        <w:rPr>
          <w:rFonts w:hint="eastAsia" w:ascii="宋体" w:hAnsi="宋体"/>
          <w:bCs/>
          <w:color w:val="auto"/>
          <w:sz w:val="24"/>
          <w:szCs w:val="24"/>
        </w:rPr>
        <w:t>网站（</w:t>
      </w:r>
      <w:r>
        <w:rPr>
          <w:color w:val="auto"/>
        </w:rPr>
        <w:fldChar w:fldCharType="begin"/>
      </w:r>
      <w:r>
        <w:rPr>
          <w:color w:val="auto"/>
        </w:rPr>
        <w:instrText xml:space="preserve">HYPERLINK "http://www.creditchina.gov.cn"</w:instrText>
      </w:r>
      <w:r>
        <w:rPr>
          <w:color w:val="auto"/>
        </w:rPr>
        <w:fldChar w:fldCharType="separate"/>
      </w:r>
      <w:r>
        <w:rPr>
          <w:rStyle w:val="37"/>
          <w:rFonts w:hint="eastAsia" w:ascii="宋体" w:hAnsi="宋体"/>
          <w:bCs/>
          <w:color w:val="auto"/>
          <w:sz w:val="24"/>
          <w:szCs w:val="24"/>
        </w:rPr>
        <w:t>www.creditchina.gov.cn</w:t>
      </w:r>
      <w:r>
        <w:rPr>
          <w:color w:val="auto"/>
        </w:rPr>
        <w:fldChar w:fldCharType="end"/>
      </w:r>
      <w:r>
        <w:rPr>
          <w:rFonts w:hint="eastAsia" w:ascii="宋体" w:hAnsi="宋体"/>
          <w:bCs/>
          <w:color w:val="auto"/>
          <w:sz w:val="24"/>
          <w:szCs w:val="24"/>
        </w:rPr>
        <w:t>）、</w:t>
      </w:r>
      <w:r>
        <w:rPr>
          <w:rFonts w:hint="eastAsia" w:ascii="宋体" w:hAnsi="宋体"/>
          <w:color w:val="auto"/>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color w:val="auto"/>
          <w:sz w:val="24"/>
          <w:szCs w:val="24"/>
        </w:rPr>
      </w:pPr>
      <w:r>
        <w:rPr>
          <w:rFonts w:hint="eastAsia" w:ascii="宋体" w:hAnsi="宋体"/>
          <w:bCs/>
          <w:color w:val="auto"/>
          <w:sz w:val="24"/>
          <w:szCs w:val="24"/>
        </w:rPr>
        <w:t>如违背上述承诺，本公司</w:t>
      </w:r>
      <w:r>
        <w:rPr>
          <w:rFonts w:hint="eastAsia" w:ascii="宋体" w:hAnsi="宋体"/>
          <w:color w:val="auto"/>
          <w:sz w:val="24"/>
          <w:szCs w:val="24"/>
        </w:rPr>
        <w:t>（单位）</w:t>
      </w:r>
      <w:r>
        <w:rPr>
          <w:rFonts w:hint="eastAsia" w:ascii="宋体" w:hAnsi="宋体"/>
          <w:bCs/>
          <w:color w:val="auto"/>
          <w:sz w:val="24"/>
          <w:szCs w:val="24"/>
        </w:rPr>
        <w:t>将承担一切法律责任。</w:t>
      </w:r>
    </w:p>
    <w:p>
      <w:pPr>
        <w:spacing w:line="480" w:lineRule="auto"/>
        <w:rPr>
          <w:rFonts w:ascii="宋体" w:hAnsi="宋体"/>
          <w:color w:val="auto"/>
          <w:sz w:val="24"/>
          <w:szCs w:val="20"/>
        </w:rPr>
      </w:pPr>
    </w:p>
    <w:p>
      <w:pPr>
        <w:spacing w:line="480" w:lineRule="auto"/>
        <w:ind w:firstLine="5400" w:firstLineChars="2250"/>
        <w:rPr>
          <w:rFonts w:ascii="宋体" w:hAnsi="宋体"/>
          <w:bCs/>
          <w:color w:val="auto"/>
          <w:sz w:val="24"/>
          <w:szCs w:val="24"/>
        </w:rPr>
      </w:pPr>
    </w:p>
    <w:p>
      <w:pPr>
        <w:spacing w:line="480" w:lineRule="auto"/>
        <w:ind w:firstLine="6120" w:firstLineChars="2550"/>
        <w:rPr>
          <w:rFonts w:ascii="宋体" w:hAnsi="宋体"/>
          <w:bCs/>
          <w:color w:val="auto"/>
          <w:sz w:val="24"/>
          <w:szCs w:val="24"/>
        </w:rPr>
      </w:pPr>
      <w:r>
        <w:rPr>
          <w:rFonts w:hint="eastAsia" w:ascii="宋体" w:hAnsi="宋体"/>
          <w:bCs/>
          <w:color w:val="auto"/>
          <w:sz w:val="24"/>
          <w:szCs w:val="24"/>
        </w:rPr>
        <w:t>投标人（盖章）：</w:t>
      </w:r>
    </w:p>
    <w:p>
      <w:pPr>
        <w:ind w:firstLine="2880" w:firstLineChars="1200"/>
        <w:rPr>
          <w:rFonts w:ascii="宋体" w:hAnsi="宋体"/>
          <w:bCs/>
          <w:color w:val="auto"/>
          <w:sz w:val="24"/>
          <w:szCs w:val="24"/>
        </w:rPr>
      </w:pPr>
      <w:r>
        <w:rPr>
          <w:rFonts w:hint="eastAsia" w:ascii="宋体" w:hAnsi="宋体"/>
          <w:bCs/>
          <w:color w:val="auto"/>
          <w:sz w:val="24"/>
          <w:szCs w:val="24"/>
        </w:rPr>
        <w:t>法定代表人或法定代表人授权代表签字或盖章：</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（五）（投标人）中小企业声明函（格式）：</w:t>
      </w:r>
    </w:p>
    <w:p>
      <w:pPr>
        <w:jc w:val="center"/>
        <w:rPr>
          <w:rFonts w:ascii="黑体" w:eastAsia="黑体"/>
          <w:bCs/>
          <w:color w:val="auto"/>
          <w:sz w:val="28"/>
          <w:szCs w:val="28"/>
        </w:rPr>
      </w:pPr>
      <w:r>
        <w:rPr>
          <w:rFonts w:ascii="黑体" w:eastAsia="黑体"/>
          <w:bCs/>
          <w:color w:val="auto"/>
          <w:sz w:val="28"/>
          <w:szCs w:val="28"/>
        </w:rPr>
        <w:t>中小企业声明函（服务）</w:t>
      </w:r>
    </w:p>
    <w:p>
      <w:pPr>
        <w:spacing w:line="580" w:lineRule="exact"/>
        <w:ind w:firstLine="480" w:firstLineChars="200"/>
        <w:rPr>
          <w:rFonts w:ascii="宋体" w:hAnsi="宋体"/>
          <w:bCs/>
          <w:color w:val="auto"/>
          <w:sz w:val="24"/>
          <w:szCs w:val="24"/>
        </w:rPr>
      </w:pPr>
      <w:r>
        <w:rPr>
          <w:rFonts w:ascii="宋体" w:hAnsi="宋体"/>
          <w:bCs/>
          <w:color w:val="auto"/>
          <w:sz w:val="24"/>
          <w:szCs w:val="24"/>
        </w:rPr>
        <w:t xml:space="preserve">本公司（联合体）郑重声明，根据《政府采购促进中小企业发展管理办法》（财库﹝2020﹞46 号）的规定，本公司 </w:t>
      </w:r>
      <w:r>
        <w:rPr>
          <w:rFonts w:ascii="宋体" w:hAnsi="宋体"/>
          <w:bCs/>
          <w:color w:val="auto"/>
          <w:sz w:val="24"/>
          <w:szCs w:val="24"/>
          <w:u w:val="single"/>
        </w:rPr>
        <w:t>（联合体）</w:t>
      </w:r>
      <w:r>
        <w:rPr>
          <w:rFonts w:ascii="宋体" w:hAnsi="宋体"/>
          <w:bCs/>
          <w:color w:val="auto"/>
          <w:sz w:val="24"/>
          <w:szCs w:val="24"/>
        </w:rPr>
        <w:t>参加</w:t>
      </w:r>
      <w:r>
        <w:rPr>
          <w:rFonts w:ascii="宋体" w:hAnsi="宋体"/>
          <w:bCs/>
          <w:color w:val="auto"/>
          <w:sz w:val="24"/>
          <w:szCs w:val="24"/>
          <w:u w:val="single"/>
        </w:rPr>
        <w:t>（单位名称）</w:t>
      </w:r>
      <w:r>
        <w:rPr>
          <w:rFonts w:ascii="宋体" w:hAnsi="宋体"/>
          <w:bCs/>
          <w:color w:val="auto"/>
          <w:sz w:val="24"/>
          <w:szCs w:val="24"/>
        </w:rPr>
        <w:t>的</w:t>
      </w:r>
      <w:r>
        <w:rPr>
          <w:rFonts w:ascii="宋体" w:hAnsi="宋体"/>
          <w:bCs/>
          <w:color w:val="auto"/>
          <w:sz w:val="24"/>
          <w:szCs w:val="24"/>
          <w:u w:val="single"/>
        </w:rPr>
        <w:t>（项目名称）</w:t>
      </w:r>
      <w:r>
        <w:rPr>
          <w:rFonts w:ascii="宋体" w:hAnsi="宋体"/>
          <w:bCs/>
          <w:color w:val="auto"/>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color w:val="auto"/>
          <w:sz w:val="24"/>
          <w:szCs w:val="24"/>
        </w:rPr>
      </w:pPr>
      <w:r>
        <w:rPr>
          <w:rFonts w:ascii="宋体" w:hAnsi="宋体"/>
          <w:bCs/>
          <w:color w:val="auto"/>
          <w:sz w:val="24"/>
          <w:szCs w:val="24"/>
          <w:u w:val="single"/>
        </w:rPr>
        <w:t xml:space="preserve"> （</w:t>
      </w:r>
      <w:r>
        <w:rPr>
          <w:rFonts w:hint="eastAsia" w:ascii="宋体" w:hAnsi="宋体"/>
          <w:bCs/>
          <w:color w:val="auto"/>
          <w:sz w:val="24"/>
          <w:szCs w:val="24"/>
          <w:u w:val="single"/>
        </w:rPr>
        <w:t>项目</w:t>
      </w:r>
      <w:r>
        <w:rPr>
          <w:rFonts w:ascii="宋体" w:hAnsi="宋体"/>
          <w:bCs/>
          <w:color w:val="auto"/>
          <w:sz w:val="24"/>
          <w:szCs w:val="24"/>
          <w:u w:val="single"/>
        </w:rPr>
        <w:t xml:space="preserve">名称） </w:t>
      </w:r>
      <w:r>
        <w:rPr>
          <w:rFonts w:ascii="宋体" w:hAnsi="宋体"/>
          <w:bCs/>
          <w:color w:val="auto"/>
          <w:sz w:val="24"/>
          <w:szCs w:val="24"/>
        </w:rPr>
        <w:t>，属于</w:t>
      </w:r>
      <w:r>
        <w:rPr>
          <w:rFonts w:hint="eastAsia" w:ascii="宋体" w:hAnsi="宋体"/>
          <w:bCs/>
          <w:color w:val="auto"/>
          <w:sz w:val="24"/>
          <w:szCs w:val="24"/>
          <w:u w:val="single"/>
        </w:rPr>
        <w:t xml:space="preserve"> </w:t>
      </w:r>
      <w:r>
        <w:rPr>
          <w:rFonts w:ascii="宋体" w:hAnsi="宋体"/>
          <w:bCs/>
          <w:color w:val="auto"/>
          <w:sz w:val="24"/>
          <w:szCs w:val="24"/>
          <w:u w:val="single"/>
        </w:rPr>
        <w:t xml:space="preserve"> </w:t>
      </w:r>
      <w:r>
        <w:rPr>
          <w:rFonts w:hint="eastAsia" w:ascii="宋体" w:hAnsi="宋体"/>
          <w:bCs/>
          <w:color w:val="auto"/>
          <w:sz w:val="24"/>
          <w:szCs w:val="24"/>
          <w:u w:val="single"/>
        </w:rPr>
        <w:t xml:space="preserve">             </w:t>
      </w:r>
      <w:r>
        <w:rPr>
          <w:rFonts w:ascii="宋体" w:hAnsi="宋体"/>
          <w:bCs/>
          <w:color w:val="auto"/>
          <w:sz w:val="24"/>
          <w:szCs w:val="24"/>
          <w:u w:val="single"/>
        </w:rPr>
        <w:t xml:space="preserve"> </w:t>
      </w:r>
      <w:r>
        <w:rPr>
          <w:rFonts w:ascii="宋体" w:hAnsi="宋体"/>
          <w:bCs/>
          <w:color w:val="auto"/>
          <w:sz w:val="24"/>
          <w:szCs w:val="24"/>
        </w:rPr>
        <w:t>； 承建（承接）企业为</w:t>
      </w:r>
      <w:r>
        <w:rPr>
          <w:rFonts w:ascii="宋体" w:hAnsi="宋体"/>
          <w:bCs/>
          <w:color w:val="auto"/>
          <w:sz w:val="24"/>
          <w:szCs w:val="24"/>
          <w:u w:val="single"/>
        </w:rPr>
        <w:t>（企业名称）</w:t>
      </w:r>
      <w:r>
        <w:rPr>
          <w:rFonts w:ascii="宋体" w:hAnsi="宋体"/>
          <w:bCs/>
          <w:color w:val="auto"/>
          <w:sz w:val="24"/>
          <w:szCs w:val="24"/>
        </w:rPr>
        <w:t>，从业人员</w:t>
      </w:r>
      <w:r>
        <w:rPr>
          <w:rFonts w:hint="eastAsia" w:ascii="宋体" w:hAnsi="宋体"/>
          <w:bCs/>
          <w:color w:val="auto"/>
          <w:sz w:val="24"/>
          <w:szCs w:val="24"/>
          <w:u w:val="single"/>
        </w:rPr>
        <w:t xml:space="preserve">    </w:t>
      </w:r>
      <w:r>
        <w:rPr>
          <w:rFonts w:ascii="宋体" w:hAnsi="宋体"/>
          <w:bCs/>
          <w:color w:val="auto"/>
          <w:sz w:val="24"/>
          <w:szCs w:val="24"/>
        </w:rPr>
        <w:t>人，营业收入为</w:t>
      </w:r>
      <w:r>
        <w:rPr>
          <w:rFonts w:hint="eastAsia" w:ascii="宋体" w:hAnsi="宋体"/>
          <w:bCs/>
          <w:color w:val="auto"/>
          <w:sz w:val="24"/>
          <w:szCs w:val="24"/>
          <w:u w:val="single"/>
        </w:rPr>
        <w:t xml:space="preserve">     </w:t>
      </w:r>
      <w:r>
        <w:rPr>
          <w:rFonts w:ascii="宋体" w:hAnsi="宋体"/>
          <w:bCs/>
          <w:color w:val="auto"/>
          <w:sz w:val="24"/>
          <w:szCs w:val="24"/>
        </w:rPr>
        <w:t>万元，资产总额为</w:t>
      </w:r>
      <w:r>
        <w:rPr>
          <w:rFonts w:hint="eastAsia" w:ascii="宋体" w:hAnsi="宋体"/>
          <w:bCs/>
          <w:color w:val="auto"/>
          <w:sz w:val="24"/>
          <w:szCs w:val="24"/>
          <w:u w:val="single"/>
        </w:rPr>
        <w:t xml:space="preserve">     </w:t>
      </w:r>
      <w:r>
        <w:rPr>
          <w:rFonts w:ascii="宋体" w:hAnsi="宋体"/>
          <w:bCs/>
          <w:color w:val="auto"/>
          <w:sz w:val="24"/>
          <w:szCs w:val="24"/>
        </w:rPr>
        <w:t>万元，属于</w:t>
      </w:r>
      <w:r>
        <w:rPr>
          <w:rFonts w:ascii="宋体" w:hAnsi="宋体"/>
          <w:bCs/>
          <w:color w:val="auto"/>
          <w:sz w:val="24"/>
          <w:szCs w:val="24"/>
          <w:u w:val="single"/>
        </w:rPr>
        <w:t>（中型企业、 小型企业、微型企业）</w:t>
      </w:r>
      <w:r>
        <w:rPr>
          <w:rFonts w:ascii="宋体" w:hAnsi="宋体"/>
          <w:bCs/>
          <w:color w:val="auto"/>
          <w:sz w:val="24"/>
          <w:szCs w:val="24"/>
        </w:rPr>
        <w:t>；</w:t>
      </w:r>
    </w:p>
    <w:p>
      <w:pPr>
        <w:spacing w:line="580" w:lineRule="exact"/>
        <w:ind w:firstLine="480" w:firstLineChars="200"/>
        <w:rPr>
          <w:rFonts w:ascii="宋体" w:hAnsi="宋体"/>
          <w:bCs/>
          <w:color w:val="auto"/>
          <w:sz w:val="24"/>
          <w:szCs w:val="24"/>
        </w:rPr>
      </w:pPr>
    </w:p>
    <w:p>
      <w:pPr>
        <w:spacing w:line="580" w:lineRule="exact"/>
        <w:ind w:firstLine="480" w:firstLineChars="200"/>
        <w:rPr>
          <w:rFonts w:ascii="宋体" w:hAnsi="宋体"/>
          <w:bCs/>
          <w:color w:val="auto"/>
          <w:sz w:val="24"/>
          <w:szCs w:val="24"/>
        </w:rPr>
      </w:pPr>
      <w:r>
        <w:rPr>
          <w:rFonts w:ascii="宋体" w:hAnsi="宋体"/>
          <w:bCs/>
          <w:color w:val="auto"/>
          <w:sz w:val="24"/>
          <w:szCs w:val="24"/>
        </w:rPr>
        <w:t>……</w:t>
      </w:r>
    </w:p>
    <w:p>
      <w:pPr>
        <w:spacing w:line="580" w:lineRule="exact"/>
        <w:ind w:firstLine="480" w:firstLineChars="200"/>
        <w:rPr>
          <w:rFonts w:ascii="宋体" w:hAnsi="宋体"/>
          <w:bCs/>
          <w:color w:val="auto"/>
          <w:sz w:val="24"/>
          <w:szCs w:val="24"/>
        </w:rPr>
      </w:pPr>
      <w:r>
        <w:rPr>
          <w:rFonts w:ascii="宋体" w:hAnsi="宋体"/>
          <w:bCs/>
          <w:color w:val="auto"/>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rPr>
          <w:rFonts w:ascii="黑体" w:hAnsi="宋体" w:eastAsia="黑体"/>
          <w:bCs/>
          <w:color w:val="auto"/>
          <w:sz w:val="24"/>
          <w:szCs w:val="24"/>
        </w:rPr>
      </w:pPr>
    </w:p>
    <w:p>
      <w:pPr>
        <w:rPr>
          <w:rFonts w:ascii="黑体" w:hAnsi="宋体" w:eastAsia="黑体"/>
          <w:bCs/>
          <w:color w:val="auto"/>
          <w:sz w:val="24"/>
          <w:szCs w:val="24"/>
        </w:rPr>
      </w:pPr>
      <w:r>
        <w:rPr>
          <w:rFonts w:hint="eastAsia" w:ascii="黑体" w:hAnsi="宋体" w:eastAsia="黑体"/>
          <w:bCs/>
          <w:color w:val="auto"/>
          <w:sz w:val="24"/>
          <w:szCs w:val="24"/>
        </w:rPr>
        <w:t xml:space="preserve"> </w:t>
      </w:r>
    </w:p>
    <w:p>
      <w:pPr>
        <w:rPr>
          <w:rFonts w:ascii="黑体" w:hAnsi="宋体" w:eastAsia="黑体"/>
          <w:bCs/>
          <w:color w:val="auto"/>
          <w:sz w:val="24"/>
          <w:szCs w:val="24"/>
        </w:rPr>
      </w:pPr>
    </w:p>
    <w:p>
      <w:pPr>
        <w:spacing w:line="360" w:lineRule="auto"/>
        <w:ind w:firstLine="4800" w:firstLineChars="2000"/>
        <w:rPr>
          <w:rFonts w:ascii="宋体" w:hAnsi="宋体"/>
          <w:bCs/>
          <w:color w:val="auto"/>
          <w:sz w:val="24"/>
          <w:szCs w:val="24"/>
        </w:rPr>
      </w:pPr>
      <w:r>
        <w:rPr>
          <w:rFonts w:hint="eastAsia" w:ascii="宋体" w:hAnsi="宋体"/>
          <w:bCs/>
          <w:color w:val="auto"/>
          <w:sz w:val="24"/>
          <w:szCs w:val="24"/>
        </w:rPr>
        <w:t>企业名称（盖章）：</w:t>
      </w:r>
    </w:p>
    <w:p>
      <w:pPr>
        <w:spacing w:line="360" w:lineRule="auto"/>
        <w:ind w:firstLine="4800" w:firstLineChars="2000"/>
        <w:rPr>
          <w:rFonts w:ascii="宋体" w:hAnsi="宋体"/>
          <w:bCs/>
          <w:color w:val="auto"/>
          <w:sz w:val="24"/>
          <w:szCs w:val="24"/>
        </w:rPr>
      </w:pPr>
    </w:p>
    <w:p>
      <w:pPr>
        <w:spacing w:line="360" w:lineRule="auto"/>
        <w:ind w:firstLine="4800" w:firstLineChars="2000"/>
        <w:rPr>
          <w:rFonts w:ascii="宋体" w:hAnsi="宋体"/>
          <w:bCs/>
          <w:color w:val="auto"/>
          <w:sz w:val="24"/>
          <w:szCs w:val="24"/>
        </w:rPr>
      </w:pPr>
      <w:r>
        <w:rPr>
          <w:rFonts w:hint="eastAsia" w:ascii="宋体" w:hAnsi="宋体"/>
          <w:bCs/>
          <w:color w:val="auto"/>
          <w:sz w:val="24"/>
          <w:szCs w:val="24"/>
        </w:rPr>
        <w:t>日　　　　　　期：</w:t>
      </w:r>
    </w:p>
    <w:p>
      <w:pPr>
        <w:spacing w:line="360" w:lineRule="auto"/>
        <w:rPr>
          <w:rFonts w:ascii="宋体" w:hAnsi="宋体"/>
          <w:bCs/>
          <w:color w:val="auto"/>
          <w:sz w:val="24"/>
          <w:szCs w:val="24"/>
        </w:rPr>
      </w:pPr>
    </w:p>
    <w:p>
      <w:pPr>
        <w:spacing w:line="360" w:lineRule="auto"/>
        <w:rPr>
          <w:rFonts w:ascii="宋体" w:hAnsi="宋体"/>
          <w:bCs/>
          <w:color w:val="auto"/>
          <w:sz w:val="24"/>
          <w:szCs w:val="24"/>
        </w:rPr>
      </w:pPr>
    </w:p>
    <w:p>
      <w:pPr>
        <w:spacing w:line="360" w:lineRule="auto"/>
        <w:rPr>
          <w:rFonts w:ascii="宋体" w:hAnsi="宋体"/>
          <w:bCs/>
          <w:color w:val="auto"/>
          <w:sz w:val="24"/>
          <w:szCs w:val="24"/>
        </w:rPr>
      </w:pPr>
    </w:p>
    <w:p>
      <w:pPr>
        <w:rPr>
          <w:color w:val="auto"/>
        </w:rPr>
      </w:pPr>
      <w:r>
        <w:rPr>
          <w:rFonts w:hint="eastAsia"/>
          <w:color w:val="auto"/>
        </w:rPr>
        <w:t>注：1.</w:t>
      </w:r>
      <w:r>
        <w:rPr>
          <w:color w:val="auto"/>
        </w:rPr>
        <w:t>从业人员、营业收入、资产总额填报上一年度数据，无上一年度数据的新成立企业可不填报。</w:t>
      </w:r>
    </w:p>
    <w:p>
      <w:pPr>
        <w:numPr>
          <w:ilvl w:val="0"/>
          <w:numId w:val="11"/>
        </w:numPr>
        <w:rPr>
          <w:rFonts w:hint="eastAsia"/>
          <w:color w:val="auto"/>
        </w:rPr>
      </w:pPr>
      <w:r>
        <w:rPr>
          <w:rFonts w:hint="eastAsia"/>
          <w:color w:val="auto"/>
        </w:rPr>
        <w:t>中标供应商的《</w:t>
      </w:r>
      <w:r>
        <w:rPr>
          <w:color w:val="auto"/>
        </w:rPr>
        <w:t>中小企业声明函</w:t>
      </w:r>
      <w:r>
        <w:rPr>
          <w:rFonts w:hint="eastAsia"/>
          <w:color w:val="auto"/>
        </w:rPr>
        <w:t>》将随中标公告进行公示。供应商按照本办法规定提供声明函内容不实的，属于提供虚假材料谋取中标、成交，依照《中华人民共和国政府采购法》等国家有关规定追究相应责任。</w:t>
      </w:r>
    </w:p>
    <w:p>
      <w:pPr>
        <w:numPr>
          <w:ilvl w:val="0"/>
          <w:numId w:val="11"/>
        </w:numPr>
        <w:rPr>
          <w:rFonts w:ascii="宋体"/>
          <w:bCs/>
          <w:color w:val="auto"/>
          <w:sz w:val="24"/>
          <w:szCs w:val="24"/>
        </w:rPr>
      </w:pPr>
      <w:r>
        <w:rPr>
          <w:rFonts w:hint="eastAsia"/>
          <w:color w:val="auto"/>
        </w:rPr>
        <w:t>投标时本表附在《明细报价表》之后（如有）。</w:t>
      </w:r>
    </w:p>
    <w:p>
      <w:pPr>
        <w:ind w:firstLine="480" w:firstLineChars="200"/>
        <w:rPr>
          <w:rFonts w:ascii="黑体" w:hAnsi="宋体" w:eastAsia="黑体"/>
          <w:bCs/>
          <w:color w:val="auto"/>
          <w:sz w:val="24"/>
          <w:szCs w:val="24"/>
        </w:rPr>
      </w:pPr>
    </w:p>
    <w:p>
      <w:pPr>
        <w:pStyle w:val="30"/>
        <w:rPr>
          <w:color w:val="auto"/>
        </w:rPr>
      </w:pPr>
    </w:p>
    <w:p>
      <w:pPr>
        <w:pStyle w:val="30"/>
        <w:rPr>
          <w:color w:val="auto"/>
        </w:rPr>
      </w:pPr>
    </w:p>
    <w:p>
      <w:pPr>
        <w:pStyle w:val="30"/>
        <w:rPr>
          <w:rFonts w:hint="eastAsia"/>
          <w:color w:val="auto"/>
        </w:rPr>
      </w:pPr>
    </w:p>
    <w:p>
      <w:pPr>
        <w:pStyle w:val="30"/>
        <w:rPr>
          <w:rFonts w:hint="eastAsia"/>
          <w:color w:val="auto"/>
        </w:rPr>
      </w:pPr>
    </w:p>
    <w:p>
      <w:pPr>
        <w:spacing w:line="360" w:lineRule="auto"/>
        <w:ind w:firstLine="480" w:firstLineChars="200"/>
        <w:outlineLvl w:val="1"/>
        <w:rPr>
          <w:rFonts w:ascii="黑体" w:hAnsi="宋体" w:eastAsia="黑体"/>
          <w:bCs/>
          <w:color w:val="auto"/>
          <w:sz w:val="24"/>
          <w:szCs w:val="24"/>
        </w:rPr>
      </w:pPr>
      <w:r>
        <w:rPr>
          <w:rFonts w:hint="eastAsia" w:ascii="黑体" w:hAnsi="宋体" w:eastAsia="黑体"/>
          <w:bCs/>
          <w:color w:val="auto"/>
          <w:sz w:val="24"/>
          <w:szCs w:val="24"/>
        </w:rPr>
        <w:t>（六）</w:t>
      </w:r>
      <w:bookmarkStart w:id="5" w:name="OLE_LINK13"/>
      <w:bookmarkStart w:id="6" w:name="OLE_LINK14"/>
      <w:r>
        <w:rPr>
          <w:rFonts w:hint="eastAsia" w:ascii="黑体" w:hAnsi="宋体" w:eastAsia="黑体"/>
          <w:bCs/>
          <w:color w:val="auto"/>
          <w:sz w:val="24"/>
          <w:szCs w:val="24"/>
        </w:rPr>
        <w:t>（投标人）残疾人福利性单位声明函（格式）：</w:t>
      </w:r>
    </w:p>
    <w:bookmarkEnd w:id="5"/>
    <w:bookmarkEnd w:id="6"/>
    <w:p>
      <w:pPr>
        <w:spacing w:line="588" w:lineRule="exact"/>
        <w:rPr>
          <w:rFonts w:ascii="仿宋_GB2312" w:eastAsia="仿宋_GB2312"/>
          <w:b/>
          <w:color w:val="auto"/>
          <w:spacing w:val="6"/>
          <w:sz w:val="30"/>
          <w:szCs w:val="30"/>
        </w:rPr>
      </w:pPr>
    </w:p>
    <w:p>
      <w:pPr>
        <w:jc w:val="center"/>
        <w:rPr>
          <w:rFonts w:ascii="黑体" w:eastAsia="黑体"/>
          <w:bCs/>
          <w:color w:val="auto"/>
          <w:sz w:val="28"/>
          <w:szCs w:val="28"/>
        </w:rPr>
      </w:pPr>
      <w:r>
        <w:rPr>
          <w:rFonts w:hint="eastAsia" w:ascii="黑体" w:eastAsia="黑体"/>
          <w:bCs/>
          <w:color w:val="auto"/>
          <w:sz w:val="28"/>
          <w:szCs w:val="28"/>
        </w:rPr>
        <w:t>残疾人福利性单位声明函</w:t>
      </w:r>
    </w:p>
    <w:p>
      <w:pPr>
        <w:jc w:val="center"/>
        <w:rPr>
          <w:rFonts w:ascii="黑体" w:eastAsia="黑体"/>
          <w:bCs/>
          <w:color w:val="auto"/>
          <w:sz w:val="28"/>
          <w:szCs w:val="28"/>
        </w:rPr>
      </w:pPr>
    </w:p>
    <w:p>
      <w:pPr>
        <w:spacing w:line="580" w:lineRule="exact"/>
        <w:ind w:firstLine="480" w:firstLineChars="200"/>
        <w:rPr>
          <w:rFonts w:ascii="宋体" w:hAnsi="宋体"/>
          <w:bCs/>
          <w:color w:val="auto"/>
          <w:sz w:val="24"/>
          <w:szCs w:val="24"/>
        </w:rPr>
      </w:pPr>
      <w:r>
        <w:rPr>
          <w:rFonts w:hint="eastAsia" w:ascii="宋体" w:hAnsi="宋体"/>
          <w:bCs/>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auto"/>
          <w:sz w:val="24"/>
          <w:szCs w:val="24"/>
        </w:rPr>
      </w:pPr>
      <w:r>
        <w:rPr>
          <w:rFonts w:hint="eastAsia" w:ascii="宋体" w:hAnsi="宋体"/>
          <w:bCs/>
          <w:color w:val="auto"/>
          <w:sz w:val="24"/>
          <w:szCs w:val="24"/>
        </w:rPr>
        <w:t>本单位对上述声明的真实性负责。如有虚假，将依法承担相应责任。</w:t>
      </w:r>
    </w:p>
    <w:p>
      <w:pPr>
        <w:spacing w:line="580" w:lineRule="exact"/>
        <w:ind w:firstLine="480" w:firstLineChars="200"/>
        <w:rPr>
          <w:rFonts w:ascii="宋体" w:hAnsi="宋体"/>
          <w:bCs/>
          <w:color w:val="auto"/>
          <w:sz w:val="24"/>
          <w:szCs w:val="24"/>
        </w:rPr>
      </w:pPr>
    </w:p>
    <w:p>
      <w:pPr>
        <w:spacing w:line="580" w:lineRule="exact"/>
        <w:ind w:firstLine="480" w:firstLineChars="200"/>
        <w:rPr>
          <w:rFonts w:ascii="宋体" w:hAnsi="宋体"/>
          <w:bCs/>
          <w:color w:val="auto"/>
          <w:sz w:val="24"/>
          <w:szCs w:val="24"/>
        </w:rPr>
      </w:pPr>
    </w:p>
    <w:p>
      <w:pPr>
        <w:spacing w:line="580" w:lineRule="exact"/>
        <w:ind w:firstLine="480" w:firstLineChars="200"/>
        <w:rPr>
          <w:rFonts w:ascii="宋体" w:hAnsi="宋体"/>
          <w:bCs/>
          <w:color w:val="auto"/>
          <w:sz w:val="24"/>
          <w:szCs w:val="24"/>
        </w:rPr>
      </w:pPr>
      <w:r>
        <w:rPr>
          <w:rFonts w:hint="eastAsia" w:ascii="宋体" w:hAnsi="宋体"/>
          <w:bCs/>
          <w:color w:val="auto"/>
          <w:sz w:val="24"/>
          <w:szCs w:val="24"/>
        </w:rPr>
        <w:t>单位名称（盖章）：</w:t>
      </w:r>
    </w:p>
    <w:p>
      <w:pPr>
        <w:spacing w:line="580" w:lineRule="exact"/>
        <w:ind w:firstLine="480" w:firstLineChars="200"/>
        <w:rPr>
          <w:rFonts w:ascii="宋体" w:hAnsi="宋体"/>
          <w:bCs/>
          <w:color w:val="auto"/>
          <w:sz w:val="24"/>
          <w:szCs w:val="24"/>
        </w:rPr>
      </w:pPr>
      <w:r>
        <w:rPr>
          <w:rFonts w:hint="eastAsia" w:ascii="宋体" w:hAnsi="宋体"/>
          <w:bCs/>
          <w:color w:val="auto"/>
          <w:sz w:val="24"/>
          <w:szCs w:val="24"/>
        </w:rPr>
        <w:t>日  期：</w:t>
      </w: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widowControl/>
        <w:shd w:val="clear" w:color="auto" w:fill="FFFFFF"/>
        <w:jc w:val="left"/>
        <w:rPr>
          <w:rFonts w:ascii="宋体" w:hAnsi="宋体" w:cs="宋体"/>
          <w:color w:val="auto"/>
          <w:kern w:val="0"/>
          <w:szCs w:val="21"/>
        </w:rPr>
      </w:pPr>
    </w:p>
    <w:p>
      <w:pPr>
        <w:widowControl/>
        <w:shd w:val="clear" w:color="auto" w:fill="FFFFFF"/>
        <w:jc w:val="left"/>
        <w:rPr>
          <w:rFonts w:ascii="宋体" w:hAnsi="宋体" w:cs="宋体"/>
          <w:color w:val="auto"/>
          <w:kern w:val="0"/>
          <w:szCs w:val="21"/>
        </w:rPr>
      </w:pPr>
    </w:p>
    <w:p>
      <w:pPr>
        <w:widowControl/>
        <w:shd w:val="clear" w:color="auto" w:fill="FFFFFF"/>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widowControl/>
        <w:shd w:val="clear" w:color="auto" w:fill="FFFFFF"/>
        <w:ind w:firstLine="420" w:firstLineChars="200"/>
        <w:jc w:val="left"/>
        <w:rPr>
          <w:rFonts w:ascii="宋体" w:hAnsi="宋体" w:cs="宋体"/>
          <w:color w:val="auto"/>
          <w:kern w:val="0"/>
          <w:szCs w:val="21"/>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ind w:firstLine="480" w:firstLineChars="200"/>
        <w:rPr>
          <w:rFonts w:ascii="黑体" w:hAnsi="宋体" w:eastAsia="黑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（七）开标一览表（格式）：</w:t>
      </w:r>
    </w:p>
    <w:p>
      <w:pPr>
        <w:rPr>
          <w:rFonts w:ascii="黑体" w:eastAsia="黑体"/>
          <w:bCs/>
          <w:color w:val="auto"/>
          <w:sz w:val="28"/>
          <w:szCs w:val="28"/>
        </w:rPr>
      </w:pPr>
    </w:p>
    <w:p>
      <w:pPr>
        <w:rPr>
          <w:rFonts w:ascii="黑体" w:eastAsia="黑体"/>
          <w:bCs/>
          <w:color w:val="auto"/>
          <w:sz w:val="28"/>
          <w:szCs w:val="28"/>
        </w:rPr>
      </w:pPr>
    </w:p>
    <w:p>
      <w:pPr>
        <w:jc w:val="center"/>
        <w:rPr>
          <w:rFonts w:ascii="黑体" w:eastAsia="黑体"/>
          <w:bCs/>
          <w:color w:val="auto"/>
          <w:sz w:val="28"/>
          <w:szCs w:val="28"/>
        </w:rPr>
      </w:pPr>
      <w:r>
        <w:rPr>
          <w:rFonts w:hint="eastAsia" w:ascii="黑体" w:eastAsia="黑体"/>
          <w:bCs/>
          <w:color w:val="auto"/>
          <w:sz w:val="28"/>
          <w:szCs w:val="28"/>
        </w:rPr>
        <w:t>开标一览表</w:t>
      </w:r>
    </w:p>
    <w:p>
      <w:pPr>
        <w:jc w:val="center"/>
        <w:rPr>
          <w:rFonts w:ascii="黑体" w:eastAsia="黑体"/>
          <w:bCs/>
          <w:color w:val="auto"/>
          <w:sz w:val="28"/>
          <w:szCs w:val="28"/>
        </w:rPr>
      </w:pPr>
    </w:p>
    <w:p>
      <w:pPr>
        <w:spacing w:line="360" w:lineRule="auto"/>
        <w:rPr>
          <w:rFonts w:hint="default" w:ascii="黑体" w:eastAsia="黑体"/>
          <w:bCs/>
          <w:color w:val="auto"/>
          <w:sz w:val="24"/>
          <w:szCs w:val="24"/>
          <w:lang w:val="en-US" w:eastAsia="zh-CN"/>
        </w:rPr>
      </w:pPr>
      <w:r>
        <w:rPr>
          <w:rFonts w:hint="eastAsia" w:ascii="黑体" w:eastAsia="黑体"/>
          <w:bCs/>
          <w:color w:val="auto"/>
          <w:sz w:val="24"/>
          <w:szCs w:val="24"/>
        </w:rPr>
        <w:t>投标人名称（盖章）                                  采购项目编号：</w:t>
      </w:r>
      <w:r>
        <w:rPr>
          <w:rFonts w:ascii="黑体" w:eastAsia="黑体"/>
          <w:bCs/>
          <w:color w:val="auto"/>
          <w:sz w:val="24"/>
          <w:szCs w:val="24"/>
        </w:rPr>
        <w:t>WXXWQJC2022-0</w:t>
      </w:r>
      <w:r>
        <w:rPr>
          <w:rFonts w:hint="eastAsia" w:ascii="黑体" w:eastAsia="黑体"/>
          <w:bCs/>
          <w:color w:val="auto"/>
          <w:sz w:val="24"/>
          <w:szCs w:val="24"/>
          <w:lang w:val="en-US" w:eastAsia="zh-CN"/>
        </w:rPr>
        <w:t>97</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565" w:type="dxa"/>
            <w:noWrap w:val="0"/>
            <w:vAlign w:val="center"/>
          </w:tcPr>
          <w:p>
            <w:pPr>
              <w:autoSpaceDE w:val="0"/>
              <w:autoSpaceDN w:val="0"/>
              <w:adjustRightInd w:val="0"/>
              <w:jc w:val="center"/>
              <w:rPr>
                <w:rFonts w:ascii="宋体"/>
                <w:b/>
                <w:bCs/>
                <w:color w:val="auto"/>
                <w:sz w:val="24"/>
                <w:szCs w:val="24"/>
              </w:rPr>
            </w:pPr>
            <w:r>
              <w:rPr>
                <w:rFonts w:hint="eastAsia" w:ascii="宋体" w:hAnsi="宋体"/>
                <w:b/>
                <w:bCs/>
                <w:color w:val="auto"/>
                <w:sz w:val="24"/>
                <w:szCs w:val="24"/>
              </w:rPr>
              <w:t>项目名称</w:t>
            </w:r>
          </w:p>
        </w:tc>
        <w:tc>
          <w:tcPr>
            <w:tcW w:w="4515" w:type="dxa"/>
            <w:noWrap w:val="0"/>
            <w:vAlign w:val="center"/>
          </w:tcPr>
          <w:p>
            <w:pPr>
              <w:autoSpaceDE w:val="0"/>
              <w:autoSpaceDN w:val="0"/>
              <w:adjustRightInd w:val="0"/>
              <w:jc w:val="center"/>
              <w:rPr>
                <w:rFonts w:ascii="宋体"/>
                <w:b/>
                <w:bCs/>
                <w:color w:val="auto"/>
                <w:sz w:val="24"/>
                <w:szCs w:val="24"/>
              </w:rPr>
            </w:pPr>
            <w:r>
              <w:rPr>
                <w:rFonts w:hint="eastAsia" w:ascii="宋体" w:hAnsi="宋体"/>
                <w:b/>
                <w:bCs/>
                <w:color w:val="auto"/>
                <w:sz w:val="24"/>
                <w:szCs w:val="24"/>
              </w:rPr>
              <w:t>投标总报价</w:t>
            </w:r>
            <w:r>
              <w:rPr>
                <w:rFonts w:ascii="宋体" w:hAnsi="宋体"/>
                <w:b/>
                <w:bCs/>
                <w:color w:val="auto"/>
                <w:sz w:val="24"/>
                <w:szCs w:val="24"/>
              </w:rPr>
              <w:t>(</w:t>
            </w:r>
            <w:r>
              <w:rPr>
                <w:rFonts w:hint="eastAsia" w:ascii="宋体" w:hAnsi="宋体"/>
                <w:b/>
                <w:bCs/>
                <w:color w:val="auto"/>
                <w:sz w:val="24"/>
                <w:szCs w:val="24"/>
              </w:rPr>
              <w:t>小写</w:t>
            </w:r>
            <w:r>
              <w:rPr>
                <w:rFonts w:ascii="宋体" w:hAnsi="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noWrap w:val="0"/>
            <w:vAlign w:val="center"/>
          </w:tcPr>
          <w:p>
            <w:pPr>
              <w:pStyle w:val="138"/>
              <w:spacing w:line="400" w:lineRule="exact"/>
              <w:jc w:val="center"/>
              <w:rPr>
                <w:rFonts w:hAnsi="宋体" w:eastAsia="华文新魏"/>
                <w:bCs/>
                <w:color w:val="auto"/>
                <w:szCs w:val="24"/>
              </w:rPr>
            </w:pPr>
            <w:r>
              <w:rPr>
                <w:rFonts w:ascii="黑体" w:eastAsia="黑体"/>
                <w:color w:val="auto"/>
                <w:kern w:val="2"/>
                <w:szCs w:val="22"/>
              </w:rPr>
              <w:t>新吴反诈全流程工作平台</w:t>
            </w:r>
          </w:p>
        </w:tc>
        <w:tc>
          <w:tcPr>
            <w:tcW w:w="4515" w:type="dxa"/>
            <w:noWrap w:val="0"/>
            <w:vAlign w:val="center"/>
          </w:tcPr>
          <w:p>
            <w:pPr>
              <w:pStyle w:val="138"/>
              <w:rPr>
                <w:rFonts w:hAnsi="宋体"/>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noWrap w:val="0"/>
            <w:vAlign w:val="center"/>
          </w:tcPr>
          <w:p>
            <w:pPr>
              <w:rPr>
                <w:rFonts w:ascii="宋体"/>
                <w:bCs/>
                <w:color w:val="auto"/>
                <w:sz w:val="24"/>
                <w:szCs w:val="24"/>
              </w:rPr>
            </w:pPr>
            <w:r>
              <w:rPr>
                <w:rFonts w:hint="eastAsia" w:ascii="黑体" w:eastAsia="黑体"/>
                <w:color w:val="auto"/>
                <w:sz w:val="24"/>
              </w:rPr>
              <w:t>投标总报价（大写）</w:t>
            </w:r>
            <w:r>
              <w:rPr>
                <w:rFonts w:hint="eastAsia" w:ascii="宋体" w:hAnsi="宋体"/>
                <w:bCs/>
                <w:color w:val="auto"/>
                <w:kern w:val="0"/>
                <w:sz w:val="24"/>
                <w:szCs w:val="24"/>
                <w:u w:val="none" w:color="000000"/>
              </w:rPr>
              <w:t>：　　　</w:t>
            </w:r>
          </w:p>
        </w:tc>
      </w:tr>
    </w:tbl>
    <w:p>
      <w:pPr>
        <w:spacing w:before="5"/>
        <w:rPr>
          <w:b/>
          <w:bCs/>
          <w:color w:val="auto"/>
          <w:sz w:val="24"/>
          <w:szCs w:val="24"/>
        </w:rPr>
      </w:pPr>
      <w:r>
        <w:rPr>
          <w:rFonts w:hint="eastAsia"/>
          <w:b/>
          <w:bCs/>
          <w:color w:val="auto"/>
          <w:sz w:val="24"/>
          <w:szCs w:val="24"/>
        </w:rPr>
        <w:t>法定代表人或法定代表人授权代表签字或盖章：</w:t>
      </w:r>
    </w:p>
    <w:p>
      <w:pPr>
        <w:spacing w:line="400" w:lineRule="exact"/>
        <w:rPr>
          <w:rFonts w:ascii="黑体" w:eastAsia="黑体"/>
          <w:bCs/>
          <w:color w:val="auto"/>
          <w:sz w:val="32"/>
        </w:rPr>
      </w:pPr>
    </w:p>
    <w:p>
      <w:pPr>
        <w:spacing w:line="400" w:lineRule="exact"/>
        <w:rPr>
          <w:rFonts w:ascii="黑体" w:eastAsia="黑体"/>
          <w:bCs/>
          <w:color w:val="auto"/>
          <w:sz w:val="32"/>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400" w:lineRule="exact"/>
        <w:ind w:left="720" w:hanging="720" w:hangingChars="300"/>
        <w:rPr>
          <w:rFonts w:ascii="黑体" w:eastAsia="黑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（八）明细报价表（格式）：</w:t>
      </w:r>
    </w:p>
    <w:p>
      <w:pPr>
        <w:spacing w:line="400" w:lineRule="exact"/>
        <w:jc w:val="center"/>
        <w:rPr>
          <w:rFonts w:ascii="黑体" w:eastAsia="黑体"/>
          <w:bCs/>
          <w:color w:val="auto"/>
          <w:sz w:val="28"/>
          <w:szCs w:val="28"/>
        </w:rPr>
      </w:pPr>
      <w:r>
        <w:rPr>
          <w:rFonts w:hint="eastAsia" w:ascii="黑体" w:eastAsia="黑体"/>
          <w:bCs/>
          <w:color w:val="auto"/>
          <w:sz w:val="28"/>
          <w:szCs w:val="28"/>
        </w:rPr>
        <w:t>明细报价表</w:t>
      </w:r>
    </w:p>
    <w:p>
      <w:pPr>
        <w:spacing w:line="400" w:lineRule="exact"/>
        <w:rPr>
          <w:rFonts w:hint="default" w:ascii="黑体" w:eastAsia="黑体"/>
          <w:bCs/>
          <w:color w:val="auto"/>
          <w:sz w:val="24"/>
          <w:szCs w:val="24"/>
          <w:lang w:val="en-US" w:eastAsia="zh-CN"/>
        </w:rPr>
      </w:pPr>
      <w:r>
        <w:rPr>
          <w:rFonts w:hint="eastAsia" w:ascii="黑体" w:eastAsia="黑体"/>
          <w:bCs/>
          <w:color w:val="auto"/>
          <w:sz w:val="24"/>
          <w:szCs w:val="24"/>
        </w:rPr>
        <w:t>投标人名称（盖章）                                  采购项目编号：</w:t>
      </w:r>
      <w:r>
        <w:rPr>
          <w:rFonts w:ascii="黑体" w:eastAsia="黑体"/>
          <w:bCs/>
          <w:color w:val="auto"/>
          <w:sz w:val="24"/>
          <w:szCs w:val="24"/>
        </w:rPr>
        <w:t>WXXWQJC2022-0</w:t>
      </w:r>
      <w:r>
        <w:rPr>
          <w:rFonts w:hint="eastAsia" w:ascii="黑体" w:eastAsia="黑体"/>
          <w:bCs/>
          <w:color w:val="auto"/>
          <w:sz w:val="24"/>
          <w:szCs w:val="24"/>
          <w:lang w:val="en-US" w:eastAsia="zh-CN"/>
        </w:rPr>
        <w:t>97</w:t>
      </w:r>
    </w:p>
    <w:tbl>
      <w:tblPr>
        <w:tblStyle w:val="3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1"/>
        <w:gridCol w:w="2291"/>
        <w:gridCol w:w="2522"/>
        <w:gridCol w:w="1156"/>
        <w:gridCol w:w="171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5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before="5"/>
              <w:jc w:val="center"/>
              <w:rPr>
                <w:color w:val="auto"/>
                <w:sz w:val="18"/>
              </w:rPr>
            </w:pPr>
            <w:r>
              <w:rPr>
                <w:rFonts w:hint="eastAsia"/>
                <w:color w:val="auto"/>
                <w:sz w:val="18"/>
              </w:rPr>
              <w:t>序号</w:t>
            </w:r>
          </w:p>
        </w:tc>
        <w:tc>
          <w:tcPr>
            <w:tcW w:w="22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before="5"/>
              <w:jc w:val="center"/>
              <w:rPr>
                <w:color w:val="auto"/>
                <w:sz w:val="18"/>
              </w:rPr>
            </w:pPr>
            <w:r>
              <w:rPr>
                <w:rFonts w:hint="eastAsia"/>
                <w:color w:val="auto"/>
                <w:sz w:val="18"/>
              </w:rPr>
              <w:t>项目内容</w:t>
            </w:r>
          </w:p>
        </w:tc>
        <w:tc>
          <w:tcPr>
            <w:tcW w:w="25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before="5"/>
              <w:jc w:val="center"/>
              <w:rPr>
                <w:color w:val="auto"/>
                <w:sz w:val="18"/>
              </w:rPr>
            </w:pPr>
            <w:r>
              <w:rPr>
                <w:rFonts w:hint="eastAsia"/>
                <w:color w:val="auto"/>
                <w:sz w:val="18"/>
              </w:rPr>
              <w:t>相关描述</w:t>
            </w:r>
          </w:p>
        </w:tc>
        <w:tc>
          <w:tcPr>
            <w:tcW w:w="115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before="5"/>
              <w:jc w:val="center"/>
              <w:rPr>
                <w:color w:val="auto"/>
                <w:sz w:val="18"/>
              </w:rPr>
            </w:pPr>
            <w:r>
              <w:rPr>
                <w:rFonts w:hint="eastAsia"/>
                <w:color w:val="auto"/>
                <w:sz w:val="18"/>
              </w:rPr>
              <w:t>数量</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before="5"/>
              <w:jc w:val="center"/>
              <w:rPr>
                <w:color w:val="auto"/>
                <w:sz w:val="18"/>
              </w:rPr>
            </w:pPr>
            <w:r>
              <w:rPr>
                <w:rFonts w:hint="eastAsia"/>
                <w:color w:val="auto"/>
                <w:sz w:val="18"/>
              </w:rPr>
              <w:t>单报价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before="5"/>
              <w:jc w:val="center"/>
              <w:rPr>
                <w:color w:val="auto"/>
                <w:sz w:val="18"/>
              </w:rPr>
            </w:pPr>
            <w:r>
              <w:rPr>
                <w:rFonts w:hint="eastAsia"/>
                <w:color w:val="auto"/>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5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3"/>
              <w:pBdr>
                <w:bottom w:val="none" w:color="auto" w:sz="0" w:space="0"/>
              </w:pBdr>
              <w:tabs>
                <w:tab w:val="left" w:pos="420"/>
              </w:tabs>
              <w:snapToGrid/>
              <w:spacing w:before="5"/>
              <w:rPr>
                <w:rFonts w:ascii="宋体"/>
                <w:color w:val="auto"/>
              </w:rPr>
            </w:pPr>
          </w:p>
        </w:tc>
        <w:tc>
          <w:tcPr>
            <w:tcW w:w="22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3"/>
              <w:pBdr>
                <w:bottom w:val="none" w:color="auto" w:sz="0" w:space="0"/>
              </w:pBdr>
              <w:tabs>
                <w:tab w:val="left" w:pos="420"/>
              </w:tabs>
              <w:snapToGrid/>
              <w:rPr>
                <w:rFonts w:ascii="宋体"/>
                <w:bCs/>
                <w:color w:val="auto"/>
              </w:rPr>
            </w:pPr>
          </w:p>
        </w:tc>
        <w:tc>
          <w:tcPr>
            <w:tcW w:w="25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auto"/>
                <w:sz w:val="18"/>
              </w:rPr>
            </w:pPr>
          </w:p>
        </w:tc>
        <w:tc>
          <w:tcPr>
            <w:tcW w:w="115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宋体" w:eastAsia="黑体"/>
                <w:b/>
                <w:bCs/>
                <w:color w:val="auto"/>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b/>
                <w:bCs/>
                <w:color w:val="auto"/>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65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color w:val="auto"/>
                <w:sz w:val="18"/>
              </w:rPr>
            </w:pPr>
          </w:p>
        </w:tc>
        <w:tc>
          <w:tcPr>
            <w:tcW w:w="22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3"/>
              <w:pBdr>
                <w:bottom w:val="none" w:color="auto" w:sz="0" w:space="0"/>
              </w:pBdr>
              <w:tabs>
                <w:tab w:val="left" w:pos="420"/>
              </w:tabs>
              <w:snapToGrid/>
              <w:rPr>
                <w:rFonts w:ascii="宋体"/>
                <w:bCs/>
                <w:color w:val="auto"/>
              </w:rPr>
            </w:pPr>
          </w:p>
        </w:tc>
        <w:tc>
          <w:tcPr>
            <w:tcW w:w="25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auto"/>
                <w:sz w:val="18"/>
              </w:rPr>
            </w:pPr>
          </w:p>
        </w:tc>
        <w:tc>
          <w:tcPr>
            <w:tcW w:w="115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宋体" w:eastAsia="黑体"/>
                <w:b/>
                <w:bCs/>
                <w:color w:val="auto"/>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b/>
                <w:bCs/>
                <w:color w:val="auto"/>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94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3"/>
              <w:pBdr>
                <w:bottom w:val="none" w:color="auto" w:sz="0" w:space="0"/>
              </w:pBdr>
              <w:tabs>
                <w:tab w:val="left" w:pos="420"/>
              </w:tabs>
              <w:snapToGrid/>
              <w:rPr>
                <w:rFonts w:ascii="宋体"/>
                <w:b/>
                <w:bCs/>
                <w:color w:val="auto"/>
                <w:sz w:val="24"/>
              </w:rPr>
            </w:pPr>
            <w:r>
              <w:rPr>
                <w:rFonts w:hint="eastAsia" w:ascii="宋体"/>
                <w:b/>
                <w:bCs/>
                <w:color w:val="auto"/>
                <w:sz w:val="24"/>
              </w:rPr>
              <w:t>完工期</w:t>
            </w:r>
          </w:p>
        </w:tc>
        <w:tc>
          <w:tcPr>
            <w:tcW w:w="709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宋体" w:eastAsia="黑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trPr>
        <w:tc>
          <w:tcPr>
            <w:tcW w:w="294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
                <w:bCs/>
                <w:color w:val="auto"/>
                <w:sz w:val="24"/>
              </w:rPr>
            </w:pPr>
            <w:r>
              <w:rPr>
                <w:rFonts w:hint="eastAsia" w:ascii="宋体"/>
                <w:b/>
                <w:bCs/>
                <w:color w:val="auto"/>
                <w:sz w:val="24"/>
              </w:rPr>
              <w:t>项目免费维护期</w:t>
            </w:r>
          </w:p>
        </w:tc>
        <w:tc>
          <w:tcPr>
            <w:tcW w:w="7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4" w:hRule="atLeast"/>
        </w:trPr>
        <w:tc>
          <w:tcPr>
            <w:tcW w:w="63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26"/>
              <w:spacing w:line="400" w:lineRule="exact"/>
              <w:ind w:firstLine="120" w:firstLineChars="50"/>
              <w:jc w:val="center"/>
              <w:rPr>
                <w:rFonts w:ascii="宋体"/>
                <w:b/>
                <w:bCs/>
                <w:color w:val="auto"/>
                <w:sz w:val="24"/>
                <w:szCs w:val="24"/>
              </w:rPr>
            </w:pPr>
            <w:r>
              <w:rPr>
                <w:rFonts w:hint="eastAsia" w:ascii="宋体" w:hAnsi="宋体"/>
                <w:b/>
                <w:bCs/>
                <w:color w:val="auto"/>
                <w:sz w:val="24"/>
                <w:szCs w:val="24"/>
              </w:rPr>
              <w:t>服</w:t>
            </w:r>
          </w:p>
          <w:p>
            <w:pPr>
              <w:pStyle w:val="26"/>
              <w:spacing w:line="400" w:lineRule="exact"/>
              <w:ind w:firstLine="120" w:firstLineChars="50"/>
              <w:jc w:val="center"/>
              <w:rPr>
                <w:rFonts w:ascii="宋体"/>
                <w:b/>
                <w:bCs/>
                <w:color w:val="auto"/>
                <w:sz w:val="24"/>
                <w:szCs w:val="24"/>
              </w:rPr>
            </w:pPr>
            <w:r>
              <w:rPr>
                <w:rFonts w:hint="eastAsia" w:ascii="宋体" w:hAnsi="宋体"/>
                <w:b/>
                <w:bCs/>
                <w:color w:val="auto"/>
                <w:sz w:val="24"/>
                <w:szCs w:val="24"/>
              </w:rPr>
              <w:t>务</w:t>
            </w:r>
          </w:p>
          <w:p>
            <w:pPr>
              <w:pStyle w:val="26"/>
              <w:spacing w:line="400" w:lineRule="exact"/>
              <w:ind w:firstLine="120" w:firstLineChars="50"/>
              <w:jc w:val="center"/>
              <w:rPr>
                <w:rFonts w:ascii="宋体"/>
                <w:b/>
                <w:bCs/>
                <w:color w:val="auto"/>
                <w:sz w:val="24"/>
                <w:szCs w:val="24"/>
              </w:rPr>
            </w:pPr>
            <w:r>
              <w:rPr>
                <w:rFonts w:hint="eastAsia" w:ascii="宋体" w:hAnsi="宋体"/>
                <w:b/>
                <w:bCs/>
                <w:color w:val="auto"/>
                <w:sz w:val="24"/>
                <w:szCs w:val="24"/>
              </w:rPr>
              <w:t>承</w:t>
            </w:r>
          </w:p>
          <w:p>
            <w:pPr>
              <w:pStyle w:val="26"/>
              <w:spacing w:line="400" w:lineRule="exact"/>
              <w:ind w:firstLine="120" w:firstLineChars="50"/>
              <w:jc w:val="center"/>
              <w:rPr>
                <w:rFonts w:ascii="宋体"/>
                <w:bCs/>
                <w:color w:val="auto"/>
                <w:sz w:val="24"/>
                <w:szCs w:val="24"/>
              </w:rPr>
            </w:pPr>
            <w:r>
              <w:rPr>
                <w:rFonts w:hint="eastAsia" w:ascii="宋体" w:hAnsi="宋体"/>
                <w:b/>
                <w:bCs/>
                <w:color w:val="auto"/>
                <w:sz w:val="24"/>
                <w:szCs w:val="24"/>
              </w:rPr>
              <w:t>诺</w:t>
            </w:r>
          </w:p>
        </w:tc>
        <w:tc>
          <w:tcPr>
            <w:tcW w:w="940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34"/>
              </w:numPr>
              <w:jc w:val="left"/>
              <w:rPr>
                <w:rFonts w:ascii="宋体"/>
                <w:bCs/>
                <w:color w:val="auto"/>
                <w:sz w:val="24"/>
                <w:szCs w:val="24"/>
              </w:rPr>
            </w:pPr>
            <w:r>
              <w:rPr>
                <w:rFonts w:hint="eastAsia" w:ascii="宋体" w:hAnsi="宋体"/>
                <w:bCs/>
                <w:color w:val="auto"/>
                <w:sz w:val="24"/>
                <w:szCs w:val="24"/>
              </w:rPr>
              <w:t>质量 2.安装 3."三包"(包修、包退、包换)4</w:t>
            </w:r>
            <w:r>
              <w:rPr>
                <w:rFonts w:hint="eastAsia" w:ascii="宋体"/>
                <w:bCs/>
                <w:color w:val="auto"/>
                <w:sz w:val="24"/>
                <w:szCs w:val="24"/>
              </w:rPr>
              <w:t>.</w:t>
            </w:r>
            <w:r>
              <w:rPr>
                <w:rFonts w:hint="eastAsia" w:ascii="宋体" w:hAnsi="宋体"/>
                <w:bCs/>
                <w:color w:val="auto"/>
                <w:sz w:val="24"/>
                <w:szCs w:val="24"/>
              </w:rPr>
              <w:t>其他承诺</w:t>
            </w:r>
          </w:p>
          <w:p>
            <w:pPr>
              <w:rPr>
                <w:rFonts w:ascii="宋体"/>
                <w:bCs/>
                <w:color w:val="auto"/>
                <w:sz w:val="24"/>
                <w:szCs w:val="24"/>
              </w:rPr>
            </w:pPr>
            <w:r>
              <w:rPr>
                <w:rFonts w:hint="eastAsia" w:ascii="宋体" w:hAnsi="宋体"/>
                <w:bCs/>
                <w:color w:val="auto"/>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9"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Cs/>
                <w:color w:val="auto"/>
                <w:sz w:val="24"/>
                <w:szCs w:val="24"/>
              </w:rPr>
            </w:pPr>
          </w:p>
        </w:tc>
        <w:tc>
          <w:tcPr>
            <w:tcW w:w="940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bCs/>
                <w:color w:val="auto"/>
                <w:sz w:val="24"/>
                <w:szCs w:val="24"/>
              </w:rPr>
            </w:pPr>
          </w:p>
        </w:tc>
      </w:tr>
    </w:tbl>
    <w:p>
      <w:pPr>
        <w:spacing w:before="5" w:line="560" w:lineRule="atLeast"/>
        <w:rPr>
          <w:b/>
          <w:bCs/>
          <w:color w:val="auto"/>
          <w:sz w:val="24"/>
          <w:szCs w:val="24"/>
        </w:rPr>
      </w:pPr>
      <w:r>
        <w:rPr>
          <w:rFonts w:hint="eastAsia"/>
          <w:b/>
          <w:bCs/>
          <w:color w:val="auto"/>
          <w:sz w:val="24"/>
          <w:szCs w:val="24"/>
        </w:rPr>
        <w:t>法定代表人或法定代表人授权代表签字或盖章：</w:t>
      </w:r>
    </w:p>
    <w:p>
      <w:pPr>
        <w:spacing w:line="400" w:lineRule="exact"/>
        <w:rPr>
          <w:rFonts w:ascii="宋体"/>
          <w:bCs/>
          <w:color w:val="auto"/>
          <w:szCs w:val="21"/>
        </w:rPr>
      </w:pPr>
      <w:r>
        <w:rPr>
          <w:rFonts w:hint="eastAsia" w:ascii="宋体" w:hAnsi="宋体"/>
          <w:b/>
          <w:color w:val="auto"/>
          <w:szCs w:val="21"/>
        </w:rPr>
        <w:t>注：</w:t>
      </w: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bCs/>
          <w:color w:val="auto"/>
          <w:szCs w:val="2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无锡市公共资源交易中心新吴分中心有权将相关内容进行公示；</w:t>
      </w:r>
    </w:p>
    <w:p>
      <w:pPr>
        <w:spacing w:line="400" w:lineRule="exact"/>
        <w:ind w:firstLine="315" w:firstLineChars="150"/>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）投标人应当根据“项目技术要求和有关说明”的内容在上表中详细填写；</w:t>
      </w:r>
    </w:p>
    <w:p>
      <w:pPr>
        <w:spacing w:line="400" w:lineRule="exact"/>
        <w:ind w:firstLine="315" w:firstLineChars="150"/>
        <w:rPr>
          <w:rFonts w:hint="eastAsia" w:ascii="宋体" w:hAns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）表格不够可自行延长。</w:t>
      </w:r>
    </w:p>
    <w:p>
      <w:pPr>
        <w:spacing w:line="400" w:lineRule="exact"/>
        <w:ind w:firstLine="315" w:firstLineChars="150"/>
        <w:rPr>
          <w:rFonts w:hint="eastAsia" w:ascii="宋体" w:hAnsi="宋体"/>
          <w:bCs/>
          <w:color w:val="auto"/>
          <w:szCs w:val="21"/>
        </w:rPr>
      </w:pPr>
    </w:p>
    <w:p>
      <w:pPr>
        <w:spacing w:line="400" w:lineRule="exact"/>
        <w:ind w:firstLine="315" w:firstLineChars="150"/>
        <w:rPr>
          <w:rFonts w:hint="eastAsia" w:ascii="宋体" w:hAnsi="宋体"/>
          <w:bCs/>
          <w:color w:val="auto"/>
          <w:szCs w:val="21"/>
        </w:rPr>
      </w:pPr>
    </w:p>
    <w:p>
      <w:pPr>
        <w:spacing w:line="400" w:lineRule="exact"/>
        <w:ind w:firstLine="315" w:firstLineChars="150"/>
        <w:rPr>
          <w:rFonts w:hint="eastAsia" w:ascii="宋体" w:hAnsi="宋体"/>
          <w:bCs/>
          <w:color w:val="auto"/>
          <w:szCs w:val="21"/>
        </w:rPr>
      </w:pPr>
    </w:p>
    <w:p>
      <w:pPr>
        <w:spacing w:line="400" w:lineRule="exact"/>
        <w:ind w:firstLine="315" w:firstLineChars="150"/>
        <w:rPr>
          <w:rFonts w:hint="eastAsia" w:ascii="宋体" w:hAnsi="宋体"/>
          <w:bCs/>
          <w:color w:val="auto"/>
          <w:szCs w:val="21"/>
        </w:rPr>
      </w:pPr>
    </w:p>
    <w:p>
      <w:pPr>
        <w:spacing w:line="400" w:lineRule="exact"/>
        <w:ind w:firstLine="315" w:firstLineChars="150"/>
        <w:rPr>
          <w:rFonts w:hint="eastAsia" w:ascii="宋体" w:hAnsi="宋体"/>
          <w:bCs/>
          <w:color w:val="auto"/>
          <w:szCs w:val="21"/>
        </w:rPr>
      </w:pPr>
    </w:p>
    <w:p>
      <w:pPr>
        <w:spacing w:line="400" w:lineRule="exact"/>
        <w:ind w:firstLine="315" w:firstLineChars="150"/>
        <w:rPr>
          <w:rFonts w:hint="eastAsia" w:ascii="宋体" w:hAnsi="宋体"/>
          <w:bCs/>
          <w:color w:val="auto"/>
          <w:szCs w:val="21"/>
        </w:rPr>
      </w:pPr>
    </w:p>
    <w:p>
      <w:pPr>
        <w:ind w:firstLine="420" w:firstLineChars="175"/>
        <w:rPr>
          <w:rFonts w:hint="eastAsia" w:ascii="黑体" w:hAnsi="宋体" w:eastAsia="黑体"/>
          <w:bCs/>
          <w:color w:val="auto"/>
          <w:sz w:val="24"/>
          <w:szCs w:val="24"/>
        </w:rPr>
      </w:pPr>
    </w:p>
    <w:p>
      <w:pPr>
        <w:pStyle w:val="30"/>
        <w:ind w:firstLine="480"/>
        <w:rPr>
          <w:rFonts w:hint="eastAsia" w:ascii="黑体" w:hAnsi="宋体" w:eastAsia="黑体"/>
          <w:bCs/>
          <w:color w:val="auto"/>
          <w:sz w:val="24"/>
          <w:szCs w:val="24"/>
        </w:rPr>
      </w:pPr>
    </w:p>
    <w:p>
      <w:pPr>
        <w:spacing w:line="360" w:lineRule="auto"/>
        <w:ind w:firstLine="480" w:firstLineChars="200"/>
        <w:outlineLvl w:val="1"/>
        <w:rPr>
          <w:rFonts w:ascii="黑体" w:eastAsia="黑体"/>
          <w:bCs/>
          <w:color w:val="auto"/>
          <w:sz w:val="28"/>
          <w:szCs w:val="28"/>
        </w:rPr>
      </w:pPr>
      <w:r>
        <w:rPr>
          <w:rFonts w:hint="eastAsia" w:ascii="黑体" w:hAnsi="宋体" w:eastAsia="黑体"/>
          <w:bCs/>
          <w:color w:val="auto"/>
          <w:sz w:val="24"/>
          <w:szCs w:val="24"/>
        </w:rPr>
        <w:t>（九）投标偏离表（格式）：</w:t>
      </w:r>
    </w:p>
    <w:p>
      <w:pPr>
        <w:ind w:firstLine="490" w:firstLineChars="175"/>
        <w:jc w:val="center"/>
        <w:rPr>
          <w:rFonts w:ascii="黑体" w:eastAsia="黑体"/>
          <w:bCs/>
          <w:color w:val="auto"/>
          <w:sz w:val="28"/>
          <w:szCs w:val="28"/>
        </w:rPr>
      </w:pPr>
    </w:p>
    <w:p>
      <w:pPr>
        <w:ind w:firstLine="490" w:firstLineChars="175"/>
        <w:jc w:val="center"/>
        <w:rPr>
          <w:rFonts w:ascii="黑体" w:eastAsia="黑体"/>
          <w:bCs/>
          <w:color w:val="auto"/>
          <w:sz w:val="28"/>
          <w:szCs w:val="28"/>
        </w:rPr>
      </w:pPr>
    </w:p>
    <w:p>
      <w:pPr>
        <w:ind w:firstLine="490" w:firstLineChars="175"/>
        <w:jc w:val="center"/>
        <w:rPr>
          <w:rFonts w:ascii="黑体" w:eastAsia="黑体"/>
          <w:bCs/>
          <w:color w:val="auto"/>
          <w:sz w:val="28"/>
          <w:szCs w:val="28"/>
        </w:rPr>
      </w:pPr>
      <w:r>
        <w:rPr>
          <w:rFonts w:hint="eastAsia" w:ascii="黑体" w:eastAsia="黑体"/>
          <w:bCs/>
          <w:color w:val="auto"/>
          <w:sz w:val="28"/>
          <w:szCs w:val="28"/>
        </w:rPr>
        <w:t>投标偏离表</w:t>
      </w:r>
    </w:p>
    <w:p>
      <w:pPr>
        <w:spacing w:line="400" w:lineRule="exact"/>
        <w:jc w:val="center"/>
        <w:rPr>
          <w:rFonts w:ascii="黑体" w:eastAsia="黑体"/>
          <w:bCs/>
          <w:color w:val="auto"/>
          <w:sz w:val="28"/>
          <w:szCs w:val="28"/>
        </w:rPr>
      </w:pPr>
    </w:p>
    <w:p>
      <w:pPr>
        <w:spacing w:line="400" w:lineRule="exact"/>
        <w:jc w:val="center"/>
        <w:rPr>
          <w:rFonts w:ascii="黑体" w:eastAsia="黑体"/>
          <w:bCs/>
          <w:color w:val="auto"/>
          <w:sz w:val="28"/>
          <w:szCs w:val="28"/>
        </w:rPr>
      </w:pPr>
    </w:p>
    <w:p>
      <w:pPr>
        <w:spacing w:line="400" w:lineRule="exact"/>
        <w:rPr>
          <w:rFonts w:hint="default" w:ascii="黑体" w:eastAsia="黑体"/>
          <w:bCs/>
          <w:color w:val="auto"/>
          <w:sz w:val="24"/>
          <w:szCs w:val="24"/>
          <w:lang w:val="en-US" w:eastAsia="zh-CN"/>
        </w:rPr>
      </w:pPr>
      <w:r>
        <w:rPr>
          <w:rFonts w:hint="eastAsia" w:ascii="黑体" w:eastAsia="黑体"/>
          <w:bCs/>
          <w:color w:val="auto"/>
          <w:sz w:val="24"/>
          <w:szCs w:val="24"/>
        </w:rPr>
        <w:t>投标人名称（盖章）                                  采购项目编号：</w:t>
      </w:r>
      <w:r>
        <w:rPr>
          <w:rFonts w:ascii="黑体" w:eastAsia="黑体"/>
          <w:bCs/>
          <w:color w:val="auto"/>
          <w:sz w:val="24"/>
          <w:szCs w:val="24"/>
        </w:rPr>
        <w:t>WXXWQJC2022-0</w:t>
      </w:r>
      <w:r>
        <w:rPr>
          <w:rFonts w:hint="eastAsia" w:ascii="黑体" w:eastAsia="黑体"/>
          <w:bCs/>
          <w:color w:val="auto"/>
          <w:sz w:val="24"/>
          <w:szCs w:val="24"/>
          <w:lang w:val="en-US" w:eastAsia="zh-CN"/>
        </w:rPr>
        <w:t>97</w:t>
      </w:r>
    </w:p>
    <w:p>
      <w:pPr>
        <w:spacing w:line="400" w:lineRule="exact"/>
        <w:rPr>
          <w:rFonts w:ascii="黑体" w:eastAsia="黑体"/>
          <w:bCs/>
          <w:color w:val="auto"/>
          <w:sz w:val="24"/>
          <w:szCs w:val="24"/>
        </w:rPr>
      </w:pPr>
    </w:p>
    <w:tbl>
      <w:tblPr>
        <w:tblStyle w:val="31"/>
        <w:tblW w:w="0" w:type="auto"/>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
                <w:bCs/>
                <w:color w:val="auto"/>
                <w:sz w:val="24"/>
                <w:szCs w:val="24"/>
              </w:rPr>
            </w:pPr>
            <w:r>
              <w:rPr>
                <w:rFonts w:hint="eastAsia" w:ascii="宋体" w:hAnsi="宋体"/>
                <w:b/>
                <w:bCs/>
                <w:color w:val="auto"/>
                <w:sz w:val="24"/>
                <w:szCs w:val="24"/>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4"/>
                <w:szCs w:val="24"/>
              </w:rPr>
            </w:pPr>
            <w:r>
              <w:rPr>
                <w:rFonts w:hint="eastAsia" w:ascii="宋体" w:hAnsi="宋体"/>
                <w:b/>
                <w:bCs/>
                <w:color w:val="auto"/>
                <w:sz w:val="24"/>
                <w:szCs w:val="24"/>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4"/>
                <w:szCs w:val="24"/>
              </w:rPr>
            </w:pPr>
            <w:r>
              <w:rPr>
                <w:rFonts w:hint="eastAsia" w:ascii="宋体" w:hAnsi="宋体"/>
                <w:b/>
                <w:bCs/>
                <w:color w:val="auto"/>
                <w:sz w:val="24"/>
                <w:szCs w:val="24"/>
              </w:rPr>
              <w:t>实报内容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4"/>
                <w:szCs w:val="24"/>
              </w:rPr>
            </w:pPr>
            <w:r>
              <w:rPr>
                <w:rFonts w:hint="eastAsia" w:ascii="宋体" w:hAnsi="宋体"/>
                <w:b/>
                <w:bCs/>
                <w:color w:val="auto"/>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color w:val="auto"/>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color w:val="auto"/>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auto"/>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auto"/>
              </w:rPr>
            </w:pPr>
          </w:p>
        </w:tc>
      </w:tr>
    </w:tbl>
    <w:p>
      <w:pPr>
        <w:rPr>
          <w:rFonts w:ascii="宋体"/>
          <w:b/>
          <w:color w:val="auto"/>
          <w:sz w:val="24"/>
          <w:szCs w:val="24"/>
        </w:rPr>
      </w:pPr>
    </w:p>
    <w:p>
      <w:pPr>
        <w:rPr>
          <w:b/>
          <w:bCs/>
          <w:color w:val="auto"/>
          <w:sz w:val="24"/>
          <w:szCs w:val="24"/>
        </w:rPr>
      </w:pPr>
      <w:r>
        <w:rPr>
          <w:rFonts w:hint="eastAsia"/>
          <w:b/>
          <w:bCs/>
          <w:color w:val="auto"/>
          <w:sz w:val="24"/>
          <w:szCs w:val="24"/>
        </w:rPr>
        <w:t>法定代表人或法定代表人授权代表签字或盖章：</w:t>
      </w:r>
    </w:p>
    <w:p>
      <w:pPr>
        <w:rPr>
          <w:rFonts w:ascii="宋体"/>
          <w:bCs/>
          <w:color w:val="auto"/>
          <w:sz w:val="30"/>
        </w:rPr>
      </w:pPr>
    </w:p>
    <w:p>
      <w:pPr>
        <w:ind w:firstLine="420" w:firstLineChars="175"/>
        <w:rPr>
          <w:rFonts w:ascii="宋体" w:hAnsi="宋体"/>
          <w:bCs/>
          <w:color w:val="auto"/>
          <w:sz w:val="24"/>
          <w:szCs w:val="24"/>
        </w:rPr>
      </w:pPr>
      <w:r>
        <w:rPr>
          <w:rFonts w:hint="eastAsia" w:ascii="宋体" w:hAnsi="宋体"/>
          <w:bCs/>
          <w:color w:val="auto"/>
          <w:sz w:val="24"/>
          <w:szCs w:val="24"/>
        </w:rPr>
        <w:t>注：（</w:t>
      </w:r>
      <w:r>
        <w:rPr>
          <w:rFonts w:ascii="宋体" w:hAnsi="宋体"/>
          <w:bCs/>
          <w:color w:val="auto"/>
          <w:sz w:val="24"/>
          <w:szCs w:val="24"/>
        </w:rPr>
        <w:t>1</w:t>
      </w:r>
      <w:r>
        <w:rPr>
          <w:rFonts w:hint="eastAsia" w:ascii="宋体" w:hAnsi="宋体"/>
          <w:bCs/>
          <w:color w:val="auto"/>
          <w:sz w:val="24"/>
          <w:szCs w:val="24"/>
        </w:rPr>
        <w:t>）本表不得删除；</w:t>
      </w:r>
    </w:p>
    <w:p>
      <w:pPr>
        <w:ind w:firstLine="420" w:firstLineChars="175"/>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）如无任何技术偏离，请于本表 “偏离说明”中注明“无偏离”；</w:t>
      </w:r>
    </w:p>
    <w:p>
      <w:pPr>
        <w:ind w:firstLine="420" w:firstLineChars="175"/>
        <w:rPr>
          <w:rFonts w:ascii="宋体"/>
          <w:bCs/>
          <w:color w:val="auto"/>
          <w:sz w:val="24"/>
          <w:szCs w:val="24"/>
        </w:rPr>
      </w:pPr>
      <w:r>
        <w:rPr>
          <w:rFonts w:hint="eastAsia" w:ascii="宋体" w:hAnsi="宋体"/>
          <w:bCs/>
          <w:color w:val="auto"/>
          <w:sz w:val="24"/>
          <w:szCs w:val="24"/>
        </w:rPr>
        <w:t xml:space="preserve">   （3）如有技术偏离项，请于本表中列明偏离内容，如需要可自行延长，其余无偏离内容不须赘述。</w:t>
      </w:r>
    </w:p>
    <w:p>
      <w:pPr>
        <w:rPr>
          <w:rFonts w:ascii="宋体"/>
          <w:bCs/>
          <w:color w:val="auto"/>
          <w:sz w:val="30"/>
        </w:rPr>
      </w:pPr>
    </w:p>
    <w:p>
      <w:pPr>
        <w:spacing w:line="360" w:lineRule="auto"/>
        <w:ind w:firstLine="480" w:firstLineChars="200"/>
        <w:rPr>
          <w:color w:val="auto"/>
          <w:sz w:val="24"/>
          <w:szCs w:val="24"/>
        </w:rPr>
      </w:pPr>
    </w:p>
    <w:p>
      <w:pPr>
        <w:pStyle w:val="30"/>
        <w:ind w:firstLine="480"/>
        <w:rPr>
          <w:color w:val="auto"/>
          <w:sz w:val="24"/>
          <w:szCs w:val="24"/>
        </w:rPr>
      </w:pPr>
    </w:p>
    <w:p>
      <w:pPr>
        <w:pStyle w:val="30"/>
        <w:ind w:firstLine="480"/>
        <w:rPr>
          <w:color w:val="auto"/>
          <w:sz w:val="24"/>
          <w:szCs w:val="24"/>
        </w:rPr>
      </w:pPr>
    </w:p>
    <w:p>
      <w:pPr>
        <w:pStyle w:val="30"/>
        <w:ind w:firstLine="480"/>
        <w:rPr>
          <w:color w:val="auto"/>
          <w:sz w:val="24"/>
          <w:szCs w:val="24"/>
        </w:rPr>
      </w:pPr>
    </w:p>
    <w:p>
      <w:pPr>
        <w:pStyle w:val="30"/>
        <w:ind w:firstLine="480"/>
        <w:rPr>
          <w:color w:val="auto"/>
          <w:sz w:val="24"/>
          <w:szCs w:val="24"/>
        </w:rPr>
      </w:pPr>
    </w:p>
    <w:p>
      <w:pPr>
        <w:pStyle w:val="30"/>
        <w:ind w:left="0" w:leftChars="0" w:firstLine="0" w:firstLineChars="0"/>
        <w:rPr>
          <w:rFonts w:hint="eastAsia"/>
          <w:color w:val="auto"/>
          <w:sz w:val="24"/>
          <w:szCs w:val="24"/>
        </w:rPr>
      </w:pPr>
    </w:p>
    <w:p>
      <w:pPr>
        <w:pStyle w:val="30"/>
        <w:ind w:left="0" w:leftChars="0" w:firstLine="0" w:firstLineChars="0"/>
        <w:rPr>
          <w:rFonts w:hint="eastAsia"/>
          <w:color w:val="auto"/>
          <w:sz w:val="24"/>
          <w:szCs w:val="24"/>
        </w:rPr>
      </w:pPr>
    </w:p>
    <w:sectPr>
      <w:pgSz w:w="11906" w:h="16838"/>
      <w:pgMar w:top="567" w:right="851" w:bottom="567" w:left="1134"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EDA7jPNAQAAlwMAAA4AAAAAAAAAAQAgAAAAHwEAAGRycy9l&#10;Mm9Eb2MueG1sUEsFBgAAAAAGAAYAWQEAAF4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LmFbrPNAQAAmAMAAA4AAAAAAAAAAQAgAAAAHwEAAGRycy9l&#10;Mm9Eb2MueG1sUEsFBgAAAAAGAAYAWQEAAF4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ascii="华文新魏" w:eastAsia="华文新魏"/>
      </w:rPr>
    </w:pPr>
    <w:r>
      <w:rPr>
        <w:rFonts w:hint="eastAsia" w:ascii="华文新魏" w:eastAsia="华文新魏"/>
        <w:sz w:val="21"/>
      </w:rPr>
      <w:t>WXXWQJC2022-</w:t>
    </w:r>
    <w:r>
      <w:rPr>
        <w:rFonts w:ascii="华文新魏" w:eastAsia="华文新魏"/>
        <w:sz w:val="21"/>
      </w:rPr>
      <w:t>0</w:t>
    </w:r>
    <w:r>
      <w:rPr>
        <w:rFonts w:hint="eastAsia" w:ascii="华文新魏" w:eastAsia="华文新魏"/>
        <w:sz w:val="21"/>
        <w:lang w:val="en-US" w:eastAsia="zh-CN"/>
      </w:rPr>
      <w:t>97</w:t>
    </w:r>
    <w:r>
      <w:rPr>
        <w:rFonts w:hint="eastAsia"/>
        <w:sz w:val="24"/>
      </w:rPr>
      <w:t>新吴反诈全流程工作平台</w:t>
    </w:r>
    <w:r>
      <w:rPr>
        <w:rFonts w:hint="eastAsia" w:ascii="华文新魏" w:eastAsia="华文新魏"/>
        <w:sz w:val="21"/>
      </w:rPr>
      <w:t xml:space="preserve">    </w:t>
    </w:r>
    <w:r>
      <w:rPr>
        <w:rFonts w:ascii="华文新魏" w:eastAsia="华文新魏"/>
        <w:sz w:val="21"/>
      </w:rPr>
      <w:t xml:space="preserve">            </w:t>
    </w:r>
    <w:r>
      <w:rPr>
        <w:rFonts w:hint="eastAsia" w:ascii="华文新魏" w:eastAsia="华文新魏"/>
        <w:sz w:val="21"/>
      </w:rPr>
      <w:t>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E1AC1"/>
    <w:multiLevelType w:val="singleLevel"/>
    <w:tmpl w:val="A15E1AC1"/>
    <w:lvl w:ilvl="0" w:tentative="0">
      <w:start w:val="1"/>
      <w:numFmt w:val="decimal"/>
      <w:suff w:val="nothing"/>
      <w:lvlText w:val="%1"/>
      <w:lvlJc w:val="left"/>
      <w:pPr>
        <w:ind w:left="0" w:firstLine="403"/>
      </w:pPr>
      <w:rPr>
        <w:rFonts w:hint="default"/>
      </w:rPr>
    </w:lvl>
  </w:abstractNum>
  <w:abstractNum w:abstractNumId="1">
    <w:nsid w:val="BBFEBF76"/>
    <w:multiLevelType w:val="singleLevel"/>
    <w:tmpl w:val="BBFEBF76"/>
    <w:lvl w:ilvl="0" w:tentative="0">
      <w:start w:val="1"/>
      <w:numFmt w:val="decimalEnclosedCircleChinese"/>
      <w:suff w:val="nothing"/>
      <w:lvlText w:val="%1　"/>
      <w:lvlJc w:val="left"/>
      <w:pPr>
        <w:ind w:left="420" w:firstLine="400"/>
      </w:pPr>
      <w:rPr>
        <w:rFonts w:hint="eastAsia"/>
      </w:rPr>
    </w:lvl>
  </w:abstractNum>
  <w:abstractNum w:abstractNumId="2">
    <w:nsid w:val="DBBFFAAC"/>
    <w:multiLevelType w:val="singleLevel"/>
    <w:tmpl w:val="DBBFFAAC"/>
    <w:lvl w:ilvl="0" w:tentative="0">
      <w:start w:val="2"/>
      <w:numFmt w:val="decimal"/>
      <w:suff w:val="nothing"/>
      <w:lvlText w:val="%1、"/>
      <w:lvlJc w:val="left"/>
    </w:lvl>
  </w:abstractNum>
  <w:abstractNum w:abstractNumId="3">
    <w:nsid w:val="DFDE18D0"/>
    <w:multiLevelType w:val="singleLevel"/>
    <w:tmpl w:val="DFDE18D0"/>
    <w:lvl w:ilvl="0" w:tentative="0">
      <w:start w:val="1"/>
      <w:numFmt w:val="decimalEnclosedCircleChinese"/>
      <w:suff w:val="nothing"/>
      <w:lvlText w:val="%1　"/>
      <w:lvlJc w:val="left"/>
      <w:pPr>
        <w:ind w:left="420" w:firstLine="400"/>
      </w:pPr>
      <w:rPr>
        <w:rFonts w:hint="eastAsia"/>
      </w:rPr>
    </w:lvl>
  </w:abstractNum>
  <w:abstractNum w:abstractNumId="4">
    <w:nsid w:val="EE9E3979"/>
    <w:multiLevelType w:val="singleLevel"/>
    <w:tmpl w:val="EE9E3979"/>
    <w:lvl w:ilvl="0" w:tentative="0">
      <w:start w:val="1"/>
      <w:numFmt w:val="decimalEnclosedCircleChinese"/>
      <w:suff w:val="nothing"/>
      <w:lvlText w:val="%1　"/>
      <w:lvlJc w:val="left"/>
      <w:pPr>
        <w:ind w:left="420" w:firstLine="400"/>
      </w:pPr>
      <w:rPr>
        <w:rFonts w:hint="eastAsia"/>
      </w:rPr>
    </w:lvl>
  </w:abstractNum>
  <w:abstractNum w:abstractNumId="5">
    <w:nsid w:val="F7B7EE7E"/>
    <w:multiLevelType w:val="singleLevel"/>
    <w:tmpl w:val="F7B7EE7E"/>
    <w:lvl w:ilvl="0" w:tentative="0">
      <w:start w:val="10"/>
      <w:numFmt w:val="decimal"/>
      <w:suff w:val="nothing"/>
      <w:lvlText w:val="%1、"/>
      <w:lvlJc w:val="left"/>
    </w:lvl>
  </w:abstractNum>
  <w:abstractNum w:abstractNumId="6">
    <w:nsid w:val="FE70CBD7"/>
    <w:multiLevelType w:val="singleLevel"/>
    <w:tmpl w:val="FE70CBD7"/>
    <w:lvl w:ilvl="0" w:tentative="0">
      <w:start w:val="1"/>
      <w:numFmt w:val="bullet"/>
      <w:lvlText w:val=""/>
      <w:lvlJc w:val="left"/>
      <w:pPr>
        <w:tabs>
          <w:tab w:val="left" w:pos="840"/>
        </w:tabs>
        <w:ind w:left="1260" w:hanging="420"/>
      </w:pPr>
      <w:rPr>
        <w:rFonts w:hint="default" w:ascii="Wingdings" w:hAnsi="Wingdings"/>
      </w:rPr>
    </w:lvl>
  </w:abstractNum>
  <w:abstractNum w:abstractNumId="7">
    <w:nsid w:val="FF762E4E"/>
    <w:multiLevelType w:val="singleLevel"/>
    <w:tmpl w:val="FF762E4E"/>
    <w:lvl w:ilvl="0" w:tentative="0">
      <w:start w:val="1"/>
      <w:numFmt w:val="decimalEnclosedCircleChinese"/>
      <w:suff w:val="nothing"/>
      <w:lvlText w:val="%1　"/>
      <w:lvlJc w:val="left"/>
      <w:pPr>
        <w:ind w:left="420" w:firstLine="400"/>
      </w:pPr>
      <w:rPr>
        <w:rFonts w:hint="eastAsia"/>
      </w:rPr>
    </w:lvl>
  </w:abstractNum>
  <w:abstractNum w:abstractNumId="8">
    <w:nsid w:val="00000003"/>
    <w:multiLevelType w:val="multilevel"/>
    <w:tmpl w:val="00000003"/>
    <w:lvl w:ilvl="0" w:tentative="0">
      <w:start w:val="1"/>
      <w:numFmt w:val="bullet"/>
      <w:pStyle w:val="24"/>
      <w:lvlText w:val=""/>
      <w:lvlJc w:val="left"/>
      <w:pPr>
        <w:tabs>
          <w:tab w:val="left" w:pos="420"/>
        </w:tabs>
        <w:ind w:left="420" w:hanging="420"/>
      </w:pPr>
      <w:rPr>
        <w:rFonts w:hint="default" w:ascii="Verdana" w:hAnsi="Verdana"/>
      </w:rPr>
    </w:lvl>
    <w:lvl w:ilvl="1" w:tentative="0">
      <w:start w:val="1"/>
      <w:numFmt w:val="decimal"/>
      <w:lvlText w:val="%2．"/>
      <w:lvlJc w:val="left"/>
      <w:pPr>
        <w:tabs>
          <w:tab w:val="left" w:pos="1130"/>
        </w:tabs>
        <w:ind w:left="1130" w:hanging="420"/>
      </w:pPr>
      <w:rPr>
        <w:rFonts w:hint="eastAsia"/>
      </w:rPr>
    </w:lvl>
    <w:lvl w:ilvl="2" w:tentative="0">
      <w:start w:val="1"/>
      <w:numFmt w:val="bullet"/>
      <w:lvlText w:val=""/>
      <w:lvlJc w:val="left"/>
      <w:pPr>
        <w:tabs>
          <w:tab w:val="left" w:pos="3585"/>
        </w:tabs>
        <w:ind w:left="3585" w:hanging="420"/>
      </w:pPr>
      <w:rPr>
        <w:rFonts w:hint="default" w:ascii="Verdana" w:hAnsi="Verdana"/>
      </w:rPr>
    </w:lvl>
    <w:lvl w:ilvl="3" w:tentative="0">
      <w:start w:val="1"/>
      <w:numFmt w:val="bullet"/>
      <w:lvlText w:val=""/>
      <w:lvlJc w:val="left"/>
      <w:pPr>
        <w:tabs>
          <w:tab w:val="left" w:pos="4005"/>
        </w:tabs>
        <w:ind w:left="4005" w:hanging="420"/>
      </w:pPr>
      <w:rPr>
        <w:rFonts w:hint="default" w:ascii="Verdana" w:hAnsi="Verdana"/>
      </w:rPr>
    </w:lvl>
    <w:lvl w:ilvl="4" w:tentative="0">
      <w:start w:val="1"/>
      <w:numFmt w:val="bullet"/>
      <w:lvlText w:val=""/>
      <w:lvlJc w:val="left"/>
      <w:pPr>
        <w:tabs>
          <w:tab w:val="left" w:pos="4425"/>
        </w:tabs>
        <w:ind w:left="4425" w:hanging="420"/>
      </w:pPr>
      <w:rPr>
        <w:rFonts w:hint="default" w:ascii="Verdana" w:hAnsi="Verdana"/>
      </w:rPr>
    </w:lvl>
    <w:lvl w:ilvl="5" w:tentative="0">
      <w:start w:val="1"/>
      <w:numFmt w:val="bullet"/>
      <w:lvlText w:val=""/>
      <w:lvlJc w:val="left"/>
      <w:pPr>
        <w:tabs>
          <w:tab w:val="left" w:pos="4845"/>
        </w:tabs>
        <w:ind w:left="4845" w:hanging="420"/>
      </w:pPr>
      <w:rPr>
        <w:rFonts w:hint="default" w:ascii="Verdana" w:hAnsi="Verdana"/>
      </w:rPr>
    </w:lvl>
    <w:lvl w:ilvl="6" w:tentative="0">
      <w:start w:val="1"/>
      <w:numFmt w:val="bullet"/>
      <w:lvlText w:val=""/>
      <w:lvlJc w:val="left"/>
      <w:pPr>
        <w:tabs>
          <w:tab w:val="left" w:pos="5265"/>
        </w:tabs>
        <w:ind w:left="5265" w:hanging="420"/>
      </w:pPr>
      <w:rPr>
        <w:rFonts w:hint="default" w:ascii="Verdana" w:hAnsi="Verdana"/>
      </w:rPr>
    </w:lvl>
    <w:lvl w:ilvl="7" w:tentative="0">
      <w:start w:val="1"/>
      <w:numFmt w:val="bullet"/>
      <w:lvlText w:val=""/>
      <w:lvlJc w:val="left"/>
      <w:pPr>
        <w:tabs>
          <w:tab w:val="left" w:pos="5685"/>
        </w:tabs>
        <w:ind w:left="5685" w:hanging="420"/>
      </w:pPr>
      <w:rPr>
        <w:rFonts w:hint="default" w:ascii="Verdana" w:hAnsi="Verdana"/>
      </w:rPr>
    </w:lvl>
    <w:lvl w:ilvl="8" w:tentative="0">
      <w:start w:val="1"/>
      <w:numFmt w:val="bullet"/>
      <w:lvlText w:val=""/>
      <w:lvlJc w:val="left"/>
      <w:pPr>
        <w:tabs>
          <w:tab w:val="left" w:pos="6105"/>
        </w:tabs>
        <w:ind w:left="6105" w:hanging="420"/>
      </w:pPr>
      <w:rPr>
        <w:rFonts w:hint="default" w:ascii="Verdana" w:hAnsi="Verdana"/>
      </w:rPr>
    </w:lvl>
  </w:abstractNum>
  <w:abstractNum w:abstractNumId="9">
    <w:nsid w:val="085007CF"/>
    <w:multiLevelType w:val="multilevel"/>
    <w:tmpl w:val="085007CF"/>
    <w:lvl w:ilvl="0" w:tentative="0">
      <w:start w:val="1"/>
      <w:numFmt w:val="decimal"/>
      <w:suff w:val="space"/>
      <w:lvlText w:val="%1."/>
      <w:lvlJc w:val="left"/>
      <w:pPr>
        <w:ind w:left="630" w:hanging="420"/>
      </w:pPr>
      <w:rPr>
        <w:rFonts w:hint="eastAsia" w:cs="Times New Roman"/>
      </w:rPr>
    </w:lvl>
    <w:lvl w:ilvl="1" w:tentative="0">
      <w:start w:val="1"/>
      <w:numFmt w:val="decimal"/>
      <w:suff w:val="space"/>
      <w:lvlText w:val="（%2）"/>
      <w:lvlJc w:val="left"/>
      <w:pPr>
        <w:ind w:left="990" w:hanging="360"/>
      </w:pPr>
      <w:rPr>
        <w:rFonts w:hint="eastAsia" w:ascii="宋体" w:hAnsi="宋体" w:eastAsia="宋体" w:cs="Times New Roman"/>
        <w:color w:val="auto"/>
      </w:rPr>
    </w:lvl>
    <w:lvl w:ilvl="2" w:tentative="0">
      <w:start w:val="1"/>
      <w:numFmt w:val="lowerRoman"/>
      <w:lvlText w:val="%3."/>
      <w:lvlJc w:val="right"/>
      <w:pPr>
        <w:tabs>
          <w:tab w:val="left" w:pos="1470"/>
        </w:tabs>
        <w:ind w:left="1470" w:hanging="420"/>
      </w:pPr>
      <w:rPr>
        <w:rFonts w:hint="eastAsia" w:cs="Times New Roman"/>
      </w:rPr>
    </w:lvl>
    <w:lvl w:ilvl="3" w:tentative="0">
      <w:start w:val="1"/>
      <w:numFmt w:val="decimal"/>
      <w:lvlText w:val="%4."/>
      <w:lvlJc w:val="left"/>
      <w:pPr>
        <w:tabs>
          <w:tab w:val="left" w:pos="1890"/>
        </w:tabs>
        <w:ind w:left="1890" w:hanging="420"/>
      </w:pPr>
      <w:rPr>
        <w:rFonts w:hint="eastAsia" w:cs="Times New Roman"/>
      </w:rPr>
    </w:lvl>
    <w:lvl w:ilvl="4" w:tentative="0">
      <w:start w:val="1"/>
      <w:numFmt w:val="lowerLetter"/>
      <w:lvlText w:val="%5)"/>
      <w:lvlJc w:val="left"/>
      <w:pPr>
        <w:tabs>
          <w:tab w:val="left" w:pos="2310"/>
        </w:tabs>
        <w:ind w:left="2310" w:hanging="420"/>
      </w:pPr>
      <w:rPr>
        <w:rFonts w:hint="eastAsia" w:cs="Times New Roman"/>
      </w:rPr>
    </w:lvl>
    <w:lvl w:ilvl="5" w:tentative="0">
      <w:start w:val="1"/>
      <w:numFmt w:val="lowerRoman"/>
      <w:lvlText w:val="%6."/>
      <w:lvlJc w:val="right"/>
      <w:pPr>
        <w:tabs>
          <w:tab w:val="left" w:pos="2730"/>
        </w:tabs>
        <w:ind w:left="2730" w:hanging="420"/>
      </w:pPr>
      <w:rPr>
        <w:rFonts w:hint="eastAsia" w:cs="Times New Roman"/>
      </w:rPr>
    </w:lvl>
    <w:lvl w:ilvl="6" w:tentative="0">
      <w:start w:val="1"/>
      <w:numFmt w:val="decimal"/>
      <w:lvlText w:val="%7."/>
      <w:lvlJc w:val="left"/>
      <w:pPr>
        <w:tabs>
          <w:tab w:val="left" w:pos="3150"/>
        </w:tabs>
        <w:ind w:left="3150" w:hanging="420"/>
      </w:pPr>
      <w:rPr>
        <w:rFonts w:hint="eastAsia" w:cs="Times New Roman"/>
      </w:rPr>
    </w:lvl>
    <w:lvl w:ilvl="7" w:tentative="0">
      <w:start w:val="1"/>
      <w:numFmt w:val="lowerLetter"/>
      <w:lvlText w:val="%8)"/>
      <w:lvlJc w:val="left"/>
      <w:pPr>
        <w:tabs>
          <w:tab w:val="left" w:pos="3570"/>
        </w:tabs>
        <w:ind w:left="3570" w:hanging="420"/>
      </w:pPr>
      <w:rPr>
        <w:rFonts w:hint="eastAsia" w:cs="Times New Roman"/>
      </w:rPr>
    </w:lvl>
    <w:lvl w:ilvl="8" w:tentative="0">
      <w:start w:val="1"/>
      <w:numFmt w:val="lowerRoman"/>
      <w:lvlText w:val="%9."/>
      <w:lvlJc w:val="right"/>
      <w:pPr>
        <w:tabs>
          <w:tab w:val="left" w:pos="3990"/>
        </w:tabs>
        <w:ind w:left="3990" w:hanging="420"/>
      </w:pPr>
      <w:rPr>
        <w:rFonts w:hint="eastAsia" w:cs="Times New Roman"/>
      </w:rPr>
    </w:lvl>
  </w:abstractNum>
  <w:abstractNum w:abstractNumId="10">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6"/>
        <w:szCs w:val="36"/>
      </w:rPr>
    </w:lvl>
    <w:lvl w:ilvl="2" w:tentative="0">
      <w:start w:val="1"/>
      <w:numFmt w:val="decimal"/>
      <w:suff w:val="space"/>
      <w:lvlText w:val="%1.%2.%3"/>
      <w:lvlJc w:val="left"/>
      <w:pPr>
        <w:ind w:left="142" w:firstLine="0"/>
      </w:pPr>
      <w:rPr>
        <w:rFonts w:hint="eastAsia" w:ascii="黑体" w:hAnsi="黑体" w:eastAsia="黑体"/>
        <w:color w:val="000000"/>
        <w:sz w:val="28"/>
      </w:rPr>
    </w:lvl>
    <w:lvl w:ilvl="3" w:tentative="0">
      <w:start w:val="1"/>
      <w:numFmt w:val="decimal"/>
      <w:pStyle w:val="10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suff w:val="space"/>
      <w:lvlText w:val="%2."/>
      <w:lvlJc w:val="left"/>
      <w:pPr>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2">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13">
    <w:nsid w:val="26D85E2D"/>
    <w:multiLevelType w:val="multilevel"/>
    <w:tmpl w:val="26D85E2D"/>
    <w:lvl w:ilvl="0" w:tentative="0">
      <w:start w:val="1"/>
      <w:numFmt w:val="decimal"/>
      <w:suff w:val="space"/>
      <w:lvlText w:val="%1．"/>
      <w:lvlJc w:val="left"/>
      <w:pPr>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4">
    <w:nsid w:val="2F8ADAF8"/>
    <w:multiLevelType w:val="singleLevel"/>
    <w:tmpl w:val="2F8ADAF8"/>
    <w:lvl w:ilvl="0" w:tentative="0">
      <w:start w:val="1"/>
      <w:numFmt w:val="decimalEnclosedCircleChinese"/>
      <w:suff w:val="nothing"/>
      <w:lvlText w:val="%1　"/>
      <w:lvlJc w:val="left"/>
      <w:pPr>
        <w:ind w:left="420" w:firstLine="400"/>
      </w:pPr>
      <w:rPr>
        <w:rFonts w:hint="eastAsia"/>
      </w:rPr>
    </w:lvl>
  </w:abstractNum>
  <w:abstractNum w:abstractNumId="15">
    <w:nsid w:val="30C36D78"/>
    <w:multiLevelType w:val="singleLevel"/>
    <w:tmpl w:val="30C36D78"/>
    <w:lvl w:ilvl="0" w:tentative="0">
      <w:start w:val="1"/>
      <w:numFmt w:val="decimal"/>
      <w:suff w:val="space"/>
      <w:lvlText w:val="%1．"/>
      <w:lvlJc w:val="left"/>
      <w:pPr>
        <w:ind w:left="552" w:hanging="420"/>
      </w:pPr>
      <w:rPr>
        <w:rFonts w:hint="eastAsia" w:cs="Times New Roman"/>
      </w:rPr>
    </w:lvl>
  </w:abstractNum>
  <w:abstractNum w:abstractNumId="16">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17">
    <w:nsid w:val="38705783"/>
    <w:multiLevelType w:val="singleLevel"/>
    <w:tmpl w:val="38705783"/>
    <w:lvl w:ilvl="0" w:tentative="0">
      <w:start w:val="1"/>
      <w:numFmt w:val="decimal"/>
      <w:suff w:val="space"/>
      <w:lvlText w:val="%1．"/>
      <w:lvlJc w:val="left"/>
      <w:pPr>
        <w:ind w:left="552" w:hanging="420"/>
      </w:pPr>
      <w:rPr>
        <w:rFonts w:hint="eastAsia" w:cs="Times New Roman"/>
      </w:rPr>
    </w:lvl>
  </w:abstractNum>
  <w:abstractNum w:abstractNumId="18">
    <w:nsid w:val="3AE63A52"/>
    <w:multiLevelType w:val="singleLevel"/>
    <w:tmpl w:val="3AE63A52"/>
    <w:lvl w:ilvl="0" w:tentative="0">
      <w:start w:val="1"/>
      <w:numFmt w:val="decimal"/>
      <w:suff w:val="space"/>
      <w:lvlText w:val="%1."/>
      <w:lvlJc w:val="left"/>
      <w:pPr>
        <w:ind w:left="762" w:hanging="210"/>
      </w:pPr>
      <w:rPr>
        <w:rFonts w:hint="eastAsia" w:cs="Times New Roman"/>
      </w:rPr>
    </w:lvl>
  </w:abstractNum>
  <w:abstractNum w:abstractNumId="19">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20">
    <w:nsid w:val="41DC48F5"/>
    <w:multiLevelType w:val="multilevel"/>
    <w:tmpl w:val="41DC48F5"/>
    <w:lvl w:ilvl="0" w:tentative="0">
      <w:start w:val="1"/>
      <w:numFmt w:val="decimal"/>
      <w:suff w:val="space"/>
      <w:lvlText w:val="%1．"/>
      <w:lvlJc w:val="left"/>
      <w:pPr>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hint="eastAsia" w:cs="Times New Roman"/>
      </w:rPr>
    </w:lvl>
    <w:lvl w:ilvl="4" w:tentative="0">
      <w:start w:val="1"/>
      <w:numFmt w:val="lowerLetter"/>
      <w:lvlText w:val="%5)"/>
      <w:lvlJc w:val="left"/>
      <w:pPr>
        <w:tabs>
          <w:tab w:val="left" w:pos="2278"/>
        </w:tabs>
        <w:ind w:left="2278" w:hanging="420"/>
      </w:pPr>
      <w:rPr>
        <w:rFonts w:hint="eastAsia" w:cs="Times New Roman"/>
      </w:rPr>
    </w:lvl>
    <w:lvl w:ilvl="5" w:tentative="0">
      <w:start w:val="1"/>
      <w:numFmt w:val="lowerRoman"/>
      <w:lvlText w:val="%6."/>
      <w:lvlJc w:val="right"/>
      <w:pPr>
        <w:tabs>
          <w:tab w:val="left" w:pos="2698"/>
        </w:tabs>
        <w:ind w:left="2698" w:hanging="420"/>
      </w:pPr>
      <w:rPr>
        <w:rFonts w:hint="eastAsia" w:cs="Times New Roman"/>
      </w:rPr>
    </w:lvl>
    <w:lvl w:ilvl="6" w:tentative="0">
      <w:start w:val="1"/>
      <w:numFmt w:val="decimal"/>
      <w:lvlText w:val="%7."/>
      <w:lvlJc w:val="left"/>
      <w:pPr>
        <w:tabs>
          <w:tab w:val="left" w:pos="3118"/>
        </w:tabs>
        <w:ind w:left="3118" w:hanging="420"/>
      </w:pPr>
      <w:rPr>
        <w:rFonts w:hint="eastAsia" w:cs="Times New Roman"/>
      </w:rPr>
    </w:lvl>
    <w:lvl w:ilvl="7" w:tentative="0">
      <w:start w:val="1"/>
      <w:numFmt w:val="lowerLetter"/>
      <w:lvlText w:val="%8)"/>
      <w:lvlJc w:val="left"/>
      <w:pPr>
        <w:tabs>
          <w:tab w:val="left" w:pos="3538"/>
        </w:tabs>
        <w:ind w:left="3538" w:hanging="420"/>
      </w:pPr>
      <w:rPr>
        <w:rFonts w:hint="eastAsia" w:cs="Times New Roman"/>
      </w:rPr>
    </w:lvl>
    <w:lvl w:ilvl="8" w:tentative="0">
      <w:start w:val="1"/>
      <w:numFmt w:val="lowerRoman"/>
      <w:lvlText w:val="%9."/>
      <w:lvlJc w:val="right"/>
      <w:pPr>
        <w:tabs>
          <w:tab w:val="left" w:pos="3958"/>
        </w:tabs>
        <w:ind w:left="3958" w:hanging="420"/>
      </w:pPr>
      <w:rPr>
        <w:rFonts w:hint="eastAsia" w:cs="Times New Roman"/>
      </w:rPr>
    </w:lvl>
  </w:abstractNum>
  <w:abstractNum w:abstractNumId="21">
    <w:nsid w:val="4FE82BE3"/>
    <w:multiLevelType w:val="multilevel"/>
    <w:tmpl w:val="4FE82BE3"/>
    <w:lvl w:ilvl="0" w:tentative="0">
      <w:start w:val="1"/>
      <w:numFmt w:val="decimal"/>
      <w:suff w:val="space"/>
      <w:lvlText w:val="%1"/>
      <w:lvlJc w:val="left"/>
      <w:pPr>
        <w:ind w:left="881" w:hanging="360"/>
      </w:pPr>
      <w:rPr>
        <w:rFonts w:hint="eastAsia" w:ascii="宋体" w:hAnsi="宋体" w:eastAsia="宋体" w:cs="Times New Roman"/>
      </w:rPr>
    </w:lvl>
    <w:lvl w:ilvl="1" w:tentative="0">
      <w:start w:val="1"/>
      <w:numFmt w:val="lowerLetter"/>
      <w:lvlText w:val="%2)"/>
      <w:lvlJc w:val="left"/>
      <w:pPr>
        <w:tabs>
          <w:tab w:val="left" w:pos="1361"/>
        </w:tabs>
        <w:ind w:left="1361" w:hanging="420"/>
      </w:pPr>
      <w:rPr>
        <w:rFonts w:hint="eastAsia" w:cs="Times New Roman"/>
      </w:rPr>
    </w:lvl>
    <w:lvl w:ilvl="2" w:tentative="0">
      <w:start w:val="1"/>
      <w:numFmt w:val="lowerRoman"/>
      <w:lvlText w:val="%3."/>
      <w:lvlJc w:val="right"/>
      <w:pPr>
        <w:tabs>
          <w:tab w:val="left" w:pos="1781"/>
        </w:tabs>
        <w:ind w:left="1781" w:hanging="420"/>
      </w:pPr>
      <w:rPr>
        <w:rFonts w:hint="eastAsia" w:cs="Times New Roman"/>
      </w:rPr>
    </w:lvl>
    <w:lvl w:ilvl="3" w:tentative="0">
      <w:start w:val="1"/>
      <w:numFmt w:val="decimal"/>
      <w:lvlText w:val="%4."/>
      <w:lvlJc w:val="left"/>
      <w:pPr>
        <w:tabs>
          <w:tab w:val="left" w:pos="2201"/>
        </w:tabs>
        <w:ind w:left="2201" w:hanging="420"/>
      </w:pPr>
      <w:rPr>
        <w:rFonts w:hint="eastAsia" w:cs="Times New Roman"/>
      </w:rPr>
    </w:lvl>
    <w:lvl w:ilvl="4" w:tentative="0">
      <w:start w:val="1"/>
      <w:numFmt w:val="lowerLetter"/>
      <w:lvlText w:val="%5)"/>
      <w:lvlJc w:val="left"/>
      <w:pPr>
        <w:tabs>
          <w:tab w:val="left" w:pos="2621"/>
        </w:tabs>
        <w:ind w:left="2621" w:hanging="420"/>
      </w:pPr>
      <w:rPr>
        <w:rFonts w:hint="eastAsia" w:cs="Times New Roman"/>
      </w:rPr>
    </w:lvl>
    <w:lvl w:ilvl="5" w:tentative="0">
      <w:start w:val="1"/>
      <w:numFmt w:val="lowerRoman"/>
      <w:lvlText w:val="%6."/>
      <w:lvlJc w:val="right"/>
      <w:pPr>
        <w:tabs>
          <w:tab w:val="left" w:pos="3041"/>
        </w:tabs>
        <w:ind w:left="3041" w:hanging="420"/>
      </w:pPr>
      <w:rPr>
        <w:rFonts w:hint="eastAsia" w:cs="Times New Roman"/>
      </w:rPr>
    </w:lvl>
    <w:lvl w:ilvl="6" w:tentative="0">
      <w:start w:val="1"/>
      <w:numFmt w:val="decimal"/>
      <w:lvlText w:val="%7."/>
      <w:lvlJc w:val="left"/>
      <w:pPr>
        <w:tabs>
          <w:tab w:val="left" w:pos="3461"/>
        </w:tabs>
        <w:ind w:left="3461" w:hanging="420"/>
      </w:pPr>
      <w:rPr>
        <w:rFonts w:hint="eastAsia" w:cs="Times New Roman"/>
      </w:rPr>
    </w:lvl>
    <w:lvl w:ilvl="7" w:tentative="0">
      <w:start w:val="1"/>
      <w:numFmt w:val="lowerLetter"/>
      <w:lvlText w:val="%8)"/>
      <w:lvlJc w:val="left"/>
      <w:pPr>
        <w:tabs>
          <w:tab w:val="left" w:pos="3881"/>
        </w:tabs>
        <w:ind w:left="3881" w:hanging="420"/>
      </w:pPr>
      <w:rPr>
        <w:rFonts w:hint="eastAsia" w:cs="Times New Roman"/>
      </w:rPr>
    </w:lvl>
    <w:lvl w:ilvl="8" w:tentative="0">
      <w:start w:val="1"/>
      <w:numFmt w:val="lowerRoman"/>
      <w:lvlText w:val="%9."/>
      <w:lvlJc w:val="right"/>
      <w:pPr>
        <w:tabs>
          <w:tab w:val="left" w:pos="4301"/>
        </w:tabs>
        <w:ind w:left="4301" w:hanging="420"/>
      </w:pPr>
      <w:rPr>
        <w:rFonts w:hint="eastAsia" w:cs="Times New Roman"/>
      </w:rPr>
    </w:lvl>
  </w:abstractNum>
  <w:abstractNum w:abstractNumId="22">
    <w:nsid w:val="510B6456"/>
    <w:multiLevelType w:val="singleLevel"/>
    <w:tmpl w:val="510B6456"/>
    <w:lvl w:ilvl="0" w:tentative="0">
      <w:start w:val="1"/>
      <w:numFmt w:val="decimal"/>
      <w:suff w:val="space"/>
      <w:lvlText w:val="%1．"/>
      <w:lvlJc w:val="left"/>
      <w:pPr>
        <w:ind w:left="552" w:hanging="420"/>
      </w:pPr>
      <w:rPr>
        <w:rFonts w:hint="eastAsia" w:cs="Times New Roman"/>
      </w:rPr>
    </w:lvl>
  </w:abstractNum>
  <w:abstractNum w:abstractNumId="23">
    <w:nsid w:val="53FD8EBE"/>
    <w:multiLevelType w:val="singleLevel"/>
    <w:tmpl w:val="53FD8EBE"/>
    <w:lvl w:ilvl="0" w:tentative="0">
      <w:start w:val="5"/>
      <w:numFmt w:val="decimal"/>
      <w:suff w:val="nothing"/>
      <w:lvlText w:val="%1、"/>
      <w:lvlJc w:val="left"/>
    </w:lvl>
  </w:abstractNum>
  <w:abstractNum w:abstractNumId="24">
    <w:nsid w:val="566E099F"/>
    <w:multiLevelType w:val="multilevel"/>
    <w:tmpl w:val="566E099F"/>
    <w:lvl w:ilvl="0" w:tentative="0">
      <w:start w:val="1"/>
      <w:numFmt w:val="decimal"/>
      <w:suff w:val="space"/>
      <w:lvlText w:val="%1"/>
      <w:lvlJc w:val="left"/>
      <w:pPr>
        <w:ind w:left="900" w:hanging="420"/>
      </w:pPr>
      <w:rPr>
        <w:rFonts w:hint="eastAsia" w:ascii="宋体" w:hAnsi="宋体" w:eastAsia="宋体" w:cs="Times New Roman"/>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5">
    <w:nsid w:val="630C1BC3"/>
    <w:multiLevelType w:val="multilevel"/>
    <w:tmpl w:val="630C1BC3"/>
    <w:lvl w:ilvl="0" w:tentative="0">
      <w:start w:val="1"/>
      <w:numFmt w:val="decimal"/>
      <w:suff w:val="space"/>
      <w:lvlText w:val="%1."/>
      <w:lvlJc w:val="left"/>
      <w:pPr>
        <w:ind w:left="360" w:hanging="360"/>
      </w:pPr>
      <w:rPr>
        <w:rFonts w:hint="eastAsia" w:cs="Times New Roman"/>
      </w:rPr>
    </w:lvl>
    <w:lvl w:ilvl="1" w:tentative="0">
      <w:start w:val="1"/>
      <w:numFmt w:val="decimal"/>
      <w:suff w:val="space"/>
      <w:lvlText w:val="%2．"/>
      <w:lvlJc w:val="left"/>
      <w:pPr>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suff w:val="space"/>
      <w:lvlText w:val="（%4）"/>
      <w:lvlJc w:val="left"/>
      <w:pPr>
        <w:ind w:left="1830" w:hanging="420"/>
      </w:pPr>
      <w:rPr>
        <w:rFonts w:hint="eastAsia" w:ascii="宋体" w:hAnsi="宋体" w:eastAsia="宋体" w:cs="Times New Roman"/>
      </w:rPr>
    </w:lvl>
    <w:lvl w:ilvl="4" w:tentative="0">
      <w:start w:val="1"/>
      <w:numFmt w:val="decimal"/>
      <w:suff w:val="space"/>
      <w:lvlText w:val="（%5）"/>
      <w:lvlJc w:val="left"/>
      <w:pPr>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hint="eastAsia" w:cs="Times New Roman"/>
      </w:rPr>
    </w:lvl>
    <w:lvl w:ilvl="8" w:tentative="0">
      <w:start w:val="1"/>
      <w:numFmt w:val="lowerRoman"/>
      <w:lvlText w:val="%9."/>
      <w:lvlJc w:val="right"/>
      <w:pPr>
        <w:tabs>
          <w:tab w:val="left" w:pos="3930"/>
        </w:tabs>
        <w:ind w:left="3930" w:hanging="420"/>
      </w:pPr>
      <w:rPr>
        <w:rFonts w:hint="eastAsia" w:cs="Times New Roman"/>
      </w:rPr>
    </w:lvl>
  </w:abstractNum>
  <w:abstractNum w:abstractNumId="26">
    <w:nsid w:val="63143D8D"/>
    <w:multiLevelType w:val="multilevel"/>
    <w:tmpl w:val="63143D8D"/>
    <w:lvl w:ilvl="0" w:tentative="0">
      <w:start w:val="1"/>
      <w:numFmt w:val="decimal"/>
      <w:suff w:val="space"/>
      <w:lvlText w:val="第%1章"/>
      <w:lvlJc w:val="left"/>
      <w:pPr>
        <w:ind w:left="0" w:firstLine="0"/>
      </w:pPr>
      <w:rPr>
        <w:rFonts w:hint="default" w:ascii="Times New Roman" w:hAnsi="Times New Roman" w:eastAsia="黑体" w:cs="Times New Roman"/>
        <w:b w:val="0"/>
        <w:bCs w:val="0"/>
        <w:i w:val="0"/>
        <w:iCs w:val="0"/>
        <w:caps w:val="0"/>
        <w:smallCaps w:val="0"/>
        <w:strike w:val="0"/>
        <w:dstrike w:val="0"/>
        <w:vanish w:val="0"/>
        <w:color w:val="auto"/>
        <w:spacing w:val="0"/>
        <w:position w:val="0"/>
        <w:sz w:val="44"/>
        <w:u w:val="none"/>
        <w:vertAlign w:val="baseline"/>
      </w:rPr>
    </w:lvl>
    <w:lvl w:ilvl="1" w:tentative="0">
      <w:start w:val="1"/>
      <w:numFmt w:val="decimal"/>
      <w:pStyle w:val="76"/>
      <w:isLg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63F943AC"/>
    <w:multiLevelType w:val="singleLevel"/>
    <w:tmpl w:val="63F943AC"/>
    <w:lvl w:ilvl="0" w:tentative="0">
      <w:start w:val="1"/>
      <w:numFmt w:val="decimalEnclosedCircleChinese"/>
      <w:suff w:val="nothing"/>
      <w:lvlText w:val="%1　"/>
      <w:lvlJc w:val="left"/>
      <w:pPr>
        <w:ind w:left="420" w:firstLine="400"/>
      </w:pPr>
      <w:rPr>
        <w:rFonts w:hint="eastAsia"/>
      </w:rPr>
    </w:lvl>
  </w:abstractNum>
  <w:abstractNum w:abstractNumId="28">
    <w:nsid w:val="64607A38"/>
    <w:multiLevelType w:val="multilevel"/>
    <w:tmpl w:val="64607A38"/>
    <w:lvl w:ilvl="0" w:tentative="0">
      <w:start w:val="1"/>
      <w:numFmt w:val="decimal"/>
      <w:suff w:val="space"/>
      <w:lvlText w:val="%1、"/>
      <w:lvlJc w:val="left"/>
      <w:pPr>
        <w:ind w:left="552" w:hanging="420"/>
      </w:pPr>
      <w:rPr>
        <w:rFonts w:hint="eastAsia" w:ascii="Times New Roman" w:hAnsi="Times New Roman" w:eastAsia="Times New Roman" w:cs="Times New Roman"/>
        <w:color w:val="auto"/>
        <w:lang w:val="en-US"/>
      </w:rPr>
    </w:lvl>
    <w:lvl w:ilvl="1" w:tentative="0">
      <w:start w:val="1"/>
      <w:numFmt w:val="lowerLetter"/>
      <w:lvlText w:val="%2)"/>
      <w:lvlJc w:val="left"/>
      <w:pPr>
        <w:tabs>
          <w:tab w:val="left" w:pos="840"/>
        </w:tabs>
        <w:ind w:left="840" w:hanging="420"/>
      </w:pPr>
      <w:rPr>
        <w:rFonts w:hint="eastAsia"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9">
    <w:nsid w:val="666030AB"/>
    <w:multiLevelType w:val="multilevel"/>
    <w:tmpl w:val="666030AB"/>
    <w:lvl w:ilvl="0" w:tentative="0">
      <w:start w:val="1"/>
      <w:numFmt w:val="decimal"/>
      <w:suff w:val="space"/>
      <w:lvlText w:val="（%1）"/>
      <w:lvlJc w:val="left"/>
      <w:pPr>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hint="eastAsia" w:cs="Times New Roman"/>
      </w:rPr>
    </w:lvl>
    <w:lvl w:ilvl="3" w:tentative="0">
      <w:start w:val="1"/>
      <w:numFmt w:val="decimal"/>
      <w:lvlText w:val="%4."/>
      <w:lvlJc w:val="left"/>
      <w:pPr>
        <w:tabs>
          <w:tab w:val="left" w:pos="2670"/>
        </w:tabs>
        <w:ind w:left="2670" w:hanging="420"/>
      </w:pPr>
      <w:rPr>
        <w:rFonts w:hint="eastAsia" w:cs="Times New Roman"/>
      </w:rPr>
    </w:lvl>
    <w:lvl w:ilvl="4" w:tentative="0">
      <w:start w:val="1"/>
      <w:numFmt w:val="lowerLetter"/>
      <w:lvlText w:val="%5)"/>
      <w:lvlJc w:val="left"/>
      <w:pPr>
        <w:tabs>
          <w:tab w:val="left" w:pos="3090"/>
        </w:tabs>
        <w:ind w:left="3090" w:hanging="420"/>
      </w:pPr>
      <w:rPr>
        <w:rFonts w:hint="eastAsia" w:cs="Times New Roman"/>
      </w:rPr>
    </w:lvl>
    <w:lvl w:ilvl="5" w:tentative="0">
      <w:start w:val="1"/>
      <w:numFmt w:val="lowerRoman"/>
      <w:lvlText w:val="%6."/>
      <w:lvlJc w:val="right"/>
      <w:pPr>
        <w:tabs>
          <w:tab w:val="left" w:pos="3510"/>
        </w:tabs>
        <w:ind w:left="3510" w:hanging="420"/>
      </w:pPr>
      <w:rPr>
        <w:rFonts w:hint="eastAsia" w:cs="Times New Roman"/>
      </w:rPr>
    </w:lvl>
    <w:lvl w:ilvl="6" w:tentative="0">
      <w:start w:val="1"/>
      <w:numFmt w:val="decimal"/>
      <w:lvlText w:val="%7."/>
      <w:lvlJc w:val="left"/>
      <w:pPr>
        <w:tabs>
          <w:tab w:val="left" w:pos="3930"/>
        </w:tabs>
        <w:ind w:left="3930" w:hanging="420"/>
      </w:pPr>
      <w:rPr>
        <w:rFonts w:hint="eastAsia" w:cs="Times New Roman"/>
      </w:rPr>
    </w:lvl>
    <w:lvl w:ilvl="7" w:tentative="0">
      <w:start w:val="1"/>
      <w:numFmt w:val="lowerLetter"/>
      <w:lvlText w:val="%8)"/>
      <w:lvlJc w:val="left"/>
      <w:pPr>
        <w:tabs>
          <w:tab w:val="left" w:pos="4350"/>
        </w:tabs>
        <w:ind w:left="4350" w:hanging="420"/>
      </w:pPr>
      <w:rPr>
        <w:rFonts w:hint="eastAsia" w:cs="Times New Roman"/>
      </w:rPr>
    </w:lvl>
    <w:lvl w:ilvl="8" w:tentative="0">
      <w:start w:val="1"/>
      <w:numFmt w:val="lowerRoman"/>
      <w:lvlText w:val="%9."/>
      <w:lvlJc w:val="right"/>
      <w:pPr>
        <w:tabs>
          <w:tab w:val="left" w:pos="4770"/>
        </w:tabs>
        <w:ind w:left="4770" w:hanging="420"/>
      </w:pPr>
      <w:rPr>
        <w:rFonts w:hint="eastAsia" w:cs="Times New Roman"/>
      </w:rPr>
    </w:lvl>
  </w:abstractNum>
  <w:abstractNum w:abstractNumId="30">
    <w:nsid w:val="6EE101FC"/>
    <w:multiLevelType w:val="singleLevel"/>
    <w:tmpl w:val="6EE101FC"/>
    <w:lvl w:ilvl="0" w:tentative="0">
      <w:start w:val="1"/>
      <w:numFmt w:val="decimal"/>
      <w:suff w:val="space"/>
      <w:lvlText w:val="%1．"/>
      <w:lvlJc w:val="left"/>
      <w:pPr>
        <w:ind w:left="570" w:hanging="420"/>
      </w:pPr>
      <w:rPr>
        <w:rFonts w:hint="eastAsia" w:cs="Times New Roman"/>
      </w:rPr>
    </w:lvl>
  </w:abstractNum>
  <w:abstractNum w:abstractNumId="31">
    <w:nsid w:val="71D54D18"/>
    <w:multiLevelType w:val="multilevel"/>
    <w:tmpl w:val="71D54D18"/>
    <w:lvl w:ilvl="0" w:tentative="0">
      <w:start w:val="1"/>
      <w:numFmt w:val="upperLetter"/>
      <w:pStyle w:val="8"/>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A672089"/>
    <w:multiLevelType w:val="singleLevel"/>
    <w:tmpl w:val="7A672089"/>
    <w:lvl w:ilvl="0" w:tentative="0">
      <w:start w:val="1"/>
      <w:numFmt w:val="decimal"/>
      <w:suff w:val="space"/>
      <w:lvlText w:val="%1."/>
      <w:lvlJc w:val="left"/>
      <w:pPr>
        <w:ind w:left="762" w:hanging="210"/>
      </w:pPr>
      <w:rPr>
        <w:rFonts w:hint="eastAsia" w:cs="Times New Roman"/>
      </w:rPr>
    </w:lvl>
  </w:abstractNum>
  <w:abstractNum w:abstractNumId="33">
    <w:nsid w:val="7FFEB949"/>
    <w:multiLevelType w:val="singleLevel"/>
    <w:tmpl w:val="7FFEB949"/>
    <w:lvl w:ilvl="0" w:tentative="0">
      <w:start w:val="1"/>
      <w:numFmt w:val="decimalEnclosedCircleChinese"/>
      <w:suff w:val="nothing"/>
      <w:lvlText w:val="%1　"/>
      <w:lvlJc w:val="left"/>
      <w:pPr>
        <w:ind w:left="0" w:firstLine="400"/>
      </w:pPr>
      <w:rPr>
        <w:rFonts w:hint="eastAsia"/>
      </w:rPr>
    </w:lvl>
  </w:abstractNum>
  <w:num w:numId="1">
    <w:abstractNumId w:val="31"/>
  </w:num>
  <w:num w:numId="2">
    <w:abstractNumId w:val="8"/>
  </w:num>
  <w:num w:numId="3">
    <w:abstractNumId w:val="26"/>
  </w:num>
  <w:num w:numId="4">
    <w:abstractNumId w:val="10"/>
  </w:num>
  <w:num w:numId="5">
    <w:abstractNumId w:val="22"/>
  </w:num>
  <w:num w:numId="6">
    <w:abstractNumId w:val="20"/>
  </w:num>
  <w:num w:numId="7">
    <w:abstractNumId w:val="9"/>
  </w:num>
  <w:num w:numId="8">
    <w:abstractNumId w:val="13"/>
  </w:num>
  <w:num w:numId="9">
    <w:abstractNumId w:val="32"/>
  </w:num>
  <w:num w:numId="10">
    <w:abstractNumId w:val="18"/>
  </w:num>
  <w:num w:numId="11">
    <w:abstractNumId w:val="25"/>
  </w:num>
  <w:num w:numId="12">
    <w:abstractNumId w:val="24"/>
  </w:num>
  <w:num w:numId="13">
    <w:abstractNumId w:val="12"/>
  </w:num>
  <w:num w:numId="14">
    <w:abstractNumId w:val="21"/>
  </w:num>
  <w:num w:numId="15">
    <w:abstractNumId w:val="15"/>
  </w:num>
  <w:num w:numId="16">
    <w:abstractNumId w:val="30"/>
  </w:num>
  <w:num w:numId="17">
    <w:abstractNumId w:val="29"/>
  </w:num>
  <w:num w:numId="18">
    <w:abstractNumId w:val="17"/>
  </w:num>
  <w:num w:numId="19">
    <w:abstractNumId w:val="2"/>
  </w:num>
  <w:num w:numId="20">
    <w:abstractNumId w:val="0"/>
  </w:num>
  <w:num w:numId="21">
    <w:abstractNumId w:val="33"/>
  </w:num>
  <w:num w:numId="22">
    <w:abstractNumId w:val="7"/>
  </w:num>
  <w:num w:numId="23">
    <w:abstractNumId w:val="1"/>
  </w:num>
  <w:num w:numId="24">
    <w:abstractNumId w:val="14"/>
  </w:num>
  <w:num w:numId="25">
    <w:abstractNumId w:val="27"/>
  </w:num>
  <w:num w:numId="26">
    <w:abstractNumId w:val="3"/>
  </w:num>
  <w:num w:numId="27">
    <w:abstractNumId w:val="4"/>
  </w:num>
  <w:num w:numId="28">
    <w:abstractNumId w:val="23"/>
  </w:num>
  <w:num w:numId="29">
    <w:abstractNumId w:val="6"/>
  </w:num>
  <w:num w:numId="30">
    <w:abstractNumId w:val="5"/>
  </w:num>
  <w:num w:numId="31">
    <w:abstractNumId w:val="11"/>
  </w:num>
  <w:num w:numId="32">
    <w:abstractNumId w:val="19"/>
  </w:num>
  <w:num w:numId="33">
    <w:abstractNumId w:val="28"/>
  </w:num>
  <w:num w:numId="34">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Y1YjMwYzVlODI0Mjc5ZGJmMjNiMWQ5MDQxYTcifQ=="/>
  </w:docVars>
  <w:rsids>
    <w:rsidRoot w:val="00172A27"/>
    <w:rsid w:val="001B7C92"/>
    <w:rsid w:val="002504F8"/>
    <w:rsid w:val="003149F5"/>
    <w:rsid w:val="00565C79"/>
    <w:rsid w:val="006558F4"/>
    <w:rsid w:val="006D5FA6"/>
    <w:rsid w:val="007E553A"/>
    <w:rsid w:val="009D76A0"/>
    <w:rsid w:val="00A56EB8"/>
    <w:rsid w:val="00CA4D27"/>
    <w:rsid w:val="00E826FF"/>
    <w:rsid w:val="00E912C1"/>
    <w:rsid w:val="00FE2776"/>
    <w:rsid w:val="0F76128C"/>
    <w:rsid w:val="0FF93943"/>
    <w:rsid w:val="109E637F"/>
    <w:rsid w:val="17167891"/>
    <w:rsid w:val="1C973493"/>
    <w:rsid w:val="21607683"/>
    <w:rsid w:val="2B6D7B9A"/>
    <w:rsid w:val="6463390F"/>
    <w:rsid w:val="65121253"/>
    <w:rsid w:val="73C6206A"/>
    <w:rsid w:val="75EA116F"/>
    <w:rsid w:val="7A6F61B7"/>
    <w:rsid w:val="7BCF72FC"/>
    <w:rsid w:val="7D6CE8FE"/>
    <w:rsid w:val="7E5E7FF8"/>
    <w:rsid w:val="7F9A0F35"/>
    <w:rsid w:val="BF6F5895"/>
    <w:rsid w:val="FBFFE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9"/>
    <w:qFormat/>
    <w:uiPriority w:val="99"/>
    <w:pPr>
      <w:keepNext/>
      <w:jc w:val="center"/>
      <w:outlineLvl w:val="0"/>
    </w:pPr>
    <w:rPr>
      <w:rFonts w:ascii="楷体_GB2312" w:hAnsi="Times New Roman" w:eastAsia="楷体_GB2312"/>
      <w:b/>
      <w:kern w:val="0"/>
      <w:sz w:val="28"/>
      <w:szCs w:val="20"/>
    </w:rPr>
  </w:style>
  <w:style w:type="paragraph" w:styleId="5">
    <w:name w:val="heading 2"/>
    <w:basedOn w:val="1"/>
    <w:next w:val="1"/>
    <w:link w:val="40"/>
    <w:qFormat/>
    <w:uiPriority w:val="99"/>
    <w:pPr>
      <w:keepNext/>
      <w:jc w:val="center"/>
      <w:outlineLvl w:val="1"/>
    </w:pPr>
    <w:rPr>
      <w:rFonts w:ascii="楷体_GB2312" w:hAnsi="Times New Roman" w:eastAsia="楷体_GB2312"/>
      <w:b/>
      <w:bCs/>
      <w:kern w:val="0"/>
      <w:sz w:val="18"/>
      <w:szCs w:val="20"/>
    </w:rPr>
  </w:style>
  <w:style w:type="paragraph" w:styleId="6">
    <w:name w:val="heading 3"/>
    <w:basedOn w:val="1"/>
    <w:next w:val="1"/>
    <w:link w:val="41"/>
    <w:qFormat/>
    <w:uiPriority w:val="99"/>
    <w:pPr>
      <w:keepNext/>
      <w:jc w:val="center"/>
      <w:outlineLvl w:val="2"/>
    </w:pPr>
    <w:rPr>
      <w:rFonts w:ascii="Times New Roman" w:hAnsi="Times New Roman" w:eastAsia="楷体_GB2312"/>
      <w:b/>
      <w:bCs/>
      <w:kern w:val="0"/>
      <w:sz w:val="15"/>
      <w:szCs w:val="20"/>
    </w:rPr>
  </w:style>
  <w:style w:type="paragraph" w:styleId="7">
    <w:name w:val="heading 4"/>
    <w:basedOn w:val="1"/>
    <w:next w:val="1"/>
    <w:link w:val="42"/>
    <w:qFormat/>
    <w:uiPriority w:val="99"/>
    <w:pPr>
      <w:keepNext/>
      <w:jc w:val="center"/>
      <w:outlineLvl w:val="3"/>
    </w:pPr>
    <w:rPr>
      <w:rFonts w:ascii="Times New Roman" w:hAnsi="Times New Roman" w:eastAsia="楷体_GB2312"/>
      <w:b/>
      <w:bCs/>
      <w:kern w:val="0"/>
      <w:sz w:val="13"/>
      <w:szCs w:val="20"/>
    </w:rPr>
  </w:style>
  <w:style w:type="paragraph" w:styleId="8">
    <w:name w:val="heading 5"/>
    <w:basedOn w:val="1"/>
    <w:next w:val="9"/>
    <w:link w:val="43"/>
    <w:qFormat/>
    <w:uiPriority w:val="99"/>
    <w:pPr>
      <w:keepNext/>
      <w:numPr>
        <w:ilvl w:val="0"/>
        <w:numId w:val="1"/>
      </w:numPr>
      <w:outlineLvl w:val="4"/>
    </w:pPr>
    <w:rPr>
      <w:rFonts w:ascii="楷体_GB2312" w:hAnsi="Times New Roman" w:eastAsia="楷体_GB2312"/>
      <w:bCs/>
      <w:kern w:val="0"/>
      <w:sz w:val="28"/>
      <w:szCs w:val="20"/>
    </w:rPr>
  </w:style>
  <w:style w:type="character" w:default="1" w:styleId="32">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customStyle="1" w:styleId="2">
    <w:name w:val="段"/>
    <w:next w:val="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9">
    <w:name w:val="Normal Indent"/>
    <w:basedOn w:val="1"/>
    <w:qFormat/>
    <w:uiPriority w:val="0"/>
    <w:pPr>
      <w:ind w:firstLine="420"/>
    </w:pPr>
    <w:rPr>
      <w:rFonts w:ascii="Times New Roman" w:hAnsi="Times New Roman" w:eastAsia="宋体" w:cs="Times New Roman"/>
      <w:szCs w:val="20"/>
    </w:rPr>
  </w:style>
  <w:style w:type="paragraph" w:styleId="10">
    <w:name w:val="Document Map"/>
    <w:basedOn w:val="1"/>
    <w:link w:val="44"/>
    <w:semiHidden/>
    <w:qFormat/>
    <w:uiPriority w:val="99"/>
    <w:pPr>
      <w:shd w:val="clear" w:color="auto" w:fill="000080"/>
    </w:pPr>
    <w:rPr>
      <w:rFonts w:ascii="Times New Roman" w:hAnsi="Times New Roman"/>
      <w:kern w:val="0"/>
      <w:sz w:val="20"/>
      <w:szCs w:val="20"/>
    </w:rPr>
  </w:style>
  <w:style w:type="paragraph" w:styleId="11">
    <w:name w:val="annotation text"/>
    <w:basedOn w:val="1"/>
    <w:link w:val="45"/>
    <w:unhideWhenUsed/>
    <w:qFormat/>
    <w:uiPriority w:val="0"/>
    <w:pPr>
      <w:jc w:val="left"/>
    </w:pPr>
  </w:style>
  <w:style w:type="paragraph" w:styleId="12">
    <w:name w:val="Body Text"/>
    <w:basedOn w:val="1"/>
    <w:next w:val="13"/>
    <w:link w:val="46"/>
    <w:qFormat/>
    <w:uiPriority w:val="0"/>
    <w:rPr>
      <w:rFonts w:ascii="华文中宋" w:hAnsi="Times New Roman" w:eastAsia="华文中宋"/>
      <w:bCs/>
      <w:kern w:val="0"/>
      <w:sz w:val="28"/>
      <w:szCs w:val="20"/>
    </w:rPr>
  </w:style>
  <w:style w:type="paragraph" w:styleId="13">
    <w:name w:val="Body Text First Indent"/>
    <w:basedOn w:val="12"/>
    <w:next w:val="14"/>
    <w:unhideWhenUsed/>
    <w:qFormat/>
    <w:uiPriority w:val="0"/>
    <w:pPr>
      <w:autoSpaceDE/>
      <w:autoSpaceDN/>
      <w:adjustRightInd/>
      <w:spacing w:after="120" w:afterLines="0"/>
      <w:ind w:firstLine="420" w:firstLineChars="100"/>
    </w:pPr>
    <w:rPr>
      <w:rFonts w:ascii="Calibri" w:hAnsi="Calibri" w:eastAsia="宋体" w:cs="Times New Roman"/>
      <w:kern w:val="2"/>
      <w:sz w:val="21"/>
      <w:szCs w:val="22"/>
    </w:rPr>
  </w:style>
  <w:style w:type="paragraph" w:styleId="14">
    <w:name w:val="toc 6"/>
    <w:basedOn w:val="1"/>
    <w:next w:val="1"/>
    <w:qFormat/>
    <w:uiPriority w:val="0"/>
    <w:pPr>
      <w:adjustRightInd w:val="0"/>
      <w:spacing w:line="288" w:lineRule="auto"/>
      <w:ind w:left="1050" w:firstLine="420"/>
      <w:jc w:val="left"/>
      <w:textAlignment w:val="baseline"/>
    </w:pPr>
    <w:rPr>
      <w:sz w:val="18"/>
      <w:szCs w:val="18"/>
    </w:rPr>
  </w:style>
  <w:style w:type="paragraph" w:styleId="15">
    <w:name w:val="Body Text Indent"/>
    <w:basedOn w:val="1"/>
    <w:next w:val="16"/>
    <w:link w:val="47"/>
    <w:qFormat/>
    <w:uiPriority w:val="99"/>
    <w:pPr>
      <w:ind w:firstLine="576"/>
    </w:pPr>
    <w:rPr>
      <w:rFonts w:ascii="Times New Roman" w:hAnsi="Times New Roman"/>
      <w:b/>
      <w:kern w:val="0"/>
      <w:sz w:val="30"/>
      <w:szCs w:val="20"/>
    </w:rPr>
  </w:style>
  <w:style w:type="paragraph" w:styleId="16">
    <w:name w:val="envelope return"/>
    <w:basedOn w:val="1"/>
    <w:unhideWhenUsed/>
    <w:qFormat/>
    <w:uiPriority w:val="99"/>
    <w:pPr>
      <w:snapToGrid w:val="0"/>
    </w:pPr>
    <w:rPr>
      <w:rFonts w:hint="eastAsia" w:ascii="Arial" w:hAnsi="Arial"/>
      <w:sz w:val="24"/>
    </w:rPr>
  </w:style>
  <w:style w:type="paragraph" w:styleId="17">
    <w:name w:val="index 4"/>
    <w:basedOn w:val="1"/>
    <w:next w:val="1"/>
    <w:qFormat/>
    <w:uiPriority w:val="99"/>
    <w:pPr>
      <w:ind w:left="600" w:leftChars="600"/>
    </w:pPr>
    <w:rPr>
      <w:szCs w:val="24"/>
    </w:rPr>
  </w:style>
  <w:style w:type="paragraph" w:styleId="18">
    <w:name w:val="Plain Text"/>
    <w:basedOn w:val="1"/>
    <w:link w:val="48"/>
    <w:qFormat/>
    <w:uiPriority w:val="0"/>
    <w:rPr>
      <w:rFonts w:ascii="宋体" w:hAnsi="Courier New"/>
    </w:rPr>
  </w:style>
  <w:style w:type="paragraph" w:styleId="19">
    <w:name w:val="Date"/>
    <w:basedOn w:val="1"/>
    <w:next w:val="1"/>
    <w:link w:val="49"/>
    <w:qFormat/>
    <w:uiPriority w:val="99"/>
    <w:rPr>
      <w:rFonts w:ascii="Times New Roman" w:hAnsi="Times New Roman" w:eastAsia="黑体"/>
      <w:b/>
      <w:kern w:val="0"/>
      <w:sz w:val="36"/>
      <w:szCs w:val="20"/>
    </w:rPr>
  </w:style>
  <w:style w:type="paragraph" w:styleId="20">
    <w:name w:val="Body Text Indent 2"/>
    <w:basedOn w:val="1"/>
    <w:link w:val="50"/>
    <w:uiPriority w:val="99"/>
    <w:pPr>
      <w:ind w:left="900"/>
    </w:pPr>
    <w:rPr>
      <w:rFonts w:ascii="楷体_GB2312" w:hAnsi="Times New Roman" w:eastAsia="楷体_GB2312"/>
      <w:b/>
      <w:kern w:val="0"/>
      <w:sz w:val="28"/>
      <w:szCs w:val="20"/>
    </w:rPr>
  </w:style>
  <w:style w:type="paragraph" w:styleId="21">
    <w:name w:val="Balloon Text"/>
    <w:basedOn w:val="1"/>
    <w:link w:val="51"/>
    <w:unhideWhenUsed/>
    <w:qFormat/>
    <w:uiPriority w:val="99"/>
    <w:rPr>
      <w:rFonts w:ascii="Times New Roman" w:hAnsi="Times New Roman"/>
      <w:kern w:val="0"/>
      <w:sz w:val="18"/>
      <w:szCs w:val="18"/>
    </w:rPr>
  </w:style>
  <w:style w:type="paragraph" w:styleId="22">
    <w:name w:val="footer"/>
    <w:basedOn w:val="1"/>
    <w:link w:val="52"/>
    <w:qFormat/>
    <w:uiPriority w:val="99"/>
    <w:pPr>
      <w:tabs>
        <w:tab w:val="center" w:pos="4153"/>
        <w:tab w:val="right" w:pos="8306"/>
      </w:tabs>
      <w:snapToGrid w:val="0"/>
      <w:jc w:val="left"/>
    </w:pPr>
    <w:rPr>
      <w:rFonts w:ascii="Times New Roman" w:hAnsi="Times New Roman"/>
      <w:kern w:val="0"/>
      <w:sz w:val="18"/>
      <w:szCs w:val="20"/>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4">
    <w:name w:val="List"/>
    <w:basedOn w:val="1"/>
    <w:qFormat/>
    <w:uiPriority w:val="0"/>
    <w:pPr>
      <w:numPr>
        <w:ilvl w:val="0"/>
        <w:numId w:val="2"/>
      </w:numPr>
      <w:tabs>
        <w:tab w:val="left" w:pos="360"/>
        <w:tab w:val="clear" w:pos="420"/>
      </w:tabs>
      <w:autoSpaceDE w:val="0"/>
      <w:autoSpaceDN w:val="0"/>
      <w:adjustRightInd w:val="0"/>
      <w:spacing w:after="20" w:afterLines="0" w:line="288" w:lineRule="auto"/>
      <w:ind w:left="360" w:hanging="360"/>
      <w:textAlignment w:val="baseline"/>
    </w:pPr>
    <w:rPr>
      <w:rFonts w:ascii="Calibri" w:hAnsi="Calibri" w:eastAsia="宋体" w:cs="Times New Roman"/>
      <w:kern w:val="0"/>
      <w:szCs w:val="20"/>
      <w:lang w:val="en-GB"/>
    </w:rPr>
  </w:style>
  <w:style w:type="paragraph" w:styleId="25">
    <w:name w:val="Body Text Indent 3"/>
    <w:basedOn w:val="1"/>
    <w:link w:val="54"/>
    <w:qFormat/>
    <w:uiPriority w:val="99"/>
    <w:pPr>
      <w:ind w:left="359" w:leftChars="171" w:firstLine="359" w:firstLineChars="171"/>
    </w:pPr>
    <w:rPr>
      <w:rFonts w:ascii="Times New Roman" w:hAnsi="Times New Roman"/>
      <w:kern w:val="0"/>
      <w:sz w:val="20"/>
      <w:szCs w:val="20"/>
    </w:rPr>
  </w:style>
  <w:style w:type="paragraph" w:styleId="26">
    <w:name w:val="Body Text 2"/>
    <w:basedOn w:val="1"/>
    <w:link w:val="55"/>
    <w:qFormat/>
    <w:uiPriority w:val="99"/>
    <w:pPr>
      <w:spacing w:after="120" w:afterLines="0" w:line="480" w:lineRule="auto"/>
    </w:pPr>
    <w:rPr>
      <w:rFonts w:ascii="Times New Roman" w:hAnsi="Times New Roman"/>
      <w:kern w:val="0"/>
      <w:sz w:val="20"/>
      <w:szCs w:val="20"/>
    </w:rPr>
  </w:style>
  <w:style w:type="paragraph" w:styleId="27">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28">
    <w:name w:val="Title"/>
    <w:basedOn w:val="1"/>
    <w:next w:val="1"/>
    <w:link w:val="56"/>
    <w:qFormat/>
    <w:uiPriority w:val="10"/>
    <w:pPr>
      <w:jc w:val="center"/>
      <w:outlineLvl w:val="0"/>
    </w:pPr>
    <w:rPr>
      <w:rFonts w:ascii="Times New Roman" w:hAnsi="Times New Roman"/>
      <w:b/>
      <w:bCs/>
      <w:sz w:val="32"/>
      <w:szCs w:val="32"/>
    </w:rPr>
  </w:style>
  <w:style w:type="paragraph" w:styleId="29">
    <w:name w:val="annotation subject"/>
    <w:basedOn w:val="11"/>
    <w:next w:val="11"/>
    <w:link w:val="57"/>
    <w:unhideWhenUsed/>
    <w:qFormat/>
    <w:uiPriority w:val="99"/>
    <w:rPr>
      <w:b/>
      <w:bCs/>
      <w:kern w:val="0"/>
      <w:sz w:val="20"/>
      <w:szCs w:val="20"/>
    </w:rPr>
  </w:style>
  <w:style w:type="paragraph" w:styleId="30">
    <w:name w:val="Body Text First Indent 2"/>
    <w:basedOn w:val="15"/>
    <w:link w:val="58"/>
    <w:unhideWhenUsed/>
    <w:qFormat/>
    <w:uiPriority w:val="99"/>
    <w:pPr>
      <w:spacing w:after="120" w:afterLines="0"/>
      <w:ind w:left="420" w:leftChars="200" w:firstLine="420" w:firstLineChars="200"/>
    </w:pPr>
    <w:rPr>
      <w:rFonts w:ascii="Calibri" w:hAnsi="Calibri"/>
      <w:b w:val="0"/>
      <w:kern w:val="2"/>
      <w:sz w:val="21"/>
      <w:szCs w:val="22"/>
      <w:lang w:val="en-US" w:eastAsia="zh-CN"/>
    </w:rPr>
  </w:style>
  <w:style w:type="character" w:styleId="33">
    <w:name w:val="Strong"/>
    <w:qFormat/>
    <w:uiPriority w:val="99"/>
    <w:rPr>
      <w:rFonts w:cs="Times New Roman"/>
      <w:b/>
      <w:bCs/>
    </w:rPr>
  </w:style>
  <w:style w:type="character" w:styleId="34">
    <w:name w:val="page number"/>
    <w:qFormat/>
    <w:uiPriority w:val="99"/>
    <w:rPr>
      <w:rFonts w:cs="Times New Roman"/>
    </w:rPr>
  </w:style>
  <w:style w:type="character" w:styleId="35">
    <w:name w:val="FollowedHyperlink"/>
    <w:unhideWhenUsed/>
    <w:uiPriority w:val="99"/>
    <w:rPr>
      <w:color w:val="800080"/>
      <w:u w:val="single"/>
    </w:rPr>
  </w:style>
  <w:style w:type="character" w:styleId="36">
    <w:name w:val="HTML Typewriter"/>
    <w:qFormat/>
    <w:uiPriority w:val="99"/>
    <w:rPr>
      <w:rFonts w:ascii="宋体" w:hAnsi="宋体" w:eastAsia="宋体" w:cs="宋体"/>
      <w:sz w:val="24"/>
      <w:szCs w:val="24"/>
    </w:rPr>
  </w:style>
  <w:style w:type="character" w:styleId="37">
    <w:name w:val="Hyperlink"/>
    <w:qFormat/>
    <w:uiPriority w:val="99"/>
    <w:rPr>
      <w:rFonts w:cs="Times New Roman"/>
      <w:color w:val="auto"/>
      <w:u w:val="none"/>
    </w:rPr>
  </w:style>
  <w:style w:type="character" w:styleId="38">
    <w:name w:val="annotation reference"/>
    <w:unhideWhenUsed/>
    <w:qFormat/>
    <w:uiPriority w:val="99"/>
    <w:rPr>
      <w:sz w:val="21"/>
      <w:szCs w:val="21"/>
    </w:rPr>
  </w:style>
  <w:style w:type="character" w:customStyle="1" w:styleId="39">
    <w:name w:val="标题 1 字符"/>
    <w:link w:val="4"/>
    <w:qFormat/>
    <w:uiPriority w:val="99"/>
    <w:rPr>
      <w:rFonts w:ascii="楷体_GB2312" w:hAnsi="Times New Roman" w:eastAsia="楷体_GB2312" w:cs="Times New Roman"/>
      <w:b/>
      <w:kern w:val="0"/>
      <w:sz w:val="28"/>
      <w:szCs w:val="20"/>
    </w:rPr>
  </w:style>
  <w:style w:type="character" w:customStyle="1" w:styleId="40">
    <w:name w:val="标题 2 字符"/>
    <w:link w:val="5"/>
    <w:qFormat/>
    <w:uiPriority w:val="99"/>
    <w:rPr>
      <w:rFonts w:ascii="楷体_GB2312" w:hAnsi="Times New Roman" w:eastAsia="楷体_GB2312" w:cs="Times New Roman"/>
      <w:b/>
      <w:bCs/>
      <w:kern w:val="0"/>
      <w:sz w:val="18"/>
      <w:szCs w:val="20"/>
    </w:rPr>
  </w:style>
  <w:style w:type="character" w:customStyle="1" w:styleId="41">
    <w:name w:val="标题 3 字符"/>
    <w:link w:val="6"/>
    <w:qFormat/>
    <w:uiPriority w:val="99"/>
    <w:rPr>
      <w:rFonts w:ascii="Times New Roman" w:hAnsi="Times New Roman" w:eastAsia="楷体_GB2312" w:cs="Times New Roman"/>
      <w:b/>
      <w:bCs/>
      <w:kern w:val="0"/>
      <w:sz w:val="15"/>
      <w:szCs w:val="20"/>
    </w:rPr>
  </w:style>
  <w:style w:type="character" w:customStyle="1" w:styleId="42">
    <w:name w:val="标题 4 字符"/>
    <w:link w:val="7"/>
    <w:qFormat/>
    <w:uiPriority w:val="99"/>
    <w:rPr>
      <w:rFonts w:ascii="Times New Roman" w:hAnsi="Times New Roman" w:eastAsia="楷体_GB2312" w:cs="Times New Roman"/>
      <w:b/>
      <w:bCs/>
      <w:kern w:val="0"/>
      <w:sz w:val="13"/>
      <w:szCs w:val="20"/>
    </w:rPr>
  </w:style>
  <w:style w:type="character" w:customStyle="1" w:styleId="43">
    <w:name w:val="标题 5 字符"/>
    <w:link w:val="8"/>
    <w:qFormat/>
    <w:uiPriority w:val="99"/>
    <w:rPr>
      <w:rFonts w:ascii="楷体_GB2312" w:hAnsi="Times New Roman" w:eastAsia="楷体_GB2312" w:cs="Times New Roman"/>
      <w:bCs/>
      <w:kern w:val="0"/>
      <w:sz w:val="28"/>
      <w:szCs w:val="20"/>
    </w:rPr>
  </w:style>
  <w:style w:type="character" w:customStyle="1" w:styleId="44">
    <w:name w:val="文档结构图 字符"/>
    <w:link w:val="10"/>
    <w:semiHidden/>
    <w:qFormat/>
    <w:uiPriority w:val="99"/>
    <w:rPr>
      <w:rFonts w:ascii="Times New Roman" w:hAnsi="Times New Roman" w:eastAsia="宋体" w:cs="Times New Roman"/>
      <w:kern w:val="0"/>
      <w:sz w:val="20"/>
      <w:szCs w:val="20"/>
      <w:shd w:val="clear" w:color="auto" w:fill="000080"/>
    </w:rPr>
  </w:style>
  <w:style w:type="character" w:customStyle="1" w:styleId="45">
    <w:name w:val="批注文字 字符"/>
    <w:link w:val="11"/>
    <w:qFormat/>
    <w:uiPriority w:val="0"/>
  </w:style>
  <w:style w:type="character" w:customStyle="1" w:styleId="46">
    <w:name w:val="正文文本 字符"/>
    <w:link w:val="12"/>
    <w:qFormat/>
    <w:uiPriority w:val="0"/>
    <w:rPr>
      <w:rFonts w:ascii="华文中宋" w:hAnsi="Times New Roman" w:eastAsia="华文中宋" w:cs="Times New Roman"/>
      <w:bCs/>
      <w:kern w:val="0"/>
      <w:sz w:val="28"/>
      <w:szCs w:val="20"/>
    </w:rPr>
  </w:style>
  <w:style w:type="character" w:customStyle="1" w:styleId="47">
    <w:name w:val="正文文本缩进 字符"/>
    <w:link w:val="15"/>
    <w:qFormat/>
    <w:uiPriority w:val="99"/>
    <w:rPr>
      <w:rFonts w:ascii="Times New Roman" w:hAnsi="Times New Roman" w:eastAsia="宋体" w:cs="Times New Roman"/>
      <w:b/>
      <w:kern w:val="0"/>
      <w:sz w:val="30"/>
      <w:szCs w:val="20"/>
    </w:rPr>
  </w:style>
  <w:style w:type="character" w:customStyle="1" w:styleId="48">
    <w:name w:val="纯文本 字符"/>
    <w:link w:val="18"/>
    <w:qFormat/>
    <w:uiPriority w:val="0"/>
    <w:rPr>
      <w:rFonts w:ascii="宋体" w:hAnsi="Courier New"/>
      <w:kern w:val="2"/>
      <w:sz w:val="21"/>
      <w:szCs w:val="22"/>
    </w:rPr>
  </w:style>
  <w:style w:type="character" w:customStyle="1" w:styleId="49">
    <w:name w:val="日期 字符"/>
    <w:link w:val="19"/>
    <w:qFormat/>
    <w:uiPriority w:val="99"/>
    <w:rPr>
      <w:rFonts w:ascii="Times New Roman" w:hAnsi="Times New Roman" w:eastAsia="黑体" w:cs="Times New Roman"/>
      <w:b/>
      <w:kern w:val="0"/>
      <w:sz w:val="36"/>
      <w:szCs w:val="20"/>
    </w:rPr>
  </w:style>
  <w:style w:type="character" w:customStyle="1" w:styleId="50">
    <w:name w:val="正文文本缩进 2 字符"/>
    <w:link w:val="20"/>
    <w:qFormat/>
    <w:uiPriority w:val="99"/>
    <w:rPr>
      <w:rFonts w:ascii="楷体_GB2312" w:hAnsi="Times New Roman" w:eastAsia="楷体_GB2312" w:cs="Times New Roman"/>
      <w:b/>
      <w:kern w:val="0"/>
      <w:sz w:val="28"/>
      <w:szCs w:val="20"/>
    </w:rPr>
  </w:style>
  <w:style w:type="character" w:customStyle="1" w:styleId="51">
    <w:name w:val="批注框文本 字符"/>
    <w:link w:val="21"/>
    <w:semiHidden/>
    <w:qFormat/>
    <w:uiPriority w:val="99"/>
    <w:rPr>
      <w:rFonts w:ascii="Times New Roman" w:hAnsi="Times New Roman" w:eastAsia="宋体" w:cs="Times New Roman"/>
      <w:sz w:val="18"/>
      <w:szCs w:val="18"/>
    </w:rPr>
  </w:style>
  <w:style w:type="character" w:customStyle="1" w:styleId="52">
    <w:name w:val="页脚 字符"/>
    <w:link w:val="22"/>
    <w:qFormat/>
    <w:uiPriority w:val="99"/>
    <w:rPr>
      <w:rFonts w:ascii="Times New Roman" w:hAnsi="Times New Roman" w:eastAsia="宋体" w:cs="Times New Roman"/>
      <w:kern w:val="0"/>
      <w:sz w:val="18"/>
      <w:szCs w:val="20"/>
    </w:rPr>
  </w:style>
  <w:style w:type="character" w:customStyle="1" w:styleId="53">
    <w:name w:val="页眉 字符"/>
    <w:link w:val="23"/>
    <w:qFormat/>
    <w:uiPriority w:val="99"/>
    <w:rPr>
      <w:rFonts w:ascii="Times New Roman" w:hAnsi="Times New Roman" w:eastAsia="宋体" w:cs="Times New Roman"/>
      <w:kern w:val="0"/>
      <w:sz w:val="18"/>
      <w:szCs w:val="20"/>
    </w:rPr>
  </w:style>
  <w:style w:type="character" w:customStyle="1" w:styleId="54">
    <w:name w:val="正文文本缩进 3 字符"/>
    <w:link w:val="25"/>
    <w:qFormat/>
    <w:uiPriority w:val="99"/>
    <w:rPr>
      <w:rFonts w:ascii="Times New Roman" w:hAnsi="Times New Roman" w:eastAsia="宋体" w:cs="Times New Roman"/>
      <w:kern w:val="0"/>
      <w:sz w:val="20"/>
      <w:szCs w:val="20"/>
    </w:rPr>
  </w:style>
  <w:style w:type="character" w:customStyle="1" w:styleId="55">
    <w:name w:val="正文文本 2 字符"/>
    <w:link w:val="26"/>
    <w:qFormat/>
    <w:uiPriority w:val="99"/>
    <w:rPr>
      <w:rFonts w:ascii="Times New Roman" w:hAnsi="Times New Roman" w:eastAsia="宋体" w:cs="Times New Roman"/>
      <w:kern w:val="0"/>
      <w:sz w:val="20"/>
      <w:szCs w:val="20"/>
    </w:rPr>
  </w:style>
  <w:style w:type="character" w:customStyle="1" w:styleId="56">
    <w:name w:val="标题 字符"/>
    <w:link w:val="28"/>
    <w:qFormat/>
    <w:uiPriority w:val="10"/>
    <w:rPr>
      <w:rFonts w:ascii="Times New Roman" w:hAnsi="Times New Roman"/>
      <w:b/>
      <w:bCs/>
      <w:kern w:val="2"/>
      <w:sz w:val="32"/>
      <w:szCs w:val="32"/>
    </w:rPr>
  </w:style>
  <w:style w:type="character" w:customStyle="1" w:styleId="57">
    <w:name w:val="批注主题 字符"/>
    <w:link w:val="29"/>
    <w:semiHidden/>
    <w:qFormat/>
    <w:uiPriority w:val="99"/>
    <w:rPr>
      <w:b/>
      <w:bCs/>
    </w:rPr>
  </w:style>
  <w:style w:type="character" w:customStyle="1" w:styleId="58">
    <w:name w:val="正文文本首行缩进 2 字符"/>
    <w:link w:val="30"/>
    <w:qFormat/>
    <w:uiPriority w:val="99"/>
    <w:rPr>
      <w:rFonts w:ascii="Times New Roman" w:hAnsi="Times New Roman" w:eastAsia="宋体" w:cs="Times New Roman"/>
      <w:kern w:val="2"/>
      <w:sz w:val="21"/>
      <w:szCs w:val="22"/>
    </w:rPr>
  </w:style>
  <w:style w:type="character" w:customStyle="1" w:styleId="59">
    <w:name w:val="font101"/>
    <w:qFormat/>
    <w:uiPriority w:val="0"/>
    <w:rPr>
      <w:rFonts w:hint="eastAsia" w:ascii="宋体" w:hAnsi="宋体" w:eastAsia="宋体" w:cs="宋体"/>
      <w:color w:val="FF6600"/>
      <w:sz w:val="21"/>
      <w:szCs w:val="21"/>
      <w:u w:val="none"/>
    </w:rPr>
  </w:style>
  <w:style w:type="character" w:customStyle="1" w:styleId="60">
    <w:name w:val="case31"/>
    <w:qFormat/>
    <w:uiPriority w:val="99"/>
    <w:rPr>
      <w:rFonts w:cs="Times New Roman"/>
      <w:spacing w:val="390"/>
      <w:sz w:val="21"/>
      <w:szCs w:val="21"/>
    </w:rPr>
  </w:style>
  <w:style w:type="character" w:customStyle="1" w:styleId="61">
    <w:name w:val="font01"/>
    <w:qFormat/>
    <w:uiPriority w:val="0"/>
    <w:rPr>
      <w:rFonts w:hint="eastAsia" w:ascii="宋体" w:hAnsi="宋体" w:eastAsia="宋体" w:cs="宋体"/>
      <w:color w:val="000000"/>
      <w:sz w:val="20"/>
      <w:szCs w:val="20"/>
      <w:u w:val="none"/>
    </w:rPr>
  </w:style>
  <w:style w:type="character" w:customStyle="1" w:styleId="62">
    <w:name w:val="*正文-表格 Char"/>
    <w:link w:val="63"/>
    <w:qFormat/>
    <w:uiPriority w:val="0"/>
    <w:rPr>
      <w:kern w:val="0"/>
      <w:sz w:val="24"/>
      <w:szCs w:val="20"/>
    </w:rPr>
  </w:style>
  <w:style w:type="paragraph" w:customStyle="1" w:styleId="63">
    <w:name w:val="*正文-表格"/>
    <w:basedOn w:val="1"/>
    <w:link w:val="62"/>
    <w:qFormat/>
    <w:uiPriority w:val="0"/>
    <w:pPr>
      <w:adjustRightInd w:val="0"/>
      <w:textAlignment w:val="baseline"/>
    </w:pPr>
    <w:rPr>
      <w:kern w:val="0"/>
      <w:sz w:val="24"/>
      <w:szCs w:val="20"/>
    </w:rPr>
  </w:style>
  <w:style w:type="character" w:customStyle="1" w:styleId="64">
    <w:name w:val="font91"/>
    <w:qFormat/>
    <w:uiPriority w:val="0"/>
    <w:rPr>
      <w:rFonts w:hint="eastAsia" w:ascii="宋体" w:hAnsi="宋体" w:eastAsia="宋体" w:cs="宋体"/>
      <w:color w:val="ED7D31"/>
      <w:sz w:val="21"/>
      <w:szCs w:val="21"/>
      <w:u w:val="none"/>
    </w:rPr>
  </w:style>
  <w:style w:type="paragraph" w:customStyle="1" w:styleId="65">
    <w:name w:val="xl30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66">
    <w:name w:val="xl49"/>
    <w:basedOn w:val="1"/>
    <w:qFormat/>
    <w:uiPriority w:val="99"/>
    <w:pPr>
      <w:widowControl/>
      <w:pBdr>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67">
    <w:name w:val="xl25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68">
    <w:name w:val="修订1"/>
    <w:semiHidden/>
    <w:qFormat/>
    <w:uiPriority w:val="99"/>
    <w:rPr>
      <w:rFonts w:ascii="Times New Roman" w:hAnsi="Times New Roman" w:eastAsia="宋体" w:cs="Times New Roman"/>
      <w:kern w:val="2"/>
      <w:sz w:val="21"/>
      <w:lang w:val="en-US" w:eastAsia="zh-CN" w:bidi="ar-SA"/>
    </w:rPr>
  </w:style>
  <w:style w:type="paragraph" w:customStyle="1" w:styleId="69">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70">
    <w:name w:val="xl276"/>
    <w:basedOn w:val="1"/>
    <w:qFormat/>
    <w:uiPriority w:val="0"/>
    <w:pPr>
      <w:widowControl/>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7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b/>
      <w:bCs/>
      <w:kern w:val="0"/>
      <w:sz w:val="20"/>
      <w:szCs w:val="20"/>
    </w:rPr>
  </w:style>
  <w:style w:type="paragraph" w:customStyle="1" w:styleId="7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eastAsia="宋体" w:cs="Times New Roman"/>
      <w:b/>
      <w:bCs/>
      <w:i/>
      <w:iCs/>
      <w:kern w:val="0"/>
      <w:sz w:val="20"/>
      <w:szCs w:val="20"/>
    </w:rPr>
  </w:style>
  <w:style w:type="paragraph" w:customStyle="1" w:styleId="73">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74">
    <w:name w:val="font14"/>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36"/>
      <w:szCs w:val="36"/>
    </w:rPr>
  </w:style>
  <w:style w:type="paragraph" w:customStyle="1" w:styleId="75">
    <w:name w:val="xl48"/>
    <w:basedOn w:val="1"/>
    <w:qFormat/>
    <w:uiPriority w:val="99"/>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76">
    <w:name w:val="02-标书-标题2"/>
    <w:qFormat/>
    <w:uiPriority w:val="0"/>
    <w:pPr>
      <w:numPr>
        <w:ilvl w:val="1"/>
        <w:numId w:val="3"/>
      </w:numPr>
      <w:spacing w:line="360" w:lineRule="auto"/>
      <w:outlineLvl w:val="1"/>
    </w:pPr>
    <w:rPr>
      <w:rFonts w:ascii="黑体" w:hAnsi="宋体" w:eastAsia="黑体" w:cs="Calibri"/>
      <w:kern w:val="2"/>
      <w:sz w:val="32"/>
      <w:szCs w:val="28"/>
      <w:lang w:val="en-US" w:eastAsia="zh-CN" w:bidi="ar-SA"/>
    </w:rPr>
  </w:style>
  <w:style w:type="paragraph" w:customStyle="1" w:styleId="77">
    <w:name w:val="xl47"/>
    <w:basedOn w:val="1"/>
    <w:qFormat/>
    <w:uiPriority w:val="99"/>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kern w:val="0"/>
      <w:sz w:val="24"/>
      <w:szCs w:val="24"/>
    </w:rPr>
  </w:style>
  <w:style w:type="paragraph" w:customStyle="1" w:styleId="78">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customStyle="1" w:styleId="79">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color w:val="000000"/>
      <w:kern w:val="0"/>
      <w:sz w:val="18"/>
      <w:szCs w:val="18"/>
    </w:rPr>
  </w:style>
  <w:style w:type="paragraph" w:customStyle="1" w:styleId="80">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8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Times New Roman"/>
      <w:b/>
      <w:bCs/>
      <w:i/>
      <w:iCs/>
      <w:kern w:val="0"/>
      <w:sz w:val="20"/>
      <w:szCs w:val="20"/>
    </w:rPr>
  </w:style>
  <w:style w:type="paragraph" w:customStyle="1" w:styleId="82">
    <w:name w:val="xl57"/>
    <w:basedOn w:val="1"/>
    <w:qFormat/>
    <w:uiPriority w:val="99"/>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8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Times New Roman"/>
      <w:b/>
      <w:bCs/>
      <w:kern w:val="0"/>
      <w:sz w:val="20"/>
      <w:szCs w:val="20"/>
    </w:rPr>
  </w:style>
  <w:style w:type="paragraph" w:customStyle="1" w:styleId="85">
    <w:name w:val="xl26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86">
    <w:name w:val="xl248"/>
    <w:basedOn w:val="1"/>
    <w:qFormat/>
    <w:uiPriority w:val="0"/>
    <w:pPr>
      <w:widowControl/>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87">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18"/>
      <w:szCs w:val="18"/>
    </w:rPr>
  </w:style>
  <w:style w:type="paragraph" w:customStyle="1" w:styleId="88">
    <w:name w:val="font13"/>
    <w:basedOn w:val="1"/>
    <w:qFormat/>
    <w:uiPriority w:val="0"/>
    <w:pPr>
      <w:widowControl/>
      <w:spacing w:before="100" w:beforeLines="0" w:beforeAutospacing="1" w:after="100" w:afterLines="0" w:afterAutospacing="1"/>
      <w:jc w:val="left"/>
    </w:pPr>
    <w:rPr>
      <w:rFonts w:ascii="Times New Roman" w:hAnsi="Times New Roman" w:eastAsia="宋体" w:cs="Times New Roman"/>
      <w:i/>
      <w:iCs/>
      <w:kern w:val="0"/>
      <w:sz w:val="36"/>
      <w:szCs w:val="36"/>
    </w:rPr>
  </w:style>
  <w:style w:type="paragraph" w:customStyle="1" w:styleId="89">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7"/>
      <w:szCs w:val="17"/>
    </w:rPr>
  </w:style>
  <w:style w:type="paragraph" w:customStyle="1" w:styleId="90">
    <w:name w:val="xl51"/>
    <w:basedOn w:val="1"/>
    <w:qFormat/>
    <w:uiPriority w:val="99"/>
    <w:pPr>
      <w:widowControl/>
      <w:pBdr>
        <w:top w:val="single" w:color="auto" w:sz="4" w:space="0"/>
        <w:left w:val="single" w:color="auto" w:sz="4" w:space="0"/>
        <w:bottom w:val="single" w:color="auto" w:sz="4" w:space="0"/>
      </w:pBdr>
      <w:shd w:val="clear" w:color="auto" w:fill="969696"/>
      <w:spacing w:before="100" w:beforeLines="0" w:beforeAutospacing="1" w:after="100" w:afterLines="0" w:afterAutospacing="1"/>
      <w:jc w:val="center"/>
    </w:pPr>
    <w:rPr>
      <w:rFonts w:ascii="Times New Roman" w:hAnsi="Times New Roman" w:eastAsia="宋体" w:cs="Times New Roman"/>
      <w:b/>
      <w:bCs/>
      <w:i/>
      <w:iCs/>
      <w:kern w:val="0"/>
      <w:sz w:val="20"/>
      <w:szCs w:val="20"/>
    </w:rPr>
  </w:style>
  <w:style w:type="paragraph" w:customStyle="1" w:styleId="91">
    <w:name w:val="font7"/>
    <w:basedOn w:val="1"/>
    <w:qFormat/>
    <w:uiPriority w:val="0"/>
    <w:pPr>
      <w:widowControl/>
      <w:spacing w:before="100" w:beforeLines="0" w:beforeAutospacing="1" w:after="100" w:afterLines="0" w:afterAutospacing="1"/>
      <w:jc w:val="left"/>
    </w:pPr>
    <w:rPr>
      <w:rFonts w:ascii="Times New Roman" w:hAnsi="Times New Roman" w:eastAsia="宋体" w:cs="Times New Roman"/>
      <w:b/>
      <w:bCs/>
      <w:i/>
      <w:iCs/>
      <w:kern w:val="0"/>
      <w:sz w:val="20"/>
      <w:szCs w:val="20"/>
    </w:rPr>
  </w:style>
  <w:style w:type="paragraph" w:customStyle="1" w:styleId="92">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b/>
      <w:bCs/>
      <w:kern w:val="0"/>
      <w:sz w:val="18"/>
      <w:szCs w:val="18"/>
    </w:rPr>
  </w:style>
  <w:style w:type="paragraph" w:customStyle="1" w:styleId="93">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paragraph" w:customStyle="1" w:styleId="9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95">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96">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9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98">
    <w:name w:val="表格文字"/>
    <w:basedOn w:val="1"/>
    <w:next w:val="12"/>
    <w:qFormat/>
    <w:uiPriority w:val="0"/>
    <w:pPr>
      <w:adjustRightInd w:val="0"/>
      <w:spacing w:line="288" w:lineRule="auto"/>
      <w:jc w:val="left"/>
      <w:textAlignment w:val="baseline"/>
    </w:pPr>
    <w:rPr>
      <w:kern w:val="0"/>
      <w:szCs w:val="20"/>
    </w:rPr>
  </w:style>
  <w:style w:type="paragraph" w:customStyle="1" w:styleId="9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b/>
      <w:bCs/>
      <w:kern w:val="0"/>
      <w:sz w:val="18"/>
      <w:szCs w:val="18"/>
    </w:rPr>
  </w:style>
  <w:style w:type="paragraph" w:customStyle="1" w:styleId="100">
    <w:name w:val="font11"/>
    <w:basedOn w:val="1"/>
    <w:qFormat/>
    <w:uiPriority w:val="0"/>
    <w:pPr>
      <w:widowControl/>
      <w:spacing w:before="100" w:beforeLines="0" w:beforeAutospacing="1" w:after="100" w:afterLines="0" w:afterAutospacing="1"/>
      <w:jc w:val="left"/>
    </w:pPr>
    <w:rPr>
      <w:rFonts w:ascii="Times New Roman" w:hAnsi="Times New Roman" w:eastAsia="宋体" w:cs="Times New Roman"/>
      <w:b/>
      <w:bCs/>
      <w:kern w:val="0"/>
      <w:sz w:val="18"/>
      <w:szCs w:val="18"/>
    </w:rPr>
  </w:style>
  <w:style w:type="paragraph" w:customStyle="1" w:styleId="10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eastAsia="宋体" w:cs="Times New Roman"/>
      <w:b/>
      <w:bCs/>
      <w:i/>
      <w:iCs/>
      <w:kern w:val="0"/>
      <w:sz w:val="20"/>
      <w:szCs w:val="20"/>
    </w:rPr>
  </w:style>
  <w:style w:type="paragraph" w:customStyle="1" w:styleId="102">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03">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eastAsia="宋体" w:cs="Times New Roman"/>
      <w:b/>
      <w:bCs/>
      <w:kern w:val="0"/>
      <w:sz w:val="20"/>
      <w:szCs w:val="20"/>
    </w:rPr>
  </w:style>
  <w:style w:type="paragraph" w:customStyle="1" w:styleId="104">
    <w:name w:val="xl44"/>
    <w:basedOn w:val="1"/>
    <w:qFormat/>
    <w:uiPriority w:val="99"/>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b/>
      <w:bCs/>
      <w:kern w:val="0"/>
      <w:sz w:val="20"/>
      <w:szCs w:val="20"/>
    </w:rPr>
  </w:style>
  <w:style w:type="paragraph" w:customStyle="1" w:styleId="105">
    <w:name w:val="4级标题"/>
    <w:basedOn w:val="1"/>
    <w:qFormat/>
    <w:uiPriority w:val="0"/>
    <w:pPr>
      <w:keepLines/>
      <w:numPr>
        <w:ilvl w:val="3"/>
        <w:numId w:val="4"/>
      </w:numPr>
      <w:spacing w:line="360" w:lineRule="auto"/>
      <w:contextualSpacing/>
      <w:jc w:val="left"/>
      <w:outlineLvl w:val="3"/>
    </w:pPr>
    <w:rPr>
      <w:rFonts w:ascii="黑体" w:hAnsi="黑体" w:eastAsia="黑体"/>
      <w:kern w:val="0"/>
      <w:sz w:val="24"/>
      <w:lang w:eastAsia="en-US" w:bidi="en-US"/>
    </w:rPr>
  </w:style>
  <w:style w:type="paragraph" w:customStyle="1" w:styleId="106">
    <w:name w:val="xl60"/>
    <w:basedOn w:val="1"/>
    <w:qFormat/>
    <w:uiPriority w:val="99"/>
    <w:pPr>
      <w:widowControl/>
      <w:pBdr>
        <w:top w:val="single" w:color="auto" w:sz="4" w:space="0"/>
        <w:left w:val="single" w:color="auto" w:sz="4" w:space="0"/>
        <w:bottom w:val="single" w:color="auto" w:sz="4" w:space="0"/>
      </w:pBdr>
      <w:shd w:val="clear" w:color="auto" w:fill="969696"/>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0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b/>
      <w:bCs/>
      <w:kern w:val="0"/>
      <w:sz w:val="20"/>
      <w:szCs w:val="20"/>
    </w:rPr>
  </w:style>
  <w:style w:type="paragraph" w:customStyle="1" w:styleId="10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b/>
      <w:bCs/>
      <w:i/>
      <w:iCs/>
      <w:kern w:val="0"/>
      <w:sz w:val="20"/>
      <w:szCs w:val="20"/>
    </w:rPr>
  </w:style>
  <w:style w:type="paragraph" w:customStyle="1" w:styleId="109">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10">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111">
    <w:name w:val="正文_段落缩进"/>
    <w:basedOn w:val="1"/>
    <w:qFormat/>
    <w:uiPriority w:val="0"/>
    <w:pPr>
      <w:spacing w:line="360" w:lineRule="auto"/>
      <w:ind w:firstLine="200" w:firstLineChars="200"/>
    </w:pPr>
    <w:rPr>
      <w:rFonts w:ascii="仿宋_GB2312" w:hAnsi="仿宋" w:eastAsia="仿宋_GB2312"/>
      <w:szCs w:val="32"/>
    </w:rPr>
  </w:style>
  <w:style w:type="paragraph" w:customStyle="1" w:styleId="11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1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b/>
      <w:bCs/>
      <w:kern w:val="0"/>
      <w:sz w:val="20"/>
      <w:szCs w:val="20"/>
    </w:rPr>
  </w:style>
  <w:style w:type="paragraph" w:customStyle="1" w:styleId="11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115">
    <w:name w:val="xl43"/>
    <w:basedOn w:val="1"/>
    <w:qFormat/>
    <w:uiPriority w:val="99"/>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b/>
      <w:bCs/>
      <w:kern w:val="0"/>
      <w:sz w:val="20"/>
      <w:szCs w:val="20"/>
    </w:rPr>
  </w:style>
  <w:style w:type="paragraph" w:customStyle="1" w:styleId="116">
    <w:name w:val="font9"/>
    <w:basedOn w:val="1"/>
    <w:qFormat/>
    <w:uiPriority w:val="0"/>
    <w:pPr>
      <w:widowControl/>
      <w:spacing w:before="100" w:beforeLines="0" w:beforeAutospacing="1" w:after="100" w:afterLines="0" w:afterAutospacing="1"/>
      <w:jc w:val="left"/>
    </w:pPr>
    <w:rPr>
      <w:rFonts w:ascii="Times New Roman" w:hAnsi="Times New Roman" w:eastAsia="宋体" w:cs="Times New Roman"/>
      <w:b/>
      <w:bCs/>
      <w:kern w:val="0"/>
      <w:sz w:val="20"/>
      <w:szCs w:val="20"/>
    </w:rPr>
  </w:style>
  <w:style w:type="paragraph" w:customStyle="1" w:styleId="117">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118">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119">
    <w:name w:val="xl250"/>
    <w:basedOn w:val="1"/>
    <w:qFormat/>
    <w:uiPriority w:val="0"/>
    <w:pPr>
      <w:widowControl/>
      <w:spacing w:before="100" w:beforeLines="0" w:beforeAutospacing="1" w:after="100" w:afterLines="0" w:afterAutospacing="1"/>
      <w:jc w:val="left"/>
    </w:pPr>
    <w:rPr>
      <w:rFonts w:ascii="Times New Roman" w:hAnsi="Times New Roman"/>
      <w:kern w:val="0"/>
      <w:sz w:val="24"/>
      <w:szCs w:val="24"/>
    </w:rPr>
  </w:style>
  <w:style w:type="paragraph" w:customStyle="1" w:styleId="120">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2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b/>
      <w:bCs/>
      <w:kern w:val="0"/>
      <w:sz w:val="20"/>
      <w:szCs w:val="20"/>
    </w:rPr>
  </w:style>
  <w:style w:type="paragraph" w:customStyle="1" w:styleId="122">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2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Times New Roman"/>
      <w:kern w:val="0"/>
      <w:sz w:val="24"/>
      <w:szCs w:val="24"/>
    </w:rPr>
  </w:style>
  <w:style w:type="paragraph" w:customStyle="1" w:styleId="124">
    <w:name w:val="font6"/>
    <w:basedOn w:val="1"/>
    <w:qFormat/>
    <w:uiPriority w:val="0"/>
    <w:pPr>
      <w:widowControl/>
      <w:spacing w:before="100" w:beforeLines="0" w:beforeAutospacing="1" w:after="100" w:afterLines="0" w:afterAutospacing="1"/>
      <w:jc w:val="left"/>
    </w:pPr>
    <w:rPr>
      <w:rFonts w:ascii="宋体" w:hAnsi="宋体" w:eastAsia="宋体" w:cs="Times New Roman"/>
      <w:b/>
      <w:bCs/>
      <w:kern w:val="0"/>
      <w:sz w:val="20"/>
      <w:szCs w:val="20"/>
    </w:rPr>
  </w:style>
  <w:style w:type="paragraph" w:customStyle="1" w:styleId="125">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26">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2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eastAsia="宋体" w:cs="Times New Roman"/>
      <w:b/>
      <w:bCs/>
      <w:i/>
      <w:iCs/>
      <w:kern w:val="0"/>
      <w:sz w:val="20"/>
      <w:szCs w:val="20"/>
    </w:rPr>
  </w:style>
  <w:style w:type="paragraph" w:customStyle="1" w:styleId="128">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2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eastAsia="宋体" w:cs="Times New Roman"/>
      <w:b/>
      <w:bCs/>
      <w:i/>
      <w:iCs/>
      <w:kern w:val="0"/>
      <w:sz w:val="20"/>
      <w:szCs w:val="20"/>
    </w:rPr>
  </w:style>
  <w:style w:type="paragraph" w:customStyle="1" w:styleId="130">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Lines="0" w:beforeAutospacing="1" w:after="100" w:afterLines="0" w:afterAutospacing="1"/>
      <w:jc w:val="center"/>
    </w:pPr>
    <w:rPr>
      <w:rFonts w:ascii="Times New Roman" w:hAnsi="Times New Roman" w:eastAsia="宋体" w:cs="Times New Roman"/>
      <w:b/>
      <w:bCs/>
      <w:i/>
      <w:iCs/>
      <w:kern w:val="0"/>
      <w:sz w:val="20"/>
      <w:szCs w:val="20"/>
    </w:rPr>
  </w:style>
  <w:style w:type="paragraph" w:customStyle="1" w:styleId="131">
    <w:name w:val="xl247"/>
    <w:basedOn w:val="1"/>
    <w:qFormat/>
    <w:uiPriority w:val="0"/>
    <w:pPr>
      <w:widowControl/>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32">
    <w:name w:val="font5"/>
    <w:basedOn w:val="1"/>
    <w:qFormat/>
    <w:uiPriority w:val="0"/>
    <w:pPr>
      <w:widowControl/>
      <w:spacing w:before="100" w:beforeLines="0" w:beforeAutospacing="1" w:after="100" w:afterLines="0" w:afterAutospacing="1"/>
      <w:jc w:val="left"/>
    </w:pPr>
    <w:rPr>
      <w:rFonts w:ascii="宋体" w:hAnsi="宋体" w:eastAsia="宋体" w:cs="Times New Roman"/>
      <w:kern w:val="0"/>
      <w:sz w:val="18"/>
      <w:szCs w:val="18"/>
    </w:rPr>
  </w:style>
  <w:style w:type="paragraph" w:customStyle="1" w:styleId="133">
    <w:name w:val="xl63"/>
    <w:basedOn w:val="1"/>
    <w:qFormat/>
    <w:uiPriority w:val="99"/>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13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楷体_GB2312" w:hAnsi="宋体" w:eastAsia="楷体_GB2312" w:cs="Times New Roman"/>
      <w:b/>
      <w:bCs/>
      <w:kern w:val="0"/>
      <w:sz w:val="24"/>
      <w:szCs w:val="24"/>
    </w:rPr>
  </w:style>
  <w:style w:type="paragraph" w:customStyle="1" w:styleId="13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136">
    <w:name w:val="xl61"/>
    <w:basedOn w:val="1"/>
    <w:qFormat/>
    <w:uiPriority w:val="99"/>
    <w:pPr>
      <w:widowControl/>
      <w:pBdr>
        <w:top w:val="single" w:color="auto" w:sz="4" w:space="0"/>
        <w:bottom w:val="single" w:color="auto" w:sz="4" w:space="0"/>
      </w:pBdr>
      <w:shd w:val="clear" w:color="auto" w:fill="969696"/>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37">
    <w:name w:val="xl25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Times New Roman" w:hAnsi="Times New Roman"/>
      <w:b/>
      <w:bCs/>
      <w:kern w:val="0"/>
      <w:sz w:val="18"/>
      <w:szCs w:val="18"/>
    </w:rPr>
  </w:style>
  <w:style w:type="paragraph" w:customStyle="1" w:styleId="138">
    <w:name w:val="普通文字"/>
    <w:basedOn w:val="1"/>
    <w:next w:val="1"/>
    <w:uiPriority w:val="99"/>
    <w:rPr>
      <w:rFonts w:ascii="宋体" w:hAnsi="Times New Roman" w:eastAsia="宋体" w:cs="Times New Roman"/>
      <w:kern w:val="0"/>
      <w:sz w:val="24"/>
      <w:szCs w:val="20"/>
      <w:u w:val="none" w:color="000000"/>
    </w:rPr>
  </w:style>
  <w:style w:type="paragraph" w:customStyle="1" w:styleId="139">
    <w:name w:val="font8"/>
    <w:basedOn w:val="1"/>
    <w:qFormat/>
    <w:uiPriority w:val="0"/>
    <w:pPr>
      <w:widowControl/>
      <w:spacing w:before="100" w:beforeLines="0" w:beforeAutospacing="1" w:after="100" w:afterLines="0" w:afterAutospacing="1"/>
      <w:jc w:val="left"/>
    </w:pPr>
    <w:rPr>
      <w:rFonts w:ascii="宋体" w:hAnsi="宋体" w:eastAsia="宋体" w:cs="Times New Roman"/>
      <w:b/>
      <w:bCs/>
      <w:i/>
      <w:iCs/>
      <w:kern w:val="0"/>
      <w:sz w:val="20"/>
      <w:szCs w:val="20"/>
    </w:rPr>
  </w:style>
  <w:style w:type="paragraph" w:customStyle="1" w:styleId="140">
    <w:name w:val="xl25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4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eastAsia="宋体" w:cs="Times New Roman"/>
      <w:b/>
      <w:bCs/>
      <w:kern w:val="0"/>
      <w:sz w:val="20"/>
      <w:szCs w:val="20"/>
    </w:rPr>
  </w:style>
  <w:style w:type="paragraph" w:customStyle="1" w:styleId="142">
    <w:name w:val="font12"/>
    <w:basedOn w:val="1"/>
    <w:qFormat/>
    <w:uiPriority w:val="0"/>
    <w:pPr>
      <w:widowControl/>
      <w:spacing w:before="100" w:beforeLines="0" w:beforeAutospacing="1" w:after="100" w:afterLines="0" w:afterAutospacing="1"/>
      <w:jc w:val="left"/>
    </w:pPr>
    <w:rPr>
      <w:rFonts w:ascii="宋体" w:hAnsi="宋体" w:eastAsia="宋体" w:cs="Times New Roman"/>
      <w:kern w:val="0"/>
      <w:sz w:val="36"/>
      <w:szCs w:val="36"/>
    </w:rPr>
  </w:style>
  <w:style w:type="paragraph" w:customStyle="1" w:styleId="143">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color w:val="000000"/>
      <w:kern w:val="0"/>
      <w:sz w:val="18"/>
      <w:szCs w:val="18"/>
    </w:rPr>
  </w:style>
  <w:style w:type="paragraph" w:customStyle="1" w:styleId="144">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45">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b/>
      <w:bCs/>
      <w:kern w:val="0"/>
      <w:sz w:val="18"/>
      <w:szCs w:val="18"/>
    </w:rPr>
  </w:style>
  <w:style w:type="paragraph" w:customStyle="1" w:styleId="146">
    <w:name w:val="xl58"/>
    <w:basedOn w:val="1"/>
    <w:qFormat/>
    <w:uiPriority w:val="99"/>
    <w:pPr>
      <w:widowControl/>
      <w:pBdr>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4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Lines="0" w:beforeAutospacing="1" w:after="100" w:afterLines="0" w:afterAutospacing="1"/>
      <w:jc w:val="center"/>
      <w:textAlignment w:val="center"/>
    </w:pPr>
    <w:rPr>
      <w:rFonts w:ascii="宋体" w:hAnsi="宋体" w:eastAsia="宋体" w:cs="Times New Roman"/>
      <w:b/>
      <w:bCs/>
      <w:kern w:val="0"/>
      <w:sz w:val="20"/>
      <w:szCs w:val="20"/>
    </w:rPr>
  </w:style>
  <w:style w:type="paragraph" w:customStyle="1" w:styleId="148">
    <w:name w:val="xl30"/>
    <w:basedOn w:val="1"/>
    <w:uiPriority w:val="99"/>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eastAsia="宋体" w:cs="Times New Roman"/>
      <w:b/>
      <w:bCs/>
      <w:kern w:val="0"/>
      <w:sz w:val="20"/>
      <w:szCs w:val="20"/>
    </w:rPr>
  </w:style>
  <w:style w:type="paragraph" w:customStyle="1" w:styleId="149">
    <w:name w:val="xl30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50">
    <w:name w:val="xl55"/>
    <w:basedOn w:val="1"/>
    <w:qFormat/>
    <w:uiPriority w:val="99"/>
    <w:pPr>
      <w:widowControl/>
      <w:pBdr>
        <w:top w:val="single" w:color="auto" w:sz="4" w:space="0"/>
        <w:bottom w:val="single" w:color="auto" w:sz="4" w:space="0"/>
      </w:pBdr>
      <w:shd w:val="clear" w:color="auto" w:fill="969696"/>
      <w:spacing w:before="100" w:beforeLines="0" w:beforeAutospacing="1" w:after="100" w:afterLines="0" w:afterAutospacing="1"/>
      <w:jc w:val="center"/>
      <w:textAlignment w:val="center"/>
    </w:pPr>
    <w:rPr>
      <w:rFonts w:ascii="Times New Roman" w:hAnsi="Times New Roman" w:eastAsia="宋体" w:cs="Times New Roman"/>
      <w:b/>
      <w:bCs/>
      <w:kern w:val="0"/>
      <w:sz w:val="20"/>
      <w:szCs w:val="20"/>
    </w:rPr>
  </w:style>
  <w:style w:type="paragraph" w:customStyle="1" w:styleId="151">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textAlignment w:val="center"/>
    </w:pPr>
    <w:rPr>
      <w:rFonts w:ascii="Times New Roman" w:hAnsi="Times New Roman"/>
      <w:color w:val="000000"/>
      <w:kern w:val="0"/>
      <w:sz w:val="18"/>
      <w:szCs w:val="18"/>
    </w:rPr>
  </w:style>
  <w:style w:type="paragraph" w:customStyle="1" w:styleId="152">
    <w:name w:val="xl45"/>
    <w:basedOn w:val="1"/>
    <w:qFormat/>
    <w:uiPriority w:val="99"/>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b/>
      <w:bCs/>
      <w:kern w:val="0"/>
      <w:sz w:val="20"/>
      <w:szCs w:val="20"/>
    </w:rPr>
  </w:style>
  <w:style w:type="paragraph" w:customStyle="1" w:styleId="15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54">
    <w:name w:val="xl46"/>
    <w:basedOn w:val="1"/>
    <w:qFormat/>
    <w:uiPriority w:val="99"/>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kern w:val="0"/>
      <w:sz w:val="24"/>
      <w:szCs w:val="24"/>
    </w:rPr>
  </w:style>
  <w:style w:type="paragraph" w:customStyle="1" w:styleId="155">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56">
    <w:name w:val="font16"/>
    <w:basedOn w:val="1"/>
    <w:qFormat/>
    <w:uiPriority w:val="0"/>
    <w:pPr>
      <w:widowControl/>
      <w:spacing w:before="100" w:beforeLines="0" w:beforeAutospacing="1" w:after="100" w:afterLines="0" w:afterAutospacing="1"/>
      <w:jc w:val="left"/>
    </w:pPr>
    <w:rPr>
      <w:rFonts w:ascii="Times New Roman" w:hAnsi="Times New Roman"/>
      <w:kern w:val="0"/>
      <w:sz w:val="18"/>
      <w:szCs w:val="18"/>
    </w:rPr>
  </w:style>
  <w:style w:type="paragraph" w:customStyle="1" w:styleId="157">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58">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159">
    <w:name w:val="xl52"/>
    <w:basedOn w:val="1"/>
    <w:qFormat/>
    <w:uiPriority w:val="99"/>
    <w:pPr>
      <w:widowControl/>
      <w:pBdr>
        <w:top w:val="single" w:color="auto" w:sz="4" w:space="0"/>
        <w:bottom w:val="single" w:color="auto" w:sz="4" w:space="0"/>
      </w:pBdr>
      <w:shd w:val="clear" w:color="auto" w:fill="969696"/>
      <w:spacing w:before="100" w:beforeLines="0" w:beforeAutospacing="1" w:after="100" w:afterLines="0" w:afterAutospacing="1"/>
      <w:jc w:val="center"/>
    </w:pPr>
    <w:rPr>
      <w:rFonts w:ascii="Times New Roman" w:hAnsi="Times New Roman" w:eastAsia="宋体" w:cs="Times New Roman"/>
      <w:b/>
      <w:bCs/>
      <w:i/>
      <w:iCs/>
      <w:kern w:val="0"/>
      <w:sz w:val="20"/>
      <w:szCs w:val="20"/>
    </w:rPr>
  </w:style>
  <w:style w:type="paragraph" w:customStyle="1" w:styleId="160">
    <w:name w:val="xl275"/>
    <w:basedOn w:val="1"/>
    <w:qFormat/>
    <w:uiPriority w:val="0"/>
    <w:pPr>
      <w:widowControl/>
      <w:spacing w:before="100" w:beforeLines="0" w:beforeAutospacing="1" w:after="100" w:afterLines="0" w:afterAutospacing="1"/>
      <w:textAlignment w:val="center"/>
    </w:pPr>
    <w:rPr>
      <w:rFonts w:ascii="Times New Roman" w:hAnsi="Times New Roman"/>
      <w:color w:val="000000"/>
      <w:kern w:val="0"/>
      <w:sz w:val="18"/>
      <w:szCs w:val="18"/>
    </w:rPr>
  </w:style>
  <w:style w:type="paragraph" w:customStyle="1" w:styleId="161">
    <w:name w:val="xl59"/>
    <w:basedOn w:val="1"/>
    <w:qFormat/>
    <w:uiPriority w:val="99"/>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bCs/>
      <w:i/>
      <w:iCs/>
      <w:kern w:val="0"/>
      <w:sz w:val="20"/>
      <w:szCs w:val="20"/>
    </w:rPr>
  </w:style>
  <w:style w:type="paragraph" w:customStyle="1" w:styleId="162">
    <w:name w:val="font10"/>
    <w:basedOn w:val="1"/>
    <w:qFormat/>
    <w:uiPriority w:val="0"/>
    <w:pPr>
      <w:widowControl/>
      <w:spacing w:before="100" w:beforeLines="0" w:beforeAutospacing="1" w:after="100" w:afterLines="0" w:afterAutospacing="1"/>
      <w:jc w:val="left"/>
    </w:pPr>
    <w:rPr>
      <w:rFonts w:ascii="楷体_GB2312" w:hAnsi="宋体" w:eastAsia="楷体_GB2312" w:cs="Times New Roman"/>
      <w:b/>
      <w:bCs/>
      <w:kern w:val="0"/>
      <w:sz w:val="18"/>
      <w:szCs w:val="18"/>
    </w:rPr>
  </w:style>
  <w:style w:type="paragraph" w:customStyle="1" w:styleId="163">
    <w:name w:val="Char Char Char Char"/>
    <w:basedOn w:val="10"/>
    <w:qFormat/>
    <w:uiPriority w:val="99"/>
    <w:pPr>
      <w:adjustRightInd w:val="0"/>
      <w:snapToGrid w:val="0"/>
      <w:spacing w:line="360" w:lineRule="auto"/>
    </w:pPr>
    <w:rPr>
      <w:rFonts w:ascii="Tahoma" w:hAnsi="Tahoma"/>
      <w:sz w:val="24"/>
      <w:szCs w:val="24"/>
    </w:rPr>
  </w:style>
  <w:style w:type="paragraph" w:customStyle="1" w:styleId="1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styleId="165">
    <w:name w:val="List Paragraph"/>
    <w:basedOn w:val="1"/>
    <w:qFormat/>
    <w:uiPriority w:val="99"/>
    <w:pPr>
      <w:ind w:firstLine="420" w:firstLineChars="200"/>
    </w:pPr>
    <w:rPr>
      <w:rFonts w:ascii="Times New Roman" w:hAnsi="Times New Roman" w:eastAsia="宋体" w:cs="Times New Roman"/>
      <w:szCs w:val="20"/>
    </w:rPr>
  </w:style>
  <w:style w:type="paragraph" w:customStyle="1" w:styleId="166">
    <w:name w:val="xl249"/>
    <w:basedOn w:val="1"/>
    <w:qFormat/>
    <w:uiPriority w:val="0"/>
    <w:pPr>
      <w:widowControl/>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67">
    <w:name w:val="样式 首行缩进:  0 字符"/>
    <w:basedOn w:val="1"/>
    <w:qFormat/>
    <w:uiPriority w:val="0"/>
    <w:pPr>
      <w:spacing w:line="360" w:lineRule="auto"/>
    </w:pPr>
    <w:rPr>
      <w:rFonts w:ascii="Arial" w:hAnsi="Arial" w:eastAsia="宋体" w:cs="宋体"/>
      <w:sz w:val="24"/>
    </w:rPr>
  </w:style>
  <w:style w:type="paragraph" w:customStyle="1" w:styleId="168">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69">
    <w:name w:val="xl27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70">
    <w:name w:val="xl27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71">
    <w:name w:val="xl27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72">
    <w:name w:val="xl2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73">
    <w:name w:val="xl2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b/>
      <w:bCs/>
      <w:kern w:val="0"/>
      <w:sz w:val="18"/>
      <w:szCs w:val="18"/>
    </w:rPr>
  </w:style>
  <w:style w:type="paragraph" w:customStyle="1" w:styleId="174">
    <w:name w:val="xl28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75">
    <w:name w:val="xl28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76">
    <w:name w:val="xl2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7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7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79">
    <w:name w:val="p1"/>
    <w:basedOn w:val="1"/>
    <w:qFormat/>
    <w:uiPriority w:val="0"/>
    <w:pPr>
      <w:spacing w:before="0" w:beforeLines="0" w:beforeAutospacing="0" w:after="0" w:afterLines="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180">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181">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82">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18"/>
      <w:szCs w:val="18"/>
    </w:rPr>
  </w:style>
  <w:style w:type="paragraph" w:customStyle="1" w:styleId="183">
    <w:name w:val="xl291"/>
    <w:basedOn w:val="1"/>
    <w:qFormat/>
    <w:uiPriority w:val="0"/>
    <w:pPr>
      <w:widowControl/>
      <w:spacing w:before="100" w:beforeLines="0" w:beforeAutospacing="1" w:after="100" w:afterLines="0" w:afterAutospacing="1"/>
      <w:jc w:val="left"/>
      <w:textAlignment w:val="center"/>
    </w:pPr>
    <w:rPr>
      <w:rFonts w:ascii="Times New Roman" w:hAnsi="Times New Roman"/>
      <w:color w:val="000000"/>
      <w:kern w:val="0"/>
      <w:sz w:val="18"/>
      <w:szCs w:val="18"/>
    </w:rPr>
  </w:style>
  <w:style w:type="paragraph" w:customStyle="1" w:styleId="184">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18"/>
      <w:szCs w:val="18"/>
    </w:rPr>
  </w:style>
  <w:style w:type="paragraph" w:customStyle="1" w:styleId="185">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color w:val="000000"/>
      <w:kern w:val="0"/>
      <w:sz w:val="18"/>
      <w:szCs w:val="18"/>
    </w:rPr>
  </w:style>
  <w:style w:type="paragraph" w:customStyle="1" w:styleId="186">
    <w:name w:val="xl29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87">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88">
    <w:name w:val="xl29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89">
    <w:name w:val="xl30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90">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191">
    <w:name w:val="列出段落1"/>
    <w:basedOn w:val="1"/>
    <w:qFormat/>
    <w:uiPriority w:val="0"/>
    <w:pPr>
      <w:spacing w:line="360" w:lineRule="auto"/>
      <w:ind w:firstLine="420" w:firstLineChars="200"/>
    </w:pPr>
    <w:rPr>
      <w:rFonts w:ascii="Times New Roman" w:hAnsi="Times New Roman"/>
      <w:sz w:val="24"/>
      <w:szCs w:val="21"/>
    </w:rPr>
  </w:style>
  <w:style w:type="paragraph" w:customStyle="1" w:styleId="19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35324</Words>
  <Characters>37456</Characters>
  <Lines>287</Lines>
  <Paragraphs>80</Paragraphs>
  <TotalTime>0</TotalTime>
  <ScaleCrop>false</ScaleCrop>
  <LinksUpToDate>false</LinksUpToDate>
  <CharactersWithSpaces>38411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2022-10-28T02:56:00Z</dcterms:created>
  <dc:creator>黄炜</dc:creator>
  <cp:lastModifiedBy>陈辰</cp:lastModifiedBy>
  <cp:lastPrinted>2022-12-05T01:56:00Z</cp:lastPrinted>
  <dcterms:modified xsi:type="dcterms:W3CDTF">2022-12-05T02:53:54Z</dcterms:modified>
  <dc:title>无锡市新吴区政府采购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E1409926DA2B489F93C97337E6277720</vt:lpwstr>
  </property>
</Properties>
</file>