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660"/>
        <w:rPr>
          <w:rFonts w:hint="eastAsia" w:hAnsi="宋体" w:cs="宋体"/>
          <w:bCs/>
          <w:sz w:val="30"/>
          <w:highlight w:val="none"/>
        </w:rPr>
      </w:pPr>
      <w:bookmarkStart w:id="0" w:name="PO_17397_PM100"/>
      <w:r>
        <w:t xml:space="preserve"> </w:t>
      </w:r>
      <w:bookmarkEnd w:id="0"/>
    </w:p>
    <w:p>
      <w:pPr>
        <w:pStyle w:val="17"/>
        <w:rPr>
          <w:rFonts w:hint="eastAsia" w:hAnsi="宋体" w:cs="宋体"/>
          <w:bCs/>
          <w:sz w:val="30"/>
          <w:highlight w:val="none"/>
        </w:rPr>
      </w:pPr>
    </w:p>
    <w:p>
      <w:pPr>
        <w:pStyle w:val="17"/>
        <w:rPr>
          <w:rFonts w:hint="eastAsia" w:hAnsi="宋体" w:cs="宋体"/>
          <w:bCs/>
          <w:sz w:val="30"/>
          <w:highlight w:val="none"/>
        </w:rPr>
      </w:pPr>
    </w:p>
    <w:p>
      <w:pPr>
        <w:spacing w:line="360" w:lineRule="auto"/>
        <w:jc w:val="center"/>
        <w:rPr>
          <w:rFonts w:hint="eastAsia" w:ascii="宋体" w:hAnsi="宋体" w:eastAsia="宋体" w:cs="宋体"/>
          <w:b/>
          <w:spacing w:val="20"/>
          <w:sz w:val="72"/>
          <w:szCs w:val="72"/>
          <w:highlight w:val="none"/>
        </w:rPr>
      </w:pPr>
      <w:r>
        <w:rPr>
          <w:rFonts w:hint="eastAsia" w:ascii="宋体" w:hAnsi="宋体" w:eastAsia="宋体" w:cs="宋体"/>
          <w:b/>
          <w:spacing w:val="20"/>
          <w:sz w:val="72"/>
          <w:szCs w:val="72"/>
          <w:highlight w:val="none"/>
        </w:rPr>
        <w:t>无 锡 市 政 府 采 购</w:t>
      </w:r>
    </w:p>
    <w:p>
      <w:pPr>
        <w:spacing w:line="360" w:lineRule="auto"/>
        <w:rPr>
          <w:rFonts w:hint="eastAsia" w:ascii="宋体" w:hAnsi="宋体" w:eastAsia="宋体" w:cs="宋体"/>
          <w:bCs/>
          <w:sz w:val="30"/>
          <w:highlight w:val="none"/>
        </w:rPr>
      </w:pPr>
    </w:p>
    <w:p>
      <w:pPr>
        <w:spacing w:line="360" w:lineRule="auto"/>
        <w:rPr>
          <w:rFonts w:hint="eastAsia" w:ascii="宋体" w:hAnsi="宋体" w:eastAsia="宋体" w:cs="宋体"/>
          <w:bCs/>
          <w:sz w:val="30"/>
          <w:highlight w:val="none"/>
        </w:rPr>
      </w:pPr>
    </w:p>
    <w:p>
      <w:pPr>
        <w:spacing w:line="360" w:lineRule="auto"/>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竞争性磋商文件</w:t>
      </w:r>
    </w:p>
    <w:p>
      <w:pPr>
        <w:spacing w:line="360" w:lineRule="auto"/>
        <w:jc w:val="center"/>
        <w:rPr>
          <w:rFonts w:hint="eastAsia" w:ascii="宋体" w:hAnsi="宋体" w:eastAsia="宋体" w:cs="宋体"/>
          <w:b/>
          <w:sz w:val="52"/>
          <w:szCs w:val="52"/>
          <w:highlight w:val="none"/>
        </w:rPr>
      </w:pPr>
    </w:p>
    <w:p>
      <w:pPr>
        <w:spacing w:line="360" w:lineRule="auto"/>
        <w:jc w:val="center"/>
        <w:rPr>
          <w:rFonts w:hint="eastAsia" w:ascii="宋体" w:hAnsi="宋体" w:eastAsia="宋体" w:cs="宋体"/>
          <w:bCs/>
          <w:sz w:val="30"/>
          <w:highlight w:val="none"/>
        </w:rPr>
      </w:pPr>
      <w:r>
        <w:rPr>
          <w:rFonts w:hint="eastAsia" w:ascii="宋体" w:hAnsi="宋体" w:eastAsia="宋体" w:cs="宋体"/>
          <w:bCs/>
          <w:sz w:val="30"/>
          <w:highlight w:val="none"/>
        </w:rPr>
        <w:t>（全流程电子化）</w:t>
      </w:r>
    </w:p>
    <w:p>
      <w:pPr>
        <w:snapToGrid w:val="0"/>
        <w:spacing w:line="480" w:lineRule="auto"/>
        <w:ind w:firstLine="837" w:firstLineChars="279"/>
        <w:rPr>
          <w:rFonts w:hint="eastAsia" w:ascii="宋体" w:hAnsi="宋体" w:eastAsia="宋体" w:cs="宋体"/>
          <w:bCs/>
          <w:sz w:val="30"/>
          <w:szCs w:val="30"/>
          <w:highlight w:val="none"/>
        </w:rPr>
      </w:pPr>
    </w:p>
    <w:p>
      <w:pPr>
        <w:snapToGrid w:val="0"/>
        <w:spacing w:line="480" w:lineRule="auto"/>
        <w:ind w:firstLine="837" w:firstLineChars="279"/>
        <w:rPr>
          <w:rFonts w:hint="eastAsia" w:ascii="宋体" w:hAnsi="宋体" w:eastAsia="宋体" w:cs="宋体"/>
          <w:bCs/>
          <w:sz w:val="30"/>
          <w:szCs w:val="30"/>
          <w:highlight w:val="none"/>
          <w:lang w:eastAsia="zh-CN"/>
        </w:rPr>
      </w:pPr>
      <w:r>
        <w:rPr>
          <w:rFonts w:hint="eastAsia" w:ascii="宋体" w:hAnsi="宋体" w:eastAsia="宋体" w:cs="宋体"/>
          <w:bCs/>
          <w:sz w:val="30"/>
          <w:szCs w:val="30"/>
          <w:highlight w:val="none"/>
        </w:rPr>
        <w:t>政府采购编号：</w:t>
      </w:r>
      <w:r>
        <w:rPr>
          <w:rFonts w:hint="eastAsia" w:ascii="宋体" w:hAnsi="宋体" w:eastAsia="宋体" w:cs="宋体"/>
          <w:bCs/>
          <w:sz w:val="30"/>
          <w:szCs w:val="30"/>
          <w:highlight w:val="none"/>
          <w:lang w:eastAsia="zh-CN"/>
        </w:rPr>
        <w:t>JSDRDCG202205</w:t>
      </w:r>
    </w:p>
    <w:p>
      <w:pPr>
        <w:snapToGrid w:val="0"/>
        <w:spacing w:line="480" w:lineRule="auto"/>
        <w:ind w:firstLine="837" w:firstLineChars="279"/>
        <w:rPr>
          <w:rFonts w:hint="eastAsia" w:ascii="宋体" w:hAnsi="宋体" w:eastAsia="宋体" w:cs="宋体"/>
          <w:bCs/>
          <w:sz w:val="30"/>
          <w:szCs w:val="30"/>
          <w:highlight w:val="none"/>
          <w:lang w:eastAsia="zh-CN"/>
        </w:rPr>
      </w:pPr>
      <w:r>
        <w:rPr>
          <w:rFonts w:hint="eastAsia" w:ascii="宋体" w:hAnsi="宋体" w:eastAsia="宋体" w:cs="宋体"/>
          <w:bCs/>
          <w:sz w:val="30"/>
          <w:szCs w:val="30"/>
          <w:highlight w:val="none"/>
        </w:rPr>
        <w:t>采购项目名称：</w:t>
      </w:r>
      <w:r>
        <w:rPr>
          <w:rFonts w:hint="eastAsia" w:ascii="宋体" w:hAnsi="宋体" w:eastAsia="宋体" w:cs="宋体"/>
          <w:bCs/>
          <w:sz w:val="30"/>
          <w:szCs w:val="30"/>
          <w:highlight w:val="none"/>
          <w:lang w:eastAsia="zh-CN"/>
        </w:rPr>
        <w:t>无锡市新吴区旺庄街道2022年老年人家庭适老化改造服务项目</w:t>
      </w:r>
    </w:p>
    <w:p>
      <w:pPr>
        <w:snapToGrid w:val="0"/>
        <w:spacing w:line="480" w:lineRule="auto"/>
        <w:ind w:firstLine="837" w:firstLineChars="279"/>
        <w:rPr>
          <w:rFonts w:hint="eastAsia" w:ascii="宋体" w:hAnsi="宋体" w:eastAsia="宋体" w:cs="宋体"/>
          <w:bCs/>
          <w:sz w:val="30"/>
          <w:szCs w:val="30"/>
          <w:highlight w:val="none"/>
          <w:lang w:eastAsia="zh-CN"/>
        </w:rPr>
      </w:pPr>
      <w:r>
        <w:rPr>
          <w:rFonts w:hint="eastAsia" w:ascii="宋体" w:hAnsi="宋体" w:eastAsia="宋体" w:cs="宋体"/>
          <w:bCs/>
          <w:sz w:val="30"/>
          <w:szCs w:val="30"/>
          <w:highlight w:val="none"/>
        </w:rPr>
        <w:t>采   购   人：</w:t>
      </w:r>
      <w:r>
        <w:rPr>
          <w:rFonts w:hint="eastAsia" w:ascii="宋体" w:hAnsi="宋体" w:eastAsia="宋体" w:cs="宋体"/>
          <w:bCs/>
          <w:sz w:val="30"/>
          <w:szCs w:val="30"/>
          <w:highlight w:val="none"/>
          <w:lang w:eastAsia="zh-CN"/>
        </w:rPr>
        <w:t>无锡市新吴区人民政府旺庄街道办事处</w:t>
      </w:r>
    </w:p>
    <w:p>
      <w:pPr>
        <w:snapToGrid w:val="0"/>
        <w:spacing w:line="480" w:lineRule="auto"/>
        <w:ind w:firstLine="837" w:firstLineChars="279"/>
        <w:rPr>
          <w:rFonts w:hint="eastAsia" w:ascii="宋体" w:hAnsi="宋体" w:eastAsia="宋体" w:cs="宋体"/>
          <w:bCs/>
          <w:sz w:val="30"/>
          <w:szCs w:val="30"/>
          <w:highlight w:val="none"/>
          <w:lang w:eastAsia="zh-CN"/>
        </w:rPr>
      </w:pPr>
      <w:r>
        <w:rPr>
          <w:rFonts w:hint="eastAsia" w:ascii="宋体" w:hAnsi="宋体" w:eastAsia="宋体" w:cs="宋体"/>
          <w:bCs/>
          <w:sz w:val="30"/>
          <w:szCs w:val="30"/>
          <w:highlight w:val="none"/>
        </w:rPr>
        <w:t>采购代理机构：</w:t>
      </w:r>
      <w:r>
        <w:rPr>
          <w:rFonts w:hint="eastAsia" w:ascii="宋体" w:hAnsi="宋体" w:eastAsia="宋体" w:cs="宋体"/>
          <w:bCs/>
          <w:sz w:val="30"/>
          <w:szCs w:val="30"/>
          <w:highlight w:val="none"/>
          <w:lang w:eastAsia="zh-CN"/>
        </w:rPr>
        <w:t>江苏达瑞德工程管理咨询有限公司</w:t>
      </w:r>
    </w:p>
    <w:p>
      <w:pPr>
        <w:snapToGrid w:val="0"/>
        <w:spacing w:line="480" w:lineRule="auto"/>
        <w:ind w:firstLine="837" w:firstLineChars="279"/>
        <w:rPr>
          <w:rFonts w:hint="eastAsia" w:ascii="宋体" w:hAnsi="宋体" w:eastAsia="宋体" w:cs="宋体"/>
          <w:bCs/>
          <w:sz w:val="30"/>
          <w:szCs w:val="30"/>
          <w:highlight w:val="none"/>
        </w:rPr>
      </w:pPr>
    </w:p>
    <w:p>
      <w:pPr>
        <w:spacing w:line="360" w:lineRule="auto"/>
        <w:jc w:val="center"/>
        <w:rPr>
          <w:rFonts w:hint="eastAsia" w:ascii="宋体" w:hAnsi="宋体" w:eastAsia="宋体" w:cs="宋体"/>
          <w:bCs/>
          <w:sz w:val="44"/>
          <w:szCs w:val="44"/>
          <w:highlight w:val="none"/>
        </w:rPr>
      </w:pPr>
      <w:r>
        <w:rPr>
          <w:rFonts w:hint="eastAsia" w:ascii="宋体" w:hAnsi="宋体" w:eastAsia="宋体" w:cs="宋体"/>
          <w:bCs/>
          <w:sz w:val="44"/>
          <w:szCs w:val="44"/>
          <w:highlight w:val="none"/>
        </w:rPr>
        <w:t>202</w:t>
      </w:r>
      <w:r>
        <w:rPr>
          <w:rFonts w:hint="eastAsia" w:ascii="宋体" w:hAnsi="宋体" w:eastAsia="宋体" w:cs="宋体"/>
          <w:bCs/>
          <w:sz w:val="44"/>
          <w:szCs w:val="44"/>
          <w:highlight w:val="none"/>
          <w:lang w:val="en-US" w:eastAsia="zh-CN"/>
        </w:rPr>
        <w:t>2</w:t>
      </w:r>
      <w:r>
        <w:rPr>
          <w:rFonts w:hint="eastAsia" w:ascii="宋体" w:hAnsi="宋体" w:eastAsia="宋体" w:cs="宋体"/>
          <w:bCs/>
          <w:sz w:val="44"/>
          <w:szCs w:val="44"/>
          <w:highlight w:val="none"/>
        </w:rPr>
        <w:t>年</w:t>
      </w:r>
      <w:r>
        <w:rPr>
          <w:rFonts w:hint="eastAsia" w:ascii="宋体" w:hAnsi="宋体" w:eastAsia="宋体" w:cs="宋体"/>
          <w:bCs/>
          <w:sz w:val="44"/>
          <w:szCs w:val="44"/>
          <w:highlight w:val="none"/>
          <w:lang w:val="en-US" w:eastAsia="zh-CN"/>
        </w:rPr>
        <w:t>07</w:t>
      </w:r>
      <w:r>
        <w:rPr>
          <w:rFonts w:hint="eastAsia" w:ascii="宋体" w:hAnsi="宋体" w:eastAsia="宋体" w:cs="宋体"/>
          <w:bCs/>
          <w:sz w:val="44"/>
          <w:szCs w:val="44"/>
          <w:highlight w:val="none"/>
        </w:rPr>
        <w:t>月</w:t>
      </w:r>
    </w:p>
    <w:p>
      <w:pPr>
        <w:bidi w:val="0"/>
        <w:jc w:val="center"/>
        <w:rPr>
          <w:rFonts w:hint="eastAsia"/>
          <w:sz w:val="48"/>
          <w:szCs w:val="48"/>
        </w:rPr>
      </w:pPr>
    </w:p>
    <w:p>
      <w:pPr>
        <w:bidi w:val="0"/>
        <w:jc w:val="center"/>
        <w:rPr>
          <w:rFonts w:hint="eastAsia"/>
          <w:sz w:val="48"/>
          <w:szCs w:val="48"/>
        </w:rPr>
      </w:pPr>
      <w:r>
        <w:rPr>
          <w:rFonts w:hint="eastAsia"/>
          <w:sz w:val="48"/>
          <w:szCs w:val="48"/>
        </w:rPr>
        <w:t>目   录</w:t>
      </w:r>
    </w:p>
    <w:p>
      <w:pPr>
        <w:spacing w:line="360" w:lineRule="auto"/>
        <w:jc w:val="center"/>
        <w:rPr>
          <w:rFonts w:hint="eastAsia" w:hAnsi="宋体" w:cs="宋体"/>
          <w:bCs/>
          <w:sz w:val="30"/>
          <w:highlight w:val="none"/>
        </w:rPr>
      </w:pPr>
    </w:p>
    <w:p>
      <w:pPr>
        <w:spacing w:line="720" w:lineRule="auto"/>
        <w:ind w:firstLine="630" w:firstLineChars="210"/>
        <w:rPr>
          <w:rFonts w:hint="eastAsia" w:hAnsi="宋体" w:cs="宋体"/>
          <w:bCs/>
          <w:sz w:val="30"/>
          <w:szCs w:val="30"/>
          <w:highlight w:val="none"/>
        </w:rPr>
      </w:pPr>
      <w:r>
        <w:rPr>
          <w:rFonts w:hint="eastAsia" w:hAnsi="宋体" w:cs="宋体"/>
          <w:bCs/>
          <w:sz w:val="30"/>
          <w:szCs w:val="30"/>
          <w:highlight w:val="none"/>
        </w:rPr>
        <w:t>一．</w:t>
      </w:r>
      <w:bookmarkStart w:id="1" w:name="_Hlt529243434"/>
      <w:bookmarkEnd w:id="1"/>
      <w:r>
        <w:rPr>
          <w:rFonts w:hint="eastAsia" w:hAnsi="宋体" w:cs="宋体"/>
          <w:bCs/>
          <w:sz w:val="30"/>
          <w:szCs w:val="30"/>
          <w:highlight w:val="none"/>
          <w:lang w:val="en-US" w:eastAsia="zh-CN"/>
        </w:rPr>
        <w:t>磋商</w:t>
      </w:r>
      <w:r>
        <w:rPr>
          <w:rFonts w:hint="eastAsia" w:hAnsi="宋体" w:cs="宋体"/>
          <w:bCs/>
          <w:sz w:val="30"/>
          <w:szCs w:val="30"/>
          <w:highlight w:val="none"/>
        </w:rPr>
        <w:t>邀请</w:t>
      </w:r>
    </w:p>
    <w:p>
      <w:pPr>
        <w:spacing w:line="720" w:lineRule="auto"/>
        <w:ind w:firstLine="630" w:firstLineChars="210"/>
        <w:rPr>
          <w:rFonts w:hint="eastAsia" w:hAnsi="宋体" w:cs="宋体"/>
          <w:bCs/>
          <w:sz w:val="30"/>
          <w:szCs w:val="30"/>
          <w:highlight w:val="none"/>
        </w:rPr>
      </w:pPr>
      <w:r>
        <w:rPr>
          <w:rFonts w:hint="eastAsia" w:hAnsi="宋体" w:cs="宋体"/>
          <w:bCs/>
          <w:sz w:val="30"/>
          <w:szCs w:val="30"/>
          <w:highlight w:val="none"/>
        </w:rPr>
        <w:t>二．</w:t>
      </w:r>
      <w:r>
        <w:rPr>
          <w:rFonts w:hint="eastAsia" w:hAnsi="宋体" w:cs="宋体"/>
          <w:bCs/>
          <w:sz w:val="30"/>
          <w:szCs w:val="30"/>
          <w:highlight w:val="none"/>
          <w:lang w:eastAsia="zh-CN"/>
        </w:rPr>
        <w:t>供应商</w:t>
      </w:r>
      <w:r>
        <w:rPr>
          <w:rFonts w:hint="eastAsia" w:hAnsi="宋体" w:cs="宋体"/>
          <w:bCs/>
          <w:sz w:val="30"/>
          <w:szCs w:val="30"/>
          <w:highlight w:val="none"/>
        </w:rPr>
        <w:t>须知</w:t>
      </w:r>
    </w:p>
    <w:p>
      <w:pPr>
        <w:spacing w:line="720" w:lineRule="auto"/>
        <w:ind w:firstLine="630" w:firstLineChars="210"/>
        <w:rPr>
          <w:rFonts w:hint="eastAsia" w:hAnsi="宋体" w:cs="宋体"/>
          <w:bCs/>
          <w:sz w:val="30"/>
          <w:szCs w:val="30"/>
          <w:highlight w:val="none"/>
        </w:rPr>
      </w:pPr>
      <w:r>
        <w:rPr>
          <w:rFonts w:hint="eastAsia" w:hAnsi="宋体" w:cs="宋体"/>
          <w:bCs/>
          <w:sz w:val="30"/>
          <w:szCs w:val="30"/>
          <w:highlight w:val="none"/>
        </w:rPr>
        <w:t>三．采购需求</w:t>
      </w:r>
    </w:p>
    <w:p>
      <w:pPr>
        <w:spacing w:line="720" w:lineRule="auto"/>
        <w:ind w:firstLine="630" w:firstLineChars="210"/>
        <w:rPr>
          <w:rFonts w:hint="eastAsia" w:hAnsi="宋体" w:cs="宋体"/>
          <w:bCs/>
          <w:sz w:val="30"/>
          <w:szCs w:val="30"/>
          <w:highlight w:val="none"/>
        </w:rPr>
      </w:pPr>
      <w:r>
        <w:rPr>
          <w:rFonts w:hint="eastAsia" w:hAnsi="宋体" w:cs="宋体"/>
          <w:bCs/>
          <w:sz w:val="30"/>
          <w:szCs w:val="30"/>
          <w:highlight w:val="none"/>
        </w:rPr>
        <w:t>四. 合同书（格式文本）</w:t>
      </w:r>
    </w:p>
    <w:p>
      <w:pPr>
        <w:spacing w:line="720" w:lineRule="auto"/>
        <w:ind w:firstLine="630" w:firstLineChars="210"/>
        <w:rPr>
          <w:rFonts w:hint="eastAsia" w:hAnsi="宋体" w:cs="宋体"/>
          <w:bCs/>
          <w:sz w:val="30"/>
          <w:szCs w:val="30"/>
          <w:highlight w:val="none"/>
        </w:rPr>
      </w:pPr>
      <w:r>
        <w:rPr>
          <w:rFonts w:hint="eastAsia" w:hAnsi="宋体" w:cs="宋体"/>
          <w:bCs/>
          <w:sz w:val="30"/>
          <w:szCs w:val="30"/>
          <w:highlight w:val="none"/>
          <w:lang w:val="en-US" w:eastAsia="zh-CN"/>
        </w:rPr>
        <w:t>五</w:t>
      </w:r>
      <w:r>
        <w:rPr>
          <w:rFonts w:hint="eastAsia" w:hAnsi="宋体" w:cs="宋体"/>
          <w:bCs/>
          <w:sz w:val="30"/>
          <w:szCs w:val="30"/>
          <w:highlight w:val="none"/>
        </w:rPr>
        <w:t>. 附件（响应文件格式）</w:t>
      </w:r>
    </w:p>
    <w:p>
      <w:pPr>
        <w:spacing w:line="720" w:lineRule="auto"/>
        <w:ind w:firstLine="588" w:firstLineChars="210"/>
        <w:rPr>
          <w:rFonts w:hint="eastAsia" w:hAnsi="宋体" w:cs="宋体"/>
          <w:bCs/>
          <w:sz w:val="28"/>
          <w:szCs w:val="28"/>
          <w:highlight w:val="none"/>
        </w:rPr>
      </w:pPr>
    </w:p>
    <w:p>
      <w:pPr>
        <w:widowControl/>
        <w:topLinePunct/>
        <w:snapToGrid w:val="0"/>
        <w:spacing w:line="360" w:lineRule="auto"/>
        <w:rPr>
          <w:rFonts w:hint="eastAsia" w:hAnsi="宋体" w:cs="宋体"/>
          <w:b/>
          <w:sz w:val="24"/>
          <w:highlight w:val="none"/>
        </w:rPr>
      </w:pPr>
    </w:p>
    <w:p>
      <w:pPr>
        <w:widowControl/>
        <w:topLinePunct/>
        <w:snapToGrid w:val="0"/>
        <w:spacing w:line="360" w:lineRule="auto"/>
        <w:rPr>
          <w:rFonts w:hint="eastAsia" w:hAnsi="宋体" w:cs="宋体"/>
          <w:b/>
          <w:sz w:val="24"/>
          <w:highlight w:val="none"/>
        </w:rPr>
      </w:pPr>
    </w:p>
    <w:p>
      <w:pPr>
        <w:widowControl/>
        <w:topLinePunct/>
        <w:snapToGrid w:val="0"/>
        <w:spacing w:line="360" w:lineRule="auto"/>
        <w:rPr>
          <w:rFonts w:hint="eastAsia" w:hAnsi="宋体" w:cs="宋体"/>
          <w:b/>
          <w:sz w:val="24"/>
          <w:highlight w:val="none"/>
        </w:rPr>
      </w:pPr>
    </w:p>
    <w:p>
      <w:pPr>
        <w:widowControl/>
        <w:topLinePunct/>
        <w:snapToGrid w:val="0"/>
        <w:spacing w:line="360" w:lineRule="auto"/>
        <w:rPr>
          <w:rFonts w:hint="eastAsia" w:hAnsi="宋体" w:cs="宋体"/>
          <w:b/>
          <w:sz w:val="24"/>
          <w:highlight w:val="none"/>
        </w:rPr>
      </w:pPr>
    </w:p>
    <w:p>
      <w:pPr>
        <w:widowControl/>
        <w:topLinePunct/>
        <w:snapToGrid w:val="0"/>
        <w:spacing w:line="360" w:lineRule="auto"/>
        <w:rPr>
          <w:rFonts w:hint="eastAsia" w:hAnsi="宋体" w:cs="宋体"/>
          <w:b/>
          <w:sz w:val="24"/>
          <w:highlight w:val="none"/>
        </w:rPr>
      </w:pPr>
    </w:p>
    <w:p>
      <w:pPr>
        <w:widowControl/>
        <w:topLinePunct/>
        <w:spacing w:before="470" w:line="360" w:lineRule="auto"/>
        <w:rPr>
          <w:rFonts w:hint="eastAsia" w:hAnsi="宋体" w:cs="宋体"/>
          <w:b/>
          <w:sz w:val="24"/>
          <w:highlight w:val="none"/>
        </w:rPr>
      </w:pPr>
    </w:p>
    <w:p>
      <w:pPr>
        <w:adjustRightInd w:val="0"/>
        <w:snapToGrid w:val="0"/>
        <w:spacing w:line="360" w:lineRule="auto"/>
        <w:jc w:val="center"/>
        <w:rPr>
          <w:rFonts w:hint="eastAsia" w:ascii="宋体" w:hAnsi="宋体" w:eastAsia="宋体" w:cs="宋体"/>
          <w:b/>
          <w:bCs/>
          <w:sz w:val="24"/>
          <w:szCs w:val="24"/>
          <w:highlight w:val="none"/>
        </w:rPr>
      </w:pPr>
      <w:r>
        <w:rPr>
          <w:rFonts w:hint="eastAsia" w:hAnsi="宋体" w:cs="宋体"/>
          <w:b/>
          <w:sz w:val="24"/>
          <w:highlight w:val="none"/>
        </w:rPr>
        <w:br w:type="page"/>
      </w: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邀请</w:t>
      </w:r>
    </w:p>
    <w:p>
      <w:pPr>
        <w:snapToGri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u w:val="single"/>
          <w:lang w:eastAsia="zh-CN"/>
        </w:rPr>
        <w:t>江苏达瑞德工程管理咨询有限公司</w:t>
      </w:r>
      <w:r>
        <w:rPr>
          <w:rFonts w:hint="eastAsia" w:ascii="宋体" w:hAnsi="宋体" w:eastAsia="宋体" w:cs="宋体"/>
          <w:bCs/>
          <w:sz w:val="24"/>
          <w:szCs w:val="24"/>
          <w:highlight w:val="none"/>
        </w:rPr>
        <w:t>受</w:t>
      </w:r>
      <w:r>
        <w:rPr>
          <w:rFonts w:hint="eastAsia" w:ascii="宋体" w:hAnsi="宋体" w:eastAsia="宋体" w:cs="宋体"/>
          <w:bCs/>
          <w:sz w:val="24"/>
          <w:szCs w:val="24"/>
          <w:highlight w:val="none"/>
          <w:u w:val="single"/>
          <w:lang w:eastAsia="zh-CN"/>
        </w:rPr>
        <w:t>无锡市新吴区人民政府旺庄街道办事处</w:t>
      </w:r>
      <w:r>
        <w:rPr>
          <w:rFonts w:hint="eastAsia" w:ascii="宋体" w:hAnsi="宋体" w:eastAsia="宋体" w:cs="宋体"/>
          <w:bCs/>
          <w:sz w:val="24"/>
          <w:szCs w:val="24"/>
          <w:highlight w:val="none"/>
        </w:rPr>
        <w:t>的委托，对其</w:t>
      </w:r>
      <w:r>
        <w:rPr>
          <w:rFonts w:hint="eastAsia" w:ascii="宋体" w:hAnsi="宋体" w:eastAsia="宋体" w:cs="宋体"/>
          <w:bCs/>
          <w:sz w:val="24"/>
          <w:szCs w:val="24"/>
          <w:highlight w:val="none"/>
          <w:u w:val="single"/>
          <w:lang w:eastAsia="zh-CN"/>
        </w:rPr>
        <w:t>无锡市新吴区旺庄街道2022年老年人家庭适老化改造服务项目</w:t>
      </w:r>
      <w:r>
        <w:rPr>
          <w:rFonts w:hint="eastAsia" w:ascii="宋体" w:hAnsi="宋体" w:eastAsia="宋体" w:cs="宋体"/>
          <w:bCs/>
          <w:sz w:val="24"/>
          <w:szCs w:val="24"/>
          <w:highlight w:val="none"/>
        </w:rPr>
        <w:t>进行</w:t>
      </w:r>
      <w:r>
        <w:rPr>
          <w:rFonts w:hint="eastAsia" w:ascii="宋体" w:hAnsi="宋体" w:eastAsia="宋体" w:cs="宋体"/>
          <w:bCs/>
          <w:sz w:val="24"/>
          <w:szCs w:val="24"/>
          <w:highlight w:val="none"/>
          <w:lang w:val="en-US" w:eastAsia="zh-CN"/>
        </w:rPr>
        <w:t>竞争性磋商</w:t>
      </w:r>
      <w:r>
        <w:rPr>
          <w:rFonts w:hint="eastAsia" w:ascii="宋体" w:hAnsi="宋体" w:eastAsia="宋体" w:cs="宋体"/>
          <w:bCs/>
          <w:sz w:val="24"/>
          <w:szCs w:val="24"/>
          <w:highlight w:val="none"/>
        </w:rPr>
        <w:t>，欢迎你单位参加</w:t>
      </w:r>
      <w:r>
        <w:rPr>
          <w:rFonts w:hint="eastAsia" w:ascii="宋体" w:hAnsi="宋体" w:eastAsia="宋体" w:cs="宋体"/>
          <w:bCs/>
          <w:sz w:val="24"/>
          <w:szCs w:val="24"/>
          <w:highlight w:val="none"/>
          <w:lang w:val="en-US" w:eastAsia="zh-CN"/>
        </w:rPr>
        <w:t>磋商</w:t>
      </w:r>
      <w:r>
        <w:rPr>
          <w:rFonts w:hint="eastAsia" w:ascii="宋体" w:hAnsi="宋体" w:eastAsia="宋体" w:cs="宋体"/>
          <w:bCs/>
          <w:sz w:val="24"/>
          <w:szCs w:val="24"/>
          <w:highlight w:val="none"/>
        </w:rPr>
        <w:t>并提请注意下列附表中的相关事项：</w:t>
      </w:r>
    </w:p>
    <w:tbl>
      <w:tblPr>
        <w:tblStyle w:val="10"/>
        <w:tblW w:w="89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5" w:type="dxa"/>
            <w:noWrap w:val="0"/>
            <w:vAlign w:val="top"/>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序号</w:t>
            </w:r>
          </w:p>
        </w:tc>
        <w:tc>
          <w:tcPr>
            <w:tcW w:w="8178" w:type="dxa"/>
            <w:noWrap w:val="0"/>
            <w:vAlign w:val="top"/>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1</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lang w:eastAsia="zh-CN"/>
              </w:rPr>
            </w:pPr>
            <w:r>
              <w:rPr>
                <w:rFonts w:hint="eastAsia" w:ascii="宋体" w:hAnsi="宋体" w:eastAsia="宋体" w:cs="宋体"/>
                <w:bCs/>
                <w:sz w:val="24"/>
                <w:highlight w:val="none"/>
              </w:rPr>
              <w:t>采购项目名称：</w:t>
            </w:r>
            <w:r>
              <w:rPr>
                <w:rFonts w:hint="eastAsia" w:ascii="宋体" w:hAnsi="宋体" w:eastAsia="宋体" w:cs="宋体"/>
                <w:bCs/>
                <w:sz w:val="24"/>
                <w:highlight w:val="none"/>
                <w:lang w:eastAsia="zh-CN"/>
              </w:rPr>
              <w:t>无锡市新吴区旺庄街道2022年老年人家庭适老化改造服务项目</w:t>
            </w:r>
          </w:p>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政府采购编号：</w:t>
            </w:r>
            <w:r>
              <w:rPr>
                <w:rFonts w:hint="eastAsia" w:ascii="宋体" w:hAnsi="宋体" w:eastAsia="宋体" w:cs="宋体"/>
                <w:sz w:val="24"/>
                <w:highlight w:val="none"/>
                <w:lang w:eastAsia="zh-CN"/>
              </w:rPr>
              <w:t>JSDRDCG202205</w:t>
            </w:r>
          </w:p>
          <w:p>
            <w:pPr>
              <w:adjustRightInd w:val="0"/>
              <w:snapToGrid w:val="0"/>
              <w:spacing w:line="360" w:lineRule="auto"/>
              <w:jc w:val="both"/>
              <w:rPr>
                <w:rFonts w:hint="eastAsia" w:ascii="宋体" w:hAnsi="宋体" w:eastAsia="宋体" w:cs="宋体"/>
                <w:bCs/>
                <w:sz w:val="24"/>
                <w:highlight w:val="none"/>
                <w:lang w:eastAsia="zh-CN"/>
              </w:rPr>
            </w:pPr>
            <w:r>
              <w:rPr>
                <w:rFonts w:hint="eastAsia" w:ascii="宋体" w:hAnsi="宋体" w:eastAsia="宋体" w:cs="宋体"/>
                <w:bCs/>
                <w:sz w:val="24"/>
                <w:highlight w:val="none"/>
              </w:rPr>
              <w:t>采   购   人：</w:t>
            </w:r>
            <w:r>
              <w:rPr>
                <w:rFonts w:hint="eastAsia" w:ascii="宋体" w:hAnsi="宋体" w:eastAsia="宋体" w:cs="宋体"/>
                <w:bCs/>
                <w:sz w:val="24"/>
                <w:highlight w:val="none"/>
                <w:lang w:eastAsia="zh-CN"/>
              </w:rPr>
              <w:t>无锡市新吴区人民政府旺庄街道办事处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2</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lang w:eastAsia="zh-CN"/>
              </w:rPr>
            </w:pPr>
            <w:r>
              <w:rPr>
                <w:rFonts w:hint="eastAsia" w:ascii="宋体" w:hAnsi="宋体" w:eastAsia="宋体" w:cs="宋体"/>
                <w:bCs/>
                <w:sz w:val="24"/>
                <w:highlight w:val="none"/>
              </w:rPr>
              <w:t>采购代理机构：</w:t>
            </w:r>
            <w:r>
              <w:rPr>
                <w:rFonts w:hint="eastAsia" w:ascii="宋体" w:hAnsi="宋体" w:eastAsia="宋体" w:cs="宋体"/>
                <w:bCs/>
                <w:sz w:val="24"/>
                <w:highlight w:val="none"/>
                <w:lang w:eastAsia="zh-CN"/>
              </w:rPr>
              <w:t>江苏达瑞德工程管理咨询有限公司</w:t>
            </w:r>
          </w:p>
          <w:p>
            <w:pPr>
              <w:adjustRightInd w:val="0"/>
              <w:snapToGrid w:val="0"/>
              <w:spacing w:line="360" w:lineRule="auto"/>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rPr>
              <w:t>地        址：</w:t>
            </w:r>
            <w:r>
              <w:rPr>
                <w:rFonts w:hint="eastAsia" w:ascii="宋体" w:hAnsi="宋体" w:eastAsia="宋体" w:cs="宋体"/>
                <w:bCs/>
                <w:sz w:val="24"/>
                <w:highlight w:val="none"/>
                <w:lang w:eastAsia="zh-CN"/>
              </w:rPr>
              <w:t>无锡市梁溪区清扬路99号数码大厦516-517室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3</w:t>
            </w:r>
          </w:p>
        </w:tc>
        <w:tc>
          <w:tcPr>
            <w:tcW w:w="8178" w:type="dxa"/>
            <w:noWrap w:val="0"/>
            <w:vAlign w:val="center"/>
          </w:tcPr>
          <w:p>
            <w:pPr>
              <w:adjustRightInd w:val="0"/>
              <w:snapToGrid w:val="0"/>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项目概况：为积极应对人口老龄化态势，进一步健全完善新吴区养老服务体系，提升老年人的生活自理能力和居家生活品质，促进养老服务消费升级，无锡市新吴区旺庄街道办事处拟在全街道范围内实施老年人家庭适老化改造服务项目，通过对老年人家庭生活环境评估和智慧化+适老化设备改造，改善老年人的居家生活环境，缓解老年人因生理机能退化导致的生活不适应，有效提升老年人的幸福感、获得感、安全感。旺庄街道政府兜底保障对象约40户，补贴标准上限不超8000元/每户；基础改造服务对象约2000户，补贴标准上限不超1000元/每户（免费基础产品服务包）；</w:t>
            </w:r>
          </w:p>
          <w:p>
            <w:pPr>
              <w:adjustRightInd w:val="0"/>
              <w:snapToGrid w:val="0"/>
              <w:spacing w:line="360" w:lineRule="auto"/>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sz w:val="24"/>
                <w:highlight w:val="none"/>
              </w:rPr>
              <w:t>质量要求：</w:t>
            </w:r>
            <w:r>
              <w:rPr>
                <w:rFonts w:hint="eastAsia" w:ascii="宋体" w:hAnsi="宋体" w:eastAsia="宋体" w:cs="宋体"/>
                <w:bCs/>
                <w:color w:val="auto"/>
                <w:sz w:val="24"/>
                <w:szCs w:val="24"/>
                <w:highlight w:val="none"/>
              </w:rPr>
              <w:t>符合无锡市困难老年人家庭适老化改造要求，100%合格</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质保维护期自验收合格起不低于2年。</w:t>
            </w:r>
          </w:p>
          <w:p>
            <w:pPr>
              <w:adjustRightInd w:val="0"/>
              <w:snapToGrid w:val="0"/>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采购预算：232万元。</w:t>
            </w:r>
          </w:p>
          <w:p>
            <w:pPr>
              <w:adjustRightInd w:val="0"/>
              <w:snapToGrid w:val="0"/>
              <w:spacing w:line="360" w:lineRule="auto"/>
              <w:jc w:val="both"/>
              <w:rPr>
                <w:rFonts w:hint="eastAsia" w:ascii="宋体" w:hAnsi="宋体" w:eastAsia="宋体" w:cs="宋体"/>
                <w:color w:val="0000FF"/>
                <w:sz w:val="24"/>
                <w:highlight w:val="none"/>
                <w:lang w:val="en-US" w:eastAsia="zh-CN"/>
              </w:rPr>
            </w:pPr>
            <w:r>
              <w:rPr>
                <w:rFonts w:hint="eastAsia" w:ascii="宋体" w:hAnsi="宋体" w:eastAsia="宋体" w:cs="宋体"/>
                <w:color w:val="0000FF"/>
                <w:sz w:val="24"/>
                <w:highlight w:val="none"/>
                <w:lang w:val="en-US" w:eastAsia="zh-CN"/>
              </w:rPr>
              <w:t>最高限价：232万元。</w:t>
            </w:r>
          </w:p>
          <w:p>
            <w:pPr>
              <w:adjustRightInd w:val="0"/>
              <w:snapToGrid w:val="0"/>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本项目是否专门面向中小企业：是。</w:t>
            </w:r>
          </w:p>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sz w:val="24"/>
                <w:highlight w:val="none"/>
              </w:rPr>
              <w:t>本项目所属行业类型：其他未列明行业。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4</w:t>
            </w:r>
          </w:p>
        </w:tc>
        <w:tc>
          <w:tcPr>
            <w:tcW w:w="8178" w:type="dxa"/>
            <w:noWrap w:val="0"/>
            <w:vAlign w:val="center"/>
          </w:tcPr>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参加本次政府采购活动除应当符合《中华人民共和国政府采购法》第二十二条的规定外，还必须具备以下条件：</w:t>
            </w:r>
          </w:p>
          <w:p>
            <w:pPr>
              <w:numPr>
                <w:ilvl w:val="0"/>
                <w:numId w:val="0"/>
              </w:numPr>
              <w:adjustRightInd w:val="0"/>
              <w:snapToGrid w:val="0"/>
              <w:spacing w:line="360" w:lineRule="auto"/>
              <w:jc w:val="both"/>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供应商应为中国大陆境内合法注册的独立企、事业法人单位</w:t>
            </w:r>
            <w:r>
              <w:rPr>
                <w:rFonts w:hint="eastAsia" w:ascii="宋体" w:hAnsi="宋体" w:eastAsia="宋体" w:cs="宋体"/>
                <w:sz w:val="24"/>
                <w:highlight w:val="none"/>
                <w:lang w:eastAsia="zh-CN"/>
              </w:rPr>
              <w:t>；</w:t>
            </w:r>
          </w:p>
          <w:p>
            <w:pPr>
              <w:numPr>
                <w:ilvl w:val="0"/>
                <w:numId w:val="0"/>
              </w:numPr>
              <w:adjustRightInd w:val="0"/>
              <w:snapToGrid w:val="0"/>
              <w:spacing w:line="360" w:lineRule="auto"/>
              <w:ind w:leftChars="0"/>
              <w:jc w:val="both"/>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未被“信用中国”（</w:t>
            </w: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HYPERLINK "http://www.creditchina.gov.cn"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www.creditchina.gov.cn</w:t>
            </w:r>
            <w:r>
              <w:rPr>
                <w:rFonts w:hint="eastAsia" w:ascii="宋体" w:hAnsi="宋体" w:eastAsia="宋体" w:cs="宋体"/>
                <w:sz w:val="24"/>
                <w:highlight w:val="none"/>
              </w:rPr>
              <w:fldChar w:fldCharType="end"/>
            </w:r>
            <w:r>
              <w:rPr>
                <w:rFonts w:hint="eastAsia" w:ascii="宋体" w:hAnsi="宋体" w:eastAsia="宋体" w:cs="宋体"/>
                <w:sz w:val="24"/>
                <w:highlight w:val="none"/>
              </w:rPr>
              <w:t>）、中国政府采购网（</w:t>
            </w: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HYPERLINK "http://www.ccgp.gov.cn"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www.ccgp.gov.cn</w:t>
            </w:r>
            <w:r>
              <w:rPr>
                <w:rFonts w:hint="eastAsia" w:ascii="宋体" w:hAnsi="宋体" w:eastAsia="宋体" w:cs="宋体"/>
                <w:sz w:val="24"/>
                <w:highlight w:val="none"/>
              </w:rPr>
              <w:fldChar w:fldCharType="end"/>
            </w:r>
            <w:r>
              <w:rPr>
                <w:rFonts w:hint="eastAsia" w:ascii="宋体" w:hAnsi="宋体" w:eastAsia="宋体" w:cs="宋体"/>
                <w:sz w:val="24"/>
                <w:highlight w:val="none"/>
              </w:rPr>
              <w:t>）列入失信被执行人、重大税收违法案件当事人名单、政府采购严重违法失信行为记录名单；</w:t>
            </w:r>
          </w:p>
          <w:p>
            <w:pPr>
              <w:numPr>
                <w:ilvl w:val="0"/>
                <w:numId w:val="0"/>
              </w:numPr>
              <w:adjustRightInd w:val="0"/>
              <w:snapToGrid w:val="0"/>
              <w:spacing w:line="360" w:lineRule="auto"/>
              <w:ind w:leftChars="0"/>
              <w:jc w:val="both"/>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、本项目不接受联合体。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5</w:t>
            </w:r>
          </w:p>
        </w:tc>
        <w:tc>
          <w:tcPr>
            <w:tcW w:w="8178" w:type="dxa"/>
            <w:noWrap w:val="0"/>
            <w:vAlign w:val="center"/>
          </w:tcPr>
          <w:p>
            <w:pPr>
              <w:adjustRightInd w:val="0"/>
              <w:snapToGrid w:val="0"/>
              <w:spacing w:line="360" w:lineRule="auto"/>
              <w:jc w:val="both"/>
              <w:rPr>
                <w:rFonts w:hint="eastAsia" w:ascii="宋体" w:hAnsi="宋体" w:eastAsia="宋体" w:cs="宋体"/>
                <w:sz w:val="24"/>
                <w:highlight w:val="none"/>
                <w:lang w:eastAsia="zh-CN"/>
              </w:rPr>
            </w:pP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文件提供期限：</w:t>
            </w:r>
            <w:r>
              <w:rPr>
                <w:rFonts w:hint="eastAsia" w:ascii="宋体" w:hAnsi="宋体" w:eastAsia="宋体" w:cs="宋体"/>
                <w:sz w:val="24"/>
                <w:highlight w:val="none"/>
              </w:rPr>
              <w:t>公告发布之日起五个工作日内（法定假日休息）</w:t>
            </w:r>
            <w:r>
              <w:rPr>
                <w:rFonts w:hint="eastAsia" w:ascii="宋体" w:hAnsi="宋体" w:eastAsia="宋体" w:cs="宋体"/>
                <w:sz w:val="24"/>
                <w:highlight w:val="none"/>
                <w:lang w:eastAsia="zh-CN"/>
              </w:rPr>
              <w:t>。</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供应商主体信息库注册：</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1.请有意参加本项目的供应商按以下流程进行操作：</w:t>
            </w:r>
          </w:p>
          <w:p>
            <w:pPr>
              <w:adjustRightInd w:val="0"/>
              <w:snapToGrid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1）访问“无锡政府采购网”点击“政府采购交易管理一体化系统”——“商家入驻”按钮进入注册界面，选择对应地区进行账号注册并填写申请信息，也可以直接通过http://middle.wuxi.zcygov.cn/v-settle-front/registry进入注册界面。</w:t>
            </w:r>
          </w:p>
          <w:p>
            <w:pPr>
              <w:adjustRightInd w:val="0"/>
              <w:snapToGrid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（2）领取CA（办理地址：观山路199号市民中心12号楼1楼CA窗口）和办理电子签章（办理地址：观山路199号市民中心12号楼2楼2号窗口），（原已办理过CA进行过电子投标的供应商可不重复申领）。</w:t>
            </w:r>
          </w:p>
          <w:p>
            <w:pPr>
              <w:adjustRightInd w:val="0"/>
              <w:snapToGrid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（3）客户端下载链接：</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 xml:space="preserve">https://zcy-cdn.oss-cn-shanghai.aliyuncs.com/zcy-client/bidding-client/wuxi/ZhengCaiYunStep.3.11.7.exe </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（4）CA驱动下载链接（江苏省-国信CA驱动）：</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 xml:space="preserve">https://customer.zcygov.cn/CA-driver-download?utm=web-login-front.509b3709.0.0.004ab15096ee11ebbc33f5d151e70834 </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技术服务电话：4008817190（服务时间：工作日8:00-20:00）</w:t>
            </w:r>
          </w:p>
          <w:p>
            <w:pPr>
              <w:adjustRightInd w:val="0"/>
              <w:snapToGrid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在领取CA和办理电子签章前务必前往“无锡政府采购网”“供应商信息库”（网址：https://cz.wuxi.zcygov.cn/wxCategory19/wxCategory125/index.html?utm=sites_group_front.5b1ba037.0.0.959ae250ca6711ebb0349920799faebc）查询是否完成注册登记。</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完成注册的供应商方可领取CA和办理电子签章，登录政采云平台，插入CA后，点击【我的工作台】——页面右上方【CA管理】--【绑定CA】，方可进行</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3.如</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未按上述要求操作，由此所产生的损失及风险</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自行承担。在“供应商信息库”中无法查询的</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评审小组</w:t>
            </w:r>
            <w:r>
              <w:rPr>
                <w:rFonts w:hint="eastAsia" w:ascii="宋体" w:hAnsi="宋体" w:eastAsia="宋体" w:cs="宋体"/>
                <w:sz w:val="24"/>
                <w:highlight w:val="none"/>
              </w:rPr>
              <w:t>审查其</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截止时间前提交的未审核资料。</w:t>
            </w:r>
          </w:p>
          <w:p>
            <w:pPr>
              <w:adjustRightInd w:val="0"/>
              <w:snapToGrid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4.本次采购采用《无锡市政府采购交易管理一体化系统》进行</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活动，</w:t>
            </w:r>
            <w:r>
              <w:rPr>
                <w:rFonts w:hint="eastAsia" w:ascii="宋体" w:hAnsi="宋体" w:eastAsia="宋体" w:cs="宋体"/>
                <w:sz w:val="24"/>
                <w:highlight w:val="none"/>
                <w:lang w:val="en-US" w:eastAsia="zh-CN"/>
              </w:rPr>
              <w:t>信息</w:t>
            </w:r>
            <w:r>
              <w:rPr>
                <w:rFonts w:hint="eastAsia" w:ascii="宋体" w:hAnsi="宋体" w:eastAsia="宋体" w:cs="宋体"/>
                <w:sz w:val="24"/>
                <w:highlight w:val="none"/>
              </w:rPr>
              <w:t>发布全程电子化。相关操作流程供应商可前往无锡政府采购网----办事指南----政府采购流程----《无锡市政府采购交易管理一体化系统全流程电子化交易功能操作视频》观看供应商操作视频（https://cz.wuxi.zcygov.cn/wxCategory15/wxCategory117/index.html?utm=sites_group_front.5b1ba037.0.0.b7fdf7c0105211ec88b54b58ab0eb5cf）</w:t>
            </w:r>
          </w:p>
          <w:p>
            <w:pPr>
              <w:adjustRightInd w:val="0"/>
              <w:snapToGrid w:val="0"/>
              <w:spacing w:line="360" w:lineRule="auto"/>
              <w:jc w:val="both"/>
              <w:rPr>
                <w:rFonts w:hint="eastAsia" w:ascii="宋体" w:hAnsi="宋体" w:eastAsia="宋体" w:cs="宋体"/>
                <w:sz w:val="24"/>
                <w:highlight w:val="none"/>
              </w:rPr>
            </w:pPr>
            <w:r>
              <w:rPr>
                <w:rFonts w:hint="eastAsia" w:ascii="宋体" w:hAnsi="宋体" w:eastAsia="宋体" w:cs="宋体"/>
                <w:sz w:val="24"/>
                <w:highlight w:val="none"/>
              </w:rPr>
              <w:t>5.有关本次招标的事项若存在变动或修改，敬请及时关注无锡市公共资源交易中心政府采购专栏、无锡政府采购网、江苏政府采购网和中国政府采购网发布的信息更正公告。如</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未按上述要求操作，由此所产生的损失及风险由</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6</w:t>
            </w:r>
          </w:p>
        </w:tc>
        <w:tc>
          <w:tcPr>
            <w:tcW w:w="8178" w:type="dxa"/>
            <w:noWrap w:val="0"/>
            <w:vAlign w:val="center"/>
          </w:tcPr>
          <w:p>
            <w:pPr>
              <w:widowControl/>
              <w:spacing w:line="360" w:lineRule="auto"/>
              <w:ind w:left="-59" w:leftChars="-28"/>
              <w:jc w:val="both"/>
              <w:rPr>
                <w:rFonts w:hint="eastAsia" w:ascii="宋体" w:hAnsi="宋体" w:eastAsia="宋体" w:cs="宋体"/>
                <w:sz w:val="24"/>
                <w:highlight w:val="none"/>
              </w:rPr>
            </w:pPr>
            <w:r>
              <w:rPr>
                <w:rFonts w:hint="eastAsia" w:ascii="宋体" w:hAnsi="宋体" w:eastAsia="宋体" w:cs="宋体"/>
                <w:sz w:val="24"/>
                <w:highlight w:val="none"/>
              </w:rPr>
              <w:t>供应商提疑截止时间：</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2</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rPr>
              <w:t>月</w:t>
            </w:r>
            <w:r>
              <w:rPr>
                <w:rFonts w:hint="eastAsia" w:ascii="宋体" w:hAnsi="宋体" w:eastAsia="宋体" w:cs="宋体"/>
                <w:sz w:val="24"/>
                <w:highlight w:val="yellow"/>
                <w:lang w:val="en-US" w:eastAsia="zh-CN"/>
              </w:rPr>
              <w:t>20</w:t>
            </w:r>
            <w:r>
              <w:rPr>
                <w:rFonts w:hint="eastAsia" w:ascii="宋体" w:hAnsi="宋体" w:eastAsia="宋体" w:cs="宋体"/>
                <w:sz w:val="24"/>
                <w:highlight w:val="yellow"/>
              </w:rPr>
              <w:t>日10:00时前</w:t>
            </w:r>
            <w:r>
              <w:rPr>
                <w:rFonts w:hint="eastAsia" w:ascii="宋体" w:hAnsi="宋体" w:eastAsia="宋体" w:cs="宋体"/>
                <w:sz w:val="24"/>
                <w:highlight w:val="none"/>
              </w:rPr>
              <w:t>，以</w:t>
            </w:r>
            <w:r>
              <w:rPr>
                <w:rFonts w:hint="eastAsia" w:ascii="宋体" w:hAnsi="宋体" w:eastAsia="宋体" w:cs="宋体"/>
                <w:sz w:val="24"/>
                <w:highlight w:val="none"/>
                <w:lang w:val="en-US" w:eastAsia="zh-CN"/>
              </w:rPr>
              <w:t>线上不见面、</w:t>
            </w:r>
            <w:r>
              <w:rPr>
                <w:rFonts w:hint="eastAsia" w:ascii="宋体" w:hAnsi="宋体" w:eastAsia="宋体" w:cs="宋体"/>
                <w:sz w:val="24"/>
                <w:highlight w:val="none"/>
              </w:rPr>
              <w:t>电子邮件形式发送给采购代理机构。</w:t>
            </w:r>
          </w:p>
          <w:p>
            <w:pPr>
              <w:widowControl/>
              <w:spacing w:line="360" w:lineRule="auto"/>
              <w:ind w:left="-59" w:leftChars="-28"/>
              <w:jc w:val="both"/>
              <w:rPr>
                <w:rFonts w:hint="eastAsia" w:ascii="宋体" w:hAnsi="宋体" w:eastAsia="宋体" w:cs="宋体"/>
                <w:sz w:val="24"/>
                <w:highlight w:val="none"/>
              </w:rPr>
            </w:pPr>
            <w:r>
              <w:rPr>
                <w:rFonts w:hint="eastAsia" w:ascii="宋体" w:hAnsi="宋体" w:eastAsia="宋体" w:cs="宋体"/>
                <w:sz w:val="24"/>
                <w:highlight w:val="none"/>
              </w:rPr>
              <w:t>答疑时间：</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2</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rPr>
              <w:t>月</w:t>
            </w:r>
            <w:r>
              <w:rPr>
                <w:rFonts w:hint="eastAsia" w:ascii="宋体" w:hAnsi="宋体" w:eastAsia="宋体" w:cs="宋体"/>
                <w:sz w:val="24"/>
                <w:highlight w:val="yellow"/>
                <w:lang w:val="en-US" w:eastAsia="zh-CN"/>
              </w:rPr>
              <w:t>20</w:t>
            </w:r>
            <w:r>
              <w:rPr>
                <w:rFonts w:hint="eastAsia" w:ascii="宋体" w:hAnsi="宋体" w:eastAsia="宋体" w:cs="宋体"/>
                <w:sz w:val="24"/>
                <w:highlight w:val="yellow"/>
              </w:rPr>
              <w:t>日1</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rPr>
              <w:t>:</w:t>
            </w:r>
            <w:r>
              <w:rPr>
                <w:rFonts w:hint="eastAsia" w:ascii="宋体" w:hAnsi="宋体" w:eastAsia="宋体" w:cs="宋体"/>
                <w:sz w:val="24"/>
                <w:highlight w:val="yellow"/>
                <w:lang w:val="en-US" w:eastAsia="zh-CN"/>
              </w:rPr>
              <w:t>0</w:t>
            </w:r>
            <w:r>
              <w:rPr>
                <w:rFonts w:hint="eastAsia" w:ascii="宋体" w:hAnsi="宋体" w:eastAsia="宋体" w:cs="宋体"/>
                <w:sz w:val="24"/>
                <w:highlight w:val="yellow"/>
              </w:rPr>
              <w:t>0时</w:t>
            </w:r>
            <w:r>
              <w:rPr>
                <w:rFonts w:hint="eastAsia" w:ascii="宋体" w:hAnsi="宋体" w:eastAsia="宋体" w:cs="宋体"/>
                <w:sz w:val="24"/>
                <w:highlight w:val="none"/>
              </w:rPr>
              <w:t>，采购代理机构以线上不见面、电子邮件形式告知各</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7</w:t>
            </w:r>
          </w:p>
        </w:tc>
        <w:tc>
          <w:tcPr>
            <w:tcW w:w="8178" w:type="dxa"/>
            <w:noWrap w:val="0"/>
            <w:vAlign w:val="center"/>
          </w:tcPr>
          <w:p>
            <w:pPr>
              <w:pStyle w:val="2"/>
              <w:tabs>
                <w:tab w:val="left" w:pos="360"/>
              </w:tabs>
              <w:spacing w:line="360" w:lineRule="auto"/>
              <w:jc w:val="both"/>
              <w:rPr>
                <w:rFonts w:hint="eastAsia" w:ascii="宋体" w:hAnsi="宋体" w:eastAsia="宋体" w:cs="宋体"/>
                <w:bCs/>
                <w:sz w:val="24"/>
                <w:highlight w:val="none"/>
              </w:rPr>
            </w:pPr>
            <w:r>
              <w:rPr>
                <w:rFonts w:hint="eastAsia" w:ascii="宋体" w:hAnsi="宋体" w:eastAsia="宋体" w:cs="宋体"/>
                <w:kern w:val="2"/>
                <w:sz w:val="24"/>
                <w:szCs w:val="24"/>
                <w:highlight w:val="none"/>
              </w:rPr>
              <w:t>本项目无需递交</w:t>
            </w:r>
            <w:r>
              <w:rPr>
                <w:rFonts w:hint="eastAsia" w:ascii="宋体" w:hAnsi="宋体" w:eastAsia="宋体" w:cs="宋体"/>
                <w:kern w:val="2"/>
                <w:sz w:val="24"/>
                <w:szCs w:val="24"/>
                <w:highlight w:val="none"/>
                <w:lang w:val="en-US" w:eastAsia="zh-CN"/>
              </w:rPr>
              <w:t>磋商</w:t>
            </w:r>
            <w:r>
              <w:rPr>
                <w:rFonts w:hint="eastAsia" w:ascii="宋体" w:hAnsi="宋体" w:eastAsia="宋体" w:cs="宋体"/>
                <w:kern w:val="2"/>
                <w:sz w:val="24"/>
                <w:szCs w:val="24"/>
                <w:highlight w:val="none"/>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8</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lang w:eastAsia="zh-CN"/>
              </w:rPr>
            </w:pP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有效期：报价截止之日起90天</w:t>
            </w:r>
            <w:r>
              <w:rPr>
                <w:rFonts w:hint="eastAsia" w:ascii="宋体" w:hAnsi="宋体" w:eastAsia="宋体" w:cs="宋体"/>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9</w:t>
            </w:r>
          </w:p>
        </w:tc>
        <w:tc>
          <w:tcPr>
            <w:tcW w:w="8178" w:type="dxa"/>
            <w:noWrap w:val="0"/>
            <w:vAlign w:val="center"/>
          </w:tcPr>
          <w:p>
            <w:pPr>
              <w:widowControl/>
              <w:spacing w:line="360" w:lineRule="auto"/>
              <w:ind w:left="-59" w:leftChars="-28"/>
              <w:jc w:val="both"/>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本项目进行线上采购活动，供应商准备好制作响应文件的电脑、CA锁（国信CA），在磋商截止时间前半小时，登录政采云网上开标大厅签到，在代理机构开启标书解密后，方可解密，请在规定时间内登录网上开标大厅参与采购活动。</w:t>
            </w:r>
          </w:p>
          <w:p>
            <w:pPr>
              <w:widowControl/>
              <w:spacing w:line="360" w:lineRule="auto"/>
              <w:ind w:left="-59" w:leftChars="-28"/>
              <w:jc w:val="both"/>
              <w:rPr>
                <w:rFonts w:hint="eastAsia" w:ascii="宋体" w:hAnsi="宋体" w:eastAsia="宋体" w:cs="宋体"/>
                <w:sz w:val="24"/>
                <w:highlight w:val="none"/>
                <w:lang w:eastAsia="zh-CN"/>
              </w:rPr>
            </w:pPr>
            <w:r>
              <w:rPr>
                <w:rFonts w:hint="eastAsia" w:ascii="宋体" w:hAnsi="宋体" w:eastAsia="宋体" w:cs="宋体"/>
                <w:sz w:val="24"/>
                <w:highlight w:val="none"/>
              </w:rPr>
              <w:t>网上</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截止时间</w:t>
            </w:r>
            <w:r>
              <w:rPr>
                <w:rFonts w:hint="eastAsia" w:ascii="宋体" w:hAnsi="宋体" w:eastAsia="宋体" w:cs="宋体"/>
                <w:sz w:val="24"/>
                <w:highlight w:val="yellow"/>
              </w:rPr>
              <w:t>：2022年</w:t>
            </w:r>
            <w:r>
              <w:rPr>
                <w:rFonts w:hint="eastAsia" w:ascii="宋体" w:hAnsi="宋体" w:eastAsia="宋体" w:cs="宋体"/>
                <w:sz w:val="24"/>
                <w:highlight w:val="yellow"/>
                <w:lang w:val="en-US" w:eastAsia="zh-CN"/>
              </w:rPr>
              <w:t>8</w:t>
            </w:r>
            <w:r>
              <w:rPr>
                <w:rFonts w:hint="eastAsia" w:ascii="宋体" w:hAnsi="宋体" w:eastAsia="宋体" w:cs="宋体"/>
                <w:sz w:val="24"/>
                <w:highlight w:val="yellow"/>
              </w:rPr>
              <w:t>月</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日1</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w:t>
            </w:r>
            <w:r>
              <w:rPr>
                <w:rFonts w:hint="eastAsia" w:ascii="宋体" w:hAnsi="宋体" w:eastAsia="宋体" w:cs="宋体"/>
                <w:sz w:val="24"/>
                <w:highlight w:val="yellow"/>
                <w:lang w:val="en-US" w:eastAsia="zh-CN"/>
              </w:rPr>
              <w:t>0</w:t>
            </w:r>
            <w:r>
              <w:rPr>
                <w:rFonts w:hint="eastAsia" w:ascii="宋体" w:hAnsi="宋体" w:eastAsia="宋体" w:cs="宋体"/>
                <w:sz w:val="24"/>
                <w:highlight w:val="yellow"/>
              </w:rPr>
              <w:t>0（</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截止时间后的</w:t>
            </w:r>
            <w:r>
              <w:rPr>
                <w:rFonts w:hint="eastAsia" w:ascii="宋体" w:hAnsi="宋体" w:eastAsia="宋体" w:cs="宋体"/>
                <w:sz w:val="24"/>
                <w:highlight w:val="none"/>
                <w:lang w:val="en-US" w:eastAsia="zh-CN"/>
              </w:rPr>
              <w:t>响应</w:t>
            </w:r>
            <w:r>
              <w:rPr>
                <w:rFonts w:hint="eastAsia" w:ascii="宋体" w:hAnsi="宋体" w:eastAsia="宋体" w:cs="宋体"/>
                <w:sz w:val="24"/>
                <w:highlight w:val="none"/>
              </w:rPr>
              <w:t>文件恕不接受）</w:t>
            </w:r>
            <w:r>
              <w:rPr>
                <w:rFonts w:hint="eastAsia" w:ascii="宋体" w:hAnsi="宋体" w:eastAsia="宋体" w:cs="宋体"/>
                <w:sz w:val="24"/>
                <w:highlight w:val="none"/>
                <w:lang w:eastAsia="zh-CN"/>
              </w:rPr>
              <w:t>。</w:t>
            </w:r>
          </w:p>
          <w:p>
            <w:pPr>
              <w:widowControl/>
              <w:spacing w:line="360" w:lineRule="auto"/>
              <w:ind w:left="-59" w:leftChars="-28"/>
              <w:jc w:val="both"/>
              <w:rPr>
                <w:rFonts w:hint="eastAsia" w:ascii="宋体" w:hAnsi="宋体" w:eastAsia="宋体" w:cs="宋体"/>
                <w:sz w:val="24"/>
                <w:highlight w:val="none"/>
              </w:rPr>
            </w:pPr>
            <w:r>
              <w:rPr>
                <w:rFonts w:hint="eastAsia" w:ascii="宋体" w:hAnsi="宋体" w:eastAsia="宋体" w:cs="宋体"/>
                <w:sz w:val="24"/>
                <w:highlight w:val="none"/>
              </w:rPr>
              <w:t>网上</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解密时间</w:t>
            </w:r>
            <w:r>
              <w:rPr>
                <w:rFonts w:hint="eastAsia" w:ascii="宋体" w:hAnsi="宋体" w:eastAsia="宋体" w:cs="宋体"/>
                <w:sz w:val="24"/>
                <w:highlight w:val="none"/>
                <w:lang w:eastAsia="zh-CN"/>
              </w:rPr>
              <w:t>：</w:t>
            </w:r>
            <w:r>
              <w:rPr>
                <w:rFonts w:hint="eastAsia" w:ascii="宋体" w:hAnsi="宋体" w:eastAsia="宋体" w:cs="宋体"/>
                <w:sz w:val="24"/>
                <w:highlight w:val="yellow"/>
              </w:rPr>
              <w:t>2022年</w:t>
            </w:r>
            <w:r>
              <w:rPr>
                <w:rFonts w:hint="eastAsia" w:ascii="宋体" w:hAnsi="宋体" w:eastAsia="宋体" w:cs="宋体"/>
                <w:sz w:val="24"/>
                <w:highlight w:val="yellow"/>
                <w:lang w:val="en-US" w:eastAsia="zh-CN"/>
              </w:rPr>
              <w:t>8月3日</w:t>
            </w:r>
            <w:r>
              <w:rPr>
                <w:rFonts w:hint="eastAsia" w:ascii="宋体" w:hAnsi="宋体" w:eastAsia="宋体" w:cs="宋体"/>
                <w:sz w:val="24"/>
                <w:highlight w:val="none"/>
              </w:rPr>
              <w:t>开启解密后</w:t>
            </w:r>
            <w:r>
              <w:rPr>
                <w:rFonts w:hint="eastAsia" w:ascii="宋体" w:hAnsi="宋体" w:eastAsia="宋体" w:cs="宋体"/>
                <w:sz w:val="24"/>
                <w:highlight w:val="none"/>
                <w:lang w:val="en-US" w:eastAsia="zh-CN"/>
              </w:rPr>
              <w:t>60分钟内</w:t>
            </w:r>
            <w:r>
              <w:rPr>
                <w:rFonts w:hint="eastAsia" w:ascii="宋体" w:hAnsi="宋体" w:eastAsia="宋体" w:cs="宋体"/>
                <w:sz w:val="24"/>
                <w:highlight w:val="none"/>
              </w:rPr>
              <w:t>。</w:t>
            </w:r>
          </w:p>
          <w:p>
            <w:pPr>
              <w:pStyle w:val="2"/>
              <w:rPr>
                <w:rFonts w:hint="default" w:eastAsia="宋体"/>
                <w:lang w:val="en-US" w:eastAsia="zh-CN"/>
              </w:rPr>
            </w:pPr>
            <w:r>
              <w:rPr>
                <w:rFonts w:hint="eastAsia" w:ascii="宋体" w:hAnsi="宋体" w:cs="宋体"/>
                <w:bCs/>
                <w:sz w:val="24"/>
                <w:highlight w:val="none"/>
                <w:lang w:val="en-US" w:eastAsia="zh-CN"/>
              </w:rPr>
              <w:t>响应文件提交地点：政采云投标客户端报价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10</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开标时间：</w:t>
            </w:r>
            <w:r>
              <w:rPr>
                <w:rFonts w:hint="eastAsia" w:ascii="宋体" w:hAnsi="宋体" w:eastAsia="宋体" w:cs="宋体"/>
                <w:bCs/>
                <w:sz w:val="24"/>
                <w:highlight w:val="yellow"/>
              </w:rPr>
              <w:t>202</w:t>
            </w:r>
            <w:r>
              <w:rPr>
                <w:rFonts w:hint="eastAsia" w:ascii="宋体" w:hAnsi="宋体" w:eastAsia="宋体" w:cs="宋体"/>
                <w:bCs/>
                <w:sz w:val="24"/>
                <w:highlight w:val="yellow"/>
                <w:lang w:val="en-US" w:eastAsia="zh-CN"/>
              </w:rPr>
              <w:t>2</w:t>
            </w:r>
            <w:r>
              <w:rPr>
                <w:rFonts w:hint="eastAsia" w:ascii="宋体" w:hAnsi="宋体" w:eastAsia="宋体" w:cs="宋体"/>
                <w:bCs/>
                <w:sz w:val="24"/>
                <w:highlight w:val="yellow"/>
              </w:rPr>
              <w:t>年</w:t>
            </w:r>
            <w:r>
              <w:rPr>
                <w:rFonts w:hint="eastAsia" w:ascii="宋体" w:hAnsi="宋体" w:eastAsia="宋体" w:cs="宋体"/>
                <w:bCs/>
                <w:sz w:val="24"/>
                <w:highlight w:val="yellow"/>
                <w:lang w:val="en-US" w:eastAsia="zh-CN"/>
              </w:rPr>
              <w:t>8</w:t>
            </w:r>
            <w:r>
              <w:rPr>
                <w:rFonts w:hint="eastAsia" w:ascii="宋体" w:hAnsi="宋体" w:eastAsia="宋体" w:cs="宋体"/>
                <w:bCs/>
                <w:sz w:val="24"/>
                <w:highlight w:val="yellow"/>
              </w:rPr>
              <w:t>月</w:t>
            </w:r>
            <w:r>
              <w:rPr>
                <w:rFonts w:hint="eastAsia" w:ascii="宋体" w:hAnsi="宋体" w:eastAsia="宋体" w:cs="宋体"/>
                <w:bCs/>
                <w:sz w:val="24"/>
                <w:highlight w:val="yellow"/>
                <w:lang w:val="en-US" w:eastAsia="zh-CN"/>
              </w:rPr>
              <w:t>3</w:t>
            </w:r>
            <w:r>
              <w:rPr>
                <w:rFonts w:hint="eastAsia" w:ascii="宋体" w:hAnsi="宋体" w:eastAsia="宋体" w:cs="宋体"/>
                <w:bCs/>
                <w:sz w:val="24"/>
                <w:highlight w:val="yellow"/>
              </w:rPr>
              <w:t>日</w:t>
            </w:r>
            <w:r>
              <w:rPr>
                <w:rFonts w:hint="eastAsia" w:ascii="宋体" w:hAnsi="宋体" w:eastAsia="宋体" w:cs="宋体"/>
                <w:bCs/>
                <w:sz w:val="24"/>
                <w:highlight w:val="yellow"/>
                <w:lang w:val="en-US" w:eastAsia="zh-CN"/>
              </w:rPr>
              <w:t>14</w:t>
            </w:r>
            <w:r>
              <w:rPr>
                <w:rFonts w:hint="eastAsia" w:ascii="宋体" w:hAnsi="宋体" w:eastAsia="宋体" w:cs="宋体"/>
                <w:bCs/>
                <w:sz w:val="24"/>
                <w:highlight w:val="yellow"/>
              </w:rPr>
              <w:t>：</w:t>
            </w:r>
            <w:r>
              <w:rPr>
                <w:rFonts w:hint="eastAsia" w:ascii="宋体" w:hAnsi="宋体" w:eastAsia="宋体" w:cs="宋体"/>
                <w:bCs/>
                <w:sz w:val="24"/>
                <w:highlight w:val="yellow"/>
                <w:lang w:val="en-US" w:eastAsia="zh-CN"/>
              </w:rPr>
              <w:t>0</w:t>
            </w:r>
            <w:r>
              <w:rPr>
                <w:rFonts w:hint="eastAsia" w:ascii="宋体" w:hAnsi="宋体" w:eastAsia="宋体" w:cs="宋体"/>
                <w:bCs/>
                <w:sz w:val="24"/>
                <w:highlight w:val="yellow"/>
              </w:rPr>
              <w:t>0时</w:t>
            </w:r>
          </w:p>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开标地点：</w:t>
            </w:r>
            <w:r>
              <w:rPr>
                <w:rFonts w:hint="eastAsia" w:ascii="宋体" w:hAnsi="宋体" w:eastAsia="宋体" w:cs="宋体"/>
                <w:sz w:val="24"/>
                <w:highlight w:val="none"/>
              </w:rPr>
              <w:t>无锡市公共资源交易中心新吴分中心</w:t>
            </w:r>
            <w:r>
              <w:rPr>
                <w:rFonts w:hint="eastAsia" w:ascii="宋体" w:hAnsi="宋体" w:eastAsia="宋体" w:cs="宋体"/>
                <w:sz w:val="24"/>
                <w:highlight w:val="yellow"/>
              </w:rPr>
              <w:t>开标室2（</w:t>
            </w:r>
            <w:r>
              <w:rPr>
                <w:rFonts w:hint="eastAsia" w:ascii="宋体" w:hAnsi="宋体" w:eastAsia="宋体" w:cs="宋体"/>
                <w:sz w:val="24"/>
                <w:highlight w:val="none"/>
              </w:rPr>
              <w:t>新吴区长江路7号科技园四区一楼）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11</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定标时间：评标结束</w:t>
            </w:r>
          </w:p>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定标地点：无锡市公共资源交易中心新吴分中心（新吴区长江路7号科技园区一楼）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35" w:type="dxa"/>
            <w:noWrap w:val="0"/>
            <w:vAlign w:val="center"/>
          </w:tcPr>
          <w:p>
            <w:pPr>
              <w:adjustRightInd w:val="0"/>
              <w:snapToGrid w:val="0"/>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12</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文件份数：本项目为全流程电子化招投标，</w:t>
            </w:r>
            <w:r>
              <w:rPr>
                <w:rFonts w:hint="eastAsia" w:ascii="宋体" w:hAnsi="宋体" w:eastAsia="宋体" w:cs="宋体"/>
                <w:sz w:val="24"/>
                <w:highlight w:val="none"/>
              </w:rPr>
              <w:t>供应商</w:t>
            </w:r>
            <w:r>
              <w:rPr>
                <w:rFonts w:hint="eastAsia" w:ascii="宋体" w:hAnsi="宋体" w:eastAsia="宋体" w:cs="宋体"/>
                <w:bCs/>
                <w:sz w:val="24"/>
                <w:highlight w:val="none"/>
                <w:lang w:val="en-US" w:eastAsia="zh-CN"/>
              </w:rPr>
              <w:t>无需</w:t>
            </w:r>
            <w:r>
              <w:rPr>
                <w:rFonts w:hint="eastAsia" w:ascii="宋体" w:hAnsi="宋体" w:eastAsia="宋体" w:cs="宋体"/>
                <w:bCs/>
                <w:sz w:val="24"/>
                <w:highlight w:val="none"/>
              </w:rPr>
              <w:t>到达</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现场，无需递交纸质</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35" w:type="dxa"/>
            <w:noWrap w:val="0"/>
            <w:vAlign w:val="center"/>
          </w:tcPr>
          <w:p>
            <w:pPr>
              <w:adjustRightInd w:val="0"/>
              <w:snapToGrid w:val="0"/>
              <w:spacing w:line="360" w:lineRule="auto"/>
              <w:jc w:val="center"/>
              <w:rPr>
                <w:rFonts w:hint="eastAsia" w:hAnsi="宋体" w:cs="宋体"/>
                <w:bCs/>
                <w:sz w:val="24"/>
                <w:highlight w:val="none"/>
              </w:rPr>
            </w:pPr>
            <w:r>
              <w:rPr>
                <w:rFonts w:hint="eastAsia" w:ascii="宋体" w:hAnsi="宋体" w:eastAsia="宋体" w:cs="宋体"/>
                <w:bCs/>
                <w:sz w:val="24"/>
                <w:highlight w:val="none"/>
              </w:rPr>
              <w:t>13</w:t>
            </w:r>
          </w:p>
        </w:tc>
        <w:tc>
          <w:tcPr>
            <w:tcW w:w="8178" w:type="dxa"/>
            <w:noWrap w:val="0"/>
            <w:vAlign w:val="center"/>
          </w:tcPr>
          <w:p>
            <w:pPr>
              <w:adjustRightInd w:val="0"/>
              <w:snapToGrid w:val="0"/>
              <w:spacing w:line="360" w:lineRule="auto"/>
              <w:jc w:val="both"/>
              <w:rPr>
                <w:rFonts w:hint="eastAsia" w:ascii="宋体" w:hAnsi="宋体" w:eastAsia="宋体" w:cs="宋体"/>
                <w:bCs/>
                <w:sz w:val="24"/>
                <w:highlight w:val="none"/>
              </w:rPr>
            </w:pPr>
            <w:r>
              <w:rPr>
                <w:rFonts w:hint="eastAsia" w:ascii="宋体" w:hAnsi="宋体" w:eastAsia="宋体" w:cs="宋体"/>
                <w:bCs/>
                <w:sz w:val="24"/>
                <w:highlight w:val="none"/>
              </w:rPr>
              <w:t>有关本次采购活动程序方面的问题,可来人、来函或电话联系。</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采购人：</w:t>
            </w:r>
            <w:r>
              <w:rPr>
                <w:rFonts w:hint="eastAsia" w:ascii="宋体" w:hAnsi="宋体" w:eastAsia="宋体" w:cs="宋体"/>
                <w:bCs/>
                <w:sz w:val="24"/>
                <w:highlight w:val="none"/>
                <w:lang w:eastAsia="zh-CN"/>
              </w:rPr>
              <w:t>无锡市新吴区人民政府旺庄街道办事处</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地址：无锡市新区长江南路17号</w:t>
            </w:r>
          </w:p>
          <w:p>
            <w:pPr>
              <w:widowControl/>
              <w:spacing w:line="360" w:lineRule="auto"/>
              <w:ind w:right="-334" w:rightChars="-159"/>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联系人：朱科</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联系方式：0510-85290886</w:t>
            </w:r>
          </w:p>
          <w:p>
            <w:pPr>
              <w:widowControl/>
              <w:spacing w:line="360" w:lineRule="auto"/>
              <w:ind w:right="-334" w:rightChars="-159"/>
              <w:jc w:val="left"/>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eastAsia="zh-CN"/>
              </w:rPr>
              <w:t>采购代理机构：江苏达瑞德工程管理咨询有限公司</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联系地址：</w:t>
            </w:r>
            <w:r>
              <w:rPr>
                <w:rFonts w:hint="eastAsia" w:ascii="宋体" w:hAnsi="宋体" w:eastAsia="宋体" w:cs="宋体"/>
                <w:kern w:val="0"/>
                <w:sz w:val="24"/>
                <w:highlight w:val="none"/>
                <w:lang w:eastAsia="zh-CN"/>
              </w:rPr>
              <w:t>无锡市梁溪区清扬路99号数码大厦516-517室</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eastAsia="zh-CN"/>
              </w:rPr>
              <w:t>联系人：</w:t>
            </w:r>
            <w:r>
              <w:rPr>
                <w:rFonts w:hint="eastAsia" w:ascii="宋体" w:hAnsi="宋体" w:eastAsia="宋体" w:cs="宋体"/>
                <w:kern w:val="0"/>
                <w:sz w:val="24"/>
                <w:highlight w:val="none"/>
                <w:lang w:val="en-US" w:eastAsia="zh-CN"/>
              </w:rPr>
              <w:t>金立述、周敏、倪倩</w:t>
            </w:r>
          </w:p>
          <w:p>
            <w:pPr>
              <w:widowControl/>
              <w:spacing w:line="360" w:lineRule="auto"/>
              <w:ind w:right="-334" w:rightChars="-159"/>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联系电话：15906172524</w:t>
            </w:r>
          </w:p>
          <w:p>
            <w:pPr>
              <w:widowControl/>
              <w:spacing w:line="360" w:lineRule="auto"/>
              <w:ind w:right="-334" w:rightChars="-159"/>
              <w:jc w:val="left"/>
              <w:rPr>
                <w:rFonts w:hint="eastAsia" w:ascii="宋体" w:hAnsi="宋体" w:eastAsia="宋体" w:cs="宋体"/>
                <w:kern w:val="0"/>
                <w:sz w:val="24"/>
                <w:highlight w:val="none"/>
              </w:rPr>
            </w:pPr>
            <w:r>
              <w:rPr>
                <w:rFonts w:hint="eastAsia" w:ascii="宋体" w:hAnsi="宋体" w:eastAsia="宋体" w:cs="宋体"/>
                <w:kern w:val="0"/>
                <w:sz w:val="24"/>
                <w:highlight w:val="none"/>
              </w:rPr>
              <w:t>电子邮件地址：</w:t>
            </w:r>
            <w:r>
              <w:rPr>
                <w:rFonts w:hint="eastAsia" w:ascii="宋体" w:hAnsi="宋体" w:eastAsia="宋体" w:cs="宋体"/>
                <w:kern w:val="0"/>
                <w:sz w:val="24"/>
                <w:highlight w:val="none"/>
                <w:lang w:val="en-US" w:eastAsia="zh-CN"/>
              </w:rPr>
              <w:t>723551941</w:t>
            </w:r>
            <w:r>
              <w:rPr>
                <w:rFonts w:hint="eastAsia" w:ascii="宋体" w:hAnsi="宋体" w:eastAsia="宋体" w:cs="宋体"/>
                <w:kern w:val="0"/>
                <w:sz w:val="24"/>
                <w:highlight w:val="none"/>
              </w:rPr>
              <w:t>@qq.com</w:t>
            </w:r>
          </w:p>
          <w:p>
            <w:pPr>
              <w:widowControl/>
              <w:spacing w:line="360" w:lineRule="auto"/>
              <w:ind w:right="-334" w:rightChars="-159"/>
              <w:jc w:val="left"/>
              <w:rPr>
                <w:rFonts w:hint="eastAsia" w:hAnsi="宋体" w:cs="宋体"/>
                <w:bCs/>
                <w:sz w:val="24"/>
                <w:highlight w:val="none"/>
              </w:rPr>
            </w:pPr>
            <w:r>
              <w:rPr>
                <w:rFonts w:hint="eastAsia" w:ascii="宋体" w:hAnsi="宋体" w:eastAsia="宋体" w:cs="宋体"/>
                <w:kern w:val="0"/>
                <w:sz w:val="24"/>
                <w:highlight w:val="none"/>
              </w:rPr>
              <w:t>邮政编码：214000</w:t>
            </w:r>
          </w:p>
        </w:tc>
      </w:tr>
    </w:tbl>
    <w:p>
      <w:pPr>
        <w:adjustRightInd w:val="0"/>
        <w:snapToGrid w:val="0"/>
        <w:spacing w:line="360" w:lineRule="auto"/>
        <w:rPr>
          <w:rFonts w:hint="eastAsia" w:hAnsi="宋体" w:cs="宋体"/>
          <w:b/>
          <w:bCs/>
          <w:sz w:val="32"/>
          <w:szCs w:val="32"/>
          <w:highlight w:val="none"/>
        </w:rPr>
      </w:pPr>
    </w:p>
    <w:p>
      <w:pPr>
        <w:pStyle w:val="17"/>
        <w:rPr>
          <w:rFonts w:hint="eastAsia" w:hAnsi="宋体" w:cs="宋体"/>
          <w:b/>
          <w:bCs/>
          <w:sz w:val="32"/>
          <w:szCs w:val="32"/>
          <w:highlight w:val="none"/>
        </w:rPr>
      </w:pPr>
    </w:p>
    <w:p>
      <w:pPr>
        <w:pStyle w:val="17"/>
        <w:rPr>
          <w:rFonts w:hint="eastAsia" w:hAnsi="宋体" w:cs="宋体"/>
          <w:b/>
          <w:bCs/>
          <w:sz w:val="32"/>
          <w:szCs w:val="32"/>
          <w:highlight w:val="none"/>
        </w:rPr>
      </w:pPr>
    </w:p>
    <w:p>
      <w:pPr>
        <w:pStyle w:val="17"/>
        <w:rPr>
          <w:rFonts w:hint="eastAsia" w:hAnsi="宋体" w:cs="宋体"/>
          <w:b/>
          <w:bCs/>
          <w:sz w:val="32"/>
          <w:szCs w:val="32"/>
          <w:highlight w:val="none"/>
        </w:rPr>
      </w:pPr>
    </w:p>
    <w:p>
      <w:pPr>
        <w:pStyle w:val="17"/>
        <w:rPr>
          <w:rFonts w:hint="eastAsia" w:hAnsi="宋体" w:cs="宋体"/>
          <w:b/>
          <w:bCs/>
          <w:sz w:val="32"/>
          <w:szCs w:val="32"/>
          <w:highlight w:val="none"/>
        </w:rPr>
      </w:pPr>
    </w:p>
    <w:p>
      <w:pPr>
        <w:pStyle w:val="17"/>
        <w:rPr>
          <w:rFonts w:hint="eastAsia" w:hAnsi="宋体" w:cs="宋体"/>
          <w:b/>
          <w:bCs/>
          <w:sz w:val="32"/>
          <w:szCs w:val="32"/>
          <w:highlight w:val="none"/>
        </w:rPr>
      </w:pPr>
    </w:p>
    <w:p>
      <w:pPr>
        <w:pStyle w:val="17"/>
        <w:rPr>
          <w:rFonts w:hint="eastAsia" w:hAnsi="宋体" w:cs="宋体"/>
          <w:b/>
          <w:bCs/>
          <w:sz w:val="32"/>
          <w:szCs w:val="32"/>
          <w:highlight w:val="none"/>
        </w:rPr>
      </w:pPr>
    </w:p>
    <w:p>
      <w:pPr>
        <w:pStyle w:val="17"/>
        <w:ind w:left="0" w:leftChars="0" w:firstLine="0" w:firstLineChars="0"/>
        <w:rPr>
          <w:rFonts w:hint="eastAsia" w:hAnsi="宋体" w:cs="宋体"/>
          <w:b/>
          <w:bCs/>
          <w:sz w:val="32"/>
          <w:szCs w:val="32"/>
          <w:highlight w:val="none"/>
        </w:rPr>
      </w:pPr>
    </w:p>
    <w:p>
      <w:pPr>
        <w:adjustRightInd w:val="0"/>
        <w:snapToGrid w:val="0"/>
        <w:spacing w:line="360" w:lineRule="auto"/>
        <w:jc w:val="center"/>
        <w:rPr>
          <w:rFonts w:hint="eastAsia" w:hAnsi="宋体" w:cs="宋体"/>
          <w:b/>
          <w:bCs/>
          <w:sz w:val="32"/>
          <w:szCs w:val="32"/>
          <w:highlight w:val="none"/>
        </w:rPr>
      </w:pPr>
      <w:r>
        <w:rPr>
          <w:rFonts w:hint="eastAsia" w:hAnsi="宋体" w:cs="宋体"/>
          <w:b/>
          <w:bCs/>
          <w:sz w:val="32"/>
          <w:szCs w:val="32"/>
          <w:highlight w:val="none"/>
        </w:rPr>
        <w:t>二．</w:t>
      </w:r>
      <w:r>
        <w:rPr>
          <w:rFonts w:hint="eastAsia" w:hAnsi="宋体" w:cs="宋体"/>
          <w:b/>
          <w:bCs/>
          <w:sz w:val="32"/>
          <w:szCs w:val="32"/>
          <w:highlight w:val="none"/>
          <w:lang w:eastAsia="zh-CN"/>
        </w:rPr>
        <w:t>供应商</w:t>
      </w:r>
      <w:r>
        <w:rPr>
          <w:rFonts w:hint="eastAsia" w:hAnsi="宋体" w:cs="宋体"/>
          <w:b/>
          <w:bCs/>
          <w:sz w:val="32"/>
          <w:szCs w:val="32"/>
          <w:highlight w:val="none"/>
        </w:rPr>
        <w:t>须知</w:t>
      </w:r>
    </w:p>
    <w:p>
      <w:pPr>
        <w:numPr>
          <w:ilvl w:val="0"/>
          <w:numId w:val="0"/>
        </w:numPr>
        <w:tabs>
          <w:tab w:val="left" w:pos="735"/>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一</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遵循原则：</w:t>
      </w:r>
    </w:p>
    <w:p>
      <w:pPr>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公开透明原则、公平竞争原则、公正原则和诚实信用原则。</w:t>
      </w:r>
    </w:p>
    <w:p>
      <w:pPr>
        <w:numPr>
          <w:ilvl w:val="0"/>
          <w:numId w:val="0"/>
        </w:numPr>
        <w:tabs>
          <w:tab w:val="left" w:pos="735"/>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二</w:t>
      </w: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文件：</w:t>
      </w:r>
    </w:p>
    <w:p>
      <w:pPr>
        <w:numPr>
          <w:ilvl w:val="0"/>
          <w:numId w:val="0"/>
        </w:numPr>
        <w:tabs>
          <w:tab w:val="left" w:pos="-1260"/>
          <w:tab w:val="left" w:pos="525"/>
          <w:tab w:val="left" w:pos="84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1.磋商</w:t>
      </w:r>
      <w:r>
        <w:rPr>
          <w:rFonts w:hint="eastAsia" w:ascii="宋体" w:hAnsi="宋体" w:eastAsia="宋体" w:cs="宋体"/>
          <w:bCs/>
          <w:sz w:val="24"/>
          <w:highlight w:val="none"/>
        </w:rPr>
        <w:t>文件包括本文件目录所列全部内容，</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应仔细阅读，并在</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文件中充分响应</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的所有要求。</w:t>
      </w:r>
    </w:p>
    <w:p>
      <w:pPr>
        <w:numPr>
          <w:ilvl w:val="0"/>
          <w:numId w:val="0"/>
        </w:numPr>
        <w:tabs>
          <w:tab w:val="left" w:pos="0"/>
          <w:tab w:val="left" w:pos="525"/>
          <w:tab w:val="left" w:pos="840"/>
        </w:tabs>
        <w:adjustRightInd w:val="0"/>
        <w:snapToGrid w:val="0"/>
        <w:spacing w:line="360" w:lineRule="auto"/>
        <w:ind w:firstLine="480" w:firstLineChars="200"/>
        <w:jc w:val="left"/>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2.供应商</w:t>
      </w:r>
      <w:r>
        <w:rPr>
          <w:rFonts w:hint="eastAsia" w:ascii="宋体" w:hAnsi="宋体" w:eastAsia="宋体" w:cs="宋体"/>
          <w:bCs/>
          <w:sz w:val="24"/>
          <w:highlight w:val="none"/>
        </w:rPr>
        <w:t>应在无锡市公共资源交易中心政府采购专栏（http://xzfw.wuxi.gov.cn/ztzl/wxsggzyjyzxzl/jyxx/zfcg/index.shtml，下同）或登录政府采购交易管理一体化系统下载</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及有关资料，按要求制作、上传</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文件，对</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各项内容做出实质性响应，否则无效。</w:t>
      </w:r>
    </w:p>
    <w:p>
      <w:pPr>
        <w:numPr>
          <w:ilvl w:val="0"/>
          <w:numId w:val="0"/>
        </w:numPr>
        <w:tabs>
          <w:tab w:val="left" w:pos="0"/>
          <w:tab w:val="left" w:pos="525"/>
          <w:tab w:val="left" w:pos="84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一旦参加本项目</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，即表明承诺接受了本</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中的所有条件和规定。</w:t>
      </w:r>
    </w:p>
    <w:p>
      <w:pPr>
        <w:numPr>
          <w:ilvl w:val="0"/>
          <w:numId w:val="0"/>
        </w:numPr>
        <w:tabs>
          <w:tab w:val="left" w:pos="0"/>
          <w:tab w:val="left" w:pos="525"/>
          <w:tab w:val="left" w:pos="840"/>
        </w:tabs>
        <w:adjustRightInd w:val="0"/>
        <w:snapToGrid w:val="0"/>
        <w:spacing w:line="360" w:lineRule="auto"/>
        <w:ind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4.磋商文件中的“法定代表人”是指供应商的营业执照的“法定代表人”或相关部门的登记证明文件中的“负责人”。</w:t>
      </w:r>
    </w:p>
    <w:p>
      <w:pPr>
        <w:numPr>
          <w:ilvl w:val="0"/>
          <w:numId w:val="0"/>
        </w:numPr>
        <w:tabs>
          <w:tab w:val="left" w:pos="0"/>
          <w:tab w:val="left" w:pos="525"/>
          <w:tab w:val="left" w:pos="84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5.磋商</w:t>
      </w:r>
      <w:r>
        <w:rPr>
          <w:rFonts w:hint="eastAsia" w:ascii="宋体" w:hAnsi="宋体" w:eastAsia="宋体" w:cs="宋体"/>
          <w:bCs/>
          <w:sz w:val="24"/>
          <w:highlight w:val="none"/>
        </w:rPr>
        <w:t>文件仅作为本次</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使用。</w:t>
      </w:r>
    </w:p>
    <w:p>
      <w:pPr>
        <w:tabs>
          <w:tab w:val="left" w:pos="63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的解释：</w:t>
      </w:r>
    </w:p>
    <w:p>
      <w:pPr>
        <w:keepNext w:val="0"/>
        <w:keepLines w:val="0"/>
        <w:pageBreakBefore w:val="0"/>
        <w:widowControl w:val="0"/>
        <w:numPr>
          <w:ilvl w:val="0"/>
          <w:numId w:val="0"/>
        </w:numPr>
        <w:tabs>
          <w:tab w:val="left" w:pos="525"/>
          <w:tab w:val="left" w:pos="840"/>
        </w:tabs>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如有需要对</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要求澄清的问题，请以书面方式提出，并按</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邀请第6项规定的时间将电子邮件发送至采购代理机构，联系方式详见</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邀请第13项。</w:t>
      </w:r>
    </w:p>
    <w:p>
      <w:pPr>
        <w:keepNext w:val="0"/>
        <w:keepLines w:val="0"/>
        <w:pageBreakBefore w:val="0"/>
        <w:widowControl w:val="0"/>
        <w:numPr>
          <w:ilvl w:val="0"/>
          <w:numId w:val="0"/>
        </w:numPr>
        <w:tabs>
          <w:tab w:val="left" w:pos="525"/>
          <w:tab w:val="left" w:pos="840"/>
        </w:tabs>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采购人、采购代理机构将按</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邀请第6项规定的时间对</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针对</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书面提出的要求澄清的问题进行书面答疑。</w:t>
      </w:r>
    </w:p>
    <w:p>
      <w:pPr>
        <w:keepNext w:val="0"/>
        <w:keepLines w:val="0"/>
        <w:pageBreakBefore w:val="0"/>
        <w:widowControl w:val="0"/>
        <w:numPr>
          <w:ilvl w:val="0"/>
          <w:numId w:val="0"/>
        </w:numPr>
        <w:tabs>
          <w:tab w:val="left" w:pos="525"/>
          <w:tab w:val="left" w:pos="840"/>
        </w:tabs>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本文件的最终解释权归采购人。</w:t>
      </w:r>
    </w:p>
    <w:p>
      <w:pPr>
        <w:keepNext w:val="0"/>
        <w:keepLines w:val="0"/>
        <w:pageBreakBefore w:val="0"/>
        <w:widowControl w:val="0"/>
        <w:numPr>
          <w:ilvl w:val="0"/>
          <w:numId w:val="0"/>
        </w:numPr>
        <w:tabs>
          <w:tab w:val="left" w:pos="525"/>
          <w:tab w:val="left" w:pos="84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rPr>
        <w:t>（四）</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的澄清或修改：</w:t>
      </w:r>
    </w:p>
    <w:p>
      <w:pPr>
        <w:keepNext w:val="0"/>
        <w:keepLines w:val="0"/>
        <w:pageBreakBefore w:val="0"/>
        <w:widowControl w:val="0"/>
        <w:numPr>
          <w:ilvl w:val="0"/>
          <w:numId w:val="0"/>
        </w:numPr>
        <w:tabs>
          <w:tab w:val="left" w:pos="525"/>
          <w:tab w:val="left" w:pos="84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rPr>
        <w:t>采购人或者采购代理机构可以对已发出的</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进行必要的澄清或者修改，但不得改变采购标的和资格条件。澄清或者修改应当在中国政府采购网、</w:t>
      </w:r>
      <w:r>
        <w:rPr>
          <w:rFonts w:hint="eastAsia" w:ascii="宋体" w:hAnsi="宋体" w:eastAsia="宋体" w:cs="宋体"/>
          <w:sz w:val="24"/>
          <w:highlight w:val="none"/>
        </w:rPr>
        <w:t>江苏政府采购网、无锡政府采购网</w:t>
      </w:r>
      <w:r>
        <w:rPr>
          <w:rFonts w:hint="eastAsia" w:ascii="宋体" w:hAnsi="宋体" w:eastAsia="宋体" w:cs="宋体"/>
          <w:bCs/>
          <w:sz w:val="24"/>
          <w:highlight w:val="none"/>
        </w:rPr>
        <w:t>上发布澄清公告。澄清或者修改的内容为</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的组成部分。</w:t>
      </w:r>
    </w:p>
    <w:p>
      <w:pPr>
        <w:keepNext w:val="0"/>
        <w:keepLines w:val="0"/>
        <w:pageBreakBefore w:val="0"/>
        <w:widowControl w:val="0"/>
        <w:numPr>
          <w:ilvl w:val="0"/>
          <w:numId w:val="0"/>
        </w:numPr>
        <w:tabs>
          <w:tab w:val="left" w:pos="525"/>
          <w:tab w:val="left" w:pos="945"/>
        </w:tabs>
        <w:kinsoku/>
        <w:wordWrap/>
        <w:overflowPunct/>
        <w:topLinePunct w:val="0"/>
        <w:autoSpaceDE/>
        <w:autoSpaceDN/>
        <w:bidi w:val="0"/>
        <w:spacing w:line="36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澄清或者修改的内容可能影响</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文件编制的，采购人或者采购代理机构应当在</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截止时间至少</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日前，以书面形式通知所有获取</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的潜在</w:t>
      </w:r>
      <w:r>
        <w:rPr>
          <w:rFonts w:hint="eastAsia" w:ascii="宋体" w:hAnsi="宋体" w:eastAsia="宋体" w:cs="宋体"/>
          <w:bCs/>
          <w:sz w:val="24"/>
          <w:highlight w:val="none"/>
          <w:lang w:val="en-US" w:eastAsia="zh-CN"/>
        </w:rPr>
        <w:t>供应商并发布</w:t>
      </w:r>
      <w:r>
        <w:rPr>
          <w:rFonts w:hint="eastAsia" w:ascii="宋体" w:hAnsi="宋体" w:eastAsia="宋体" w:cs="宋体"/>
          <w:bCs/>
          <w:sz w:val="24"/>
          <w:highlight w:val="none"/>
        </w:rPr>
        <w:t>更正公告；不足</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日的，采购人或者采购代理机构应当顺延提交</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文件的截止时间。</w:t>
      </w:r>
    </w:p>
    <w:p>
      <w:pPr>
        <w:numPr>
          <w:ilvl w:val="0"/>
          <w:numId w:val="0"/>
        </w:num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bCs/>
          <w:sz w:val="24"/>
          <w:highlight w:val="none"/>
          <w:lang w:eastAsia="zh-CN"/>
        </w:rPr>
        <w:t>供应商</w:t>
      </w:r>
      <w:r>
        <w:rPr>
          <w:rFonts w:hint="eastAsia" w:ascii="宋体" w:hAnsi="宋体" w:eastAsia="宋体" w:cs="宋体"/>
          <w:sz w:val="24"/>
          <w:highlight w:val="none"/>
        </w:rPr>
        <w:t>应</w:t>
      </w:r>
      <w:r>
        <w:rPr>
          <w:rFonts w:hint="eastAsia" w:ascii="宋体" w:hAnsi="宋体" w:eastAsia="宋体" w:cs="宋体"/>
          <w:bCs/>
          <w:sz w:val="24"/>
          <w:highlight w:val="none"/>
        </w:rPr>
        <w:t>于</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截止日前</w:t>
      </w:r>
      <w:r>
        <w:rPr>
          <w:rFonts w:hint="eastAsia" w:ascii="宋体" w:hAnsi="宋体" w:eastAsia="宋体" w:cs="宋体"/>
          <w:sz w:val="24"/>
          <w:highlight w:val="none"/>
        </w:rPr>
        <w:t>以书面回函</w:t>
      </w:r>
      <w:r>
        <w:rPr>
          <w:rFonts w:hint="eastAsia" w:ascii="宋体" w:hAnsi="宋体" w:eastAsia="宋体" w:cs="宋体"/>
          <w:sz w:val="24"/>
          <w:highlight w:val="none"/>
          <w:lang w:eastAsia="zh-CN"/>
        </w:rPr>
        <w:t>江苏达瑞德工程管理咨询有限公司</w:t>
      </w:r>
      <w:r>
        <w:rPr>
          <w:rFonts w:hint="eastAsia" w:ascii="宋体" w:hAnsi="宋体" w:eastAsia="宋体" w:cs="宋体"/>
          <w:sz w:val="24"/>
          <w:highlight w:val="none"/>
        </w:rPr>
        <w:t>，确认已收到修改文件或延期开标通知，</w:t>
      </w:r>
      <w:r>
        <w:rPr>
          <w:rFonts w:hint="eastAsia" w:ascii="宋体" w:hAnsi="宋体" w:eastAsia="宋体" w:cs="宋体"/>
          <w:bCs/>
          <w:sz w:val="24"/>
          <w:highlight w:val="none"/>
        </w:rPr>
        <w:t>逾期不回视同收到此公告。因</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未及时全面地关注更正公告导致其提交的材料不符合采购人要求，而造成的损失及风险（包括但不限于未中标）由</w:t>
      </w:r>
      <w:r>
        <w:rPr>
          <w:rFonts w:hint="eastAsia" w:ascii="宋体" w:hAnsi="宋体" w:eastAsia="宋体" w:cs="宋体"/>
          <w:bCs/>
          <w:sz w:val="24"/>
          <w:highlight w:val="none"/>
          <w:lang w:val="en-US" w:eastAsia="zh-CN"/>
        </w:rPr>
        <w:t>供应商</w:t>
      </w:r>
      <w:r>
        <w:rPr>
          <w:rFonts w:hint="eastAsia" w:ascii="宋体" w:hAnsi="宋体" w:eastAsia="宋体" w:cs="宋体"/>
          <w:bCs/>
          <w:sz w:val="24"/>
          <w:highlight w:val="none"/>
        </w:rPr>
        <w:t>自行承担。</w:t>
      </w:r>
    </w:p>
    <w:p>
      <w:pPr>
        <w:numPr>
          <w:ilvl w:val="0"/>
          <w:numId w:val="0"/>
        </w:num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五</w:t>
      </w: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文件的组成</w:t>
      </w:r>
      <w:r>
        <w:rPr>
          <w:rFonts w:hint="eastAsia" w:ascii="宋体" w:hAnsi="宋体" w:eastAsia="宋体" w:cs="宋体"/>
          <w:bCs/>
          <w:color w:val="FF0000"/>
          <w:sz w:val="24"/>
          <w:szCs w:val="24"/>
        </w:rPr>
        <w:t>（</w:t>
      </w:r>
      <w:r>
        <w:rPr>
          <w:rFonts w:hint="eastAsia" w:ascii="宋体" w:hAnsi="宋体" w:eastAsia="宋体" w:cs="宋体"/>
          <w:b/>
          <w:bCs/>
          <w:color w:val="FF0000"/>
          <w:sz w:val="24"/>
          <w:szCs w:val="24"/>
        </w:rPr>
        <w:t>相应内容上传至投标客户端</w:t>
      </w:r>
      <w:r>
        <w:rPr>
          <w:rFonts w:hint="eastAsia" w:ascii="宋体" w:hAnsi="宋体" w:eastAsia="宋体" w:cs="宋体"/>
          <w:bCs/>
          <w:color w:val="FF0000"/>
          <w:sz w:val="24"/>
          <w:szCs w:val="24"/>
        </w:rPr>
        <w:t>）</w:t>
      </w:r>
      <w:r>
        <w:rPr>
          <w:rFonts w:hint="eastAsia" w:ascii="宋体" w:hAnsi="宋体" w:eastAsia="宋体" w:cs="宋体"/>
          <w:bCs/>
          <w:sz w:val="24"/>
          <w:highlight w:val="none"/>
        </w:rPr>
        <w:t>：</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响应函</w:t>
      </w:r>
      <w:r>
        <w:rPr>
          <w:rFonts w:hint="eastAsia" w:ascii="宋体" w:hAnsi="宋体" w:eastAsia="宋体" w:cs="宋体"/>
          <w:b/>
          <w:bCs/>
          <w:sz w:val="24"/>
          <w:highlight w:val="none"/>
        </w:rPr>
        <w:t>（格式见附件）</w:t>
      </w:r>
      <w:r>
        <w:rPr>
          <w:rFonts w:hint="eastAsia" w:ascii="宋体" w:hAnsi="宋体" w:eastAsia="宋体" w:cs="宋体"/>
          <w:b/>
          <w:bCs/>
          <w:sz w:val="24"/>
          <w:highlight w:val="none"/>
          <w:lang w:eastAsia="zh-CN"/>
        </w:rPr>
        <w:t>；</w:t>
      </w:r>
    </w:p>
    <w:p>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、证明文件：</w:t>
      </w:r>
      <w:r>
        <w:rPr>
          <w:rFonts w:hint="eastAsia" w:ascii="宋体" w:hAnsi="宋体" w:eastAsia="宋体" w:cs="宋体"/>
          <w:b/>
          <w:bCs/>
          <w:sz w:val="24"/>
          <w:highlight w:val="none"/>
        </w:rPr>
        <w:t>（扫描后上传，身份证应为正、反</w:t>
      </w:r>
      <w:r>
        <w:rPr>
          <w:rFonts w:hint="eastAsia" w:ascii="宋体" w:hAnsi="宋体" w:eastAsia="宋体" w:cs="宋体"/>
          <w:b/>
          <w:bCs/>
          <w:sz w:val="24"/>
          <w:highlight w:val="none"/>
          <w:lang w:val="en-US" w:eastAsia="zh-CN"/>
        </w:rPr>
        <w:t>两</w:t>
      </w:r>
      <w:r>
        <w:rPr>
          <w:rFonts w:hint="eastAsia" w:ascii="宋体" w:hAnsi="宋体" w:eastAsia="宋体" w:cs="宋体"/>
          <w:b/>
          <w:bCs/>
          <w:sz w:val="24"/>
          <w:highlight w:val="none"/>
        </w:rPr>
        <w:t>面）</w:t>
      </w:r>
    </w:p>
    <w:p>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.1资格、资信证明文件</w:t>
      </w:r>
    </w:p>
    <w:p>
      <w:pPr>
        <w:tabs>
          <w:tab w:val="left" w:pos="0"/>
        </w:tabs>
        <w:spacing w:line="360" w:lineRule="auto"/>
        <w:ind w:left="4" w:leftChars="2" w:firstLine="422" w:firstLineChars="176"/>
        <w:rPr>
          <w:rFonts w:hint="eastAsia" w:ascii="宋体" w:hAnsi="宋体" w:eastAsia="宋体" w:cs="宋体"/>
          <w:sz w:val="24"/>
          <w:highlight w:val="none"/>
          <w:lang w:eastAsia="zh-CN"/>
        </w:rPr>
      </w:pPr>
      <w:r>
        <w:rPr>
          <w:rFonts w:hint="eastAsia" w:ascii="宋体" w:hAnsi="宋体" w:eastAsia="宋体" w:cs="宋体"/>
          <w:sz w:val="24"/>
          <w:highlight w:val="none"/>
        </w:rPr>
        <w:t>（1）关于资格的声明函</w:t>
      </w:r>
      <w:r>
        <w:rPr>
          <w:rFonts w:hint="eastAsia" w:ascii="宋体" w:hAnsi="宋体" w:eastAsia="宋体" w:cs="宋体"/>
          <w:b/>
          <w:bCs/>
          <w:sz w:val="24"/>
          <w:highlight w:val="none"/>
        </w:rPr>
        <w:t>（格式见附件）</w:t>
      </w:r>
      <w:r>
        <w:rPr>
          <w:rFonts w:hint="eastAsia" w:ascii="宋体" w:hAnsi="宋体" w:eastAsia="宋体" w:cs="宋体"/>
          <w:sz w:val="24"/>
          <w:highlight w:val="none"/>
          <w:lang w:eastAsia="zh-CN"/>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（2）供应商法人营业执照副本复印件加盖公章；</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（3）供应商法定代表人授权委托书</w:t>
      </w:r>
      <w:r>
        <w:rPr>
          <w:rFonts w:hint="eastAsia" w:ascii="宋体" w:hAnsi="宋体" w:eastAsia="宋体" w:cs="宋体"/>
          <w:b/>
          <w:bCs/>
          <w:sz w:val="24"/>
          <w:highlight w:val="none"/>
        </w:rPr>
        <w:t>（法定代表人亲自参与磋商的除外，格式见附件）</w:t>
      </w:r>
      <w:r>
        <w:rPr>
          <w:rFonts w:hint="eastAsia" w:ascii="宋体" w:hAnsi="宋体" w:eastAsia="宋体" w:cs="宋体"/>
          <w:sz w:val="24"/>
          <w:highlight w:val="none"/>
        </w:rPr>
        <w:t>；</w:t>
      </w:r>
    </w:p>
    <w:p>
      <w:pPr>
        <w:tabs>
          <w:tab w:val="left" w:pos="0"/>
        </w:tabs>
        <w:spacing w:line="360" w:lineRule="auto"/>
        <w:ind w:left="4" w:leftChars="2" w:firstLine="422" w:firstLineChars="176"/>
        <w:rPr>
          <w:rFonts w:hint="eastAsia" w:ascii="宋体" w:hAnsi="宋体" w:eastAsia="宋体" w:cs="宋体"/>
          <w:sz w:val="24"/>
          <w:highlight w:val="none"/>
          <w:lang w:eastAsia="zh-CN"/>
        </w:rPr>
      </w:pPr>
      <w:r>
        <w:rPr>
          <w:rFonts w:hint="eastAsia" w:ascii="宋体" w:hAnsi="宋体" w:eastAsia="宋体" w:cs="宋体"/>
          <w:sz w:val="24"/>
          <w:highlight w:val="none"/>
        </w:rPr>
        <w:t>（4）供应商法定代表人身份证及法定代表人授权代表身份证复印件并加盖公章</w:t>
      </w:r>
      <w:r>
        <w:rPr>
          <w:rFonts w:hint="eastAsia" w:ascii="宋体" w:hAnsi="宋体" w:eastAsia="宋体" w:cs="宋体"/>
          <w:b/>
          <w:bCs/>
          <w:sz w:val="24"/>
          <w:highlight w:val="none"/>
        </w:rPr>
        <w:t>（法定代表人亲自参加</w:t>
      </w:r>
      <w:r>
        <w:rPr>
          <w:rFonts w:hint="eastAsia" w:ascii="宋体" w:hAnsi="宋体" w:eastAsia="宋体" w:cs="宋体"/>
          <w:b/>
          <w:bCs/>
          <w:sz w:val="24"/>
          <w:highlight w:val="none"/>
          <w:lang w:val="en-US" w:eastAsia="zh-CN"/>
        </w:rPr>
        <w:t>磋商</w:t>
      </w:r>
      <w:r>
        <w:rPr>
          <w:rFonts w:hint="eastAsia" w:ascii="宋体" w:hAnsi="宋体" w:eastAsia="宋体" w:cs="宋体"/>
          <w:b/>
          <w:bCs/>
          <w:sz w:val="24"/>
          <w:highlight w:val="none"/>
        </w:rPr>
        <w:t>的除外）</w:t>
      </w:r>
      <w:r>
        <w:rPr>
          <w:rFonts w:hint="eastAsia" w:ascii="宋体" w:hAnsi="宋体" w:eastAsia="宋体" w:cs="宋体"/>
          <w:b/>
          <w:bCs/>
          <w:sz w:val="24"/>
          <w:highlight w:val="none"/>
          <w:lang w:eastAsia="zh-CN"/>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）供应商近三个月中任意一个月份(不含磋商当月)的依法缴纳税收的相关材料（提供相关主管部门证明或银行代扣证明）复印件并加盖公章；</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）供应商近三个月中任意一个月份(不含磋商当月)的财务状况报告（资产负债表和利润表）或由会计师事务所出具的近两年中任意一个年度的审计报告和所附已审财务报告</w:t>
      </w:r>
      <w:r>
        <w:rPr>
          <w:rFonts w:hint="eastAsia" w:ascii="宋体" w:hAnsi="宋体" w:eastAsia="宋体" w:cs="宋体"/>
          <w:sz w:val="24"/>
          <w:highlight w:val="yellow"/>
        </w:rPr>
        <w:t>复印件并加盖公章</w:t>
      </w:r>
      <w:r>
        <w:rPr>
          <w:rFonts w:hint="eastAsia" w:ascii="宋体" w:hAnsi="宋体" w:eastAsia="宋体" w:cs="宋体"/>
          <w:sz w:val="24"/>
          <w:highlight w:val="none"/>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）供应商近三个月中任意一个月份（不含磋商当月)的依法缴纳社会保障资金的相关材料（提供相关主管部门证明或银行代扣证明）复印件并加盖公章；</w:t>
      </w:r>
    </w:p>
    <w:p>
      <w:pPr>
        <w:tabs>
          <w:tab w:val="left" w:pos="0"/>
        </w:tabs>
        <w:spacing w:line="360" w:lineRule="auto"/>
        <w:ind w:left="4" w:leftChars="2" w:firstLine="422" w:firstLineChars="176"/>
        <w:rPr>
          <w:rFonts w:hint="eastAsia" w:ascii="宋体" w:hAnsi="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）被授权委托人提供企业与其签订的劳动合同复印件并加盖公章和《职工养老保险手册》（内附社保部门出具的202</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月-2022年</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月的社保缴费清单</w:t>
      </w:r>
      <w:r>
        <w:rPr>
          <w:rFonts w:hint="eastAsia" w:ascii="宋体" w:hAnsi="宋体" w:eastAsia="宋体" w:cs="宋体"/>
          <w:sz w:val="24"/>
          <w:highlight w:val="none"/>
          <w:lang w:eastAsia="zh-CN"/>
        </w:rPr>
        <w:t>）</w:t>
      </w:r>
      <w:r>
        <w:rPr>
          <w:rFonts w:hint="eastAsia" w:ascii="宋体" w:hAnsi="宋体" w:eastAsia="宋体" w:cs="宋体"/>
          <w:sz w:val="24"/>
          <w:highlight w:val="none"/>
        </w:rPr>
        <w:t>或社保部门出具的企业为其缴费202</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月-2022年</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月带有二维码验证的打印件，法定代表人亲自参与磋商的除外</w:t>
      </w:r>
      <w:r>
        <w:rPr>
          <w:rFonts w:hint="eastAsia" w:ascii="宋体" w:hAnsi="宋体" w:eastAsia="宋体" w:cs="宋体"/>
          <w:sz w:val="24"/>
          <w:highlight w:val="none"/>
          <w:lang w:eastAsia="zh-CN"/>
        </w:rPr>
        <w:t>、</w:t>
      </w:r>
      <w:r>
        <w:rPr>
          <w:rFonts w:hint="eastAsia" w:ascii="宋体" w:hAnsi="宋体" w:eastAsia="宋体" w:cs="宋体"/>
          <w:sz w:val="24"/>
          <w:highlight w:val="none"/>
        </w:rPr>
        <w:t>新成立公司除外)；</w:t>
      </w:r>
    </w:p>
    <w:p>
      <w:pPr>
        <w:pStyle w:val="22"/>
        <w:spacing w:line="360" w:lineRule="auto"/>
        <w:ind w:firstLine="480"/>
        <w:rPr>
          <w:rFonts w:hint="eastAsia" w:ascii="宋体" w:hAnsi="宋体"/>
          <w:sz w:val="24"/>
          <w:szCs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sz w:val="24"/>
          <w:szCs w:val="24"/>
          <w:highlight w:val="none"/>
          <w:lang w:val="en-US" w:eastAsia="zh-CN"/>
        </w:rPr>
        <w:t>中小企业声明函（格式见附件）</w:t>
      </w:r>
      <w:r>
        <w:rPr>
          <w:rFonts w:hint="eastAsia" w:ascii="宋体" w:hAnsi="宋体"/>
          <w:sz w:val="24"/>
          <w:szCs w:val="24"/>
          <w:highlight w:val="none"/>
        </w:rPr>
        <w:t>；</w:t>
      </w:r>
    </w:p>
    <w:p>
      <w:pPr>
        <w:pStyle w:val="22"/>
        <w:spacing w:line="360" w:lineRule="auto"/>
        <w:ind w:firstLine="480"/>
        <w:rPr>
          <w:rFonts w:hint="eastAsia" w:ascii="宋体" w:hAnsi="宋体"/>
          <w:b/>
          <w:bCs/>
          <w:sz w:val="24"/>
          <w:szCs w:val="24"/>
          <w:highlight w:val="none"/>
        </w:rPr>
      </w:pPr>
      <w:r>
        <w:rPr>
          <w:rFonts w:hint="eastAsia" w:ascii="宋体" w:hAnsi="宋体"/>
          <w:b/>
          <w:bCs/>
          <w:sz w:val="24"/>
          <w:szCs w:val="24"/>
          <w:highlight w:val="none"/>
        </w:rPr>
        <w:t>注：①参加</w:t>
      </w:r>
      <w:r>
        <w:rPr>
          <w:rFonts w:hint="eastAsia" w:ascii="宋体" w:hAnsi="宋体"/>
          <w:b/>
          <w:bCs/>
          <w:sz w:val="24"/>
          <w:szCs w:val="24"/>
          <w:highlight w:val="none"/>
          <w:lang w:val="en-US" w:eastAsia="zh-CN"/>
        </w:rPr>
        <w:t>磋商</w:t>
      </w:r>
      <w:r>
        <w:rPr>
          <w:rFonts w:hint="eastAsia" w:ascii="宋体" w:hAnsi="宋体"/>
          <w:b/>
          <w:bCs/>
          <w:sz w:val="24"/>
          <w:szCs w:val="24"/>
          <w:highlight w:val="none"/>
        </w:rPr>
        <w:t>的中小企业,应当按照&lt;政府采购促进中小企业发展管理办法》财库(2020)46号)的规定提供《中小企业声明函》(格式见附件)。(中小企业划型标准详见《关于印发中小企业划型标准规定的通知》工信部联企业(2011) 300 号)。按属于小、微型企业产品细目报价表认真填写。)或参加</w:t>
      </w:r>
      <w:r>
        <w:rPr>
          <w:rFonts w:hint="eastAsia" w:ascii="宋体" w:hAnsi="宋体"/>
          <w:b/>
          <w:bCs/>
          <w:sz w:val="24"/>
          <w:szCs w:val="24"/>
          <w:highlight w:val="none"/>
          <w:lang w:val="en-US" w:eastAsia="zh-CN"/>
        </w:rPr>
        <w:t>磋商</w:t>
      </w:r>
      <w:r>
        <w:rPr>
          <w:rFonts w:hint="eastAsia" w:ascii="宋体" w:hAnsi="宋体"/>
          <w:b/>
          <w:bCs/>
          <w:sz w:val="24"/>
          <w:szCs w:val="24"/>
          <w:highlight w:val="none"/>
        </w:rPr>
        <w:t>的监狱企业，应当按照《关于政府采购支持监狱企业发展有关问题的通知》(财库[2014]68号)的规定提供由省级以上监狱管理局、戒毒管理局(含新疆生产建设兵团)出具的属于监狱企业的证明文件复印件。或参加磋商的残疾人福利性单位，应当按照《财政部、民政部、中国残疾人联合会关于促进残疾人就业政府采购政策的通知》(财库(2017) 141号)的规定提供《残疾人福利性单位声明函》。</w:t>
      </w:r>
    </w:p>
    <w:p>
      <w:pPr>
        <w:pStyle w:val="22"/>
        <w:spacing w:line="360" w:lineRule="auto"/>
        <w:ind w:firstLine="480"/>
        <w:rPr>
          <w:rFonts w:hint="eastAsia" w:ascii="宋体" w:hAnsi="宋体"/>
          <w:b/>
          <w:bCs/>
          <w:sz w:val="24"/>
          <w:szCs w:val="24"/>
          <w:highlight w:val="none"/>
        </w:rPr>
      </w:pPr>
      <w:r>
        <w:rPr>
          <w:rFonts w:hint="eastAsia" w:ascii="宋体" w:hAnsi="宋体"/>
          <w:b/>
          <w:bCs/>
          <w:sz w:val="24"/>
          <w:szCs w:val="24"/>
          <w:highlight w:val="none"/>
        </w:rPr>
        <w:t>②上述资格、资信证明文件供应商必须按要求全部提供，如果原件正在年检（或换证），则必须上传法定年检（或换证）单位出具的有效证明原件扫描件，否则</w:t>
      </w:r>
      <w:r>
        <w:rPr>
          <w:rFonts w:hint="eastAsia" w:ascii="宋体" w:hAnsi="宋体"/>
          <w:b/>
          <w:bCs/>
          <w:sz w:val="24"/>
          <w:szCs w:val="24"/>
          <w:highlight w:val="none"/>
          <w:lang w:val="en-US" w:eastAsia="zh-CN"/>
        </w:rPr>
        <w:t>响应</w:t>
      </w:r>
      <w:r>
        <w:rPr>
          <w:rFonts w:hint="eastAsia" w:ascii="宋体" w:hAnsi="宋体"/>
          <w:b/>
          <w:bCs/>
          <w:sz w:val="24"/>
          <w:szCs w:val="24"/>
          <w:highlight w:val="none"/>
        </w:rPr>
        <w:t>文件无效。如上述资格、资信证明文件遇有国家相关政策规定可不具备的，必须提供相关政策规定或相关单位出具的有效证明复印件。供应商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2.2</w:t>
      </w:r>
      <w:r>
        <w:rPr>
          <w:rFonts w:hint="eastAsia" w:ascii="宋体" w:hAnsi="宋体" w:eastAsia="宋体" w:cs="宋体"/>
          <w:b w:val="0"/>
          <w:bCs/>
          <w:sz w:val="24"/>
          <w:highlight w:val="none"/>
        </w:rPr>
        <w:t>补充证明文件</w:t>
      </w:r>
      <w:r>
        <w:rPr>
          <w:rFonts w:hint="eastAsia" w:ascii="宋体" w:hAnsi="宋体" w:eastAsia="宋体" w:cs="宋体"/>
          <w:b w:val="0"/>
          <w:bCs/>
          <w:sz w:val="24"/>
          <w:highlight w:val="none"/>
          <w:lang w:eastAsia="zh-CN"/>
        </w:rPr>
        <w:t>：</w:t>
      </w:r>
    </w:p>
    <w:p>
      <w:pPr>
        <w:spacing w:line="360" w:lineRule="auto"/>
        <w:ind w:firstLine="480" w:firstLineChars="200"/>
        <w:rPr>
          <w:rFonts w:hint="eastAsia" w:ascii="宋体" w:hAnsi="宋体" w:eastAsia="宋体" w:cs="宋体"/>
          <w:bCs/>
          <w:sz w:val="24"/>
          <w:highlight w:val="none"/>
          <w:lang w:eastAsia="zh-CN"/>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供应商认为有必要提供的其它资料（参照评分标准要求）</w:t>
      </w:r>
      <w:r>
        <w:rPr>
          <w:rFonts w:hint="eastAsia" w:ascii="宋体" w:hAnsi="宋体" w:eastAsia="宋体" w:cs="宋体"/>
          <w:bCs/>
          <w:sz w:val="24"/>
          <w:highlight w:val="none"/>
          <w:lang w:eastAsia="zh-CN"/>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、报价部分：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供应商的磋商报价明显低于其他通过符合性审查供应商的报价（有可能影响产品质量或者不能诚信履约的），</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有权要求供应商在一小时内提供书面说明或相关证明材料以证明其报价合理性，否则作无效响应文件处理。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（1）报价一览表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格式见附件</w:t>
      </w:r>
      <w:r>
        <w:rPr>
          <w:rFonts w:hint="eastAsia" w:ascii="宋体" w:hAnsi="宋体" w:eastAsia="宋体" w:cs="宋体"/>
          <w:sz w:val="24"/>
          <w:highlight w:val="none"/>
          <w:lang w:eastAsia="zh-CN"/>
        </w:rPr>
        <w:t>）</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 w:val="24"/>
          <w:highlight w:val="none"/>
        </w:rPr>
        <w:t>（2）明细报价表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格式见附件</w:t>
      </w:r>
      <w:r>
        <w:rPr>
          <w:rFonts w:hint="eastAsia" w:ascii="宋体" w:hAnsi="宋体" w:eastAsia="宋体" w:cs="宋体"/>
          <w:sz w:val="24"/>
          <w:highlight w:val="none"/>
          <w:lang w:eastAsia="zh-CN"/>
        </w:rPr>
        <w:t>）</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、技术部分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（1）项目背景及现状分析；</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（2）社区宣传推广及入户评估工作方案；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（3）改造方案；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（4）进度计划及进度保障措施；</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（5）适老化改造管理系统</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）售后服务方案。</w:t>
      </w:r>
    </w:p>
    <w:p>
      <w:pPr>
        <w:pStyle w:val="2"/>
        <w:spacing w:line="360" w:lineRule="auto"/>
        <w:ind w:firstLine="480" w:firstLineChars="200"/>
        <w:rPr>
          <w:rFonts w:hint="default"/>
          <w:lang w:val="en-US"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7</w:t>
      </w:r>
      <w:r>
        <w:rPr>
          <w:rFonts w:hint="eastAsia" w:ascii="宋体" w:hAnsi="宋体" w:cs="宋体"/>
          <w:sz w:val="24"/>
          <w:highlight w:val="none"/>
          <w:lang w:eastAsia="zh-CN"/>
        </w:rPr>
        <w:t>）</w:t>
      </w:r>
      <w:r>
        <w:rPr>
          <w:rFonts w:hint="eastAsia" w:ascii="宋体" w:hAnsi="宋体" w:cs="宋体"/>
          <w:sz w:val="24"/>
          <w:highlight w:val="none"/>
          <w:lang w:val="en-US" w:eastAsia="zh-CN"/>
        </w:rPr>
        <w:t>产品清单响应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（六）</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报价说明：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本项目需对</w:t>
      </w:r>
      <w:r>
        <w:rPr>
          <w:rFonts w:hint="eastAsia" w:ascii="宋体" w:hAnsi="宋体" w:eastAsia="宋体" w:cs="宋体"/>
          <w:bCs/>
          <w:color w:val="auto"/>
          <w:sz w:val="24"/>
          <w:szCs w:val="24"/>
          <w:highlight w:val="none"/>
          <w:lang w:val="en-US" w:eastAsia="zh-CN"/>
        </w:rPr>
        <w:t>磋商文件中的货物（或服务）单价进行报价</w:t>
      </w:r>
      <w:r>
        <w:rPr>
          <w:rFonts w:hint="eastAsia" w:ascii="宋体" w:hAnsi="宋体" w:eastAsia="宋体" w:cs="宋体"/>
          <w:sz w:val="24"/>
          <w:highlight w:val="none"/>
          <w:lang w:val="en-US" w:eastAsia="zh-CN"/>
        </w:rPr>
        <w:t>，总报价应为完成本项目所需的一切费用，</w:t>
      </w:r>
      <w:r>
        <w:rPr>
          <w:rFonts w:hint="eastAsia" w:ascii="宋体" w:hAnsi="宋体" w:eastAsia="宋体" w:cs="宋体"/>
          <w:kern w:val="2"/>
          <w:sz w:val="24"/>
          <w:szCs w:val="24"/>
          <w:highlight w:val="none"/>
          <w:lang w:val="en-US" w:eastAsia="zh-CN" w:bidi="ar-SA"/>
        </w:rPr>
        <w:t>包括磋商文件所确定的磋商范围内的全部货物、材料、随货物提供的备品备件、专用工具的价格（包括关税、增值税、检验检疫费）、包装费、运杂费（运抵采购人每户改造对象项目现场）、运输保险费、老年人身体能力评估与居家环境评估费、入户安装费、入户调试费、入户检测费、入户人工费、工资、社会保险、工商意外险、福利、津贴、保修期内维保费、操作维护及使用人员培训费、开票税金及供应商认为需要的其他费用等一切费用。供应商由于考虑不周，漏报、少报而要求追加报价将不会被采购人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2、除非采购人对</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予以修改，</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应按采购人提供的项目要求，填报单价和合价。</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未填明细的子目，视为该项目费用已包括在其他有价款的单价或合价内，在实施后，采购人将不另行支付。每一报价明细只允许有一个报价。任何有选择的报价将不予接受。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w:t>
      </w:r>
      <w:r>
        <w:rPr>
          <w:rFonts w:hint="eastAsia" w:ascii="宋体" w:hAnsi="宋体" w:eastAsia="宋体" w:cs="宋体"/>
          <w:bCs/>
          <w:color w:val="auto"/>
          <w:sz w:val="24"/>
          <w:szCs w:val="24"/>
          <w:highlight w:val="none"/>
          <w:lang w:val="en-US" w:eastAsia="zh-CN"/>
        </w:rPr>
        <w:t>旺庄街道政府兜底保障对象约40</w:t>
      </w:r>
      <w:r>
        <w:rPr>
          <w:rFonts w:hint="eastAsia" w:ascii="宋体" w:hAnsi="宋体" w:eastAsia="宋体" w:cs="宋体"/>
          <w:bCs/>
          <w:color w:val="auto"/>
          <w:sz w:val="24"/>
          <w:szCs w:val="24"/>
          <w:highlight w:val="none"/>
        </w:rPr>
        <w:t>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补贴标准上限不超8000元/每户；</w:t>
      </w:r>
      <w:r>
        <w:rPr>
          <w:rFonts w:hint="eastAsia" w:ascii="宋体" w:hAnsi="宋体" w:eastAsia="宋体" w:cs="宋体"/>
          <w:bCs/>
          <w:color w:val="auto"/>
          <w:sz w:val="24"/>
          <w:szCs w:val="24"/>
          <w:highlight w:val="none"/>
        </w:rPr>
        <w:t>基础改造服务对象</w:t>
      </w:r>
      <w:r>
        <w:rPr>
          <w:rFonts w:hint="eastAsia" w:ascii="宋体" w:hAnsi="宋体" w:eastAsia="宋体" w:cs="宋体"/>
          <w:bCs/>
          <w:color w:val="auto"/>
          <w:sz w:val="24"/>
          <w:szCs w:val="24"/>
          <w:highlight w:val="none"/>
          <w:lang w:val="en-US" w:eastAsia="zh-CN"/>
        </w:rPr>
        <w:t>约2000</w:t>
      </w:r>
      <w:r>
        <w:rPr>
          <w:rFonts w:hint="eastAsia" w:ascii="宋体" w:hAnsi="宋体" w:eastAsia="宋体" w:cs="宋体"/>
          <w:bCs/>
          <w:color w:val="auto"/>
          <w:sz w:val="24"/>
          <w:szCs w:val="24"/>
          <w:highlight w:val="none"/>
        </w:rPr>
        <w:t>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补贴标准上限不超1000元/每户。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highlight w:val="none"/>
        </w:rPr>
      </w:pPr>
      <w:r>
        <w:rPr>
          <w:rFonts w:hint="eastAsia" w:ascii="宋体" w:hAnsi="宋体" w:eastAsia="宋体" w:cs="宋体"/>
          <w:bCs/>
          <w:sz w:val="24"/>
          <w:highlight w:val="none"/>
        </w:rPr>
        <w:t>（七）</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文件的要求：</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1、所有文件、往来函件均应使用简体中文（规格、型号辅助符号除外）。</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文件由</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按给定格式如实填写（编写），须有法人（盖章）、法定代表人或法定代表人授权代表签字或盖章，方为有效，未尽事宜可自行补充。</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3、</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报价一律以人民币为报价结算货币，结算单位为“元”。</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4、</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文件格式部分，应由</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按给定格式提供，不得更改。</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5、</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文件不应有涂改、增删和潦草之处，如有必须修改时，修改处必须有法人、法定代表人或法定代表人授权代表的签章。</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6、</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费用自理。</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7、</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应由其法定代表人或法定代表人授权代表在规定的网上</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时间内，凭CA数字证书登陆政府采购交易管理一体化系统获取</w:t>
      </w:r>
      <w:r>
        <w:rPr>
          <w:rFonts w:hint="eastAsia" w:ascii="宋体" w:hAnsi="宋体" w:eastAsia="宋体" w:cs="宋体"/>
          <w:bCs/>
          <w:sz w:val="24"/>
          <w:highlight w:val="none"/>
          <w:lang w:val="en-US" w:eastAsia="zh-CN"/>
        </w:rPr>
        <w:t>磋商文件</w:t>
      </w:r>
      <w:r>
        <w:rPr>
          <w:rFonts w:hint="eastAsia" w:ascii="宋体" w:hAnsi="宋体" w:eastAsia="宋体" w:cs="宋体"/>
          <w:bCs/>
          <w:sz w:val="24"/>
          <w:highlight w:val="none"/>
        </w:rPr>
        <w:t>，在客户端制作</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文件（电子数据），并在截止时间之前上传</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8、</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应对CA数字证书妥善保管，如被他人盗用，后果自负。</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9、</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规定的网上解密时间进行解密，如未按时解密后果自负。</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10、</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应当对</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提出的要求和条件作出实质性响应，并在电子投标系统逐条应答。</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11、</w:t>
      </w:r>
      <w:r>
        <w:rPr>
          <w:rFonts w:hint="eastAsia" w:ascii="宋体" w:hAnsi="宋体" w:eastAsia="宋体" w:cs="宋体"/>
          <w:bCs/>
          <w:sz w:val="24"/>
          <w:highlight w:val="none"/>
          <w:lang w:val="en-US" w:eastAsia="zh-CN"/>
        </w:rPr>
        <w:t>供应商</w:t>
      </w:r>
      <w:r>
        <w:rPr>
          <w:rFonts w:hint="eastAsia" w:ascii="宋体" w:hAnsi="宋体" w:eastAsia="宋体" w:cs="宋体"/>
          <w:bCs/>
          <w:sz w:val="24"/>
          <w:highlight w:val="none"/>
        </w:rPr>
        <w:t>应对要求提供的资格证明文件（如资质证书、资格证书）、技术资料（如白皮书、彩页、手册等）扫描上传至投标系统。</w:t>
      </w:r>
    </w:p>
    <w:p>
      <w:pPr>
        <w:tabs>
          <w:tab w:val="left" w:pos="525"/>
          <w:tab w:val="left" w:pos="840"/>
          <w:tab w:val="left" w:pos="1060"/>
        </w:tabs>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12、</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进行网上</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请参照《政府采购项目电子交易管理操作指南-供应商》。</w:t>
      </w:r>
    </w:p>
    <w:p>
      <w:pPr>
        <w:adjustRightInd w:val="0"/>
        <w:snapToGrid w:val="0"/>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（八）无效</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文件的确认：</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有下列情况之一者，其</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文件无效：</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1、未按规定在无锡市政府采购供应商信息库注册的；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2、电子</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文件未按规定期限上传的；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3、电子</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文件未按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要求签章的；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4、</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未按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要求解密</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5、</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的法定代表人授权代表，无法定代表人授权委托书的；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6、不具备</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中规定的资格要求或未按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规定的要求提供资格、资信证明文件；</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7、被“信用中国”网站（www.creditchina.gov.cn）、中国政府采购网(www.ccgp.gov.cn)、“信用江苏”网站（credit.jiangsu.gov.cn）列入失信被执行人、重大税收违法案件当事人名单、政府采购严重违法失信行为记录名单的；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8、</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文件未按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规定的内容和要求填写的；没有在投标系统指定位置上传对应文件、材料的；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9、电子</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文件图片、字迹模糊不清、无法辨认的；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10、</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文件中有</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未允许提供的选择性内容的；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11、恶意串通其他</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，故意哄抬价格或压价的；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12、提供虚假材料的（包括工商营业执照、财务报表、资格、资信证明文件等）；</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13、</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w:t>
      </w:r>
      <w:r>
        <w:rPr>
          <w:rFonts w:hint="eastAsia" w:ascii="宋体" w:hAnsi="宋体" w:eastAsia="宋体" w:cs="宋体"/>
          <w:bCs/>
          <w:sz w:val="24"/>
          <w:highlight w:val="none"/>
          <w:lang w:val="en-US" w:eastAsia="zh-CN"/>
        </w:rPr>
        <w:t>件未</w:t>
      </w:r>
      <w:r>
        <w:rPr>
          <w:rFonts w:hint="eastAsia" w:ascii="宋体" w:hAnsi="宋体" w:eastAsia="宋体" w:cs="宋体"/>
          <w:bCs/>
          <w:sz w:val="24"/>
          <w:highlight w:val="none"/>
        </w:rPr>
        <w:t>加盖</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公章及法定代表人或授权代表签字和盖章的；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w:t>
      </w: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委托同一单位或者个人办理</w:t>
      </w:r>
      <w:r>
        <w:rPr>
          <w:rFonts w:hint="eastAsia" w:ascii="宋体" w:hAnsi="宋体" w:eastAsia="宋体" w:cs="宋体"/>
          <w:bCs/>
          <w:sz w:val="24"/>
          <w:highlight w:val="none"/>
          <w:lang w:val="en-US" w:eastAsia="zh-CN"/>
        </w:rPr>
        <w:t>磋商</w:t>
      </w:r>
      <w:r>
        <w:rPr>
          <w:rFonts w:hint="eastAsia" w:ascii="宋体" w:hAnsi="宋体" w:eastAsia="宋体" w:cs="宋体"/>
          <w:bCs/>
          <w:sz w:val="24"/>
          <w:highlight w:val="none"/>
        </w:rPr>
        <w:t>事宜；</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载明的项目管理成员或者联系人为同一人的；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w:t>
      </w:r>
      <w:r>
        <w:rPr>
          <w:rFonts w:hint="eastAsia" w:ascii="宋体" w:hAnsi="宋体" w:eastAsia="宋体" w:cs="宋体"/>
          <w:bCs/>
          <w:sz w:val="24"/>
          <w:highlight w:val="none"/>
          <w:lang w:val="en-US" w:eastAsia="zh-CN"/>
        </w:rPr>
        <w:t>6</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异常一致或者报价呈规律性差异；</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w:t>
      </w:r>
      <w:r>
        <w:rPr>
          <w:rFonts w:hint="eastAsia" w:ascii="宋体" w:hAnsi="宋体" w:eastAsia="宋体" w:cs="宋体"/>
          <w:bCs/>
          <w:sz w:val="24"/>
          <w:highlight w:val="none"/>
          <w:lang w:val="en-US" w:eastAsia="zh-CN"/>
        </w:rPr>
        <w:t>7</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的单位负责人为同一人或者存在直接控股、管理关系的；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1</w:t>
      </w:r>
      <w:r>
        <w:rPr>
          <w:rFonts w:hint="eastAsia" w:ascii="宋体" w:hAnsi="宋体" w:eastAsia="宋体" w:cs="宋体"/>
          <w:bCs/>
          <w:sz w:val="24"/>
          <w:highlight w:val="none"/>
          <w:lang w:val="en-US" w:eastAsia="zh-CN"/>
        </w:rPr>
        <w:t>8</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lang w:val="en-US" w:eastAsia="zh-CN"/>
        </w:rPr>
        <w:t>的</w:t>
      </w:r>
      <w:r>
        <w:rPr>
          <w:rFonts w:hint="eastAsia" w:ascii="宋体" w:hAnsi="宋体" w:eastAsia="宋体" w:cs="宋体"/>
          <w:bCs/>
          <w:sz w:val="24"/>
          <w:highlight w:val="none"/>
        </w:rPr>
        <w:t>响应文件相互混装的</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不同</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的委托代理人、项目负责人以及其他相关人员有在同一个单位缴纳社会保险的</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同一</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中单位名称落款与公章不是同一单位的；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19</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中含有采购人不能接受的附加条件的；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0</w:t>
      </w:r>
      <w:r>
        <w:rPr>
          <w:rFonts w:hint="eastAsia" w:ascii="宋体" w:hAnsi="宋体" w:eastAsia="宋体" w:cs="宋体"/>
          <w:bCs/>
          <w:sz w:val="24"/>
          <w:highlight w:val="none"/>
        </w:rPr>
        <w:t>、</w:t>
      </w:r>
      <w:r>
        <w:rPr>
          <w:rFonts w:hint="eastAsia" w:ascii="宋体" w:hAnsi="宋体" w:eastAsia="宋体" w:cs="宋体"/>
          <w:bCs/>
          <w:sz w:val="24"/>
          <w:highlight w:val="none"/>
          <w:lang w:val="en-US" w:eastAsia="zh-CN"/>
        </w:rPr>
        <w:t>响应</w:t>
      </w:r>
      <w:r>
        <w:rPr>
          <w:rFonts w:hint="eastAsia" w:ascii="宋体" w:hAnsi="宋体" w:eastAsia="宋体" w:cs="宋体"/>
          <w:bCs/>
          <w:sz w:val="24"/>
          <w:highlight w:val="none"/>
        </w:rPr>
        <w:t>文件中同一方案有选择性报价且未声明以哪一个为准的；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rPr>
        <w:t>、未按要求提供技术文件的；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、报价超过</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规定的预算金额或者最高限价的；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、经</w:t>
      </w:r>
      <w:r>
        <w:rPr>
          <w:rFonts w:hint="eastAsia" w:ascii="宋体" w:hAnsi="宋体" w:eastAsia="宋体" w:cs="宋体"/>
          <w:bCs/>
          <w:sz w:val="24"/>
          <w:highlight w:val="none"/>
          <w:lang w:eastAsia="zh-CN"/>
        </w:rPr>
        <w:t>评审小组</w:t>
      </w:r>
      <w:r>
        <w:rPr>
          <w:rFonts w:hint="eastAsia" w:ascii="宋体" w:hAnsi="宋体" w:eastAsia="宋体" w:cs="宋体"/>
          <w:bCs/>
          <w:sz w:val="24"/>
          <w:highlight w:val="none"/>
        </w:rPr>
        <w:t>认定</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的报价明显低于其他通过符合性审查</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的报价（有可能影响产品质量或者不能诚信履约的），且</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未能在一小时内提供书面说明或相关证明材料的证明其报价合理性的；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、未通过</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资格性检查、</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符合性检查的；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rPr>
        <w:t>、列入失信被执行人、重大税收违法案件当事人名单、政府采购严重违法失信行为记录名单及其他不符合《中华人民共和国政府采购法》第二十二条规定条件的；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6</w:t>
      </w:r>
      <w:r>
        <w:rPr>
          <w:rFonts w:hint="eastAsia" w:ascii="宋体" w:hAnsi="宋体" w:eastAsia="宋体" w:cs="宋体"/>
          <w:bCs/>
          <w:sz w:val="24"/>
          <w:highlight w:val="none"/>
        </w:rPr>
        <w:t>、技术文件编制粗糙，缺漏项较多，或技术标页数偏少的；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2</w:t>
      </w:r>
      <w:r>
        <w:rPr>
          <w:rFonts w:hint="eastAsia" w:ascii="宋体" w:hAnsi="宋体" w:eastAsia="宋体" w:cs="宋体"/>
          <w:bCs/>
          <w:sz w:val="24"/>
          <w:highlight w:val="none"/>
          <w:lang w:val="en-US" w:eastAsia="zh-CN"/>
        </w:rPr>
        <w:t>7</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的报价畸高或畸低，总报价与各分项报价不能相互对应，在询标时没有合理的解释或者不能提供计算依据和报价依据的；</w:t>
      </w:r>
    </w:p>
    <w:p>
      <w:pPr>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28</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响应文件</w:t>
      </w:r>
      <w:r>
        <w:rPr>
          <w:rFonts w:hint="eastAsia" w:ascii="宋体" w:hAnsi="宋体" w:eastAsia="宋体" w:cs="宋体"/>
          <w:bCs/>
          <w:sz w:val="24"/>
          <w:highlight w:val="none"/>
        </w:rPr>
        <w:t>内容不全或不符合法律法规和</w:t>
      </w:r>
      <w:r>
        <w:rPr>
          <w:rFonts w:hint="eastAsia" w:ascii="宋体" w:hAnsi="宋体" w:eastAsia="宋体" w:cs="宋体"/>
          <w:bCs/>
          <w:sz w:val="24"/>
          <w:highlight w:val="none"/>
          <w:lang w:eastAsia="zh-CN"/>
        </w:rPr>
        <w:t>磋商文件</w:t>
      </w:r>
      <w:r>
        <w:rPr>
          <w:rFonts w:hint="eastAsia" w:ascii="宋体" w:hAnsi="宋体" w:eastAsia="宋体" w:cs="宋体"/>
          <w:bCs/>
          <w:sz w:val="24"/>
          <w:highlight w:val="none"/>
        </w:rPr>
        <w:t>中规定的其他实质性要求的。</w:t>
      </w:r>
    </w:p>
    <w:p>
      <w:pPr>
        <w:adjustRightInd w:val="0"/>
        <w:snapToGrid w:val="0"/>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（九） 开标、评标：</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1、所有供应商在磋商文件规定的时间内解密各自响应文件；</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2、磋商截止时间后参加的供应商或解密响应文件的供应商不足三家的，不继续进行；</w:t>
      </w:r>
    </w:p>
    <w:p>
      <w:pPr>
        <w:tabs>
          <w:tab w:val="left" w:pos="840"/>
          <w:tab w:val="left" w:pos="1050"/>
        </w:tabs>
        <w:spacing w:line="360" w:lineRule="auto"/>
        <w:ind w:firstLine="600" w:firstLineChars="250"/>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3、磋商时，响应文件报价出现前后不一致的，按照下列规定修正：</w:t>
      </w:r>
    </w:p>
    <w:p>
      <w:pPr>
        <w:tabs>
          <w:tab w:val="left" w:pos="840"/>
          <w:tab w:val="left" w:pos="1050"/>
        </w:tabs>
        <w:spacing w:line="360" w:lineRule="auto"/>
        <w:ind w:firstLine="600" w:firstLineChars="250"/>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（1）响应文件中开标一览表（报价表）内容与响应文件中相应内容不一致的，以开标一览表（报价表）为准；</w:t>
      </w:r>
    </w:p>
    <w:p>
      <w:pPr>
        <w:tabs>
          <w:tab w:val="left" w:pos="840"/>
          <w:tab w:val="left" w:pos="1050"/>
        </w:tabs>
        <w:spacing w:line="360" w:lineRule="auto"/>
        <w:ind w:firstLine="600" w:firstLineChars="250"/>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（2）大写金额和小写金额不一致的，以大写金额为准；</w:t>
      </w:r>
    </w:p>
    <w:p>
      <w:pPr>
        <w:tabs>
          <w:tab w:val="left" w:pos="840"/>
          <w:tab w:val="left" w:pos="1050"/>
        </w:tabs>
        <w:spacing w:line="360" w:lineRule="auto"/>
        <w:ind w:firstLine="600" w:firstLineChars="250"/>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（3）单价金额小数点或者百分比有明显错位的，以开标一览表的总价为准，并修改单价；</w:t>
      </w:r>
    </w:p>
    <w:p>
      <w:pPr>
        <w:tabs>
          <w:tab w:val="left" w:pos="840"/>
          <w:tab w:val="left" w:pos="1050"/>
        </w:tabs>
        <w:spacing w:line="360" w:lineRule="auto"/>
        <w:ind w:firstLine="600" w:firstLineChars="250"/>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（4）总价金额与按单价汇总金额不一致的，以单价金额计算结果为准。</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同时出现两种以上不一致的，按照前款规定的顺序修正。修正后的报价评审小组应当以书面形式要求供应商作出必要的澄清、说明或者补正，经供应商确认后产生约束力，供应商不确认的，其响应文件无效。</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4、电子响应文件与纸质响应文件（如有）不符的，以电子响应文件为准。</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5、供应商未参加开标的，视同认可开标结果。</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6、评标程序</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6.1评标工作由江苏达瑞德工程管理咨询有限公司负责组织，具体评标事务由依法组建的评审小组（</w:t>
      </w:r>
      <w:r>
        <w:rPr>
          <w:rFonts w:hint="eastAsia" w:ascii="宋体" w:hAnsi="宋体" w:eastAsia="宋体" w:cs="宋体"/>
          <w:sz w:val="24"/>
          <w:highlight w:val="none"/>
          <w:lang w:eastAsia="zh-CN"/>
        </w:rPr>
        <w:t>评审小组</w:t>
      </w:r>
      <w:r>
        <w:rPr>
          <w:rFonts w:hint="eastAsia" w:ascii="宋体" w:hAnsi="宋体" w:eastAsia="宋体" w:cs="宋体"/>
          <w:sz w:val="24"/>
          <w:highlight w:val="none"/>
          <w:lang w:val="en-US" w:eastAsia="zh-CN"/>
        </w:rPr>
        <w:t>）负责。</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6.2响应文件初审。初审分为资格性检查和符合性检查。</w:t>
      </w:r>
    </w:p>
    <w:p>
      <w:pPr>
        <w:tabs>
          <w:tab w:val="left" w:pos="840"/>
          <w:tab w:val="left" w:pos="1050"/>
        </w:tabs>
        <w:spacing w:line="360" w:lineRule="auto"/>
        <w:ind w:firstLine="600" w:firstLineChars="25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6.3资格性检</w:t>
      </w:r>
      <w:r>
        <w:rPr>
          <w:rFonts w:hint="eastAsia" w:ascii="宋体" w:hAnsi="宋体" w:eastAsia="宋体" w:cs="宋体"/>
          <w:color w:val="auto"/>
          <w:sz w:val="24"/>
          <w:highlight w:val="none"/>
          <w:lang w:val="en-US" w:eastAsia="zh-CN"/>
        </w:rPr>
        <w:t>查。采购人依据法</w:t>
      </w:r>
      <w:r>
        <w:rPr>
          <w:rFonts w:hint="eastAsia" w:ascii="宋体" w:hAnsi="宋体" w:eastAsia="宋体" w:cs="宋体"/>
          <w:sz w:val="24"/>
          <w:highlight w:val="none"/>
          <w:lang w:val="en-US" w:eastAsia="zh-CN"/>
        </w:rPr>
        <w:t>律法规和磋商文件的规定，对响应文件中的资格证明等进行审查；采购人或采购代理机构在评审前通过“信用中国”网站（www.creditchina.gov.cn）、中国政府采购网(www.ccgp.gov.cn)查询供应商，是否被列入失信被执行人、重大税收违法案件当事人名单、政府采购严重违法失信行为记录名单，以确定供应商是否具备磋商资格。</w:t>
      </w:r>
    </w:p>
    <w:p>
      <w:pPr>
        <w:tabs>
          <w:tab w:val="left" w:pos="840"/>
          <w:tab w:val="left" w:pos="1050"/>
        </w:tabs>
        <w:spacing w:line="360" w:lineRule="auto"/>
        <w:ind w:firstLine="600" w:firstLineChars="25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对响应文件的有效性、完整性和响应程度进行检查</w:t>
      </w:r>
      <w:r>
        <w:rPr>
          <w:rFonts w:hint="eastAsia" w:ascii="宋体" w:hAnsi="宋体" w:eastAsia="宋体" w:cs="宋体"/>
          <w:sz w:val="24"/>
          <w:highlight w:val="none"/>
          <w:lang w:eastAsia="zh-CN"/>
        </w:rPr>
        <w:t>，</w:t>
      </w:r>
      <w:r>
        <w:rPr>
          <w:rFonts w:hint="eastAsia" w:ascii="宋体" w:hAnsi="宋体" w:eastAsia="宋体" w:cs="宋体"/>
          <w:sz w:val="24"/>
          <w:highlight w:val="none"/>
        </w:rPr>
        <w:t>以确定供应商提供资格证明的合法性、真实性，是否具备磋商资格。</w:t>
      </w:r>
    </w:p>
    <w:p>
      <w:pPr>
        <w:tabs>
          <w:tab w:val="left" w:pos="840"/>
          <w:tab w:val="left" w:pos="1050"/>
        </w:tabs>
        <w:spacing w:line="360" w:lineRule="auto"/>
        <w:ind w:firstLine="600" w:firstLineChars="25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对意见难以统一或出现争议的事项，</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按照少数服从多数的原则，全体成员进行表决。</w:t>
      </w:r>
    </w:p>
    <w:p>
      <w:pPr>
        <w:tabs>
          <w:tab w:val="left" w:pos="840"/>
          <w:tab w:val="left" w:pos="1050"/>
        </w:tabs>
        <w:spacing w:line="360" w:lineRule="auto"/>
        <w:ind w:firstLine="600" w:firstLineChars="25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r>
        <w:rPr>
          <w:rFonts w:hint="eastAsia" w:ascii="宋体" w:hAnsi="宋体" w:eastAsia="宋体" w:cs="宋体"/>
          <w:sz w:val="24"/>
          <w:highlight w:val="none"/>
          <w:lang w:eastAsia="zh-CN"/>
        </w:rPr>
        <w:t>评审小组</w:t>
      </w:r>
      <w:r>
        <w:rPr>
          <w:rFonts w:hint="eastAsia" w:ascii="宋体" w:hAnsi="宋体" w:eastAsia="宋体" w:cs="宋体"/>
          <w:sz w:val="24"/>
          <w:highlight w:val="none"/>
          <w:lang w:val="en-US" w:eastAsia="zh-CN"/>
        </w:rPr>
        <w:t>可以通过政府采购交易管理一体化系统发起询标，要求供应商作出必要的澄清、说明或者纠正。供应商的澄清、说明或者补正应当通过政府采购交易管理一体化系统，由其授权的代表应答并加盖电子公章，且不得超出响应文件的范围或者改变响应文件的实质性内容。</w:t>
      </w:r>
    </w:p>
    <w:p>
      <w:pPr>
        <w:tabs>
          <w:tab w:val="left" w:pos="52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磋商结束后，</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要求所有实质性响应的供应商在规定时间内提交最后报价，提交最后报价的供应商不得少于3家。</w:t>
      </w:r>
    </w:p>
    <w:p>
      <w:pPr>
        <w:tabs>
          <w:tab w:val="left" w:pos="52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最后报价是供应商响应文件的有效组成部分。</w:t>
      </w:r>
    </w:p>
    <w:p>
      <w:pPr>
        <w:tabs>
          <w:tab w:val="left" w:pos="52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经磋商确定最终采购需求和提交最后报价的供应商后，由</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采用综合评分法对提交最后报价的供应商的响应文件和最后报价进行综合评分。</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.2比较与评价</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.2.1本项目对</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对确定最终采购需求和提交最后报价的供应商采用综合评分法进行比较与评价。经评审有效的响应文件按磋商文件中规定的磋商方法和标准，由</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进行比较与评价。综合评分法，是指响应文件满足磋商文件全部实质性要求且按评审因素的量化指标评审得分最高的供应商为成交候选供应商的评审方法。</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.2.2</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各成员独立对每个有效响应的文件进行评价、打分，然后汇总每个供应商每项评分因素的得分。</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.2.3评审全部结束后，由工作人员在公证或监督下，在磋商地点当场核对、汇总各供应商得分，确定各供应商总分和最终排序。</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.2.4</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应当根据综合评分情况，按照评审得分，由高到低顺序推荐三名以上成交候选供应商，评审得分相同的，按照最后报价由低到高的顺序推荐。评审得分且最后报价相同的，按照技术指标优劣顺序推荐。</w:t>
      </w:r>
    </w:p>
    <w:p>
      <w:pPr>
        <w:tabs>
          <w:tab w:val="left" w:pos="1365"/>
        </w:tabs>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.2.5若多家供应商提供相同品牌的产品且通过资格审查、符合性审查的，按一家供应商计算，评审后得分最高的同品牌供应商获得</w:t>
      </w:r>
      <w:r>
        <w:rPr>
          <w:rFonts w:hint="eastAsia" w:ascii="宋体" w:hAnsi="宋体" w:eastAsia="宋体" w:cs="宋体"/>
          <w:sz w:val="24"/>
          <w:highlight w:val="none"/>
          <w:lang w:val="en-US" w:eastAsia="zh-CN"/>
        </w:rPr>
        <w:t>成交供应商</w:t>
      </w:r>
      <w:r>
        <w:rPr>
          <w:rFonts w:hint="eastAsia" w:ascii="宋体" w:hAnsi="宋体" w:eastAsia="宋体" w:cs="宋体"/>
          <w:sz w:val="24"/>
          <w:highlight w:val="none"/>
        </w:rPr>
        <w:t>推荐资格；评审得分相同的，采取随机抽取方式确定，其他同品牌供应商不作为候选人。</w:t>
      </w:r>
    </w:p>
    <w:p>
      <w:pPr>
        <w:numPr>
          <w:ilvl w:val="0"/>
          <w:numId w:val="1"/>
        </w:numPr>
        <w:spacing w:line="360" w:lineRule="auto"/>
        <w:ind w:firstLine="480" w:firstLineChars="200"/>
        <w:rPr>
          <w:rFonts w:hint="eastAsia" w:ascii="宋体" w:hAnsi="宋体" w:eastAsia="宋体" w:cs="宋体"/>
          <w:bCs/>
          <w:kern w:val="2"/>
          <w:sz w:val="24"/>
          <w:highlight w:val="none"/>
        </w:rPr>
      </w:pPr>
      <w:r>
        <w:rPr>
          <w:rFonts w:hint="eastAsia" w:ascii="宋体" w:hAnsi="宋体" w:eastAsia="宋体" w:cs="宋体"/>
          <w:bCs/>
          <w:kern w:val="2"/>
          <w:sz w:val="24"/>
          <w:highlight w:val="none"/>
        </w:rPr>
        <w:t>评标方法和主要因素：</w:t>
      </w:r>
    </w:p>
    <w:p>
      <w:pPr>
        <w:numPr>
          <w:ilvl w:val="0"/>
          <w:numId w:val="0"/>
        </w:num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综合评分法满分为100分，计分均保留2位小数。</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03"/>
        <w:gridCol w:w="1327"/>
        <w:gridCol w:w="5193"/>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84" w:type="dxa"/>
            <w:vAlign w:val="center"/>
          </w:tcPr>
          <w:p>
            <w:pPr>
              <w:spacing w:line="400" w:lineRule="exact"/>
              <w:jc w:val="center"/>
              <w:rPr>
                <w:rFonts w:hint="eastAsia" w:ascii="宋体" w:hAnsi="宋体" w:eastAsia="宋体" w:cs="宋体"/>
                <w:b/>
                <w:sz w:val="24"/>
                <w:szCs w:val="24"/>
              </w:rPr>
            </w:pPr>
            <w:bookmarkStart w:id="2" w:name="_Hlk32331453"/>
            <w:r>
              <w:rPr>
                <w:rFonts w:hint="eastAsia" w:ascii="宋体" w:hAnsi="宋体" w:eastAsia="宋体" w:cs="宋体"/>
                <w:b/>
                <w:sz w:val="24"/>
                <w:szCs w:val="24"/>
              </w:rPr>
              <w:t>评分项</w:t>
            </w:r>
          </w:p>
        </w:tc>
        <w:tc>
          <w:tcPr>
            <w:tcW w:w="703" w:type="dxa"/>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327" w:type="dxa"/>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评分因素</w:t>
            </w:r>
          </w:p>
        </w:tc>
        <w:tc>
          <w:tcPr>
            <w:tcW w:w="5193" w:type="dxa"/>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评分细则</w:t>
            </w:r>
          </w:p>
        </w:tc>
        <w:tc>
          <w:tcPr>
            <w:tcW w:w="664" w:type="dxa"/>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一、价格部分</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（20分）</w:t>
            </w:r>
          </w:p>
        </w:tc>
        <w:tc>
          <w:tcPr>
            <w:tcW w:w="703"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1327"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5193" w:type="dxa"/>
            <w:vAlign w:val="center"/>
          </w:tcPr>
          <w:p>
            <w:pPr>
              <w:tabs>
                <w:tab w:val="left" w:pos="945"/>
                <w:tab w:val="left" w:pos="1155"/>
              </w:tabs>
              <w:spacing w:line="360" w:lineRule="auto"/>
              <w:rPr>
                <w:rFonts w:hint="eastAsia" w:ascii="宋体" w:hAnsi="宋体" w:eastAsia="宋体" w:cs="宋体"/>
                <w:bCs/>
                <w:sz w:val="24"/>
              </w:rPr>
            </w:pPr>
            <w:r>
              <w:rPr>
                <w:rFonts w:hint="eastAsia" w:ascii="宋体" w:hAnsi="宋体" w:eastAsia="宋体" w:cs="宋体"/>
                <w:bCs/>
                <w:sz w:val="24"/>
              </w:rPr>
              <w:t>采用低价优先法计算，即满足磋商文件要求且最后报价最低的供应商报价为磋商基准价，其价格分为满分</w:t>
            </w:r>
            <w:r>
              <w:rPr>
                <w:rFonts w:hint="eastAsia" w:ascii="宋体" w:hAnsi="宋体" w:eastAsia="宋体" w:cs="宋体"/>
                <w:bCs/>
                <w:sz w:val="24"/>
                <w:lang w:val="en-US" w:eastAsia="zh-CN"/>
              </w:rPr>
              <w:t>20分</w:t>
            </w:r>
            <w:r>
              <w:rPr>
                <w:rFonts w:hint="eastAsia" w:ascii="宋体" w:hAnsi="宋体" w:eastAsia="宋体" w:cs="宋体"/>
                <w:bCs/>
                <w:sz w:val="24"/>
              </w:rPr>
              <w:t>。其他供应商的价格分统一按照下列公式计算：</w:t>
            </w:r>
          </w:p>
          <w:p>
            <w:pPr>
              <w:tabs>
                <w:tab w:val="left" w:pos="945"/>
                <w:tab w:val="left" w:pos="1155"/>
              </w:tabs>
              <w:spacing w:line="360" w:lineRule="auto"/>
              <w:rPr>
                <w:rFonts w:hint="eastAsia" w:ascii="宋体" w:hAnsi="宋体" w:eastAsia="宋体" w:cs="宋体"/>
                <w:sz w:val="24"/>
                <w:szCs w:val="24"/>
              </w:rPr>
            </w:pPr>
            <w:r>
              <w:rPr>
                <w:rFonts w:hint="eastAsia" w:ascii="宋体" w:hAnsi="宋体" w:eastAsia="宋体" w:cs="宋体"/>
                <w:bCs/>
                <w:sz w:val="24"/>
              </w:rPr>
              <w:t>磋商报价得分=(磋商基准价／最后磋商报价)×价格权值×100。</w:t>
            </w:r>
            <w:r>
              <w:rPr>
                <w:rFonts w:hint="eastAsia" w:ascii="宋体" w:hAnsi="宋体" w:eastAsia="宋体" w:cs="宋体"/>
                <w:b/>
                <w:bCs/>
                <w:sz w:val="24"/>
                <w:szCs w:val="24"/>
                <w:highlight w:val="none"/>
              </w:rPr>
              <w:t>备注：执行《政府采购促进中小企业发展暂行办法》（财库[2020]46号）及锡财购函[2021]1号第三条规定，</w:t>
            </w:r>
            <w:r>
              <w:rPr>
                <w:rFonts w:hint="eastAsia" w:ascii="宋体" w:hAnsi="宋体" w:eastAsia="宋体" w:cs="宋体"/>
                <w:b/>
                <w:bCs/>
                <w:sz w:val="24"/>
                <w:szCs w:val="24"/>
                <w:highlight w:val="none"/>
                <w:lang w:val="en-US" w:eastAsia="zh-CN"/>
              </w:rPr>
              <w:t>专门面向中小企业采购项目，</w:t>
            </w:r>
            <w:r>
              <w:rPr>
                <w:rFonts w:hint="eastAsia" w:ascii="宋体" w:hAnsi="宋体" w:eastAsia="宋体" w:cs="宋体"/>
                <w:b/>
                <w:bCs/>
                <w:sz w:val="24"/>
                <w:szCs w:val="24"/>
                <w:highlight w:val="none"/>
              </w:rPr>
              <w:t>价格扣除优惠不再享受。</w:t>
            </w:r>
          </w:p>
        </w:tc>
        <w:tc>
          <w:tcPr>
            <w:tcW w:w="664"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restart"/>
            <w:vAlign w:val="center"/>
          </w:tcPr>
          <w:p>
            <w:pPr>
              <w:spacing w:line="400" w:lineRule="exact"/>
              <w:jc w:val="center"/>
              <w:rPr>
                <w:rFonts w:hint="eastAsia"/>
              </w:rPr>
            </w:pP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、商务部分</w:t>
            </w:r>
          </w:p>
          <w:p>
            <w:pPr>
              <w:pStyle w:val="2"/>
              <w:rPr>
                <w:rFonts w:hint="eastAsia"/>
              </w:rPr>
            </w:pPr>
            <w:r>
              <w:rPr>
                <w:rFonts w:hint="eastAsia" w:ascii="宋体" w:hAnsi="宋体" w:eastAsia="宋体" w:cs="宋体"/>
                <w:sz w:val="24"/>
                <w:szCs w:val="24"/>
              </w:rPr>
              <w:t>（</w:t>
            </w:r>
            <w:r>
              <w:rPr>
                <w:rFonts w:hint="eastAsia" w:ascii="宋体" w:hAnsi="宋体" w:eastAsia="宋体" w:cs="宋体"/>
                <w:sz w:val="24"/>
                <w:szCs w:val="24"/>
                <w:lang w:val="en-US" w:eastAsia="zh-CN"/>
              </w:rPr>
              <w:t>30</w:t>
            </w:r>
            <w:r>
              <w:rPr>
                <w:rFonts w:hint="eastAsia" w:ascii="宋体" w:hAnsi="宋体" w:eastAsia="宋体" w:cs="宋体"/>
                <w:sz w:val="24"/>
                <w:szCs w:val="24"/>
              </w:rPr>
              <w:t>分）</w:t>
            </w:r>
          </w:p>
        </w:tc>
        <w:tc>
          <w:tcPr>
            <w:tcW w:w="703" w:type="dxa"/>
            <w:vMerge w:val="restart"/>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327" w:type="dxa"/>
            <w:vMerge w:val="restart"/>
            <w:vAlign w:val="center"/>
          </w:tcPr>
          <w:p>
            <w:pPr>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项目团队</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lang w:eastAsia="zh-CN"/>
              </w:rPr>
              <w:t>）</w:t>
            </w:r>
            <w:r>
              <w:rPr>
                <w:rFonts w:hint="eastAsia" w:ascii="宋体" w:hAnsi="宋体" w:eastAsia="宋体" w:cs="宋体"/>
                <w:bCs/>
                <w:sz w:val="24"/>
                <w:szCs w:val="24"/>
              </w:rPr>
              <w:t>拟派项目负责人具有中级及以上社会工作师证书</w:t>
            </w:r>
            <w:r>
              <w:rPr>
                <w:rFonts w:hint="eastAsia" w:ascii="宋体" w:hAnsi="宋体" w:eastAsia="宋体" w:cs="宋体"/>
                <w:bCs/>
                <w:sz w:val="24"/>
                <w:szCs w:val="24"/>
                <w:lang w:val="en-US" w:eastAsia="zh-CN"/>
              </w:rPr>
              <w:t>的得1分</w:t>
            </w:r>
            <w:r>
              <w:rPr>
                <w:rFonts w:hint="eastAsia" w:ascii="宋体" w:hAnsi="宋体" w:eastAsia="宋体" w:cs="宋体"/>
                <w:bCs/>
                <w:sz w:val="24"/>
                <w:szCs w:val="24"/>
              </w:rPr>
              <w:t>、</w:t>
            </w:r>
            <w:r>
              <w:rPr>
                <w:rFonts w:hint="eastAsia" w:ascii="宋体" w:hAnsi="宋体" w:eastAsia="宋体" w:cs="宋体"/>
                <w:bCs/>
                <w:sz w:val="24"/>
                <w:szCs w:val="24"/>
                <w:lang w:val="en-US" w:eastAsia="zh-CN"/>
              </w:rPr>
              <w:t>具有</w:t>
            </w:r>
            <w:r>
              <w:rPr>
                <w:rFonts w:hint="eastAsia" w:ascii="宋体" w:hAnsi="宋体" w:eastAsia="宋体" w:cs="宋体"/>
                <w:bCs/>
                <w:sz w:val="24"/>
                <w:szCs w:val="24"/>
              </w:rPr>
              <w:t>安全员证书</w:t>
            </w:r>
            <w:r>
              <w:rPr>
                <w:rFonts w:hint="eastAsia" w:ascii="宋体" w:hAnsi="宋体" w:eastAsia="宋体" w:cs="宋体"/>
                <w:bCs/>
                <w:sz w:val="24"/>
                <w:szCs w:val="24"/>
                <w:lang w:val="en-US" w:eastAsia="zh-CN"/>
              </w:rPr>
              <w:t>的得1分，</w:t>
            </w:r>
            <w:r>
              <w:rPr>
                <w:rFonts w:hint="eastAsia" w:ascii="宋体" w:hAnsi="宋体" w:eastAsia="宋体" w:cs="宋体"/>
                <w:bCs/>
                <w:sz w:val="24"/>
                <w:szCs w:val="24"/>
              </w:rPr>
              <w:t>本项最高得2分。</w:t>
            </w:r>
            <w:r>
              <w:rPr>
                <w:rFonts w:hint="eastAsia" w:ascii="宋体" w:hAnsi="宋体" w:eastAsia="宋体" w:cs="宋体"/>
                <w:b/>
                <w:sz w:val="24"/>
                <w:szCs w:val="24"/>
              </w:rPr>
              <w:t>（提供</w:t>
            </w:r>
            <w:r>
              <w:rPr>
                <w:rFonts w:hint="eastAsia" w:ascii="宋体" w:hAnsi="宋体" w:eastAsia="宋体" w:cs="宋体"/>
                <w:b/>
                <w:bCs/>
                <w:sz w:val="24"/>
                <w:szCs w:val="24"/>
              </w:rPr>
              <w:t>资格证书、岗位证书及社保机构出具的本企业为其缴纳的</w:t>
            </w:r>
            <w:r>
              <w:rPr>
                <w:rFonts w:hint="eastAsia" w:ascii="宋体" w:hAnsi="宋体" w:eastAsia="宋体" w:cs="宋体"/>
                <w:b/>
                <w:bCs/>
                <w:sz w:val="24"/>
                <w:szCs w:val="24"/>
                <w:highlight w:val="none"/>
              </w:rPr>
              <w:t>20</w:t>
            </w: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月～202</w:t>
            </w: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月</w:t>
            </w:r>
            <w:r>
              <w:rPr>
                <w:rFonts w:hint="eastAsia" w:ascii="宋体" w:hAnsi="宋体" w:eastAsia="宋体" w:cs="宋体"/>
                <w:b/>
                <w:bCs/>
                <w:sz w:val="24"/>
                <w:szCs w:val="24"/>
              </w:rPr>
              <w:t>的缴费证明，以上资料</w:t>
            </w:r>
            <w:r>
              <w:rPr>
                <w:rFonts w:hint="eastAsia" w:ascii="宋体" w:hAnsi="宋体" w:eastAsia="宋体" w:cs="宋体"/>
                <w:b/>
                <w:bCs/>
                <w:sz w:val="24"/>
                <w:szCs w:val="24"/>
                <w:lang w:val="en-US" w:eastAsia="zh-CN"/>
              </w:rPr>
              <w:t>扫描件</w:t>
            </w:r>
            <w:r>
              <w:rPr>
                <w:rFonts w:hint="eastAsia" w:ascii="宋体" w:hAnsi="宋体" w:eastAsia="宋体" w:cs="宋体"/>
                <w:b/>
                <w:bCs/>
                <w:sz w:val="24"/>
                <w:szCs w:val="24"/>
              </w:rPr>
              <w:t>加盖公章</w:t>
            </w:r>
            <w:r>
              <w:rPr>
                <w:rFonts w:hint="eastAsia" w:ascii="宋体" w:hAnsi="宋体" w:eastAsia="宋体" w:cs="宋体"/>
                <w:b/>
                <w:bCs/>
                <w:sz w:val="24"/>
                <w:szCs w:val="24"/>
                <w:lang w:val="en-US" w:eastAsia="zh-CN"/>
              </w:rPr>
              <w:t>后上传至</w:t>
            </w:r>
            <w:r>
              <w:rPr>
                <w:rFonts w:hint="eastAsia" w:ascii="宋体" w:hAnsi="宋体" w:eastAsia="宋体" w:cs="宋体"/>
                <w:b/>
                <w:bCs/>
                <w:sz w:val="24"/>
                <w:szCs w:val="24"/>
              </w:rPr>
              <w:t>响应文件中，不提供或提供不全不得分</w:t>
            </w:r>
            <w:r>
              <w:rPr>
                <w:rFonts w:hint="eastAsia" w:ascii="宋体" w:hAnsi="宋体" w:eastAsia="宋体" w:cs="宋体"/>
                <w:b/>
                <w:sz w:val="24"/>
                <w:szCs w:val="24"/>
              </w:rPr>
              <w:t>）</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continue"/>
            <w:vAlign w:val="center"/>
          </w:tcPr>
          <w:p>
            <w:pPr>
              <w:pStyle w:val="2"/>
              <w:rPr>
                <w:rFonts w:hint="eastAsia"/>
              </w:rPr>
            </w:pPr>
          </w:p>
        </w:tc>
        <w:tc>
          <w:tcPr>
            <w:tcW w:w="703" w:type="dxa"/>
            <w:vMerge w:val="continue"/>
            <w:vAlign w:val="center"/>
          </w:tcPr>
          <w:p>
            <w:pPr>
              <w:spacing w:line="400" w:lineRule="exact"/>
              <w:jc w:val="center"/>
              <w:rPr>
                <w:rFonts w:hint="eastAsia" w:ascii="宋体" w:hAnsi="宋体" w:eastAsia="宋体" w:cs="宋体"/>
                <w:sz w:val="24"/>
                <w:szCs w:val="24"/>
              </w:rPr>
            </w:pPr>
          </w:p>
        </w:tc>
        <w:tc>
          <w:tcPr>
            <w:tcW w:w="1327" w:type="dxa"/>
            <w:vMerge w:val="continue"/>
            <w:vAlign w:val="center"/>
          </w:tcPr>
          <w:p>
            <w:pPr>
              <w:spacing w:line="400" w:lineRule="exact"/>
              <w:jc w:val="center"/>
              <w:rPr>
                <w:rFonts w:hint="eastAsia" w:ascii="宋体" w:hAnsi="宋体" w:eastAsia="宋体" w:cs="宋体"/>
                <w:sz w:val="24"/>
                <w:szCs w:val="24"/>
              </w:rPr>
            </w:pPr>
          </w:p>
        </w:tc>
        <w:tc>
          <w:tcPr>
            <w:tcW w:w="5193" w:type="dxa"/>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（2）项目组成员：具有人力资源和社会保障部颁发的</w:t>
            </w:r>
            <w:r>
              <w:rPr>
                <w:rFonts w:hint="eastAsia" w:ascii="宋体" w:hAnsi="宋体" w:eastAsia="宋体" w:cs="宋体"/>
                <w:kern w:val="0"/>
                <w:sz w:val="24"/>
                <w:szCs w:val="24"/>
                <w:lang w:val="en-US" w:eastAsia="zh-CN"/>
              </w:rPr>
              <w:t>初级及以上社会工作师证书、</w:t>
            </w:r>
            <w:r>
              <w:rPr>
                <w:rFonts w:hint="eastAsia" w:ascii="宋体" w:hAnsi="宋体" w:eastAsia="宋体" w:cs="宋体"/>
                <w:kern w:val="0"/>
                <w:sz w:val="24"/>
                <w:szCs w:val="24"/>
              </w:rPr>
              <w:t>初级及以上辅助技术工程证书（居家环境方向）</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初级及以上辅助技术工程证书（肢体方向）的，有一</w:t>
            </w:r>
            <w:r>
              <w:rPr>
                <w:rFonts w:hint="eastAsia" w:ascii="宋体" w:hAnsi="宋体" w:eastAsia="宋体" w:cs="宋体"/>
                <w:kern w:val="0"/>
                <w:sz w:val="24"/>
                <w:szCs w:val="24"/>
                <w:lang w:val="en-US" w:eastAsia="zh-CN"/>
              </w:rPr>
              <w:t>类</w:t>
            </w:r>
            <w:r>
              <w:rPr>
                <w:rFonts w:hint="eastAsia" w:ascii="宋体" w:hAnsi="宋体" w:eastAsia="宋体" w:cs="宋体"/>
                <w:kern w:val="0"/>
                <w:sz w:val="24"/>
                <w:szCs w:val="24"/>
              </w:rPr>
              <w:t>证书得1分，最高</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分。</w:t>
            </w:r>
          </w:p>
          <w:p>
            <w:pPr>
              <w:spacing w:line="400" w:lineRule="exact"/>
              <w:rPr>
                <w:rFonts w:hint="eastAsia" w:ascii="宋体" w:hAnsi="宋体" w:eastAsia="宋体" w:cs="宋体"/>
                <w:sz w:val="24"/>
                <w:szCs w:val="24"/>
              </w:rPr>
            </w:pPr>
            <w:r>
              <w:rPr>
                <w:rFonts w:hint="eastAsia" w:ascii="宋体" w:hAnsi="宋体" w:eastAsia="宋体" w:cs="宋体"/>
                <w:b/>
                <w:sz w:val="24"/>
                <w:szCs w:val="24"/>
              </w:rPr>
              <w:t>（提供</w:t>
            </w:r>
            <w:r>
              <w:rPr>
                <w:rFonts w:hint="eastAsia" w:ascii="宋体" w:hAnsi="宋体" w:eastAsia="宋体" w:cs="宋体"/>
                <w:b/>
                <w:bCs/>
                <w:sz w:val="24"/>
                <w:szCs w:val="24"/>
              </w:rPr>
              <w:t>资格证书、岗位证书及社保机构出具的本企业为其缴纳的</w:t>
            </w:r>
            <w:r>
              <w:rPr>
                <w:rFonts w:hint="eastAsia" w:ascii="宋体" w:hAnsi="宋体" w:eastAsia="宋体" w:cs="宋体"/>
                <w:b/>
                <w:bCs/>
                <w:sz w:val="24"/>
                <w:szCs w:val="24"/>
                <w:highlight w:val="none"/>
              </w:rPr>
              <w:t>20</w:t>
            </w: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月～202</w:t>
            </w: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月</w:t>
            </w:r>
            <w:r>
              <w:rPr>
                <w:rFonts w:hint="eastAsia" w:ascii="宋体" w:hAnsi="宋体" w:eastAsia="宋体" w:cs="宋体"/>
                <w:b/>
                <w:bCs/>
                <w:sz w:val="24"/>
                <w:szCs w:val="24"/>
              </w:rPr>
              <w:t>的缴费证明，以上资</w:t>
            </w:r>
            <w:r>
              <w:rPr>
                <w:rFonts w:hint="eastAsia" w:ascii="宋体" w:hAnsi="宋体" w:eastAsia="宋体" w:cs="宋体"/>
                <w:b/>
                <w:bCs/>
                <w:sz w:val="24"/>
                <w:szCs w:val="24"/>
                <w:lang w:val="en-US" w:eastAsia="zh-CN"/>
              </w:rPr>
              <w:t>料扫描</w:t>
            </w:r>
            <w:r>
              <w:rPr>
                <w:rFonts w:hint="eastAsia" w:ascii="宋体" w:hAnsi="宋体" w:eastAsia="宋体" w:cs="宋体"/>
                <w:b/>
                <w:bCs/>
                <w:sz w:val="24"/>
                <w:szCs w:val="24"/>
              </w:rPr>
              <w:t>件加盖公章</w:t>
            </w:r>
            <w:r>
              <w:rPr>
                <w:rFonts w:hint="eastAsia" w:ascii="宋体" w:hAnsi="宋体" w:eastAsia="宋体" w:cs="宋体"/>
                <w:b/>
                <w:bCs/>
                <w:sz w:val="24"/>
                <w:szCs w:val="24"/>
                <w:lang w:val="en-US" w:eastAsia="zh-CN"/>
              </w:rPr>
              <w:t>后上传至</w:t>
            </w:r>
            <w:r>
              <w:rPr>
                <w:rFonts w:hint="eastAsia" w:ascii="宋体" w:hAnsi="宋体" w:eastAsia="宋体" w:cs="宋体"/>
                <w:b/>
                <w:bCs/>
                <w:sz w:val="24"/>
                <w:szCs w:val="24"/>
              </w:rPr>
              <w:t>响应文件中，不提供或提供不全不得分</w:t>
            </w:r>
            <w:r>
              <w:rPr>
                <w:rFonts w:hint="eastAsia" w:ascii="宋体" w:hAnsi="宋体" w:eastAsia="宋体" w:cs="宋体"/>
                <w:b/>
                <w:sz w:val="24"/>
                <w:szCs w:val="24"/>
              </w:rPr>
              <w:t>）</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continue"/>
            <w:vAlign w:val="center"/>
          </w:tcPr>
          <w:p>
            <w:pPr>
              <w:pStyle w:val="2"/>
              <w:rPr>
                <w:rFonts w:hint="eastAsia"/>
              </w:rPr>
            </w:pPr>
          </w:p>
        </w:tc>
        <w:tc>
          <w:tcPr>
            <w:tcW w:w="703" w:type="dxa"/>
            <w:vMerge w:val="continue"/>
            <w:vAlign w:val="center"/>
          </w:tcPr>
          <w:p>
            <w:pPr>
              <w:spacing w:line="400" w:lineRule="exact"/>
              <w:jc w:val="center"/>
              <w:rPr>
                <w:rFonts w:hint="eastAsia" w:ascii="宋体" w:hAnsi="宋体" w:eastAsia="宋体" w:cs="宋体"/>
                <w:sz w:val="24"/>
                <w:szCs w:val="24"/>
              </w:rPr>
            </w:pPr>
          </w:p>
        </w:tc>
        <w:tc>
          <w:tcPr>
            <w:tcW w:w="1327" w:type="dxa"/>
            <w:vMerge w:val="continue"/>
            <w:vAlign w:val="center"/>
          </w:tcPr>
          <w:p>
            <w:pPr>
              <w:spacing w:line="400" w:lineRule="exact"/>
              <w:jc w:val="center"/>
              <w:rPr>
                <w:rFonts w:hint="eastAsia" w:ascii="宋体" w:hAnsi="宋体" w:eastAsia="宋体" w:cs="宋体"/>
                <w:sz w:val="24"/>
                <w:szCs w:val="24"/>
              </w:rPr>
            </w:pP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Cs/>
                <w:sz w:val="24"/>
                <w:szCs w:val="24"/>
              </w:rPr>
              <w:t>项目组成员：具有住房和城乡建设领域专业技术管理人员</w:t>
            </w:r>
            <w:r>
              <w:rPr>
                <w:rFonts w:hint="eastAsia" w:ascii="宋体" w:hAnsi="宋体" w:eastAsia="宋体" w:cs="宋体"/>
                <w:bCs/>
                <w:sz w:val="24"/>
                <w:szCs w:val="24"/>
                <w:lang w:val="en-US" w:eastAsia="zh-CN"/>
              </w:rPr>
              <w:t>施工员证书、劳务员证书、质量员证书、</w:t>
            </w:r>
            <w:r>
              <w:rPr>
                <w:rFonts w:hint="eastAsia" w:ascii="宋体" w:hAnsi="宋体" w:eastAsia="宋体" w:cs="宋体"/>
                <w:bCs/>
                <w:sz w:val="24"/>
                <w:szCs w:val="24"/>
              </w:rPr>
              <w:t>安全员职业培训合格证书的，有一</w:t>
            </w:r>
            <w:r>
              <w:rPr>
                <w:rFonts w:hint="eastAsia" w:ascii="宋体" w:hAnsi="宋体" w:eastAsia="宋体" w:cs="宋体"/>
                <w:bCs/>
                <w:sz w:val="24"/>
                <w:szCs w:val="24"/>
                <w:lang w:val="en-US" w:eastAsia="zh-CN"/>
              </w:rPr>
              <w:t>类</w:t>
            </w:r>
            <w:r>
              <w:rPr>
                <w:rFonts w:hint="eastAsia" w:ascii="宋体" w:hAnsi="宋体" w:eastAsia="宋体" w:cs="宋体"/>
                <w:bCs/>
                <w:sz w:val="24"/>
                <w:szCs w:val="24"/>
              </w:rPr>
              <w:t>得1分，最高得4分。</w:t>
            </w:r>
          </w:p>
          <w:p>
            <w:pPr>
              <w:spacing w:line="400" w:lineRule="exact"/>
              <w:rPr>
                <w:rFonts w:hint="eastAsia" w:ascii="宋体" w:hAnsi="宋体" w:eastAsia="宋体" w:cs="宋体"/>
                <w:sz w:val="24"/>
                <w:szCs w:val="24"/>
              </w:rPr>
            </w:pPr>
            <w:r>
              <w:rPr>
                <w:rFonts w:hint="eastAsia" w:ascii="宋体" w:hAnsi="宋体" w:eastAsia="宋体" w:cs="宋体"/>
                <w:b/>
                <w:bCs/>
                <w:sz w:val="24"/>
                <w:szCs w:val="24"/>
                <w:highlight w:val="none"/>
              </w:rPr>
              <w:t>（提供资格证书、岗位证书及社保机构出具的本企业为其缴纳的20</w:t>
            </w: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月～202</w:t>
            </w: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月的缴费证明，以上资</w:t>
            </w:r>
            <w:r>
              <w:rPr>
                <w:rFonts w:hint="eastAsia" w:ascii="宋体" w:hAnsi="宋体" w:eastAsia="宋体" w:cs="宋体"/>
                <w:b/>
                <w:bCs/>
                <w:sz w:val="24"/>
                <w:szCs w:val="24"/>
                <w:highlight w:val="none"/>
                <w:lang w:val="en-US" w:eastAsia="zh-CN"/>
              </w:rPr>
              <w:t>料扫描</w:t>
            </w:r>
            <w:r>
              <w:rPr>
                <w:rFonts w:hint="eastAsia" w:ascii="宋体" w:hAnsi="宋体" w:eastAsia="宋体" w:cs="宋体"/>
                <w:b/>
                <w:bCs/>
                <w:sz w:val="24"/>
                <w:szCs w:val="24"/>
                <w:highlight w:val="none"/>
              </w:rPr>
              <w:t>件加盖公章</w:t>
            </w:r>
            <w:r>
              <w:rPr>
                <w:rFonts w:hint="eastAsia" w:ascii="宋体" w:hAnsi="宋体" w:eastAsia="宋体" w:cs="宋体"/>
                <w:b/>
                <w:bCs/>
                <w:sz w:val="24"/>
                <w:szCs w:val="24"/>
                <w:highlight w:val="none"/>
                <w:lang w:val="en-US" w:eastAsia="zh-CN"/>
              </w:rPr>
              <w:t>后上传至</w:t>
            </w:r>
            <w:r>
              <w:rPr>
                <w:rFonts w:hint="eastAsia" w:ascii="宋体" w:hAnsi="宋体" w:eastAsia="宋体" w:cs="宋体"/>
                <w:b/>
                <w:bCs/>
                <w:sz w:val="24"/>
                <w:szCs w:val="24"/>
                <w:highlight w:val="none"/>
              </w:rPr>
              <w:t>响应文件中，不提供或提供不全不得分）</w:t>
            </w:r>
          </w:p>
          <w:p>
            <w:pPr>
              <w:spacing w:line="400" w:lineRule="exact"/>
              <w:rPr>
                <w:rFonts w:hint="eastAsia" w:ascii="宋体" w:hAnsi="宋体" w:eastAsia="宋体" w:cs="宋体"/>
                <w:sz w:val="24"/>
                <w:szCs w:val="24"/>
              </w:rPr>
            </w:pPr>
            <w:r>
              <w:rPr>
                <w:rFonts w:hint="eastAsia" w:ascii="宋体" w:hAnsi="宋体" w:eastAsia="宋体" w:cs="宋体"/>
                <w:kern w:val="0"/>
                <w:sz w:val="24"/>
                <w:szCs w:val="24"/>
              </w:rPr>
              <w:t>（以上（1）-（</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除项目负责人以外，其余项目组成员</w:t>
            </w:r>
            <w:r>
              <w:rPr>
                <w:rFonts w:hint="eastAsia" w:ascii="宋体" w:hAnsi="宋体" w:eastAsia="宋体" w:cs="宋体"/>
                <w:kern w:val="0"/>
                <w:sz w:val="24"/>
                <w:szCs w:val="24"/>
              </w:rPr>
              <w:t>同一个人有多个证书的不累计得分）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84" w:type="dxa"/>
            <w:vMerge w:val="continue"/>
            <w:vAlign w:val="center"/>
          </w:tcPr>
          <w:p>
            <w:pPr>
              <w:pStyle w:val="2"/>
              <w:rPr>
                <w:rFonts w:hint="eastAsia"/>
              </w:rPr>
            </w:pPr>
          </w:p>
        </w:tc>
        <w:tc>
          <w:tcPr>
            <w:tcW w:w="703" w:type="dxa"/>
            <w:vMerge w:val="restart"/>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327" w:type="dxa"/>
            <w:vMerge w:val="restart"/>
            <w:vAlign w:val="center"/>
          </w:tcPr>
          <w:p>
            <w:pPr>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综合实力</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供应商具有有效期内的质量管理体系认证、职业健康安全管理体系认证、环境管理体系认证</w:t>
            </w:r>
            <w:r>
              <w:rPr>
                <w:rFonts w:hint="eastAsia" w:ascii="宋体" w:hAnsi="宋体" w:eastAsia="宋体" w:cs="宋体"/>
                <w:b w:val="0"/>
                <w:bCs w:val="0"/>
                <w:color w:val="auto"/>
                <w:sz w:val="24"/>
                <w:szCs w:val="24"/>
                <w:lang w:eastAsia="zh-CN"/>
              </w:rPr>
              <w:t>、售后服务认证</w:t>
            </w:r>
            <w:r>
              <w:rPr>
                <w:rFonts w:hint="eastAsia" w:ascii="宋体" w:hAnsi="宋体" w:eastAsia="宋体" w:cs="宋体"/>
                <w:b w:val="0"/>
                <w:bCs w:val="0"/>
                <w:color w:val="auto"/>
                <w:sz w:val="24"/>
                <w:szCs w:val="24"/>
              </w:rPr>
              <w:t>证书的，</w:t>
            </w:r>
            <w:r>
              <w:rPr>
                <w:rFonts w:hint="eastAsia" w:ascii="宋体" w:hAnsi="宋体" w:eastAsia="宋体" w:cs="宋体"/>
                <w:b w:val="0"/>
                <w:bCs w:val="0"/>
                <w:color w:val="auto"/>
                <w:sz w:val="24"/>
                <w:szCs w:val="24"/>
                <w:lang w:val="en-US" w:eastAsia="zh-CN"/>
              </w:rPr>
              <w:t>且认证范围中须包含适老化改造相关范围，</w:t>
            </w:r>
            <w:r>
              <w:rPr>
                <w:rFonts w:hint="eastAsia" w:ascii="宋体" w:hAnsi="宋体" w:eastAsia="宋体" w:cs="宋体"/>
                <w:b w:val="0"/>
                <w:bCs w:val="0"/>
                <w:color w:val="auto"/>
                <w:sz w:val="24"/>
                <w:szCs w:val="24"/>
              </w:rPr>
              <w:t>有1个得</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分，本项最高得</w:t>
            </w:r>
            <w:r>
              <w:rPr>
                <w:rFonts w:hint="eastAsia" w:ascii="宋体" w:hAnsi="宋体" w:eastAsia="宋体" w:cs="宋体"/>
                <w:b w:val="0"/>
                <w:bCs w:val="0"/>
                <w:color w:val="auto"/>
                <w:sz w:val="24"/>
                <w:szCs w:val="24"/>
                <w:lang w:val="en-US" w:eastAsia="zh-CN"/>
              </w:rPr>
              <w:t>8</w:t>
            </w:r>
            <w:r>
              <w:rPr>
                <w:rFonts w:hint="eastAsia" w:ascii="宋体" w:hAnsi="宋体" w:eastAsia="宋体" w:cs="宋体"/>
                <w:b w:val="0"/>
                <w:bCs w:val="0"/>
                <w:color w:val="auto"/>
                <w:sz w:val="24"/>
                <w:szCs w:val="24"/>
              </w:rPr>
              <w:t>分。</w:t>
            </w:r>
            <w:r>
              <w:rPr>
                <w:rFonts w:hint="eastAsia" w:ascii="宋体" w:hAnsi="宋体" w:eastAsia="宋体" w:cs="宋体"/>
                <w:b/>
                <w:bCs/>
                <w:color w:val="auto"/>
                <w:sz w:val="24"/>
                <w:szCs w:val="24"/>
              </w:rPr>
              <w:t>（证书具有可查询的二维码及认监委官网（http://cx.cnca.cn）证书查询截图</w:t>
            </w:r>
            <w:r>
              <w:rPr>
                <w:rFonts w:hint="eastAsia" w:ascii="宋体" w:hAnsi="宋体" w:eastAsia="宋体" w:cs="宋体"/>
                <w:b/>
                <w:bCs/>
                <w:color w:val="auto"/>
                <w:sz w:val="24"/>
                <w:szCs w:val="24"/>
                <w:lang w:val="en-US" w:eastAsia="zh-CN"/>
              </w:rPr>
              <w:t>扫描件加盖</w:t>
            </w:r>
            <w:r>
              <w:rPr>
                <w:rFonts w:hint="eastAsia" w:ascii="宋体" w:hAnsi="宋体" w:eastAsia="宋体" w:cs="宋体"/>
                <w:b/>
                <w:bCs/>
                <w:color w:val="auto"/>
                <w:sz w:val="24"/>
                <w:szCs w:val="24"/>
              </w:rPr>
              <w:t>公章</w:t>
            </w:r>
            <w:r>
              <w:rPr>
                <w:rFonts w:hint="eastAsia" w:ascii="宋体" w:hAnsi="宋体" w:eastAsia="宋体" w:cs="宋体"/>
                <w:b/>
                <w:bCs/>
                <w:color w:val="auto"/>
                <w:sz w:val="24"/>
                <w:szCs w:val="24"/>
                <w:lang w:val="en-US" w:eastAsia="zh-CN"/>
              </w:rPr>
              <w:t>后上传至</w:t>
            </w:r>
            <w:r>
              <w:rPr>
                <w:rFonts w:hint="eastAsia" w:ascii="宋体" w:hAnsi="宋体" w:eastAsia="宋体" w:cs="宋体"/>
                <w:b/>
                <w:bCs/>
                <w:color w:val="auto"/>
                <w:sz w:val="24"/>
                <w:szCs w:val="24"/>
              </w:rPr>
              <w:t>响应文件中，不提供或提供不全不得分）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1184" w:type="dxa"/>
            <w:vMerge w:val="continue"/>
            <w:vAlign w:val="center"/>
          </w:tcPr>
          <w:p>
            <w:pPr>
              <w:pStyle w:val="2"/>
              <w:rPr>
                <w:rFonts w:hint="eastAsia"/>
              </w:rPr>
            </w:pPr>
          </w:p>
        </w:tc>
        <w:tc>
          <w:tcPr>
            <w:tcW w:w="703" w:type="dxa"/>
            <w:vMerge w:val="continue"/>
            <w:vAlign w:val="center"/>
          </w:tcPr>
          <w:p>
            <w:pPr>
              <w:spacing w:line="400" w:lineRule="exact"/>
              <w:jc w:val="center"/>
              <w:rPr>
                <w:rFonts w:hint="eastAsia" w:ascii="宋体" w:hAnsi="宋体" w:eastAsia="宋体" w:cs="宋体"/>
                <w:sz w:val="24"/>
                <w:szCs w:val="24"/>
              </w:rPr>
            </w:pPr>
          </w:p>
        </w:tc>
        <w:tc>
          <w:tcPr>
            <w:tcW w:w="1327" w:type="dxa"/>
            <w:vMerge w:val="continue"/>
            <w:vAlign w:val="center"/>
          </w:tcPr>
          <w:p>
            <w:pPr>
              <w:spacing w:line="400" w:lineRule="exact"/>
              <w:jc w:val="center"/>
              <w:rPr>
                <w:rFonts w:hint="eastAsia" w:ascii="宋体" w:hAnsi="宋体" w:eastAsia="宋体" w:cs="宋体"/>
                <w:sz w:val="24"/>
                <w:szCs w:val="24"/>
              </w:rPr>
            </w:pP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b w:val="0"/>
                <w:bCs w:val="0"/>
                <w:color w:val="auto"/>
                <w:kern w:val="0"/>
                <w:sz w:val="24"/>
                <w:szCs w:val="24"/>
              </w:rPr>
              <w:t>（2）</w:t>
            </w:r>
            <w:r>
              <w:rPr>
                <w:rFonts w:hint="eastAsia" w:ascii="宋体" w:hAnsi="宋体" w:eastAsia="宋体" w:cs="宋体"/>
                <w:b w:val="0"/>
                <w:bCs w:val="0"/>
                <w:color w:val="auto"/>
                <w:sz w:val="24"/>
                <w:szCs w:val="24"/>
                <w:lang w:val="en-US" w:eastAsia="zh-CN"/>
              </w:rPr>
              <w:t>供应商具有二类医疗器械经营备案凭证及以上资质证书的，得2分。</w:t>
            </w:r>
            <w:r>
              <w:rPr>
                <w:rFonts w:hint="eastAsia" w:ascii="宋体" w:hAnsi="宋体" w:eastAsia="宋体" w:cs="宋体"/>
                <w:b/>
                <w:bCs/>
                <w:color w:val="auto"/>
                <w:sz w:val="24"/>
                <w:szCs w:val="24"/>
                <w:lang w:val="en-US" w:eastAsia="zh-CN"/>
              </w:rPr>
              <w:t>（证书原件扫描后加盖公章上传至响应文件中，不提供不得分）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continue"/>
            <w:vAlign w:val="center"/>
          </w:tcPr>
          <w:p>
            <w:pPr>
              <w:pStyle w:val="2"/>
              <w:rPr>
                <w:rFonts w:hint="eastAsia"/>
              </w:rPr>
            </w:pPr>
          </w:p>
        </w:tc>
        <w:tc>
          <w:tcPr>
            <w:tcW w:w="703" w:type="dxa"/>
            <w:vMerge w:val="continue"/>
            <w:vAlign w:val="center"/>
          </w:tcPr>
          <w:p>
            <w:pPr>
              <w:spacing w:line="400" w:lineRule="exact"/>
              <w:jc w:val="center"/>
              <w:rPr>
                <w:rFonts w:hint="eastAsia" w:ascii="宋体" w:hAnsi="宋体" w:eastAsia="宋体" w:cs="宋体"/>
                <w:sz w:val="24"/>
                <w:szCs w:val="24"/>
              </w:rPr>
            </w:pPr>
          </w:p>
        </w:tc>
        <w:tc>
          <w:tcPr>
            <w:tcW w:w="1327" w:type="dxa"/>
            <w:vMerge w:val="continue"/>
            <w:vAlign w:val="center"/>
          </w:tcPr>
          <w:p>
            <w:pPr>
              <w:spacing w:line="400" w:lineRule="exact"/>
              <w:jc w:val="center"/>
              <w:rPr>
                <w:rFonts w:hint="eastAsia" w:ascii="宋体" w:hAnsi="宋体" w:eastAsia="宋体" w:cs="宋体"/>
                <w:sz w:val="24"/>
                <w:szCs w:val="24"/>
              </w:rPr>
            </w:pPr>
          </w:p>
        </w:tc>
        <w:tc>
          <w:tcPr>
            <w:tcW w:w="5193" w:type="dxa"/>
            <w:vAlign w:val="center"/>
          </w:tcPr>
          <w:p>
            <w:pPr>
              <w:spacing w:line="400" w:lineRule="exact"/>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rPr>
              <w:t>（</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w:t>
            </w:r>
            <w:r>
              <w:rPr>
                <w:rFonts w:hint="eastAsia" w:ascii="宋体" w:hAnsi="宋体" w:eastAsia="宋体" w:cs="宋体"/>
                <w:b w:val="0"/>
                <w:bCs w:val="0"/>
                <w:color w:val="auto"/>
                <w:sz w:val="24"/>
                <w:szCs w:val="24"/>
                <w:lang w:val="en-US" w:eastAsia="zh-CN"/>
              </w:rPr>
              <w:t>供应商具有建筑装修装饰工程专业承包二级及以上资质且具有有效的安全生产许可证的，得3分。</w:t>
            </w:r>
            <w:r>
              <w:rPr>
                <w:rFonts w:hint="eastAsia" w:ascii="宋体" w:hAnsi="宋体" w:eastAsia="宋体" w:cs="宋体"/>
                <w:b/>
                <w:bCs/>
                <w:color w:val="auto"/>
                <w:sz w:val="24"/>
                <w:szCs w:val="24"/>
                <w:lang w:val="en-US" w:eastAsia="zh-CN"/>
              </w:rPr>
              <w:t>（证书原件扫描后加盖公章上传至响应文件中，不提供不得分）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continue"/>
            <w:vAlign w:val="center"/>
          </w:tcPr>
          <w:p>
            <w:pPr>
              <w:pStyle w:val="2"/>
              <w:rPr>
                <w:rFonts w:hint="eastAsia"/>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327"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bCs/>
                <w:sz w:val="24"/>
                <w:szCs w:val="24"/>
              </w:rPr>
              <w:t>荣誉</w:t>
            </w:r>
          </w:p>
        </w:tc>
        <w:tc>
          <w:tcPr>
            <w:tcW w:w="5193" w:type="dxa"/>
            <w:vAlign w:val="center"/>
          </w:tcPr>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供应商自</w:t>
            </w:r>
            <w:r>
              <w:rPr>
                <w:rFonts w:hint="eastAsia" w:ascii="宋体" w:hAnsi="宋体" w:eastAsia="宋体" w:cs="宋体"/>
                <w:color w:val="auto"/>
                <w:kern w:val="0"/>
                <w:sz w:val="24"/>
                <w:szCs w:val="24"/>
                <w:highlight w:val="none"/>
                <w:lang w:val="en-US" w:eastAsia="zh-CN"/>
              </w:rPr>
              <w:t>2019</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月1日以来</w:t>
            </w:r>
            <w:r>
              <w:rPr>
                <w:rFonts w:hint="eastAsia" w:ascii="宋体" w:hAnsi="宋体" w:eastAsia="宋体" w:cs="宋体"/>
                <w:color w:val="auto"/>
                <w:sz w:val="24"/>
                <w:szCs w:val="24"/>
                <w:highlight w:val="none"/>
              </w:rPr>
              <w:t>获得</w:t>
            </w:r>
            <w:r>
              <w:rPr>
                <w:rFonts w:hint="eastAsia" w:ascii="宋体" w:hAnsi="宋体" w:eastAsia="宋体" w:cs="宋体"/>
                <w:color w:val="FF0000"/>
                <w:sz w:val="24"/>
                <w:szCs w:val="24"/>
                <w:highlight w:val="none"/>
              </w:rPr>
              <w:t>行政机关颁发的</w:t>
            </w:r>
            <w:r>
              <w:rPr>
                <w:rFonts w:hint="eastAsia" w:ascii="宋体" w:hAnsi="宋体" w:eastAsia="宋体" w:cs="宋体"/>
                <w:color w:val="auto"/>
                <w:sz w:val="24"/>
                <w:szCs w:val="24"/>
                <w:highlight w:val="none"/>
                <w:lang w:val="en-US" w:eastAsia="zh-CN"/>
              </w:rPr>
              <w:t>与本行业相关</w:t>
            </w:r>
            <w:r>
              <w:rPr>
                <w:rFonts w:hint="eastAsia" w:ascii="宋体" w:hAnsi="宋体" w:eastAsia="宋体" w:cs="宋体"/>
                <w:color w:val="auto"/>
                <w:sz w:val="24"/>
                <w:szCs w:val="24"/>
                <w:highlight w:val="none"/>
              </w:rPr>
              <w:t>荣誉</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市级荣誉得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分，省级荣誉得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分，国家级荣誉得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分，本项最高得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同一事项</w:t>
            </w:r>
            <w:r>
              <w:rPr>
                <w:rFonts w:hint="eastAsia" w:ascii="宋体" w:hAnsi="宋体" w:eastAsia="宋体" w:cs="宋体"/>
                <w:color w:val="auto"/>
                <w:sz w:val="24"/>
                <w:szCs w:val="24"/>
                <w:highlight w:val="none"/>
                <w:lang w:val="en-US" w:eastAsia="zh-CN"/>
              </w:rPr>
              <w:t>获得的不同级别的荣誉按最高级别荣誉计算分数，</w:t>
            </w:r>
            <w:r>
              <w:rPr>
                <w:rFonts w:hint="eastAsia" w:ascii="宋体" w:hAnsi="宋体" w:eastAsia="宋体" w:cs="宋体"/>
                <w:color w:val="auto"/>
                <w:sz w:val="24"/>
                <w:szCs w:val="24"/>
                <w:highlight w:val="none"/>
              </w:rPr>
              <w:t>不得累计</w:t>
            </w:r>
            <w:r>
              <w:rPr>
                <w:rFonts w:hint="eastAsia" w:ascii="宋体" w:hAnsi="宋体" w:eastAsia="宋体" w:cs="宋体"/>
                <w:color w:val="auto"/>
                <w:sz w:val="24"/>
                <w:szCs w:val="24"/>
                <w:highlight w:val="none"/>
                <w:lang w:val="en-US" w:eastAsia="zh-CN"/>
              </w:rPr>
              <w:t>计分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不同事项获得的不同荣誉可</w:t>
            </w:r>
            <w:r>
              <w:rPr>
                <w:rFonts w:hint="eastAsia" w:ascii="宋体" w:hAnsi="宋体" w:eastAsia="宋体" w:cs="宋体"/>
                <w:color w:val="auto"/>
                <w:sz w:val="24"/>
                <w:szCs w:val="24"/>
                <w:highlight w:val="none"/>
              </w:rPr>
              <w:t>累计</w:t>
            </w:r>
            <w:r>
              <w:rPr>
                <w:rFonts w:hint="eastAsia" w:ascii="宋体" w:hAnsi="宋体" w:eastAsia="宋体" w:cs="宋体"/>
                <w:color w:val="auto"/>
                <w:sz w:val="24"/>
                <w:szCs w:val="24"/>
                <w:highlight w:val="none"/>
                <w:lang w:val="en-US" w:eastAsia="zh-CN"/>
              </w:rPr>
              <w:t>计分</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lang w:val="en-US" w:eastAsia="zh-CN"/>
              </w:rPr>
              <w:t>有证书的</w:t>
            </w:r>
            <w:r>
              <w:rPr>
                <w:rFonts w:hint="eastAsia" w:ascii="宋体" w:hAnsi="宋体" w:eastAsia="宋体" w:cs="宋体"/>
                <w:b/>
                <w:bCs/>
                <w:color w:val="auto"/>
                <w:sz w:val="24"/>
                <w:szCs w:val="24"/>
                <w:highlight w:val="none"/>
                <w:lang w:val="zh-CN"/>
              </w:rPr>
              <w:t>提供证书</w:t>
            </w:r>
            <w:r>
              <w:rPr>
                <w:rFonts w:hint="eastAsia" w:ascii="宋体" w:hAnsi="宋体" w:eastAsia="宋体" w:cs="宋体"/>
                <w:b/>
                <w:bCs/>
                <w:color w:val="auto"/>
                <w:sz w:val="24"/>
                <w:szCs w:val="24"/>
                <w:highlight w:val="none"/>
                <w:lang w:val="en-US" w:eastAsia="zh-CN"/>
              </w:rPr>
              <w:t>扫描件加盖公章后上传至响应文件中；</w:t>
            </w:r>
            <w:r>
              <w:rPr>
                <w:rFonts w:hint="eastAsia" w:ascii="宋体" w:hAnsi="宋体" w:eastAsia="宋体" w:cs="宋体"/>
                <w:b/>
                <w:bCs/>
                <w:color w:val="auto"/>
                <w:sz w:val="24"/>
                <w:szCs w:val="24"/>
                <w:highlight w:val="none"/>
                <w:lang w:val="zh-CN"/>
              </w:rPr>
              <w:t>发文</w:t>
            </w:r>
            <w:r>
              <w:rPr>
                <w:rFonts w:hint="eastAsia" w:ascii="宋体" w:hAnsi="宋体" w:eastAsia="宋体" w:cs="宋体"/>
                <w:b/>
                <w:bCs/>
                <w:color w:val="auto"/>
                <w:sz w:val="24"/>
                <w:szCs w:val="24"/>
                <w:highlight w:val="none"/>
                <w:lang w:val="en-US" w:eastAsia="zh-CN"/>
              </w:rPr>
              <w:t>的提供网上公示截图页面（含发文网址）</w:t>
            </w:r>
            <w:r>
              <w:rPr>
                <w:rFonts w:hint="eastAsia" w:ascii="宋体" w:hAnsi="宋体" w:eastAsia="宋体" w:cs="宋体"/>
                <w:b/>
                <w:bCs/>
                <w:color w:val="auto"/>
                <w:sz w:val="24"/>
                <w:szCs w:val="24"/>
                <w:highlight w:val="none"/>
                <w:lang w:val="zh-CN"/>
              </w:rPr>
              <w:t>加盖公章</w:t>
            </w:r>
            <w:r>
              <w:rPr>
                <w:rFonts w:hint="eastAsia" w:ascii="宋体" w:hAnsi="宋体" w:eastAsia="宋体" w:cs="宋体"/>
                <w:b/>
                <w:bCs/>
                <w:color w:val="auto"/>
                <w:sz w:val="24"/>
                <w:szCs w:val="24"/>
                <w:highlight w:val="none"/>
                <w:lang w:val="en-US" w:eastAsia="zh-CN"/>
              </w:rPr>
              <w:t>后上传至响应文件中；</w:t>
            </w:r>
            <w:r>
              <w:rPr>
                <w:rFonts w:hint="eastAsia" w:ascii="宋体" w:hAnsi="宋体" w:eastAsia="宋体" w:cs="宋体"/>
                <w:b/>
                <w:bCs/>
                <w:color w:val="auto"/>
                <w:sz w:val="24"/>
                <w:szCs w:val="24"/>
                <w:highlight w:val="none"/>
                <w:lang w:val="zh-CN"/>
              </w:rPr>
              <w:t>不提供</w:t>
            </w:r>
            <w:r>
              <w:rPr>
                <w:rFonts w:hint="eastAsia" w:ascii="宋体" w:hAnsi="宋体" w:eastAsia="宋体" w:cs="宋体"/>
                <w:b/>
                <w:bCs/>
                <w:color w:val="auto"/>
                <w:sz w:val="24"/>
                <w:szCs w:val="24"/>
                <w:highlight w:val="none"/>
                <w:lang w:val="en-US" w:eastAsia="zh-CN"/>
              </w:rPr>
              <w:t>或提供不全</w:t>
            </w:r>
            <w:r>
              <w:rPr>
                <w:rFonts w:hint="eastAsia" w:ascii="宋体" w:hAnsi="宋体" w:eastAsia="宋体" w:cs="宋体"/>
                <w:b/>
                <w:bCs/>
                <w:color w:val="auto"/>
                <w:sz w:val="24"/>
                <w:szCs w:val="24"/>
                <w:highlight w:val="none"/>
                <w:lang w:val="zh-CN"/>
              </w:rPr>
              <w:t>不得分。奖项时间以获奖证书或者发文的落款日期计算。获奖证书与发文日期不一致的，以发文为准</w:t>
            </w:r>
            <w:r>
              <w:rPr>
                <w:rFonts w:hint="eastAsia" w:ascii="宋体" w:hAnsi="宋体" w:eastAsia="宋体" w:cs="宋体"/>
                <w:b/>
                <w:color w:val="auto"/>
                <w:sz w:val="24"/>
                <w:szCs w:val="24"/>
                <w:highlight w:val="none"/>
              </w:rPr>
              <w:t>）</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184" w:type="dxa"/>
            <w:vMerge w:val="continue"/>
            <w:vAlign w:val="center"/>
          </w:tcPr>
          <w:p>
            <w:pPr>
              <w:pStyle w:val="2"/>
              <w:rPr>
                <w:rFonts w:hint="eastAsia"/>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327" w:type="dxa"/>
            <w:vAlign w:val="center"/>
          </w:tcPr>
          <w:p>
            <w:pPr>
              <w:spacing w:line="400" w:lineRule="exact"/>
              <w:jc w:val="center"/>
              <w:rPr>
                <w:rFonts w:hint="eastAsia" w:ascii="宋体" w:hAnsi="宋体" w:eastAsia="宋体" w:cs="宋体"/>
                <w:bCs/>
                <w:sz w:val="24"/>
                <w:szCs w:val="24"/>
              </w:rPr>
            </w:pPr>
            <w:r>
              <w:rPr>
                <w:rFonts w:hint="eastAsia" w:ascii="宋体" w:hAnsi="宋体" w:eastAsia="宋体" w:cs="宋体"/>
                <w:sz w:val="24"/>
                <w:szCs w:val="24"/>
              </w:rPr>
              <w:t>业绩</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kern w:val="0"/>
                <w:sz w:val="24"/>
                <w:szCs w:val="24"/>
              </w:rPr>
              <w:t>供应</w:t>
            </w:r>
            <w:r>
              <w:rPr>
                <w:rFonts w:hint="eastAsia" w:ascii="宋体" w:hAnsi="宋体" w:eastAsia="宋体" w:cs="宋体"/>
                <w:color w:val="auto"/>
                <w:kern w:val="0"/>
                <w:sz w:val="24"/>
                <w:szCs w:val="24"/>
                <w:highlight w:val="none"/>
              </w:rPr>
              <w:t>商自</w:t>
            </w:r>
            <w:r>
              <w:rPr>
                <w:rFonts w:hint="eastAsia" w:ascii="宋体" w:hAnsi="宋体" w:eastAsia="宋体" w:cs="宋体"/>
                <w:color w:val="auto"/>
                <w:kern w:val="0"/>
                <w:sz w:val="24"/>
                <w:szCs w:val="24"/>
                <w:highlight w:val="none"/>
                <w:lang w:val="en-US" w:eastAsia="zh-CN"/>
              </w:rPr>
              <w:t>2019</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月1日以来承接</w:t>
            </w:r>
            <w:r>
              <w:rPr>
                <w:rFonts w:hint="eastAsia" w:ascii="宋体" w:hAnsi="宋体" w:eastAsia="宋体" w:cs="宋体"/>
                <w:kern w:val="0"/>
                <w:sz w:val="24"/>
                <w:szCs w:val="24"/>
              </w:rPr>
              <w:t>过类似项目</w:t>
            </w:r>
            <w:r>
              <w:rPr>
                <w:rFonts w:hint="eastAsia" w:ascii="宋体" w:hAnsi="宋体" w:eastAsia="宋体" w:cs="宋体"/>
                <w:kern w:val="0"/>
                <w:sz w:val="24"/>
                <w:szCs w:val="24"/>
                <w:lang w:val="en-US" w:eastAsia="zh-CN"/>
              </w:rPr>
              <w:t>且服务质量获得业主满意评价</w:t>
            </w:r>
            <w:r>
              <w:rPr>
                <w:rFonts w:hint="eastAsia" w:ascii="宋体" w:hAnsi="宋体" w:eastAsia="宋体" w:cs="宋体"/>
                <w:kern w:val="0"/>
                <w:sz w:val="24"/>
                <w:szCs w:val="24"/>
              </w:rPr>
              <w:t>的，每提供1个得</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分，本项最高得</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分。</w:t>
            </w:r>
            <w:r>
              <w:rPr>
                <w:rFonts w:hint="eastAsia" w:ascii="宋体" w:hAnsi="宋体" w:eastAsia="宋体" w:cs="宋体"/>
                <w:b/>
                <w:bCs/>
                <w:sz w:val="24"/>
                <w:szCs w:val="24"/>
              </w:rPr>
              <w:t>（业绩时间以合同签订时间为准,提供有效的中标</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或成交</w:t>
            </w:r>
            <w:r>
              <w:rPr>
                <w:rFonts w:hint="eastAsia" w:ascii="宋体" w:hAnsi="宋体" w:eastAsia="宋体" w:cs="宋体"/>
                <w:b/>
                <w:bCs/>
                <w:sz w:val="24"/>
                <w:szCs w:val="24"/>
                <w:lang w:eastAsia="zh-CN"/>
              </w:rPr>
              <w:t>）</w:t>
            </w:r>
            <w:r>
              <w:rPr>
                <w:rFonts w:hint="eastAsia" w:ascii="宋体" w:hAnsi="宋体" w:eastAsia="宋体" w:cs="宋体"/>
                <w:b/>
                <w:bCs/>
                <w:sz w:val="24"/>
                <w:szCs w:val="24"/>
              </w:rPr>
              <w:t>公示网站截图、中</w:t>
            </w:r>
            <w:r>
              <w:rPr>
                <w:rFonts w:hint="eastAsia" w:ascii="宋体" w:hAnsi="宋体" w:eastAsia="宋体" w:cs="宋体"/>
                <w:b/>
                <w:bCs/>
                <w:sz w:val="24"/>
                <w:szCs w:val="24"/>
                <w:highlight w:val="none"/>
              </w:rPr>
              <w:t>标</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或成交</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通知书、合同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业主出具的满意评价</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以上资料扫描件加盖公章后上传至响应文件中，</w:t>
            </w:r>
            <w:r>
              <w:rPr>
                <w:rFonts w:hint="eastAsia" w:ascii="宋体" w:hAnsi="宋体" w:eastAsia="宋体" w:cs="宋体"/>
                <w:b/>
                <w:bCs/>
                <w:sz w:val="24"/>
                <w:szCs w:val="24"/>
                <w:highlight w:val="none"/>
              </w:rPr>
              <w:t>不提供或提供不</w:t>
            </w:r>
            <w:r>
              <w:rPr>
                <w:rFonts w:hint="eastAsia" w:ascii="宋体" w:hAnsi="宋体" w:eastAsia="宋体" w:cs="宋体"/>
                <w:b/>
                <w:bCs/>
                <w:sz w:val="24"/>
                <w:szCs w:val="24"/>
              </w:rPr>
              <w:t>全不得分）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1184" w:type="dxa"/>
            <w:vMerge w:val="restart"/>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、技术部分</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50</w:t>
            </w:r>
            <w:r>
              <w:rPr>
                <w:rFonts w:hint="eastAsia" w:ascii="宋体" w:hAnsi="宋体" w:eastAsia="宋体" w:cs="宋体"/>
                <w:sz w:val="24"/>
                <w:szCs w:val="24"/>
              </w:rPr>
              <w:t>分）</w:t>
            </w:r>
          </w:p>
        </w:tc>
        <w:tc>
          <w:tcPr>
            <w:tcW w:w="703"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1327"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highlight w:val="none"/>
              </w:rPr>
              <w:t>项目背景及现状分析</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sz w:val="24"/>
                <w:szCs w:val="24"/>
              </w:rPr>
              <w:t>对项目背景和现状的解读、理解程度的深度、针对性及准确性高得</w:t>
            </w:r>
            <w:r>
              <w:rPr>
                <w:rFonts w:hint="eastAsia" w:ascii="宋体" w:hAnsi="宋体" w:eastAsia="宋体" w:cs="宋体"/>
                <w:sz w:val="24"/>
                <w:szCs w:val="24"/>
                <w:lang w:val="en-US" w:eastAsia="zh-CN"/>
              </w:rPr>
              <w:t>5-6</w:t>
            </w:r>
            <w:r>
              <w:rPr>
                <w:rFonts w:hint="eastAsia" w:ascii="宋体" w:hAnsi="宋体" w:eastAsia="宋体" w:cs="宋体"/>
                <w:sz w:val="24"/>
                <w:szCs w:val="24"/>
              </w:rPr>
              <w:t>分；对项目背景和现状的解读、理解程度的深度、针对性及准确性较高得</w:t>
            </w:r>
            <w:r>
              <w:rPr>
                <w:rFonts w:hint="eastAsia" w:ascii="宋体" w:hAnsi="宋体" w:eastAsia="宋体" w:cs="宋体"/>
                <w:sz w:val="24"/>
                <w:szCs w:val="24"/>
                <w:lang w:val="en-US" w:eastAsia="zh-CN"/>
              </w:rPr>
              <w:t>3-4</w:t>
            </w:r>
            <w:r>
              <w:rPr>
                <w:rFonts w:hint="eastAsia" w:ascii="宋体" w:hAnsi="宋体" w:eastAsia="宋体" w:cs="宋体"/>
                <w:sz w:val="24"/>
                <w:szCs w:val="24"/>
              </w:rPr>
              <w:t>分；对项目背景和现状的解读、理解程度的深度、针对性及准确性一般得1</w:t>
            </w:r>
            <w:r>
              <w:rPr>
                <w:rFonts w:hint="eastAsia" w:ascii="宋体" w:hAnsi="宋体" w:eastAsia="宋体" w:cs="宋体"/>
                <w:sz w:val="24"/>
                <w:szCs w:val="24"/>
                <w:lang w:val="en-US" w:eastAsia="zh-CN"/>
              </w:rPr>
              <w:t>-2</w:t>
            </w:r>
            <w:r>
              <w:rPr>
                <w:rFonts w:hint="eastAsia" w:ascii="宋体" w:hAnsi="宋体" w:eastAsia="宋体" w:cs="宋体"/>
                <w:sz w:val="24"/>
                <w:szCs w:val="24"/>
              </w:rPr>
              <w:t>分；其余不得分。</w:t>
            </w:r>
          </w:p>
        </w:tc>
        <w:tc>
          <w:tcPr>
            <w:tcW w:w="664" w:type="dxa"/>
            <w:vAlign w:val="center"/>
          </w:tcPr>
          <w:p>
            <w:pPr>
              <w:spacing w:line="4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1327"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社区宣传推广及</w:t>
            </w:r>
            <w:r>
              <w:rPr>
                <w:rFonts w:hint="eastAsia" w:ascii="宋体" w:hAnsi="宋体" w:eastAsia="宋体" w:cs="宋体"/>
                <w:sz w:val="24"/>
                <w:szCs w:val="24"/>
                <w:highlight w:val="none"/>
              </w:rPr>
              <w:t>入户评估工作方案</w:t>
            </w:r>
          </w:p>
        </w:tc>
        <w:tc>
          <w:tcPr>
            <w:tcW w:w="5193" w:type="dxa"/>
            <w:vAlign w:val="center"/>
          </w:tcPr>
          <w:p>
            <w:pPr>
              <w:spacing w:line="400" w:lineRule="exact"/>
              <w:rPr>
                <w:rFonts w:hint="eastAsia" w:ascii="宋体" w:hAnsi="宋体" w:eastAsia="宋体" w:cs="宋体"/>
                <w:bCs/>
                <w:sz w:val="24"/>
                <w:szCs w:val="24"/>
              </w:rPr>
            </w:pPr>
            <w:r>
              <w:rPr>
                <w:rFonts w:hint="eastAsia" w:ascii="宋体" w:hAnsi="宋体" w:eastAsia="宋体" w:cs="宋体"/>
                <w:sz w:val="24"/>
                <w:szCs w:val="24"/>
                <w:highlight w:val="none"/>
                <w:lang w:eastAsia="zh-CN"/>
              </w:rPr>
              <w:t>内容包括但不限于</w:t>
            </w:r>
            <w:r>
              <w:rPr>
                <w:rFonts w:hint="eastAsia" w:ascii="宋体" w:hAnsi="宋体" w:eastAsia="宋体" w:cs="宋体"/>
                <w:bCs/>
                <w:sz w:val="24"/>
                <w:szCs w:val="24"/>
                <w:highlight w:val="none"/>
                <w:lang w:val="en-US" w:eastAsia="zh-CN"/>
              </w:rPr>
              <w:t>以街道、社区为载体，设施设备现场展示讲解推广活动，服务</w:t>
            </w:r>
            <w:r>
              <w:rPr>
                <w:rFonts w:hint="eastAsia" w:ascii="宋体" w:hAnsi="宋体" w:eastAsia="宋体" w:cs="宋体"/>
                <w:sz w:val="24"/>
                <w:szCs w:val="24"/>
                <w:highlight w:val="none"/>
                <w:lang w:eastAsia="zh-CN"/>
              </w:rPr>
              <w:t>入户调查方式、工作流程、评估质量保障措施、台账管理等。</w:t>
            </w:r>
            <w:r>
              <w:rPr>
                <w:rFonts w:hint="eastAsia" w:ascii="宋体" w:hAnsi="宋体" w:eastAsia="宋体" w:cs="宋体"/>
                <w:sz w:val="24"/>
                <w:szCs w:val="24"/>
                <w:highlight w:val="none"/>
                <w:lang w:val="en-US" w:eastAsia="zh-CN"/>
              </w:rPr>
              <w:t>对方案</w:t>
            </w:r>
            <w:r>
              <w:rPr>
                <w:rFonts w:hint="eastAsia" w:ascii="宋体" w:hAnsi="宋体" w:eastAsia="宋体" w:cs="宋体"/>
                <w:bCs/>
                <w:sz w:val="24"/>
                <w:szCs w:val="24"/>
              </w:rPr>
              <w:t>进行综合评审：</w:t>
            </w:r>
          </w:p>
          <w:p>
            <w:pPr>
              <w:spacing w:line="400" w:lineRule="exact"/>
              <w:rPr>
                <w:rFonts w:hint="eastAsia" w:ascii="宋体" w:hAnsi="宋体" w:eastAsia="宋体" w:cs="宋体"/>
                <w:sz w:val="24"/>
                <w:szCs w:val="24"/>
              </w:rPr>
            </w:pPr>
            <w:r>
              <w:rPr>
                <w:rFonts w:hint="eastAsia" w:ascii="宋体" w:hAnsi="宋体" w:eastAsia="宋体" w:cs="宋体"/>
                <w:sz w:val="24"/>
                <w:szCs w:val="24"/>
              </w:rPr>
              <w:t>内容详细全面、针对性及合理性好得</w:t>
            </w:r>
            <w:r>
              <w:rPr>
                <w:rFonts w:hint="eastAsia" w:ascii="宋体" w:hAnsi="宋体" w:eastAsia="宋体" w:cs="宋体"/>
                <w:sz w:val="24"/>
                <w:szCs w:val="24"/>
                <w:lang w:val="en-US" w:eastAsia="zh-CN"/>
              </w:rPr>
              <w:t>6-7</w:t>
            </w:r>
            <w:r>
              <w:rPr>
                <w:rFonts w:hint="eastAsia" w:ascii="宋体" w:hAnsi="宋体" w:eastAsia="宋体" w:cs="宋体"/>
                <w:sz w:val="24"/>
                <w:szCs w:val="24"/>
              </w:rPr>
              <w:t>分；内容较详细全面、针对性及合理性较好得</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分；内容一般、针对性及合理性一般得1-</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color w:val="0000FF"/>
                <w:sz w:val="24"/>
                <w:szCs w:val="24"/>
              </w:rPr>
              <w:t>其余不得分。</w:t>
            </w:r>
          </w:p>
        </w:tc>
        <w:tc>
          <w:tcPr>
            <w:tcW w:w="664" w:type="dxa"/>
            <w:vAlign w:val="center"/>
          </w:tcPr>
          <w:p>
            <w:pPr>
              <w:spacing w:line="4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1327"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highlight w:val="none"/>
              </w:rPr>
              <w:t>改造方案</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sz w:val="24"/>
                <w:szCs w:val="24"/>
                <w:highlight w:val="none"/>
              </w:rPr>
              <w:t>内容包括但不限于卫生间改造、厨房改造、农村地区老旧线路改造、康复辅助器具适配和智能安全监护</w:t>
            </w:r>
            <w:r>
              <w:rPr>
                <w:rFonts w:hint="eastAsia" w:ascii="宋体" w:hAnsi="宋体" w:eastAsia="宋体" w:cs="宋体"/>
                <w:sz w:val="24"/>
                <w:szCs w:val="24"/>
                <w:highlight w:val="none"/>
                <w:lang w:eastAsia="zh-CN"/>
              </w:rPr>
              <w:t>等。</w:t>
            </w:r>
            <w:r>
              <w:rPr>
                <w:rFonts w:hint="eastAsia" w:ascii="宋体" w:hAnsi="宋体" w:eastAsia="宋体" w:cs="宋体"/>
                <w:sz w:val="24"/>
                <w:szCs w:val="24"/>
                <w:highlight w:val="none"/>
                <w:lang w:val="en-US" w:eastAsia="zh-CN"/>
              </w:rPr>
              <w:t>对改造方案</w:t>
            </w:r>
            <w:r>
              <w:rPr>
                <w:rFonts w:hint="eastAsia" w:ascii="宋体" w:hAnsi="宋体" w:eastAsia="宋体" w:cs="宋体"/>
                <w:sz w:val="24"/>
                <w:szCs w:val="24"/>
                <w:highlight w:val="none"/>
              </w:rPr>
              <w:t>进行综合评审：内容详细全面、针对性及合理性好得</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color w:val="0000FF"/>
                <w:sz w:val="24"/>
                <w:szCs w:val="24"/>
                <w:highlight w:val="none"/>
              </w:rPr>
              <w:t>内容</w:t>
            </w:r>
            <w:r>
              <w:rPr>
                <w:rFonts w:hint="eastAsia" w:ascii="宋体" w:hAnsi="宋体" w:eastAsia="宋体" w:cs="宋体"/>
                <w:color w:val="0000FF"/>
                <w:sz w:val="24"/>
                <w:szCs w:val="24"/>
                <w:highlight w:val="none"/>
                <w:lang w:val="en-US" w:eastAsia="zh-CN"/>
              </w:rPr>
              <w:t>较详细</w:t>
            </w:r>
            <w:r>
              <w:rPr>
                <w:rFonts w:hint="eastAsia" w:ascii="宋体" w:hAnsi="宋体" w:eastAsia="宋体" w:cs="宋体"/>
                <w:color w:val="0000FF"/>
                <w:sz w:val="24"/>
                <w:szCs w:val="24"/>
                <w:highlight w:val="none"/>
              </w:rPr>
              <w:t>、针对性及合理性</w:t>
            </w:r>
            <w:r>
              <w:rPr>
                <w:rFonts w:hint="eastAsia" w:ascii="宋体" w:hAnsi="宋体" w:eastAsia="宋体" w:cs="宋体"/>
                <w:color w:val="0000FF"/>
                <w:sz w:val="24"/>
                <w:szCs w:val="24"/>
                <w:highlight w:val="none"/>
                <w:lang w:val="en-US" w:eastAsia="zh-CN"/>
              </w:rPr>
              <w:t>较好</w:t>
            </w:r>
            <w:r>
              <w:rPr>
                <w:rFonts w:hint="eastAsia" w:ascii="宋体" w:hAnsi="宋体" w:eastAsia="宋体" w:cs="宋体"/>
                <w:color w:val="0000FF"/>
                <w:sz w:val="24"/>
                <w:szCs w:val="24"/>
                <w:highlight w:val="none"/>
              </w:rPr>
              <w:t>得3-</w:t>
            </w:r>
            <w:r>
              <w:rPr>
                <w:rFonts w:hint="eastAsia" w:ascii="宋体" w:hAnsi="宋体" w:eastAsia="宋体" w:cs="宋体"/>
                <w:color w:val="0000FF"/>
                <w:sz w:val="24"/>
                <w:szCs w:val="24"/>
                <w:highlight w:val="none"/>
                <w:lang w:val="en-US" w:eastAsia="zh-CN"/>
              </w:rPr>
              <w:t>6</w:t>
            </w:r>
            <w:r>
              <w:rPr>
                <w:rFonts w:hint="eastAsia" w:ascii="宋体" w:hAnsi="宋体" w:eastAsia="宋体" w:cs="宋体"/>
                <w:color w:val="0000FF"/>
                <w:sz w:val="24"/>
                <w:szCs w:val="24"/>
                <w:highlight w:val="none"/>
              </w:rPr>
              <w:t>，内容</w:t>
            </w:r>
            <w:r>
              <w:rPr>
                <w:rFonts w:hint="eastAsia" w:ascii="宋体" w:hAnsi="宋体" w:eastAsia="宋体" w:cs="宋体"/>
                <w:color w:val="0000FF"/>
                <w:sz w:val="24"/>
                <w:szCs w:val="24"/>
                <w:highlight w:val="none"/>
                <w:lang w:val="en-US" w:eastAsia="zh-CN"/>
              </w:rPr>
              <w:t>一般，</w:t>
            </w:r>
            <w:r>
              <w:rPr>
                <w:rFonts w:hint="eastAsia" w:ascii="宋体" w:hAnsi="宋体" w:eastAsia="宋体" w:cs="宋体"/>
                <w:color w:val="0000FF"/>
                <w:sz w:val="24"/>
                <w:szCs w:val="24"/>
                <w:highlight w:val="none"/>
              </w:rPr>
              <w:t>不够详细全面、针对性及合理性</w:t>
            </w:r>
            <w:r>
              <w:rPr>
                <w:rFonts w:hint="eastAsia" w:ascii="宋体" w:hAnsi="宋体" w:eastAsia="宋体" w:cs="宋体"/>
                <w:color w:val="0000FF"/>
                <w:sz w:val="24"/>
                <w:szCs w:val="24"/>
                <w:highlight w:val="none"/>
                <w:lang w:val="en-US" w:eastAsia="zh-CN"/>
              </w:rPr>
              <w:t>一般</w:t>
            </w:r>
            <w:r>
              <w:rPr>
                <w:rFonts w:hint="eastAsia" w:ascii="宋体" w:hAnsi="宋体" w:eastAsia="宋体" w:cs="宋体"/>
                <w:color w:val="0000FF"/>
                <w:sz w:val="24"/>
                <w:szCs w:val="24"/>
                <w:highlight w:val="none"/>
              </w:rPr>
              <w:t>得1-2分。</w:t>
            </w:r>
            <w:r>
              <w:rPr>
                <w:rFonts w:hint="eastAsia" w:ascii="宋体" w:hAnsi="宋体" w:eastAsia="宋体" w:cs="宋体"/>
                <w:sz w:val="24"/>
                <w:szCs w:val="24"/>
                <w:highlight w:val="none"/>
              </w:rPr>
              <w:t>其余不得分。</w:t>
            </w:r>
          </w:p>
        </w:tc>
        <w:tc>
          <w:tcPr>
            <w:tcW w:w="664"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327" w:type="dxa"/>
            <w:vAlign w:val="center"/>
          </w:tcPr>
          <w:p>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进度计划及进度保障措施</w:t>
            </w:r>
          </w:p>
        </w:tc>
        <w:tc>
          <w:tcPr>
            <w:tcW w:w="5193" w:type="dxa"/>
            <w:vAlign w:val="center"/>
          </w:tcPr>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内容包含但不限于人员安排计划、管理流程优化、实时监管跟进等。进行综合评审：内容详细全面、针对性及合理性好得4-5分；</w:t>
            </w:r>
            <w:r>
              <w:rPr>
                <w:rFonts w:hint="eastAsia" w:ascii="宋体" w:hAnsi="宋体" w:eastAsia="宋体" w:cs="宋体"/>
                <w:color w:val="0000FF"/>
                <w:sz w:val="24"/>
                <w:szCs w:val="24"/>
                <w:highlight w:val="none"/>
                <w:lang w:val="en-US" w:eastAsia="zh-CN"/>
              </w:rPr>
              <w:t>内容较详细全面、针对性及合理性较好得2-3，内容一般，不够详细全面、针对性及合理性一般得1分；</w:t>
            </w:r>
            <w:r>
              <w:rPr>
                <w:rFonts w:hint="eastAsia" w:ascii="宋体" w:hAnsi="宋体" w:eastAsia="宋体" w:cs="宋体"/>
                <w:sz w:val="24"/>
                <w:szCs w:val="24"/>
                <w:highlight w:val="none"/>
                <w:lang w:val="en-US" w:eastAsia="zh-CN"/>
              </w:rPr>
              <w:t>其余不得分。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327" w:type="dxa"/>
            <w:vAlign w:val="center"/>
          </w:tcPr>
          <w:p>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适老化改造管理系统</w:t>
            </w:r>
          </w:p>
        </w:tc>
        <w:tc>
          <w:tcPr>
            <w:tcW w:w="5193" w:type="dxa"/>
            <w:vAlign w:val="center"/>
          </w:tcPr>
          <w:p>
            <w:pPr>
              <w:spacing w:line="40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内容包括但不限于能实现适老化改造对象能力评估、环境评估、数据导入、施工分配、任务审核、数据储存、改造前后场景照片对比等功能</w:t>
            </w:r>
            <w:r>
              <w:rPr>
                <w:rFonts w:hint="eastAsia" w:ascii="宋体" w:hAnsi="宋体" w:eastAsia="宋体" w:cs="宋体"/>
                <w:sz w:val="24"/>
                <w:szCs w:val="24"/>
                <w:highlight w:val="none"/>
                <w:lang w:eastAsia="zh-CN"/>
              </w:rPr>
              <w:t>。</w:t>
            </w:r>
            <w:r>
              <w:rPr>
                <w:rFonts w:hint="eastAsia" w:ascii="宋体" w:hAnsi="宋体" w:eastAsia="宋体" w:cs="宋体"/>
                <w:color w:val="0000FF"/>
                <w:sz w:val="24"/>
                <w:szCs w:val="24"/>
                <w:highlight w:val="none"/>
                <w:lang w:val="en-US" w:eastAsia="zh-CN"/>
              </w:rPr>
              <w:t>进行综合评审：内容详细全面、针对性及合理性好得6-8分；内容较详细全面、针对性及合理性较好得3-5，内容一般，不够详细全面、针对性及合理性一般得1-2分；其余不得分。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327" w:type="dxa"/>
            <w:vAlign w:val="center"/>
          </w:tcPr>
          <w:p>
            <w:pPr>
              <w:spacing w:line="400" w:lineRule="exact"/>
              <w:jc w:val="center"/>
              <w:rPr>
                <w:rFonts w:hint="eastAsia" w:ascii="宋体" w:hAnsi="宋体" w:eastAsia="宋体" w:cs="宋体"/>
                <w:sz w:val="24"/>
                <w:szCs w:val="24"/>
                <w:highlight w:val="none"/>
              </w:rPr>
            </w:pPr>
            <w:r>
              <w:rPr>
                <w:rFonts w:hint="eastAsia" w:ascii="宋体" w:hAnsi="宋体" w:eastAsia="宋体" w:cs="宋体"/>
                <w:bCs/>
                <w:sz w:val="24"/>
                <w:szCs w:val="24"/>
                <w:lang w:val="en-US" w:eastAsia="zh-CN"/>
              </w:rPr>
              <w:t>售后服务方案</w:t>
            </w:r>
          </w:p>
        </w:tc>
        <w:tc>
          <w:tcPr>
            <w:tcW w:w="5193" w:type="dxa"/>
            <w:vAlign w:val="center"/>
          </w:tcPr>
          <w:p>
            <w:pPr>
              <w:spacing w:line="400" w:lineRule="exact"/>
              <w:rPr>
                <w:rFonts w:hint="eastAsia" w:ascii="宋体" w:hAnsi="宋体" w:eastAsia="宋体" w:cs="宋体"/>
                <w:sz w:val="24"/>
                <w:szCs w:val="24"/>
                <w:highlight w:val="none"/>
                <w:lang w:val="en-US" w:eastAsia="zh-CN"/>
              </w:rPr>
            </w:pPr>
            <w:r>
              <w:rPr>
                <w:rFonts w:hint="eastAsia" w:ascii="宋体" w:hAnsi="宋体" w:eastAsia="宋体" w:cs="宋体"/>
                <w:bCs/>
                <w:sz w:val="24"/>
                <w:szCs w:val="24"/>
                <w:lang w:val="en-US" w:eastAsia="zh-CN"/>
              </w:rPr>
              <w:t>内容包括但不限于售后服务呼叫电话和响应时间、现场服务支持能力、应急处理方案、售后巡检、质量保证期限及范围、售后服务机构设置及售后人员配备情况。</w:t>
            </w:r>
            <w:r>
              <w:rPr>
                <w:rFonts w:hint="eastAsia" w:ascii="宋体" w:hAnsi="宋体" w:eastAsia="宋体" w:cs="宋体"/>
                <w:bCs/>
                <w:color w:val="0000FF"/>
                <w:sz w:val="24"/>
                <w:szCs w:val="24"/>
                <w:lang w:val="en-US" w:eastAsia="zh-CN"/>
              </w:rPr>
              <w:t>对售后服务方案</w:t>
            </w:r>
            <w:r>
              <w:rPr>
                <w:rFonts w:hint="eastAsia" w:ascii="宋体" w:hAnsi="宋体" w:eastAsia="宋体" w:cs="宋体"/>
                <w:color w:val="0000FF"/>
                <w:sz w:val="24"/>
                <w:szCs w:val="24"/>
                <w:highlight w:val="none"/>
                <w:lang w:val="en-US" w:eastAsia="zh-CN"/>
              </w:rPr>
              <w:t>进行综合评审：内容详细全面、针对性及合理性好得5-6分；内容较详细全面、针对性及合理性较好得3-4，内容一般，不够详细全面、针对性及合理性一般得1-2分；其余不得分。</w:t>
            </w:r>
          </w:p>
        </w:tc>
        <w:tc>
          <w:tcPr>
            <w:tcW w:w="664"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184" w:type="dxa"/>
            <w:vMerge w:val="continue"/>
            <w:vAlign w:val="center"/>
          </w:tcPr>
          <w:p>
            <w:pPr>
              <w:spacing w:line="400" w:lineRule="exact"/>
              <w:jc w:val="center"/>
              <w:rPr>
                <w:rFonts w:hint="eastAsia" w:ascii="宋体" w:hAnsi="宋体" w:eastAsia="宋体" w:cs="宋体"/>
                <w:sz w:val="24"/>
                <w:szCs w:val="24"/>
              </w:rPr>
            </w:pPr>
          </w:p>
        </w:tc>
        <w:tc>
          <w:tcPr>
            <w:tcW w:w="703" w:type="dxa"/>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1327" w:type="dxa"/>
            <w:vAlign w:val="center"/>
          </w:tcPr>
          <w:p>
            <w:pPr>
              <w:spacing w:line="400" w:lineRule="exact"/>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产品清单响应</w:t>
            </w:r>
          </w:p>
        </w:tc>
        <w:tc>
          <w:tcPr>
            <w:tcW w:w="5193" w:type="dxa"/>
            <w:vAlign w:val="center"/>
          </w:tcPr>
          <w:p>
            <w:pPr>
              <w:spacing w:line="400" w:lineRule="exact"/>
              <w:rPr>
                <w:rFonts w:hint="eastAsia" w:ascii="宋体" w:hAnsi="宋体" w:eastAsia="宋体" w:cs="宋体"/>
                <w:sz w:val="24"/>
                <w:szCs w:val="24"/>
              </w:rPr>
            </w:pPr>
            <w:r>
              <w:rPr>
                <w:rFonts w:hint="eastAsia" w:ascii="宋体" w:hAnsi="宋体" w:eastAsia="宋体" w:cs="宋体"/>
                <w:bCs/>
                <w:sz w:val="24"/>
                <w:szCs w:val="24"/>
              </w:rPr>
              <w:t>根据</w:t>
            </w:r>
            <w:r>
              <w:rPr>
                <w:rFonts w:hint="eastAsia" w:ascii="宋体" w:hAnsi="宋体" w:eastAsia="宋体" w:cs="宋体"/>
                <w:bCs/>
                <w:sz w:val="24"/>
                <w:szCs w:val="24"/>
                <w:lang w:val="en-US" w:eastAsia="zh-CN"/>
              </w:rPr>
              <w:t>供应商</w:t>
            </w:r>
            <w:r>
              <w:rPr>
                <w:rFonts w:hint="eastAsia" w:ascii="宋体" w:hAnsi="宋体" w:eastAsia="宋体" w:cs="宋体"/>
                <w:bCs/>
                <w:sz w:val="24"/>
                <w:szCs w:val="24"/>
              </w:rPr>
              <w:t>对本次</w:t>
            </w:r>
            <w:r>
              <w:rPr>
                <w:rFonts w:hint="eastAsia" w:ascii="宋体" w:hAnsi="宋体" w:eastAsia="宋体" w:cs="宋体"/>
                <w:bCs/>
                <w:sz w:val="24"/>
                <w:szCs w:val="24"/>
                <w:lang w:val="en-US" w:eastAsia="zh-CN"/>
              </w:rPr>
              <w:t>磋商</w:t>
            </w:r>
            <w:r>
              <w:rPr>
                <w:rFonts w:hint="eastAsia" w:ascii="宋体" w:hAnsi="宋体" w:eastAsia="宋体" w:cs="宋体"/>
                <w:bCs/>
                <w:sz w:val="24"/>
                <w:szCs w:val="24"/>
              </w:rPr>
              <w:t>提供的适老产品技术参数响应情况进行评定</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带“★”的参数须提供相关检测报告，每提供1个得1分，本项最高得10分。</w:t>
            </w:r>
            <w:r>
              <w:rPr>
                <w:rFonts w:hint="eastAsia" w:ascii="宋体" w:hAnsi="宋体" w:eastAsia="宋体" w:cs="宋体"/>
                <w:b/>
                <w:bCs/>
                <w:sz w:val="24"/>
                <w:szCs w:val="24"/>
                <w:lang w:val="en-US" w:eastAsia="zh-CN"/>
              </w:rPr>
              <w:t>（相关资料</w:t>
            </w:r>
            <w:r>
              <w:rPr>
                <w:rFonts w:hint="eastAsia" w:ascii="宋体" w:hAnsi="宋体" w:eastAsia="宋体" w:cs="宋体"/>
                <w:b/>
                <w:bCs/>
                <w:sz w:val="24"/>
                <w:szCs w:val="24"/>
              </w:rPr>
              <w:t>扫描件加盖公章</w:t>
            </w:r>
            <w:r>
              <w:rPr>
                <w:rFonts w:hint="eastAsia" w:ascii="宋体" w:hAnsi="宋体" w:eastAsia="宋体" w:cs="宋体"/>
                <w:b/>
                <w:bCs/>
                <w:sz w:val="24"/>
                <w:szCs w:val="24"/>
                <w:lang w:val="en-US" w:eastAsia="zh-CN"/>
              </w:rPr>
              <w:t>后上传至响应文件中，不提供或提供不全或证明材料不足以证明的视为负偏离）</w:t>
            </w:r>
            <w:r>
              <w:rPr>
                <w:rFonts w:hint="eastAsia" w:ascii="宋体" w:hAnsi="宋体" w:eastAsia="宋体" w:cs="宋体"/>
                <w:b/>
                <w:bCs/>
                <w:sz w:val="24"/>
                <w:szCs w:val="24"/>
              </w:rPr>
              <w:t>。</w:t>
            </w:r>
          </w:p>
        </w:tc>
        <w:tc>
          <w:tcPr>
            <w:tcW w:w="664" w:type="dxa"/>
            <w:vAlign w:val="center"/>
          </w:tcPr>
          <w:p>
            <w:pPr>
              <w:spacing w:line="400" w:lineRule="exact"/>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10</w:t>
            </w:r>
          </w:p>
        </w:tc>
      </w:tr>
      <w:bookmarkEnd w:id="2"/>
    </w:tbl>
    <w:p>
      <w:pPr>
        <w:pStyle w:val="16"/>
        <w:spacing w:line="360" w:lineRule="auto"/>
        <w:rPr>
          <w:rFonts w:hint="eastAsia"/>
          <w:color w:val="FF0000"/>
          <w:lang w:val="en-US" w:eastAsia="zh-CN"/>
        </w:rPr>
      </w:pPr>
      <w:r>
        <w:rPr>
          <w:rFonts w:hint="eastAsia" w:ascii="宋体" w:hAnsi="宋体" w:eastAsia="宋体" w:cs="Times New Roman"/>
          <w:bCs/>
          <w:color w:val="FF0000"/>
          <w:kern w:val="2"/>
          <w:sz w:val="24"/>
          <w:szCs w:val="24"/>
          <w:lang w:val="en-US" w:eastAsia="zh-CN" w:bidi="ar-SA"/>
        </w:rPr>
        <w:t>在响应磋商文件需求的基础上针对以上各部分进行评价，要求体现方案的合理性、条理性、可行性、针对性，若无相关内容阐述，或者内容不符合要求不得分。（取所有评委打分分值的平均值）。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评审</w:t>
      </w:r>
      <w:r>
        <w:rPr>
          <w:rFonts w:hint="eastAsia" w:ascii="宋体" w:hAnsi="宋体" w:eastAsia="宋体" w:cs="宋体"/>
          <w:b/>
          <w:bCs/>
          <w:sz w:val="24"/>
          <w:szCs w:val="24"/>
          <w:highlight w:val="none"/>
        </w:rPr>
        <w:t>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 xml:space="preserve"> 评委为</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人以上的单数（含</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人）时，计算分项得分时取平均值为</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的得分，各分项得分合计即为</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的总得分。</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无相应评分内容时，该项目为零分。每项评分的具体内容和方法由评委集体讨论，评委独立评分。所有评委打分的平均值为各</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最终得分。最终得分最高的为排名第一的</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候选人，评分办法及评分细则的解释权属采购人。未列入本评分细则的其他条件不作为评分内容。</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20" w:firstLineChars="175"/>
        <w:textAlignment w:val="auto"/>
        <w:outlineLvl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（十）确定</w:t>
      </w:r>
      <w:r>
        <w:rPr>
          <w:rFonts w:hint="eastAsia" w:ascii="宋体" w:hAnsi="宋体" w:eastAsia="宋体" w:cs="宋体"/>
          <w:bCs/>
          <w:sz w:val="24"/>
          <w:szCs w:val="24"/>
          <w:highlight w:val="none"/>
          <w:lang w:val="en-US" w:eastAsia="zh-CN"/>
        </w:rPr>
        <w:t>成交方</w:t>
      </w:r>
      <w:r>
        <w:rPr>
          <w:rFonts w:hint="eastAsia" w:ascii="宋体" w:hAnsi="宋体" w:eastAsia="宋体" w:cs="宋体"/>
          <w:bCs/>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评审小组</w:t>
      </w: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规定的评标方法和评标标准进行评审，自评审结束之日起2个工作日内将评审报告送交采购人。采购人自收到评审报告之日起5个工作日内在评审报告推荐的中标或者成交候选人中按顺序确定中标或者成交人。</w:t>
      </w:r>
      <w:r>
        <w:rPr>
          <w:rFonts w:hint="eastAsia" w:ascii="宋体" w:hAnsi="宋体" w:eastAsia="宋体" w:cs="宋体"/>
          <w:sz w:val="24"/>
          <w:szCs w:val="24"/>
          <w:highlight w:val="none"/>
          <w:lang w:eastAsia="zh-CN"/>
        </w:rPr>
        <w:t>江苏达瑞德工程管理咨询有限公司</w:t>
      </w:r>
      <w:r>
        <w:rPr>
          <w:rFonts w:hint="eastAsia" w:ascii="宋体" w:hAnsi="宋体" w:eastAsia="宋体" w:cs="宋体"/>
          <w:sz w:val="24"/>
          <w:szCs w:val="24"/>
          <w:highlight w:val="none"/>
        </w:rPr>
        <w:t>自中标、成交人确定之日起2个工作日内，发出中标、成交通知书，并在财政部门指定的政府采购信息发布媒体中国政府采购网、江苏政府采购网、无锡政府采购网站发布公告中标、成交公告。如有质疑，按《中华人民共和国政府采购法》、《中华人民共和国政府采购法实施条例》、财政部《政府采购货物和服务招标投标管理办法》等有关法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w:t>
      </w:r>
      <w:r>
        <w:rPr>
          <w:rFonts w:hint="eastAsia" w:ascii="宋体" w:hAnsi="宋体" w:eastAsia="宋体" w:cs="宋体"/>
          <w:bCs/>
          <w:sz w:val="24"/>
          <w:szCs w:val="24"/>
          <w:highlight w:val="none"/>
          <w:lang w:val="en-US" w:eastAsia="zh-CN"/>
        </w:rPr>
        <w:t>磋商</w:t>
      </w:r>
      <w:r>
        <w:rPr>
          <w:rFonts w:hint="eastAsia" w:ascii="宋体" w:hAnsi="宋体" w:eastAsia="宋体" w:cs="宋体"/>
          <w:bCs/>
          <w:sz w:val="24"/>
          <w:szCs w:val="24"/>
          <w:highlight w:val="none"/>
        </w:rPr>
        <w:t>的整个过程均由区政府采购监管部门的监督。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3.在发布成交公告的同时，</w:t>
      </w:r>
      <w:r>
        <w:rPr>
          <w:rFonts w:hint="eastAsia" w:ascii="宋体" w:hAnsi="宋体" w:eastAsia="宋体" w:cs="宋体"/>
          <w:sz w:val="24"/>
          <w:szCs w:val="24"/>
          <w:highlight w:val="none"/>
          <w:lang w:eastAsia="zh-CN"/>
        </w:rPr>
        <w:t>江苏达瑞德工程管理咨询有限公司</w:t>
      </w:r>
      <w:r>
        <w:rPr>
          <w:rFonts w:hint="eastAsia" w:ascii="宋体" w:hAnsi="宋体" w:eastAsia="宋体" w:cs="宋体"/>
          <w:sz w:val="24"/>
          <w:szCs w:val="24"/>
          <w:highlight w:val="none"/>
        </w:rPr>
        <w:t>将向成交供应商发出成交通知书。</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20" w:firstLineChars="175"/>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（十一）废标的确认：</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20" w:firstLineChars="175"/>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中，出现下列情况之一的，应予废标：</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20" w:firstLineChars="175"/>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1.符合专业条件的</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或者对</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作出实质性响应的供应商不足三家；</w:t>
      </w:r>
    </w:p>
    <w:p>
      <w:pPr>
        <w:keepNext w:val="0"/>
        <w:keepLines w:val="0"/>
        <w:pageBreakBefore w:val="0"/>
        <w:widowControl w:val="0"/>
        <w:kinsoku/>
        <w:wordWrap/>
        <w:overflowPunct/>
        <w:topLinePunct w:val="0"/>
        <w:autoSpaceDE/>
        <w:autoSpaceDN/>
        <w:bidi w:val="0"/>
        <w:adjustRightInd/>
        <w:snapToGrid/>
        <w:spacing w:line="360" w:lineRule="auto"/>
        <w:ind w:left="-2" w:leftChars="-1" w:firstLine="420" w:firstLineChars="175"/>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w:t>
      </w:r>
    </w:p>
    <w:p>
      <w:pPr>
        <w:spacing w:line="360" w:lineRule="auto"/>
        <w:ind w:left="-2" w:leftChars="-1" w:firstLine="420" w:firstLineChars="1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所有</w:t>
      </w:r>
      <w:r>
        <w:rPr>
          <w:rFonts w:hint="eastAsia" w:ascii="宋体" w:hAnsi="宋体" w:eastAsia="宋体" w:cs="宋体"/>
          <w:sz w:val="24"/>
          <w:szCs w:val="24"/>
          <w:highlight w:val="none"/>
        </w:rPr>
        <w:t>供应商的报价均超过采购预算，采购人不能支付的；</w:t>
      </w:r>
    </w:p>
    <w:p>
      <w:pPr>
        <w:spacing w:line="360" w:lineRule="auto"/>
        <w:ind w:left="-2" w:leftChars="-1" w:firstLine="420" w:firstLineChars="1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4.因重大变故，采购任务取消。</w:t>
      </w:r>
    </w:p>
    <w:p>
      <w:pPr>
        <w:spacing w:line="360" w:lineRule="auto"/>
        <w:ind w:left="-2" w:leftChars="-1" w:firstLine="420" w:firstLineChars="1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（十二）履约保证金：</w:t>
      </w:r>
    </w:p>
    <w:p>
      <w:pPr>
        <w:spacing w:line="360" w:lineRule="auto"/>
        <w:ind w:left="-2" w:leftChars="-1" w:firstLine="660" w:firstLineChars="2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1.履约保证金应按照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规定的数额和办法交纳。</w:t>
      </w:r>
    </w:p>
    <w:p>
      <w:pPr>
        <w:spacing w:line="360" w:lineRule="auto"/>
        <w:ind w:left="-2" w:leftChars="-1" w:firstLine="660" w:firstLineChars="2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2.如供应商未按</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要求履约，则履约保证金将作为违约金不予退还。</w:t>
      </w:r>
    </w:p>
    <w:p>
      <w:pPr>
        <w:spacing w:line="360" w:lineRule="auto"/>
        <w:ind w:left="-2" w:leftChars="-1" w:firstLine="660" w:firstLineChars="2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3.成交供应商的履约保证金将在本项目招标内容履约结束后无息退还。</w:t>
      </w:r>
    </w:p>
    <w:p>
      <w:pPr>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（十三）中标无效的确认：</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1、提供虚假材料谋取成交的；</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2、采取不正当手段诋毁、排挤其他供应商的；</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3、与采购人、其他供应商或者采购代理机构恶意串通的；</w:t>
      </w:r>
    </w:p>
    <w:p>
      <w:pPr>
        <w:tabs>
          <w:tab w:val="left" w:pos="114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4、向采购人、采购代理机构行贿或者提供其他不正当利益的；</w:t>
      </w:r>
    </w:p>
    <w:p>
      <w:pPr>
        <w:tabs>
          <w:tab w:val="left" w:pos="114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5、拒绝有关部门监督检查或者提供虚假情况的；</w:t>
      </w:r>
    </w:p>
    <w:p>
      <w:pPr>
        <w:tabs>
          <w:tab w:val="left" w:pos="114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6、采购人、采购代理机构发现</w:t>
      </w:r>
      <w:r>
        <w:rPr>
          <w:rFonts w:hint="eastAsia" w:ascii="宋体" w:hAnsi="宋体" w:eastAsia="宋体" w:cs="宋体"/>
          <w:bCs/>
          <w:sz w:val="24"/>
          <w:szCs w:val="24"/>
          <w:highlight w:val="none"/>
          <w:lang w:eastAsia="zh-CN"/>
        </w:rPr>
        <w:t>评审小组</w:t>
      </w:r>
      <w:r>
        <w:rPr>
          <w:rFonts w:hint="eastAsia" w:ascii="宋体" w:hAnsi="宋体" w:eastAsia="宋体" w:cs="宋体"/>
          <w:bCs/>
          <w:sz w:val="24"/>
          <w:szCs w:val="24"/>
          <w:highlight w:val="none"/>
        </w:rPr>
        <w:t>未按照磋商文件规定的评审标准进行评审的；</w:t>
      </w:r>
    </w:p>
    <w:p>
      <w:pPr>
        <w:tabs>
          <w:tab w:val="left" w:pos="114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7、成交供应商拒绝签订政府采购合同的。</w:t>
      </w: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     供应商有上述（1）至（5）项情形之一的，处以政府采购项目采购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spacing w:line="360" w:lineRule="auto"/>
        <w:ind w:left="-2" w:leftChars="-1" w:firstLine="420" w:firstLineChars="175"/>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（十四）签订、履行合同：</w:t>
      </w:r>
    </w:p>
    <w:p>
      <w:pPr>
        <w:tabs>
          <w:tab w:val="left" w:pos="525"/>
          <w:tab w:val="left" w:pos="105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1、采购人应当自成交通知书发出之日起三十日内，按照竞争性磋商文件和成交供应商</w:t>
      </w:r>
      <w:r>
        <w:rPr>
          <w:rFonts w:hint="eastAsia" w:ascii="宋体" w:hAnsi="宋体" w:eastAsia="宋体" w:cs="宋体"/>
          <w:sz w:val="24"/>
          <w:szCs w:val="24"/>
          <w:highlight w:val="none"/>
        </w:rPr>
        <w:t>响应文件</w:t>
      </w:r>
      <w:r>
        <w:rPr>
          <w:rFonts w:hint="eastAsia" w:ascii="宋体" w:hAnsi="宋体" w:eastAsia="宋体" w:cs="宋体"/>
          <w:bCs/>
          <w:sz w:val="24"/>
          <w:szCs w:val="24"/>
          <w:highlight w:val="none"/>
        </w:rPr>
        <w:t>的约定，与成交供应商签订书面合同。所签订的合同不得对竞争性磋商文件和成交供应商</w:t>
      </w:r>
      <w:r>
        <w:rPr>
          <w:rFonts w:hint="eastAsia" w:ascii="宋体" w:hAnsi="宋体" w:eastAsia="宋体" w:cs="宋体"/>
          <w:sz w:val="24"/>
          <w:szCs w:val="24"/>
          <w:highlight w:val="none"/>
        </w:rPr>
        <w:t>响应文件</w:t>
      </w:r>
      <w:r>
        <w:rPr>
          <w:rFonts w:hint="eastAsia" w:ascii="宋体" w:hAnsi="宋体" w:eastAsia="宋体" w:cs="宋体"/>
          <w:bCs/>
          <w:sz w:val="24"/>
          <w:szCs w:val="24"/>
          <w:highlight w:val="none"/>
        </w:rPr>
        <w:t>作实质性修改。采购人不得向成交供应商提出任何不合理的要求，作为签订合同的条件，不得与成交供应商私下订立背离合同实质性内容的协议。合同经</w:t>
      </w:r>
      <w:r>
        <w:rPr>
          <w:rFonts w:hint="eastAsia" w:ascii="宋体" w:hAnsi="宋体" w:eastAsia="宋体" w:cs="宋体"/>
          <w:bCs/>
          <w:sz w:val="24"/>
          <w:szCs w:val="24"/>
          <w:highlight w:val="none"/>
          <w:lang w:eastAsia="zh-CN"/>
        </w:rPr>
        <w:t>江苏达瑞德工程管理咨询有限公司</w:t>
      </w:r>
      <w:r>
        <w:rPr>
          <w:rFonts w:hint="eastAsia" w:ascii="宋体" w:hAnsi="宋体" w:eastAsia="宋体" w:cs="宋体"/>
          <w:bCs/>
          <w:sz w:val="24"/>
          <w:szCs w:val="24"/>
          <w:highlight w:val="none"/>
        </w:rPr>
        <w:t>见证后生效。</w:t>
      </w:r>
    </w:p>
    <w:p>
      <w:pPr>
        <w:tabs>
          <w:tab w:val="left" w:pos="525"/>
          <w:tab w:val="left" w:pos="105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2、签订合同时，中标</w:t>
      </w:r>
      <w:r>
        <w:rPr>
          <w:rFonts w:hint="eastAsia" w:ascii="宋体" w:hAnsi="宋体" w:eastAsia="宋体" w:cs="宋体"/>
          <w:bCs/>
          <w:sz w:val="24"/>
          <w:szCs w:val="24"/>
          <w:highlight w:val="none"/>
          <w:lang w:val="en-US" w:eastAsia="zh-CN"/>
        </w:rPr>
        <w:t>供应商</w:t>
      </w:r>
      <w:r>
        <w:rPr>
          <w:rFonts w:hint="eastAsia" w:ascii="宋体" w:hAnsi="宋体" w:eastAsia="宋体" w:cs="宋体"/>
          <w:bCs/>
          <w:sz w:val="24"/>
          <w:szCs w:val="24"/>
          <w:highlight w:val="none"/>
        </w:rPr>
        <w:t>须向采购人交纳中标合同总金额</w:t>
      </w:r>
      <w:r>
        <w:rPr>
          <w:rFonts w:hint="eastAsia" w:ascii="宋体" w:hAnsi="宋体" w:eastAsia="宋体" w:cs="宋体"/>
          <w:bCs/>
          <w:sz w:val="24"/>
          <w:szCs w:val="24"/>
          <w:highlight w:val="none"/>
          <w:u w:val="single"/>
          <w:lang w:val="en-US" w:eastAsia="zh-CN"/>
        </w:rPr>
        <w:t xml:space="preserve">   /  </w:t>
      </w:r>
      <w:r>
        <w:rPr>
          <w:rFonts w:hint="eastAsia" w:ascii="宋体" w:hAnsi="宋体" w:eastAsia="宋体" w:cs="宋体"/>
          <w:bCs/>
          <w:sz w:val="24"/>
          <w:szCs w:val="24"/>
          <w:highlight w:val="none"/>
        </w:rPr>
        <w:t>%的履约保证金。履约保证金在本项目验收合格后退还，不计利息。履约保证金的形式：支票、汇票、本票或者金融机构、担保机构出具的保函等非现金形式提交。</w:t>
      </w:r>
    </w:p>
    <w:p>
      <w:pPr>
        <w:tabs>
          <w:tab w:val="left" w:pos="525"/>
          <w:tab w:val="left" w:pos="1050"/>
        </w:tabs>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eastAsia="zh-CN"/>
        </w:rPr>
        <w:t>江苏达瑞德工程管理咨询有限公司</w:t>
      </w:r>
      <w:r>
        <w:rPr>
          <w:rFonts w:hint="eastAsia" w:ascii="宋体" w:hAnsi="宋体" w:eastAsia="宋体" w:cs="宋体"/>
          <w:bCs/>
          <w:sz w:val="24"/>
          <w:szCs w:val="24"/>
          <w:highlight w:val="none"/>
        </w:rPr>
        <w:t>监督合同的履行。成交供应商非因不可抗力未履行磋商文件、</w:t>
      </w:r>
      <w:r>
        <w:rPr>
          <w:rFonts w:hint="eastAsia" w:ascii="宋体" w:hAnsi="宋体" w:eastAsia="宋体" w:cs="宋体"/>
          <w:sz w:val="24"/>
          <w:szCs w:val="24"/>
          <w:highlight w:val="none"/>
        </w:rPr>
        <w:t>响应文件</w:t>
      </w:r>
      <w:r>
        <w:rPr>
          <w:rFonts w:hint="eastAsia" w:ascii="宋体" w:hAnsi="宋体" w:eastAsia="宋体" w:cs="宋体"/>
          <w:bCs/>
          <w:sz w:val="24"/>
          <w:szCs w:val="24"/>
          <w:highlight w:val="none"/>
        </w:rPr>
        <w:t>和合同规定的义务，一经查实，招标代理机构将根据具体情况提请政府采购管理部门作出相应处理。</w:t>
      </w:r>
    </w:p>
    <w:p>
      <w:pPr>
        <w:widowControl/>
        <w:numPr>
          <w:ilvl w:val="0"/>
          <w:numId w:val="2"/>
        </w:numPr>
        <w:spacing w:line="360" w:lineRule="auto"/>
        <w:ind w:right="-334" w:rightChars="-159"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代理服务费：</w:t>
      </w:r>
    </w:p>
    <w:p>
      <w:pPr>
        <w:numPr>
          <w:ilvl w:val="0"/>
          <w:numId w:val="3"/>
        </w:numPr>
        <w:spacing w:line="360" w:lineRule="auto"/>
        <w:ind w:firstLine="480" w:firstLineChars="200"/>
        <w:rPr>
          <w:rFonts w:hint="eastAsia" w:ascii="宋体" w:hAnsi="宋体" w:eastAsia="宋体" w:cs="宋体"/>
          <w:bCs/>
          <w:color w:val="auto"/>
          <w:sz w:val="24"/>
          <w:szCs w:val="24"/>
          <w:highlight w:val="none"/>
          <w:shd w:val="clear" w:color="auto" w:fill="FFFFFF"/>
        </w:rPr>
      </w:pPr>
      <w:r>
        <w:rPr>
          <w:rFonts w:hint="eastAsia" w:ascii="宋体" w:hAnsi="宋体" w:eastAsia="宋体" w:cs="宋体"/>
          <w:bCs/>
          <w:color w:val="auto"/>
          <w:sz w:val="24"/>
          <w:szCs w:val="24"/>
          <w:highlight w:val="none"/>
          <w:shd w:val="clear" w:color="auto" w:fill="FFFFFF"/>
        </w:rPr>
        <w:t>本项目代理服务费由成交供应商支付，</w:t>
      </w:r>
      <w:r>
        <w:rPr>
          <w:rFonts w:hint="eastAsia" w:ascii="宋体" w:hAnsi="宋体" w:eastAsia="宋体" w:cs="宋体"/>
          <w:bCs/>
          <w:color w:val="auto"/>
          <w:sz w:val="24"/>
          <w:szCs w:val="24"/>
          <w:highlight w:val="none"/>
          <w:shd w:val="clear" w:color="auto" w:fill="FFFFFF"/>
          <w:lang w:val="en-US" w:eastAsia="zh-CN"/>
        </w:rPr>
        <w:t>代理服务费以中标价为计费基础，</w:t>
      </w:r>
      <w:r>
        <w:rPr>
          <w:rFonts w:hint="eastAsia" w:ascii="宋体" w:hAnsi="宋体" w:eastAsia="宋体" w:cs="宋体"/>
          <w:bCs/>
          <w:color w:val="auto"/>
          <w:sz w:val="24"/>
          <w:szCs w:val="24"/>
          <w:highlight w:val="none"/>
          <w:shd w:val="clear" w:color="auto" w:fill="FFFFFF"/>
        </w:rPr>
        <w:t>参照国家计委计价格【2002】1980号《招标代理服务收费管理暂行办法》所规定的收费标准（</w:t>
      </w:r>
      <w:r>
        <w:rPr>
          <w:rFonts w:hint="eastAsia" w:ascii="宋体" w:hAnsi="宋体" w:eastAsia="宋体" w:cs="宋体"/>
          <w:bCs/>
          <w:color w:val="auto"/>
          <w:sz w:val="24"/>
          <w:szCs w:val="24"/>
          <w:highlight w:val="none"/>
          <w:shd w:val="clear" w:color="auto" w:fill="FFFFFF"/>
          <w:lang w:val="en-US" w:eastAsia="zh-CN"/>
        </w:rPr>
        <w:t>服务</w:t>
      </w:r>
      <w:r>
        <w:rPr>
          <w:rFonts w:hint="eastAsia" w:ascii="宋体" w:hAnsi="宋体" w:eastAsia="宋体" w:cs="宋体"/>
          <w:bCs/>
          <w:color w:val="auto"/>
          <w:sz w:val="24"/>
          <w:szCs w:val="24"/>
          <w:highlight w:val="none"/>
          <w:shd w:val="clear" w:color="auto" w:fill="FFFFFF"/>
        </w:rPr>
        <w:t>招标）</w:t>
      </w:r>
      <w:r>
        <w:rPr>
          <w:rFonts w:hint="eastAsia" w:ascii="宋体" w:hAnsi="宋体" w:eastAsia="宋体" w:cs="宋体"/>
          <w:bCs/>
          <w:color w:val="FF0000"/>
          <w:sz w:val="24"/>
          <w:szCs w:val="24"/>
          <w:highlight w:val="none"/>
          <w:shd w:val="clear" w:color="auto" w:fill="FFFFFF"/>
          <w:lang w:val="en-US" w:eastAsia="zh-CN"/>
        </w:rPr>
        <w:t>打七折计取</w:t>
      </w:r>
      <w:r>
        <w:rPr>
          <w:rFonts w:hint="eastAsia" w:ascii="宋体" w:hAnsi="宋体" w:eastAsia="宋体" w:cs="宋体"/>
          <w:bCs/>
          <w:color w:val="auto"/>
          <w:sz w:val="24"/>
          <w:szCs w:val="24"/>
          <w:highlight w:val="none"/>
          <w:shd w:val="clear" w:color="auto" w:fill="FFFFFF"/>
          <w:lang w:eastAsia="zh-CN"/>
        </w:rPr>
        <w:t>，按差额定率累进法计算</w:t>
      </w:r>
      <w:r>
        <w:rPr>
          <w:rFonts w:hint="eastAsia" w:ascii="宋体" w:hAnsi="宋体" w:eastAsia="宋体" w:cs="宋体"/>
          <w:bCs/>
          <w:color w:val="auto"/>
          <w:sz w:val="24"/>
          <w:szCs w:val="24"/>
          <w:highlight w:val="none"/>
          <w:shd w:val="clear" w:color="auto" w:fill="FFFFFF"/>
        </w:rPr>
        <w:t>。</w:t>
      </w:r>
    </w:p>
    <w:p>
      <w:pPr>
        <w:numPr>
          <w:ilvl w:val="0"/>
          <w:numId w:val="0"/>
        </w:numPr>
        <w:spacing w:line="360" w:lineRule="auto"/>
        <w:ind w:firstLine="240" w:firstLineChars="100"/>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2、签订合同时成交供应商向采购代理机构一次性付清。</w:t>
      </w:r>
    </w:p>
    <w:p>
      <w:pPr>
        <w:spacing w:line="360" w:lineRule="auto"/>
        <w:ind w:firstLine="480" w:firstLineChars="20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（十六）政府采购信用担保</w:t>
      </w:r>
      <w:bookmarkStart w:id="777" w:name="_GoBack"/>
      <w:bookmarkEnd w:id="777"/>
    </w:p>
    <w:p>
      <w:pPr>
        <w:tabs>
          <w:tab w:val="left" w:pos="525"/>
          <w:tab w:val="left" w:pos="1050"/>
        </w:tabs>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政府采购信用担保，是由专业担保机构为供应商向采购人、代理机构、金融机构提供的保证，主要包括履约担保、合同融资二种形式。供应商可以根据自身情况，自行决定是否选择采用该二种信用担保形式。</w:t>
      </w:r>
    </w:p>
    <w:p>
      <w:pPr>
        <w:spacing w:line="360" w:lineRule="auto"/>
        <w:ind w:firstLine="480" w:firstLineChars="200"/>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rPr>
        <w:t>1.履约担保，是指由专业担保机构为中标供应商支付履约保证金的义务向采购人提供的保函担保。专业担保机构根据中标供应商的中标通知书为凭据，进行资信审查后出具保函, 中标供应商以保函形式缴纳履约保证金；供应商未按政府采购合同履行约定义务而应实际支付保证金的，由专业担保机构按照担保函约定履行担保责任。供应商可以自愿选择是否采取履约担保函的形式交纳履约保证金。</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政府采购履约担保函格式见附件1</w:t>
      </w:r>
      <w:r>
        <w:rPr>
          <w:rFonts w:hint="eastAsia" w:ascii="宋体" w:hAnsi="宋体" w:eastAsia="宋体" w:cs="宋体"/>
          <w:color w:val="auto"/>
          <w:sz w:val="24"/>
          <w:szCs w:val="24"/>
          <w:highlight w:val="none"/>
          <w:shd w:val="clear" w:color="auto" w:fill="FFFFFF"/>
          <w:lang w:eastAsia="zh-CN"/>
        </w:rPr>
        <w:t>）</w:t>
      </w:r>
    </w:p>
    <w:p>
      <w:pPr>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tabs>
          <w:tab w:val="left" w:pos="525"/>
          <w:tab w:val="left" w:pos="1050"/>
        </w:tabs>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2、政府采购合同融资</w:t>
      </w:r>
    </w:p>
    <w:p>
      <w:pPr>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中标、成交供应商可根据自身情况，自行决定是否选择采用合同融资形式，在无锡政府采购网——政采贷专栏提供的银行名录内自主选择合作银行。</w:t>
      </w:r>
    </w:p>
    <w:p>
      <w:pPr>
        <w:spacing w:line="360" w:lineRule="auto"/>
        <w:ind w:firstLine="482" w:firstLineChars="200"/>
        <w:rPr>
          <w:rFonts w:hint="eastAsia" w:ascii="宋体" w:hAnsi="宋体" w:eastAsia="宋体" w:cs="宋体"/>
          <w:b/>
          <w:bCs/>
          <w:sz w:val="24"/>
          <w:highlight w:val="none"/>
          <w:shd w:val="clear" w:color="auto" w:fill="FFFFFF"/>
        </w:rPr>
      </w:pPr>
      <w:r>
        <w:rPr>
          <w:rFonts w:hint="eastAsia" w:ascii="宋体" w:hAnsi="宋体" w:eastAsia="宋体" w:cs="宋体"/>
          <w:b/>
          <w:bCs/>
          <w:sz w:val="24"/>
          <w:highlight w:val="none"/>
          <w:shd w:val="clear" w:color="auto" w:fill="FFFFFF"/>
        </w:rPr>
        <w:t>（十六）其他：</w:t>
      </w:r>
    </w:p>
    <w:p>
      <w:pPr>
        <w:spacing w:line="360" w:lineRule="auto"/>
        <w:ind w:firstLine="480" w:firstLineChars="200"/>
        <w:rPr>
          <w:rFonts w:hint="eastAsia" w:ascii="宋体" w:hAnsi="宋体" w:eastAsia="宋体" w:cs="宋体"/>
          <w:sz w:val="24"/>
          <w:highlight w:val="none"/>
          <w:shd w:val="clear" w:color="auto" w:fill="FFFFFF"/>
        </w:rPr>
      </w:pPr>
      <w:r>
        <w:rPr>
          <w:rFonts w:hint="eastAsia" w:ascii="宋体" w:hAnsi="宋体" w:eastAsia="宋体" w:cs="宋体"/>
          <w:sz w:val="24"/>
          <w:highlight w:val="none"/>
          <w:shd w:val="clear" w:color="auto" w:fill="FFFFFF"/>
        </w:rPr>
        <w:t>1.磋商文件的条款必须认真审阅，</w:t>
      </w:r>
      <w:r>
        <w:rPr>
          <w:rFonts w:hint="eastAsia" w:ascii="宋体" w:hAnsi="宋体" w:eastAsia="宋体" w:cs="宋体"/>
          <w:sz w:val="24"/>
          <w:highlight w:val="none"/>
          <w:shd w:val="clear" w:color="auto" w:fill="FFFFFF"/>
          <w:lang w:val="en-US" w:eastAsia="zh-CN"/>
        </w:rPr>
        <w:t>供应商</w:t>
      </w:r>
      <w:r>
        <w:rPr>
          <w:rFonts w:hint="eastAsia" w:ascii="宋体" w:hAnsi="宋体" w:eastAsia="宋体" w:cs="宋体"/>
          <w:sz w:val="24"/>
          <w:highlight w:val="none"/>
          <w:shd w:val="clear" w:color="auto" w:fill="FFFFFF"/>
        </w:rPr>
        <w:t>应自行检查磋商文件页数是否齐全。若有遗漏、重复或不清楚，需立刻通知采购人予以更正；凡属对条款的误解所造成的磋商价格失误，由供应商负责。</w:t>
      </w:r>
    </w:p>
    <w:p>
      <w:pPr>
        <w:spacing w:line="360" w:lineRule="auto"/>
        <w:ind w:firstLine="480" w:firstLineChars="200"/>
        <w:rPr>
          <w:rFonts w:hint="eastAsia" w:ascii="宋体" w:hAnsi="宋体" w:eastAsia="宋体" w:cs="宋体"/>
          <w:sz w:val="24"/>
          <w:highlight w:val="none"/>
          <w:shd w:val="clear" w:color="auto" w:fill="FFFFFF"/>
        </w:rPr>
      </w:pPr>
      <w:r>
        <w:rPr>
          <w:rFonts w:hint="eastAsia" w:ascii="宋体" w:hAnsi="宋体" w:eastAsia="宋体" w:cs="宋体"/>
          <w:sz w:val="24"/>
          <w:highlight w:val="none"/>
          <w:shd w:val="clear" w:color="auto" w:fill="FFFFFF"/>
        </w:rPr>
        <w:t>2.解密后，</w:t>
      </w:r>
      <w:r>
        <w:rPr>
          <w:rFonts w:hint="eastAsia" w:ascii="宋体" w:hAnsi="宋体" w:eastAsia="宋体" w:cs="宋体"/>
          <w:sz w:val="24"/>
          <w:highlight w:val="none"/>
          <w:shd w:val="clear" w:color="auto" w:fill="FFFFFF"/>
          <w:lang w:val="en-US" w:eastAsia="zh-CN"/>
        </w:rPr>
        <w:t>供应商</w:t>
      </w:r>
      <w:r>
        <w:rPr>
          <w:rFonts w:hint="eastAsia" w:ascii="宋体" w:hAnsi="宋体" w:eastAsia="宋体" w:cs="宋体"/>
          <w:sz w:val="24"/>
          <w:highlight w:val="none"/>
          <w:shd w:val="clear" w:color="auto" w:fill="FFFFFF"/>
        </w:rPr>
        <w:t>须自行准备设备（包括但不限于笔记本电脑、无线网络）登录“政府采购交易管理一体化系统”，按采购文件规定时间解密后，在评审过程中保持在线，等待磋商小组的询问、按要求报价，并等待评审结果，中途不得离开。如未按要求应答，由此所产生的损失及风险由</w:t>
      </w:r>
      <w:r>
        <w:rPr>
          <w:rFonts w:hint="eastAsia" w:ascii="宋体" w:hAnsi="宋体" w:eastAsia="宋体" w:cs="宋体"/>
          <w:sz w:val="24"/>
          <w:highlight w:val="none"/>
          <w:shd w:val="clear" w:color="auto" w:fill="FFFFFF"/>
          <w:lang w:val="en-US" w:eastAsia="zh-CN"/>
        </w:rPr>
        <w:t>供应商</w:t>
      </w:r>
      <w:r>
        <w:rPr>
          <w:rFonts w:hint="eastAsia" w:ascii="宋体" w:hAnsi="宋体" w:eastAsia="宋体" w:cs="宋体"/>
          <w:sz w:val="24"/>
          <w:highlight w:val="none"/>
          <w:shd w:val="clear" w:color="auto" w:fill="FFFFFF"/>
        </w:rPr>
        <w:t>自行承担。</w:t>
      </w:r>
    </w:p>
    <w:p>
      <w:pPr>
        <w:spacing w:line="360" w:lineRule="auto"/>
        <w:ind w:firstLine="480" w:firstLineChars="200"/>
        <w:rPr>
          <w:rFonts w:hint="eastAsia" w:ascii="宋体" w:hAnsi="宋体" w:cs="宋体"/>
          <w:sz w:val="24"/>
          <w:highlight w:val="none"/>
          <w:shd w:val="clear" w:color="auto" w:fill="FFFFFF"/>
        </w:rPr>
      </w:pPr>
    </w:p>
    <w:p>
      <w:pPr>
        <w:spacing w:line="360" w:lineRule="auto"/>
        <w:jc w:val="center"/>
        <w:rPr>
          <w:rFonts w:hint="eastAsia" w:ascii="宋体" w:hAnsi="宋体" w:cs="宋体"/>
          <w:b/>
          <w:sz w:val="44"/>
          <w:szCs w:val="44"/>
          <w:highlight w:val="none"/>
        </w:rPr>
      </w:pPr>
    </w:p>
    <w:p>
      <w:pPr>
        <w:spacing w:line="360" w:lineRule="auto"/>
        <w:jc w:val="center"/>
        <w:rPr>
          <w:rFonts w:hint="eastAsia" w:ascii="宋体" w:hAnsi="宋体" w:cs="宋体"/>
          <w:b/>
          <w:sz w:val="44"/>
          <w:szCs w:val="44"/>
          <w:highlight w:val="none"/>
        </w:rPr>
      </w:pPr>
    </w:p>
    <w:p>
      <w:pPr>
        <w:spacing w:line="360" w:lineRule="auto"/>
        <w:jc w:val="both"/>
        <w:rPr>
          <w:rFonts w:hint="eastAsia" w:ascii="宋体" w:hAnsi="宋体" w:eastAsia="宋体" w:cs="宋体"/>
          <w:b/>
          <w:sz w:val="32"/>
          <w:szCs w:val="32"/>
          <w:highlight w:val="none"/>
        </w:rPr>
      </w:pPr>
    </w:p>
    <w:p>
      <w:pPr>
        <w:spacing w:line="36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三.采购需求</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rPr>
      </w:pPr>
      <w:bookmarkStart w:id="3" w:name="_Toc402880613"/>
      <w:bookmarkEnd w:id="3"/>
      <w:bookmarkStart w:id="4" w:name="_Toc402880700"/>
      <w:bookmarkEnd w:id="4"/>
      <w:bookmarkStart w:id="5" w:name="_Toc471745361"/>
      <w:bookmarkEnd w:id="5"/>
      <w:bookmarkStart w:id="6" w:name="_Toc471745863"/>
      <w:bookmarkEnd w:id="6"/>
      <w:bookmarkStart w:id="7" w:name="_Toc402880619"/>
      <w:bookmarkEnd w:id="7"/>
      <w:bookmarkStart w:id="8" w:name="_Toc452502333"/>
      <w:bookmarkEnd w:id="8"/>
      <w:bookmarkStart w:id="9" w:name="_Toc452502387"/>
      <w:bookmarkEnd w:id="9"/>
      <w:bookmarkStart w:id="10" w:name="_Toc452502394"/>
      <w:bookmarkEnd w:id="10"/>
      <w:bookmarkStart w:id="11" w:name="_Toc452556638"/>
      <w:bookmarkEnd w:id="11"/>
      <w:bookmarkStart w:id="12" w:name="_Toc452502385"/>
      <w:bookmarkEnd w:id="12"/>
      <w:bookmarkStart w:id="13" w:name="_Toc452556586"/>
      <w:bookmarkEnd w:id="13"/>
      <w:bookmarkStart w:id="14" w:name="_Toc452502494"/>
      <w:bookmarkEnd w:id="14"/>
      <w:bookmarkStart w:id="15" w:name="_Toc452502488"/>
      <w:bookmarkEnd w:id="15"/>
      <w:bookmarkStart w:id="16" w:name="_Toc452502445"/>
      <w:bookmarkEnd w:id="16"/>
      <w:bookmarkStart w:id="17" w:name="_Toc452556787"/>
      <w:bookmarkEnd w:id="17"/>
      <w:bookmarkStart w:id="18" w:name="_Toc452502518"/>
      <w:bookmarkEnd w:id="18"/>
      <w:bookmarkStart w:id="19" w:name="_Toc452502514"/>
      <w:bookmarkEnd w:id="19"/>
      <w:bookmarkStart w:id="20" w:name="_Toc452502405"/>
      <w:bookmarkEnd w:id="20"/>
      <w:bookmarkStart w:id="21" w:name="_Toc452556576"/>
      <w:bookmarkEnd w:id="21"/>
      <w:bookmarkStart w:id="22" w:name="_Toc452502474"/>
      <w:bookmarkEnd w:id="22"/>
      <w:bookmarkStart w:id="23" w:name="_Toc452502347"/>
      <w:bookmarkEnd w:id="23"/>
      <w:bookmarkStart w:id="24" w:name="_Toc452502426"/>
      <w:bookmarkEnd w:id="24"/>
      <w:bookmarkStart w:id="25" w:name="_Toc388279025"/>
      <w:bookmarkEnd w:id="25"/>
      <w:bookmarkStart w:id="26" w:name="_Toc452502560"/>
      <w:bookmarkEnd w:id="26"/>
      <w:bookmarkStart w:id="27" w:name="_Toc452556625"/>
      <w:bookmarkEnd w:id="27"/>
      <w:bookmarkStart w:id="28" w:name="_Toc452502441"/>
      <w:bookmarkEnd w:id="28"/>
      <w:bookmarkStart w:id="29" w:name="_Toc452556523"/>
      <w:bookmarkEnd w:id="29"/>
      <w:bookmarkStart w:id="30" w:name="_Toc452502375"/>
      <w:bookmarkEnd w:id="30"/>
      <w:bookmarkStart w:id="31" w:name="_Toc452502312"/>
      <w:bookmarkEnd w:id="31"/>
      <w:bookmarkStart w:id="32" w:name="_Toc452556651"/>
      <w:bookmarkEnd w:id="32"/>
      <w:bookmarkStart w:id="33" w:name="_Toc452556662"/>
      <w:bookmarkEnd w:id="33"/>
      <w:bookmarkStart w:id="34" w:name="_Toc452556699"/>
      <w:bookmarkEnd w:id="34"/>
      <w:bookmarkStart w:id="35" w:name="_Toc452502398"/>
      <w:bookmarkEnd w:id="35"/>
      <w:bookmarkStart w:id="36" w:name="_Toc452502491"/>
      <w:bookmarkEnd w:id="36"/>
      <w:bookmarkStart w:id="37" w:name="_Toc452502462"/>
      <w:bookmarkEnd w:id="37"/>
      <w:bookmarkStart w:id="38" w:name="_Toc452502366"/>
      <w:bookmarkEnd w:id="38"/>
      <w:bookmarkStart w:id="39" w:name="_Toc452502433"/>
      <w:bookmarkEnd w:id="39"/>
      <w:bookmarkStart w:id="40" w:name="_Toc443332020"/>
      <w:bookmarkEnd w:id="40"/>
      <w:bookmarkStart w:id="41" w:name="_Toc452502428"/>
      <w:bookmarkEnd w:id="41"/>
      <w:bookmarkStart w:id="42" w:name="_Toc452502369"/>
      <w:bookmarkEnd w:id="42"/>
      <w:bookmarkStart w:id="43" w:name="_Toc452556590"/>
      <w:bookmarkEnd w:id="43"/>
      <w:bookmarkStart w:id="44" w:name="_Toc452556755"/>
      <w:bookmarkEnd w:id="44"/>
      <w:bookmarkStart w:id="45" w:name="_Toc452502540"/>
      <w:bookmarkEnd w:id="45"/>
      <w:bookmarkStart w:id="46" w:name="_Toc452556784"/>
      <w:bookmarkEnd w:id="46"/>
      <w:bookmarkStart w:id="47" w:name="_Toc452502425"/>
      <w:bookmarkEnd w:id="47"/>
      <w:bookmarkStart w:id="48" w:name="_Toc452556689"/>
      <w:bookmarkEnd w:id="48"/>
      <w:bookmarkStart w:id="49" w:name="_Toc452502489"/>
      <w:bookmarkEnd w:id="49"/>
      <w:bookmarkStart w:id="50" w:name="_Toc452556572"/>
      <w:bookmarkEnd w:id="50"/>
      <w:bookmarkStart w:id="51" w:name="_Toc452556554"/>
      <w:bookmarkEnd w:id="51"/>
      <w:bookmarkStart w:id="52" w:name="_Toc452502350"/>
      <w:bookmarkEnd w:id="52"/>
      <w:bookmarkStart w:id="53" w:name="_Toc452502487"/>
      <w:bookmarkEnd w:id="53"/>
      <w:bookmarkStart w:id="54" w:name="_Toc452556783"/>
      <w:bookmarkEnd w:id="54"/>
      <w:bookmarkStart w:id="55" w:name="_Toc452502512"/>
      <w:bookmarkEnd w:id="55"/>
      <w:bookmarkStart w:id="56" w:name="_Toc452556600"/>
      <w:bookmarkEnd w:id="56"/>
      <w:bookmarkStart w:id="57" w:name="_Toc452502529"/>
      <w:bookmarkEnd w:id="57"/>
      <w:bookmarkStart w:id="58" w:name="_Toc443332014"/>
      <w:bookmarkEnd w:id="58"/>
      <w:bookmarkStart w:id="59" w:name="_Toc381964102"/>
      <w:bookmarkEnd w:id="59"/>
      <w:bookmarkStart w:id="60" w:name="_Toc452556608"/>
      <w:bookmarkEnd w:id="60"/>
      <w:bookmarkStart w:id="61" w:name="_Toc388279013"/>
      <w:bookmarkEnd w:id="61"/>
      <w:bookmarkStart w:id="62" w:name="_Toc452556786"/>
      <w:bookmarkEnd w:id="62"/>
      <w:bookmarkStart w:id="63" w:name="_Toc452556588"/>
      <w:bookmarkEnd w:id="63"/>
      <w:bookmarkStart w:id="64" w:name="_Toc402880630"/>
      <w:bookmarkEnd w:id="64"/>
      <w:bookmarkStart w:id="65" w:name="_Toc452556575"/>
      <w:bookmarkEnd w:id="65"/>
      <w:bookmarkStart w:id="66" w:name="_Toc402880684"/>
      <w:bookmarkEnd w:id="66"/>
      <w:bookmarkStart w:id="67" w:name="_Toc452556668"/>
      <w:bookmarkEnd w:id="67"/>
      <w:bookmarkStart w:id="68" w:name="_Toc452502430"/>
      <w:bookmarkEnd w:id="68"/>
      <w:bookmarkStart w:id="69" w:name="_Toc452502367"/>
      <w:bookmarkEnd w:id="69"/>
      <w:bookmarkStart w:id="70" w:name="_Toc443332010"/>
      <w:bookmarkEnd w:id="70"/>
      <w:bookmarkStart w:id="71" w:name="_Toc452556583"/>
      <w:bookmarkEnd w:id="71"/>
      <w:bookmarkStart w:id="72" w:name="_Toc452556684"/>
      <w:bookmarkEnd w:id="72"/>
      <w:bookmarkStart w:id="73" w:name="_Toc471745369"/>
      <w:bookmarkEnd w:id="73"/>
      <w:bookmarkStart w:id="74" w:name="_Toc452556593"/>
      <w:bookmarkEnd w:id="74"/>
      <w:bookmarkStart w:id="75" w:name="_Toc452556617"/>
      <w:bookmarkEnd w:id="75"/>
      <w:bookmarkStart w:id="76" w:name="_Toc452556678"/>
      <w:bookmarkEnd w:id="76"/>
      <w:bookmarkStart w:id="77" w:name="_Toc443332006"/>
      <w:bookmarkEnd w:id="77"/>
      <w:bookmarkStart w:id="78" w:name="_Toc471745869"/>
      <w:bookmarkEnd w:id="78"/>
      <w:bookmarkStart w:id="79" w:name="_Toc452502384"/>
      <w:bookmarkEnd w:id="79"/>
      <w:bookmarkStart w:id="80" w:name="_Toc452502355"/>
      <w:bookmarkEnd w:id="80"/>
      <w:bookmarkStart w:id="81" w:name="_Toc452556628"/>
      <w:bookmarkEnd w:id="81"/>
      <w:bookmarkStart w:id="82" w:name="_Toc452556543"/>
      <w:bookmarkEnd w:id="82"/>
      <w:bookmarkStart w:id="83" w:name="_Toc452556607"/>
      <w:bookmarkEnd w:id="83"/>
      <w:bookmarkStart w:id="84" w:name="_Toc452556797"/>
      <w:bookmarkEnd w:id="84"/>
      <w:bookmarkStart w:id="85" w:name="_Toc452556563"/>
      <w:bookmarkEnd w:id="85"/>
      <w:bookmarkStart w:id="86" w:name="_Toc471740933"/>
      <w:bookmarkEnd w:id="86"/>
      <w:bookmarkStart w:id="87" w:name="_Toc452502563"/>
      <w:bookmarkEnd w:id="87"/>
      <w:bookmarkStart w:id="88" w:name="_Toc471740285"/>
      <w:bookmarkEnd w:id="88"/>
      <w:bookmarkStart w:id="89" w:name="_Toc452502364"/>
      <w:bookmarkEnd w:id="89"/>
      <w:bookmarkStart w:id="90" w:name="_Toc471745866"/>
      <w:bookmarkEnd w:id="90"/>
      <w:bookmarkStart w:id="91" w:name="_Toc452556517"/>
      <w:bookmarkEnd w:id="91"/>
      <w:bookmarkStart w:id="92" w:name="_Toc452502383"/>
      <w:bookmarkEnd w:id="92"/>
      <w:bookmarkStart w:id="93" w:name="_Toc452556673"/>
      <w:bookmarkEnd w:id="93"/>
      <w:bookmarkStart w:id="94" w:name="_Toc452556719"/>
      <w:bookmarkEnd w:id="94"/>
      <w:bookmarkStart w:id="95" w:name="_Toc452556661"/>
      <w:bookmarkEnd w:id="95"/>
      <w:bookmarkStart w:id="96" w:name="_Toc452556697"/>
      <w:bookmarkEnd w:id="96"/>
      <w:bookmarkStart w:id="97" w:name="_Toc471745864"/>
      <w:bookmarkEnd w:id="97"/>
      <w:bookmarkStart w:id="98" w:name="_Toc452502511"/>
      <w:bookmarkEnd w:id="98"/>
      <w:bookmarkStart w:id="99" w:name="_Toc452556539"/>
      <w:bookmarkEnd w:id="99"/>
      <w:bookmarkStart w:id="100" w:name="_Toc452556692"/>
      <w:bookmarkEnd w:id="100"/>
      <w:bookmarkStart w:id="101" w:name="_Toc452556496"/>
      <w:bookmarkEnd w:id="101"/>
      <w:bookmarkStart w:id="102" w:name="_Toc452556605"/>
      <w:bookmarkEnd w:id="102"/>
      <w:bookmarkStart w:id="103" w:name="_Toc452556648"/>
      <w:bookmarkEnd w:id="103"/>
      <w:bookmarkStart w:id="104" w:name="_Toc452556199"/>
      <w:bookmarkEnd w:id="104"/>
      <w:bookmarkStart w:id="105" w:name="_Toc452556695"/>
      <w:bookmarkEnd w:id="105"/>
      <w:bookmarkStart w:id="106" w:name="_Toc452556747"/>
      <w:bookmarkEnd w:id="106"/>
      <w:bookmarkStart w:id="107" w:name="_Toc381964099"/>
      <w:bookmarkEnd w:id="107"/>
      <w:bookmarkStart w:id="108" w:name="_Toc402880652"/>
      <w:bookmarkEnd w:id="108"/>
      <w:bookmarkStart w:id="109" w:name="_Toc443332032"/>
      <w:bookmarkEnd w:id="109"/>
      <w:bookmarkStart w:id="110" w:name="_Toc402880649"/>
      <w:bookmarkEnd w:id="110"/>
      <w:bookmarkStart w:id="111" w:name="_Toc452556537"/>
      <w:bookmarkEnd w:id="111"/>
      <w:bookmarkStart w:id="112" w:name="_Toc452556620"/>
      <w:bookmarkEnd w:id="112"/>
      <w:bookmarkStart w:id="113" w:name="_Toc402880682"/>
      <w:bookmarkEnd w:id="113"/>
      <w:bookmarkStart w:id="114" w:name="_Toc452502469"/>
      <w:bookmarkEnd w:id="114"/>
      <w:bookmarkStart w:id="115" w:name="_Toc402880689"/>
      <w:bookmarkEnd w:id="115"/>
      <w:bookmarkStart w:id="116" w:name="_Toc452502417"/>
      <w:bookmarkEnd w:id="116"/>
      <w:bookmarkStart w:id="117" w:name="_Toc452556736"/>
      <w:bookmarkEnd w:id="117"/>
      <w:bookmarkStart w:id="118" w:name="_Toc452556817"/>
      <w:bookmarkEnd w:id="118"/>
      <w:bookmarkStart w:id="119" w:name="_Toc452556801"/>
      <w:bookmarkEnd w:id="119"/>
      <w:bookmarkStart w:id="120" w:name="_Toc452502561"/>
      <w:bookmarkEnd w:id="120"/>
      <w:bookmarkStart w:id="121" w:name="_Toc452556718"/>
      <w:bookmarkEnd w:id="121"/>
      <w:bookmarkStart w:id="122" w:name="_Toc452556565"/>
      <w:bookmarkEnd w:id="122"/>
      <w:bookmarkStart w:id="123" w:name="_Toc452556717"/>
      <w:bookmarkEnd w:id="123"/>
      <w:bookmarkStart w:id="124" w:name="_Toc452556528"/>
      <w:bookmarkEnd w:id="124"/>
      <w:bookmarkStart w:id="125" w:name="_Toc452556677"/>
      <w:bookmarkEnd w:id="125"/>
      <w:bookmarkStart w:id="126" w:name="_Toc452502496"/>
      <w:bookmarkEnd w:id="126"/>
      <w:bookmarkStart w:id="127" w:name="_Toc452502468"/>
      <w:bookmarkEnd w:id="127"/>
      <w:bookmarkStart w:id="128" w:name="_Toc452502516"/>
      <w:bookmarkEnd w:id="128"/>
      <w:bookmarkStart w:id="129" w:name="_Toc402880669"/>
      <w:bookmarkEnd w:id="129"/>
      <w:bookmarkStart w:id="130" w:name="_Toc452556542"/>
      <w:bookmarkEnd w:id="130"/>
      <w:bookmarkStart w:id="131" w:name="_Toc452502431"/>
      <w:bookmarkEnd w:id="131"/>
      <w:bookmarkStart w:id="132" w:name="_Toc452556762"/>
      <w:bookmarkEnd w:id="132"/>
      <w:bookmarkStart w:id="133" w:name="_Toc452502442"/>
      <w:bookmarkEnd w:id="133"/>
      <w:bookmarkStart w:id="134" w:name="_Toc452502552"/>
      <w:bookmarkEnd w:id="134"/>
      <w:bookmarkStart w:id="135" w:name="_Toc452502403"/>
      <w:bookmarkEnd w:id="135"/>
      <w:bookmarkStart w:id="136" w:name="_Toc452556715"/>
      <w:bookmarkEnd w:id="136"/>
      <w:bookmarkStart w:id="137" w:name="_Toc452502336"/>
      <w:bookmarkEnd w:id="137"/>
      <w:bookmarkStart w:id="138" w:name="_Toc452556807"/>
      <w:bookmarkEnd w:id="138"/>
      <w:bookmarkStart w:id="139" w:name="_Toc381963374"/>
      <w:bookmarkEnd w:id="139"/>
      <w:bookmarkStart w:id="140" w:name="_Toc452502505"/>
      <w:bookmarkEnd w:id="140"/>
      <w:bookmarkStart w:id="141" w:name="_Toc452502456"/>
      <w:bookmarkEnd w:id="141"/>
      <w:bookmarkStart w:id="142" w:name="_Toc452556525"/>
      <w:bookmarkEnd w:id="142"/>
      <w:bookmarkStart w:id="143" w:name="_Toc452502573"/>
      <w:bookmarkEnd w:id="143"/>
      <w:bookmarkStart w:id="144" w:name="_Toc452502527"/>
      <w:bookmarkEnd w:id="144"/>
      <w:bookmarkStart w:id="145" w:name="_Toc452556707"/>
      <w:bookmarkEnd w:id="145"/>
      <w:bookmarkStart w:id="146" w:name="_Toc452556580"/>
      <w:bookmarkEnd w:id="146"/>
      <w:bookmarkStart w:id="147" w:name="_Toc471739945"/>
      <w:bookmarkEnd w:id="147"/>
      <w:bookmarkStart w:id="148" w:name="_Toc452556665"/>
      <w:bookmarkEnd w:id="148"/>
      <w:bookmarkStart w:id="149" w:name="_Toc452502337"/>
      <w:bookmarkEnd w:id="149"/>
      <w:bookmarkStart w:id="150" w:name="_Toc400913980"/>
      <w:bookmarkEnd w:id="150"/>
      <w:bookmarkStart w:id="151" w:name="_Toc452502415"/>
      <w:bookmarkEnd w:id="151"/>
      <w:bookmarkStart w:id="152" w:name="_Toc452502463"/>
      <w:bookmarkEnd w:id="152"/>
      <w:bookmarkStart w:id="153" w:name="_Toc452502542"/>
      <w:bookmarkEnd w:id="153"/>
      <w:bookmarkStart w:id="154" w:name="_Toc402880641"/>
      <w:bookmarkEnd w:id="154"/>
      <w:bookmarkStart w:id="155" w:name="_Toc452502011"/>
      <w:bookmarkEnd w:id="155"/>
      <w:bookmarkStart w:id="156" w:name="_Toc452556741"/>
      <w:bookmarkEnd w:id="156"/>
      <w:bookmarkStart w:id="157" w:name="_Toc452556739"/>
      <w:bookmarkEnd w:id="157"/>
      <w:bookmarkStart w:id="158" w:name="_Toc452502328"/>
      <w:bookmarkEnd w:id="158"/>
      <w:bookmarkStart w:id="159" w:name="_Toc452502519"/>
      <w:bookmarkEnd w:id="159"/>
      <w:bookmarkStart w:id="160" w:name="_Toc452502545"/>
      <w:bookmarkEnd w:id="160"/>
      <w:bookmarkStart w:id="161" w:name="_Toc452556636"/>
      <w:bookmarkEnd w:id="161"/>
      <w:bookmarkStart w:id="162" w:name="_Toc452556556"/>
      <w:bookmarkEnd w:id="162"/>
      <w:bookmarkStart w:id="163" w:name="_Toc402880664"/>
      <w:bookmarkEnd w:id="163"/>
      <w:bookmarkStart w:id="164" w:name="_Toc402880640"/>
      <w:bookmarkEnd w:id="164"/>
      <w:bookmarkStart w:id="165" w:name="_Toc402880662"/>
      <w:bookmarkEnd w:id="165"/>
      <w:bookmarkStart w:id="166" w:name="_Toc452502531"/>
      <w:bookmarkEnd w:id="166"/>
      <w:bookmarkStart w:id="167" w:name="_Toc452556778"/>
      <w:bookmarkEnd w:id="167"/>
      <w:bookmarkStart w:id="168" w:name="_Toc452556785"/>
      <w:bookmarkEnd w:id="168"/>
      <w:bookmarkStart w:id="169" w:name="_Toc452556772"/>
      <w:bookmarkEnd w:id="169"/>
      <w:bookmarkStart w:id="170" w:name="_Toc443332024"/>
      <w:bookmarkEnd w:id="170"/>
      <w:bookmarkStart w:id="171" w:name="_Toc402880618"/>
      <w:bookmarkEnd w:id="171"/>
      <w:bookmarkStart w:id="172" w:name="_Toc443332027"/>
      <w:bookmarkEnd w:id="172"/>
      <w:bookmarkStart w:id="173" w:name="_Toc452556729"/>
      <w:bookmarkEnd w:id="173"/>
      <w:bookmarkStart w:id="174" w:name="_Toc452556659"/>
      <w:bookmarkEnd w:id="174"/>
      <w:bookmarkStart w:id="175" w:name="_Toc452502533"/>
      <w:bookmarkEnd w:id="175"/>
      <w:bookmarkStart w:id="176" w:name="_Toc452556798"/>
      <w:bookmarkEnd w:id="176"/>
      <w:bookmarkStart w:id="177" w:name="_Toc452502345"/>
      <w:bookmarkEnd w:id="177"/>
      <w:bookmarkStart w:id="178" w:name="_Toc452502549"/>
      <w:bookmarkEnd w:id="178"/>
      <w:bookmarkStart w:id="179" w:name="_Toc452502408"/>
      <w:bookmarkEnd w:id="179"/>
      <w:bookmarkStart w:id="180" w:name="_Toc452502503"/>
      <w:bookmarkEnd w:id="180"/>
      <w:bookmarkStart w:id="181" w:name="_Toc452556700"/>
      <w:bookmarkEnd w:id="181"/>
      <w:bookmarkStart w:id="182" w:name="_Toc452556713"/>
      <w:bookmarkEnd w:id="182"/>
      <w:bookmarkStart w:id="183" w:name="_Toc452502401"/>
      <w:bookmarkEnd w:id="183"/>
      <w:bookmarkStart w:id="184" w:name="_Toc452556527"/>
      <w:bookmarkEnd w:id="184"/>
      <w:bookmarkStart w:id="185" w:name="_Toc452556708"/>
      <w:bookmarkEnd w:id="185"/>
      <w:bookmarkStart w:id="186" w:name="_Toc452502404"/>
      <w:bookmarkEnd w:id="186"/>
      <w:bookmarkStart w:id="187" w:name="_Toc471740776"/>
      <w:bookmarkEnd w:id="187"/>
      <w:bookmarkStart w:id="188" w:name="_Toc452556672"/>
      <w:bookmarkEnd w:id="188"/>
      <w:bookmarkStart w:id="189" w:name="_Toc452502515"/>
      <w:bookmarkEnd w:id="189"/>
      <w:bookmarkStart w:id="190" w:name="_Toc402880681"/>
      <w:bookmarkEnd w:id="190"/>
      <w:bookmarkStart w:id="191" w:name="_Toc452502332"/>
      <w:bookmarkEnd w:id="191"/>
      <w:bookmarkStart w:id="192" w:name="_Toc452502380"/>
      <w:bookmarkEnd w:id="192"/>
      <w:bookmarkStart w:id="193" w:name="_Toc402880644"/>
      <w:bookmarkEnd w:id="193"/>
      <w:bookmarkStart w:id="194" w:name="_Toc452502465"/>
      <w:bookmarkEnd w:id="194"/>
      <w:bookmarkStart w:id="195" w:name="_Toc443332015"/>
      <w:bookmarkEnd w:id="195"/>
      <w:bookmarkStart w:id="196" w:name="_Toc452502372"/>
      <w:bookmarkEnd w:id="196"/>
      <w:bookmarkStart w:id="197" w:name="_Toc452502547"/>
      <w:bookmarkEnd w:id="197"/>
      <w:bookmarkStart w:id="198" w:name="_Toc452556681"/>
      <w:bookmarkEnd w:id="198"/>
      <w:bookmarkStart w:id="199" w:name="_Toc402880660"/>
      <w:bookmarkEnd w:id="199"/>
      <w:bookmarkStart w:id="200" w:name="_Toc452556532"/>
      <w:bookmarkEnd w:id="200"/>
      <w:bookmarkStart w:id="201" w:name="_Toc452556610"/>
      <w:bookmarkEnd w:id="201"/>
      <w:bookmarkStart w:id="202" w:name="_Toc381964101"/>
      <w:bookmarkEnd w:id="202"/>
      <w:bookmarkStart w:id="203" w:name="_Toc452502414"/>
      <w:bookmarkEnd w:id="203"/>
      <w:bookmarkStart w:id="204" w:name="_Toc452502309"/>
      <w:bookmarkEnd w:id="204"/>
      <w:bookmarkStart w:id="205" w:name="_Toc452556598"/>
      <w:bookmarkEnd w:id="205"/>
      <w:bookmarkStart w:id="206" w:name="_Toc452502421"/>
      <w:bookmarkEnd w:id="206"/>
      <w:bookmarkStart w:id="207" w:name="_Toc471745861"/>
      <w:bookmarkEnd w:id="207"/>
      <w:bookmarkStart w:id="208" w:name="_Toc402880645"/>
      <w:bookmarkEnd w:id="208"/>
      <w:bookmarkStart w:id="209" w:name="_Toc452556595"/>
      <w:bookmarkEnd w:id="209"/>
      <w:bookmarkStart w:id="210" w:name="_Toc452502314"/>
      <w:bookmarkEnd w:id="210"/>
      <w:bookmarkStart w:id="211" w:name="_Toc452502396"/>
      <w:bookmarkEnd w:id="211"/>
      <w:bookmarkStart w:id="212" w:name="_Toc452502382"/>
      <w:bookmarkEnd w:id="212"/>
      <w:bookmarkStart w:id="213" w:name="_Toc452556795"/>
      <w:bookmarkEnd w:id="213"/>
      <w:bookmarkStart w:id="214" w:name="_Toc452556568"/>
      <w:bookmarkEnd w:id="214"/>
      <w:bookmarkStart w:id="215" w:name="_Toc471744107"/>
      <w:bookmarkEnd w:id="215"/>
      <w:bookmarkStart w:id="216" w:name="_Toc452556535"/>
      <w:bookmarkEnd w:id="216"/>
      <w:bookmarkStart w:id="217" w:name="_Toc452502399"/>
      <w:bookmarkEnd w:id="217"/>
      <w:bookmarkStart w:id="218" w:name="_Toc452556788"/>
      <w:bookmarkEnd w:id="218"/>
      <w:bookmarkStart w:id="219" w:name="_Toc452502317"/>
      <w:bookmarkEnd w:id="219"/>
      <w:bookmarkStart w:id="220" w:name="_Toc402880691"/>
      <w:bookmarkEnd w:id="220"/>
      <w:bookmarkStart w:id="221" w:name="_Toc452556766"/>
      <w:bookmarkEnd w:id="221"/>
      <w:bookmarkStart w:id="222" w:name="_Toc402880605"/>
      <w:bookmarkEnd w:id="222"/>
      <w:bookmarkStart w:id="223" w:name="_Toc452502482"/>
      <w:bookmarkEnd w:id="223"/>
      <w:bookmarkStart w:id="224" w:name="_Toc452502470"/>
      <w:bookmarkEnd w:id="224"/>
      <w:bookmarkStart w:id="225" w:name="_Toc452502566"/>
      <w:bookmarkEnd w:id="225"/>
      <w:bookmarkStart w:id="226" w:name="_Toc452502508"/>
      <w:bookmarkEnd w:id="226"/>
      <w:bookmarkStart w:id="227" w:name="_Toc452556549"/>
      <w:bookmarkEnd w:id="227"/>
      <w:bookmarkStart w:id="228" w:name="_Toc452502513"/>
      <w:bookmarkEnd w:id="228"/>
      <w:bookmarkStart w:id="229" w:name="_Toc452556829"/>
      <w:bookmarkEnd w:id="229"/>
      <w:bookmarkStart w:id="230" w:name="_Toc452556577"/>
      <w:bookmarkEnd w:id="230"/>
      <w:bookmarkStart w:id="231" w:name="_Toc471745357"/>
      <w:bookmarkEnd w:id="231"/>
      <w:bookmarkStart w:id="232" w:name="_Toc452502551"/>
      <w:bookmarkEnd w:id="232"/>
      <w:bookmarkStart w:id="233" w:name="_Toc452556751"/>
      <w:bookmarkEnd w:id="233"/>
      <w:bookmarkStart w:id="234" w:name="_Toc452556640"/>
      <w:bookmarkEnd w:id="234"/>
      <w:bookmarkStart w:id="235" w:name="_Toc471744487"/>
      <w:bookmarkEnd w:id="235"/>
      <w:bookmarkStart w:id="236" w:name="_Toc452502416"/>
      <w:bookmarkEnd w:id="236"/>
      <w:bookmarkStart w:id="237" w:name="_Toc452502424"/>
      <w:bookmarkEnd w:id="237"/>
      <w:bookmarkStart w:id="238" w:name="_Toc443332026"/>
      <w:bookmarkEnd w:id="238"/>
      <w:bookmarkStart w:id="239" w:name="_Toc402880609"/>
      <w:bookmarkEnd w:id="239"/>
      <w:bookmarkStart w:id="240" w:name="_Toc452502359"/>
      <w:bookmarkEnd w:id="240"/>
      <w:bookmarkStart w:id="241" w:name="_Toc402880694"/>
      <w:bookmarkEnd w:id="241"/>
      <w:bookmarkStart w:id="242" w:name="_Toc452556712"/>
      <w:bookmarkEnd w:id="242"/>
      <w:bookmarkStart w:id="243" w:name="_Toc452502483"/>
      <w:bookmarkEnd w:id="243"/>
      <w:bookmarkStart w:id="244" w:name="_Toc452556809"/>
      <w:bookmarkEnd w:id="244"/>
      <w:bookmarkStart w:id="245" w:name="_Toc443332018"/>
      <w:bookmarkEnd w:id="245"/>
      <w:bookmarkStart w:id="246" w:name="_Toc402880672"/>
      <w:bookmarkEnd w:id="246"/>
      <w:bookmarkStart w:id="247" w:name="_Toc452556560"/>
      <w:bookmarkEnd w:id="247"/>
      <w:bookmarkStart w:id="248" w:name="_Toc402880683"/>
      <w:bookmarkEnd w:id="248"/>
      <w:bookmarkStart w:id="249" w:name="_Toc452502381"/>
      <w:bookmarkEnd w:id="249"/>
      <w:bookmarkStart w:id="250" w:name="_Toc452502378"/>
      <w:bookmarkEnd w:id="250"/>
      <w:bookmarkStart w:id="251" w:name="_Toc452502313"/>
      <w:bookmarkEnd w:id="251"/>
      <w:bookmarkStart w:id="252" w:name="_Toc402880692"/>
      <w:bookmarkEnd w:id="252"/>
      <w:bookmarkStart w:id="253" w:name="_Toc402880651"/>
      <w:bookmarkEnd w:id="253"/>
      <w:bookmarkStart w:id="254" w:name="_Toc452502537"/>
      <w:bookmarkEnd w:id="254"/>
      <w:bookmarkStart w:id="255" w:name="_Toc452556703"/>
      <w:bookmarkEnd w:id="255"/>
      <w:bookmarkStart w:id="256" w:name="_Toc452502473"/>
      <w:bookmarkEnd w:id="256"/>
      <w:bookmarkStart w:id="257" w:name="_Toc402880696"/>
      <w:bookmarkEnd w:id="257"/>
      <w:bookmarkStart w:id="258" w:name="_Toc452556743"/>
      <w:bookmarkEnd w:id="258"/>
      <w:bookmarkStart w:id="259" w:name="_Toc402880626"/>
      <w:bookmarkEnd w:id="259"/>
      <w:bookmarkStart w:id="260" w:name="_Toc452556770"/>
      <w:bookmarkEnd w:id="260"/>
      <w:bookmarkStart w:id="261" w:name="_Toc402880625"/>
      <w:bookmarkEnd w:id="261"/>
      <w:bookmarkStart w:id="262" w:name="_Toc452502420"/>
      <w:bookmarkEnd w:id="262"/>
      <w:bookmarkStart w:id="263" w:name="_Toc452556509"/>
      <w:bookmarkEnd w:id="263"/>
      <w:bookmarkStart w:id="264" w:name="_Toc402880632"/>
      <w:bookmarkEnd w:id="264"/>
      <w:bookmarkStart w:id="265" w:name="_Toc452502534"/>
      <w:bookmarkEnd w:id="265"/>
      <w:bookmarkStart w:id="266" w:name="_Toc452556558"/>
      <w:bookmarkEnd w:id="266"/>
      <w:bookmarkStart w:id="267" w:name="_Toc402880648"/>
      <w:bookmarkEnd w:id="267"/>
      <w:bookmarkStart w:id="268" w:name="_Toc452502448"/>
      <w:bookmarkEnd w:id="268"/>
      <w:bookmarkStart w:id="269" w:name="_Toc452502318"/>
      <w:bookmarkEnd w:id="269"/>
      <w:bookmarkStart w:id="270" w:name="_Toc471744978"/>
      <w:bookmarkEnd w:id="270"/>
      <w:bookmarkStart w:id="271" w:name="_Toc452502506"/>
      <w:bookmarkEnd w:id="271"/>
      <w:bookmarkStart w:id="272" w:name="_Toc452556671"/>
      <w:bookmarkEnd w:id="272"/>
      <w:bookmarkStart w:id="273" w:name="_Toc452556582"/>
      <w:bookmarkEnd w:id="273"/>
      <w:bookmarkStart w:id="274" w:name="_Toc402880673"/>
      <w:bookmarkEnd w:id="274"/>
      <w:bookmarkStart w:id="275" w:name="_Toc452556670"/>
      <w:bookmarkEnd w:id="275"/>
      <w:bookmarkStart w:id="276" w:name="_Toc452502490"/>
      <w:bookmarkEnd w:id="276"/>
      <w:bookmarkStart w:id="277" w:name="_Toc452556740"/>
      <w:bookmarkEnd w:id="277"/>
      <w:bookmarkStart w:id="278" w:name="_Toc402880671"/>
      <w:bookmarkEnd w:id="278"/>
      <w:bookmarkStart w:id="279" w:name="_Toc452556731"/>
      <w:bookmarkEnd w:id="279"/>
      <w:bookmarkStart w:id="280" w:name="_Toc471745359"/>
      <w:bookmarkEnd w:id="280"/>
      <w:bookmarkStart w:id="281" w:name="_Toc452502570"/>
      <w:bookmarkEnd w:id="281"/>
      <w:bookmarkStart w:id="282" w:name="_Toc452556530"/>
      <w:bookmarkEnd w:id="282"/>
      <w:bookmarkStart w:id="283" w:name="_Toc471743612"/>
      <w:bookmarkEnd w:id="283"/>
      <w:bookmarkStart w:id="284" w:name="_Toc452556749"/>
      <w:bookmarkEnd w:id="284"/>
      <w:bookmarkStart w:id="285" w:name="_Toc402880695"/>
      <w:bookmarkEnd w:id="285"/>
      <w:bookmarkStart w:id="286" w:name="_Toc402880650"/>
      <w:bookmarkEnd w:id="286"/>
      <w:bookmarkStart w:id="287" w:name="_Toc452556564"/>
      <w:bookmarkEnd w:id="287"/>
      <w:bookmarkStart w:id="288" w:name="_Toc402880670"/>
      <w:bookmarkEnd w:id="288"/>
      <w:bookmarkStart w:id="289" w:name="_Toc452556519"/>
      <w:bookmarkEnd w:id="289"/>
      <w:bookmarkStart w:id="290" w:name="_Toc452502472"/>
      <w:bookmarkEnd w:id="290"/>
      <w:bookmarkStart w:id="291" w:name="_Toc452502453"/>
      <w:bookmarkEnd w:id="291"/>
      <w:bookmarkStart w:id="292" w:name="_Toc388279018"/>
      <w:bookmarkEnd w:id="292"/>
      <w:bookmarkStart w:id="293" w:name="_Toc452556805"/>
      <w:bookmarkEnd w:id="293"/>
      <w:bookmarkStart w:id="294" w:name="_Toc402880607"/>
      <w:bookmarkEnd w:id="294"/>
      <w:bookmarkStart w:id="295" w:name="_Toc452502535"/>
      <w:bookmarkEnd w:id="295"/>
      <w:bookmarkStart w:id="296" w:name="_Toc452556683"/>
      <w:bookmarkEnd w:id="296"/>
      <w:bookmarkStart w:id="297" w:name="_Toc452502370"/>
      <w:bookmarkEnd w:id="297"/>
      <w:bookmarkStart w:id="298" w:name="_Toc452556676"/>
      <w:bookmarkEnd w:id="298"/>
      <w:bookmarkStart w:id="299" w:name="_Toc452556824"/>
      <w:bookmarkEnd w:id="299"/>
      <w:bookmarkStart w:id="300" w:name="_Toc402880657"/>
      <w:bookmarkEnd w:id="300"/>
      <w:bookmarkStart w:id="301" w:name="_Toc452556500"/>
      <w:bookmarkEnd w:id="301"/>
      <w:bookmarkStart w:id="302" w:name="_Toc402880633"/>
      <w:bookmarkEnd w:id="302"/>
      <w:bookmarkStart w:id="303" w:name="_Toc452556818"/>
      <w:bookmarkEnd w:id="303"/>
      <w:bookmarkStart w:id="304" w:name="_Toc452556723"/>
      <w:bookmarkEnd w:id="304"/>
      <w:bookmarkStart w:id="305" w:name="_Toc452502419"/>
      <w:bookmarkEnd w:id="305"/>
      <w:bookmarkStart w:id="306" w:name="_Toc452556694"/>
      <w:bookmarkEnd w:id="306"/>
      <w:bookmarkStart w:id="307" w:name="_Toc452502434"/>
      <w:bookmarkEnd w:id="307"/>
      <w:bookmarkStart w:id="308" w:name="_Toc443332028"/>
      <w:bookmarkEnd w:id="308"/>
      <w:bookmarkStart w:id="309" w:name="_Toc402880629"/>
      <w:bookmarkEnd w:id="309"/>
      <w:bookmarkStart w:id="310" w:name="_Toc452556552"/>
      <w:bookmarkEnd w:id="310"/>
      <w:bookmarkStart w:id="311" w:name="_Toc452556781"/>
      <w:bookmarkEnd w:id="311"/>
      <w:bookmarkStart w:id="312" w:name="_Toc402880663"/>
      <w:bookmarkEnd w:id="312"/>
      <w:bookmarkStart w:id="313" w:name="_Toc402880659"/>
      <w:bookmarkEnd w:id="313"/>
      <w:bookmarkStart w:id="314" w:name="_Toc452556771"/>
      <w:bookmarkEnd w:id="314"/>
      <w:bookmarkStart w:id="315" w:name="_Toc452556654"/>
      <w:bookmarkEnd w:id="315"/>
      <w:bookmarkStart w:id="316" w:name="_Toc452502407"/>
      <w:bookmarkEnd w:id="316"/>
      <w:bookmarkStart w:id="317" w:name="_Toc402880666"/>
      <w:bookmarkEnd w:id="317"/>
      <w:bookmarkStart w:id="318" w:name="_Toc471745363"/>
      <w:bookmarkEnd w:id="318"/>
      <w:bookmarkStart w:id="319" w:name="_Toc471745867"/>
      <w:bookmarkEnd w:id="319"/>
      <w:bookmarkStart w:id="320" w:name="_Toc452502499"/>
      <w:bookmarkEnd w:id="320"/>
      <w:bookmarkStart w:id="321" w:name="_Toc452556714"/>
      <w:bookmarkEnd w:id="321"/>
      <w:bookmarkStart w:id="322" w:name="_Toc382579311"/>
      <w:bookmarkEnd w:id="322"/>
      <w:bookmarkStart w:id="323" w:name="_Toc452502559"/>
      <w:bookmarkEnd w:id="323"/>
      <w:bookmarkStart w:id="324" w:name="_Toc452502352"/>
      <w:bookmarkEnd w:id="324"/>
      <w:bookmarkStart w:id="325" w:name="_Toc402880680"/>
      <w:bookmarkEnd w:id="325"/>
      <w:bookmarkStart w:id="326" w:name="_Toc452502536"/>
      <w:bookmarkEnd w:id="326"/>
      <w:bookmarkStart w:id="327" w:name="_Toc452556726"/>
      <w:bookmarkEnd w:id="327"/>
      <w:bookmarkStart w:id="328" w:name="_Toc452556604"/>
      <w:bookmarkEnd w:id="328"/>
      <w:bookmarkStart w:id="329" w:name="_Toc452556567"/>
      <w:bookmarkEnd w:id="329"/>
      <w:bookmarkStart w:id="330" w:name="_Toc402880688"/>
      <w:bookmarkEnd w:id="330"/>
      <w:bookmarkStart w:id="331" w:name="_Toc452556775"/>
      <w:bookmarkEnd w:id="331"/>
      <w:bookmarkStart w:id="332" w:name="_Toc452502358"/>
      <w:bookmarkEnd w:id="332"/>
      <w:bookmarkStart w:id="333" w:name="_Toc452502546"/>
      <w:bookmarkEnd w:id="333"/>
      <w:bookmarkStart w:id="334" w:name="_Toc381963375"/>
      <w:bookmarkEnd w:id="334"/>
      <w:bookmarkStart w:id="335" w:name="_Toc402880699"/>
      <w:bookmarkEnd w:id="335"/>
      <w:bookmarkStart w:id="336" w:name="_Toc402880635"/>
      <w:bookmarkEnd w:id="336"/>
      <w:bookmarkStart w:id="337" w:name="_Toc452502467"/>
      <w:bookmarkEnd w:id="337"/>
      <w:bookmarkStart w:id="338" w:name="_Toc452556761"/>
      <w:bookmarkEnd w:id="338"/>
      <w:bookmarkStart w:id="339" w:name="_Toc381963373"/>
      <w:bookmarkEnd w:id="339"/>
      <w:bookmarkStart w:id="340" w:name="_Toc402880624"/>
      <w:bookmarkEnd w:id="340"/>
      <w:bookmarkStart w:id="341" w:name="_Toc452556764"/>
      <w:bookmarkEnd w:id="341"/>
      <w:bookmarkStart w:id="342" w:name="_Toc452556587"/>
      <w:bookmarkEnd w:id="342"/>
      <w:bookmarkStart w:id="343" w:name="_Toc402880608"/>
      <w:bookmarkEnd w:id="343"/>
      <w:bookmarkStart w:id="344" w:name="_Toc443332025"/>
      <w:bookmarkEnd w:id="344"/>
      <w:bookmarkStart w:id="345" w:name="_Toc452502356"/>
      <w:bookmarkEnd w:id="345"/>
      <w:bookmarkStart w:id="346" w:name="_Toc452556550"/>
      <w:bookmarkEnd w:id="346"/>
      <w:bookmarkStart w:id="347" w:name="_Toc452556831"/>
      <w:bookmarkEnd w:id="347"/>
      <w:bookmarkStart w:id="348" w:name="_Toc452502544"/>
      <w:bookmarkEnd w:id="348"/>
      <w:bookmarkStart w:id="349" w:name="_Toc452502412"/>
      <w:bookmarkEnd w:id="349"/>
      <w:bookmarkStart w:id="350" w:name="_Toc452556551"/>
      <w:bookmarkEnd w:id="350"/>
      <w:bookmarkStart w:id="351" w:name="_Toc452502495"/>
      <w:bookmarkEnd w:id="351"/>
      <w:bookmarkStart w:id="352" w:name="_Toc402880653"/>
      <w:bookmarkEnd w:id="352"/>
      <w:bookmarkStart w:id="353" w:name="_Toc402880637"/>
      <w:bookmarkEnd w:id="353"/>
      <w:bookmarkStart w:id="354" w:name="_Toc452502455"/>
      <w:bookmarkEnd w:id="354"/>
      <w:bookmarkStart w:id="355" w:name="_Toc452556615"/>
      <w:bookmarkEnd w:id="355"/>
      <w:bookmarkStart w:id="356" w:name="_Toc452502316"/>
      <w:bookmarkEnd w:id="356"/>
      <w:bookmarkStart w:id="357" w:name="_Toc402880622"/>
      <w:bookmarkEnd w:id="357"/>
      <w:bookmarkStart w:id="358" w:name="_Toc452556652"/>
      <w:bookmarkEnd w:id="358"/>
      <w:bookmarkStart w:id="359" w:name="_Toc452502520"/>
      <w:bookmarkEnd w:id="359"/>
      <w:bookmarkStart w:id="360" w:name="_Toc402880685"/>
      <w:bookmarkEnd w:id="360"/>
      <w:bookmarkStart w:id="361" w:name="_Toc471745860"/>
      <w:bookmarkEnd w:id="361"/>
      <w:bookmarkStart w:id="362" w:name="_Toc452556658"/>
      <w:bookmarkEnd w:id="362"/>
      <w:bookmarkStart w:id="363" w:name="_Toc443332033"/>
      <w:bookmarkEnd w:id="363"/>
      <w:bookmarkStart w:id="364" w:name="_Toc452502502"/>
      <w:bookmarkEnd w:id="364"/>
      <w:bookmarkStart w:id="365" w:name="_Toc452502446"/>
      <w:bookmarkEnd w:id="365"/>
      <w:bookmarkStart w:id="366" w:name="_Toc402880606"/>
      <w:bookmarkEnd w:id="366"/>
      <w:bookmarkStart w:id="367" w:name="_Toc452502335"/>
      <w:bookmarkEnd w:id="367"/>
      <w:bookmarkStart w:id="368" w:name="_Toc452556614"/>
      <w:bookmarkEnd w:id="368"/>
      <w:bookmarkStart w:id="369" w:name="_Toc402880658"/>
      <w:bookmarkEnd w:id="369"/>
      <w:bookmarkStart w:id="370" w:name="_Toc402880693"/>
      <w:bookmarkEnd w:id="370"/>
      <w:bookmarkStart w:id="371" w:name="_Toc452556686"/>
      <w:bookmarkEnd w:id="371"/>
      <w:bookmarkStart w:id="372" w:name="_Toc452556724"/>
      <w:bookmarkEnd w:id="372"/>
      <w:bookmarkStart w:id="373" w:name="_Toc452556756"/>
      <w:bookmarkEnd w:id="373"/>
      <w:bookmarkStart w:id="374" w:name="_Toc400913978"/>
      <w:bookmarkEnd w:id="374"/>
      <w:bookmarkStart w:id="375" w:name="_Toc452556531"/>
      <w:bookmarkEnd w:id="375"/>
      <w:bookmarkStart w:id="376" w:name="_Toc443332029"/>
      <w:bookmarkEnd w:id="376"/>
      <w:bookmarkStart w:id="377" w:name="_Toc471745871"/>
      <w:bookmarkEnd w:id="377"/>
      <w:bookmarkStart w:id="378" w:name="_Toc452502567"/>
      <w:bookmarkEnd w:id="378"/>
      <w:bookmarkStart w:id="379" w:name="_Toc452556758"/>
      <w:bookmarkEnd w:id="379"/>
      <w:bookmarkStart w:id="380" w:name="_Toc452502485"/>
      <w:bookmarkEnd w:id="380"/>
      <w:bookmarkStart w:id="381" w:name="_Toc402880621"/>
      <w:bookmarkEnd w:id="381"/>
      <w:bookmarkStart w:id="382" w:name="_Toc452556571"/>
      <w:bookmarkEnd w:id="382"/>
      <w:bookmarkStart w:id="383" w:name="_Toc452556623"/>
      <w:bookmarkEnd w:id="383"/>
      <w:bookmarkStart w:id="384" w:name="_Toc452556566"/>
      <w:bookmarkEnd w:id="384"/>
      <w:bookmarkStart w:id="385" w:name="_Toc452556666"/>
      <w:bookmarkEnd w:id="385"/>
      <w:bookmarkStart w:id="386" w:name="_Toc452502457"/>
      <w:bookmarkEnd w:id="386"/>
      <w:bookmarkStart w:id="387" w:name="_Toc452556748"/>
      <w:bookmarkEnd w:id="387"/>
      <w:bookmarkStart w:id="388" w:name="_Toc452556555"/>
      <w:bookmarkEnd w:id="388"/>
      <w:bookmarkStart w:id="389" w:name="_Toc400913977"/>
      <w:bookmarkEnd w:id="389"/>
      <w:bookmarkStart w:id="390" w:name="_Toc452556655"/>
      <w:bookmarkEnd w:id="390"/>
      <w:bookmarkStart w:id="391" w:name="_Toc452502554"/>
      <w:bookmarkEnd w:id="391"/>
      <w:bookmarkStart w:id="392" w:name="_Toc452556603"/>
      <w:bookmarkEnd w:id="392"/>
      <w:bookmarkStart w:id="393" w:name="_Toc402880647"/>
      <w:bookmarkEnd w:id="393"/>
      <w:bookmarkStart w:id="394" w:name="_Toc443332031"/>
      <w:bookmarkEnd w:id="394"/>
      <w:bookmarkStart w:id="395" w:name="_Toc452502569"/>
      <w:bookmarkEnd w:id="395"/>
      <w:bookmarkStart w:id="396" w:name="_Toc452556826"/>
      <w:bookmarkEnd w:id="396"/>
      <w:bookmarkStart w:id="397" w:name="_Toc452502344"/>
      <w:bookmarkEnd w:id="397"/>
      <w:bookmarkStart w:id="398" w:name="_Toc452556706"/>
      <w:bookmarkEnd w:id="398"/>
      <w:bookmarkStart w:id="399" w:name="_Toc402880665"/>
      <w:bookmarkEnd w:id="399"/>
      <w:bookmarkStart w:id="400" w:name="_Toc452502558"/>
      <w:bookmarkEnd w:id="400"/>
      <w:bookmarkStart w:id="401" w:name="_Toc452502334"/>
      <w:bookmarkEnd w:id="401"/>
      <w:bookmarkStart w:id="402" w:name="_Toc402880642"/>
      <w:bookmarkEnd w:id="402"/>
      <w:bookmarkStart w:id="403" w:name="_Toc452502471"/>
      <w:bookmarkEnd w:id="403"/>
      <w:bookmarkStart w:id="404" w:name="_Toc388279020"/>
      <w:bookmarkEnd w:id="404"/>
      <w:bookmarkStart w:id="405" w:name="_Toc452502386"/>
      <w:bookmarkEnd w:id="405"/>
      <w:bookmarkStart w:id="406" w:name="_Toc452556548"/>
      <w:bookmarkEnd w:id="406"/>
      <w:bookmarkStart w:id="407" w:name="_Toc452502329"/>
      <w:bookmarkEnd w:id="407"/>
      <w:bookmarkStart w:id="408" w:name="_Toc452556750"/>
      <w:bookmarkEnd w:id="408"/>
      <w:bookmarkStart w:id="409" w:name="_Toc452556674"/>
      <w:bookmarkEnd w:id="409"/>
      <w:bookmarkStart w:id="410" w:name="_Toc452502517"/>
      <w:bookmarkEnd w:id="410"/>
      <w:bookmarkStart w:id="411" w:name="_Toc452502443"/>
      <w:bookmarkEnd w:id="411"/>
      <w:bookmarkStart w:id="412" w:name="_Toc388279016"/>
      <w:bookmarkEnd w:id="412"/>
      <w:bookmarkStart w:id="413" w:name="_Toc452556696"/>
      <w:bookmarkEnd w:id="413"/>
      <w:bookmarkStart w:id="414" w:name="_Toc452556626"/>
      <w:bookmarkEnd w:id="414"/>
      <w:bookmarkStart w:id="415" w:name="_Toc402880627"/>
      <w:bookmarkEnd w:id="415"/>
      <w:bookmarkStart w:id="416" w:name="_Toc400913979"/>
      <w:bookmarkEnd w:id="416"/>
      <w:bookmarkStart w:id="417" w:name="_Toc452556602"/>
      <w:bookmarkEnd w:id="417"/>
      <w:bookmarkStart w:id="418" w:name="_Toc402880655"/>
      <w:bookmarkEnd w:id="418"/>
      <w:bookmarkStart w:id="419" w:name="_Toc452556691"/>
      <w:bookmarkEnd w:id="419"/>
      <w:bookmarkStart w:id="420" w:name="_Toc452502450"/>
      <w:bookmarkEnd w:id="420"/>
      <w:bookmarkStart w:id="421" w:name="_Toc381964098"/>
      <w:bookmarkEnd w:id="421"/>
      <w:bookmarkStart w:id="422" w:name="_Toc452556599"/>
      <w:bookmarkEnd w:id="422"/>
      <w:bookmarkStart w:id="423" w:name="_Toc402880616"/>
      <w:bookmarkEnd w:id="423"/>
      <w:bookmarkStart w:id="424" w:name="_Toc443332019"/>
      <w:bookmarkEnd w:id="424"/>
      <w:bookmarkStart w:id="425" w:name="_Toc452556630"/>
      <w:bookmarkEnd w:id="425"/>
      <w:bookmarkStart w:id="426" w:name="_Toc452556561"/>
      <w:bookmarkEnd w:id="426"/>
      <w:bookmarkStart w:id="427" w:name="_Toc452556821"/>
      <w:bookmarkEnd w:id="427"/>
      <w:bookmarkStart w:id="428" w:name="_Toc471745365"/>
      <w:bookmarkEnd w:id="428"/>
      <w:bookmarkStart w:id="429" w:name="_Toc452556802"/>
      <w:bookmarkEnd w:id="429"/>
      <w:bookmarkStart w:id="430" w:name="_Toc452556682"/>
      <w:bookmarkEnd w:id="430"/>
      <w:bookmarkStart w:id="431" w:name="_Toc452556702"/>
      <w:bookmarkEnd w:id="431"/>
      <w:bookmarkStart w:id="432" w:name="_Toc452556693"/>
      <w:bookmarkEnd w:id="432"/>
      <w:bookmarkStart w:id="433" w:name="_Toc452502556"/>
      <w:bookmarkEnd w:id="433"/>
      <w:bookmarkStart w:id="434" w:name="_Toc452556777"/>
      <w:bookmarkEnd w:id="434"/>
      <w:bookmarkStart w:id="435" w:name="_Toc452556650"/>
      <w:bookmarkEnd w:id="435"/>
      <w:bookmarkStart w:id="436" w:name="_Toc452556704"/>
      <w:bookmarkEnd w:id="436"/>
      <w:bookmarkStart w:id="437" w:name="_Toc452556579"/>
      <w:bookmarkEnd w:id="437"/>
      <w:bookmarkStart w:id="438" w:name="_Toc452502435"/>
      <w:bookmarkEnd w:id="438"/>
      <w:bookmarkStart w:id="439" w:name="_Toc452556782"/>
      <w:bookmarkEnd w:id="439"/>
      <w:bookmarkStart w:id="440" w:name="_Toc452502484"/>
      <w:bookmarkEnd w:id="440"/>
      <w:bookmarkStart w:id="441" w:name="_Toc402880646"/>
      <w:bookmarkEnd w:id="441"/>
      <w:bookmarkStart w:id="442" w:name="_Toc452556512"/>
      <w:bookmarkEnd w:id="442"/>
      <w:bookmarkStart w:id="443" w:name="_Toc452502310"/>
      <w:bookmarkEnd w:id="443"/>
      <w:bookmarkStart w:id="444" w:name="_Toc452502466"/>
      <w:bookmarkEnd w:id="444"/>
      <w:bookmarkStart w:id="445" w:name="_Toc402880611"/>
      <w:bookmarkEnd w:id="445"/>
      <w:bookmarkStart w:id="446" w:name="_Toc443332030"/>
      <w:bookmarkEnd w:id="446"/>
      <w:bookmarkStart w:id="447" w:name="_Toc452556557"/>
      <w:bookmarkEnd w:id="447"/>
      <w:bookmarkStart w:id="448" w:name="_Toc452502436"/>
      <w:bookmarkEnd w:id="448"/>
      <w:bookmarkStart w:id="449" w:name="_Toc471745859"/>
      <w:bookmarkEnd w:id="449"/>
      <w:bookmarkStart w:id="450" w:name="_Toc452556591"/>
      <w:bookmarkEnd w:id="450"/>
      <w:bookmarkStart w:id="451" w:name="_Toc452556701"/>
      <w:bookmarkEnd w:id="451"/>
      <w:bookmarkStart w:id="452" w:name="_Toc452556828"/>
      <w:bookmarkEnd w:id="452"/>
      <w:bookmarkStart w:id="453" w:name="_Toc388279017"/>
      <w:bookmarkEnd w:id="453"/>
      <w:bookmarkStart w:id="454" w:name="_Toc452556559"/>
      <w:bookmarkEnd w:id="454"/>
      <w:bookmarkStart w:id="455" w:name="_Toc452556569"/>
      <w:bookmarkEnd w:id="455"/>
      <w:bookmarkStart w:id="456" w:name="_Toc452502331"/>
      <w:bookmarkEnd w:id="456"/>
      <w:bookmarkStart w:id="457" w:name="_Toc452556653"/>
      <w:bookmarkEnd w:id="457"/>
      <w:bookmarkStart w:id="458" w:name="_Toc452556515"/>
      <w:bookmarkEnd w:id="458"/>
      <w:bookmarkStart w:id="459" w:name="_Toc452502362"/>
      <w:bookmarkEnd w:id="459"/>
      <w:bookmarkStart w:id="460" w:name="_Toc452556562"/>
      <w:bookmarkEnd w:id="460"/>
      <w:bookmarkStart w:id="461" w:name="_Toc452556745"/>
      <w:bookmarkEnd w:id="461"/>
      <w:bookmarkStart w:id="462" w:name="_Toc452556789"/>
      <w:bookmarkEnd w:id="462"/>
      <w:bookmarkStart w:id="463" w:name="_Toc452502376"/>
      <w:bookmarkEnd w:id="463"/>
      <w:bookmarkStart w:id="464" w:name="_Toc452502315"/>
      <w:bookmarkEnd w:id="464"/>
      <w:bookmarkStart w:id="465" w:name="_Toc452556768"/>
      <w:bookmarkEnd w:id="465"/>
      <w:bookmarkStart w:id="466" w:name="_Toc452556679"/>
      <w:bookmarkEnd w:id="466"/>
      <w:bookmarkStart w:id="467" w:name="_Toc452502413"/>
      <w:bookmarkEnd w:id="467"/>
      <w:bookmarkStart w:id="468" w:name="_Toc452556827"/>
      <w:bookmarkEnd w:id="468"/>
      <w:bookmarkStart w:id="469" w:name="_Toc381964100"/>
      <w:bookmarkEnd w:id="469"/>
      <w:bookmarkStart w:id="470" w:name="_Toc452556814"/>
      <w:bookmarkEnd w:id="470"/>
      <w:bookmarkStart w:id="471" w:name="_Toc443332009"/>
      <w:bookmarkEnd w:id="471"/>
      <w:bookmarkStart w:id="472" w:name="_Toc452502493"/>
      <w:bookmarkEnd w:id="472"/>
      <w:bookmarkStart w:id="473" w:name="_Toc452502497"/>
      <w:bookmarkEnd w:id="473"/>
      <w:bookmarkStart w:id="474" w:name="_Toc402880612"/>
      <w:bookmarkEnd w:id="474"/>
      <w:bookmarkStart w:id="475" w:name="_Toc452556639"/>
      <w:bookmarkEnd w:id="475"/>
      <w:bookmarkStart w:id="476" w:name="_Toc452556760"/>
      <w:bookmarkEnd w:id="476"/>
      <w:bookmarkStart w:id="477" w:name="_Toc452556752"/>
      <w:bookmarkEnd w:id="477"/>
      <w:bookmarkStart w:id="478" w:name="_Toc452556573"/>
      <w:bookmarkEnd w:id="478"/>
      <w:bookmarkStart w:id="479" w:name="_Toc402880610"/>
      <w:bookmarkEnd w:id="479"/>
      <w:bookmarkStart w:id="480" w:name="_Toc452556734"/>
      <w:bookmarkEnd w:id="480"/>
      <w:bookmarkStart w:id="481" w:name="_Toc452556619"/>
      <w:bookmarkEnd w:id="481"/>
      <w:bookmarkStart w:id="482" w:name="_Toc452502406"/>
      <w:bookmarkEnd w:id="482"/>
      <w:bookmarkStart w:id="483" w:name="_Toc452556616"/>
      <w:bookmarkEnd w:id="483"/>
      <w:bookmarkStart w:id="484" w:name="_Toc452502388"/>
      <w:bookmarkEnd w:id="484"/>
      <w:bookmarkStart w:id="485" w:name="_Toc452556544"/>
      <w:bookmarkEnd w:id="485"/>
      <w:bookmarkStart w:id="486" w:name="_Toc452502459"/>
      <w:bookmarkEnd w:id="486"/>
      <w:bookmarkStart w:id="487" w:name="_Toc402880623"/>
      <w:bookmarkEnd w:id="487"/>
      <w:bookmarkStart w:id="488" w:name="_Toc452556547"/>
      <w:bookmarkEnd w:id="488"/>
      <w:bookmarkStart w:id="489" w:name="_Toc452502429"/>
      <w:bookmarkEnd w:id="489"/>
      <w:bookmarkStart w:id="490" w:name="_Toc452556644"/>
      <w:bookmarkEnd w:id="490"/>
      <w:bookmarkStart w:id="491" w:name="_Toc452502393"/>
      <w:bookmarkEnd w:id="491"/>
      <w:bookmarkStart w:id="492" w:name="_Toc452556521"/>
      <w:bookmarkEnd w:id="492"/>
      <w:bookmarkStart w:id="493" w:name="_Toc452556621"/>
      <w:bookmarkEnd w:id="493"/>
      <w:bookmarkStart w:id="494" w:name="_Toc452556585"/>
      <w:bookmarkEnd w:id="494"/>
      <w:bookmarkStart w:id="495" w:name="_Toc452556800"/>
      <w:bookmarkEnd w:id="495"/>
      <w:bookmarkStart w:id="496" w:name="_Toc452556728"/>
      <w:bookmarkEnd w:id="496"/>
      <w:bookmarkStart w:id="497" w:name="_Toc452502550"/>
      <w:bookmarkEnd w:id="497"/>
      <w:bookmarkStart w:id="498" w:name="_Toc452556518"/>
      <w:bookmarkEnd w:id="498"/>
      <w:bookmarkStart w:id="499" w:name="_Toc452502568"/>
      <w:bookmarkEnd w:id="499"/>
      <w:bookmarkStart w:id="500" w:name="_Toc471745368"/>
      <w:bookmarkEnd w:id="500"/>
      <w:bookmarkStart w:id="501" w:name="_Toc452502354"/>
      <w:bookmarkEnd w:id="501"/>
      <w:bookmarkStart w:id="502" w:name="_Toc452556541"/>
      <w:bookmarkEnd w:id="502"/>
      <w:bookmarkStart w:id="503" w:name="_Toc452556622"/>
      <w:bookmarkEnd w:id="503"/>
      <w:bookmarkStart w:id="504" w:name="_Toc452502342"/>
      <w:bookmarkEnd w:id="504"/>
      <w:bookmarkStart w:id="505" w:name="_Toc402880604"/>
      <w:bookmarkEnd w:id="505"/>
      <w:bookmarkStart w:id="506" w:name="_Toc471745862"/>
      <w:bookmarkEnd w:id="506"/>
      <w:bookmarkStart w:id="507" w:name="_Toc452502397"/>
      <w:bookmarkEnd w:id="507"/>
      <w:bookmarkStart w:id="508" w:name="_Toc452556812"/>
      <w:bookmarkEnd w:id="508"/>
      <w:bookmarkStart w:id="509" w:name="_Toc452556624"/>
      <w:bookmarkEnd w:id="509"/>
      <w:bookmarkStart w:id="510" w:name="_Toc452502440"/>
      <w:bookmarkEnd w:id="510"/>
      <w:bookmarkStart w:id="511" w:name="_Toc443332005"/>
      <w:bookmarkEnd w:id="511"/>
      <w:bookmarkStart w:id="512" w:name="_Toc452556514"/>
      <w:bookmarkEnd w:id="512"/>
      <w:bookmarkStart w:id="513" w:name="_Toc452556806"/>
      <w:bookmarkEnd w:id="513"/>
      <w:bookmarkStart w:id="514" w:name="_Toc471745865"/>
      <w:bookmarkEnd w:id="514"/>
      <w:bookmarkStart w:id="515" w:name="_Toc400913975"/>
      <w:bookmarkEnd w:id="515"/>
      <w:bookmarkStart w:id="516" w:name="_Toc452556754"/>
      <w:bookmarkEnd w:id="516"/>
      <w:bookmarkStart w:id="517" w:name="_Toc452556611"/>
      <w:bookmarkEnd w:id="517"/>
      <w:bookmarkStart w:id="518" w:name="_Toc402880677"/>
      <w:bookmarkEnd w:id="518"/>
      <w:bookmarkStart w:id="519" w:name="_Toc452502438"/>
      <w:bookmarkEnd w:id="519"/>
      <w:bookmarkStart w:id="520" w:name="_Toc471745872"/>
      <w:bookmarkEnd w:id="520"/>
      <w:bookmarkStart w:id="521" w:name="_Toc452502432"/>
      <w:bookmarkEnd w:id="521"/>
      <w:bookmarkStart w:id="522" w:name="_Toc381963372"/>
      <w:bookmarkEnd w:id="522"/>
      <w:bookmarkStart w:id="523" w:name="_Toc388279021"/>
      <w:bookmarkEnd w:id="523"/>
      <w:bookmarkStart w:id="524" w:name="_Toc381963376"/>
      <w:bookmarkEnd w:id="524"/>
      <w:bookmarkStart w:id="525" w:name="_Toc471741424"/>
      <w:bookmarkEnd w:id="525"/>
      <w:bookmarkStart w:id="526" w:name="_Toc402880617"/>
      <w:bookmarkEnd w:id="526"/>
      <w:bookmarkStart w:id="527" w:name="_Toc452556685"/>
      <w:bookmarkEnd w:id="527"/>
      <w:bookmarkStart w:id="528" w:name="_Toc452556635"/>
      <w:bookmarkEnd w:id="528"/>
      <w:bookmarkStart w:id="529" w:name="_Toc402880628"/>
      <w:bookmarkEnd w:id="529"/>
      <w:bookmarkStart w:id="530" w:name="_Toc452556524"/>
      <w:bookmarkEnd w:id="530"/>
      <w:bookmarkStart w:id="531" w:name="_Toc443332012"/>
      <w:bookmarkEnd w:id="531"/>
      <w:bookmarkStart w:id="532" w:name="_Toc452556597"/>
      <w:bookmarkEnd w:id="532"/>
      <w:bookmarkStart w:id="533" w:name="_Toc452556690"/>
      <w:bookmarkEnd w:id="533"/>
      <w:bookmarkStart w:id="534" w:name="_Toc452502449"/>
      <w:bookmarkEnd w:id="534"/>
      <w:bookmarkStart w:id="535" w:name="_Toc452502523"/>
      <w:bookmarkEnd w:id="535"/>
      <w:bookmarkStart w:id="536" w:name="_Toc452556773"/>
      <w:bookmarkEnd w:id="536"/>
      <w:bookmarkStart w:id="537" w:name="_Toc452556705"/>
      <w:bookmarkEnd w:id="537"/>
      <w:bookmarkStart w:id="538" w:name="_Toc452556816"/>
      <w:bookmarkEnd w:id="538"/>
      <w:bookmarkStart w:id="539" w:name="_Toc452556502"/>
      <w:bookmarkEnd w:id="539"/>
      <w:bookmarkStart w:id="540" w:name="_Toc452556647"/>
      <w:bookmarkEnd w:id="540"/>
      <w:bookmarkStart w:id="541" w:name="_Toc452502368"/>
      <w:bookmarkEnd w:id="541"/>
      <w:bookmarkStart w:id="542" w:name="_Toc452502454"/>
      <w:bookmarkEnd w:id="542"/>
      <w:bookmarkStart w:id="543" w:name="_Toc452556794"/>
      <w:bookmarkEnd w:id="543"/>
      <w:bookmarkStart w:id="544" w:name="_Toc402880614"/>
      <w:bookmarkEnd w:id="544"/>
      <w:bookmarkStart w:id="545" w:name="_Toc452556698"/>
      <w:bookmarkEnd w:id="545"/>
      <w:bookmarkStart w:id="546" w:name="_Toc452502481"/>
      <w:bookmarkEnd w:id="546"/>
      <w:bookmarkStart w:id="547" w:name="_Toc452502339"/>
      <w:bookmarkEnd w:id="547"/>
      <w:bookmarkStart w:id="548" w:name="_Toc452556499"/>
      <w:bookmarkEnd w:id="548"/>
      <w:bookmarkStart w:id="549" w:name="_Toc452556634"/>
      <w:bookmarkEnd w:id="549"/>
      <w:bookmarkStart w:id="550" w:name="_Toc402880634"/>
      <w:bookmarkEnd w:id="550"/>
      <w:bookmarkStart w:id="551" w:name="_Toc452556612"/>
      <w:bookmarkEnd w:id="551"/>
      <w:bookmarkStart w:id="552" w:name="_Toc452502447"/>
      <w:bookmarkEnd w:id="552"/>
      <w:bookmarkStart w:id="553" w:name="_Toc471745366"/>
      <w:bookmarkEnd w:id="553"/>
      <w:bookmarkStart w:id="554" w:name="_Toc452502410"/>
      <w:bookmarkEnd w:id="554"/>
      <w:bookmarkStart w:id="555" w:name="_Toc452556501"/>
      <w:bookmarkEnd w:id="555"/>
      <w:bookmarkStart w:id="556" w:name="_Toc452556516"/>
      <w:bookmarkEnd w:id="556"/>
      <w:bookmarkStart w:id="557" w:name="_Toc452556646"/>
      <w:bookmarkEnd w:id="557"/>
      <w:bookmarkStart w:id="558" w:name="_Toc452502373"/>
      <w:bookmarkEnd w:id="558"/>
      <w:bookmarkStart w:id="559" w:name="_Toc452556680"/>
      <w:bookmarkEnd w:id="559"/>
      <w:bookmarkStart w:id="560" w:name="_Toc452556510"/>
      <w:bookmarkEnd w:id="560"/>
      <w:bookmarkStart w:id="561" w:name="_Toc452502409"/>
      <w:bookmarkEnd w:id="561"/>
      <w:bookmarkStart w:id="562" w:name="_Toc452502452"/>
      <w:bookmarkEnd w:id="562"/>
      <w:bookmarkStart w:id="563" w:name="_Toc452556642"/>
      <w:bookmarkEnd w:id="563"/>
      <w:bookmarkStart w:id="564" w:name="_Toc452556732"/>
      <w:bookmarkEnd w:id="564"/>
      <w:bookmarkStart w:id="565" w:name="_Toc452556513"/>
      <w:bookmarkEnd w:id="565"/>
      <w:bookmarkStart w:id="566" w:name="_Toc402880620"/>
      <w:bookmarkEnd w:id="566"/>
      <w:bookmarkStart w:id="567" w:name="_Toc452502379"/>
      <w:bookmarkEnd w:id="567"/>
      <w:bookmarkStart w:id="568" w:name="_Toc471743615"/>
      <w:bookmarkEnd w:id="568"/>
      <w:bookmarkStart w:id="569" w:name="_Toc452502543"/>
      <w:bookmarkEnd w:id="569"/>
      <w:bookmarkStart w:id="570" w:name="_Toc452502361"/>
      <w:bookmarkEnd w:id="570"/>
      <w:bookmarkStart w:id="571" w:name="_Toc443332007"/>
      <w:bookmarkEnd w:id="571"/>
      <w:bookmarkStart w:id="572" w:name="_Toc452556819"/>
      <w:bookmarkEnd w:id="572"/>
      <w:bookmarkStart w:id="573" w:name="_Toc452556688"/>
      <w:bookmarkEnd w:id="573"/>
      <w:bookmarkStart w:id="574" w:name="_Toc452556737"/>
      <w:bookmarkEnd w:id="574"/>
      <w:bookmarkStart w:id="575" w:name="_Toc452502353"/>
      <w:bookmarkEnd w:id="575"/>
      <w:bookmarkStart w:id="576" w:name="_Toc452556725"/>
      <w:bookmarkEnd w:id="576"/>
      <w:bookmarkStart w:id="577" w:name="_Toc471745868"/>
      <w:bookmarkEnd w:id="577"/>
      <w:bookmarkStart w:id="578" w:name="_Toc452556601"/>
      <w:bookmarkEnd w:id="578"/>
      <w:bookmarkStart w:id="579" w:name="_Toc452556596"/>
      <w:bookmarkEnd w:id="579"/>
      <w:bookmarkStart w:id="580" w:name="_Toc452556592"/>
      <w:bookmarkEnd w:id="580"/>
      <w:bookmarkStart w:id="581" w:name="_Toc452556649"/>
      <w:bookmarkEnd w:id="581"/>
      <w:bookmarkStart w:id="582" w:name="_Toc452502343"/>
      <w:bookmarkEnd w:id="582"/>
      <w:bookmarkStart w:id="583" w:name="_Toc452556503"/>
      <w:bookmarkEnd w:id="583"/>
      <w:bookmarkStart w:id="584" w:name="_Toc452556759"/>
      <w:bookmarkEnd w:id="584"/>
      <w:bookmarkStart w:id="585" w:name="_Toc471745362"/>
      <w:bookmarkEnd w:id="585"/>
      <w:bookmarkStart w:id="586" w:name="_Toc452502371"/>
      <w:bookmarkEnd w:id="586"/>
      <w:bookmarkStart w:id="587" w:name="_Toc452502422"/>
      <w:bookmarkEnd w:id="587"/>
      <w:bookmarkStart w:id="588" w:name="_Toc452502349"/>
      <w:bookmarkEnd w:id="588"/>
      <w:bookmarkStart w:id="589" w:name="_Toc452556529"/>
      <w:bookmarkEnd w:id="589"/>
      <w:bookmarkStart w:id="590" w:name="_Toc452502492"/>
      <w:bookmarkEnd w:id="590"/>
      <w:bookmarkStart w:id="591" w:name="_Toc452556675"/>
      <w:bookmarkEnd w:id="591"/>
      <w:bookmarkStart w:id="592" w:name="_Toc452502479"/>
      <w:bookmarkEnd w:id="592"/>
      <w:bookmarkStart w:id="593" w:name="_Toc452502327"/>
      <w:bookmarkEnd w:id="593"/>
      <w:bookmarkStart w:id="594" w:name="_Toc452556790"/>
      <w:bookmarkEnd w:id="594"/>
      <w:bookmarkStart w:id="595" w:name="_Toc452556709"/>
      <w:bookmarkEnd w:id="595"/>
      <w:bookmarkStart w:id="596" w:name="_Toc402880661"/>
      <w:bookmarkEnd w:id="596"/>
      <w:bookmarkStart w:id="597" w:name="_Toc452502389"/>
      <w:bookmarkEnd w:id="597"/>
      <w:bookmarkStart w:id="598" w:name="_Toc452556811"/>
      <w:bookmarkEnd w:id="598"/>
      <w:bookmarkStart w:id="599" w:name="_Toc443332016"/>
      <w:bookmarkEnd w:id="599"/>
      <w:bookmarkStart w:id="600" w:name="_Toc452556540"/>
      <w:bookmarkEnd w:id="600"/>
      <w:bookmarkStart w:id="601" w:name="_Toc471739946"/>
      <w:bookmarkEnd w:id="601"/>
      <w:bookmarkStart w:id="602" w:name="_Toc452502395"/>
      <w:bookmarkEnd w:id="602"/>
      <w:bookmarkStart w:id="603" w:name="_Toc452502411"/>
      <w:bookmarkEnd w:id="603"/>
      <w:bookmarkStart w:id="604" w:name="_Toc471744979"/>
      <w:bookmarkEnd w:id="604"/>
      <w:bookmarkStart w:id="605" w:name="_Toc452502311"/>
      <w:bookmarkEnd w:id="605"/>
      <w:bookmarkStart w:id="606" w:name="_Toc443332011"/>
      <w:bookmarkEnd w:id="606"/>
      <w:bookmarkStart w:id="607" w:name="_Toc452502363"/>
      <w:bookmarkEnd w:id="607"/>
      <w:bookmarkStart w:id="608" w:name="_Toc452556716"/>
      <w:bookmarkEnd w:id="608"/>
      <w:bookmarkStart w:id="609" w:name="_Toc452502572"/>
      <w:bookmarkEnd w:id="609"/>
      <w:bookmarkStart w:id="610" w:name="_Toc452502532"/>
      <w:bookmarkEnd w:id="610"/>
      <w:bookmarkStart w:id="611" w:name="_Toc452502400"/>
      <w:bookmarkEnd w:id="611"/>
      <w:bookmarkStart w:id="612" w:name="_Toc452502427"/>
      <w:bookmarkEnd w:id="612"/>
      <w:bookmarkStart w:id="613" w:name="_Toc402880697"/>
      <w:bookmarkEnd w:id="613"/>
      <w:bookmarkStart w:id="614" w:name="_Toc452502458"/>
      <w:bookmarkEnd w:id="614"/>
      <w:bookmarkStart w:id="615" w:name="_Toc452556536"/>
      <w:bookmarkEnd w:id="615"/>
      <w:bookmarkStart w:id="616" w:name="_Toc452556720"/>
      <w:bookmarkEnd w:id="616"/>
      <w:bookmarkStart w:id="617" w:name="_Toc452556815"/>
      <w:bookmarkEnd w:id="617"/>
      <w:bookmarkStart w:id="618" w:name="_Toc452502377"/>
      <w:bookmarkEnd w:id="618"/>
      <w:bookmarkStart w:id="619" w:name="_Toc452502325"/>
      <w:bookmarkEnd w:id="619"/>
      <w:bookmarkStart w:id="620" w:name="_Toc452556553"/>
      <w:bookmarkEnd w:id="620"/>
      <w:bookmarkStart w:id="621" w:name="_Toc471744106"/>
      <w:bookmarkEnd w:id="621"/>
      <w:bookmarkStart w:id="622" w:name="_Toc452502444"/>
      <w:bookmarkEnd w:id="622"/>
      <w:bookmarkStart w:id="623" w:name="_Toc452556534"/>
      <w:bookmarkEnd w:id="623"/>
      <w:bookmarkStart w:id="624" w:name="_Toc452556631"/>
      <w:bookmarkEnd w:id="624"/>
      <w:bookmarkStart w:id="625" w:name="_Toc452502500"/>
      <w:bookmarkEnd w:id="625"/>
      <w:bookmarkStart w:id="626" w:name="_Toc452556584"/>
      <w:bookmarkEnd w:id="626"/>
      <w:bookmarkStart w:id="627" w:name="_Toc402880678"/>
      <w:bookmarkEnd w:id="627"/>
      <w:bookmarkStart w:id="628" w:name="_Toc452502530"/>
      <w:bookmarkEnd w:id="628"/>
      <w:bookmarkStart w:id="629" w:name="_Toc452556767"/>
      <w:bookmarkEnd w:id="629"/>
      <w:bookmarkStart w:id="630" w:name="_Toc452556538"/>
      <w:bookmarkEnd w:id="630"/>
      <w:bookmarkStart w:id="631" w:name="_Toc452556508"/>
      <w:bookmarkEnd w:id="631"/>
      <w:bookmarkStart w:id="632" w:name="_Toc452556769"/>
      <w:bookmarkEnd w:id="632"/>
      <w:bookmarkStart w:id="633" w:name="_Toc452556506"/>
      <w:bookmarkEnd w:id="633"/>
      <w:bookmarkStart w:id="634" w:name="_Toc452502390"/>
      <w:bookmarkEnd w:id="634"/>
      <w:bookmarkStart w:id="635" w:name="_Toc452502555"/>
      <w:bookmarkEnd w:id="635"/>
      <w:bookmarkStart w:id="636" w:name="_Toc452556656"/>
      <w:bookmarkEnd w:id="636"/>
      <w:bookmarkStart w:id="637" w:name="_Toc452502509"/>
      <w:bookmarkEnd w:id="637"/>
      <w:bookmarkStart w:id="638" w:name="_Toc471740777"/>
      <w:bookmarkEnd w:id="638"/>
      <w:bookmarkStart w:id="639" w:name="_Toc402880668"/>
      <w:bookmarkEnd w:id="639"/>
      <w:bookmarkStart w:id="640" w:name="_Toc452556574"/>
      <w:bookmarkEnd w:id="640"/>
      <w:bookmarkStart w:id="641" w:name="_Toc452556522"/>
      <w:bookmarkEnd w:id="641"/>
      <w:bookmarkStart w:id="642" w:name="_Toc452556757"/>
      <w:bookmarkEnd w:id="642"/>
      <w:bookmarkStart w:id="643" w:name="_Toc402880631"/>
      <w:bookmarkEnd w:id="643"/>
      <w:bookmarkStart w:id="644" w:name="_Toc452556776"/>
      <w:bookmarkEnd w:id="644"/>
      <w:bookmarkStart w:id="645" w:name="_Toc452556627"/>
      <w:bookmarkEnd w:id="645"/>
      <w:bookmarkStart w:id="646" w:name="_Toc402880656"/>
      <w:bookmarkEnd w:id="646"/>
      <w:bookmarkStart w:id="647" w:name="_Toc452556810"/>
      <w:bookmarkEnd w:id="647"/>
      <w:bookmarkStart w:id="648" w:name="_Toc452502476"/>
      <w:bookmarkEnd w:id="648"/>
      <w:bookmarkStart w:id="649" w:name="_Toc452502475"/>
      <w:bookmarkEnd w:id="649"/>
      <w:bookmarkStart w:id="650" w:name="_Toc471745870"/>
      <w:bookmarkEnd w:id="650"/>
      <w:bookmarkStart w:id="651" w:name="_Toc452556721"/>
      <w:bookmarkEnd w:id="651"/>
      <w:bookmarkStart w:id="652" w:name="_Toc402880638"/>
      <w:bookmarkEnd w:id="652"/>
      <w:bookmarkStart w:id="653" w:name="_Toc452556791"/>
      <w:bookmarkEnd w:id="653"/>
      <w:bookmarkStart w:id="654" w:name="_Toc452556497"/>
      <w:bookmarkEnd w:id="654"/>
      <w:bookmarkStart w:id="655" w:name="_Toc452502553"/>
      <w:bookmarkEnd w:id="655"/>
      <w:bookmarkStart w:id="656" w:name="_Toc452556753"/>
      <w:bookmarkEnd w:id="656"/>
      <w:bookmarkStart w:id="657" w:name="_Toc452502464"/>
      <w:bookmarkEnd w:id="657"/>
      <w:bookmarkStart w:id="658" w:name="_Toc452556629"/>
      <w:bookmarkEnd w:id="658"/>
      <w:bookmarkStart w:id="659" w:name="_Toc452556813"/>
      <w:bookmarkEnd w:id="659"/>
      <w:bookmarkStart w:id="660" w:name="_Toc382579315"/>
      <w:bookmarkEnd w:id="660"/>
      <w:bookmarkStart w:id="661" w:name="_Toc452556727"/>
      <w:bookmarkEnd w:id="661"/>
      <w:bookmarkStart w:id="662" w:name="_Toc452556504"/>
      <w:bookmarkEnd w:id="662"/>
      <w:bookmarkStart w:id="663" w:name="_Toc402880687"/>
      <w:bookmarkEnd w:id="663"/>
      <w:bookmarkStart w:id="664" w:name="_Toc452556594"/>
      <w:bookmarkEnd w:id="664"/>
      <w:bookmarkStart w:id="665" w:name="_Toc452502418"/>
      <w:bookmarkEnd w:id="665"/>
      <w:bookmarkStart w:id="666" w:name="_Toc452502525"/>
      <w:bookmarkEnd w:id="666"/>
      <w:bookmarkStart w:id="667" w:name="_Toc452556830"/>
      <w:bookmarkEnd w:id="667"/>
      <w:bookmarkStart w:id="668" w:name="_Toc452556763"/>
      <w:bookmarkEnd w:id="668"/>
      <w:bookmarkStart w:id="669" w:name="_Toc471745873"/>
      <w:bookmarkEnd w:id="669"/>
      <w:bookmarkStart w:id="670" w:name="_Toc452502521"/>
      <w:bookmarkEnd w:id="670"/>
      <w:bookmarkStart w:id="671" w:name="_Toc402880686"/>
      <w:bookmarkEnd w:id="671"/>
      <w:bookmarkStart w:id="672" w:name="_Toc452556660"/>
      <w:bookmarkEnd w:id="672"/>
      <w:bookmarkStart w:id="673" w:name="_Toc402880667"/>
      <w:bookmarkEnd w:id="673"/>
      <w:bookmarkStart w:id="674" w:name="_Toc402880698"/>
      <w:bookmarkEnd w:id="674"/>
      <w:bookmarkStart w:id="675" w:name="_Toc402880679"/>
      <w:bookmarkEnd w:id="675"/>
      <w:bookmarkStart w:id="676" w:name="_Toc452502557"/>
      <w:bookmarkEnd w:id="676"/>
      <w:bookmarkStart w:id="677" w:name="_Toc452556669"/>
      <w:bookmarkEnd w:id="677"/>
      <w:bookmarkStart w:id="678" w:name="_Toc452556507"/>
      <w:bookmarkEnd w:id="678"/>
      <w:bookmarkStart w:id="679" w:name="_Toc443332034"/>
      <w:bookmarkEnd w:id="679"/>
      <w:bookmarkStart w:id="680" w:name="_Toc452556711"/>
      <w:bookmarkEnd w:id="680"/>
      <w:bookmarkStart w:id="681" w:name="_Toc452502460"/>
      <w:bookmarkEnd w:id="681"/>
      <w:bookmarkStart w:id="682" w:name="_Toc388279019"/>
      <w:bookmarkEnd w:id="682"/>
      <w:bookmarkStart w:id="683" w:name="_Toc452556774"/>
      <w:bookmarkEnd w:id="683"/>
      <w:bookmarkStart w:id="684" w:name="_Toc388279024"/>
      <w:bookmarkEnd w:id="684"/>
      <w:bookmarkStart w:id="685" w:name="_Toc452556657"/>
      <w:bookmarkEnd w:id="685"/>
      <w:bookmarkStart w:id="686" w:name="_Toc452556687"/>
      <w:bookmarkEnd w:id="686"/>
      <w:bookmarkStart w:id="687" w:name="_Toc452502524"/>
      <w:bookmarkEnd w:id="687"/>
      <w:bookmarkStart w:id="688" w:name="_Toc452556643"/>
      <w:bookmarkEnd w:id="688"/>
      <w:bookmarkStart w:id="689" w:name="_Toc452502348"/>
      <w:bookmarkEnd w:id="689"/>
      <w:bookmarkStart w:id="690" w:name="_Toc452556578"/>
      <w:bookmarkEnd w:id="690"/>
      <w:bookmarkStart w:id="691" w:name="_Toc452502504"/>
      <w:bookmarkEnd w:id="691"/>
      <w:bookmarkStart w:id="692" w:name="_Toc452556710"/>
      <w:bookmarkEnd w:id="692"/>
      <w:bookmarkStart w:id="693" w:name="_Toc443332013"/>
      <w:bookmarkEnd w:id="693"/>
      <w:bookmarkStart w:id="694" w:name="_Toc471745358"/>
      <w:bookmarkEnd w:id="694"/>
      <w:bookmarkStart w:id="695" w:name="_Toc452502423"/>
      <w:bookmarkEnd w:id="695"/>
      <w:bookmarkStart w:id="696" w:name="_Toc471744484"/>
      <w:bookmarkEnd w:id="696"/>
      <w:bookmarkStart w:id="697" w:name="_Toc402880690"/>
      <w:bookmarkEnd w:id="697"/>
      <w:bookmarkStart w:id="698" w:name="_Toc452502346"/>
      <w:bookmarkEnd w:id="698"/>
      <w:bookmarkStart w:id="699" w:name="_Toc402880676"/>
      <w:bookmarkEnd w:id="699"/>
      <w:bookmarkStart w:id="700" w:name="_Toc452502391"/>
      <w:bookmarkEnd w:id="700"/>
      <w:bookmarkStart w:id="701" w:name="_Toc452502478"/>
      <w:bookmarkEnd w:id="701"/>
      <w:bookmarkStart w:id="702" w:name="_Toc452556581"/>
      <w:bookmarkEnd w:id="702"/>
      <w:bookmarkStart w:id="703" w:name="_Toc452502330"/>
      <w:bookmarkEnd w:id="703"/>
      <w:bookmarkStart w:id="704" w:name="_Toc452502338"/>
      <w:bookmarkEnd w:id="704"/>
      <w:bookmarkStart w:id="705" w:name="_Toc400913976"/>
      <w:bookmarkEnd w:id="705"/>
      <w:bookmarkStart w:id="706" w:name="_Toc452556632"/>
      <w:bookmarkEnd w:id="706"/>
      <w:bookmarkStart w:id="707" w:name="_Toc452556641"/>
      <w:bookmarkEnd w:id="707"/>
      <w:bookmarkStart w:id="708" w:name="_Toc402880639"/>
      <w:bookmarkEnd w:id="708"/>
      <w:bookmarkStart w:id="709" w:name="_Toc471745367"/>
      <w:bookmarkEnd w:id="709"/>
      <w:bookmarkStart w:id="710" w:name="_Toc452502526"/>
      <w:bookmarkEnd w:id="710"/>
      <w:bookmarkStart w:id="711" w:name="_Toc452556792"/>
      <w:bookmarkEnd w:id="711"/>
      <w:bookmarkStart w:id="712" w:name="_Toc452502340"/>
      <w:bookmarkEnd w:id="712"/>
      <w:bookmarkStart w:id="713" w:name="_Toc452502498"/>
      <w:bookmarkEnd w:id="713"/>
      <w:bookmarkStart w:id="714" w:name="_Toc443332008"/>
      <w:bookmarkEnd w:id="714"/>
      <w:bookmarkStart w:id="715" w:name="_Toc452556545"/>
      <w:bookmarkEnd w:id="715"/>
      <w:bookmarkStart w:id="716" w:name="_Toc452556664"/>
      <w:bookmarkEnd w:id="716"/>
      <w:bookmarkStart w:id="717" w:name="_Toc452556804"/>
      <w:bookmarkEnd w:id="717"/>
      <w:bookmarkStart w:id="718" w:name="_Toc452556779"/>
      <w:bookmarkEnd w:id="718"/>
      <w:bookmarkStart w:id="719" w:name="_Toc471745874"/>
      <w:bookmarkEnd w:id="719"/>
      <w:bookmarkStart w:id="720" w:name="_Toc452556505"/>
      <w:bookmarkEnd w:id="720"/>
      <w:bookmarkStart w:id="721" w:name="_Toc452556742"/>
      <w:bookmarkEnd w:id="721"/>
      <w:bookmarkStart w:id="722" w:name="_Toc452556663"/>
      <w:bookmarkEnd w:id="722"/>
      <w:bookmarkStart w:id="723" w:name="_Toc452502451"/>
      <w:bookmarkEnd w:id="723"/>
      <w:bookmarkStart w:id="724" w:name="_Toc402880654"/>
      <w:bookmarkEnd w:id="724"/>
      <w:bookmarkStart w:id="725" w:name="_Toc471745364"/>
      <w:bookmarkEnd w:id="725"/>
      <w:bookmarkStart w:id="726" w:name="_Toc452502392"/>
      <w:bookmarkEnd w:id="726"/>
      <w:bookmarkStart w:id="727" w:name="_Toc452556613"/>
      <w:bookmarkEnd w:id="727"/>
      <w:bookmarkStart w:id="728" w:name="_Toc452502480"/>
      <w:bookmarkEnd w:id="728"/>
      <w:bookmarkStart w:id="729" w:name="_Toc452502510"/>
      <w:bookmarkEnd w:id="729"/>
      <w:bookmarkStart w:id="730" w:name="_Toc452556667"/>
      <w:bookmarkEnd w:id="730"/>
      <w:bookmarkStart w:id="731" w:name="_Toc452502402"/>
      <w:bookmarkEnd w:id="731"/>
      <w:bookmarkStart w:id="732" w:name="_Toc452556722"/>
      <w:bookmarkEnd w:id="732"/>
      <w:bookmarkStart w:id="733" w:name="_Toc452556526"/>
      <w:bookmarkEnd w:id="733"/>
      <w:bookmarkStart w:id="734" w:name="_Toc452502439"/>
      <w:bookmarkEnd w:id="734"/>
      <w:bookmarkStart w:id="735" w:name="_Toc402880615"/>
      <w:bookmarkEnd w:id="735"/>
      <w:bookmarkStart w:id="736" w:name="_Toc452556730"/>
      <w:bookmarkEnd w:id="736"/>
      <w:bookmarkStart w:id="737" w:name="_Toc452556738"/>
      <w:bookmarkEnd w:id="737"/>
      <w:bookmarkStart w:id="738" w:name="_Toc388279022"/>
      <w:bookmarkEnd w:id="738"/>
      <w:bookmarkStart w:id="739" w:name="_Toc452556498"/>
      <w:bookmarkEnd w:id="739"/>
      <w:bookmarkStart w:id="740" w:name="_Toc452556511"/>
      <w:bookmarkEnd w:id="740"/>
      <w:bookmarkStart w:id="741" w:name="_Toc452556606"/>
      <w:bookmarkEnd w:id="741"/>
      <w:bookmarkStart w:id="742" w:name="_Toc452502571"/>
      <w:bookmarkEnd w:id="742"/>
      <w:bookmarkStart w:id="743" w:name="_Toc452502365"/>
      <w:bookmarkEnd w:id="743"/>
      <w:bookmarkStart w:id="744" w:name="_Toc402880643"/>
      <w:bookmarkEnd w:id="744"/>
      <w:bookmarkStart w:id="745" w:name="_Toc452556645"/>
      <w:bookmarkEnd w:id="745"/>
      <w:bookmarkStart w:id="746" w:name="_Toc452556570"/>
      <w:bookmarkEnd w:id="746"/>
      <w:bookmarkStart w:id="747" w:name="_Toc471739452"/>
      <w:bookmarkEnd w:id="747"/>
      <w:bookmarkStart w:id="748" w:name="_Toc452556589"/>
      <w:bookmarkEnd w:id="748"/>
      <w:bookmarkStart w:id="749" w:name="_Toc452502326"/>
      <w:bookmarkEnd w:id="749"/>
      <w:bookmarkStart w:id="750" w:name="_Toc402880636"/>
      <w:bookmarkEnd w:id="750"/>
      <w:bookmarkStart w:id="751" w:name="_Toc471741425"/>
      <w:bookmarkEnd w:id="751"/>
      <w:bookmarkStart w:id="752" w:name="_Toc452556808"/>
      <w:bookmarkEnd w:id="752"/>
      <w:bookmarkStart w:id="753" w:name="_Toc452502501"/>
      <w:bookmarkEnd w:id="753"/>
      <w:bookmarkStart w:id="754" w:name="_Toc452502357"/>
      <w:bookmarkEnd w:id="754"/>
      <w:bookmarkStart w:id="755" w:name="_Toc452556633"/>
      <w:bookmarkEnd w:id="755"/>
      <w:bookmarkStart w:id="756" w:name="_Toc471745360"/>
      <w:bookmarkEnd w:id="756"/>
      <w:bookmarkStart w:id="757" w:name="_Toc452556533"/>
      <w:bookmarkEnd w:id="757"/>
      <w:bookmarkStart w:id="758" w:name="_Toc452556733"/>
      <w:bookmarkEnd w:id="758"/>
      <w:bookmarkStart w:id="759" w:name="_Toc452556746"/>
      <w:bookmarkEnd w:id="759"/>
      <w:bookmarkStart w:id="760" w:name="_Toc452502341"/>
      <w:bookmarkEnd w:id="760"/>
      <w:bookmarkStart w:id="761" w:name="_Toc452556520"/>
      <w:bookmarkEnd w:id="761"/>
      <w:bookmarkStart w:id="762" w:name="_Toc452556825"/>
      <w:bookmarkEnd w:id="762"/>
      <w:bookmarkStart w:id="763" w:name="_Toc452556803"/>
      <w:bookmarkEnd w:id="763"/>
      <w:bookmarkStart w:id="764" w:name="_Toc452502437"/>
      <w:bookmarkEnd w:id="764"/>
      <w:bookmarkStart w:id="765" w:name="_Toc402880675"/>
      <w:bookmarkEnd w:id="765"/>
      <w:bookmarkStart w:id="766" w:name="_Toc452556546"/>
      <w:bookmarkEnd w:id="766"/>
      <w:bookmarkStart w:id="767" w:name="_Toc452502539"/>
      <w:bookmarkEnd w:id="767"/>
      <w:bookmarkStart w:id="768" w:name="_Toc443332021"/>
      <w:bookmarkEnd w:id="768"/>
      <w:bookmarkStart w:id="769" w:name="_Toc452502461"/>
      <w:bookmarkEnd w:id="769"/>
      <w:bookmarkStart w:id="770" w:name="_Toc452502548"/>
      <w:bookmarkEnd w:id="770"/>
      <w:bookmarkStart w:id="771" w:name="_Toc452556637"/>
      <w:bookmarkEnd w:id="771"/>
      <w:bookmarkStart w:id="772" w:name="_Toc402880674"/>
      <w:bookmarkEnd w:id="772"/>
      <w:bookmarkStart w:id="773" w:name="_Toc452502374"/>
      <w:bookmarkEnd w:id="773"/>
      <w:bookmarkStart w:id="774" w:name="_Toc452556793"/>
      <w:bookmarkEnd w:id="774"/>
      <w:bookmarkStart w:id="775" w:name="_Toc452502528"/>
      <w:bookmarkEnd w:id="775"/>
      <w:r>
        <w:rPr>
          <w:rFonts w:hint="eastAsia" w:ascii="宋体" w:hAnsi="宋体" w:eastAsia="宋体" w:cs="宋体"/>
          <w:b/>
          <w:bCs/>
          <w:color w:val="auto"/>
          <w:sz w:val="24"/>
          <w:szCs w:val="24"/>
          <w:highlight w:val="none"/>
        </w:rPr>
        <w:t>项目概况：</w:t>
      </w:r>
    </w:p>
    <w:p>
      <w:pPr>
        <w:numPr>
          <w:ilvl w:val="1"/>
          <w:numId w:val="4"/>
        </w:num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为积极应对人口老龄化态势，进一步健全完善新吴区养老服务体系，提升老年人的生活自理能力和居家生活品质，促进养老服务消费升级</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无锡市新吴区</w:t>
      </w:r>
      <w:r>
        <w:rPr>
          <w:rFonts w:hint="eastAsia" w:ascii="宋体" w:hAnsi="宋体" w:eastAsia="宋体" w:cs="宋体"/>
          <w:bCs/>
          <w:color w:val="auto"/>
          <w:sz w:val="24"/>
          <w:szCs w:val="24"/>
          <w:highlight w:val="none"/>
          <w:lang w:eastAsia="zh-CN"/>
        </w:rPr>
        <w:t>旺庄街道</w:t>
      </w:r>
      <w:r>
        <w:rPr>
          <w:rFonts w:hint="eastAsia" w:ascii="宋体" w:hAnsi="宋体" w:eastAsia="宋体" w:cs="宋体"/>
          <w:bCs/>
          <w:color w:val="auto"/>
          <w:sz w:val="24"/>
          <w:szCs w:val="24"/>
          <w:highlight w:val="none"/>
        </w:rPr>
        <w:t>办事处拟在全</w:t>
      </w:r>
      <w:r>
        <w:rPr>
          <w:rFonts w:hint="eastAsia" w:ascii="宋体" w:hAnsi="宋体" w:eastAsia="宋体" w:cs="宋体"/>
          <w:bCs/>
          <w:color w:val="auto"/>
          <w:sz w:val="24"/>
          <w:szCs w:val="24"/>
          <w:highlight w:val="none"/>
          <w:lang w:val="en-US" w:eastAsia="zh-CN"/>
        </w:rPr>
        <w:t>街道</w:t>
      </w:r>
      <w:r>
        <w:rPr>
          <w:rFonts w:hint="eastAsia" w:ascii="宋体" w:hAnsi="宋体" w:eastAsia="宋体" w:cs="宋体"/>
          <w:bCs/>
          <w:color w:val="auto"/>
          <w:sz w:val="24"/>
          <w:szCs w:val="24"/>
          <w:highlight w:val="none"/>
        </w:rPr>
        <w:t>范围内实施老年人家庭适老化改造</w:t>
      </w:r>
      <w:r>
        <w:rPr>
          <w:rFonts w:hint="eastAsia" w:ascii="宋体" w:hAnsi="宋体" w:eastAsia="宋体" w:cs="宋体"/>
          <w:bCs/>
          <w:color w:val="auto"/>
          <w:sz w:val="24"/>
          <w:szCs w:val="24"/>
          <w:highlight w:val="none"/>
          <w:lang w:val="en-US" w:eastAsia="zh-CN"/>
        </w:rPr>
        <w:t>服务</w:t>
      </w:r>
      <w:r>
        <w:rPr>
          <w:rFonts w:hint="eastAsia" w:ascii="宋体" w:hAnsi="宋体" w:eastAsia="宋体" w:cs="宋体"/>
          <w:bCs/>
          <w:color w:val="auto"/>
          <w:sz w:val="24"/>
          <w:szCs w:val="24"/>
          <w:highlight w:val="none"/>
        </w:rPr>
        <w:t>项目，通过对老年人家庭生活环境评估和</w:t>
      </w:r>
      <w:r>
        <w:rPr>
          <w:rFonts w:hint="eastAsia" w:ascii="宋体" w:hAnsi="宋体" w:eastAsia="宋体" w:cs="宋体"/>
          <w:bCs/>
          <w:color w:val="auto"/>
          <w:sz w:val="24"/>
          <w:szCs w:val="24"/>
          <w:highlight w:val="none"/>
          <w:lang w:val="en-US" w:eastAsia="zh-CN"/>
        </w:rPr>
        <w:t>智慧化+</w:t>
      </w:r>
      <w:r>
        <w:rPr>
          <w:rFonts w:hint="eastAsia" w:ascii="宋体" w:hAnsi="宋体" w:eastAsia="宋体" w:cs="宋体"/>
          <w:bCs/>
          <w:color w:val="auto"/>
          <w:sz w:val="24"/>
          <w:szCs w:val="24"/>
          <w:highlight w:val="none"/>
        </w:rPr>
        <w:t>适老化设备改造，改善老年人的居家生活环境，缓解老年人因生理机能退化导致的生活不适应，有效提升老年人的幸福感、获得感、安全感</w:t>
      </w:r>
      <w:r>
        <w:rPr>
          <w:rFonts w:hint="eastAsia" w:ascii="宋体" w:hAnsi="宋体" w:eastAsia="宋体" w:cs="宋体"/>
          <w:bCs/>
          <w:color w:val="auto"/>
          <w:sz w:val="24"/>
          <w:szCs w:val="24"/>
          <w:highlight w:val="none"/>
          <w:lang w:eastAsia="zh-CN"/>
        </w:rPr>
        <w:t>。</w:t>
      </w:r>
    </w:p>
    <w:p>
      <w:pPr>
        <w:numPr>
          <w:ilvl w:val="1"/>
          <w:numId w:val="4"/>
        </w:numPr>
        <w:spacing w:line="360" w:lineRule="auto"/>
        <w:ind w:firstLine="480" w:firstLineChars="200"/>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采购范围</w:t>
      </w:r>
      <w:r>
        <w:rPr>
          <w:rFonts w:hint="eastAsia" w:ascii="宋体" w:hAnsi="宋体" w:eastAsia="宋体" w:cs="宋体"/>
          <w:bCs/>
          <w:color w:val="auto"/>
          <w:sz w:val="24"/>
          <w:szCs w:val="24"/>
          <w:highlight w:val="none"/>
          <w:lang w:val="en-US" w:eastAsia="zh-CN"/>
        </w:rPr>
        <w:t>及标准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旺庄街道政府兜底保障对象约40</w:t>
      </w:r>
      <w:r>
        <w:rPr>
          <w:rFonts w:hint="eastAsia" w:ascii="宋体" w:hAnsi="宋体" w:eastAsia="宋体" w:cs="宋体"/>
          <w:bCs/>
          <w:color w:val="auto"/>
          <w:sz w:val="24"/>
          <w:szCs w:val="24"/>
          <w:highlight w:val="none"/>
        </w:rPr>
        <w:t>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补贴标准上限不超8000元/每户；</w:t>
      </w:r>
      <w:r>
        <w:rPr>
          <w:rFonts w:hint="eastAsia" w:ascii="宋体" w:hAnsi="宋体" w:eastAsia="宋体" w:cs="宋体"/>
          <w:bCs/>
          <w:color w:val="auto"/>
          <w:sz w:val="24"/>
          <w:szCs w:val="24"/>
          <w:highlight w:val="none"/>
        </w:rPr>
        <w:t>基础改造服务对象</w:t>
      </w:r>
      <w:r>
        <w:rPr>
          <w:rFonts w:hint="eastAsia" w:ascii="宋体" w:hAnsi="宋体" w:eastAsia="宋体" w:cs="宋体"/>
          <w:bCs/>
          <w:color w:val="auto"/>
          <w:sz w:val="24"/>
          <w:szCs w:val="24"/>
          <w:highlight w:val="none"/>
          <w:lang w:val="en-US" w:eastAsia="zh-CN"/>
        </w:rPr>
        <w:t>约2000</w:t>
      </w:r>
      <w:r>
        <w:rPr>
          <w:rFonts w:hint="eastAsia" w:ascii="宋体" w:hAnsi="宋体" w:eastAsia="宋体" w:cs="宋体"/>
          <w:bCs/>
          <w:color w:val="auto"/>
          <w:sz w:val="24"/>
          <w:szCs w:val="24"/>
          <w:highlight w:val="none"/>
        </w:rPr>
        <w:t>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补贴标准上限不超1000元/每户（免费基础产品服务包）</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总</w:t>
      </w:r>
      <w:r>
        <w:rPr>
          <w:rFonts w:hint="eastAsia" w:ascii="宋体" w:hAnsi="宋体" w:eastAsia="宋体" w:cs="宋体"/>
          <w:bCs/>
          <w:color w:val="auto"/>
          <w:sz w:val="24"/>
          <w:szCs w:val="24"/>
          <w:highlight w:val="none"/>
        </w:rPr>
        <w:t>预算</w:t>
      </w:r>
      <w:r>
        <w:rPr>
          <w:rFonts w:hint="eastAsia" w:ascii="宋体" w:hAnsi="宋体" w:eastAsia="宋体" w:cs="宋体"/>
          <w:bCs/>
          <w:color w:val="auto"/>
          <w:sz w:val="24"/>
          <w:szCs w:val="24"/>
          <w:highlight w:val="none"/>
          <w:lang w:val="en-US" w:eastAsia="zh-CN"/>
        </w:rPr>
        <w:t>232</w:t>
      </w:r>
      <w:r>
        <w:rPr>
          <w:rFonts w:hint="eastAsia" w:ascii="宋体" w:hAnsi="宋体" w:eastAsia="宋体" w:cs="宋体"/>
          <w:bCs/>
          <w:color w:val="auto"/>
          <w:sz w:val="24"/>
          <w:szCs w:val="24"/>
          <w:highlight w:val="none"/>
        </w:rPr>
        <w:t>万</w:t>
      </w:r>
      <w:r>
        <w:rPr>
          <w:rFonts w:hint="eastAsia" w:ascii="宋体" w:hAnsi="宋体" w:eastAsia="宋体" w:cs="宋体"/>
          <w:bCs/>
          <w:color w:val="auto"/>
          <w:sz w:val="24"/>
          <w:szCs w:val="24"/>
          <w:highlight w:val="none"/>
          <w:lang w:val="en-US" w:eastAsia="zh-CN"/>
        </w:rPr>
        <w:t>元。</w:t>
      </w:r>
    </w:p>
    <w:p>
      <w:pPr>
        <w:numPr>
          <w:ilvl w:val="0"/>
          <w:numId w:val="0"/>
        </w:numPr>
        <w:spacing w:line="360" w:lineRule="auto"/>
        <w:ind w:firstLine="480" w:firstLineChars="200"/>
        <w:outlineLvl w:val="9"/>
        <w:rPr>
          <w:rFonts w:hint="eastAsia" w:ascii="宋体" w:hAnsi="宋体" w:eastAsia="宋体" w:cs="宋体"/>
          <w:bCs/>
          <w:color w:val="FF0000"/>
          <w:sz w:val="24"/>
          <w:szCs w:val="24"/>
          <w:highlight w:val="none"/>
          <w:lang w:val="en-US" w:eastAsia="zh-CN"/>
        </w:rPr>
      </w:pPr>
      <w:r>
        <w:rPr>
          <w:rFonts w:hint="eastAsia" w:ascii="宋体" w:hAnsi="宋体" w:eastAsia="宋体" w:cs="宋体"/>
          <w:bCs/>
          <w:color w:val="FF0000"/>
          <w:sz w:val="24"/>
          <w:szCs w:val="24"/>
          <w:highlight w:val="none"/>
          <w:lang w:val="en-US" w:eastAsia="zh-CN"/>
        </w:rPr>
        <w:t>智慧化运维费用第三年开始</w:t>
      </w:r>
      <w:r>
        <w:rPr>
          <w:rFonts w:hint="eastAsia" w:ascii="宋体" w:hAnsi="宋体" w:eastAsia="宋体" w:cs="宋体"/>
          <w:color w:val="FF0000"/>
          <w:sz w:val="24"/>
          <w:szCs w:val="24"/>
          <w:highlight w:val="none"/>
          <w:lang w:val="en-US" w:eastAsia="zh-CN"/>
        </w:rPr>
        <w:t>根据当年</w:t>
      </w:r>
      <w:r>
        <w:rPr>
          <w:rFonts w:hint="eastAsia" w:ascii="宋体" w:hAnsi="宋体" w:eastAsia="宋体" w:cs="宋体"/>
          <w:color w:val="FF0000"/>
          <w:sz w:val="24"/>
          <w:szCs w:val="24"/>
          <w:highlight w:val="none"/>
        </w:rPr>
        <w:t>服务</w:t>
      </w:r>
      <w:r>
        <w:rPr>
          <w:rFonts w:hint="eastAsia" w:ascii="宋体" w:hAnsi="宋体" w:eastAsia="宋体" w:cs="宋体"/>
          <w:color w:val="FF0000"/>
          <w:sz w:val="24"/>
          <w:szCs w:val="24"/>
          <w:highlight w:val="none"/>
          <w:lang w:val="en-US" w:eastAsia="zh-CN"/>
        </w:rPr>
        <w:t>的老年</w:t>
      </w:r>
      <w:r>
        <w:rPr>
          <w:rFonts w:hint="eastAsia" w:ascii="宋体" w:hAnsi="宋体" w:eastAsia="宋体" w:cs="宋体"/>
          <w:color w:val="FF0000"/>
          <w:sz w:val="24"/>
          <w:szCs w:val="24"/>
          <w:highlight w:val="none"/>
        </w:rPr>
        <w:t>人</w:t>
      </w:r>
      <w:r>
        <w:rPr>
          <w:rFonts w:hint="eastAsia" w:ascii="宋体" w:hAnsi="宋体" w:eastAsia="宋体" w:cs="宋体"/>
          <w:color w:val="FF0000"/>
          <w:sz w:val="24"/>
          <w:szCs w:val="24"/>
          <w:highlight w:val="none"/>
          <w:lang w:val="en-US" w:eastAsia="zh-CN"/>
        </w:rPr>
        <w:t>家庭户</w:t>
      </w:r>
      <w:r>
        <w:rPr>
          <w:rFonts w:hint="eastAsia" w:ascii="宋体" w:hAnsi="宋体" w:eastAsia="宋体" w:cs="宋体"/>
          <w:color w:val="FF0000"/>
          <w:sz w:val="24"/>
          <w:szCs w:val="24"/>
          <w:highlight w:val="none"/>
        </w:rPr>
        <w:t>数</w:t>
      </w:r>
      <w:r>
        <w:rPr>
          <w:rFonts w:hint="eastAsia" w:ascii="宋体" w:hAnsi="宋体" w:eastAsia="宋体" w:cs="宋体"/>
          <w:color w:val="FF0000"/>
          <w:sz w:val="24"/>
          <w:szCs w:val="24"/>
          <w:highlight w:val="none"/>
          <w:lang w:val="en-US" w:eastAsia="zh-CN"/>
        </w:rPr>
        <w:t>年底按实</w:t>
      </w:r>
      <w:r>
        <w:rPr>
          <w:rFonts w:hint="eastAsia" w:ascii="宋体" w:hAnsi="宋体" w:eastAsia="宋体" w:cs="宋体"/>
          <w:color w:val="FF0000"/>
          <w:sz w:val="24"/>
          <w:szCs w:val="24"/>
          <w:highlight w:val="none"/>
        </w:rPr>
        <w:t>支付</w:t>
      </w:r>
      <w:r>
        <w:rPr>
          <w:rFonts w:hint="eastAsia" w:ascii="宋体" w:hAnsi="宋体" w:eastAsia="宋体" w:cs="宋体"/>
          <w:bCs/>
          <w:color w:val="FF0000"/>
          <w:sz w:val="24"/>
          <w:szCs w:val="24"/>
          <w:highlight w:val="none"/>
          <w:lang w:val="en-US" w:eastAsia="zh-CN"/>
        </w:rPr>
        <w:t>中标供应商。</w:t>
      </w:r>
    </w:p>
    <w:p>
      <w:pPr>
        <w:numPr>
          <w:ilvl w:val="1"/>
          <w:numId w:val="4"/>
        </w:numPr>
        <w:spacing w:line="360" w:lineRule="auto"/>
        <w:ind w:firstLine="480" w:firstLineChars="200"/>
        <w:outlineLvl w:val="9"/>
        <w:rPr>
          <w:rFonts w:hint="eastAsia" w:ascii="宋体" w:hAnsi="宋体" w:eastAsia="宋体" w:cs="宋体"/>
          <w:b/>
          <w:bCs w:val="0"/>
          <w:color w:val="auto"/>
          <w:sz w:val="24"/>
          <w:szCs w:val="24"/>
          <w:highlight w:val="none"/>
        </w:rPr>
      </w:pPr>
      <w:r>
        <w:rPr>
          <w:rFonts w:hint="eastAsia" w:ascii="宋体" w:hAnsi="宋体" w:eastAsia="宋体" w:cs="宋体"/>
          <w:bCs/>
          <w:color w:val="auto"/>
          <w:sz w:val="24"/>
          <w:szCs w:val="24"/>
          <w:highlight w:val="none"/>
        </w:rPr>
        <w:t>改造期限：</w:t>
      </w:r>
      <w:r>
        <w:rPr>
          <w:rFonts w:hint="eastAsia" w:ascii="宋体" w:hAnsi="宋体" w:eastAsia="宋体" w:cs="宋体"/>
          <w:b/>
          <w:bCs w:val="0"/>
          <w:color w:val="auto"/>
          <w:sz w:val="24"/>
          <w:szCs w:val="24"/>
          <w:highlight w:val="none"/>
        </w:rPr>
        <w:t>合同签订之日起</w:t>
      </w:r>
      <w:r>
        <w:rPr>
          <w:rFonts w:hint="eastAsia" w:ascii="宋体" w:hAnsi="宋体" w:eastAsia="宋体" w:cs="宋体"/>
          <w:b/>
          <w:bCs w:val="0"/>
          <w:color w:val="auto"/>
          <w:sz w:val="24"/>
          <w:szCs w:val="24"/>
          <w:highlight w:val="none"/>
          <w:lang w:val="en-US" w:eastAsia="zh-CN"/>
        </w:rPr>
        <w:t>十二</w:t>
      </w:r>
      <w:r>
        <w:rPr>
          <w:rFonts w:hint="eastAsia" w:ascii="宋体" w:hAnsi="宋体" w:eastAsia="宋体" w:cs="宋体"/>
          <w:b/>
          <w:bCs w:val="0"/>
          <w:color w:val="auto"/>
          <w:sz w:val="24"/>
          <w:szCs w:val="24"/>
          <w:highlight w:val="none"/>
        </w:rPr>
        <w:t>个月内完成改造</w:t>
      </w:r>
      <w:r>
        <w:rPr>
          <w:rFonts w:hint="eastAsia" w:ascii="宋体" w:hAnsi="宋体" w:eastAsia="宋体" w:cs="宋体"/>
          <w:b/>
          <w:bCs w:val="0"/>
          <w:color w:val="auto"/>
          <w:sz w:val="24"/>
          <w:szCs w:val="24"/>
          <w:highlight w:val="none"/>
          <w:lang w:val="en-US" w:eastAsia="zh-CN"/>
        </w:rPr>
        <w:t>服务</w:t>
      </w:r>
      <w:r>
        <w:rPr>
          <w:rFonts w:hint="eastAsia" w:ascii="宋体" w:hAnsi="宋体" w:eastAsia="宋体" w:cs="宋体"/>
          <w:b/>
          <w:bCs w:val="0"/>
          <w:color w:val="auto"/>
          <w:sz w:val="24"/>
          <w:szCs w:val="24"/>
          <w:highlight w:val="none"/>
        </w:rPr>
        <w:t>项目，</w:t>
      </w:r>
      <w:r>
        <w:rPr>
          <w:rFonts w:hint="eastAsia" w:ascii="宋体" w:hAnsi="宋体" w:eastAsia="宋体" w:cs="宋体"/>
          <w:b/>
          <w:bCs w:val="0"/>
          <w:color w:val="auto"/>
          <w:sz w:val="24"/>
          <w:szCs w:val="24"/>
          <w:highlight w:val="none"/>
          <w:lang w:val="en-US" w:eastAsia="zh-CN"/>
        </w:rPr>
        <w:t>前六个月内需完成改造总户数的80%，</w:t>
      </w:r>
      <w:r>
        <w:rPr>
          <w:rFonts w:hint="eastAsia" w:ascii="宋体" w:hAnsi="宋体" w:eastAsia="宋体" w:cs="宋体"/>
          <w:b/>
          <w:bCs w:val="0"/>
          <w:color w:val="auto"/>
          <w:sz w:val="24"/>
          <w:szCs w:val="24"/>
          <w:highlight w:val="none"/>
        </w:rPr>
        <w:t>以合同签订之日起为准</w:t>
      </w:r>
      <w:r>
        <w:rPr>
          <w:rFonts w:hint="eastAsia" w:ascii="宋体" w:hAnsi="宋体" w:eastAsia="宋体" w:cs="宋体"/>
          <w:b/>
          <w:bCs w:val="0"/>
          <w:color w:val="auto"/>
          <w:sz w:val="24"/>
          <w:szCs w:val="24"/>
          <w:highlight w:val="none"/>
          <w:lang w:eastAsia="zh-CN"/>
        </w:rPr>
        <w:t>。</w:t>
      </w:r>
    </w:p>
    <w:p>
      <w:pPr>
        <w:numPr>
          <w:ilvl w:val="1"/>
          <w:numId w:val="4"/>
        </w:numPr>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质量标准：符合无锡市困难老年人家庭适老化改造要求，100%合格</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质保维护期自验收合格起不低于2年。</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总体要求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国务院办公厅关于推进养老服务发展的意见》（国办发〔2019〕5号）、民政部等9部门《关于加快实施老年人居家适老化改造工程的指导意见》（民发〔2020〕86号）、省民政厅等《关于做好2021年度养老服务领域省政府民生实事的通知》（苏民养老〔2021〕12号）、市民政局《关于深化老年人家庭适老化改造工作的通知》（锡民养老〔2021〕3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新吴区民政和卫生健康局</w:t>
      </w:r>
      <w:r>
        <w:rPr>
          <w:rFonts w:hint="eastAsia" w:ascii="宋体" w:hAnsi="宋体" w:eastAsia="宋体" w:cs="宋体"/>
          <w:bCs/>
          <w:color w:val="auto"/>
          <w:sz w:val="24"/>
          <w:szCs w:val="24"/>
          <w:highlight w:val="none"/>
        </w:rPr>
        <w:t>《关于深化老年人家庭适老化改造工作的通知》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锡</w:t>
      </w:r>
      <w:r>
        <w:rPr>
          <w:rFonts w:hint="eastAsia" w:ascii="宋体" w:hAnsi="宋体" w:eastAsia="宋体" w:cs="宋体"/>
          <w:bCs/>
          <w:color w:val="auto"/>
          <w:sz w:val="24"/>
          <w:szCs w:val="24"/>
          <w:highlight w:val="none"/>
          <w:lang w:val="en-US" w:eastAsia="zh-CN"/>
        </w:rPr>
        <w:t>新</w:t>
      </w:r>
      <w:r>
        <w:rPr>
          <w:rFonts w:hint="eastAsia" w:ascii="宋体" w:hAnsi="宋体" w:eastAsia="宋体" w:cs="宋体"/>
          <w:bCs/>
          <w:color w:val="auto"/>
          <w:sz w:val="24"/>
          <w:szCs w:val="24"/>
          <w:highlight w:val="none"/>
        </w:rPr>
        <w:t>民</w:t>
      </w:r>
      <w:r>
        <w:rPr>
          <w:rFonts w:hint="eastAsia" w:ascii="宋体" w:hAnsi="宋体" w:eastAsia="宋体" w:cs="宋体"/>
          <w:bCs/>
          <w:color w:val="auto"/>
          <w:sz w:val="24"/>
          <w:szCs w:val="24"/>
          <w:highlight w:val="none"/>
          <w:lang w:val="en-US" w:eastAsia="zh-CN"/>
        </w:rPr>
        <w:t>卫发</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号)等文件部署要求,继续予以深入推进。街道按照自愿申请、突出重点、分类改造、按户施策的原则,聚焦提升老年人居家生活便捷性、安全性,根据家庭条件现状、老年人身体状况、方便实用性等特点制定改造方案,形成居家环境不同产品服务包,分类实施适老化改造,优先保障困难老年人改造需求。严格按照程序执行,完善和规范申请、评估、改造、验收、监管等工作环节，突出评估和监管,严把质量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适老化改造施工时,要充分考虑老年人家庭的住房条件与安全性,做到文明施工。改造事项要以提升居家生活安全性、便利性的设施改造基础事项为重点,合理配置必要的辅助器具,不得以一般性家具、家电产品代替适老化改造,确实需要的按规定进行解决。智能辅助设备应畅通预警信息与老年人子女亲属、当地上门服务组织的传输,确保及时发现处置,降低老年人突发意外风险。</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改造对象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第一类:政府兜底保障对象。新</w:t>
      </w:r>
      <w:r>
        <w:rPr>
          <w:rFonts w:hint="eastAsia" w:ascii="宋体" w:hAnsi="宋体" w:eastAsia="宋体" w:cs="宋体"/>
          <w:bCs/>
          <w:color w:val="auto"/>
          <w:sz w:val="24"/>
          <w:szCs w:val="24"/>
          <w:highlight w:val="none"/>
          <w:lang w:val="en-US" w:eastAsia="zh-CN"/>
        </w:rPr>
        <w:t>吴区旺庄街道户籍、对所改造的房屋拥有产权或长期居住</w:t>
      </w:r>
      <w:r>
        <w:rPr>
          <w:rFonts w:hint="eastAsia" w:ascii="宋体" w:hAnsi="宋体" w:eastAsia="宋体" w:cs="宋体"/>
          <w:b w:val="0"/>
          <w:bCs/>
          <w:color w:val="auto"/>
          <w:sz w:val="24"/>
          <w:szCs w:val="24"/>
          <w:highlight w:val="none"/>
          <w:lang w:val="en-US" w:eastAsia="zh-CN"/>
        </w:rPr>
        <w:t>权</w:t>
      </w:r>
      <w:r>
        <w:rPr>
          <w:rFonts w:hint="eastAsia" w:ascii="宋体" w:hAnsi="宋体" w:eastAsia="宋体" w:cs="宋体"/>
          <w:bCs/>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包括家庭</w:t>
      </w:r>
      <w:r>
        <w:rPr>
          <w:rFonts w:hint="eastAsia" w:ascii="宋体" w:hAnsi="宋体" w:eastAsia="宋体" w:cs="宋体"/>
          <w:bCs/>
          <w:color w:val="auto"/>
          <w:sz w:val="24"/>
          <w:szCs w:val="24"/>
          <w:highlight w:val="none"/>
          <w:lang w:val="en-US" w:eastAsia="zh-CN"/>
        </w:rPr>
        <w:t>成员有失能失智或重度残疾老年人的低保家庭及低保标准以上、2倍以下的低收入家庭,计划生育特殊困难的老年人家庭,分散供养的特困老年人家庭,援鄂一线工作人员赡养的老年人家庭,80周岁以上高龄空巢独居老年人家庭,高龄失能失智老年人家庭,经认定有改造需求的其他困难老年人家庭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第二类:基础改造服务对象。新</w:t>
      </w:r>
      <w:r>
        <w:rPr>
          <w:rFonts w:hint="eastAsia" w:ascii="宋体" w:hAnsi="宋体" w:eastAsia="宋体" w:cs="宋体"/>
          <w:bCs/>
          <w:color w:val="auto"/>
          <w:sz w:val="24"/>
          <w:szCs w:val="24"/>
          <w:highlight w:val="none"/>
          <w:lang w:val="en-US" w:eastAsia="zh-CN"/>
        </w:rPr>
        <w:t>吴区旺庄街道户籍、对所改造的房屋拥有产权或长期居住</w:t>
      </w:r>
      <w:r>
        <w:rPr>
          <w:rFonts w:hint="eastAsia" w:ascii="宋体" w:hAnsi="宋体" w:eastAsia="宋体" w:cs="宋体"/>
          <w:b w:val="0"/>
          <w:bCs/>
          <w:color w:val="auto"/>
          <w:sz w:val="24"/>
          <w:szCs w:val="24"/>
          <w:highlight w:val="none"/>
          <w:lang w:val="en-US" w:eastAsia="zh-CN"/>
        </w:rPr>
        <w:t>权的80周岁以上高龄老年人家庭。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第三类:其他改造服务对象。居住</w:t>
      </w:r>
      <w:r>
        <w:rPr>
          <w:rFonts w:hint="eastAsia" w:ascii="宋体" w:hAnsi="宋体" w:eastAsia="宋体" w:cs="宋体"/>
          <w:bCs/>
          <w:color w:val="auto"/>
          <w:sz w:val="24"/>
          <w:szCs w:val="24"/>
          <w:highlight w:val="none"/>
          <w:lang w:val="en-US" w:eastAsia="zh-CN"/>
        </w:rPr>
        <w:t>在新吴区旺庄街道范围内、60周岁以上老年人家庭。</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补贴标准及经费保障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第一类政府兜底保障对象实施适老化改造，政府按100%进行补贴,已享受改造补贴的老年人家庭,可再次申请改造,补贴金额累计不超过8000元。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第二类基础改造服务对象,可享受政府提供的免费基础产品服务包。为提高智能设备的普及率,基础产品服务包的设定以智能水表、智能电表等监测预警设备为主,配以必备的辅助器具,免费改造事项原则上不超过1000元标准。免费基础服务包外的自选改造项目,按照“政府补贴一点、企业让利一点、家庭自负一点”的资金分担机制，政府按20%进行补贴,补贴最高不超过1500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第三类其他改造服务对象,可自愿申请适老化改造，费用自行承担。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政府补贴经费,由区级、街道对半承担。政府提供的“基础产品服务包”中智能预警产品后续年度的使用费,由街道承担。各级财政做好资金保障。</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实施步骤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(一)宣传动员,组织申报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改造服务机构应充分发挥主动性和积极性,通过传统媒体、新媒体、设备展示宣传车等方式以街道、社区为载体，提供专业的设施设备现场展示讲解服务,扩大适老化改造项目的知晓度和参与度,引导有条件、有需求的老年人家庭进行适老化改造。配合有改造需求的老年人家庭向社区提出申请,填报表格并提供户口簿、身份证、房产证明或其他相关身份证明，选择改造项目，或通过全区统一线上申报受理平台,提交相应材料，选择改造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（二）确认身份，承接改造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各社区负责对申报材料进行初审,确定对象身份和费用承担方式，报送街道民政部门审核。除政府兜底改造的特殊困难老年人家庭外的一般对象,街道民政部门审核通过后,安排改造实施单位与老年人家庭进行确认，确定改造事项、改造总金额、费用承担方式、支付方式后实施改造。对政府兜底改造的特殊家庭,街道民政部门审核通过后,应将相关材料报送至区民政部门进行终审,终审通过后安排入户评估,实施改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（三）文明施工，结算经费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适老化改造实施单位提前预约时间，做好防疫措施，入户进行安全性，适应性评估，评估通过后实施改造。改造过程中，实施单位应做好电子及纸质台账，留存现场改造前后对比照片，实现一人一档、一屋一案、一户一策。改造完成后，由街道指定的验收公司入户验收及满意度评价。验收完成后由街道组织审计工作，按审计结果申请区级补贴，及时与改造服务机构结算。</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工作规范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1.服务人员不得在入户开展适老化改造服务过程中，向老人及家属推销保健品、P2P等违法违规的内容，否则采购人有权取消中标供应商资格，并追究法律责任。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2.服务人员要注意工作方式、方法和态度，不得与老人、家属、街道社区工作人员发生矛盾。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3.配送安装调试到位后会为老人进行使用说明介绍，对老人进行培训，指导老人使用等。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4.确保在执行过程中人员与老人、家属、工作人员的人身安全。执行过程中发生任何安全问题，由中标供应商自行负责，采购人不承担任何责任。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5.从改造实施到审核验收，要做好全流程的监管，实现互联网化管理和审核。中标人对实施改造项目全过程建立电子台账。</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FF0000"/>
          <w:sz w:val="24"/>
          <w:szCs w:val="24"/>
          <w:highlight w:val="none"/>
          <w:lang w:val="en-US"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color w:val="auto"/>
          <w:sz w:val="24"/>
          <w:szCs w:val="24"/>
          <w:highlight w:val="none"/>
        </w:rPr>
        <w:t>付款方式：本项目合同签订后，自收到成交单位出具的发票15日内，支付合同金额的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0%作为预付款；该项目</w:t>
      </w:r>
      <w:r>
        <w:rPr>
          <w:rFonts w:hint="eastAsia" w:ascii="宋体" w:hAnsi="宋体" w:eastAsia="宋体" w:cs="宋体"/>
          <w:color w:val="auto"/>
          <w:sz w:val="24"/>
          <w:szCs w:val="24"/>
          <w:highlight w:val="none"/>
          <w:lang w:val="en-US" w:eastAsia="zh-CN"/>
        </w:rPr>
        <w:t>分两</w:t>
      </w:r>
      <w:r>
        <w:rPr>
          <w:rFonts w:hint="eastAsia" w:ascii="宋体" w:hAnsi="宋体" w:eastAsia="宋体" w:cs="宋体"/>
          <w:color w:val="auto"/>
          <w:sz w:val="24"/>
          <w:szCs w:val="24"/>
          <w:highlight w:val="none"/>
        </w:rPr>
        <w:t>批验收，</w:t>
      </w:r>
      <w:r>
        <w:rPr>
          <w:rFonts w:hint="eastAsia" w:ascii="宋体" w:hAnsi="宋体" w:eastAsia="宋体" w:cs="宋体"/>
          <w:color w:val="auto"/>
          <w:sz w:val="24"/>
          <w:szCs w:val="24"/>
          <w:highlight w:val="none"/>
          <w:lang w:val="en-US" w:eastAsia="zh-CN"/>
        </w:rPr>
        <w:t>2022年12月30日前</w:t>
      </w:r>
      <w:r>
        <w:rPr>
          <w:rFonts w:hint="eastAsia" w:ascii="宋体" w:hAnsi="宋体" w:eastAsia="宋体" w:cs="宋体"/>
          <w:color w:val="auto"/>
          <w:sz w:val="24"/>
          <w:szCs w:val="24"/>
          <w:highlight w:val="none"/>
        </w:rPr>
        <w:t>采购人组织第三方对已改造的老年人家庭进行验收，验收合格后付至当批次验收金额的</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0%，项目实施全部完成后，采购人组织第三方进行验收，验收合格后付至项目总额的</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0%，全部项目资料整理完成后，采购人一次性将项目送审，根据审计结果支付至审定价的97%，</w:t>
      </w:r>
      <w:r>
        <w:rPr>
          <w:rFonts w:hint="eastAsia" w:ascii="宋体" w:hAnsi="宋体" w:eastAsia="宋体" w:cs="宋体"/>
          <w:color w:val="auto"/>
          <w:sz w:val="24"/>
          <w:szCs w:val="24"/>
          <w:highlight w:val="none"/>
          <w:lang w:val="en-US" w:eastAsia="zh-CN"/>
        </w:rPr>
        <w:t>质保维护期满后，根据确认的保修质量和保修效果后，余款一次性付清</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2、结算方式：</w:t>
      </w:r>
      <w:r>
        <w:rPr>
          <w:rFonts w:hint="eastAsia" w:ascii="宋体" w:hAnsi="宋体" w:eastAsia="宋体" w:cs="宋体"/>
          <w:bCs/>
          <w:color w:val="0000FF"/>
          <w:sz w:val="24"/>
          <w:szCs w:val="24"/>
          <w:highlight w:val="none"/>
          <w:lang w:val="en-US" w:eastAsia="zh-CN"/>
        </w:rPr>
        <w:t>工程量按照实际发生工程量按实结算，结算单价按照磋商时提供的书面中标单价，最终结算总价按照投标让利系数进行让利。</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color w:val="FF0000"/>
          <w:sz w:val="24"/>
          <w:szCs w:val="24"/>
          <w:highlight w:val="none"/>
          <w:lang w:val="en-US" w:eastAsia="zh-CN"/>
        </w:rPr>
      </w:pPr>
      <w:r>
        <w:rPr>
          <w:rFonts w:hint="eastAsia" w:ascii="宋体" w:hAnsi="宋体" w:eastAsia="宋体" w:cs="宋体"/>
          <w:bCs/>
          <w:color w:val="auto"/>
          <w:sz w:val="24"/>
          <w:szCs w:val="24"/>
          <w:highlight w:val="none"/>
          <w:lang w:val="en-US" w:eastAsia="zh-CN"/>
        </w:rPr>
        <w:t>3、报价按磋商文件要求的内容和范围报价。供应商对磋商文件中的货物（或服务）单价进行报价，</w:t>
      </w:r>
      <w:r>
        <w:rPr>
          <w:rFonts w:hint="eastAsia" w:ascii="宋体" w:hAnsi="宋体" w:eastAsia="宋体" w:cs="宋体"/>
          <w:bCs/>
          <w:color w:val="FF0000"/>
          <w:sz w:val="24"/>
          <w:szCs w:val="24"/>
          <w:highlight w:val="none"/>
          <w:lang w:val="en-US" w:eastAsia="zh-CN"/>
        </w:rPr>
        <w:t>总报价</w:t>
      </w:r>
      <w:r>
        <w:rPr>
          <w:rFonts w:hint="eastAsia" w:ascii="宋体" w:hAnsi="宋体" w:eastAsia="宋体" w:cs="宋体"/>
          <w:sz w:val="24"/>
          <w:highlight w:val="none"/>
          <w:lang w:val="en-US" w:eastAsia="zh-CN"/>
        </w:rPr>
        <w:t>应为完成本项目所需的一切费用，</w:t>
      </w:r>
      <w:r>
        <w:rPr>
          <w:rFonts w:hint="eastAsia" w:ascii="宋体" w:hAnsi="宋体" w:eastAsia="宋体" w:cs="宋体"/>
          <w:kern w:val="2"/>
          <w:sz w:val="24"/>
          <w:szCs w:val="24"/>
          <w:highlight w:val="none"/>
          <w:lang w:val="en-US" w:eastAsia="zh-CN" w:bidi="ar-SA"/>
        </w:rPr>
        <w:t>包括磋商文件所确定的磋商范围内的全部货物、材料、随货物提供的备品备件、专用工具的价格（包括关税、增值税、检验检疫费）、包装费、运杂费（运抵采购人每户改造对象项目现场）、运输保险费、老年人身体能力评估与居家环境评估费、入户安装费、入户调试费、入户检测费、入户人工费、工资、社会保险、工商意外险、福利、津贴、保修期内维保费、操作维护及使用人员培训费、开票税金及供应商认为需要的其他费用等一切费用。供应商由于考虑不周，漏报、少报而要求追加报价将不会被采购人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4、投标供应商须对采购项目的全部内容进行响应，只报其中部分内容的，为无效报价并不得出现选择性报价。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5、本项目合同履行地点为无锡市新吴区人民政府旺庄街道，具体地点以合同书约定为准。</w:t>
      </w:r>
    </w:p>
    <w:p>
      <w:pPr>
        <w:numPr>
          <w:ilvl w:val="0"/>
          <w:numId w:val="4"/>
        </w:numPr>
        <w:spacing w:line="360" w:lineRule="auto"/>
        <w:ind w:firstLine="482" w:firstLineChars="200"/>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改造服务参数及清单</w:t>
      </w:r>
    </w:p>
    <w:p>
      <w:pPr>
        <w:numPr>
          <w:ilvl w:val="1"/>
          <w:numId w:val="4"/>
        </w:numPr>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货物选用的品牌均满足同等参数要求或更高档次参数要求。</w:t>
      </w:r>
    </w:p>
    <w:tbl>
      <w:tblPr>
        <w:tblStyle w:val="10"/>
        <w:tblpPr w:leftFromText="180" w:rightFromText="180" w:vertAnchor="text" w:horzAnchor="page" w:tblpX="489" w:tblpY="-4145"/>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1256"/>
        <w:gridCol w:w="4875"/>
        <w:gridCol w:w="1804"/>
        <w:gridCol w:w="660"/>
        <w:gridCol w:w="720"/>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9"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改造内容</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参考图片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65"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单项限价（元）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56"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智能水表</w:t>
            </w:r>
          </w:p>
        </w:tc>
        <w:tc>
          <w:tcPr>
            <w:tcW w:w="4875"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1.加装摄像识别终端，对水表数据进行在线监控，无线通讯，12小时不足0.01吨上报使用异常，独居老人安全防护第一道防线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2.利用电子通讯手段为压缩后图片传输及识别，同时实现后台云存储以便核对。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3.摄像模组独立化设计，无需对原有仪表更换或改装。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4.机械部分与电子部分完全分离，计量部分不怕高温湿热，电子部分防水等级达到IP68标准，正常工作温度在-20~70度。</w:t>
            </w:r>
          </w:p>
        </w:tc>
        <w:tc>
          <w:tcPr>
            <w:tcW w:w="1804"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695325</wp:posOffset>
                  </wp:positionV>
                  <wp:extent cx="897890" cy="856615"/>
                  <wp:effectExtent l="0" t="0" r="1270" b="12065"/>
                  <wp:wrapNone/>
                  <wp:docPr id="527" name="0"/>
                  <wp:cNvGraphicFramePr/>
                  <a:graphic xmlns:a="http://schemas.openxmlformats.org/drawingml/2006/main">
                    <a:graphicData uri="http://schemas.openxmlformats.org/drawingml/2006/picture">
                      <pic:pic xmlns:pic="http://schemas.openxmlformats.org/drawingml/2006/picture">
                        <pic:nvPicPr>
                          <pic:cNvPr id="527" name="0"/>
                          <pic:cNvPicPr/>
                        </pic:nvPicPr>
                        <pic:blipFill>
                          <a:blip r:embed="rId4"/>
                          <a:stretch>
                            <a:fillRect/>
                          </a:stretch>
                        </pic:blipFill>
                        <pic:spPr>
                          <a:xfrm>
                            <a:off x="0" y="0"/>
                            <a:ext cx="897890" cy="856615"/>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智能电谱</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1.结构及外观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表面完好无划痕，标识清晰，结构无松动。尺寸不超过120mm * 60mm * 20mm。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2.安装方式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要求支持35mm DIN标准导轨安装，符合DIN EN 50022标准。要求1极宽度(模数17.5mm)，符合DIN 43880标准。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3.网络与数据采集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要求支持IEEE802.11n协议，并兼容前代协议，数据采集间隔≤0.1s。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4.指示灯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要求支持指示设备工作状态、网络状态、固件升级状态等设备情况。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5.电流互感器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要求最高支持监测80A电流输入，输出电压为0.33V信号。采集电流的方式：采用非侵入式卡扣互感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6.剩余电流互感器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要求最高支持监测1A电流输入，输出电压为0.33V信号。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7.工作环境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工作温度： 0℃～+70℃。存储温度：-10℃～+80℃。相对湿度不大于95%RH，无冷凝。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8.输入电压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要求支持220-240V 50Hz交流电压输入。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9.最大电流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要求支持最大80A电流输入。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10.准确度等级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要求达到0.5级，具备电器辩识功能，识别电器类型，电器开关时间，识别准确性≥95%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11.使用寿命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要求设备使用寿命不低于10万小时。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12.平均无故障工作时间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要求设备平均无故障时间不低于1万小时。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13.静电等级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接触放电：要求±6kV无异常。空气放电：要求±8kV无异常。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14.支持OTA；实现以下报警：主动用电间隔过长、起居延迟、特定设备运行过久、电气安全异常、短路等；支持对报警的接单、电话、上门等跟踪处理</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2858135</wp:posOffset>
                  </wp:positionV>
                  <wp:extent cx="923925" cy="760730"/>
                  <wp:effectExtent l="0" t="0" r="5715" b="1270"/>
                  <wp:wrapNone/>
                  <wp:docPr id="544" name="1"/>
                  <wp:cNvGraphicFramePr/>
                  <a:graphic xmlns:a="http://schemas.openxmlformats.org/drawingml/2006/main">
                    <a:graphicData uri="http://schemas.openxmlformats.org/drawingml/2006/picture">
                      <pic:pic xmlns:pic="http://schemas.openxmlformats.org/drawingml/2006/picture">
                        <pic:nvPicPr>
                          <pic:cNvPr id="544" name="1"/>
                          <pic:cNvPicPr/>
                        </pic:nvPicPr>
                        <pic:blipFill>
                          <a:blip r:embed="rId5"/>
                          <a:stretch>
                            <a:fillRect/>
                          </a:stretch>
                        </pic:blipFill>
                        <pic:spPr>
                          <a:xfrm>
                            <a:off x="0" y="0"/>
                            <a:ext cx="923925" cy="7607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烟雾智能探测器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能够准确的检测烟雾，当烟雾浓度超过限量时，烟感探测器会鸣响，并将报警信号上传至平台。支持三大运营商网络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1.安装测试：独立测试按键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2.告警检测：自动调节灵敏度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3.自检功能：24小时自我诊断一次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5.告警内容：超浓度报警，防拆，电池电压低告警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7.烟雾浓度：符合国标要求；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8.报警声音：大于85DB；</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9.工作电压： DC6V，2*CR123A锂电池；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525780</wp:posOffset>
                  </wp:positionV>
                  <wp:extent cx="1028700" cy="1270635"/>
                  <wp:effectExtent l="0" t="0" r="0" b="5715"/>
                  <wp:wrapNone/>
                  <wp:docPr id="536" name="18"/>
                  <wp:cNvGraphicFramePr/>
                  <a:graphic xmlns:a="http://schemas.openxmlformats.org/drawingml/2006/main">
                    <a:graphicData uri="http://schemas.openxmlformats.org/drawingml/2006/picture">
                      <pic:pic xmlns:pic="http://schemas.openxmlformats.org/drawingml/2006/picture">
                        <pic:nvPicPr>
                          <pic:cNvPr id="536" name="18"/>
                          <pic:cNvPicPr/>
                        </pic:nvPicPr>
                        <pic:blipFill>
                          <a:blip r:embed="rId6"/>
                          <a:stretch>
                            <a:fillRect/>
                          </a:stretch>
                        </pic:blipFill>
                        <pic:spPr>
                          <a:xfrm>
                            <a:off x="0" y="0"/>
                            <a:ext cx="1028700" cy="12706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无线燃气探测器，安装在厨房，即插即用，能及时探测到漏出的煤气，并发出声光报警信号，将报警信息推送至手机和平台，实现老年人家庭安全防范。支持三大运营商网络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1.纳米传感器，警情排除自动复位；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2.可测气体：天然气、煤气、液化石油气；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3.告警方式：声光报警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4.告警内容：泄露预警，浓度超高；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5.报警记忆：GAS浓度峰值记忆存储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7.报警浓度：8% LEL</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8.报警声音：大于75DB</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9.工作电压：AC110V—240V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10.工作电流：≤120mA监视，≤150mA报警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11.工作环境：-10℃～50℃，&lt;95%RH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12.电源防水等级：IP</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738505</wp:posOffset>
                  </wp:positionV>
                  <wp:extent cx="981075" cy="1019175"/>
                  <wp:effectExtent l="0" t="0" r="9525" b="1905"/>
                  <wp:wrapNone/>
                  <wp:docPr id="529" name="109"/>
                  <wp:cNvGraphicFramePr/>
                  <a:graphic xmlns:a="http://schemas.openxmlformats.org/drawingml/2006/main">
                    <a:graphicData uri="http://schemas.openxmlformats.org/drawingml/2006/picture">
                      <pic:pic xmlns:pic="http://schemas.openxmlformats.org/drawingml/2006/picture">
                        <pic:nvPicPr>
                          <pic:cNvPr id="529" name="109"/>
                          <pic:cNvPicPr/>
                        </pic:nvPicPr>
                        <pic:blipFill>
                          <a:blip r:embed="rId7"/>
                          <a:stretch>
                            <a:fillRect/>
                          </a:stretch>
                        </pic:blipFill>
                        <pic:spPr>
                          <a:xfrm>
                            <a:off x="0" y="0"/>
                            <a:ext cx="981075" cy="10191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紧急呼叫器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迷你型单按键无线紧急求救按钮，使用简单方便。能在紧急情况下及时发送警情，有效保护生命及财产安全。支持三大运营商网络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告警内容：紧急求救、低电压告警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安装方式：表面安装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工作电压：DC3V，1*CR123A锂电池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 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186690</wp:posOffset>
                  </wp:positionV>
                  <wp:extent cx="1022350" cy="1108075"/>
                  <wp:effectExtent l="0" t="0" r="6350" b="15875"/>
                  <wp:wrapNone/>
                  <wp:docPr id="526" name="2"/>
                  <wp:cNvGraphicFramePr/>
                  <a:graphic xmlns:a="http://schemas.openxmlformats.org/drawingml/2006/main">
                    <a:graphicData uri="http://schemas.openxmlformats.org/drawingml/2006/picture">
                      <pic:pic xmlns:pic="http://schemas.openxmlformats.org/drawingml/2006/picture">
                        <pic:nvPicPr>
                          <pic:cNvPr id="526" name="2"/>
                          <pic:cNvPicPr/>
                        </pic:nvPicPr>
                        <pic:blipFill>
                          <a:blip r:embed="rId8"/>
                          <a:stretch>
                            <a:fillRect/>
                          </a:stretch>
                        </pic:blipFill>
                        <pic:spPr>
                          <a:xfrm>
                            <a:off x="0" y="0"/>
                            <a:ext cx="1022350" cy="11080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适用于室内的被动红外人体探测。采用精密柱状菲涅尔透镜，能有效提高能量接受的效率，对区域人体移动进行分析，将判断结果发送至平台，可触发异常报警。支持三大运营商网络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1.探测方式：四元红外</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2.探测距离：12M*12M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3.探测角度：110°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4.静态功耗：&lt;15uA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5.告警内容：入侵，防拆，低电压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7.工作电压：DC3V 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8.工作电流：≤20uA监视，≤35mA报警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452755</wp:posOffset>
                  </wp:positionV>
                  <wp:extent cx="787400" cy="1447165"/>
                  <wp:effectExtent l="0" t="0" r="5080" b="635"/>
                  <wp:wrapNone/>
                  <wp:docPr id="519" name="6"/>
                  <wp:cNvGraphicFramePr/>
                  <a:graphic xmlns:a="http://schemas.openxmlformats.org/drawingml/2006/main">
                    <a:graphicData uri="http://schemas.openxmlformats.org/drawingml/2006/picture">
                      <pic:pic xmlns:pic="http://schemas.openxmlformats.org/drawingml/2006/picture">
                        <pic:nvPicPr>
                          <pic:cNvPr id="519" name="6"/>
                          <pic:cNvPicPr/>
                        </pic:nvPicPr>
                        <pic:blipFill>
                          <a:blip r:embed="rId9"/>
                          <a:stretch>
                            <a:fillRect/>
                          </a:stretch>
                        </pic:blipFill>
                        <pic:spPr>
                          <a:xfrm>
                            <a:off x="0" y="0"/>
                            <a:ext cx="787400" cy="14471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门磁智能探测器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分离触发型，安装在入户门，可感知开关状态。当磁条与发射器的位置移动约2.5cm时，发射器将报警信号上传至平台，以防止企图从门窗等处潜入的侵入者。支持三大运营商网络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1.磁力范围: 2.5CM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2.安装方式：表面安装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3.告警内容：开门，防拆，低电压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5.工作电压：DC3V 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577850</wp:posOffset>
                  </wp:positionV>
                  <wp:extent cx="1076325" cy="1019175"/>
                  <wp:effectExtent l="0" t="0" r="5715" b="1905"/>
                  <wp:wrapNone/>
                  <wp:docPr id="537" name="7"/>
                  <wp:cNvGraphicFramePr/>
                  <a:graphic xmlns:a="http://schemas.openxmlformats.org/drawingml/2006/main">
                    <a:graphicData uri="http://schemas.openxmlformats.org/drawingml/2006/picture">
                      <pic:pic xmlns:pic="http://schemas.openxmlformats.org/drawingml/2006/picture">
                        <pic:nvPicPr>
                          <pic:cNvPr id="537" name="7"/>
                          <pic:cNvPicPr/>
                        </pic:nvPicPr>
                        <pic:blipFill>
                          <a:blip r:embed="rId10"/>
                          <a:stretch>
                            <a:fillRect/>
                          </a:stretch>
                        </pic:blipFill>
                        <pic:spPr>
                          <a:xfrm>
                            <a:off x="0" y="0"/>
                            <a:ext cx="1076325" cy="10191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水浸智能探测器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根据要求安装在卫生间、厨房等老人忘记关水或水管漏水导致水浸，根据根据探测电极浸水后阻抗发生变化，通过无线通信方式传输报警信号，通知平台及家属。支持三大运营商网络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告警内容：浸水告警、低电压告警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安装方式：无需安装，平置于地面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工作电压： DC3V，2*AAA碱性电池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工作电流：≤10uA监视，≤20mA报警 7. 工作环境：-10℃～50℃，&lt;95%RH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 电池寿命：≥3年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防水等级：IP65 </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405130</wp:posOffset>
                  </wp:positionV>
                  <wp:extent cx="689610" cy="1508760"/>
                  <wp:effectExtent l="0" t="0" r="11430" b="0"/>
                  <wp:wrapNone/>
                  <wp:docPr id="535" name="8"/>
                  <wp:cNvGraphicFramePr/>
                  <a:graphic xmlns:a="http://schemas.openxmlformats.org/drawingml/2006/main">
                    <a:graphicData uri="http://schemas.openxmlformats.org/drawingml/2006/picture">
                      <pic:pic xmlns:pic="http://schemas.openxmlformats.org/drawingml/2006/picture">
                        <pic:nvPicPr>
                          <pic:cNvPr id="535" name="8"/>
                          <pic:cNvPicPr/>
                        </pic:nvPicPr>
                        <pic:blipFill>
                          <a:blip r:embed="rId11"/>
                          <a:stretch>
                            <a:fillRect/>
                          </a:stretch>
                        </pic:blipFill>
                        <pic:spPr>
                          <a:xfrm>
                            <a:off x="0" y="0"/>
                            <a:ext cx="689610" cy="15087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智能主机</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数据传输；wifi版、4G居家网关版。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3223260</wp:posOffset>
                  </wp:positionH>
                  <wp:positionV relativeFrom="paragraph">
                    <wp:posOffset>74295</wp:posOffset>
                  </wp:positionV>
                  <wp:extent cx="752475" cy="524510"/>
                  <wp:effectExtent l="0" t="0" r="9525" b="9525"/>
                  <wp:wrapNone/>
                  <wp:docPr id="545" name="attachment-1652426043149-cb9b3d7fb070c1c9"/>
                  <wp:cNvGraphicFramePr/>
                  <a:graphic xmlns:a="http://schemas.openxmlformats.org/drawingml/2006/main">
                    <a:graphicData uri="http://schemas.openxmlformats.org/drawingml/2006/picture">
                      <pic:pic xmlns:pic="http://schemas.openxmlformats.org/drawingml/2006/picture">
                        <pic:nvPicPr>
                          <pic:cNvPr id="545" name="attachment-1652426043149-cb9b3d7fb070c1c9"/>
                          <pic:cNvPicPr/>
                        </pic:nvPicPr>
                        <pic:blipFill>
                          <a:blip r:embed="rId12"/>
                          <a:stretch>
                            <a:fillRect/>
                          </a:stretch>
                        </pic:blipFill>
                        <pic:spPr>
                          <a:xfrm>
                            <a:off x="0" y="0"/>
                            <a:ext cx="752475" cy="5245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语音通话，语音报警，语音广播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联网模式：NB-IoT/lora/433</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语音呼叫器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紧急求救按钮，使用简单方便。能在紧急情况下及时发送警情，有效保护生命及财产安全。支持三大运营商网络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一键呼叫，语音通话，语音报警，语音广播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联网模式：NB-IoT/lora/433</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243840</wp:posOffset>
                  </wp:positionV>
                  <wp:extent cx="876300" cy="1057275"/>
                  <wp:effectExtent l="0" t="0" r="7620" b="9525"/>
                  <wp:wrapNone/>
                  <wp:docPr id="542" name="attachment-1652426061730-d1391dddec9642ea"/>
                  <wp:cNvGraphicFramePr/>
                  <a:graphic xmlns:a="http://schemas.openxmlformats.org/drawingml/2006/main">
                    <a:graphicData uri="http://schemas.openxmlformats.org/drawingml/2006/picture">
                      <pic:pic xmlns:pic="http://schemas.openxmlformats.org/drawingml/2006/picture">
                        <pic:nvPicPr>
                          <pic:cNvPr id="542" name="attachment-1652426061730-d1391dddec9642ea"/>
                          <pic:cNvPicPr/>
                        </pic:nvPicPr>
                        <pic:blipFill>
                          <a:blip r:embed="rId13"/>
                          <a:stretch>
                            <a:fillRect/>
                          </a:stretch>
                        </pic:blipFill>
                        <pic:spPr>
                          <a:xfrm>
                            <a:off x="0" y="0"/>
                            <a:ext cx="876300" cy="1057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定位胸牌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尺寸：101x59x9mm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NBIOT：超低功耗、多功能胸卡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蓝牙BLE，GPS/北斗/WIFI+BLE定位+加速度，2年NB卡费+GSM一键呼叫+运动检测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1000mAH电池+USB充电+1个SOS按键</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247650</wp:posOffset>
                  </wp:positionV>
                  <wp:extent cx="828675" cy="704850"/>
                  <wp:effectExtent l="0" t="0" r="9525" b="11430"/>
                  <wp:wrapNone/>
                  <wp:docPr id="538" name="111"/>
                  <wp:cNvGraphicFramePr/>
                  <a:graphic xmlns:a="http://schemas.openxmlformats.org/drawingml/2006/main">
                    <a:graphicData uri="http://schemas.openxmlformats.org/drawingml/2006/picture">
                      <pic:pic xmlns:pic="http://schemas.openxmlformats.org/drawingml/2006/picture">
                        <pic:nvPicPr>
                          <pic:cNvPr id="538" name="111"/>
                          <pic:cNvPicPr/>
                        </pic:nvPicPr>
                        <pic:blipFill>
                          <a:blip r:embed="rId14"/>
                          <a:stretch>
                            <a:fillRect/>
                          </a:stretch>
                        </pic:blipFill>
                        <pic:spPr>
                          <a:xfrm>
                            <a:off x="0" y="0"/>
                            <a:ext cx="828675" cy="7048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数据分析平台服务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1、活动感知和预警；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2、紧急求助信息接收，发送；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3、语音提醒服务；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4、呼叫服务；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5、数据统计及分析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6、硬件设备流量费；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7、硬件设备维护费。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包含平台服务费及流量费（第一，二年费用包含于硬件产品中，报价为第三年开始每年收取的费用）</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302260</wp:posOffset>
                  </wp:positionV>
                  <wp:extent cx="814705" cy="563245"/>
                  <wp:effectExtent l="0" t="0" r="8255" b="635"/>
                  <wp:wrapNone/>
                  <wp:docPr id="528" name="3"/>
                  <wp:cNvGraphicFramePr/>
                  <a:graphic xmlns:a="http://schemas.openxmlformats.org/drawingml/2006/main">
                    <a:graphicData uri="http://schemas.openxmlformats.org/drawingml/2006/picture">
                      <pic:pic xmlns:pic="http://schemas.openxmlformats.org/drawingml/2006/picture">
                        <pic:nvPicPr>
                          <pic:cNvPr id="528" name="3"/>
                          <pic:cNvPicPr/>
                        </pic:nvPicPr>
                        <pic:blipFill>
                          <a:blip r:embed="rId15"/>
                          <a:stretch>
                            <a:fillRect/>
                          </a:stretch>
                        </pic:blipFill>
                        <pic:spPr>
                          <a:xfrm>
                            <a:off x="0" y="0"/>
                            <a:ext cx="814705" cy="5632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智能手环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1重量 53g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主机配置 ASR3601   128M+128M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频段覆盖 GSM、LTE-FDD、LTE-TDD</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屏幕尺寸、分辨率 1.54英寸，方屏、分辨率不低于240*240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尺寸 49x40x15mm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定位系统 GPS、北斗、LBS、wifi定位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 其它配置 喇叭支持、Mic支持、马达支持、Nano SIM支持、按键具有电源、返回、开关机、一键SOS功能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标准配置：手环（手表）、USB充电线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 防护功能 IP54,具有较强防摔防震防电磁防辐射功能，具有良好的散热功能。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9、电池 电池容量700mAh及以上</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 电源、充电接口 4pin充电，磁吸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 WIFI 只做定位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12、表带 亲肤类硅胶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 能够显示紧急联系人号码；能够显示手环（手表）编号等信息，便于从编号查找；显示字体大小适合老年人使用；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14、实时位置：手表端和APP端能够准确显示手环(手表）的实时位置；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15、SOS求救：具有一键紧急求救的功能，能够向紧急联系人发送SOS短信及位置信息；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16、历史轨迹：APP能够显示手环（手表）的历史行动轨迹；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17、安全区域：能够在APP上划定安全区域，一旦越出该区，能够在APP上提醒；</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18、支持蓝牙室内定位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19、心率监测：支持24小时实时心率，可随时通过APP获取心率数据；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20、血压监测：支持监测老人血压，可通过APP获取血压变化趋势；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21、电量监控：APP能够随时显示、监控手环（手表）电量；</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22、具有睡眠监测功能、有运动监测功能、有佩戴监测功能、有智能提醒功能、有天气预报功能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23、在异常情况，App会给关联人提供自动报警。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24、系统支持 APP支持安卓、苹果操作系统，一部手环（手表）可绑定多个手机用户</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25、多重定位 支持至少双星七重定位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26、电话卡需老人自行购买</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1628140</wp:posOffset>
                  </wp:positionV>
                  <wp:extent cx="1028700" cy="1057275"/>
                  <wp:effectExtent l="0" t="0" r="0" b="0"/>
                  <wp:wrapNone/>
                  <wp:docPr id="534" name="112"/>
                  <wp:cNvGraphicFramePr/>
                  <a:graphic xmlns:a="http://schemas.openxmlformats.org/drawingml/2006/main">
                    <a:graphicData uri="http://schemas.openxmlformats.org/drawingml/2006/picture">
                      <pic:pic xmlns:pic="http://schemas.openxmlformats.org/drawingml/2006/picture">
                        <pic:nvPicPr>
                          <pic:cNvPr id="534" name="112"/>
                          <pic:cNvPicPr/>
                        </pic:nvPicPr>
                        <pic:blipFill>
                          <a:blip r:embed="rId16"/>
                          <a:stretch>
                            <a:fillRect/>
                          </a:stretch>
                        </pic:blipFill>
                        <pic:spPr>
                          <a:xfrm>
                            <a:off x="0" y="0"/>
                            <a:ext cx="1028700" cy="1057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U型上翻马桶扶手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1、尺寸：600*700mm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4.可上翻折叠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★5、底板为优质304不锈钢，在潮湿环境中，测试48H后，未出现红绣。</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245745</wp:posOffset>
                  </wp:positionH>
                  <wp:positionV relativeFrom="paragraph">
                    <wp:posOffset>415290</wp:posOffset>
                  </wp:positionV>
                  <wp:extent cx="647700" cy="914400"/>
                  <wp:effectExtent l="0" t="0" r="7620" b="0"/>
                  <wp:wrapNone/>
                  <wp:docPr id="546" name="4"/>
                  <wp:cNvGraphicFramePr/>
                  <a:graphic xmlns:a="http://schemas.openxmlformats.org/drawingml/2006/main">
                    <a:graphicData uri="http://schemas.openxmlformats.org/drawingml/2006/picture">
                      <pic:pic xmlns:pic="http://schemas.openxmlformats.org/drawingml/2006/picture">
                        <pic:nvPicPr>
                          <pic:cNvPr id="546" name="4"/>
                          <pic:cNvPicPr/>
                        </pic:nvPicPr>
                        <pic:blipFill>
                          <a:blip r:embed="rId17"/>
                          <a:stretch>
                            <a:fillRect/>
                          </a:stretch>
                        </pic:blipFill>
                        <pic:spPr>
                          <a:xfrm>
                            <a:off x="0" y="0"/>
                            <a:ext cx="647700" cy="9144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一字型扶手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1、尺寸：φ35mm*430mm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★4、产品通过强度性能检测，承受2.0KN荷重，5min无松动、破损及变形。</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382270</wp:posOffset>
                  </wp:positionV>
                  <wp:extent cx="876300" cy="476250"/>
                  <wp:effectExtent l="0" t="0" r="7620" b="11430"/>
                  <wp:wrapNone/>
                  <wp:docPr id="543" name="5"/>
                  <wp:cNvGraphicFramePr/>
                  <a:graphic xmlns:a="http://schemas.openxmlformats.org/drawingml/2006/main">
                    <a:graphicData uri="http://schemas.openxmlformats.org/drawingml/2006/picture">
                      <pic:pic xmlns:pic="http://schemas.openxmlformats.org/drawingml/2006/picture">
                        <pic:nvPicPr>
                          <pic:cNvPr id="543" name="5"/>
                          <pic:cNvPicPr/>
                        </pic:nvPicPr>
                        <pic:blipFill>
                          <a:blip r:embed="rId18"/>
                          <a:stretch>
                            <a:fillRect/>
                          </a:stretch>
                        </pic:blipFill>
                        <pic:spPr>
                          <a:xfrm>
                            <a:off x="0" y="0"/>
                            <a:ext cx="876300" cy="476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L型扶手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1、尺寸：500mm*700mm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3、扶手表面使用环保标准、抗老化、耐腐蚀耐火材料，能有效抑制大肠杆菌、金黄色葡萄球菌等细菌；扶手表面采用防滑浮点设 计，厚度为0.5毫米。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★4、外部管件加入抗菌因子，抗菌性能对大肠杆菌、金黄色葡萄球菌抗菌率&gt;99.9，其中对大肠杆菌抗菌性能值＞6.0，对金黄色葡萄球菌抗菌性能值＞4.8。</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328295</wp:posOffset>
                  </wp:positionV>
                  <wp:extent cx="800100" cy="933450"/>
                  <wp:effectExtent l="0" t="0" r="7620" b="11430"/>
                  <wp:wrapNone/>
                  <wp:docPr id="539" name="93"/>
                  <wp:cNvGraphicFramePr/>
                  <a:graphic xmlns:a="http://schemas.openxmlformats.org/drawingml/2006/main">
                    <a:graphicData uri="http://schemas.openxmlformats.org/drawingml/2006/picture">
                      <pic:pic xmlns:pic="http://schemas.openxmlformats.org/drawingml/2006/picture">
                        <pic:nvPicPr>
                          <pic:cNvPr id="539" name="93"/>
                          <pic:cNvPicPr/>
                        </pic:nvPicPr>
                        <pic:blipFill>
                          <a:blip r:embed="rId19"/>
                          <a:stretch>
                            <a:fillRect/>
                          </a:stretch>
                        </pic:blipFill>
                        <pic:spPr>
                          <a:xfrm>
                            <a:off x="0" y="0"/>
                            <a:ext cx="800100" cy="9334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声光门铃</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按钮尺寸：76*45mm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门铃尺寸：103*61*30mm材质：ABS材料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工作频率：433Mhz±0.5Mhz工作电压：AC交流 85V-260V功耗：&lt;0.5W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曲目类别：45首和旋铃声</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音量调节：四级音量/带静音功能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发射距离：（空旷）：&gt;200m     障碍10-80m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520065</wp:posOffset>
                  </wp:positionV>
                  <wp:extent cx="762000" cy="752475"/>
                  <wp:effectExtent l="0" t="0" r="0" b="9525"/>
                  <wp:wrapNone/>
                  <wp:docPr id="517" name="9"/>
                  <wp:cNvGraphicFramePr/>
                  <a:graphic xmlns:a="http://schemas.openxmlformats.org/drawingml/2006/main">
                    <a:graphicData uri="http://schemas.openxmlformats.org/drawingml/2006/picture">
                      <pic:pic xmlns:pic="http://schemas.openxmlformats.org/drawingml/2006/picture">
                        <pic:nvPicPr>
                          <pic:cNvPr id="517" name="9"/>
                          <pic:cNvPicPr/>
                        </pic:nvPicPr>
                        <pic:blipFill>
                          <a:blip r:embed="rId20"/>
                          <a:stretch>
                            <a:fillRect/>
                          </a:stretch>
                        </pic:blipFill>
                        <pic:spPr>
                          <a:xfrm>
                            <a:off x="0" y="0"/>
                            <a:ext cx="762000" cy="7524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折叠助浴椅</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1、尺寸：540*510*680MM( 最低位置展开）、540*580*770MM (最高位置展开）、540*250*800MM( 最低位置折叠）、540*250*900MM (最高位置折叠）；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2、材质：椅架高强度铝合金，喷粉处理（珠光白）；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3、坐板是吹塑件，材质是HDPE；4、扶手PP材质；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5、坐垫、靠背EVA材质；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6、防霉防滑EOE材质脚垫；</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7、座板高度六档调节：370-460MM；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8、承重：100KG；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9、符合SGS环保要求的高弹性EVA座垫、靠垫使用更加舒适；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★10、产品通过SGS权威机构检测，有害物质经过检测，检测结果满足限值要求；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★11、产品通过盐雾测试，400h无生锈，起泡，掉漆现象。</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1136650</wp:posOffset>
                  </wp:positionV>
                  <wp:extent cx="923925" cy="895350"/>
                  <wp:effectExtent l="0" t="0" r="5715" b="3810"/>
                  <wp:wrapNone/>
                  <wp:docPr id="518" name="10"/>
                  <wp:cNvGraphicFramePr/>
                  <a:graphic xmlns:a="http://schemas.openxmlformats.org/drawingml/2006/main">
                    <a:graphicData uri="http://schemas.openxmlformats.org/drawingml/2006/picture">
                      <pic:pic xmlns:pic="http://schemas.openxmlformats.org/drawingml/2006/picture">
                        <pic:nvPicPr>
                          <pic:cNvPr id="518" name="10"/>
                          <pic:cNvPicPr/>
                        </pic:nvPicPr>
                        <pic:blipFill>
                          <a:blip r:embed="rId21"/>
                          <a:stretch>
                            <a:fillRect/>
                          </a:stretch>
                        </pic:blipFill>
                        <pic:spPr>
                          <a:xfrm>
                            <a:off x="0" y="0"/>
                            <a:ext cx="923925" cy="8953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铝合金洗澡便椅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1.座位深度：39cm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2.座位宽度：46cm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3.坐垫到地面高度：45-55cm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4.靠背到地面高度：80-90CM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5.产品总宽度：52cm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6.产品净重：5.5kg</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87630</wp:posOffset>
                  </wp:positionV>
                  <wp:extent cx="960755" cy="855980"/>
                  <wp:effectExtent l="0" t="0" r="14605" b="12700"/>
                  <wp:wrapNone/>
                  <wp:docPr id="540" name="81"/>
                  <wp:cNvGraphicFramePr/>
                  <a:graphic xmlns:a="http://schemas.openxmlformats.org/drawingml/2006/main">
                    <a:graphicData uri="http://schemas.openxmlformats.org/drawingml/2006/picture">
                      <pic:pic xmlns:pic="http://schemas.openxmlformats.org/drawingml/2006/picture">
                        <pic:nvPicPr>
                          <pic:cNvPr id="540" name="81"/>
                          <pic:cNvPicPr/>
                        </pic:nvPicPr>
                        <pic:blipFill>
                          <a:blip r:embed="rId22"/>
                          <a:stretch>
                            <a:fillRect/>
                          </a:stretch>
                        </pic:blipFill>
                        <pic:spPr>
                          <a:xfrm>
                            <a:off x="0" y="0"/>
                            <a:ext cx="960755" cy="85598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助浴椅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1）产品尺寸：50*43*（66-79）CM;坐高：36-49CM;坐宽42CM;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坐板尺寸：40*33*5CM;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全承重：100KG,净重：3KG。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2）主架：由高强度铝合金管材组成，管的厚度是1.2mm，表面阳极氧化处理。采用交叉螺丝安装方式设计。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3）座靠板：坐板和靠背板是采用的PE吹塑成型，坐板表面设计有漏水孔和防滑纹。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4）扶手：扶手采用的是焊接拆装，扶手表面安装有泡沫棉，防滑耐用。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5）脚腿：四只脚腿高度6档可调节，可以根据不同的身高来调节舒适度，脚底配用大底斜形橡胶防滑脚垫，脚垫内有钢片经久耐用。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485775</wp:posOffset>
                  </wp:positionV>
                  <wp:extent cx="1043940" cy="1096010"/>
                  <wp:effectExtent l="0" t="0" r="7620" b="1270"/>
                  <wp:wrapNone/>
                  <wp:docPr id="521" name="95"/>
                  <wp:cNvGraphicFramePr/>
                  <a:graphic xmlns:a="http://schemas.openxmlformats.org/drawingml/2006/main">
                    <a:graphicData uri="http://schemas.openxmlformats.org/drawingml/2006/picture">
                      <pic:pic xmlns:pic="http://schemas.openxmlformats.org/drawingml/2006/picture">
                        <pic:nvPicPr>
                          <pic:cNvPr id="521" name="95"/>
                          <pic:cNvPicPr/>
                        </pic:nvPicPr>
                        <pic:blipFill>
                          <a:blip r:embed="rId23"/>
                          <a:stretch>
                            <a:fillRect/>
                          </a:stretch>
                        </pic:blipFill>
                        <pic:spPr>
                          <a:xfrm>
                            <a:off x="0" y="0"/>
                            <a:ext cx="1043940" cy="10960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吸顶灯</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采用LED光源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功率：24W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外径：410mm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199390</wp:posOffset>
                  </wp:positionV>
                  <wp:extent cx="695325" cy="583565"/>
                  <wp:effectExtent l="0" t="0" r="5715" b="10795"/>
                  <wp:wrapNone/>
                  <wp:docPr id="541" name="11"/>
                  <wp:cNvGraphicFramePr/>
                  <a:graphic xmlns:a="http://schemas.openxmlformats.org/drawingml/2006/main">
                    <a:graphicData uri="http://schemas.openxmlformats.org/drawingml/2006/picture">
                      <pic:pic xmlns:pic="http://schemas.openxmlformats.org/drawingml/2006/picture">
                        <pic:nvPicPr>
                          <pic:cNvPr id="541" name="11"/>
                          <pic:cNvPicPr/>
                        </pic:nvPicPr>
                        <pic:blipFill>
                          <a:blip r:embed="rId24"/>
                          <a:stretch>
                            <a:fillRect/>
                          </a:stretch>
                        </pic:blipFill>
                        <pic:spPr>
                          <a:xfrm>
                            <a:off x="0" y="0"/>
                            <a:ext cx="695325" cy="5835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小夜灯</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尺寸：96*92*29mm材质：ABS</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带6颗led灯珠、内置600mAH锂电池，暖光</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感应距离是正面100度，3米以内，天黑的时候，走到它的感应范围，就自动亮起，人离开感应范围，25秒正负5秒自动熄灭</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520700</wp:posOffset>
                  </wp:positionV>
                  <wp:extent cx="818515" cy="571500"/>
                  <wp:effectExtent l="0" t="0" r="4445" b="7620"/>
                  <wp:wrapNone/>
                  <wp:docPr id="520" name="12"/>
                  <wp:cNvGraphicFramePr/>
                  <a:graphic xmlns:a="http://schemas.openxmlformats.org/drawingml/2006/main">
                    <a:graphicData uri="http://schemas.openxmlformats.org/drawingml/2006/picture">
                      <pic:pic xmlns:pic="http://schemas.openxmlformats.org/drawingml/2006/picture">
                        <pic:nvPicPr>
                          <pic:cNvPr id="520" name="12"/>
                          <pic:cNvPicPr/>
                        </pic:nvPicPr>
                        <pic:blipFill>
                          <a:blip r:embed="rId25"/>
                          <a:stretch>
                            <a:fillRect/>
                          </a:stretch>
                        </pic:blipFill>
                        <pic:spPr>
                          <a:xfrm>
                            <a:off x="0" y="0"/>
                            <a:ext cx="818515" cy="5715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换鞋凳</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1、尺寸：600*300*600mm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2、框架：采用优质橡胶木更加耐用，腿部使用橡胶实木，耐用美观油漆：环保油漆，成品纹理清晰、表层饱满、光泽润亮。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3、涂装要求无桔皮、发白、流挂、泪油现象。漆膜硬度达2—3H之间。结实耐用，耐磨损，耐腐蚀。</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4、软包：优质油蜡皮。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★5、产品通过力学性能检测，座面承受950N，加载5万次，无缺陷；产品通过力学性能检测，加载20N，任意方向倾覆测试后，无倾翻。</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493395</wp:posOffset>
                  </wp:positionV>
                  <wp:extent cx="1009650" cy="971550"/>
                  <wp:effectExtent l="0" t="0" r="11430" b="3810"/>
                  <wp:wrapNone/>
                  <wp:docPr id="530" name="13"/>
                  <wp:cNvGraphicFramePr/>
                  <a:graphic xmlns:a="http://schemas.openxmlformats.org/drawingml/2006/main">
                    <a:graphicData uri="http://schemas.openxmlformats.org/drawingml/2006/picture">
                      <pic:pic xmlns:pic="http://schemas.openxmlformats.org/drawingml/2006/picture">
                        <pic:nvPicPr>
                          <pic:cNvPr id="530" name="13"/>
                          <pic:cNvPicPr/>
                        </pic:nvPicPr>
                        <pic:blipFill>
                          <a:blip r:embed="rId26"/>
                          <a:stretch>
                            <a:fillRect/>
                          </a:stretch>
                        </pic:blipFill>
                        <pic:spPr>
                          <a:xfrm>
                            <a:off x="0" y="0"/>
                            <a:ext cx="1009650" cy="9715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坐便椅</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尺寸:53*49*(78-90)CM(5档可调)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折叠后尺寸:52*18*（78.5-90.5)CM坐宽(两扶手间距离）:45CM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坐高:42.5-54.5CM净重:7.2KG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安全承重:180KG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材质:高碳钢 壁厚：1.2MM表面处理:喷涂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 可轻松折叠,可调节高低.双盖板经典款。</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336550</wp:posOffset>
                  </wp:positionV>
                  <wp:extent cx="990600" cy="1028700"/>
                  <wp:effectExtent l="0" t="0" r="0" b="7620"/>
                  <wp:wrapNone/>
                  <wp:docPr id="531" name="14"/>
                  <wp:cNvGraphicFramePr/>
                  <a:graphic xmlns:a="http://schemas.openxmlformats.org/drawingml/2006/main">
                    <a:graphicData uri="http://schemas.openxmlformats.org/drawingml/2006/picture">
                      <pic:pic xmlns:pic="http://schemas.openxmlformats.org/drawingml/2006/picture">
                        <pic:nvPicPr>
                          <pic:cNvPr id="531" name="14"/>
                          <pic:cNvPicPr/>
                        </pic:nvPicPr>
                        <pic:blipFill>
                          <a:blip r:embed="rId27"/>
                          <a:stretch>
                            <a:fillRect/>
                          </a:stretch>
                        </pic:blipFill>
                        <pic:spPr>
                          <a:xfrm>
                            <a:off x="0" y="0"/>
                            <a:ext cx="990600" cy="10287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助行器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42*54*(73-84)cm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材质：航空铝合金安全承重150kg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1、采用铝合金材质，不会划伤表面，永不生锈；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2、腿部高度可调，适合不同身高（因生产批次不同，有些许误差）；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3、把手采用高密度PVC材质，防滑不断裂；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4、双把手设计，适用不同环境使用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5、加大加厚天然橡胶脚垫，更耐用、更防滑，内藏金属垫片，更加强其耐用性；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6、不用时，折叠非常方便，占地面积小</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502285</wp:posOffset>
                  </wp:positionV>
                  <wp:extent cx="934720" cy="680720"/>
                  <wp:effectExtent l="0" t="0" r="10160" b="5080"/>
                  <wp:wrapNone/>
                  <wp:docPr id="532" name="94"/>
                  <wp:cNvGraphicFramePr/>
                  <a:graphic xmlns:a="http://schemas.openxmlformats.org/drawingml/2006/main">
                    <a:graphicData uri="http://schemas.openxmlformats.org/drawingml/2006/picture">
                      <pic:pic xmlns:pic="http://schemas.openxmlformats.org/drawingml/2006/picture">
                        <pic:nvPicPr>
                          <pic:cNvPr id="532" name="94"/>
                          <pic:cNvPicPr/>
                        </pic:nvPicPr>
                        <pic:blipFill>
                          <a:blip r:embed="rId28"/>
                          <a:stretch>
                            <a:fillRect/>
                          </a:stretch>
                        </pic:blipFill>
                        <pic:spPr>
                          <a:xfrm>
                            <a:off x="0" y="0"/>
                            <a:ext cx="934720" cy="6807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智能拐杖伞</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尺寸：700*157*38mm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高灵敏度FM调频收音机；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LED手电筒照明，闪光警示；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超过100分贝声音报警；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通过标准5V USB线可以给内置充电电池进行充电；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灯头可45°角旋转，提供远光，近光照明；</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产品防溅水设计，外形美观；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 产品配带挂绳，方便携带及挂放；</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 高强度可伸缩调节铝合金杆。</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351155</wp:posOffset>
                  </wp:positionV>
                  <wp:extent cx="728345" cy="1007110"/>
                  <wp:effectExtent l="0" t="0" r="0" b="0"/>
                  <wp:wrapNone/>
                  <wp:docPr id="522" name="82"/>
                  <wp:cNvGraphicFramePr/>
                  <a:graphic xmlns:a="http://schemas.openxmlformats.org/drawingml/2006/main">
                    <a:graphicData uri="http://schemas.openxmlformats.org/drawingml/2006/picture">
                      <pic:pic xmlns:pic="http://schemas.openxmlformats.org/drawingml/2006/picture">
                        <pic:nvPicPr>
                          <pic:cNvPr id="522" name="82"/>
                          <pic:cNvPicPr/>
                        </pic:nvPicPr>
                        <pic:blipFill>
                          <a:blip r:embed="rId29"/>
                          <a:stretch>
                            <a:fillRect/>
                          </a:stretch>
                        </pic:blipFill>
                        <pic:spPr>
                          <a:xfrm>
                            <a:off x="0" y="0"/>
                            <a:ext cx="728345" cy="10071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sz w:val="24"/>
                <w:szCs w:val="24"/>
                <w:lang w:val="en-US"/>
              </w:rPr>
            </w:pPr>
            <w:r>
              <w:rPr>
                <w:rFonts w:hint="eastAsia" w:ascii="宋体" w:hAnsi="宋体" w:eastAsia="宋体" w:cs="宋体"/>
                <w:color w:val="0000FF"/>
                <w:sz w:val="24"/>
                <w:szCs w:val="24"/>
                <w:lang w:val="en-US" w:eastAsia="zh-CN"/>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四脚拐杖</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上支:铝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下支:铝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19双珠弹片:铁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16大头胶脚:橡胶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19三层平头盖:塑料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T型拐杖头:塑料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挽手带:绳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19十字塞:塑料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44*83胶袋:PO</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塑料介子(配22管):塑料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M22塑料螺母:塑料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纸箱:纸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厚度:1.2MM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底座尺寸:15*15CM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可调高度:73-91CM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816610</wp:posOffset>
                  </wp:positionV>
                  <wp:extent cx="676275" cy="1438275"/>
                  <wp:effectExtent l="0" t="0" r="9525" b="9525"/>
                  <wp:wrapNone/>
                  <wp:docPr id="523" name="96"/>
                  <wp:cNvGraphicFramePr/>
                  <a:graphic xmlns:a="http://schemas.openxmlformats.org/drawingml/2006/main">
                    <a:graphicData uri="http://schemas.openxmlformats.org/drawingml/2006/picture">
                      <pic:pic xmlns:pic="http://schemas.openxmlformats.org/drawingml/2006/picture">
                        <pic:nvPicPr>
                          <pic:cNvPr id="523" name="96"/>
                          <pic:cNvPicPr/>
                        </pic:nvPicPr>
                        <pic:blipFill>
                          <a:blip r:embed="rId30"/>
                          <a:stretch>
                            <a:fillRect/>
                          </a:stretch>
                        </pic:blipFill>
                        <pic:spPr>
                          <a:xfrm>
                            <a:off x="0" y="0"/>
                            <a:ext cx="676275" cy="1438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卫生间抽拉水龙头</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1.尺寸:高179*宽127mm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3.不锈钢编织软管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4.不锈钢抽拉头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5.304不锈钢材质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6.表面拉丝处理</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265430</wp:posOffset>
                  </wp:positionV>
                  <wp:extent cx="572135" cy="739775"/>
                  <wp:effectExtent l="0" t="0" r="6985" b="6985"/>
                  <wp:wrapNone/>
                  <wp:docPr id="524" name="15"/>
                  <wp:cNvGraphicFramePr/>
                  <a:graphic xmlns:a="http://schemas.openxmlformats.org/drawingml/2006/main">
                    <a:graphicData uri="http://schemas.openxmlformats.org/drawingml/2006/picture">
                      <pic:pic xmlns:pic="http://schemas.openxmlformats.org/drawingml/2006/picture">
                        <pic:nvPicPr>
                          <pic:cNvPr id="524" name="15"/>
                          <pic:cNvPicPr/>
                        </pic:nvPicPr>
                        <pic:blipFill>
                          <a:blip r:embed="rId31"/>
                          <a:stretch>
                            <a:fillRect/>
                          </a:stretch>
                        </pic:blipFill>
                        <pic:spPr>
                          <a:xfrm>
                            <a:off x="0" y="0"/>
                            <a:ext cx="572135" cy="7397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普通花洒</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3.1.5m304不锈钢花洒软管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4.304不锈钢单功能圆手洒</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158115</wp:posOffset>
                  </wp:positionV>
                  <wp:extent cx="723265" cy="624205"/>
                  <wp:effectExtent l="0" t="0" r="8255" b="635"/>
                  <wp:wrapNone/>
                  <wp:docPr id="525" name="16"/>
                  <wp:cNvGraphicFramePr/>
                  <a:graphic xmlns:a="http://schemas.openxmlformats.org/drawingml/2006/main">
                    <a:graphicData uri="http://schemas.openxmlformats.org/drawingml/2006/picture">
                      <pic:pic xmlns:pic="http://schemas.openxmlformats.org/drawingml/2006/picture">
                        <pic:nvPicPr>
                          <pic:cNvPr id="525" name="16"/>
                          <pic:cNvPicPr/>
                        </pic:nvPicPr>
                        <pic:blipFill>
                          <a:blip r:embed="rId32"/>
                          <a:stretch>
                            <a:fillRect/>
                          </a:stretch>
                        </pic:blipFill>
                        <pic:spPr>
                          <a:xfrm>
                            <a:off x="0" y="0"/>
                            <a:ext cx="723265" cy="6242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FF"/>
                <w:kern w:val="0"/>
                <w:sz w:val="24"/>
                <w:szCs w:val="24"/>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调节式靠背器</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折叠尺寸：60*58*7.5cm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靠背角度五档调节，折叠设计方便携带，承重136公斤</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259715</wp:posOffset>
                  </wp:positionV>
                  <wp:extent cx="717550" cy="670560"/>
                  <wp:effectExtent l="0" t="0" r="13970" b="0"/>
                  <wp:wrapNone/>
                  <wp:docPr id="533" name="83"/>
                  <wp:cNvGraphicFramePr/>
                  <a:graphic xmlns:a="http://schemas.openxmlformats.org/drawingml/2006/main">
                    <a:graphicData uri="http://schemas.openxmlformats.org/drawingml/2006/picture">
                      <pic:pic xmlns:pic="http://schemas.openxmlformats.org/drawingml/2006/picture">
                        <pic:nvPicPr>
                          <pic:cNvPr id="533" name="83"/>
                          <pic:cNvPicPr/>
                        </pic:nvPicPr>
                        <pic:blipFill>
                          <a:blip r:embed="rId33"/>
                          <a:stretch>
                            <a:fillRect/>
                          </a:stretch>
                        </pic:blipFill>
                        <pic:spPr>
                          <a:xfrm>
                            <a:off x="0" y="0"/>
                            <a:ext cx="717550" cy="6705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远红外护腰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尺码：分为L(2尺2-2尺7）、XL（2尺6-3尺）、XXL（2尺9-3尺3）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材质：竹炭纤维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颜色：浅灰</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材质：竹炭纤维材质占70%-85%，像胶盘及锦纶占15%-30%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70%竹炭纤维材质，通过人体自身热量和潮湿水分激活护具内部的BCP成分，散发出远红外和负离子能量，可将远红外能量渗透到皮下，使皮下组织升温，产生的温热由内向外散发。</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636905</wp:posOffset>
                  </wp:positionV>
                  <wp:extent cx="797560" cy="645795"/>
                  <wp:effectExtent l="0" t="0" r="10160" b="9525"/>
                  <wp:wrapNone/>
                  <wp:docPr id="548" name="84"/>
                  <wp:cNvGraphicFramePr/>
                  <a:graphic xmlns:a="http://schemas.openxmlformats.org/drawingml/2006/main">
                    <a:graphicData uri="http://schemas.openxmlformats.org/drawingml/2006/picture">
                      <pic:pic xmlns:pic="http://schemas.openxmlformats.org/drawingml/2006/picture">
                        <pic:nvPicPr>
                          <pic:cNvPr id="548" name="84"/>
                          <pic:cNvPicPr/>
                        </pic:nvPicPr>
                        <pic:blipFill>
                          <a:blip r:embed="rId34"/>
                          <a:stretch>
                            <a:fillRect/>
                          </a:stretch>
                        </pic:blipFill>
                        <pic:spPr>
                          <a:xfrm>
                            <a:off x="0" y="0"/>
                            <a:ext cx="797560" cy="6457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放大镜</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镜片直径：70mm，外观直径：92mm ，高度：52mm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材质：亚克力 /K9玻璃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1、免对焦、防眼累：采用5倍定焦设计；相比传统的放大镜，免去上下来回对焦产生的文字或图像变形引起的眼累和眼晕，能够很好的保护眼睛；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2、视野大、手感好：采用70mm直径超大视野、正扣固定设计，无需手握，只需滑动看书看报即可，防止手拿放大镜造成劳累；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3、柔和LED灯：采用3个柔和LED光源，按压式开关设计，黑暗环境也可以方便使用；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474980</wp:posOffset>
                  </wp:positionV>
                  <wp:extent cx="821690" cy="880110"/>
                  <wp:effectExtent l="0" t="0" r="1270" b="3810"/>
                  <wp:wrapNone/>
                  <wp:docPr id="547" name="85"/>
                  <wp:cNvGraphicFramePr/>
                  <a:graphic xmlns:a="http://schemas.openxmlformats.org/drawingml/2006/main">
                    <a:graphicData uri="http://schemas.openxmlformats.org/drawingml/2006/picture">
                      <pic:pic xmlns:pic="http://schemas.openxmlformats.org/drawingml/2006/picture">
                        <pic:nvPicPr>
                          <pic:cNvPr id="547" name="85"/>
                          <pic:cNvPicPr/>
                        </pic:nvPicPr>
                        <pic:blipFill>
                          <a:blip r:embed="rId35"/>
                          <a:stretch>
                            <a:fillRect/>
                          </a:stretch>
                        </pic:blipFill>
                        <pic:spPr>
                          <a:xfrm>
                            <a:off x="0" y="0"/>
                            <a:ext cx="821690" cy="8801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2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放大镜指甲钳</w:t>
            </w:r>
          </w:p>
        </w:tc>
        <w:tc>
          <w:tcPr>
            <w:tcW w:w="48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尺寸:130*42mm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材质：碳钢+ABS+PP</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1，带有放大镜，使指甲尖部放大，便于看清楚，使用更加安全.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2，因有放大镜，还可以观察指甲的卫生、健康情况.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3，放大镜也可单独使用，为家庭实用品，方便家居生活.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4，本产品指甲钳和放大镜均为大尺寸，使用更加舒适，便捷.</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3230245</wp:posOffset>
                  </wp:positionH>
                  <wp:positionV relativeFrom="paragraph">
                    <wp:posOffset>53975</wp:posOffset>
                  </wp:positionV>
                  <wp:extent cx="876300" cy="691515"/>
                  <wp:effectExtent l="0" t="0" r="7620" b="9525"/>
                  <wp:wrapNone/>
                  <wp:docPr id="549" name="86"/>
                  <wp:cNvGraphicFramePr/>
                  <a:graphic xmlns:a="http://schemas.openxmlformats.org/drawingml/2006/main">
                    <a:graphicData uri="http://schemas.openxmlformats.org/drawingml/2006/picture">
                      <pic:pic xmlns:pic="http://schemas.openxmlformats.org/drawingml/2006/picture">
                        <pic:nvPicPr>
                          <pic:cNvPr id="549" name="86"/>
                          <pic:cNvPicPr/>
                        </pic:nvPicPr>
                        <pic:blipFill>
                          <a:blip r:embed="rId36"/>
                          <a:stretch>
                            <a:fillRect/>
                          </a:stretch>
                        </pic:blipFill>
                        <pic:spPr>
                          <a:xfrm>
                            <a:off x="0" y="0"/>
                            <a:ext cx="876300" cy="691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5，放大镜焦距可上下前后调节，适合各种年龄的人群使用。特别是老人、儿童，使用起来安全用放心.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6，不少老人眼花、手颤，剪指甲时费神费力。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7，塑料壳的作用：防止使用时指甲飞溅，剪完后抽出指甲剪倒掉指甲屑，干净卫生.</w:t>
            </w:r>
          </w:p>
        </w:tc>
        <w:tc>
          <w:tcPr>
            <w:tcW w:w="180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带吸管杯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尺寸：100*100*15mm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容量：350ml，杯体：食品级PP，内胆：食品级304不锈钢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1、杯口广口设计，方便使用；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2、食品级材质，安全、密封好；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3、安全防溢漏，即使碰倒也不会溢出。</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341630</wp:posOffset>
                  </wp:positionV>
                  <wp:extent cx="716280" cy="696595"/>
                  <wp:effectExtent l="0" t="0" r="0" b="4445"/>
                  <wp:wrapNone/>
                  <wp:docPr id="552" name="92"/>
                  <wp:cNvGraphicFramePr/>
                  <a:graphic xmlns:a="http://schemas.openxmlformats.org/drawingml/2006/main">
                    <a:graphicData uri="http://schemas.openxmlformats.org/drawingml/2006/picture">
                      <pic:pic xmlns:pic="http://schemas.openxmlformats.org/drawingml/2006/picture">
                        <pic:nvPicPr>
                          <pic:cNvPr id="552" name="92"/>
                          <pic:cNvPicPr/>
                        </pic:nvPicPr>
                        <pic:blipFill>
                          <a:blip r:embed="rId37"/>
                          <a:stretch>
                            <a:fillRect/>
                          </a:stretch>
                        </pic:blipFill>
                        <pic:spPr>
                          <a:xfrm>
                            <a:off x="0" y="0"/>
                            <a:ext cx="716280" cy="6965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防滑地垫</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尺寸：580*880mm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PVC材质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正面小圆点按摩，真空吸盘可轻松吸附于光滑地面，不会偏移。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吸附力强，透水快</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387985</wp:posOffset>
                  </wp:positionV>
                  <wp:extent cx="732790" cy="468630"/>
                  <wp:effectExtent l="0" t="0" r="13970" b="3810"/>
                  <wp:wrapNone/>
                  <wp:docPr id="551" name="17"/>
                  <wp:cNvGraphicFramePr/>
                  <a:graphic xmlns:a="http://schemas.openxmlformats.org/drawingml/2006/main">
                    <a:graphicData uri="http://schemas.openxmlformats.org/drawingml/2006/picture">
                      <pic:pic xmlns:pic="http://schemas.openxmlformats.org/drawingml/2006/picture">
                        <pic:nvPicPr>
                          <pic:cNvPr id="551" name="17"/>
                          <pic:cNvPicPr/>
                        </pic:nvPicPr>
                        <pic:blipFill>
                          <a:blip r:embed="rId38"/>
                          <a:stretch>
                            <a:fillRect/>
                          </a:stretch>
                        </pic:blipFill>
                        <pic:spPr>
                          <a:xfrm>
                            <a:off x="0" y="0"/>
                            <a:ext cx="732790" cy="4686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睡眠监测带</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产品颜色：白色</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主机尺寸：115*115*32mm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主机净重：0.18kg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传感器尺寸：400*70*8mm(开合状态下为10mm)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线缆规格：传感器的线长1.7m(外露1.5m）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数据传输：wifi</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供电方式：电源适配器供电</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356235</wp:posOffset>
                  </wp:positionV>
                  <wp:extent cx="756285" cy="537210"/>
                  <wp:effectExtent l="0" t="0" r="5715" b="11430"/>
                  <wp:wrapNone/>
                  <wp:docPr id="550" name="attachment-1652406926252-692f762deabe0420"/>
                  <wp:cNvGraphicFramePr/>
                  <a:graphic xmlns:a="http://schemas.openxmlformats.org/drawingml/2006/main">
                    <a:graphicData uri="http://schemas.openxmlformats.org/drawingml/2006/picture">
                      <pic:pic xmlns:pic="http://schemas.openxmlformats.org/drawingml/2006/picture">
                        <pic:nvPicPr>
                          <pic:cNvPr id="550" name="attachment-1652406926252-692f762deabe0420"/>
                          <pic:cNvPicPr/>
                        </pic:nvPicPr>
                        <pic:blipFill>
                          <a:blip r:embed="rId39"/>
                          <a:stretch>
                            <a:fillRect/>
                          </a:stretch>
                        </pic:blipFill>
                        <pic:spPr>
                          <a:xfrm>
                            <a:off x="0" y="0"/>
                            <a:ext cx="756285" cy="5372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生命体征监测仪</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功能介绍：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一键视频医生 小病、常见病随时问，视频问诊一键看家庭医生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三甲专科医生 三甲专科医生服务，视频问诊 3 分钟快速接通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就医绿通 三甲专家精准预约，边界就医看病不求人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健康评估 自助式心血管健康风险测评，提示未来风险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健康检测 血糖、血压快速检测，系统自动记录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健康档案 日常检测、问诊自动归档，图表展示易理解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智慧养老        实时监测 健康日报  </w:t>
            </w:r>
          </w:p>
        </w:tc>
        <w:tc>
          <w:tcPr>
            <w:tcW w:w="1804"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819785</wp:posOffset>
                  </wp:positionV>
                  <wp:extent cx="949960" cy="758190"/>
                  <wp:effectExtent l="0" t="0" r="2540" b="3810"/>
                  <wp:wrapNone/>
                  <wp:docPr id="553" name="110"/>
                  <wp:cNvGraphicFramePr/>
                  <a:graphic xmlns:a="http://schemas.openxmlformats.org/drawingml/2006/main">
                    <a:graphicData uri="http://schemas.openxmlformats.org/drawingml/2006/picture">
                      <pic:pic xmlns:pic="http://schemas.openxmlformats.org/drawingml/2006/picture">
                        <pic:nvPicPr>
                          <pic:cNvPr id="553" name="110"/>
                          <pic:cNvPicPr/>
                        </pic:nvPicPr>
                        <pic:blipFill>
                          <a:blip r:embed="rId40"/>
                          <a:stretch>
                            <a:fillRect/>
                          </a:stretch>
                        </pic:blipFill>
                        <pic:spPr>
                          <a:xfrm>
                            <a:off x="0" y="0"/>
                            <a:ext cx="949960" cy="75819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陪护机器人</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尺寸：275.5*239.5*433mm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屏幕尺寸：9寸，摄像头：500W，通讯：wifi/蓝牙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1.医疗级体征检测器械，支持血压、心率、血糖、尿酸、总胆固醇、血氧、体温、心电多项测量，及测量数据智能分析、自动记录；</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2.支持针对每个老人不同用药的提醒，在线视频问诊，智能自诊，在线医疗等健康服务；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3.支持远程视频通话，资讯、音乐音频，及广场舞、养生、健身等视频资源播放，丰富老年人生活；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4.支持一键电话紧急求救；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5.支持微信端远程视频监控；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6.支持人脸识别、语音交互、触屏交互、声源识别、头部转动。</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1326515</wp:posOffset>
                  </wp:positionV>
                  <wp:extent cx="1040130" cy="819150"/>
                  <wp:effectExtent l="0" t="0" r="7620" b="0"/>
                  <wp:wrapNone/>
                  <wp:docPr id="569" name="attachment-1652425046236-d8963af6b54d67fb"/>
                  <wp:cNvGraphicFramePr/>
                  <a:graphic xmlns:a="http://schemas.openxmlformats.org/drawingml/2006/main">
                    <a:graphicData uri="http://schemas.openxmlformats.org/drawingml/2006/picture">
                      <pic:pic xmlns:pic="http://schemas.openxmlformats.org/drawingml/2006/picture">
                        <pic:nvPicPr>
                          <pic:cNvPr id="569" name="attachment-1652425046236-d8963af6b54d67fb"/>
                          <pic:cNvPicPr/>
                        </pic:nvPicPr>
                        <pic:blipFill>
                          <a:blip r:embed="rId41"/>
                          <a:stretch>
                            <a:fillRect/>
                          </a:stretch>
                        </pic:blipFill>
                        <pic:spPr>
                          <a:xfrm>
                            <a:off x="0" y="0"/>
                            <a:ext cx="1040130"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带吸盘防滑垫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尺寸：300*300mm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带吸盘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可拼接</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92075</wp:posOffset>
                  </wp:positionV>
                  <wp:extent cx="911225" cy="603250"/>
                  <wp:effectExtent l="0" t="0" r="3175" b="6350"/>
                  <wp:wrapNone/>
                  <wp:docPr id="564" name="attachment-1652423814778-1f1191981413a6e5"/>
                  <wp:cNvGraphicFramePr/>
                  <a:graphic xmlns:a="http://schemas.openxmlformats.org/drawingml/2006/main">
                    <a:graphicData uri="http://schemas.openxmlformats.org/drawingml/2006/picture">
                      <pic:pic xmlns:pic="http://schemas.openxmlformats.org/drawingml/2006/picture">
                        <pic:nvPicPr>
                          <pic:cNvPr id="564" name="attachment-1652423814778-1f1191981413a6e5"/>
                          <pic:cNvPicPr/>
                        </pic:nvPicPr>
                        <pic:blipFill>
                          <a:blip r:embed="rId42"/>
                          <a:stretch>
                            <a:fillRect/>
                          </a:stretch>
                        </pic:blipFill>
                        <pic:spPr>
                          <a:xfrm>
                            <a:off x="0" y="0"/>
                            <a:ext cx="911225" cy="603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挂墙式助浴凳</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座板宽380mm，水平座板垂直于地面的距离可调范围从425mm到550mm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高强度铝合金框架，安全牢固，经久耐用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安全承重190公斤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环保工程塑料座板，防滑设计，5个漏水孔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高档记忆PU回弹坐垫，触感温暖舒适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高级TPR橡胶脚，防滑静音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安全承重190公斤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灰、蓝色可选</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683895</wp:posOffset>
                  </wp:positionV>
                  <wp:extent cx="899795" cy="876300"/>
                  <wp:effectExtent l="0" t="0" r="14605" b="0"/>
                  <wp:wrapNone/>
                  <wp:docPr id="570" name="57"/>
                  <wp:cNvGraphicFramePr/>
                  <a:graphic xmlns:a="http://schemas.openxmlformats.org/drawingml/2006/main">
                    <a:graphicData uri="http://schemas.openxmlformats.org/drawingml/2006/picture">
                      <pic:pic xmlns:pic="http://schemas.openxmlformats.org/drawingml/2006/picture">
                        <pic:nvPicPr>
                          <pic:cNvPr id="570" name="57"/>
                          <pic:cNvPicPr/>
                        </pic:nvPicPr>
                        <pic:blipFill>
                          <a:blip r:embed="rId43"/>
                          <a:stretch>
                            <a:fillRect/>
                          </a:stretch>
                        </pic:blipFill>
                        <pic:spPr>
                          <a:xfrm>
                            <a:off x="0" y="0"/>
                            <a:ext cx="899795" cy="8763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后大轮斜躺洗澡便椅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1.座宽：40CM,座深：42CM；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2.扶手到地面高度：69CM；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3.坐垫到地面高度：51CM；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4.头枕到地面高度：116/108/97CM；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5.总宽：58CM,侧面总长：74CM；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6.脚踏板尺寸：19*38CM；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7.前轮：5英寸万向轮，后轮：12英寸免充气PU轮；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8.靠背角度三挡可调节，头枕与推把可随时替换使用，方便不同场景使用。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492760</wp:posOffset>
                  </wp:positionV>
                  <wp:extent cx="863600" cy="779145"/>
                  <wp:effectExtent l="0" t="0" r="5080" b="13335"/>
                  <wp:wrapNone/>
                  <wp:docPr id="560" name="91"/>
                  <wp:cNvGraphicFramePr/>
                  <a:graphic xmlns:a="http://schemas.openxmlformats.org/drawingml/2006/main">
                    <a:graphicData uri="http://schemas.openxmlformats.org/drawingml/2006/picture">
                      <pic:pic xmlns:pic="http://schemas.openxmlformats.org/drawingml/2006/picture">
                        <pic:nvPicPr>
                          <pic:cNvPr id="560" name="91"/>
                          <pic:cNvPicPr/>
                        </pic:nvPicPr>
                        <pic:blipFill>
                          <a:blip r:embed="rId44"/>
                          <a:stretch>
                            <a:fillRect/>
                          </a:stretch>
                        </pic:blipFill>
                        <pic:spPr>
                          <a:xfrm>
                            <a:off x="0" y="0"/>
                            <a:ext cx="863600" cy="7791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适老分体智能座便盖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尺寸：508×370×85mm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外观：V形/U形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额定电压：AC 220V 50Hz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材质：PP缓降盖板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加热方式：即热式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操控方式：侧面旋钮操作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清洗功能：臀洗、妇洗、无电清洗</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加热功能：座圈加热、暖风烘干、座温/风温调节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便捷功能：阻尼缓降、夜间柔光、喷嘴清洗、便捷安装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抗菌材质：SIAA抗菌座圈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节水安全：整机防水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838200</wp:posOffset>
                  </wp:positionV>
                  <wp:extent cx="948690" cy="864870"/>
                  <wp:effectExtent l="0" t="0" r="0" b="0"/>
                  <wp:wrapNone/>
                  <wp:docPr id="565" name="38"/>
                  <wp:cNvGraphicFramePr/>
                  <a:graphic xmlns:a="http://schemas.openxmlformats.org/drawingml/2006/main">
                    <a:graphicData uri="http://schemas.openxmlformats.org/drawingml/2006/picture">
                      <pic:pic xmlns:pic="http://schemas.openxmlformats.org/drawingml/2006/picture">
                        <pic:nvPicPr>
                          <pic:cNvPr id="565" name="38"/>
                          <pic:cNvPicPr/>
                        </pic:nvPicPr>
                        <pic:blipFill>
                          <a:blip r:embed="rId45"/>
                          <a:stretch>
                            <a:fillRect/>
                          </a:stretch>
                        </pic:blipFill>
                        <pic:spPr>
                          <a:xfrm>
                            <a:off x="0" y="0"/>
                            <a:ext cx="948690" cy="86487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恒温花洒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3.1.5m304不锈钢花洒软管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4.304不锈钢五功能手洒</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128270</wp:posOffset>
                  </wp:positionV>
                  <wp:extent cx="744220" cy="632460"/>
                  <wp:effectExtent l="0" t="0" r="2540" b="7620"/>
                  <wp:wrapNone/>
                  <wp:docPr id="567" name="70"/>
                  <wp:cNvGraphicFramePr/>
                  <a:graphic xmlns:a="http://schemas.openxmlformats.org/drawingml/2006/main">
                    <a:graphicData uri="http://schemas.openxmlformats.org/drawingml/2006/picture">
                      <pic:pic xmlns:pic="http://schemas.openxmlformats.org/drawingml/2006/picture">
                        <pic:nvPicPr>
                          <pic:cNvPr id="567" name="70"/>
                          <pic:cNvPicPr/>
                        </pic:nvPicPr>
                        <pic:blipFill>
                          <a:blip r:embed="rId46"/>
                          <a:stretch>
                            <a:fillRect/>
                          </a:stretch>
                        </pic:blipFill>
                        <pic:spPr>
                          <a:xfrm>
                            <a:off x="0" y="0"/>
                            <a:ext cx="744220" cy="6324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浴帘（含轨道）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 2000x1800mm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 EVA；保暖、加厚、防水、防霉</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304不锈钢免孔浴帘杆，一体式法兰不锈钢材质，无缝更结实；</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管径25mm，一体成型，壁厚1mm</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328295</wp:posOffset>
                  </wp:positionV>
                  <wp:extent cx="793115" cy="791845"/>
                  <wp:effectExtent l="0" t="0" r="6985" b="8255"/>
                  <wp:wrapNone/>
                  <wp:docPr id="554" name="30"/>
                  <wp:cNvGraphicFramePr/>
                  <a:graphic xmlns:a="http://schemas.openxmlformats.org/drawingml/2006/main">
                    <a:graphicData uri="http://schemas.openxmlformats.org/drawingml/2006/picture">
                      <pic:pic xmlns:pic="http://schemas.openxmlformats.org/drawingml/2006/picture">
                        <pic:nvPicPr>
                          <pic:cNvPr id="554" name="30"/>
                          <pic:cNvPicPr/>
                        </pic:nvPicPr>
                        <pic:blipFill>
                          <a:blip r:embed="rId47"/>
                          <a:stretch>
                            <a:fillRect/>
                          </a:stretch>
                        </pic:blipFill>
                        <pic:spPr>
                          <a:xfrm>
                            <a:off x="0" y="0"/>
                            <a:ext cx="793115" cy="7918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平脚台盆龙头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1.尺寸：高186*宽115mm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3.品牌起泡器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4.品牌35平底阀芯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5.马蹄片紧固套件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6.500mm304不锈钢进水软管</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355600</wp:posOffset>
                  </wp:positionV>
                  <wp:extent cx="704850" cy="829310"/>
                  <wp:effectExtent l="0" t="0" r="11430" b="8890"/>
                  <wp:wrapNone/>
                  <wp:docPr id="568" name="45"/>
                  <wp:cNvGraphicFramePr/>
                  <a:graphic xmlns:a="http://schemas.openxmlformats.org/drawingml/2006/main">
                    <a:graphicData uri="http://schemas.openxmlformats.org/drawingml/2006/picture">
                      <pic:pic xmlns:pic="http://schemas.openxmlformats.org/drawingml/2006/picture">
                        <pic:nvPicPr>
                          <pic:cNvPr id="568" name="45"/>
                          <pic:cNvPicPr/>
                        </pic:nvPicPr>
                        <pic:blipFill>
                          <a:blip r:embed="rId48"/>
                          <a:stretch>
                            <a:fillRect/>
                          </a:stretch>
                        </pic:blipFill>
                        <pic:spPr>
                          <a:xfrm>
                            <a:off x="0" y="0"/>
                            <a:ext cx="704850" cy="8293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立柱台盆</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材质：陶瓷盆尺寸：L582*W488*H212mm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立柱尺寸：L190*W200*H635mm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实际容量：8.5L</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安装方式：立柱式</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颜色：洁白</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190500</wp:posOffset>
                  </wp:positionV>
                  <wp:extent cx="736600" cy="674370"/>
                  <wp:effectExtent l="0" t="0" r="10160" b="11430"/>
                  <wp:wrapNone/>
                  <wp:docPr id="555" name="69"/>
                  <wp:cNvGraphicFramePr/>
                  <a:graphic xmlns:a="http://schemas.openxmlformats.org/drawingml/2006/main">
                    <a:graphicData uri="http://schemas.openxmlformats.org/drawingml/2006/picture">
                      <pic:pic xmlns:pic="http://schemas.openxmlformats.org/drawingml/2006/picture">
                        <pic:nvPicPr>
                          <pic:cNvPr id="555" name="69"/>
                          <pic:cNvPicPr/>
                        </pic:nvPicPr>
                        <pic:blipFill>
                          <a:blip r:embed="rId49"/>
                          <a:stretch>
                            <a:fillRect/>
                          </a:stretch>
                        </pic:blipFill>
                        <pic:spPr>
                          <a:xfrm>
                            <a:off x="0" y="0"/>
                            <a:ext cx="736600" cy="67437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台盆进深空间及低位改造镜柜+台盆+底柜</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洗盆：850*550mm，亚克力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卫浴柜底柜：尺寸760*400*600，材质选用18mm厚度杨桉木实木多层板，仿木纹色三聚氰胺贴纸，环保美观，柜门内凹设计，方便老人使用；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卫浴柜镜柜：尺寸750*130*800，材质选用18mm厚度杨桉木实木多层板，仿木纹色三聚氰胺贴纸，环保美观，镜面倾斜且角度可微调，方便老年人，轮椅用户抬头使用；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392430</wp:posOffset>
                  </wp:positionV>
                  <wp:extent cx="819150" cy="990600"/>
                  <wp:effectExtent l="0" t="0" r="3810" b="0"/>
                  <wp:wrapNone/>
                  <wp:docPr id="566" name="87"/>
                  <wp:cNvGraphicFramePr/>
                  <a:graphic xmlns:a="http://schemas.openxmlformats.org/drawingml/2006/main">
                    <a:graphicData uri="http://schemas.openxmlformats.org/drawingml/2006/picture">
                      <pic:pic xmlns:pic="http://schemas.openxmlformats.org/drawingml/2006/picture">
                        <pic:nvPicPr>
                          <pic:cNvPr id="566" name="87"/>
                          <pic:cNvPicPr/>
                        </pic:nvPicPr>
                        <pic:blipFill>
                          <a:blip r:embed="rId50"/>
                          <a:stretch>
                            <a:fillRect/>
                          </a:stretch>
                        </pic:blipFill>
                        <pic:spPr>
                          <a:xfrm>
                            <a:off x="0" y="0"/>
                            <a:ext cx="819150" cy="9906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适老台盆</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整体尺寸：750*450mm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盆胆尺寸（椭圆）：400*300mm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盆胆深度：130mm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材质：人造石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扶手孔距尺寸：120*40mm  半径15mm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挡水条加盆边缘的总高度：45mm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挡水条高: 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盆边高：30mm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阻燃性好</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389255</wp:posOffset>
                  </wp:positionV>
                  <wp:extent cx="848360" cy="854710"/>
                  <wp:effectExtent l="0" t="0" r="5080" b="13970"/>
                  <wp:wrapNone/>
                  <wp:docPr id="556" name="88"/>
                  <wp:cNvGraphicFramePr/>
                  <a:graphic xmlns:a="http://schemas.openxmlformats.org/drawingml/2006/main">
                    <a:graphicData uri="http://schemas.openxmlformats.org/drawingml/2006/picture">
                      <pic:pic xmlns:pic="http://schemas.openxmlformats.org/drawingml/2006/picture">
                        <pic:nvPicPr>
                          <pic:cNvPr id="556" name="88"/>
                          <pic:cNvPicPr/>
                        </pic:nvPicPr>
                        <pic:blipFill>
                          <a:blip r:embed="rId51"/>
                          <a:stretch>
                            <a:fillRect/>
                          </a:stretch>
                        </pic:blipFill>
                        <pic:spPr>
                          <a:xfrm>
                            <a:off x="0" y="0"/>
                            <a:ext cx="848360" cy="8547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带扶手智能马桶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尺寸：660*526*385mm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坑距：305/400mm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核心功能配置：臀部清洗，座圈加热，女性清洗，夜间照明，移动清洗，自动冲水，按摩清洗，智能识别大小便冲水，喷头自洁，停电冲水，暖风烘干，智能节电，老年扶手架，零水压冲水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200025</wp:posOffset>
                  </wp:positionV>
                  <wp:extent cx="971550" cy="1047750"/>
                  <wp:effectExtent l="0" t="0" r="3810" b="3810"/>
                  <wp:wrapNone/>
                  <wp:docPr id="557" name="40"/>
                  <wp:cNvGraphicFramePr/>
                  <a:graphic xmlns:a="http://schemas.openxmlformats.org/drawingml/2006/main">
                    <a:graphicData uri="http://schemas.openxmlformats.org/drawingml/2006/picture">
                      <pic:pic xmlns:pic="http://schemas.openxmlformats.org/drawingml/2006/picture">
                        <pic:nvPicPr>
                          <pic:cNvPr id="557" name="40"/>
                          <pic:cNvPicPr/>
                        </pic:nvPicPr>
                        <pic:blipFill>
                          <a:blip r:embed="rId52"/>
                          <a:stretch>
                            <a:fillRect/>
                          </a:stretch>
                        </pic:blipFill>
                        <pic:spPr>
                          <a:xfrm>
                            <a:off x="0" y="0"/>
                            <a:ext cx="971550" cy="10477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产品规格：682*393*465mm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坑距：305/400mm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水压范围：0.12MPa - 0.8MPa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额定电压及频率：220V/50Hz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额定功率：1300W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水加热器额定功率：1600W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水箱结构：无水箱</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冲排方式：喷射虹吸式地排水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节水功能：二级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水效用水量：4.3升盖板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控制方式：旋钮、遥控、脚感</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数码显示：LED,水温、坐温</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419735</wp:posOffset>
                  </wp:positionV>
                  <wp:extent cx="781050" cy="1122045"/>
                  <wp:effectExtent l="0" t="0" r="11430" b="5715"/>
                  <wp:wrapNone/>
                  <wp:docPr id="558" name="55"/>
                  <wp:cNvGraphicFramePr/>
                  <a:graphic xmlns:a="http://schemas.openxmlformats.org/drawingml/2006/main">
                    <a:graphicData uri="http://schemas.openxmlformats.org/drawingml/2006/picture">
                      <pic:pic xmlns:pic="http://schemas.openxmlformats.org/drawingml/2006/picture">
                        <pic:nvPicPr>
                          <pic:cNvPr id="558" name="55"/>
                          <pic:cNvPicPr/>
                        </pic:nvPicPr>
                        <pic:blipFill>
                          <a:blip r:embed="rId53"/>
                          <a:stretch>
                            <a:fillRect/>
                          </a:stretch>
                        </pic:blipFill>
                        <pic:spPr>
                          <a:xfrm>
                            <a:off x="0" y="0"/>
                            <a:ext cx="781050" cy="11220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坐式沐浴器</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安装后尺寸：1360*715*546mm，折叠包装后尺寸：112*76.5*24mm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座椅尺寸：464*376mm；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产品外观：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1.ABS手持花洒，利于全方位淋浴。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2.椅背设计符合人体工程学，贴合脊椎曲线，使用舒适；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3.可折叠座椅：HDPE高级人体安全接触的材料，座椅承重可达110kg；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4.SUS304不锈钢支腿设计，安全舒适；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5.隐藏式不锈钢内部件，更安全可靠贴心；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6.可折叠式塑料包裹防护扶手，冬天良好的舒服触摸体验。</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1.出水嘴可以360度调整角度;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2.喷臂可根据需要调整旋转120度角度，方便使用者轻松淋浴;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3.喷臂有多档定位，可根据需要调整出水角度。</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523240</wp:posOffset>
                  </wp:positionV>
                  <wp:extent cx="942340" cy="1191260"/>
                  <wp:effectExtent l="0" t="0" r="0" b="0"/>
                  <wp:wrapNone/>
                  <wp:docPr id="561" name="65"/>
                  <wp:cNvGraphicFramePr/>
                  <a:graphic xmlns:a="http://schemas.openxmlformats.org/drawingml/2006/main">
                    <a:graphicData uri="http://schemas.openxmlformats.org/drawingml/2006/picture">
                      <pic:pic xmlns:pic="http://schemas.openxmlformats.org/drawingml/2006/picture">
                        <pic:nvPicPr>
                          <pic:cNvPr id="561" name="65"/>
                          <pic:cNvPicPr/>
                        </pic:nvPicPr>
                        <pic:blipFill>
                          <a:blip r:embed="rId54"/>
                          <a:stretch>
                            <a:fillRect/>
                          </a:stretch>
                        </pic:blipFill>
                        <pic:spPr>
                          <a:xfrm>
                            <a:off x="0" y="0"/>
                            <a:ext cx="942340" cy="11912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1.尺寸:702*382*716mm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2.盖板材质：PP</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3.水件：品牌2寸水件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4.排水方式：地排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5.坑距：300mm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6.功能：节水型，喷射虹吸，顶按双档，缓降静音盖板。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7.用水量：4.8升</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422910</wp:posOffset>
                  </wp:positionV>
                  <wp:extent cx="674370" cy="808990"/>
                  <wp:effectExtent l="0" t="0" r="11430" b="13970"/>
                  <wp:wrapNone/>
                  <wp:docPr id="559" name="48"/>
                  <wp:cNvGraphicFramePr/>
                  <a:graphic xmlns:a="http://schemas.openxmlformats.org/drawingml/2006/main">
                    <a:graphicData uri="http://schemas.openxmlformats.org/drawingml/2006/picture">
                      <pic:pic xmlns:pic="http://schemas.openxmlformats.org/drawingml/2006/picture">
                        <pic:nvPicPr>
                          <pic:cNvPr id="559" name="48"/>
                          <pic:cNvPicPr/>
                        </pic:nvPicPr>
                        <pic:blipFill>
                          <a:blip r:embed="rId55"/>
                          <a:stretch>
                            <a:fillRect/>
                          </a:stretch>
                        </pic:blipFill>
                        <pic:spPr>
                          <a:xfrm>
                            <a:off x="0" y="0"/>
                            <a:ext cx="674370" cy="80899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坐便器助力扶手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1、产品尺寸：660×540×550-670mm（高度5档调节）；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2、产品材质：PP+抗菌(扶手)，钢管组装式支架；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FF0000"/>
                <w:kern w:val="0"/>
                <w:sz w:val="24"/>
                <w:szCs w:val="24"/>
                <w:highlight w:val="none"/>
                <w:u w:val="none"/>
                <w:lang w:val="en-US" w:eastAsia="zh-CN" w:bidi="ar"/>
              </w:rPr>
              <w:t>★3、双侧扶手总承重可达80KG，没有断裂和倾斜现象、扶手通过循环寿命测试，使用≤26N力，连续5千次循环之后，扶手能正常使用无卡阻，无松动现象、外观经过400h的中性盐雾测试，无生锈，起泡，掉漆现象。</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324485</wp:posOffset>
                  </wp:positionV>
                  <wp:extent cx="1029335" cy="1171575"/>
                  <wp:effectExtent l="0" t="0" r="0" b="8890"/>
                  <wp:wrapNone/>
                  <wp:docPr id="562" name="32"/>
                  <wp:cNvGraphicFramePr/>
                  <a:graphic xmlns:a="http://schemas.openxmlformats.org/drawingml/2006/main">
                    <a:graphicData uri="http://schemas.openxmlformats.org/drawingml/2006/picture">
                      <pic:pic xmlns:pic="http://schemas.openxmlformats.org/drawingml/2006/picture">
                        <pic:nvPicPr>
                          <pic:cNvPr id="562" name="32"/>
                          <pic:cNvPicPr/>
                        </pic:nvPicPr>
                        <pic:blipFill>
                          <a:blip r:embed="rId56"/>
                          <a:stretch>
                            <a:fillRect/>
                          </a:stretch>
                        </pic:blipFill>
                        <pic:spPr>
                          <a:xfrm>
                            <a:off x="0" y="0"/>
                            <a:ext cx="1029335" cy="11715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浴霸</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产品尺寸：30cm*60cm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总功率：2480W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功能：取暖强/弱、吹风、换气、照明（光通800）防频闪</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电机：双/纯铜滚珠电机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额定电压：220V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材质：ABS面罩+PP后壳</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335915</wp:posOffset>
                  </wp:positionV>
                  <wp:extent cx="863600" cy="686435"/>
                  <wp:effectExtent l="0" t="0" r="5080" b="14605"/>
                  <wp:wrapNone/>
                  <wp:docPr id="563" name="53"/>
                  <wp:cNvGraphicFramePr/>
                  <a:graphic xmlns:a="http://schemas.openxmlformats.org/drawingml/2006/main">
                    <a:graphicData uri="http://schemas.openxmlformats.org/drawingml/2006/picture">
                      <pic:pic xmlns:pic="http://schemas.openxmlformats.org/drawingml/2006/picture">
                        <pic:nvPicPr>
                          <pic:cNvPr id="563" name="53"/>
                          <pic:cNvPicPr/>
                        </pic:nvPicPr>
                        <pic:blipFill>
                          <a:blip r:embed="rId57"/>
                          <a:stretch>
                            <a:fillRect/>
                          </a:stretch>
                        </pic:blipFill>
                        <pic:spPr>
                          <a:xfrm>
                            <a:off x="0" y="0"/>
                            <a:ext cx="863600" cy="6864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橡胶坡道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90*15*2.0cm/90*20*3.0cm /90*20*4.0cm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材质：橡胶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1、天然橡胶材质，耐水防滑、承重力高达500kg；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2、产品稳定性高，长期使用不变形；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3、无需安装，省时省力，实用性高；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4、表面凹凸条纹防滑设计，防滑性强。</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335280</wp:posOffset>
                  </wp:positionV>
                  <wp:extent cx="609600" cy="895350"/>
                  <wp:effectExtent l="0" t="0" r="0" b="3810"/>
                  <wp:wrapNone/>
                  <wp:docPr id="571" name="23"/>
                  <wp:cNvGraphicFramePr/>
                  <a:graphic xmlns:a="http://schemas.openxmlformats.org/drawingml/2006/main">
                    <a:graphicData uri="http://schemas.openxmlformats.org/drawingml/2006/picture">
                      <pic:pic xmlns:pic="http://schemas.openxmlformats.org/drawingml/2006/picture">
                        <pic:nvPicPr>
                          <pic:cNvPr id="571" name="23"/>
                          <pic:cNvPicPr/>
                        </pic:nvPicPr>
                        <pic:blipFill>
                          <a:blip r:embed="rId58"/>
                          <a:stretch>
                            <a:fillRect/>
                          </a:stretch>
                        </pic:blipFill>
                        <pic:spPr>
                          <a:xfrm>
                            <a:off x="0" y="0"/>
                            <a:ext cx="609600" cy="8953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铝合金坡道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80*12*2.5cm/80*25*5cm/80*38*7.5cm/80*50*10cm/80*63*12.5cm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可组装可拆卸门槛斜坡道</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实用性强，轻便，耐用。多支撑脚分布式承重（300kg），受力均匀不塌陷，表面防滑纹路+防滑凹，防滑性更高</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300990</wp:posOffset>
                  </wp:positionV>
                  <wp:extent cx="781050" cy="971550"/>
                  <wp:effectExtent l="0" t="0" r="11430" b="3810"/>
                  <wp:wrapNone/>
                  <wp:docPr id="573" name="24"/>
                  <wp:cNvGraphicFramePr/>
                  <a:graphic xmlns:a="http://schemas.openxmlformats.org/drawingml/2006/main">
                    <a:graphicData uri="http://schemas.openxmlformats.org/drawingml/2006/picture">
                      <pic:pic xmlns:pic="http://schemas.openxmlformats.org/drawingml/2006/picture">
                        <pic:nvPicPr>
                          <pic:cNvPr id="573" name="24"/>
                          <pic:cNvPicPr/>
                        </pic:nvPicPr>
                        <pic:blipFill>
                          <a:blip r:embed="rId59"/>
                          <a:stretch>
                            <a:fillRect/>
                          </a:stretch>
                        </pic:blipFill>
                        <pic:spPr>
                          <a:xfrm>
                            <a:off x="0" y="0"/>
                            <a:ext cx="781050" cy="9715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智能门锁</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适合门类：防盗门、木门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门厚范围：45-110mm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锁体规格：标准锁体、霸王锁体</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工作湿度：10%-90%RH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门锁尺寸：370mm*75mm*21.5mm</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300355</wp:posOffset>
                  </wp:positionH>
                  <wp:positionV relativeFrom="paragraph">
                    <wp:posOffset>274955</wp:posOffset>
                  </wp:positionV>
                  <wp:extent cx="408940" cy="672465"/>
                  <wp:effectExtent l="0" t="0" r="2540" b="13335"/>
                  <wp:wrapNone/>
                  <wp:docPr id="572" name="54"/>
                  <wp:cNvGraphicFramePr/>
                  <a:graphic xmlns:a="http://schemas.openxmlformats.org/drawingml/2006/main">
                    <a:graphicData uri="http://schemas.openxmlformats.org/drawingml/2006/picture">
                      <pic:pic xmlns:pic="http://schemas.openxmlformats.org/drawingml/2006/picture">
                        <pic:nvPicPr>
                          <pic:cNvPr id="572" name="54"/>
                          <pic:cNvPicPr/>
                        </pic:nvPicPr>
                        <pic:blipFill>
                          <a:blip r:embed="rId60"/>
                          <a:stretch>
                            <a:fillRect/>
                          </a:stretch>
                        </pic:blipFill>
                        <pic:spPr>
                          <a:xfrm>
                            <a:off x="0" y="0"/>
                            <a:ext cx="408940" cy="672465"/>
                          </a:xfrm>
                          <a:prstGeom prst="rect">
                            <a:avLst/>
                          </a:prstGeom>
                          <a:noFill/>
                          <a:ln>
                            <a:noFill/>
                          </a:ln>
                        </pic:spPr>
                      </pic:pic>
                    </a:graphicData>
                  </a:graphic>
                </wp:anchor>
              </w:drawing>
            </w:r>
          </w:p>
        </w:tc>
        <w:tc>
          <w:tcPr>
            <w:tcW w:w="66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挂墙式换鞋凳</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尺寸：长410*宽75*高500mm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铝合金材质，不锈钢支撑板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智能阻尼，静音。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缓冲，静电喷涂，防水防污，边缘光滑圆润。</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102870</wp:posOffset>
                  </wp:positionV>
                  <wp:extent cx="666750" cy="819150"/>
                  <wp:effectExtent l="0" t="0" r="3810" b="3810"/>
                  <wp:wrapNone/>
                  <wp:docPr id="483" name="47"/>
                  <wp:cNvGraphicFramePr/>
                  <a:graphic xmlns:a="http://schemas.openxmlformats.org/drawingml/2006/main">
                    <a:graphicData uri="http://schemas.openxmlformats.org/drawingml/2006/picture">
                      <pic:pic xmlns:pic="http://schemas.openxmlformats.org/drawingml/2006/picture">
                        <pic:nvPicPr>
                          <pic:cNvPr id="483" name="47"/>
                          <pic:cNvPicPr/>
                        </pic:nvPicPr>
                        <pic:blipFill>
                          <a:blip r:embed="rId61"/>
                          <a:stretch>
                            <a:fillRect/>
                          </a:stretch>
                        </pic:blipFill>
                        <pic:spPr>
                          <a:xfrm>
                            <a:off x="0" y="0"/>
                            <a:ext cx="666750"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走廊扶手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直径：38MM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材质：外层PVC材质，内层为铝合金，圆形。</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182880</wp:posOffset>
                  </wp:positionV>
                  <wp:extent cx="933450" cy="361950"/>
                  <wp:effectExtent l="0" t="0" r="11430" b="3810"/>
                  <wp:wrapNone/>
                  <wp:docPr id="486" name="66"/>
                  <wp:cNvGraphicFramePr/>
                  <a:graphic xmlns:a="http://schemas.openxmlformats.org/drawingml/2006/main">
                    <a:graphicData uri="http://schemas.openxmlformats.org/drawingml/2006/picture">
                      <pic:pic xmlns:pic="http://schemas.openxmlformats.org/drawingml/2006/picture">
                        <pic:nvPicPr>
                          <pic:cNvPr id="486" name="66"/>
                          <pic:cNvPicPr/>
                        </pic:nvPicPr>
                        <pic:blipFill>
                          <a:blip r:embed="rId62"/>
                          <a:stretch>
                            <a:fillRect/>
                          </a:stretch>
                        </pic:blipFill>
                        <pic:spPr>
                          <a:xfrm>
                            <a:off x="0" y="0"/>
                            <a:ext cx="933450" cy="3619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防撞条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尺寸：35*35*7mm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    双面胶/免钉胶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防火阻燃，经久耐用，不含甲醛</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233045</wp:posOffset>
                  </wp:positionV>
                  <wp:extent cx="933450" cy="495300"/>
                  <wp:effectExtent l="0" t="0" r="11430" b="0"/>
                  <wp:wrapNone/>
                  <wp:docPr id="485" name="43"/>
                  <wp:cNvGraphicFramePr/>
                  <a:graphic xmlns:a="http://schemas.openxmlformats.org/drawingml/2006/main">
                    <a:graphicData uri="http://schemas.openxmlformats.org/drawingml/2006/picture">
                      <pic:pic xmlns:pic="http://schemas.openxmlformats.org/drawingml/2006/picture">
                        <pic:nvPicPr>
                          <pic:cNvPr id="485" name="43"/>
                          <pic:cNvPicPr/>
                        </pic:nvPicPr>
                        <pic:blipFill>
                          <a:blip r:embed="rId63"/>
                          <a:stretch>
                            <a:fillRect/>
                          </a:stretch>
                        </pic:blipFill>
                        <pic:spPr>
                          <a:xfrm>
                            <a:off x="0" y="0"/>
                            <a:ext cx="933450" cy="4953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防撞角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尺寸：60*35*12mm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材质：NBR ，防水耐油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加厚，无残留，不伤家具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254635</wp:posOffset>
                  </wp:positionV>
                  <wp:extent cx="723900" cy="600075"/>
                  <wp:effectExtent l="0" t="0" r="7620" b="9525"/>
                  <wp:wrapNone/>
                  <wp:docPr id="490" name="44"/>
                  <wp:cNvGraphicFramePr/>
                  <a:graphic xmlns:a="http://schemas.openxmlformats.org/drawingml/2006/main">
                    <a:graphicData uri="http://schemas.openxmlformats.org/drawingml/2006/picture">
                      <pic:pic xmlns:pic="http://schemas.openxmlformats.org/drawingml/2006/picture">
                        <pic:nvPicPr>
                          <pic:cNvPr id="490" name="44"/>
                          <pic:cNvPicPr/>
                        </pic:nvPicPr>
                        <pic:blipFill>
                          <a:blip r:embed="rId64"/>
                          <a:stretch>
                            <a:fillRect/>
                          </a:stretch>
                        </pic:blipFill>
                        <pic:spPr>
                          <a:xfrm>
                            <a:off x="0" y="0"/>
                            <a:ext cx="723900" cy="6000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适老化方桌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1、尺寸：800*800*750mm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2、实木框架：采用优质实木，木质细腻、硬度高，具有较良好的总体强度性能，良好的抗震力；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3、台面：实木多层板贴水曲柳实木木皮，设计安全角，无缝拼接边角处采用倒圆工艺；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4、油漆：采用国内品牌油漆，成品纹理清晰、表层饱满、光泽润亮。涂装要求无桔皮、发白、流挂、泪油现象。结实耐用，耐磨损，耐腐蚀；</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有害物质检测，甲醛释放量≤0.1mg/L；底脚平稳性≤0.2；漆膜附着力≥1级，耐磨性与抗冲击等级≥2级；漆膜耐液性≥2级；耐湿热，耐干热等级≥1级；产品通过强度与耐久性检测，桌面垂直载荷1.5kg/dm²，无缺陷；产品通过稳定性检测，垂直加载600N，水平和垂直加载40N，无倾翻现象。</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1209675</wp:posOffset>
                  </wp:positionV>
                  <wp:extent cx="924560" cy="827405"/>
                  <wp:effectExtent l="0" t="0" r="8890" b="10795"/>
                  <wp:wrapNone/>
                  <wp:docPr id="466" name="49"/>
                  <wp:cNvGraphicFramePr/>
                  <a:graphic xmlns:a="http://schemas.openxmlformats.org/drawingml/2006/main">
                    <a:graphicData uri="http://schemas.openxmlformats.org/drawingml/2006/picture">
                      <pic:pic xmlns:pic="http://schemas.openxmlformats.org/drawingml/2006/picture">
                        <pic:nvPicPr>
                          <pic:cNvPr id="466" name="49"/>
                          <pic:cNvPicPr/>
                        </pic:nvPicPr>
                        <pic:blipFill>
                          <a:blip r:embed="rId65"/>
                          <a:stretch>
                            <a:fillRect/>
                          </a:stretch>
                        </pic:blipFill>
                        <pic:spPr>
                          <a:xfrm>
                            <a:off x="0" y="0"/>
                            <a:ext cx="924560" cy="8274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尺寸：570*610*855mm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1、框架：弯曲木， 靠背外框+扶手+前后脚为一个完整件，无榫接、胶粘等组装方式，具有较良好的强度性能和抗震力。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2、海绵：采用阻燃、高密度、高弹海绵，可有效防止褥疮。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3、面料：采用具有耐磨防水、抗菌防霉、防火阻燃、耐医疗消毒剂特性的PU皮；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4、油漆：采用“大宝”品牌油漆，成品纹理清晰、表层饱满、光泽润亮。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★5、产品通过有害物质检测，甲醛释放量≤0.1mg/L；扶手通过耐久性检测，承受10N，加载5万次，符合要求；产品通过稳定性检测，向前倾翻20N，向后倾翻160N，侧向倾斜20N施加力测试后，无倾翻。</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787400</wp:posOffset>
                  </wp:positionV>
                  <wp:extent cx="1098550" cy="1158875"/>
                  <wp:effectExtent l="0" t="0" r="0" b="3175"/>
                  <wp:wrapNone/>
                  <wp:docPr id="467" name="35"/>
                  <wp:cNvGraphicFramePr/>
                  <a:graphic xmlns:a="http://schemas.openxmlformats.org/drawingml/2006/main">
                    <a:graphicData uri="http://schemas.openxmlformats.org/drawingml/2006/picture">
                      <pic:pic xmlns:pic="http://schemas.openxmlformats.org/drawingml/2006/picture">
                        <pic:nvPicPr>
                          <pic:cNvPr id="467" name="35"/>
                          <pic:cNvPicPr/>
                        </pic:nvPicPr>
                        <pic:blipFill>
                          <a:blip r:embed="rId66"/>
                          <a:stretch>
                            <a:fillRect/>
                          </a:stretch>
                        </pic:blipFill>
                        <pic:spPr>
                          <a:xfrm>
                            <a:off x="0" y="0"/>
                            <a:ext cx="1098550" cy="11588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床边桌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尺寸：800*400*700-950mm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材质：铝、塑、木混合材质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1、桌架立柱采用铝型材焊接而成，表面静电喷塑，自然时效后氧化处理，光滑平整，色泽均匀，确保使用都在接触面 ，无尖角、刃口、毛刺。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2、桌架底盘采用冷轧钢板冲压成型，表面除锈，静电喷涂，抗老化不生锈，美观大方。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3、注塑封边桌面，桌面凹型设计，方便老人或者病人进餐，更加符合人体工程学。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4、四脚采用全制动双轴承橡胶脚轮，转动灵活，带刹车、控制在确定位置。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5、升降装置采用优质可调阻尼器调节高度。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6、产品通过桌面水平耐久性检测，加力150N，循环1.5万次，无缺陷；产品通过强度与耐久性检测，从高度200mm，跌落,10次，无缺陷；产品垂直加力600N，水平加载40N，无倾翻现象；产品封边条表面胶合强度≥0.86MPa，抗冲击性≥2级；产品通过强度与耐久性检测，推拉构件加载200N，10次，无缺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1429385</wp:posOffset>
                  </wp:positionV>
                  <wp:extent cx="954405" cy="1137920"/>
                  <wp:effectExtent l="0" t="0" r="17145" b="5080"/>
                  <wp:wrapNone/>
                  <wp:docPr id="463" name="67"/>
                  <wp:cNvGraphicFramePr/>
                  <a:graphic xmlns:a="http://schemas.openxmlformats.org/drawingml/2006/main">
                    <a:graphicData uri="http://schemas.openxmlformats.org/drawingml/2006/picture">
                      <pic:pic xmlns:pic="http://schemas.openxmlformats.org/drawingml/2006/picture">
                        <pic:nvPicPr>
                          <pic:cNvPr id="463" name="67"/>
                          <pic:cNvPicPr/>
                        </pic:nvPicPr>
                        <pic:blipFill>
                          <a:blip r:embed="rId67"/>
                          <a:stretch>
                            <a:fillRect/>
                          </a:stretch>
                        </pic:blipFill>
                        <pic:spPr>
                          <a:xfrm>
                            <a:off x="0" y="0"/>
                            <a:ext cx="954405" cy="11379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可移动床边扶手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1、扶手采用无凉感的材质，底座采用稳固钢板材料，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底座面积尺寸：≥800*600MM，产品净重量≥20KG，提高使用安全性。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2、高度:750mm-850mm高度6挡可调；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3、材料：扶手采用钢管材质，扶手套采用高密度橡塑NBR海绵套管；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1）、底座：3.75mm厚钢板，表面烤漆橡胶条包边处理，稳固安全。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2）、固定立柱套管采用直径43mm优质碳钢机加工而成，立柱壁厚4mm,立柱高度30cm,采用整体螺丝固定的方式，安全美观。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3）、扶手内管均采用壁厚1.2mm高强度碳钢。具有抗冲击，耐高温，耐低温，易清洁，不易滋生细菌的特性。</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980440</wp:posOffset>
                  </wp:positionV>
                  <wp:extent cx="873760" cy="1078865"/>
                  <wp:effectExtent l="0" t="0" r="2540" b="6985"/>
                  <wp:wrapNone/>
                  <wp:docPr id="464" name="64"/>
                  <wp:cNvGraphicFramePr/>
                  <a:graphic xmlns:a="http://schemas.openxmlformats.org/drawingml/2006/main">
                    <a:graphicData uri="http://schemas.openxmlformats.org/drawingml/2006/picture">
                      <pic:pic xmlns:pic="http://schemas.openxmlformats.org/drawingml/2006/picture">
                        <pic:nvPicPr>
                          <pic:cNvPr id="464" name="64"/>
                          <pic:cNvPicPr/>
                        </pic:nvPicPr>
                        <pic:blipFill>
                          <a:blip r:embed="rId68"/>
                          <a:stretch>
                            <a:fillRect/>
                          </a:stretch>
                        </pic:blipFill>
                        <pic:spPr>
                          <a:xfrm>
                            <a:off x="0" y="0"/>
                            <a:ext cx="873760" cy="10788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固定式床边扶手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1、扶手可固定、防侧翻、无凉感，整体表面采用无凉感磨砂材质，底座采用稳固钢板材料，底座面积尺寸：580*260mm，产品净重量:≥7.2KG。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2、高度:820mm高度；横杆间距（从上到下）：250mm,250mm,320mm;立杆间距：300mm;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3、材料：扶手采用钢管材质，扶手套采用高密度橡塑NBR海绵套管；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1）、底板厚度：4.75mm,表面静电喷塑橡胶条包边处理，稳固安全。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2）、固定立柱套管采用直径42mm优质碳钢机加工而成，立柱壁厚4mm,立柱高度78mm,底板跟立杆的连接采用不锈钢螺丝固定方式，安全美观。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3）、扶手内管采用直径32mm高强度碳钢，扶手内管壁厚1.2mm。具有抗冲击，耐高温，耐低温，易清洁，不易滋生细菌的特性。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★4、产品硬度≥2H，冲击高度400mm，无剥落、裂纹、皱纹现象，产品通过耐腐蚀检测，100h内，划道两侧3mm以外，无鼓泡，锈迹、剥落等现象产生。</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1170940</wp:posOffset>
                  </wp:positionV>
                  <wp:extent cx="850265" cy="1401445"/>
                  <wp:effectExtent l="0" t="0" r="6985" b="8255"/>
                  <wp:wrapNone/>
                  <wp:docPr id="471" name="58"/>
                  <wp:cNvGraphicFramePr/>
                  <a:graphic xmlns:a="http://schemas.openxmlformats.org/drawingml/2006/main">
                    <a:graphicData uri="http://schemas.openxmlformats.org/drawingml/2006/picture">
                      <pic:pic xmlns:pic="http://schemas.openxmlformats.org/drawingml/2006/picture">
                        <pic:nvPicPr>
                          <pic:cNvPr id="471" name="58"/>
                          <pic:cNvPicPr/>
                        </pic:nvPicPr>
                        <pic:blipFill>
                          <a:blip r:embed="rId69"/>
                          <a:stretch>
                            <a:fillRect/>
                          </a:stretch>
                        </pic:blipFill>
                        <pic:spPr>
                          <a:xfrm>
                            <a:off x="0" y="0"/>
                            <a:ext cx="850265" cy="14014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可旋转床边扶手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1、产品尺寸：57*50*49cm；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2、材质：高碳钢，底座为扁管；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3、表面处理：喷粉；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4、配送6米安全带及储物袋；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5、180度可折叠。</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374015</wp:posOffset>
                  </wp:positionV>
                  <wp:extent cx="751840" cy="558165"/>
                  <wp:effectExtent l="0" t="0" r="10160" b="5715"/>
                  <wp:wrapNone/>
                  <wp:docPr id="478" name="attachment-1652410875742-183802254205cb62"/>
                  <wp:cNvGraphicFramePr/>
                  <a:graphic xmlns:a="http://schemas.openxmlformats.org/drawingml/2006/main">
                    <a:graphicData uri="http://schemas.openxmlformats.org/drawingml/2006/picture">
                      <pic:pic xmlns:pic="http://schemas.openxmlformats.org/drawingml/2006/picture">
                        <pic:nvPicPr>
                          <pic:cNvPr id="478" name="attachment-1652410875742-183802254205cb62"/>
                          <pic:cNvPicPr/>
                        </pic:nvPicPr>
                        <pic:blipFill>
                          <a:blip r:embed="rId70"/>
                          <a:stretch>
                            <a:fillRect/>
                          </a:stretch>
                        </pic:blipFill>
                        <pic:spPr>
                          <a:xfrm>
                            <a:off x="0" y="0"/>
                            <a:ext cx="751840" cy="5581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双摇床</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3025140</wp:posOffset>
                  </wp:positionH>
                  <wp:positionV relativeFrom="paragraph">
                    <wp:posOffset>286385</wp:posOffset>
                  </wp:positionV>
                  <wp:extent cx="1127760" cy="1041400"/>
                  <wp:effectExtent l="0" t="0" r="15240" b="6350"/>
                  <wp:wrapNone/>
                  <wp:docPr id="473" name="59"/>
                  <wp:cNvGraphicFramePr/>
                  <a:graphic xmlns:a="http://schemas.openxmlformats.org/drawingml/2006/main">
                    <a:graphicData uri="http://schemas.openxmlformats.org/drawingml/2006/picture">
                      <pic:pic xmlns:pic="http://schemas.openxmlformats.org/drawingml/2006/picture">
                        <pic:nvPicPr>
                          <pic:cNvPr id="473" name="59"/>
                          <pic:cNvPicPr/>
                        </pic:nvPicPr>
                        <pic:blipFill>
                          <a:blip r:embed="rId71"/>
                          <a:stretch>
                            <a:fillRect/>
                          </a:stretch>
                        </pic:blipFill>
                        <pic:spPr>
                          <a:xfrm>
                            <a:off x="0" y="0"/>
                            <a:ext cx="1127760" cy="10414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1、尺寸：2040×1050mm（长×宽），整体承重可达≥300kg,背板动态载重≥70kg。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2、调整角度：背部调节高度：0-70°/±5°,腿部调节高度：0-40°/±5。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3、优质网状钢丝结构，弹性大、透气性好，可避免床垫因潮湿而产生的霉变。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4、摇杆系统：摇杆为含油带极限位置双向过营保护螺杆。采用高强度轴承钢制的螺杆， 丝杆万向节采用 45#精钢制成，双重保护，防滑丝，耐磨、轻便省力、无噪音。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5、双侧可插式护栏,方便起身及坐卧助力，有效防止坠床，护栏尺寸：900*270mm（长*宽），护栏圆管直径：19mm。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床头尾板及包围采用弧线形设计,床头尾厚度40mm，床尾上弧形扶手35mmφ，床头尾实现快速拆卸，满足临床急救需求。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6、床垫：与床尺寸配套。</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7、空载时手柄启动力≤1.5N.m；背筐折起角度≤81°；腿筐折起角度≤44°；脚筐折起角度≤45°；产品通过配合性检测，床面中间承受240kg重量之后，凹度量小于40mm，撤出后残留凹度量小2mm，各部位无异常现象；产品通过装配性检测，床框任一侧中间部位承受240kg重量之后，凹度量小于20mm，撤出后残留凹度量小于5mm，各部位无异常现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★8、产品通过配合性检测，床身与床架装配后固定牢靠，无松动，判定结果：合格。</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五功能电动护理床</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1、规格尺寸：外径为102CM*213CM，内径为90CM*200CM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2、护理床安全运作负荷≥220kg，最大承重不低于180Kg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3、床体通过背部、腿部电机，升降电机，实现背部角度升降（0-70°），腿部角度升降（0-30°），整体升降（离地385mm-810mm），小腿部份亦可调节升降，背膝可同步运作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床头床尾板采用规格≥15mm的刨花板，双面贴三聚睛胺（贴面颜色为榉木色），甲醛释放达到E1级环保标准，护栏为全封闭木护栏，护栏的升降操作装置需符合”一提一按“安全标准，以防操作者身体受损，当护栏升起时，高度（床垫面到护栏）应为≥220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5、床头两侧各配备一个手抓杆插孔（亦可装输液架）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6、脚轮：4个直径100mm的旋转脚轮，且都具有刹车装置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7、整床折叠式设计、床头、床尾及床架之间可拆分，便于不用时储存.</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730885</wp:posOffset>
                  </wp:positionV>
                  <wp:extent cx="880110" cy="894715"/>
                  <wp:effectExtent l="0" t="0" r="3810" b="4445"/>
                  <wp:wrapNone/>
                  <wp:docPr id="479" name="29"/>
                  <wp:cNvGraphicFramePr/>
                  <a:graphic xmlns:a="http://schemas.openxmlformats.org/drawingml/2006/main">
                    <a:graphicData uri="http://schemas.openxmlformats.org/drawingml/2006/picture">
                      <pic:pic xmlns:pic="http://schemas.openxmlformats.org/drawingml/2006/picture">
                        <pic:nvPicPr>
                          <pic:cNvPr id="479" name="29"/>
                          <pic:cNvPicPr/>
                        </pic:nvPicPr>
                        <pic:blipFill>
                          <a:blip r:embed="rId72"/>
                          <a:stretch>
                            <a:fillRect/>
                          </a:stretch>
                        </pic:blipFill>
                        <pic:spPr>
                          <a:xfrm>
                            <a:off x="0" y="0"/>
                            <a:ext cx="880110" cy="8947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70</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适老抽拉水龙头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1.尺寸:高450*宽210mm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2.可旋转出水管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4.不锈钢编织软管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5.表面拉丝</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288290</wp:posOffset>
                  </wp:positionV>
                  <wp:extent cx="733425" cy="828675"/>
                  <wp:effectExtent l="0" t="0" r="13335" b="9525"/>
                  <wp:wrapNone/>
                  <wp:docPr id="472" name="46"/>
                  <wp:cNvGraphicFramePr/>
                  <a:graphic xmlns:a="http://schemas.openxmlformats.org/drawingml/2006/main">
                    <a:graphicData uri="http://schemas.openxmlformats.org/drawingml/2006/picture">
                      <pic:pic xmlns:pic="http://schemas.openxmlformats.org/drawingml/2006/picture">
                        <pic:nvPicPr>
                          <pic:cNvPr id="472" name="46"/>
                          <pic:cNvPicPr/>
                        </pic:nvPicPr>
                        <pic:blipFill>
                          <a:blip r:embed="rId73"/>
                          <a:stretch>
                            <a:fillRect/>
                          </a:stretch>
                        </pic:blipFill>
                        <pic:spPr>
                          <a:xfrm>
                            <a:off x="0" y="0"/>
                            <a:ext cx="733425" cy="8286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固定式不锈钢操作台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优质不锈钢 拼装式 单层不锈钢桌子  120*60*80cm，可固定，防侧翻、安全性佳。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台面δ=1.0mm(下衬1.5cm多层实木板)，脚Φ48(配有可调子弹脚)  上层板  实际厚度&gt;0.85mm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 下部不锈钢圆管腿脚，高度可调节  桌面前后两个宽面半圆倒角处理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  腿脚为圆管,实际展开厚度&gt;0.85mm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  下腿短边 长边均用螺丝固定 用Φ32圆管 实厚&gt;0.85mm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  固定螺丝，挡片为镀锌材质 减震板下方撑为高强度全钢材质</w:t>
            </w:r>
          </w:p>
        </w:tc>
        <w:tc>
          <w:tcPr>
            <w:tcW w:w="180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796925</wp:posOffset>
                  </wp:positionV>
                  <wp:extent cx="892810" cy="797560"/>
                  <wp:effectExtent l="0" t="0" r="6350" b="10160"/>
                  <wp:wrapNone/>
                  <wp:docPr id="489" name="68"/>
                  <wp:cNvGraphicFramePr/>
                  <a:graphic xmlns:a="http://schemas.openxmlformats.org/drawingml/2006/main">
                    <a:graphicData uri="http://schemas.openxmlformats.org/drawingml/2006/picture">
                      <pic:pic xmlns:pic="http://schemas.openxmlformats.org/drawingml/2006/picture">
                        <pic:nvPicPr>
                          <pic:cNvPr id="489" name="68"/>
                          <pic:cNvPicPr/>
                        </pic:nvPicPr>
                        <pic:blipFill>
                          <a:blip r:embed="rId74"/>
                          <a:stretch>
                            <a:fillRect/>
                          </a:stretch>
                        </pic:blipFill>
                        <pic:spPr>
                          <a:xfrm>
                            <a:off x="0" y="0"/>
                            <a:ext cx="892810" cy="797560"/>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单槽洗漱池</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500*500*800 mm,采用优质不锈钢板制作，台面δ=1.0mm，层板侧板δ=1.0mm，星盆斗δ=1.0mm，主立柱38mm，横拉28mm,不锈钢可调节重力子弹脚，配优质不锈钢落水器、拦渣斗。</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159385</wp:posOffset>
                  </wp:positionV>
                  <wp:extent cx="795020" cy="755015"/>
                  <wp:effectExtent l="0" t="0" r="5080" b="6985"/>
                  <wp:wrapNone/>
                  <wp:docPr id="468" name="51"/>
                  <wp:cNvGraphicFramePr/>
                  <a:graphic xmlns:a="http://schemas.openxmlformats.org/drawingml/2006/main">
                    <a:graphicData uri="http://schemas.openxmlformats.org/drawingml/2006/picture">
                      <pic:pic xmlns:pic="http://schemas.openxmlformats.org/drawingml/2006/picture">
                        <pic:nvPicPr>
                          <pic:cNvPr id="468" name="51"/>
                          <pic:cNvPicPr/>
                        </pic:nvPicPr>
                        <pic:blipFill>
                          <a:blip r:embed="rId75"/>
                          <a:stretch>
                            <a:fillRect/>
                          </a:stretch>
                        </pic:blipFill>
                        <pic:spPr>
                          <a:xfrm>
                            <a:off x="0" y="0"/>
                            <a:ext cx="795020" cy="7550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不锈钢煤气灶台架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总长120cm,宽40cm,左高80cm,右高70cm;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采用优质不锈钢板制作，台面δ=1.0mm，层板侧板δ=1.0mm，主立柱38mm，横拉28mm,不锈钢可调节重力子弹脚。</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216535</wp:posOffset>
                  </wp:positionV>
                  <wp:extent cx="967105" cy="737235"/>
                  <wp:effectExtent l="0" t="0" r="4445" b="5715"/>
                  <wp:wrapNone/>
                  <wp:docPr id="469" name="52"/>
                  <wp:cNvGraphicFramePr/>
                  <a:graphic xmlns:a="http://schemas.openxmlformats.org/drawingml/2006/main">
                    <a:graphicData uri="http://schemas.openxmlformats.org/drawingml/2006/picture">
                      <pic:pic xmlns:pic="http://schemas.openxmlformats.org/drawingml/2006/picture">
                        <pic:nvPicPr>
                          <pic:cNvPr id="469" name="52"/>
                          <pic:cNvPicPr/>
                        </pic:nvPicPr>
                        <pic:blipFill>
                          <a:blip r:embed="rId76"/>
                          <a:stretch>
                            <a:fillRect/>
                          </a:stretch>
                        </pic:blipFill>
                        <pic:spPr>
                          <a:xfrm>
                            <a:off x="0" y="0"/>
                            <a:ext cx="967105" cy="7372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适老橱柜--底柜含案台底位进深空间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1、整体采用三聚氰胺饰面板制作，厚度25mm，符合GB18580-2001《室内装饰装修材料 人造板及其制品中甲醛释放限量》检测标准。封边：采用PVC同色封边，一次性热压成型，厚度达2mm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2.人造大理石台面</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520700</wp:posOffset>
                  </wp:positionV>
                  <wp:extent cx="875030" cy="391795"/>
                  <wp:effectExtent l="0" t="0" r="8890" b="4445"/>
                  <wp:wrapNone/>
                  <wp:docPr id="461" name="89"/>
                  <wp:cNvGraphicFramePr/>
                  <a:graphic xmlns:a="http://schemas.openxmlformats.org/drawingml/2006/main">
                    <a:graphicData uri="http://schemas.openxmlformats.org/drawingml/2006/picture">
                      <pic:pic xmlns:pic="http://schemas.openxmlformats.org/drawingml/2006/picture">
                        <pic:nvPicPr>
                          <pic:cNvPr id="461" name="89"/>
                          <pic:cNvPicPr/>
                        </pic:nvPicPr>
                        <pic:blipFill>
                          <a:blip r:embed="rId77"/>
                          <a:stretch>
                            <a:fillRect/>
                          </a:stretch>
                        </pic:blipFill>
                        <pic:spPr>
                          <a:xfrm>
                            <a:off x="0" y="0"/>
                            <a:ext cx="875030" cy="3917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电动晾衣架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20W全景照明，26挂孔，升降高度1100mm,晾杆长度1.32-2.2米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稳定智能电机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大量晒承载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大屏照明，电亮夜间晾晒</w:t>
            </w:r>
          </w:p>
        </w:tc>
        <w:tc>
          <w:tcPr>
            <w:tcW w:w="180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212090</wp:posOffset>
                  </wp:positionV>
                  <wp:extent cx="942975" cy="723900"/>
                  <wp:effectExtent l="0" t="0" r="1905" b="7620"/>
                  <wp:wrapNone/>
                  <wp:docPr id="470" name="56"/>
                  <wp:cNvGraphicFramePr/>
                  <a:graphic xmlns:a="http://schemas.openxmlformats.org/drawingml/2006/main">
                    <a:graphicData uri="http://schemas.openxmlformats.org/drawingml/2006/picture">
                      <pic:pic xmlns:pic="http://schemas.openxmlformats.org/drawingml/2006/picture">
                        <pic:nvPicPr>
                          <pic:cNvPr id="470" name="56"/>
                          <pic:cNvPicPr/>
                        </pic:nvPicPr>
                        <pic:blipFill>
                          <a:blip r:embed="rId78"/>
                          <a:stretch>
                            <a:fillRect/>
                          </a:stretch>
                        </pic:blipFill>
                        <pic:spPr>
                          <a:xfrm>
                            <a:off x="0" y="0"/>
                            <a:ext cx="942975" cy="723900"/>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防褥疮床垫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尺寸：2000*900mm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1.条形波动，1、2、3档为波动档，带有微型喷气孔。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2.间隔管7分钟交替充气。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3.低噪音设计，不大于20分贝。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4.气条可单独拆卸，方便更换。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5.微电脑控制气囊换气。</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377190</wp:posOffset>
                  </wp:positionV>
                  <wp:extent cx="1011555" cy="769620"/>
                  <wp:effectExtent l="0" t="0" r="17145" b="0"/>
                  <wp:wrapNone/>
                  <wp:docPr id="491" name="41"/>
                  <wp:cNvGraphicFramePr/>
                  <a:graphic xmlns:a="http://schemas.openxmlformats.org/drawingml/2006/main">
                    <a:graphicData uri="http://schemas.openxmlformats.org/drawingml/2006/picture">
                      <pic:pic xmlns:pic="http://schemas.openxmlformats.org/drawingml/2006/picture">
                        <pic:nvPicPr>
                          <pic:cNvPr id="491" name="41"/>
                          <pic:cNvPicPr/>
                        </pic:nvPicPr>
                        <pic:blipFill>
                          <a:blip r:embed="rId79"/>
                          <a:stretch>
                            <a:fillRect/>
                          </a:stretch>
                        </pic:blipFill>
                        <pic:spPr>
                          <a:xfrm>
                            <a:off x="0" y="0"/>
                            <a:ext cx="1011555" cy="7696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3D防褥疮床垫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1980*1500*80mm/1980*1200*80mm，密度60kg/m³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面料：网眼布（涤纶）内芯：树脂纤维芯材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1、透气性：如水晶般的丝缕缠绕，造就前所未有的透气性，形成了有利于空气微循环的自然透气通道，显著提升散热排湿，具有冬暖夏凉的效果。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2、舒适性：数以万计支撑点均匀分散身体重量，超高弹性材料自动适应身体轮廓，确保血液畅通肌肉放松，让您安然舒适入睡。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3、环保性：芯材原料进口自世界500强企业，品质保证，成品经CTI测试不含有害物质，本品用完可回收，环境友好。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4、水洗性:优异的结构与优良的材料造就了可冲洗的特性，而且阴凉速干，给您长久的清洁睡眠环境。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5、防螨性：优良的透气性与独特的可水洗，让您远离螨虫的侵害，细菌的滋生以及霉变的异味。</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812165</wp:posOffset>
                  </wp:positionV>
                  <wp:extent cx="924560" cy="1236980"/>
                  <wp:effectExtent l="0" t="0" r="8890" b="1270"/>
                  <wp:wrapNone/>
                  <wp:docPr id="480" name="attachment-1652409968244-307a6495500352a5"/>
                  <wp:cNvGraphicFramePr/>
                  <a:graphic xmlns:a="http://schemas.openxmlformats.org/drawingml/2006/main">
                    <a:graphicData uri="http://schemas.openxmlformats.org/drawingml/2006/picture">
                      <pic:pic xmlns:pic="http://schemas.openxmlformats.org/drawingml/2006/picture">
                        <pic:nvPicPr>
                          <pic:cNvPr id="480" name="attachment-1652409968244-307a6495500352a5"/>
                          <pic:cNvPicPr/>
                        </pic:nvPicPr>
                        <pic:blipFill>
                          <a:blip r:embed="rId80"/>
                          <a:stretch>
                            <a:fillRect/>
                          </a:stretch>
                        </pic:blipFill>
                        <pic:spPr>
                          <a:xfrm>
                            <a:off x="0" y="0"/>
                            <a:ext cx="924560" cy="123698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移位枕</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尺寸：500*250*150mm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材质：全棉布套+高密度海绵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回弹性好，柔软贴合舒适。</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180975</wp:posOffset>
                  </wp:positionV>
                  <wp:extent cx="834390" cy="655320"/>
                  <wp:effectExtent l="0" t="0" r="3810" b="0"/>
                  <wp:wrapNone/>
                  <wp:docPr id="460" name="图片_165"/>
                  <wp:cNvGraphicFramePr/>
                  <a:graphic xmlns:a="http://schemas.openxmlformats.org/drawingml/2006/main">
                    <a:graphicData uri="http://schemas.openxmlformats.org/drawingml/2006/picture">
                      <pic:pic xmlns:pic="http://schemas.openxmlformats.org/drawingml/2006/picture">
                        <pic:nvPicPr>
                          <pic:cNvPr id="460" name="图片_165"/>
                          <pic:cNvPicPr/>
                        </pic:nvPicPr>
                        <pic:blipFill>
                          <a:blip r:embed="rId81"/>
                          <a:stretch>
                            <a:fillRect/>
                          </a:stretch>
                        </pic:blipFill>
                        <pic:spPr>
                          <a:xfrm>
                            <a:off x="0" y="0"/>
                            <a:ext cx="834390" cy="6553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弯柄擦背刷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 350*240mm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材质：PP+15%玻璃纤维环保塑胶材料，无毒环保。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洗澡刷刷头配有复合布套，可拆卸清洗或更换。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手柄防滑，方便挂靠。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309880</wp:posOffset>
                  </wp:positionV>
                  <wp:extent cx="847725" cy="314325"/>
                  <wp:effectExtent l="0" t="0" r="5715" b="5715"/>
                  <wp:wrapNone/>
                  <wp:docPr id="481" name="26"/>
                  <wp:cNvGraphicFramePr/>
                  <a:graphic xmlns:a="http://schemas.openxmlformats.org/drawingml/2006/main">
                    <a:graphicData uri="http://schemas.openxmlformats.org/drawingml/2006/picture">
                      <pic:pic xmlns:pic="http://schemas.openxmlformats.org/drawingml/2006/picture">
                        <pic:nvPicPr>
                          <pic:cNvPr id="481" name="26"/>
                          <pic:cNvPicPr/>
                        </pic:nvPicPr>
                        <pic:blipFill>
                          <a:blip r:embed="rId82"/>
                          <a:stretch>
                            <a:fillRect/>
                          </a:stretch>
                        </pic:blipFill>
                        <pic:spPr>
                          <a:xfrm>
                            <a:off x="0" y="0"/>
                            <a:ext cx="847725" cy="314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长柄梳子</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尺寸：320*38mm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该产品采用PP+15%玻璃纤维环保塑胶材料，无毒环保。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手柄防滑，手柄尾部留有穿戴孔，方便挂靠。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202565</wp:posOffset>
                  </wp:positionV>
                  <wp:extent cx="809625" cy="400050"/>
                  <wp:effectExtent l="0" t="0" r="13335" b="11430"/>
                  <wp:wrapNone/>
                  <wp:docPr id="476" name="27"/>
                  <wp:cNvGraphicFramePr/>
                  <a:graphic xmlns:a="http://schemas.openxmlformats.org/drawingml/2006/main">
                    <a:graphicData uri="http://schemas.openxmlformats.org/drawingml/2006/picture">
                      <pic:pic xmlns:pic="http://schemas.openxmlformats.org/drawingml/2006/picture">
                        <pic:nvPicPr>
                          <pic:cNvPr id="476" name="27"/>
                          <pic:cNvPicPr/>
                        </pic:nvPicPr>
                        <pic:blipFill>
                          <a:blip r:embed="rId83"/>
                          <a:stretch>
                            <a:fillRect/>
                          </a:stretch>
                        </pic:blipFill>
                        <pic:spPr>
                          <a:xfrm>
                            <a:off x="0" y="0"/>
                            <a:ext cx="809625" cy="4000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记忆成人牙刷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尺寸：37*26*225mm，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材质：手柄材质为形状记忆聚合物，刷头为抗菌刷毛。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结构：U形握柄的形状记忆牙刷,握柄可多次加热软化重新塑型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握柄的材质无毒、无害、抗菌环保、易于清洁、不易退色；</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刷毛柔软，刷牙干净，不容易出血。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334010</wp:posOffset>
                  </wp:positionV>
                  <wp:extent cx="866775" cy="762000"/>
                  <wp:effectExtent l="0" t="0" r="1905" b="0"/>
                  <wp:wrapNone/>
                  <wp:docPr id="487" name="28"/>
                  <wp:cNvGraphicFramePr/>
                  <a:graphic xmlns:a="http://schemas.openxmlformats.org/drawingml/2006/main">
                    <a:graphicData uri="http://schemas.openxmlformats.org/drawingml/2006/picture">
                      <pic:pic xmlns:pic="http://schemas.openxmlformats.org/drawingml/2006/picture">
                        <pic:nvPicPr>
                          <pic:cNvPr id="487" name="28"/>
                          <pic:cNvPicPr/>
                        </pic:nvPicPr>
                        <pic:blipFill>
                          <a:blip r:embed="rId84"/>
                          <a:stretch>
                            <a:fillRect/>
                          </a:stretch>
                        </pic:blipFill>
                        <pic:spPr>
                          <a:xfrm>
                            <a:off x="0" y="0"/>
                            <a:ext cx="866775" cy="7620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充气式浴槽</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外围尺寸：2000*850*250mm,内径尺寸：1800*650*150mm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净重：5kg，最大承重：200Kg。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材质：防毒、耐寒、高弹、符合欧盟EN-71标准的环保PVC。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1、采用抽充两用气塞：充气时只进气不出气，抽气能快速放气；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2、90°直角排水，洗澡时废水很快排出，不会因挤压堵住不排水；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3、专利17°角斜面设计，头高脚低防呛水，排水方便，护理高效；</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713740</wp:posOffset>
                  </wp:positionV>
                  <wp:extent cx="1028065" cy="1085215"/>
                  <wp:effectExtent l="0" t="0" r="635" b="635"/>
                  <wp:wrapNone/>
                  <wp:docPr id="462" name="31"/>
                  <wp:cNvGraphicFramePr/>
                  <a:graphic xmlns:a="http://schemas.openxmlformats.org/drawingml/2006/main">
                    <a:graphicData uri="http://schemas.openxmlformats.org/drawingml/2006/picture">
                      <pic:pic xmlns:pic="http://schemas.openxmlformats.org/drawingml/2006/picture">
                        <pic:nvPicPr>
                          <pic:cNvPr id="462" name="31"/>
                          <pic:cNvPicPr/>
                        </pic:nvPicPr>
                        <pic:blipFill>
                          <a:blip r:embed="rId85"/>
                          <a:stretch>
                            <a:fillRect/>
                          </a:stretch>
                        </pic:blipFill>
                        <pic:spPr>
                          <a:xfrm>
                            <a:off x="0" y="0"/>
                            <a:ext cx="1028065" cy="10852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1、车架选用航钛高强度A3钢焊接而成，表面经喷漆处理后具有不褪色、防锈能力强、安全性能高、坚固耐用等特点。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2、靠背架：角度完全按人体腰部生理弯曲度来设计，为人体提供最佳支撑。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3、座垫/靠垫：采用牛津尼龙布料做成，质地柔软、透气防滑，平整美观. 座面平整。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4、采用固定斜扶手架，坚固耐用，方便使用者站立时辅助。</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5、拆脚：固定式拆脚、操作简易，脚踏板采用塑料脚踏板，高度可调。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6、前轮：8英寸（20cm）PVC前轮，配高强度塑料轮毂,坚固耐用，实心轮耐磨。7、后轮：24英寸（60cm）实心胎后轮，耐磨不用充气，减震功能卓越，配工程塑料手轮装置（手直接驱动轮椅时使用）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8、肘节式刹车装置制动低于座位面，快捷方便、安全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9、可折叠式车型方便携带出行，且能节省占用空间位置。</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1428750</wp:posOffset>
                  </wp:positionV>
                  <wp:extent cx="1076960" cy="930275"/>
                  <wp:effectExtent l="0" t="0" r="8890" b="3175"/>
                  <wp:wrapNone/>
                  <wp:docPr id="474" name="39"/>
                  <wp:cNvGraphicFramePr/>
                  <a:graphic xmlns:a="http://schemas.openxmlformats.org/drawingml/2006/main">
                    <a:graphicData uri="http://schemas.openxmlformats.org/drawingml/2006/picture">
                      <pic:pic xmlns:pic="http://schemas.openxmlformats.org/drawingml/2006/picture">
                        <pic:nvPicPr>
                          <pic:cNvPr id="474" name="39"/>
                          <pic:cNvPicPr/>
                        </pic:nvPicPr>
                        <pic:blipFill>
                          <a:blip r:embed="rId86"/>
                          <a:stretch>
                            <a:fillRect/>
                          </a:stretch>
                        </pic:blipFill>
                        <pic:spPr>
                          <a:xfrm>
                            <a:off x="0" y="0"/>
                            <a:ext cx="1076960" cy="930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老人助行车</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1、人性化贴心设计；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2、铝合金车架；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3、可折叠收纳；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4、大容量购物袋购物袋承重20斤；</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5、支撑扶手；</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248285</wp:posOffset>
                  </wp:positionV>
                  <wp:extent cx="1009650" cy="798830"/>
                  <wp:effectExtent l="0" t="0" r="11430" b="8890"/>
                  <wp:wrapNone/>
                  <wp:docPr id="484" name="72"/>
                  <wp:cNvGraphicFramePr/>
                  <a:graphic xmlns:a="http://schemas.openxmlformats.org/drawingml/2006/main">
                    <a:graphicData uri="http://schemas.openxmlformats.org/drawingml/2006/picture">
                      <pic:pic xmlns:pic="http://schemas.openxmlformats.org/drawingml/2006/picture">
                        <pic:nvPicPr>
                          <pic:cNvPr id="484" name="72"/>
                          <pic:cNvPicPr/>
                        </pic:nvPicPr>
                        <pic:blipFill>
                          <a:blip r:embed="rId87"/>
                          <a:stretch>
                            <a:fillRect/>
                          </a:stretch>
                        </pic:blipFill>
                        <pic:spPr>
                          <a:xfrm>
                            <a:off x="0" y="0"/>
                            <a:ext cx="1009650" cy="7988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1、车架选A3钢焊接而成；具有强度高；重量轻的特性。 采用先进的喷涂技术进行表面喷涂处理。相比对普通喷涂技术，具有：颜色鲜艳、防撞击、防生锈能力强，喷涂表面无重金属、无有毒物质等优点。属于安全、耐用、健康、环保产品。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2、座、靠软垫采用优质牛津布加海棉面料，质地柔软、外表平整美观高档。角度完全符合人体腰部生理弯曲角度；使用者坐、躺舒适。极大地方便使用都的外出或者郊游。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4、前轮采用8寸PU胎。后轮采用12寸加厚耐磨PU后轮组合，具有转向灵活，减震效果出色等优点。使使用者坐、驾使用舒适。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控制器彩用麦控控制器，具用控制精准，质量可靠，启、停平缓等优点。并且能左、右扶手互换；控制器时速为：1～6公里/小时可调节,电量与速度显示功能，可任意360度转向，故障报警等功能。适合不同习惯的使用者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电机采用250W低功耗、大功率的齿轮传动电动机构。配上24伏22安时铅酸电池。一次性充满电约行驶20公里（水平面路）。具有功率大，续航长，爬坡能力强等优点。能轻松爬上坡度：6～8度，具有半坡驻停不溜后等优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7、充电器选用4A恒流恒压浮充式充电器。一次充电时间约8小时左右可充满。电源插头为可任选插头制式，操作方便。</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2285365</wp:posOffset>
                  </wp:positionV>
                  <wp:extent cx="1017905" cy="900430"/>
                  <wp:effectExtent l="0" t="0" r="3175" b="13970"/>
                  <wp:wrapNone/>
                  <wp:docPr id="488" name="attachment-1652427619699-9b65a2b38995917b"/>
                  <wp:cNvGraphicFramePr/>
                  <a:graphic xmlns:a="http://schemas.openxmlformats.org/drawingml/2006/main">
                    <a:graphicData uri="http://schemas.openxmlformats.org/drawingml/2006/picture">
                      <pic:pic xmlns:pic="http://schemas.openxmlformats.org/drawingml/2006/picture">
                        <pic:nvPicPr>
                          <pic:cNvPr id="488" name="attachment-1652427619699-9b65a2b38995917b"/>
                          <pic:cNvPicPr/>
                        </pic:nvPicPr>
                        <pic:blipFill>
                          <a:blip r:embed="rId88"/>
                          <a:stretch>
                            <a:fillRect/>
                          </a:stretch>
                        </pic:blipFill>
                        <pic:spPr>
                          <a:xfrm>
                            <a:off x="0" y="0"/>
                            <a:ext cx="1017905" cy="9004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带凳拐杖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折叠尺寸： 43-50cm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展开尺寸： 81-91cm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1、凳面：24*24cm （坐姿需注意，要面向拐杖面）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2、座板：PVC材质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3、带 LED 照明灯，铝合金 ABS 塑料，重量 1.04kg，承重 200 斤，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127635</wp:posOffset>
                  </wp:positionV>
                  <wp:extent cx="971550" cy="1076325"/>
                  <wp:effectExtent l="0" t="0" r="0" b="0"/>
                  <wp:wrapNone/>
                  <wp:docPr id="465" name="34"/>
                  <wp:cNvGraphicFramePr/>
                  <a:graphic xmlns:a="http://schemas.openxmlformats.org/drawingml/2006/main">
                    <a:graphicData uri="http://schemas.openxmlformats.org/drawingml/2006/picture">
                      <pic:pic xmlns:pic="http://schemas.openxmlformats.org/drawingml/2006/picture">
                        <pic:nvPicPr>
                          <pic:cNvPr id="465" name="34"/>
                          <pic:cNvPicPr/>
                        </pic:nvPicPr>
                        <pic:blipFill>
                          <a:blip r:embed="rId89"/>
                          <a:stretch>
                            <a:fillRect/>
                          </a:stretch>
                        </pic:blipFill>
                        <pic:spPr>
                          <a:xfrm>
                            <a:off x="0" y="0"/>
                            <a:ext cx="971550" cy="1076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制氧机</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尺寸：372*340*612mm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氧浓度：93%±3%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额定功率：390W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额定流量：3L/min</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整机重量：21kg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工作电压：~220±10%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额定频率：50±1HZ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额定浓度：93±3%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最佳噪音≤36dB(A)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氧气出口压力45±10%KPa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法国原装进口分子筛，效率高寿命长；体积小，性能强；定时功能，氧浓度低报警，断电报警，温度报警，雾化功能。</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781685</wp:posOffset>
                  </wp:positionV>
                  <wp:extent cx="1066800" cy="1314450"/>
                  <wp:effectExtent l="0" t="0" r="0" b="0"/>
                  <wp:wrapNone/>
                  <wp:docPr id="475" name="33"/>
                  <wp:cNvGraphicFramePr/>
                  <a:graphic xmlns:a="http://schemas.openxmlformats.org/drawingml/2006/main">
                    <a:graphicData uri="http://schemas.openxmlformats.org/drawingml/2006/picture">
                      <pic:pic xmlns:pic="http://schemas.openxmlformats.org/drawingml/2006/picture">
                        <pic:nvPicPr>
                          <pic:cNvPr id="475" name="33"/>
                          <pic:cNvPicPr/>
                        </pic:nvPicPr>
                        <pic:blipFill>
                          <a:blip r:embed="rId90"/>
                          <a:stretch>
                            <a:fillRect/>
                          </a:stretch>
                        </pic:blipFill>
                        <pic:spPr>
                          <a:xfrm>
                            <a:off x="0" y="0"/>
                            <a:ext cx="1066800" cy="13144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血压计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外形尺寸：160*120*81mm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测量范围：压力0mmHg~299mmHg(0KPa~39kPa),脉搏：40跳/分~199跳/分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测量精度：静态压力：±3mmHg(±0.4kPa)    脉搏：读取数值的±5%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操作环境：温度：5℃~40℃   湿度：15%~80%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运输与储存环境：温度-20℃~55℃  湿度：10%~95%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大气压力：800hPa~1050hPa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重量：约577克（不含电池）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臂带周长：24cm~40cm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血压示值重复性：≤5mmHg(0.7kPa)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561975</wp:posOffset>
                  </wp:positionV>
                  <wp:extent cx="857250" cy="1266825"/>
                  <wp:effectExtent l="0" t="0" r="11430" b="13335"/>
                  <wp:wrapNone/>
                  <wp:docPr id="477" name="37"/>
                  <wp:cNvGraphicFramePr/>
                  <a:graphic xmlns:a="http://schemas.openxmlformats.org/drawingml/2006/main">
                    <a:graphicData uri="http://schemas.openxmlformats.org/drawingml/2006/picture">
                      <pic:pic xmlns:pic="http://schemas.openxmlformats.org/drawingml/2006/picture">
                        <pic:nvPicPr>
                          <pic:cNvPr id="477" name="37"/>
                          <pic:cNvPicPr/>
                        </pic:nvPicPr>
                        <pic:blipFill>
                          <a:blip r:embed="rId91"/>
                          <a:stretch>
                            <a:fillRect/>
                          </a:stretch>
                        </pic:blipFill>
                        <pic:spPr>
                          <a:xfrm>
                            <a:off x="0" y="0"/>
                            <a:ext cx="857250" cy="12668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远红外护膝</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波长：8um-15um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拉伸弹性恢复率：横向≥70%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远红法相发射率≥78%</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负离子浓度≥3500个/cm³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远红外光波，共振吸收，持续理疗</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220980</wp:posOffset>
                  </wp:positionV>
                  <wp:extent cx="728345" cy="753745"/>
                  <wp:effectExtent l="0" t="0" r="3175" b="8255"/>
                  <wp:wrapNone/>
                  <wp:docPr id="482" name="36"/>
                  <wp:cNvGraphicFramePr/>
                  <a:graphic xmlns:a="http://schemas.openxmlformats.org/drawingml/2006/main">
                    <a:graphicData uri="http://schemas.openxmlformats.org/drawingml/2006/picture">
                      <pic:pic xmlns:pic="http://schemas.openxmlformats.org/drawingml/2006/picture">
                        <pic:nvPicPr>
                          <pic:cNvPr id="482" name="36"/>
                          <pic:cNvPicPr/>
                        </pic:nvPicPr>
                        <pic:blipFill>
                          <a:blip r:embed="rId92"/>
                          <a:stretch>
                            <a:fillRect/>
                          </a:stretch>
                        </pic:blipFill>
                        <pic:spPr>
                          <a:xfrm>
                            <a:off x="0" y="0"/>
                            <a:ext cx="728345" cy="7537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智能药盒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尺寸：直径11cm*高2.5cm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材质：食品级PP（放药格）+ABS（定时器）+纽扣电池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1.采用食品级PP+电子元件材质，无毒无异味，健康环保；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2.24小时内4组闹钟，随意设置，一次设置，每天按时响铃；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3.7分格，对应星期一到星期天标识，避免错服漏服药；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4.每天对应的小格可单独开启，卡扣紧实，不易松动。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5、三种提醒方式：铃声提醒、LED闪灯提醒、LCD上闪动符号提醒、同事有四种不同的铃声提醒；</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6、有LED夜光灯功能，方便夜晚使用；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7、7格放药格，每格可以独立打开，大容量；定时器可以去除，单独使用。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489585</wp:posOffset>
                  </wp:positionV>
                  <wp:extent cx="809625" cy="819150"/>
                  <wp:effectExtent l="0" t="0" r="13335" b="3810"/>
                  <wp:wrapNone/>
                  <wp:docPr id="504" name="19"/>
                  <wp:cNvGraphicFramePr/>
                  <a:graphic xmlns:a="http://schemas.openxmlformats.org/drawingml/2006/main">
                    <a:graphicData uri="http://schemas.openxmlformats.org/drawingml/2006/picture">
                      <pic:pic xmlns:pic="http://schemas.openxmlformats.org/drawingml/2006/picture">
                        <pic:nvPicPr>
                          <pic:cNvPr id="504" name="19"/>
                          <pic:cNvPicPr/>
                        </pic:nvPicPr>
                        <pic:blipFill>
                          <a:blip r:embed="rId93"/>
                          <a:stretch>
                            <a:fillRect/>
                          </a:stretch>
                        </pic:blipFill>
                        <pic:spPr>
                          <a:xfrm>
                            <a:off x="0" y="0"/>
                            <a:ext cx="809625"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适老餐具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1、助食筷可帮助一些手部僵硬、中风、挛缩的病人，自主进食。其独特的设计，及时在使用过程中，因手部问题造成的不稳现象，也可较为轻松的夹起食物。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助食勺和助食叉能在水平140°、轴向旋转360°的空间范围内任意调整及锁定位置，并保持其状态。手柄位置带有橡胶皮带可按手的大小，调整松紧。手柄内部空间可以放置配重，满足用户的使用习惯及特殊需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3、助食碗和防洒盘底部带有吸盘，吸附力持久，防止碗滑动；碗口一侧为屋檐式设计，防止食物遗洒。材质：碗体为食品级PP塑料，吸盘为无毒级硅胶。</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652780</wp:posOffset>
                  </wp:positionV>
                  <wp:extent cx="876300" cy="952500"/>
                  <wp:effectExtent l="0" t="0" r="6985" b="7620"/>
                  <wp:wrapNone/>
                  <wp:docPr id="503" name="42"/>
                  <wp:cNvGraphicFramePr/>
                  <a:graphic xmlns:a="http://schemas.openxmlformats.org/drawingml/2006/main">
                    <a:graphicData uri="http://schemas.openxmlformats.org/drawingml/2006/picture">
                      <pic:pic xmlns:pic="http://schemas.openxmlformats.org/drawingml/2006/picture">
                        <pic:nvPicPr>
                          <pic:cNvPr id="503" name="42"/>
                          <pic:cNvPicPr/>
                        </pic:nvPicPr>
                        <pic:blipFill>
                          <a:blip r:embed="rId94"/>
                          <a:stretch>
                            <a:fillRect/>
                          </a:stretch>
                        </pic:blipFill>
                        <pic:spPr>
                          <a:xfrm>
                            <a:off x="0" y="0"/>
                            <a:ext cx="876300" cy="9525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智能浴神</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尺寸：470mm*307mm*115mm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适配电源：220V/16A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总功率：2400W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暖房功率：2400W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干衣功率：800W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吹风功率：40W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1、双档冷热风、立体吹风可调节、安全保护、暖风吹发，烘干衣物毛巾，冷风降温。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2、确保老人洗澡有适宜的温度。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3、负离子空气净化。</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4、暖房模式：3秒钟制热，10分钟温暖浴室。</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5、柔和暖风，便捷吹干头发。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6、搭配特别设计的180°旋转衣杆，可以烘干衣服。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7、出风口可自动摆风或定向送风。</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8、氛围灯，可自行调节多种色彩。</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9、夜间感应灯人性化设计，夜间进入卫生间，感应灯会自动感应开启。人离开，10秒钟后会自动熄灭。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10、智能化设计，老人或小孩在使用中忘记关机的情况下，本机两小时自动关闭使用功能。</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1057910</wp:posOffset>
                  </wp:positionV>
                  <wp:extent cx="961390" cy="2092325"/>
                  <wp:effectExtent l="0" t="0" r="10160" b="3175"/>
                  <wp:wrapNone/>
                  <wp:docPr id="514" name="25"/>
                  <wp:cNvGraphicFramePr/>
                  <a:graphic xmlns:a="http://schemas.openxmlformats.org/drawingml/2006/main">
                    <a:graphicData uri="http://schemas.openxmlformats.org/drawingml/2006/picture">
                      <pic:pic xmlns:pic="http://schemas.openxmlformats.org/drawingml/2006/picture">
                        <pic:nvPicPr>
                          <pic:cNvPr id="514" name="25"/>
                          <pic:cNvPicPr/>
                        </pic:nvPicPr>
                        <pic:blipFill>
                          <a:blip r:embed="rId95"/>
                          <a:stretch>
                            <a:fillRect/>
                          </a:stretch>
                        </pic:blipFill>
                        <pic:spPr>
                          <a:xfrm>
                            <a:off x="0" y="0"/>
                            <a:ext cx="961390" cy="2092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开关面板（单开/双开）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银镍合金触点、拜耳PC料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额定电流：10A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额定电压：250V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额定功率：2500W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规格：86*86mm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开关外环有荧光贴条</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538480</wp:posOffset>
                  </wp:positionV>
                  <wp:extent cx="595630" cy="412750"/>
                  <wp:effectExtent l="0" t="0" r="13970" b="13970"/>
                  <wp:wrapNone/>
                  <wp:docPr id="505" name="60"/>
                  <wp:cNvGraphicFramePr/>
                  <a:graphic xmlns:a="http://schemas.openxmlformats.org/drawingml/2006/main">
                    <a:graphicData uri="http://schemas.openxmlformats.org/drawingml/2006/picture">
                      <pic:pic xmlns:pic="http://schemas.openxmlformats.org/drawingml/2006/picture">
                        <pic:nvPicPr>
                          <pic:cNvPr id="505" name="60"/>
                          <pic:cNvPicPr/>
                        </pic:nvPicPr>
                        <pic:blipFill>
                          <a:blip r:embed="rId96"/>
                          <a:stretch>
                            <a:fillRect/>
                          </a:stretch>
                        </pic:blipFill>
                        <pic:spPr>
                          <a:xfrm>
                            <a:off x="0" y="0"/>
                            <a:ext cx="595630" cy="4127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290195</wp:posOffset>
                  </wp:positionV>
                  <wp:extent cx="684530" cy="763905"/>
                  <wp:effectExtent l="0" t="0" r="1270" b="17145"/>
                  <wp:wrapNone/>
                  <wp:docPr id="498" name="61"/>
                  <wp:cNvGraphicFramePr/>
                  <a:graphic xmlns:a="http://schemas.openxmlformats.org/drawingml/2006/main">
                    <a:graphicData uri="http://schemas.openxmlformats.org/drawingml/2006/picture">
                      <pic:pic xmlns:pic="http://schemas.openxmlformats.org/drawingml/2006/picture">
                        <pic:nvPicPr>
                          <pic:cNvPr id="498" name="61"/>
                          <pic:cNvPicPr/>
                        </pic:nvPicPr>
                        <pic:blipFill>
                          <a:blip r:embed="rId97"/>
                          <a:stretch>
                            <a:fillRect/>
                          </a:stretch>
                        </pic:blipFill>
                        <pic:spPr>
                          <a:xfrm>
                            <a:off x="0" y="0"/>
                            <a:ext cx="684530" cy="7639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五孔插座/开关插座</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进口拜耳PC料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额定电流：10A/16A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额定电压：250V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额定功率：2500W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规格：86*86mm</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177165</wp:posOffset>
                  </wp:positionV>
                  <wp:extent cx="744220" cy="721360"/>
                  <wp:effectExtent l="0" t="0" r="17780" b="2540"/>
                  <wp:wrapNone/>
                  <wp:docPr id="501" name="63"/>
                  <wp:cNvGraphicFramePr/>
                  <a:graphic xmlns:a="http://schemas.openxmlformats.org/drawingml/2006/main">
                    <a:graphicData uri="http://schemas.openxmlformats.org/drawingml/2006/picture">
                      <pic:pic xmlns:pic="http://schemas.openxmlformats.org/drawingml/2006/picture">
                        <pic:nvPicPr>
                          <pic:cNvPr id="501" name="63"/>
                          <pic:cNvPicPr/>
                        </pic:nvPicPr>
                        <pic:blipFill>
                          <a:blip r:embed="rId98"/>
                          <a:stretch>
                            <a:fillRect/>
                          </a:stretch>
                        </pic:blipFill>
                        <pic:spPr>
                          <a:xfrm>
                            <a:off x="0" y="0"/>
                            <a:ext cx="744220" cy="7213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546100</wp:posOffset>
                  </wp:positionH>
                  <wp:positionV relativeFrom="paragraph">
                    <wp:posOffset>287020</wp:posOffset>
                  </wp:positionV>
                  <wp:extent cx="508000" cy="611505"/>
                  <wp:effectExtent l="0" t="0" r="6350" b="17145"/>
                  <wp:wrapNone/>
                  <wp:docPr id="494" name="62"/>
                  <wp:cNvGraphicFramePr/>
                  <a:graphic xmlns:a="http://schemas.openxmlformats.org/drawingml/2006/main">
                    <a:graphicData uri="http://schemas.openxmlformats.org/drawingml/2006/picture">
                      <pic:pic xmlns:pic="http://schemas.openxmlformats.org/drawingml/2006/picture">
                        <pic:nvPicPr>
                          <pic:cNvPr id="494" name="62"/>
                          <pic:cNvPicPr/>
                        </pic:nvPicPr>
                        <pic:blipFill>
                          <a:blip r:embed="rId99"/>
                          <a:stretch>
                            <a:fillRect/>
                          </a:stretch>
                        </pic:blipFill>
                        <pic:spPr>
                          <a:xfrm>
                            <a:off x="0" y="0"/>
                            <a:ext cx="508000" cy="6115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水管更换</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墙面开槽，原管拆除，接新水管，布管横平竖直，热水管加保温套，墙面修复（含人工、主材、辅材）。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148590</wp:posOffset>
                  </wp:positionV>
                  <wp:extent cx="578485" cy="476250"/>
                  <wp:effectExtent l="0" t="0" r="635" b="11430"/>
                  <wp:wrapNone/>
                  <wp:docPr id="513" name="73"/>
                  <wp:cNvGraphicFramePr/>
                  <a:graphic xmlns:a="http://schemas.openxmlformats.org/drawingml/2006/main">
                    <a:graphicData uri="http://schemas.openxmlformats.org/drawingml/2006/picture">
                      <pic:pic xmlns:pic="http://schemas.openxmlformats.org/drawingml/2006/picture">
                        <pic:nvPicPr>
                          <pic:cNvPr id="513" name="73"/>
                          <pic:cNvPicPr/>
                        </pic:nvPicPr>
                        <pic:blipFill>
                          <a:blip r:embed="rId100"/>
                          <a:stretch>
                            <a:fillRect/>
                          </a:stretch>
                        </pic:blipFill>
                        <pic:spPr>
                          <a:xfrm>
                            <a:off x="0" y="0"/>
                            <a:ext cx="578485" cy="476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墙/地面瓷砖铺设</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找平，放线，瓷砖处理，铺贴，嵌缝处理（含人工、主材、辅材；不含防水）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122555</wp:posOffset>
                  </wp:positionV>
                  <wp:extent cx="858520" cy="605155"/>
                  <wp:effectExtent l="0" t="0" r="10160" b="4445"/>
                  <wp:wrapNone/>
                  <wp:docPr id="496" name="100"/>
                  <wp:cNvGraphicFramePr/>
                  <a:graphic xmlns:a="http://schemas.openxmlformats.org/drawingml/2006/main">
                    <a:graphicData uri="http://schemas.openxmlformats.org/drawingml/2006/picture">
                      <pic:pic xmlns:pic="http://schemas.openxmlformats.org/drawingml/2006/picture">
                        <pic:nvPicPr>
                          <pic:cNvPr id="496" name="100"/>
                          <pic:cNvPicPr/>
                        </pic:nvPicPr>
                        <pic:blipFill>
                          <a:blip r:embed="rId101"/>
                          <a:stretch>
                            <a:fillRect/>
                          </a:stretch>
                        </pic:blipFill>
                        <pic:spPr>
                          <a:xfrm>
                            <a:off x="0" y="0"/>
                            <a:ext cx="858520" cy="60515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墙/地面防水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找平，三遍JS防水涂料，干区地面上返300mm，湿区1800mm以上；24小时闭水试验合格，蓄水高度30mm-40mm。</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354965</wp:posOffset>
                  </wp:positionV>
                  <wp:extent cx="703580" cy="328295"/>
                  <wp:effectExtent l="0" t="0" r="12700" b="6985"/>
                  <wp:wrapNone/>
                  <wp:docPr id="502" name="101"/>
                  <wp:cNvGraphicFramePr/>
                  <a:graphic xmlns:a="http://schemas.openxmlformats.org/drawingml/2006/main">
                    <a:graphicData uri="http://schemas.openxmlformats.org/drawingml/2006/picture">
                      <pic:pic xmlns:pic="http://schemas.openxmlformats.org/drawingml/2006/picture">
                        <pic:nvPicPr>
                          <pic:cNvPr id="502" name="101"/>
                          <pic:cNvPicPr/>
                        </pic:nvPicPr>
                        <pic:blipFill>
                          <a:blip r:embed="rId102"/>
                          <a:stretch>
                            <a:fillRect/>
                          </a:stretch>
                        </pic:blipFill>
                        <pic:spPr>
                          <a:xfrm>
                            <a:off x="0" y="0"/>
                            <a:ext cx="703580" cy="3282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浴缸拆除及修补</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拆除，粉平，防水，改管，贴瓷砖（含人工、主材、辅材）。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306705</wp:posOffset>
                  </wp:positionV>
                  <wp:extent cx="878840" cy="527685"/>
                  <wp:effectExtent l="0" t="0" r="5080" b="5715"/>
                  <wp:wrapNone/>
                  <wp:docPr id="506" name="74"/>
                  <wp:cNvGraphicFramePr/>
                  <a:graphic xmlns:a="http://schemas.openxmlformats.org/drawingml/2006/main">
                    <a:graphicData uri="http://schemas.openxmlformats.org/drawingml/2006/picture">
                      <pic:pic xmlns:pic="http://schemas.openxmlformats.org/drawingml/2006/picture">
                        <pic:nvPicPr>
                          <pic:cNvPr id="506" name="74"/>
                          <pic:cNvPicPr/>
                        </pic:nvPicPr>
                        <pic:blipFill>
                          <a:blip r:embed="rId103"/>
                          <a:stretch>
                            <a:fillRect/>
                          </a:stretch>
                        </pic:blipFill>
                        <pic:spPr>
                          <a:xfrm>
                            <a:off x="0" y="0"/>
                            <a:ext cx="878840" cy="52768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地面硬化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局部凿除，地面清理，碎石压实，铺设C25强度等级的混凝土，抹面压光（含人工、主材、辅材）。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240030</wp:posOffset>
                  </wp:positionV>
                  <wp:extent cx="733425" cy="452120"/>
                  <wp:effectExtent l="0" t="0" r="13335" b="5080"/>
                  <wp:wrapNone/>
                  <wp:docPr id="516" name="105"/>
                  <wp:cNvGraphicFramePr/>
                  <a:graphic xmlns:a="http://schemas.openxmlformats.org/drawingml/2006/main">
                    <a:graphicData uri="http://schemas.openxmlformats.org/drawingml/2006/picture">
                      <pic:pic xmlns:pic="http://schemas.openxmlformats.org/drawingml/2006/picture">
                        <pic:nvPicPr>
                          <pic:cNvPr id="516" name="105"/>
                          <pic:cNvPicPr/>
                        </pic:nvPicPr>
                        <pic:blipFill>
                          <a:blip r:embed="rId104"/>
                          <a:stretch>
                            <a:fillRect/>
                          </a:stretch>
                        </pic:blipFill>
                        <pic:spPr>
                          <a:xfrm>
                            <a:off x="0" y="0"/>
                            <a:ext cx="733425" cy="4521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坡道改造</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地面清理，碎石压实，按坡比（1：8/1:12)标准铺设C25强度等级的混凝土，抹面压光，压防滑纹（含人工、主材、辅材）。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348615</wp:posOffset>
                  </wp:positionV>
                  <wp:extent cx="765810" cy="422275"/>
                  <wp:effectExtent l="0" t="0" r="11430" b="4445"/>
                  <wp:wrapNone/>
                  <wp:docPr id="509" name="106"/>
                  <wp:cNvGraphicFramePr/>
                  <a:graphic xmlns:a="http://schemas.openxmlformats.org/drawingml/2006/main">
                    <a:graphicData uri="http://schemas.openxmlformats.org/drawingml/2006/picture">
                      <pic:pic xmlns:pic="http://schemas.openxmlformats.org/drawingml/2006/picture">
                        <pic:nvPicPr>
                          <pic:cNvPr id="509" name="106"/>
                          <pic:cNvPicPr/>
                        </pic:nvPicPr>
                        <pic:blipFill>
                          <a:blip r:embed="rId105"/>
                          <a:stretch>
                            <a:fillRect/>
                          </a:stretch>
                        </pic:blipFill>
                        <pic:spPr>
                          <a:xfrm>
                            <a:off x="0" y="0"/>
                            <a:ext cx="765810" cy="422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定制304不锈钢扶手，安装，不锈钢厚度不小于1.0mm，扶手高度不小于1100mm（含人工、主材、辅材）。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385445</wp:posOffset>
                  </wp:positionV>
                  <wp:extent cx="596900" cy="385445"/>
                  <wp:effectExtent l="0" t="0" r="12700" b="10795"/>
                  <wp:wrapNone/>
                  <wp:docPr id="492" name="107"/>
                  <wp:cNvGraphicFramePr/>
                  <a:graphic xmlns:a="http://schemas.openxmlformats.org/drawingml/2006/main">
                    <a:graphicData uri="http://schemas.openxmlformats.org/drawingml/2006/picture">
                      <pic:pic xmlns:pic="http://schemas.openxmlformats.org/drawingml/2006/picture">
                        <pic:nvPicPr>
                          <pic:cNvPr id="492" name="107"/>
                          <pic:cNvPicPr/>
                        </pic:nvPicPr>
                        <pic:blipFill>
                          <a:blip r:embed="rId106"/>
                          <a:stretch>
                            <a:fillRect/>
                          </a:stretch>
                        </pic:blipFill>
                        <pic:spPr>
                          <a:xfrm>
                            <a:off x="0" y="0"/>
                            <a:ext cx="596900" cy="3854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门洞扩宽及粉刷修复</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门洞拓宽，抹灰修复，粉刷修复（含人工、主材、辅材）。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391160</wp:posOffset>
                  </wp:positionV>
                  <wp:extent cx="650875" cy="635000"/>
                  <wp:effectExtent l="0" t="0" r="4445" b="5080"/>
                  <wp:wrapNone/>
                  <wp:docPr id="507" name="108"/>
                  <wp:cNvGraphicFramePr/>
                  <a:graphic xmlns:a="http://schemas.openxmlformats.org/drawingml/2006/main">
                    <a:graphicData uri="http://schemas.openxmlformats.org/drawingml/2006/picture">
                      <pic:pic xmlns:pic="http://schemas.openxmlformats.org/drawingml/2006/picture">
                        <pic:nvPicPr>
                          <pic:cNvPr id="507" name="108"/>
                          <pic:cNvPicPr/>
                        </pic:nvPicPr>
                        <pic:blipFill>
                          <a:blip r:embed="rId107"/>
                          <a:stretch>
                            <a:fillRect/>
                          </a:stretch>
                        </pic:blipFill>
                        <pic:spPr>
                          <a:xfrm>
                            <a:off x="0" y="0"/>
                            <a:ext cx="650875" cy="6350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隐形地漏</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不锈钢地漏。</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257175</wp:posOffset>
                  </wp:positionV>
                  <wp:extent cx="694055" cy="414020"/>
                  <wp:effectExtent l="0" t="0" r="6985" b="12700"/>
                  <wp:wrapNone/>
                  <wp:docPr id="508" name="78"/>
                  <wp:cNvGraphicFramePr/>
                  <a:graphic xmlns:a="http://schemas.openxmlformats.org/drawingml/2006/main">
                    <a:graphicData uri="http://schemas.openxmlformats.org/drawingml/2006/picture">
                      <pic:pic xmlns:pic="http://schemas.openxmlformats.org/drawingml/2006/picture">
                        <pic:nvPicPr>
                          <pic:cNvPr id="508" name="78"/>
                          <pic:cNvPicPr/>
                        </pic:nvPicPr>
                        <pic:blipFill>
                          <a:blip r:embed="rId108"/>
                          <a:stretch>
                            <a:fillRect/>
                          </a:stretch>
                        </pic:blipFill>
                        <pic:spPr>
                          <a:xfrm>
                            <a:off x="0" y="0"/>
                            <a:ext cx="694055" cy="4140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普通方形地漏</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不锈钢地漏，卫生间或淋浴房地漏</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82550</wp:posOffset>
                  </wp:positionV>
                  <wp:extent cx="774065" cy="612140"/>
                  <wp:effectExtent l="0" t="0" r="3175" b="12700"/>
                  <wp:wrapNone/>
                  <wp:docPr id="499" name="79"/>
                  <wp:cNvGraphicFramePr/>
                  <a:graphic xmlns:a="http://schemas.openxmlformats.org/drawingml/2006/main">
                    <a:graphicData uri="http://schemas.openxmlformats.org/drawingml/2006/picture">
                      <pic:pic xmlns:pic="http://schemas.openxmlformats.org/drawingml/2006/picture">
                        <pic:nvPicPr>
                          <pic:cNvPr id="499" name="79"/>
                          <pic:cNvPicPr/>
                        </pic:nvPicPr>
                        <pic:blipFill>
                          <a:blip r:embed="rId109"/>
                          <a:stretch>
                            <a:fillRect/>
                          </a:stretch>
                        </pic:blipFill>
                        <pic:spPr>
                          <a:xfrm>
                            <a:off x="0" y="0"/>
                            <a:ext cx="774065" cy="61214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墙面出新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基层处理、批刮两遍腻子（含挂网，阴阳角）、打磨平整、滚涂乳胶漆（多合一）二遍（含人工、主材、辅材）。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136525</wp:posOffset>
                  </wp:positionV>
                  <wp:extent cx="763905" cy="641985"/>
                  <wp:effectExtent l="0" t="0" r="13335" b="13335"/>
                  <wp:wrapNone/>
                  <wp:docPr id="497" name="77"/>
                  <wp:cNvGraphicFramePr/>
                  <a:graphic xmlns:a="http://schemas.openxmlformats.org/drawingml/2006/main">
                    <a:graphicData uri="http://schemas.openxmlformats.org/drawingml/2006/picture">
                      <pic:pic xmlns:pic="http://schemas.openxmlformats.org/drawingml/2006/picture">
                        <pic:nvPicPr>
                          <pic:cNvPr id="497" name="77"/>
                          <pic:cNvPicPr/>
                        </pic:nvPicPr>
                        <pic:blipFill>
                          <a:blip r:embed="rId110"/>
                          <a:stretch>
                            <a:fillRect/>
                          </a:stretch>
                        </pic:blipFill>
                        <pic:spPr>
                          <a:xfrm>
                            <a:off x="0" y="0"/>
                            <a:ext cx="763905" cy="64198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 吊顶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原吊顶拆除、安装 PVC 吊顶（含人工、主材、辅材）。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113030</wp:posOffset>
                  </wp:positionV>
                  <wp:extent cx="586105" cy="548640"/>
                  <wp:effectExtent l="0" t="0" r="8255" b="0"/>
                  <wp:wrapNone/>
                  <wp:docPr id="495" name="102"/>
                  <wp:cNvGraphicFramePr/>
                  <a:graphic xmlns:a="http://schemas.openxmlformats.org/drawingml/2006/main">
                    <a:graphicData uri="http://schemas.openxmlformats.org/drawingml/2006/picture">
                      <pic:pic xmlns:pic="http://schemas.openxmlformats.org/drawingml/2006/picture">
                        <pic:nvPicPr>
                          <pic:cNvPr id="495" name="102"/>
                          <pic:cNvPicPr/>
                        </pic:nvPicPr>
                        <pic:blipFill>
                          <a:blip r:embed="rId111"/>
                          <a:stretch>
                            <a:fillRect/>
                          </a:stretch>
                        </pic:blipFill>
                        <pic:spPr>
                          <a:xfrm>
                            <a:off x="0" y="0"/>
                            <a:ext cx="586105" cy="54864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铝扣板吊顶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原吊顶拆除，安装铝制扣板吊顶（含人工、主材、辅材）。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140970</wp:posOffset>
                  </wp:positionV>
                  <wp:extent cx="735965" cy="465455"/>
                  <wp:effectExtent l="0" t="0" r="10795" b="6985"/>
                  <wp:wrapNone/>
                  <wp:docPr id="510" name="76"/>
                  <wp:cNvGraphicFramePr/>
                  <a:graphic xmlns:a="http://schemas.openxmlformats.org/drawingml/2006/main">
                    <a:graphicData uri="http://schemas.openxmlformats.org/drawingml/2006/picture">
                      <pic:pic xmlns:pic="http://schemas.openxmlformats.org/drawingml/2006/picture">
                        <pic:nvPicPr>
                          <pic:cNvPr id="510" name="76"/>
                          <pic:cNvPicPr/>
                        </pic:nvPicPr>
                        <pic:blipFill>
                          <a:blip r:embed="rId112"/>
                          <a:stretch>
                            <a:fillRect/>
                          </a:stretch>
                        </pic:blipFill>
                        <pic:spPr>
                          <a:xfrm>
                            <a:off x="0" y="0"/>
                            <a:ext cx="735965" cy="46545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尺寸：600*300*34.6mm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光通量：1800lm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整板材质：铝合金+钣金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防护等级：IP20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使用寿命：15000小时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色温：4000K、5700K</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功率：24W</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369570</wp:posOffset>
                  </wp:positionV>
                  <wp:extent cx="830580" cy="400050"/>
                  <wp:effectExtent l="0" t="0" r="7620" b="11430"/>
                  <wp:wrapNone/>
                  <wp:docPr id="500" name="90"/>
                  <wp:cNvGraphicFramePr/>
                  <a:graphic xmlns:a="http://schemas.openxmlformats.org/drawingml/2006/main">
                    <a:graphicData uri="http://schemas.openxmlformats.org/drawingml/2006/picture">
                      <pic:pic xmlns:pic="http://schemas.openxmlformats.org/drawingml/2006/picture">
                        <pic:nvPicPr>
                          <pic:cNvPr id="500" name="90"/>
                          <pic:cNvPicPr/>
                        </pic:nvPicPr>
                        <pic:blipFill>
                          <a:blip r:embed="rId113"/>
                          <a:stretch>
                            <a:fillRect/>
                          </a:stretch>
                        </pic:blipFill>
                        <pic:spPr>
                          <a:xfrm>
                            <a:off x="0" y="0"/>
                            <a:ext cx="830580" cy="4000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更换成套电箱</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总空开，分路空开，定制低压成套配电箱配电柜电表箱分线箱路灯控制箱插座箱电源箱等（含人工、主材、辅材）。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66675</wp:posOffset>
                  </wp:positionV>
                  <wp:extent cx="740410" cy="558800"/>
                  <wp:effectExtent l="0" t="0" r="6350" b="5080"/>
                  <wp:wrapNone/>
                  <wp:docPr id="511" name="80"/>
                  <wp:cNvGraphicFramePr/>
                  <a:graphic xmlns:a="http://schemas.openxmlformats.org/drawingml/2006/main">
                    <a:graphicData uri="http://schemas.openxmlformats.org/drawingml/2006/picture">
                      <pic:pic xmlns:pic="http://schemas.openxmlformats.org/drawingml/2006/picture">
                        <pic:nvPicPr>
                          <pic:cNvPr id="511" name="80"/>
                          <pic:cNvPicPr/>
                        </pic:nvPicPr>
                        <pic:blipFill>
                          <a:blip r:embed="rId114"/>
                          <a:stretch>
                            <a:fillRect/>
                          </a:stretch>
                        </pic:blipFill>
                        <pic:spPr>
                          <a:xfrm>
                            <a:off x="0" y="0"/>
                            <a:ext cx="740410" cy="5588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空开（总控空开）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总控开关，符合国标，功率≥63A。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132715</wp:posOffset>
                  </wp:positionV>
                  <wp:extent cx="652145" cy="696595"/>
                  <wp:effectExtent l="0" t="0" r="0" b="0"/>
                  <wp:wrapNone/>
                  <wp:docPr id="493" name="103"/>
                  <wp:cNvGraphicFramePr/>
                  <a:graphic xmlns:a="http://schemas.openxmlformats.org/drawingml/2006/main">
                    <a:graphicData uri="http://schemas.openxmlformats.org/drawingml/2006/picture">
                      <pic:pic xmlns:pic="http://schemas.openxmlformats.org/drawingml/2006/picture">
                        <pic:nvPicPr>
                          <pic:cNvPr id="493" name="103"/>
                          <pic:cNvPicPr/>
                        </pic:nvPicPr>
                        <pic:blipFill>
                          <a:blip r:embed="rId115"/>
                          <a:stretch>
                            <a:fillRect/>
                          </a:stretch>
                        </pic:blipFill>
                        <pic:spPr>
                          <a:xfrm>
                            <a:off x="0" y="0"/>
                            <a:ext cx="652145" cy="6965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空开（普通空开）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空气开关，符合国标，功率≥10A。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241300</wp:posOffset>
                  </wp:positionV>
                  <wp:extent cx="594360" cy="617220"/>
                  <wp:effectExtent l="0" t="0" r="0" b="0"/>
                  <wp:wrapNone/>
                  <wp:docPr id="515" name="104"/>
                  <wp:cNvGraphicFramePr/>
                  <a:graphic xmlns:a="http://schemas.openxmlformats.org/drawingml/2006/main">
                    <a:graphicData uri="http://schemas.openxmlformats.org/drawingml/2006/picture">
                      <pic:pic xmlns:pic="http://schemas.openxmlformats.org/drawingml/2006/picture">
                        <pic:nvPicPr>
                          <pic:cNvPr id="515" name="104"/>
                          <pic:cNvPicPr/>
                        </pic:nvPicPr>
                        <pic:blipFill>
                          <a:blip r:embed="rId116"/>
                          <a:stretch>
                            <a:fillRect/>
                          </a:stretch>
                        </pic:blipFill>
                        <pic:spPr>
                          <a:xfrm>
                            <a:off x="0" y="0"/>
                            <a:ext cx="594360" cy="6172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112</w:t>
            </w:r>
          </w:p>
        </w:tc>
        <w:tc>
          <w:tcPr>
            <w:tcW w:w="12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电路改造</w:t>
            </w:r>
          </w:p>
        </w:tc>
        <w:tc>
          <w:tcPr>
            <w:tcW w:w="48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拆除原有老旧电线，铺设新线，接入电箱及末端插座开关，布线横平竖直，穿线采用PVC套管；明管敷设，线管穿线含施工费及辅材（含人工、主材、辅材）。</w:t>
            </w:r>
          </w:p>
        </w:tc>
        <w:tc>
          <w:tcPr>
            <w:tcW w:w="180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182880</wp:posOffset>
                  </wp:positionV>
                  <wp:extent cx="681355" cy="678815"/>
                  <wp:effectExtent l="0" t="0" r="4445" b="6985"/>
                  <wp:wrapNone/>
                  <wp:docPr id="512" name="75"/>
                  <wp:cNvGraphicFramePr/>
                  <a:graphic xmlns:a="http://schemas.openxmlformats.org/drawingml/2006/main">
                    <a:graphicData uri="http://schemas.openxmlformats.org/drawingml/2006/picture">
                      <pic:pic xmlns:pic="http://schemas.openxmlformats.org/drawingml/2006/picture">
                        <pic:nvPicPr>
                          <pic:cNvPr id="512" name="75"/>
                          <pic:cNvPicPr/>
                        </pic:nvPicPr>
                        <pic:blipFill>
                          <a:blip r:embed="rId117"/>
                          <a:stretch>
                            <a:fillRect/>
                          </a:stretch>
                        </pic:blipFill>
                        <pic:spPr>
                          <a:xfrm>
                            <a:off x="0" y="0"/>
                            <a:ext cx="681355" cy="678815"/>
                          </a:xfrm>
                          <a:prstGeom prst="rect">
                            <a:avLst/>
                          </a:prstGeom>
                          <a:noFill/>
                          <a:ln>
                            <a:noFill/>
                          </a:ln>
                        </pic:spPr>
                      </pic:pic>
                    </a:graphicData>
                  </a:graphic>
                </wp:anchor>
              </w:drawing>
            </w:r>
          </w:p>
        </w:tc>
        <w:tc>
          <w:tcPr>
            <w:tcW w:w="66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nil"/>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厨卫拆除垃圾清运</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人工费及垃圾送至指定点。</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w:t>
            </w:r>
          </w:p>
        </w:tc>
        <w:tc>
          <w:tcPr>
            <w:tcW w:w="1065" w:type="dxa"/>
            <w:tcBorders>
              <w:top w:val="single" w:color="000000"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599</w:t>
            </w:r>
          </w:p>
        </w:tc>
      </w:tr>
    </w:tbl>
    <w:p>
      <w:pPr>
        <w:pStyle w:val="17"/>
        <w:rPr>
          <w:rFonts w:hint="default"/>
          <w:lang w:val="en-US" w:eastAsia="zh-CN"/>
        </w:rPr>
      </w:pPr>
    </w:p>
    <w:p>
      <w:pPr>
        <w:pStyle w:val="17"/>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17"/>
        <w:ind w:left="0" w:leftChars="0" w:firstLine="0" w:firstLineChars="0"/>
        <w:rPr>
          <w:rFonts w:hint="eastAsia" w:ascii="宋体" w:hAnsi="宋体" w:eastAsia="宋体" w:cs="宋体"/>
          <w:b w:val="0"/>
          <w:color w:val="auto"/>
          <w:sz w:val="44"/>
          <w:szCs w:val="44"/>
          <w:highlight w:val="none"/>
        </w:rPr>
      </w:pPr>
    </w:p>
    <w:p>
      <w:pPr>
        <w:pStyle w:val="17"/>
        <w:ind w:left="0" w:leftChars="0" w:firstLine="0" w:firstLineChars="0"/>
        <w:rPr>
          <w:rFonts w:hint="eastAsia" w:ascii="宋体" w:hAnsi="宋体" w:eastAsia="宋体" w:cs="宋体"/>
          <w:b w:val="0"/>
          <w:color w:val="auto"/>
          <w:sz w:val="44"/>
          <w:szCs w:val="44"/>
          <w:highlight w:val="none"/>
        </w:rPr>
      </w:pPr>
    </w:p>
    <w:p>
      <w:pPr>
        <w:pStyle w:val="17"/>
        <w:rPr>
          <w:rFonts w:hint="eastAsia" w:ascii="宋体" w:hAnsi="宋体" w:eastAsia="宋体" w:cs="宋体"/>
          <w:b w:val="0"/>
          <w:color w:val="auto"/>
          <w:sz w:val="44"/>
          <w:szCs w:val="44"/>
          <w:highlight w:val="none"/>
        </w:rPr>
      </w:pPr>
    </w:p>
    <w:p>
      <w:pPr>
        <w:pStyle w:val="3"/>
        <w:numPr>
          <w:ilvl w:val="0"/>
          <w:numId w:val="0"/>
        </w:numPr>
        <w:spacing w:line="360" w:lineRule="auto"/>
        <w:jc w:val="both"/>
        <w:rPr>
          <w:rFonts w:hint="eastAsia" w:ascii="宋体" w:hAnsi="宋体" w:eastAsia="宋体" w:cs="宋体"/>
          <w:b w:val="0"/>
          <w:sz w:val="32"/>
          <w:szCs w:val="32"/>
          <w:highlight w:val="none"/>
        </w:rPr>
      </w:pPr>
    </w:p>
    <w:p>
      <w:pPr>
        <w:pStyle w:val="3"/>
        <w:numPr>
          <w:ilvl w:val="0"/>
          <w:numId w:val="0"/>
        </w:numPr>
        <w:spacing w:line="360" w:lineRule="auto"/>
        <w:jc w:val="center"/>
        <w:rPr>
          <w:rFonts w:hint="eastAsia" w:ascii="宋体" w:hAnsi="宋体" w:eastAsia="宋体" w:cs="宋体"/>
          <w:b w:val="0"/>
          <w:sz w:val="32"/>
          <w:szCs w:val="32"/>
          <w:highlight w:val="none"/>
        </w:rPr>
      </w:pPr>
    </w:p>
    <w:p>
      <w:pPr>
        <w:pStyle w:val="3"/>
        <w:numPr>
          <w:ilvl w:val="0"/>
          <w:numId w:val="0"/>
        </w:numPr>
        <w:spacing w:line="360" w:lineRule="auto"/>
        <w:jc w:val="center"/>
        <w:rPr>
          <w:rFonts w:hint="eastAsia" w:ascii="宋体" w:hAnsi="宋体" w:eastAsia="宋体" w:cs="宋体"/>
          <w:b w:val="0"/>
          <w:sz w:val="32"/>
          <w:szCs w:val="32"/>
          <w:highlight w:val="none"/>
        </w:rPr>
      </w:pPr>
    </w:p>
    <w:p>
      <w:pPr>
        <w:pStyle w:val="3"/>
        <w:numPr>
          <w:ilvl w:val="0"/>
          <w:numId w:val="0"/>
        </w:numPr>
        <w:spacing w:line="360" w:lineRule="auto"/>
        <w:jc w:val="center"/>
        <w:rPr>
          <w:rFonts w:hint="eastAsia" w:ascii="宋体" w:hAnsi="宋体" w:eastAsia="宋体" w:cs="宋体"/>
          <w:b w:val="0"/>
          <w:sz w:val="32"/>
          <w:szCs w:val="32"/>
          <w:highlight w:val="none"/>
          <w:lang w:eastAsia="zh-CN"/>
        </w:rPr>
      </w:pPr>
    </w:p>
    <w:p>
      <w:pPr>
        <w:rPr>
          <w:rFonts w:hint="eastAsia" w:ascii="宋体" w:hAnsi="宋体" w:eastAsia="宋体" w:cs="宋体"/>
          <w:b w:val="0"/>
          <w:sz w:val="32"/>
          <w:szCs w:val="32"/>
          <w:highlight w:val="none"/>
          <w:lang w:eastAsia="zh-CN"/>
        </w:rPr>
      </w:pPr>
    </w:p>
    <w:p>
      <w:pPr>
        <w:pStyle w:val="2"/>
        <w:rPr>
          <w:rFonts w:hint="eastAsia"/>
          <w:lang w:eastAsia="zh-CN"/>
        </w:rPr>
      </w:pPr>
    </w:p>
    <w:p>
      <w:pPr>
        <w:pStyle w:val="3"/>
        <w:numPr>
          <w:ilvl w:val="0"/>
          <w:numId w:val="0"/>
        </w:numPr>
        <w:spacing w:line="360" w:lineRule="auto"/>
        <w:jc w:val="center"/>
        <w:rPr>
          <w:rFonts w:hint="eastAsia" w:ascii="宋体" w:hAnsi="宋体" w:eastAsia="宋体" w:cs="宋体"/>
          <w:bCs w:val="0"/>
          <w:sz w:val="32"/>
          <w:szCs w:val="32"/>
          <w:highlight w:val="none"/>
        </w:rPr>
      </w:pPr>
      <w:r>
        <w:rPr>
          <w:rFonts w:hint="eastAsia" w:ascii="宋体" w:hAnsi="宋体" w:eastAsia="宋体" w:cs="宋体"/>
          <w:b w:val="0"/>
          <w:sz w:val="32"/>
          <w:szCs w:val="32"/>
          <w:highlight w:val="none"/>
        </w:rPr>
        <w:t>四．</w:t>
      </w:r>
      <w:r>
        <w:rPr>
          <w:rFonts w:hint="eastAsia" w:ascii="宋体" w:hAnsi="宋体" w:eastAsia="宋体" w:cs="宋体"/>
          <w:bCs w:val="0"/>
          <w:sz w:val="32"/>
          <w:szCs w:val="32"/>
          <w:highlight w:val="none"/>
        </w:rPr>
        <w:t>合同</w:t>
      </w:r>
      <w:r>
        <w:rPr>
          <w:rFonts w:hint="eastAsia" w:ascii="宋体" w:hAnsi="宋体" w:eastAsia="宋体" w:cs="宋体"/>
          <w:bCs w:val="0"/>
          <w:sz w:val="32"/>
          <w:szCs w:val="32"/>
          <w:highlight w:val="none"/>
          <w:lang w:val="en-US" w:eastAsia="zh-CN"/>
        </w:rPr>
        <w:t>书</w:t>
      </w:r>
      <w:r>
        <w:rPr>
          <w:rFonts w:hint="eastAsia" w:ascii="宋体" w:hAnsi="宋体" w:eastAsia="宋体" w:cs="宋体"/>
          <w:bCs w:val="0"/>
          <w:sz w:val="32"/>
          <w:szCs w:val="32"/>
          <w:highlight w:val="none"/>
        </w:rPr>
        <w:t>（格式文本）</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甲方（采购人）：</w:t>
      </w:r>
      <w:r>
        <w:rPr>
          <w:rFonts w:hint="eastAsia" w:ascii="宋体" w:hAnsi="宋体" w:eastAsia="宋体" w:cs="宋体"/>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乙方（成交供应商）：</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一、采购编号：</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二、采购内容：</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三、</w:t>
      </w:r>
      <w:r>
        <w:rPr>
          <w:rFonts w:hint="eastAsia" w:ascii="宋体" w:hAnsi="宋体" w:eastAsia="宋体" w:cs="宋体"/>
          <w:sz w:val="24"/>
          <w:highlight w:val="none"/>
          <w:lang w:val="en-US" w:eastAsia="zh-CN"/>
        </w:rPr>
        <w:t>成交</w:t>
      </w:r>
      <w:r>
        <w:rPr>
          <w:rFonts w:hint="eastAsia" w:ascii="宋体" w:hAnsi="宋体" w:eastAsia="宋体" w:cs="宋体"/>
          <w:sz w:val="24"/>
          <w:highlight w:val="none"/>
        </w:rPr>
        <w:t>总金额：（大写）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四、</w:t>
      </w:r>
      <w:r>
        <w:rPr>
          <w:rFonts w:hint="eastAsia" w:ascii="宋体" w:hAnsi="宋体" w:eastAsia="宋体" w:cs="宋体"/>
          <w:bCs/>
          <w:sz w:val="24"/>
          <w:highlight w:val="none"/>
        </w:rPr>
        <w:t>质量和包装要求及验收标准：</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五、</w:t>
      </w:r>
      <w:r>
        <w:rPr>
          <w:rFonts w:hint="eastAsia" w:ascii="宋体" w:hAnsi="宋体" w:eastAsia="宋体" w:cs="宋体"/>
          <w:bCs/>
          <w:sz w:val="24"/>
          <w:highlight w:val="none"/>
        </w:rPr>
        <w:t>交货期或完工期及质保期：</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六、交货地点和方式：</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七、货款支付步骤和办法：</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八、售后服务：</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九、违约责任：</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十、解决争议的方式：</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十一、其它事项：</w:t>
      </w:r>
      <w:r>
        <w:rPr>
          <w:rFonts w:hint="eastAsia" w:ascii="宋体" w:hAnsi="宋体" w:eastAsia="宋体" w:cs="宋体"/>
          <w:sz w:val="24"/>
          <w:highlight w:val="none"/>
          <w:u w:val="single"/>
        </w:rPr>
        <w:t xml:space="preserve">                                                    </w:t>
      </w:r>
    </w:p>
    <w:p>
      <w:pPr>
        <w:keepNext w:val="0"/>
        <w:keepLines w:val="0"/>
        <w:pageBreakBefore w:val="0"/>
        <w:widowControl w:val="0"/>
        <w:tabs>
          <w:tab w:val="left" w:pos="210"/>
          <w:tab w:val="left" w:pos="840"/>
          <w:tab w:val="left" w:pos="1260"/>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十二、合同不可分割部分：竞争性磋商文件、响应文件、合同条款及</w:t>
      </w:r>
      <w:r>
        <w:rPr>
          <w:rFonts w:hint="eastAsia" w:ascii="宋体" w:hAnsi="宋体" w:eastAsia="宋体" w:cs="宋体"/>
          <w:sz w:val="24"/>
          <w:highlight w:val="none"/>
          <w:lang w:val="en-US" w:eastAsia="zh-CN"/>
        </w:rPr>
        <w:t>成交</w:t>
      </w:r>
      <w:r>
        <w:rPr>
          <w:rFonts w:hint="eastAsia" w:ascii="宋体" w:hAnsi="宋体" w:eastAsia="宋体" w:cs="宋体"/>
          <w:sz w:val="24"/>
          <w:highlight w:val="none"/>
        </w:rPr>
        <w:t>通知书，乙方在报价、磋商过程中所作其它有关承诺、声明、书面澄清等均为合同不可分割的部分，与主合同具有同等法律效力。</w:t>
      </w:r>
    </w:p>
    <w:p>
      <w:pPr>
        <w:keepNext w:val="0"/>
        <w:keepLines w:val="0"/>
        <w:pageBreakBefore w:val="0"/>
        <w:widowControl w:val="0"/>
        <w:tabs>
          <w:tab w:val="left" w:pos="210"/>
          <w:tab w:val="left" w:pos="840"/>
          <w:tab w:val="left" w:pos="1155"/>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十三、合同备案：</w:t>
      </w:r>
    </w:p>
    <w:p>
      <w:pPr>
        <w:keepNext w:val="0"/>
        <w:keepLines w:val="0"/>
        <w:pageBreakBefore w:val="0"/>
        <w:widowControl w:val="0"/>
        <w:tabs>
          <w:tab w:val="left" w:pos="210"/>
          <w:tab w:val="left" w:pos="840"/>
          <w:tab w:val="left" w:pos="1155"/>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十四、合同一式伍份，甲方、乙方各执贰份，</w:t>
      </w:r>
      <w:r>
        <w:rPr>
          <w:rFonts w:hint="eastAsia" w:ascii="宋体" w:hAnsi="宋体" w:eastAsia="宋体" w:cs="宋体"/>
          <w:sz w:val="24"/>
          <w:highlight w:val="none"/>
          <w:lang w:eastAsia="zh-CN"/>
        </w:rPr>
        <w:t>江苏达瑞德工程管理咨询有限公司</w:t>
      </w:r>
      <w:r>
        <w:rPr>
          <w:rFonts w:hint="eastAsia" w:ascii="宋体" w:hAnsi="宋体" w:eastAsia="宋体" w:cs="宋体"/>
          <w:sz w:val="24"/>
          <w:highlight w:val="none"/>
        </w:rPr>
        <w:t>壹份。</w:t>
      </w:r>
    </w:p>
    <w:p>
      <w:pPr>
        <w:keepNext w:val="0"/>
        <w:keepLines w:val="0"/>
        <w:pageBreakBefore w:val="0"/>
        <w:widowControl w:val="0"/>
        <w:tabs>
          <w:tab w:val="left" w:pos="210"/>
          <w:tab w:val="left" w:pos="840"/>
          <w:tab w:val="left" w:pos="1155"/>
        </w:tabs>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十五、合同生效：本合同由甲乙双方签字、盖章，并经</w:t>
      </w:r>
      <w:r>
        <w:rPr>
          <w:rFonts w:hint="eastAsia" w:ascii="宋体" w:hAnsi="宋体" w:eastAsia="宋体" w:cs="宋体"/>
          <w:sz w:val="24"/>
          <w:highlight w:val="none"/>
          <w:lang w:eastAsia="zh-CN"/>
        </w:rPr>
        <w:t>江苏达瑞德工程管理咨询有限公司</w:t>
      </w:r>
      <w:r>
        <w:rPr>
          <w:rFonts w:hint="eastAsia" w:ascii="宋体" w:hAnsi="宋体" w:eastAsia="宋体" w:cs="宋体"/>
          <w:sz w:val="24"/>
          <w:highlight w:val="none"/>
        </w:rPr>
        <w:t>见证后生效。</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甲方（采购人）：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    乙方（成交供应商）：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法定（授权）代表人：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法定（授权）代表人：</w:t>
      </w:r>
      <w:r>
        <w:rPr>
          <w:rFonts w:hint="eastAsia" w:ascii="宋体" w:hAnsi="宋体" w:eastAsia="宋体" w:cs="宋体"/>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日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见证方：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    乙方户名：</w:t>
      </w:r>
      <w:r>
        <w:rPr>
          <w:rFonts w:hint="eastAsia" w:ascii="宋体" w:hAnsi="宋体" w:eastAsia="宋体" w:cs="宋体"/>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rPr>
        <w:t>见证人：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乙方开户银行：</w:t>
      </w:r>
      <w:r>
        <w:rPr>
          <w:rFonts w:hint="eastAsia" w:ascii="宋体" w:hAnsi="宋体" w:eastAsia="宋体" w:cs="宋体"/>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            乙方帐号：</w:t>
      </w:r>
      <w:r>
        <w:rPr>
          <w:rFonts w:hint="eastAsia" w:ascii="宋体" w:hAnsi="宋体" w:eastAsia="宋体" w:cs="宋体"/>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备注：</w:t>
      </w:r>
      <w:r>
        <w:rPr>
          <w:rFonts w:hint="eastAsia" w:ascii="宋体" w:hAnsi="宋体" w:eastAsia="宋体" w:cs="宋体"/>
          <w:sz w:val="24"/>
          <w:highlight w:val="none"/>
        </w:rPr>
        <w:t>甲乙双方必须以本格式文本，按照合同条款拟订合同。</w:t>
      </w:r>
    </w:p>
    <w:p>
      <w:pPr>
        <w:spacing w:line="360" w:lineRule="auto"/>
        <w:jc w:val="center"/>
        <w:rPr>
          <w:rFonts w:hint="eastAsia" w:ascii="宋体" w:hAnsi="宋体" w:cs="宋体"/>
          <w:bCs/>
          <w:color w:val="0D0D0D"/>
          <w:sz w:val="32"/>
          <w:szCs w:val="32"/>
          <w:highlight w:val="none"/>
        </w:rPr>
      </w:pPr>
    </w:p>
    <w:p>
      <w:pPr>
        <w:spacing w:line="360" w:lineRule="auto"/>
        <w:jc w:val="center"/>
        <w:rPr>
          <w:rFonts w:hint="eastAsia" w:ascii="宋体" w:hAnsi="宋体" w:cs="宋体"/>
          <w:sz w:val="32"/>
          <w:szCs w:val="32"/>
          <w:highlight w:val="none"/>
        </w:rPr>
      </w:pPr>
      <w:r>
        <w:rPr>
          <w:rFonts w:hint="eastAsia" w:ascii="宋体" w:hAnsi="宋体" w:cs="宋体"/>
          <w:bCs/>
          <w:color w:val="0D0D0D"/>
          <w:sz w:val="32"/>
          <w:szCs w:val="32"/>
          <w:highlight w:val="none"/>
        </w:rPr>
        <w:t>合同条款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根据</w:t>
      </w:r>
      <w:r>
        <w:rPr>
          <w:rFonts w:hint="eastAsia" w:hAnsi="宋体" w:eastAsia="宋体" w:cs="宋体"/>
          <w:bCs/>
          <w:kern w:val="2"/>
          <w:sz w:val="24"/>
          <w:szCs w:val="24"/>
          <w:u w:val="single"/>
          <w:lang w:val="en-US" w:eastAsia="zh-CN" w:bidi="ar"/>
        </w:rPr>
        <w:t xml:space="preserve">       </w:t>
      </w:r>
      <w:r>
        <w:rPr>
          <w:rFonts w:hint="eastAsia" w:ascii="宋体" w:hAnsi="宋体" w:eastAsia="宋体" w:cs="宋体"/>
          <w:bCs/>
          <w:kern w:val="2"/>
          <w:sz w:val="24"/>
          <w:szCs w:val="24"/>
          <w:lang w:val="en-US" w:eastAsia="zh-CN" w:bidi="ar"/>
        </w:rPr>
        <w:t>编号</w:t>
      </w:r>
      <w:r>
        <w:rPr>
          <w:rFonts w:hint="eastAsia" w:hAnsi="宋体" w:eastAsia="宋体" w:cs="宋体"/>
          <w:bCs/>
          <w:kern w:val="2"/>
          <w:sz w:val="24"/>
          <w:szCs w:val="24"/>
          <w:u w:val="single"/>
          <w:lang w:val="en-US" w:eastAsia="zh-CN" w:bidi="ar"/>
        </w:rPr>
        <w:t xml:space="preserve">        </w:t>
      </w:r>
      <w:r>
        <w:rPr>
          <w:rFonts w:hint="eastAsia" w:hAnsi="宋体" w:eastAsia="宋体" w:cs="宋体"/>
          <w:bCs/>
          <w:kern w:val="2"/>
          <w:sz w:val="24"/>
          <w:szCs w:val="24"/>
          <w:u w:val="none"/>
          <w:lang w:val="en-US" w:eastAsia="zh-CN" w:bidi="ar"/>
        </w:rPr>
        <w:t>的</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和该文件的</w:t>
      </w:r>
      <w:r>
        <w:rPr>
          <w:rFonts w:hint="eastAsia" w:hAnsi="宋体" w:eastAsia="宋体" w:cs="宋体"/>
          <w:bCs/>
          <w:kern w:val="2"/>
          <w:sz w:val="24"/>
          <w:szCs w:val="24"/>
          <w:lang w:val="en-US" w:eastAsia="zh-CN" w:bidi="ar"/>
        </w:rPr>
        <w:t>成交</w:t>
      </w:r>
      <w:r>
        <w:rPr>
          <w:rFonts w:hint="eastAsia" w:ascii="宋体" w:hAnsi="宋体" w:eastAsia="宋体" w:cs="宋体"/>
          <w:bCs/>
          <w:kern w:val="2"/>
          <w:sz w:val="24"/>
          <w:szCs w:val="24"/>
          <w:lang w:val="en-US" w:eastAsia="zh-CN" w:bidi="ar"/>
        </w:rPr>
        <w:t>通知书及供方</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文件，供需双方就此次</w:t>
      </w:r>
      <w:r>
        <w:rPr>
          <w:rFonts w:hint="eastAsia" w:ascii="宋体" w:hAnsi="宋体" w:eastAsia="宋体" w:cs="宋体"/>
          <w:bCs/>
          <w:kern w:val="2"/>
          <w:sz w:val="24"/>
          <w:szCs w:val="24"/>
          <w:u w:val="single"/>
          <w:lang w:val="en-US" w:eastAsia="zh-CN" w:bidi="ar"/>
        </w:rPr>
        <w:t xml:space="preserve">            </w:t>
      </w:r>
      <w:r>
        <w:rPr>
          <w:rFonts w:hint="eastAsia" w:ascii="宋体" w:hAnsi="宋体" w:eastAsia="宋体" w:cs="宋体"/>
          <w:bCs/>
          <w:kern w:val="2"/>
          <w:sz w:val="24"/>
          <w:szCs w:val="24"/>
          <w:lang w:val="en-US" w:eastAsia="zh-CN" w:bidi="ar"/>
        </w:rPr>
        <w:t>及相关问题，同意按下列条款规定执行。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Calibri" w:hAnsi="Calibri" w:cs="Calibri"/>
          <w:bCs/>
          <w:kern w:val="2"/>
          <w:sz w:val="24"/>
          <w:szCs w:val="24"/>
          <w:lang w:val="en-US" w:eastAsia="zh-CN" w:bidi="ar"/>
        </w:rPr>
        <w:t>（一）</w:t>
      </w:r>
      <w:r>
        <w:rPr>
          <w:rFonts w:hint="eastAsia" w:ascii="宋体" w:hAnsi="宋体" w:eastAsia="宋体" w:cs="宋体"/>
          <w:bCs/>
          <w:kern w:val="2"/>
          <w:sz w:val="24"/>
          <w:szCs w:val="24"/>
          <w:lang w:val="en-US" w:eastAsia="zh-CN" w:bidi="ar"/>
        </w:rPr>
        <w:t>合同内容：需方向供方购买</w:t>
      </w:r>
      <w:r>
        <w:rPr>
          <w:rFonts w:hint="eastAsia" w:ascii="宋体" w:hAnsi="宋体" w:eastAsia="宋体" w:cs="宋体"/>
          <w:bCs/>
          <w:kern w:val="2"/>
          <w:sz w:val="24"/>
          <w:szCs w:val="24"/>
          <w:u w:val="single"/>
          <w:lang w:val="en-US" w:eastAsia="zh-CN" w:bidi="ar"/>
        </w:rPr>
        <w:t xml:space="preserve">        </w:t>
      </w:r>
      <w:r>
        <w:rPr>
          <w:rFonts w:hint="eastAsia" w:ascii="宋体" w:hAnsi="宋体" w:eastAsia="宋体" w:cs="宋体"/>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hAnsi="宋体" w:eastAsia="宋体" w:cs="宋体"/>
          <w:bCs/>
          <w:kern w:val="2"/>
          <w:sz w:val="24"/>
          <w:szCs w:val="24"/>
          <w:lang w:val="en-US" w:eastAsia="zh-CN" w:bidi="ar"/>
        </w:rPr>
        <w:t>（二）</w:t>
      </w:r>
      <w:r>
        <w:rPr>
          <w:rFonts w:hint="eastAsia" w:ascii="宋体" w:hAnsi="宋体" w:eastAsia="宋体" w:cs="宋体"/>
          <w:bCs/>
          <w:kern w:val="2"/>
          <w:sz w:val="24"/>
          <w:szCs w:val="24"/>
          <w:lang w:val="en-US" w:eastAsia="zh-CN" w:bidi="ar"/>
        </w:rPr>
        <w:t>价格及支付：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u w:val="single"/>
          <w:lang w:val="en-US"/>
        </w:rPr>
      </w:pPr>
      <w:r>
        <w:rPr>
          <w:rFonts w:hint="default" w:ascii="Calibri" w:hAnsi="Calibri" w:cs="Calibri"/>
          <w:bCs/>
          <w:kern w:val="2"/>
          <w:sz w:val="24"/>
          <w:szCs w:val="24"/>
          <w:lang w:val="en-US" w:eastAsia="zh-CN" w:bidi="ar"/>
        </w:rPr>
        <w:t xml:space="preserve">1. </w:t>
      </w:r>
      <w:r>
        <w:rPr>
          <w:rFonts w:hint="eastAsia" w:ascii="宋体" w:hAnsi="宋体" w:eastAsia="宋体" w:cs="宋体"/>
          <w:bCs/>
          <w:kern w:val="2"/>
          <w:sz w:val="24"/>
          <w:szCs w:val="24"/>
          <w:lang w:val="en-US" w:eastAsia="zh-CN" w:bidi="ar"/>
        </w:rPr>
        <w:t>本项目合同总标的额为</w:t>
      </w:r>
      <w:r>
        <w:rPr>
          <w:rFonts w:hint="eastAsia" w:ascii="宋体" w:hAnsi="宋体" w:eastAsia="宋体" w:cs="宋体"/>
          <w:bCs/>
          <w:kern w:val="2"/>
          <w:sz w:val="24"/>
          <w:szCs w:val="24"/>
          <w:u w:val="single"/>
          <w:lang w:val="en-US" w:eastAsia="zh-CN" w:bidi="ar"/>
        </w:rPr>
        <w:t xml:space="preserve">          </w:t>
      </w:r>
      <w:r>
        <w:rPr>
          <w:rFonts w:hint="eastAsia" w:ascii="宋体" w:hAnsi="宋体" w:eastAsia="宋体" w:cs="宋体"/>
          <w:bCs/>
          <w:kern w:val="2"/>
          <w:sz w:val="24"/>
          <w:szCs w:val="24"/>
          <w:lang w:val="en-US" w:eastAsia="zh-CN" w:bidi="ar"/>
        </w:rPr>
        <w:t>元，总价让利</w:t>
      </w:r>
      <w:r>
        <w:rPr>
          <w:rFonts w:hint="eastAsia" w:ascii="宋体" w:hAnsi="宋体" w:eastAsia="宋体" w:cs="宋体"/>
          <w:bCs/>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kern w:val="2"/>
          <w:sz w:val="24"/>
          <w:szCs w:val="24"/>
          <w:lang w:val="en-US" w:eastAsia="zh-CN" w:bidi="ar"/>
        </w:rPr>
      </w:pPr>
      <w:r>
        <w:rPr>
          <w:rFonts w:hint="default" w:ascii="Calibri" w:hAnsi="Calibri" w:eastAsia="宋体" w:cs="Calibri"/>
          <w:bCs/>
          <w:kern w:val="2"/>
          <w:sz w:val="24"/>
          <w:szCs w:val="24"/>
          <w:lang w:val="en-US" w:eastAsia="zh-CN" w:bidi="ar"/>
        </w:rPr>
        <w:t xml:space="preserve">2. </w:t>
      </w:r>
      <w:r>
        <w:rPr>
          <w:rFonts w:hint="eastAsia" w:ascii="宋体" w:hAnsi="宋体" w:eastAsia="宋体" w:cs="宋体"/>
          <w:bCs/>
          <w:kern w:val="2"/>
          <w:sz w:val="24"/>
          <w:szCs w:val="24"/>
          <w:lang w:val="en-US" w:eastAsia="zh-CN" w:bidi="ar"/>
        </w:rPr>
        <w:t>付款方式：</w:t>
      </w:r>
      <w:r>
        <w:rPr>
          <w:rFonts w:hint="eastAsia" w:ascii="宋体" w:hAnsi="宋体" w:eastAsia="宋体" w:cs="宋体"/>
          <w:b/>
          <w:bCs/>
          <w:kern w:val="2"/>
          <w:sz w:val="24"/>
          <w:szCs w:val="24"/>
          <w:lang w:val="en-US" w:eastAsia="zh-CN" w:bidi="ar"/>
        </w:rPr>
        <w:t>本项目合同签订后，自收到成交单位出具的发票15日内，支付合同金额的20%作为预付款；该项目分两批验收，2022年12月30日前采购人组织第三方对已改造的老年人家庭进行验收，验收合格后付至当批次验收金额的70%，项目实施全部完成后，采购人组织第三方进行验收，验收合格后付至项目总额的70%，全部项目资料整理完成后，采购人一次性将项目送审，根据审计结果支付至审定价的97%，质保维护期满后，根据确认的保修质量和保修效果后，余款一次性付清。</w:t>
      </w:r>
    </w:p>
    <w:p>
      <w:pPr>
        <w:pStyle w:val="2"/>
        <w:spacing w:line="360" w:lineRule="auto"/>
        <w:ind w:firstLine="482" w:firstLineChars="200"/>
        <w:rPr>
          <w:rFonts w:hint="default"/>
          <w:lang w:val="en-US"/>
        </w:rPr>
      </w:pPr>
      <w:r>
        <w:rPr>
          <w:rFonts w:hint="eastAsia" w:ascii="宋体" w:hAnsi="宋体" w:cs="宋体"/>
          <w:b/>
          <w:bCs/>
          <w:kern w:val="2"/>
          <w:sz w:val="24"/>
          <w:szCs w:val="24"/>
          <w:lang w:val="en-US" w:eastAsia="zh-CN" w:bidi="ar"/>
        </w:rPr>
        <w:t>3、结算方式：</w:t>
      </w:r>
      <w:r>
        <w:rPr>
          <w:rFonts w:hint="eastAsia" w:ascii="宋体" w:hAnsi="宋体" w:eastAsia="宋体" w:cs="宋体"/>
          <w:bCs/>
          <w:color w:val="0000FF"/>
          <w:sz w:val="24"/>
          <w:szCs w:val="24"/>
          <w:highlight w:val="none"/>
          <w:lang w:val="en-US" w:eastAsia="zh-CN"/>
        </w:rPr>
        <w:t>工程量按照实际发生工程量按实结算，结算单价按照磋商时提供的书面中标单价，最终结算总价按照投标让利系数进行让利。</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Calibri" w:hAnsi="Calibri" w:cs="Calibri"/>
          <w:bCs/>
          <w:kern w:val="2"/>
          <w:sz w:val="24"/>
          <w:szCs w:val="24"/>
          <w:lang w:val="en-US" w:eastAsia="zh-CN" w:bidi="ar"/>
        </w:rPr>
        <w:t>（三）</w:t>
      </w:r>
      <w:r>
        <w:rPr>
          <w:rFonts w:hint="eastAsia" w:ascii="宋体" w:hAnsi="宋体" w:eastAsia="宋体" w:cs="宋体"/>
          <w:bCs/>
          <w:kern w:val="2"/>
          <w:sz w:val="24"/>
          <w:szCs w:val="24"/>
          <w:lang w:val="en-US" w:eastAsia="zh-CN" w:bidi="ar"/>
        </w:rPr>
        <w:t>知识产权：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Calibri" w:hAnsi="Calibri" w:cs="Calibri"/>
          <w:bCs/>
          <w:kern w:val="2"/>
          <w:sz w:val="24"/>
          <w:szCs w:val="24"/>
          <w:lang w:val="en-US" w:eastAsia="zh-CN" w:bidi="ar"/>
        </w:rPr>
        <w:t>（四）</w:t>
      </w:r>
      <w:r>
        <w:rPr>
          <w:rFonts w:hint="eastAsia" w:ascii="宋体" w:hAnsi="宋体" w:eastAsia="宋体" w:cs="宋体"/>
          <w:bCs/>
          <w:kern w:val="2"/>
          <w:sz w:val="24"/>
          <w:szCs w:val="24"/>
          <w:lang w:val="en-US" w:eastAsia="zh-CN" w:bidi="ar"/>
        </w:rPr>
        <w:t>质量与检验：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1．供方应严格按照招</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的有关规定和供方</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文件提供合格的货物及服务。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3．货物的到货验收包括：数量、外观、质量、性能、随机备件、装箱单、质量证书等随机资料及包装完整无破损。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4．货物和系统调试验收标准：按行业通行标准、厂方出厂标准、</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要求和供方</w:t>
      </w:r>
      <w:r>
        <w:rPr>
          <w:rFonts w:hint="eastAsia" w:hAnsi="宋体" w:eastAsia="宋体" w:cs="宋体"/>
          <w:bCs/>
          <w:kern w:val="2"/>
          <w:sz w:val="24"/>
          <w:szCs w:val="24"/>
          <w:lang w:val="en-US" w:eastAsia="zh-CN" w:bidi="ar"/>
        </w:rPr>
        <w:t>响应文件</w:t>
      </w:r>
      <w:r>
        <w:rPr>
          <w:rFonts w:hint="eastAsia" w:ascii="宋体" w:hAnsi="宋体" w:eastAsia="宋体" w:cs="宋体"/>
          <w:bCs/>
          <w:kern w:val="2"/>
          <w:sz w:val="24"/>
          <w:szCs w:val="24"/>
          <w:lang w:val="en-US" w:eastAsia="zh-CN" w:bidi="ar"/>
        </w:rPr>
        <w:t>的承诺，并不低于国家相关标准。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5．货物运到需方指定地点并经需方验证签收后，由于需方保管不善造成的质量问题，供方应负责修理，但有关费用由需方承担。</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6. 需方与有关部门根据国家有关规定、</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w:t>
      </w:r>
      <w:r>
        <w:rPr>
          <w:rFonts w:hint="eastAsia" w:hAnsi="宋体" w:eastAsia="宋体" w:cs="宋体"/>
          <w:bCs/>
          <w:kern w:val="2"/>
          <w:sz w:val="24"/>
          <w:szCs w:val="24"/>
          <w:lang w:val="en-US" w:eastAsia="zh-CN" w:bidi="ar"/>
        </w:rPr>
        <w:t>成交</w:t>
      </w:r>
      <w:r>
        <w:rPr>
          <w:rFonts w:hint="eastAsia" w:ascii="宋体" w:hAnsi="宋体" w:eastAsia="宋体" w:cs="宋体"/>
          <w:bCs/>
          <w:kern w:val="2"/>
          <w:sz w:val="24"/>
          <w:szCs w:val="24"/>
          <w:lang w:val="en-US" w:eastAsia="zh-CN" w:bidi="ar"/>
        </w:rPr>
        <w:t>方的</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以及合同约定的内容和验收标准进行验收。如产品没有达到标书技术参数且质量标准没有达到合同要求需方有权终止合同，一切损失由供方负责包括需方已支付给供方的费用。如有质量技术质疑，以无锡质量技术监督局检验结果为准，如产生检验费用，则该费用由过失方承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7. 需方不得擅自变更</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文件约定的性能、指标等相关内容，如有变更应按《中华人民共和国政府采购法》、财政部《政府采购货物和服务招标投标管理办法》的相关程序执行。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hAnsi="宋体" w:eastAsia="宋体" w:cs="宋体"/>
          <w:bCs/>
          <w:kern w:val="2"/>
          <w:sz w:val="24"/>
          <w:szCs w:val="24"/>
          <w:lang w:val="en-US" w:eastAsia="zh-CN" w:bidi="ar"/>
        </w:rPr>
        <w:t>（五）</w:t>
      </w:r>
      <w:r>
        <w:rPr>
          <w:rFonts w:hint="eastAsia" w:ascii="宋体" w:hAnsi="宋体" w:eastAsia="宋体" w:cs="宋体"/>
          <w:bCs/>
          <w:kern w:val="2"/>
          <w:sz w:val="24"/>
          <w:szCs w:val="24"/>
          <w:lang w:val="en-US" w:eastAsia="zh-CN" w:bidi="ar"/>
        </w:rPr>
        <w:t>交货条件：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eastAsia="宋体" w:cs="宋体"/>
          <w:bCs/>
          <w:kern w:val="2"/>
          <w:sz w:val="24"/>
          <w:szCs w:val="24"/>
          <w:u w:val="single"/>
          <w:lang w:val="en-US"/>
        </w:rPr>
      </w:pPr>
      <w:r>
        <w:rPr>
          <w:rFonts w:hint="eastAsia" w:ascii="宋体" w:hAnsi="宋体" w:eastAsia="宋体" w:cs="宋体"/>
          <w:bCs/>
          <w:kern w:val="2"/>
          <w:sz w:val="24"/>
          <w:szCs w:val="24"/>
          <w:lang w:val="en-US" w:eastAsia="zh-CN" w:bidi="ar"/>
        </w:rPr>
        <w:t>1．交货日期(或完工期)：</w:t>
      </w:r>
      <w:r>
        <w:rPr>
          <w:rFonts w:hint="eastAsia" w:ascii="宋体" w:hAnsi="宋体" w:eastAsia="宋体" w:cs="宋体"/>
          <w:bCs/>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2．供方在验收时应先用信函、传真、电子邮件等书面方式通知需方。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 货物的外观、包装、运输应按国家有关规定或相关部颁标准执行。如因供方包装或运输不当等原因造成损坏或丢失，应由供方负责调换或补缺，如因此导致供方逾期交付货物的，供方还应承担逾期交付的违约责任。</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4. 货物交货时，所有货物必须带有货物质量检验合格证书、中文质保单、装箱单、中文货物安装使用说明书。其它附件所有部件必须原包装。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5. 运输及到货地点：由供方负责办理运输并承担所有费用，直接送到需方指定地点，即：以合同书上的地点为准。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Calibri" w:hAnsi="Calibri" w:cs="Calibri"/>
          <w:bCs/>
          <w:kern w:val="2"/>
          <w:sz w:val="24"/>
          <w:szCs w:val="24"/>
          <w:lang w:val="en-US" w:eastAsia="zh-CN" w:bidi="ar"/>
        </w:rPr>
        <w:t>（六）</w:t>
      </w:r>
      <w:r>
        <w:rPr>
          <w:rFonts w:hint="eastAsia" w:ascii="宋体" w:hAnsi="宋体" w:eastAsia="宋体" w:cs="宋体"/>
          <w:bCs/>
          <w:kern w:val="2"/>
          <w:sz w:val="24"/>
          <w:szCs w:val="24"/>
          <w:lang w:val="en-US" w:eastAsia="zh-CN" w:bidi="ar"/>
        </w:rPr>
        <w:t>安装调试及售后服务：</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1．供方负责本项目的安装和调试，并保证其提供的货物符合国家、行业、地方、</w:t>
      </w:r>
      <w:r>
        <w:rPr>
          <w:rFonts w:hint="eastAsia" w:hAnsi="宋体" w:eastAsia="宋体" w:cs="宋体"/>
          <w:bCs/>
          <w:kern w:val="2"/>
          <w:sz w:val="24"/>
          <w:szCs w:val="24"/>
          <w:lang w:val="en-US" w:eastAsia="zh-CN" w:bidi="ar"/>
        </w:rPr>
        <w:t>磋商文件、响应文件</w:t>
      </w:r>
      <w:r>
        <w:rPr>
          <w:rFonts w:hint="eastAsia" w:ascii="宋体" w:hAnsi="宋体" w:eastAsia="宋体" w:cs="宋体"/>
          <w:bCs/>
          <w:kern w:val="2"/>
          <w:sz w:val="24"/>
          <w:szCs w:val="24"/>
          <w:lang w:val="en-US" w:eastAsia="zh-CN" w:bidi="ar"/>
        </w:rPr>
        <w:t>及合同规定的质量、性能和标准，并正确且安全地安装。</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2．供方提供的服务全部按照国家有关法律法规规章和“三包”规定以及按</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要求和供方</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文件中的承诺执行。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3．质保期</w:t>
      </w:r>
      <w:r>
        <w:rPr>
          <w:rFonts w:hint="eastAsia" w:ascii="宋体" w:hAnsi="宋体" w:eastAsia="宋体" w:cs="宋体"/>
          <w:bCs/>
          <w:color w:val="FF0000"/>
          <w:kern w:val="2"/>
          <w:sz w:val="24"/>
          <w:szCs w:val="24"/>
          <w:u w:val="single"/>
          <w:lang w:val="en-US" w:eastAsia="zh-CN" w:bidi="ar"/>
        </w:rPr>
        <w:t xml:space="preserve">     </w:t>
      </w:r>
      <w:r>
        <w:rPr>
          <w:rFonts w:hint="eastAsia" w:ascii="宋体" w:hAnsi="宋体" w:eastAsia="宋体" w:cs="宋体"/>
          <w:bCs/>
          <w:kern w:val="2"/>
          <w:sz w:val="24"/>
          <w:szCs w:val="24"/>
          <w:u w:val="none"/>
          <w:lang w:val="en-US" w:eastAsia="zh-CN" w:bidi="ar"/>
        </w:rPr>
        <w:t>年</w:t>
      </w:r>
      <w:r>
        <w:rPr>
          <w:rFonts w:hint="eastAsia" w:ascii="宋体" w:hAnsi="宋体" w:eastAsia="宋体" w:cs="宋体"/>
          <w:bCs/>
          <w:kern w:val="2"/>
          <w:sz w:val="24"/>
          <w:szCs w:val="24"/>
          <w:lang w:val="en-US" w:eastAsia="zh-CN" w:bidi="ar"/>
        </w:rPr>
        <w:t>，质保期后的货物维护由双方协商再定。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4．需方应向供方现场调试的技术人员及维修人员提供方便条件，有关费用由供方负责。</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5．需方如要求供方提供</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及供方</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文件以外的其它服务，其费用另定。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Calibri" w:hAnsi="Calibri" w:cs="Calibri"/>
          <w:bCs/>
          <w:kern w:val="2"/>
          <w:sz w:val="24"/>
          <w:szCs w:val="24"/>
          <w:lang w:val="en-US" w:eastAsia="zh-CN" w:bidi="ar"/>
        </w:rPr>
        <w:t>（七）</w:t>
      </w:r>
      <w:r>
        <w:rPr>
          <w:rFonts w:hint="eastAsia" w:ascii="宋体" w:hAnsi="宋体" w:eastAsia="宋体" w:cs="宋体"/>
          <w:bCs/>
          <w:kern w:val="2"/>
          <w:sz w:val="24"/>
          <w:szCs w:val="24"/>
          <w:lang w:val="en-US" w:eastAsia="zh-CN" w:bidi="ar"/>
        </w:rPr>
        <w:t>违约责任：</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w:t>
      </w:r>
      <w:r>
        <w:rPr>
          <w:rFonts w:hint="default" w:ascii="Calibri" w:hAnsi="Calibri" w:cs="Calibri"/>
          <w:bCs/>
          <w:kern w:val="2"/>
          <w:sz w:val="24"/>
          <w:szCs w:val="24"/>
          <w:lang w:val="en-US" w:eastAsia="zh-CN" w:bidi="ar"/>
        </w:rPr>
        <w:t>(</w:t>
      </w:r>
      <w:r>
        <w:rPr>
          <w:rFonts w:hint="eastAsia" w:ascii="宋体" w:hAnsi="宋体" w:eastAsia="宋体" w:cs="宋体"/>
          <w:bCs/>
          <w:kern w:val="2"/>
          <w:sz w:val="24"/>
          <w:szCs w:val="24"/>
          <w:lang w:val="en-US" w:eastAsia="zh-CN" w:bidi="ar"/>
        </w:rPr>
        <w:t>如有</w:t>
      </w:r>
      <w:r>
        <w:rPr>
          <w:rFonts w:hint="default" w:ascii="Calibri" w:hAnsi="Calibri" w:cs="Calibri"/>
          <w:bCs/>
          <w:kern w:val="2"/>
          <w:sz w:val="24"/>
          <w:szCs w:val="24"/>
          <w:lang w:val="en-US" w:eastAsia="zh-CN" w:bidi="ar"/>
        </w:rPr>
        <w:t>)</w:t>
      </w:r>
      <w:r>
        <w:rPr>
          <w:rFonts w:hint="eastAsia" w:ascii="宋体" w:hAnsi="宋体" w:eastAsia="宋体" w:cs="宋体"/>
          <w:bCs/>
          <w:kern w:val="2"/>
          <w:sz w:val="24"/>
          <w:szCs w:val="24"/>
          <w:lang w:val="en-US" w:eastAsia="zh-CN" w:bidi="ar"/>
        </w:rPr>
        <w:t>，或向供方发出书面通知书，提出解除部分或全部合同。延期应通过签订补充合同的方式由双方认可并履行。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2．如供方逾期交货且未经需方同意延长交货时间，除不可抗力外，每逾期一日，供方应按照逾期交货金额的万分之五的标准累计计算向需方支付违约金。逾期超过</w:t>
      </w:r>
      <w:r>
        <w:rPr>
          <w:rFonts w:hint="default" w:ascii="Calibri" w:hAnsi="Calibri" w:cs="Calibri"/>
          <w:bCs/>
          <w:kern w:val="2"/>
          <w:sz w:val="24"/>
          <w:szCs w:val="24"/>
          <w:lang w:val="en-US" w:eastAsia="zh-CN" w:bidi="ar"/>
        </w:rPr>
        <w:t>20</w:t>
      </w:r>
      <w:r>
        <w:rPr>
          <w:rFonts w:hint="eastAsia" w:ascii="宋体" w:hAnsi="宋体" w:eastAsia="宋体" w:cs="宋体"/>
          <w:bCs/>
          <w:kern w:val="2"/>
          <w:sz w:val="24"/>
          <w:szCs w:val="24"/>
          <w:lang w:val="en-US" w:eastAsia="zh-CN" w:bidi="ar"/>
        </w:rPr>
        <w:t>个工作日的，需方有权解除合同，需方如已支付费用的，供方全部返还；且供方应按照合同总价的</w:t>
      </w:r>
      <w:r>
        <w:rPr>
          <w:rFonts w:hint="default" w:ascii="Calibri" w:hAnsi="Calibri" w:cs="Calibri"/>
          <w:bCs/>
          <w:kern w:val="2"/>
          <w:sz w:val="24"/>
          <w:szCs w:val="24"/>
          <w:lang w:val="en-US" w:eastAsia="zh-CN" w:bidi="ar"/>
        </w:rPr>
        <w:t>30%</w:t>
      </w:r>
      <w:r>
        <w:rPr>
          <w:rFonts w:hint="eastAsia" w:ascii="宋体" w:hAnsi="宋体" w:eastAsia="宋体" w:cs="宋体"/>
          <w:bCs/>
          <w:kern w:val="2"/>
          <w:sz w:val="24"/>
          <w:szCs w:val="24"/>
          <w:lang w:val="en-US" w:eastAsia="zh-CN" w:bidi="ar"/>
        </w:rPr>
        <w:t>向需方支付违约金，如给需方造成损失的，还应赔偿损失。</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3．需方无正当理由逾期付款时，每逾期一日，需方应按照逾期付款金额的万分之五的标准累计计算向供方支付违约金。</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4．由于需方的原因要求延期交货，需方应按规定承付货款，并承担供方提供的代为保管费。</w:t>
      </w:r>
      <w:r>
        <w:rPr>
          <w:rFonts w:hint="default" w:ascii="Calibri" w:hAnsi="Calibri" w:cs="Calibri"/>
          <w:bCs/>
          <w:kern w:val="2"/>
          <w:sz w:val="24"/>
          <w:szCs w:val="24"/>
          <w:lang w:val="en-US" w:eastAsia="zh-CN" w:bidi="ar"/>
        </w:rPr>
        <w:t>(</w:t>
      </w:r>
      <w:r>
        <w:rPr>
          <w:rFonts w:hint="eastAsia" w:ascii="宋体" w:hAnsi="宋体" w:eastAsia="宋体" w:cs="宋体"/>
          <w:bCs/>
          <w:kern w:val="2"/>
          <w:sz w:val="24"/>
          <w:szCs w:val="24"/>
          <w:lang w:val="en-US" w:eastAsia="zh-CN" w:bidi="ar"/>
        </w:rPr>
        <w:t>有关仓储规定另议</w:t>
      </w:r>
      <w:r>
        <w:rPr>
          <w:rFonts w:hint="default" w:ascii="Calibri" w:hAnsi="Calibri" w:cs="Calibri"/>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5．供方如无不可抗力，又未履行</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w:t>
      </w:r>
      <w:r>
        <w:rPr>
          <w:rFonts w:hint="eastAsia" w:hAnsi="宋体" w:eastAsia="宋体" w:cs="宋体"/>
          <w:bCs/>
          <w:kern w:val="2"/>
          <w:sz w:val="24"/>
          <w:szCs w:val="24"/>
          <w:lang w:val="en-US" w:eastAsia="zh-CN" w:bidi="ar"/>
        </w:rPr>
        <w:t>响应</w:t>
      </w:r>
      <w:r>
        <w:rPr>
          <w:rFonts w:hint="eastAsia" w:ascii="宋体" w:hAnsi="宋体" w:eastAsia="宋体" w:cs="宋体"/>
          <w:bCs/>
          <w:kern w:val="2"/>
          <w:sz w:val="24"/>
          <w:szCs w:val="24"/>
          <w:lang w:val="en-US" w:eastAsia="zh-CN" w:bidi="ar"/>
        </w:rPr>
        <w:t>文件和合同条款的，一经查实，由供方赔偿由此给需方造成的损失，并按照合同总价的</w:t>
      </w:r>
      <w:r>
        <w:rPr>
          <w:rFonts w:hint="default" w:ascii="Calibri" w:hAnsi="Calibri" w:cs="Calibri"/>
          <w:bCs/>
          <w:kern w:val="2"/>
          <w:sz w:val="24"/>
          <w:szCs w:val="24"/>
          <w:lang w:val="en-US" w:eastAsia="zh-CN" w:bidi="ar"/>
        </w:rPr>
        <w:t>30%</w:t>
      </w:r>
      <w:r>
        <w:rPr>
          <w:rFonts w:hint="eastAsia" w:ascii="宋体" w:hAnsi="宋体" w:eastAsia="宋体" w:cs="宋体"/>
          <w:bCs/>
          <w:kern w:val="2"/>
          <w:sz w:val="24"/>
          <w:szCs w:val="24"/>
          <w:lang w:val="en-US" w:eastAsia="zh-CN" w:bidi="ar"/>
        </w:rPr>
        <w:t>向需方支付违约金，因</w:t>
      </w:r>
      <w:r>
        <w:rPr>
          <w:rFonts w:hint="eastAsia" w:hAnsi="宋体" w:eastAsia="宋体" w:cs="宋体"/>
          <w:bCs/>
          <w:kern w:val="2"/>
          <w:sz w:val="24"/>
          <w:szCs w:val="24"/>
          <w:lang w:val="en-US" w:eastAsia="zh-CN" w:bidi="ar"/>
        </w:rPr>
        <w:t>磋商文件、响应文件</w:t>
      </w:r>
      <w:r>
        <w:rPr>
          <w:rFonts w:hint="eastAsia" w:ascii="宋体" w:hAnsi="宋体" w:eastAsia="宋体" w:cs="宋体"/>
          <w:bCs/>
          <w:kern w:val="2"/>
          <w:sz w:val="24"/>
          <w:szCs w:val="24"/>
          <w:lang w:val="en-US" w:eastAsia="zh-CN" w:bidi="ar"/>
        </w:rPr>
        <w:t>产生的其他责任及后果按</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的相关要求及处理方式执行。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6．由于供方提供货物质量和安装存在问题和缺陷导致任何人身、财产损害的，供方应负责承担由此产生的责任，与需方无关。如不可避免地造成需方损失的，需方有权向供方追偿</w:t>
      </w:r>
      <w:r>
        <w:rPr>
          <w:rFonts w:hint="default" w:ascii="Calibri" w:hAnsi="Calibri" w:cs="Calibri"/>
          <w:bCs/>
          <w:kern w:val="2"/>
          <w:sz w:val="24"/>
          <w:szCs w:val="24"/>
          <w:lang w:val="en-US" w:eastAsia="zh-CN" w:bidi="ar"/>
        </w:rPr>
        <w:t>(</w:t>
      </w:r>
      <w:r>
        <w:rPr>
          <w:rFonts w:hint="eastAsia" w:ascii="宋体" w:hAnsi="宋体" w:eastAsia="宋体" w:cs="宋体"/>
          <w:bCs/>
          <w:kern w:val="2"/>
          <w:sz w:val="24"/>
          <w:szCs w:val="24"/>
          <w:lang w:val="en-US" w:eastAsia="zh-CN" w:bidi="ar"/>
        </w:rPr>
        <w:t>该等损失包括但不限于损害赔偿金、需方为解决纠纷支付的律师费、诉讼费、差旅费等合理费用</w:t>
      </w:r>
      <w:r>
        <w:rPr>
          <w:rFonts w:hint="default" w:ascii="Calibri" w:hAnsi="Calibri" w:cs="Calibri"/>
          <w:bCs/>
          <w:kern w:val="2"/>
          <w:sz w:val="24"/>
          <w:szCs w:val="24"/>
          <w:lang w:val="en-US" w:eastAsia="zh-CN" w:bidi="ar"/>
        </w:rPr>
        <w:t>)</w:t>
      </w:r>
      <w:r>
        <w:rPr>
          <w:rFonts w:hint="eastAsia" w:ascii="宋体" w:hAnsi="宋体" w:eastAsia="宋体" w:cs="宋体"/>
          <w:bCs/>
          <w:kern w:val="2"/>
          <w:sz w:val="24"/>
          <w:szCs w:val="24"/>
          <w:lang w:val="en-US" w:eastAsia="zh-CN" w:bidi="ar"/>
        </w:rPr>
        <w:t>。供方并应按照合同总价的</w:t>
      </w:r>
      <w:r>
        <w:rPr>
          <w:rFonts w:hint="default" w:ascii="Calibri" w:hAnsi="Calibri" w:cs="Calibri"/>
          <w:bCs/>
          <w:kern w:val="2"/>
          <w:sz w:val="24"/>
          <w:szCs w:val="24"/>
          <w:lang w:val="en-US" w:eastAsia="zh-CN" w:bidi="ar"/>
        </w:rPr>
        <w:t>20%</w:t>
      </w:r>
      <w:r>
        <w:rPr>
          <w:rFonts w:hint="eastAsia" w:ascii="宋体" w:hAnsi="宋体" w:eastAsia="宋体" w:cs="宋体"/>
          <w:bCs/>
          <w:kern w:val="2"/>
          <w:sz w:val="24"/>
          <w:szCs w:val="24"/>
          <w:lang w:val="en-US" w:eastAsia="zh-CN" w:bidi="ar"/>
        </w:rPr>
        <w:t>向需方支付违约金，如给需方造成其他损失的，供方还应负责赔偿。</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7．如遭遇不可抗力事件，遭遇不可抗力的一方应尽快以书面形式将不可抗力的情况和原因通知另一方，并积极采取措施防止损失扩大。因不可抗力造成的损失，供、需双方按照法律规定处理。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8．</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及合同中所述之“不可抗力”系指不可预见、不可避免、不可克服的事件，包括但不限于：战争、洪水、台风、地震及其他法律、法规规定的事件。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9．如果供方在本合同履行完毕之前破产或无清偿能力，需方可在任何时候以书面形式通知供方，提出解除合同。该终止合同将不损害或影响需方已经采取或将要采取的任何行动或补救措施的权力。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hAnsi="宋体" w:eastAsia="宋体" w:cs="宋体"/>
          <w:bCs/>
          <w:kern w:val="2"/>
          <w:sz w:val="24"/>
          <w:szCs w:val="24"/>
          <w:lang w:val="en-US" w:eastAsia="zh-CN" w:bidi="ar"/>
        </w:rPr>
        <w:t>（八）</w:t>
      </w:r>
      <w:r>
        <w:rPr>
          <w:rFonts w:hint="eastAsia" w:ascii="宋体" w:hAnsi="宋体" w:eastAsia="宋体" w:cs="宋体"/>
          <w:bCs/>
          <w:kern w:val="2"/>
          <w:sz w:val="24"/>
          <w:szCs w:val="24"/>
          <w:lang w:val="en-US" w:eastAsia="zh-CN" w:bidi="ar"/>
        </w:rPr>
        <w:t>合同生效：</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1．合同经供需双方代表签字并盖章，且</w:t>
      </w:r>
      <w:r>
        <w:rPr>
          <w:rFonts w:hint="eastAsia" w:hAnsi="宋体" w:eastAsia="宋体" w:cs="宋体"/>
          <w:bCs/>
          <w:kern w:val="2"/>
          <w:sz w:val="24"/>
          <w:szCs w:val="24"/>
          <w:lang w:val="en-US" w:eastAsia="zh-CN" w:bidi="ar"/>
        </w:rPr>
        <w:t>经代理机构见证后生效</w:t>
      </w:r>
      <w:r>
        <w:rPr>
          <w:rFonts w:hint="eastAsia" w:ascii="宋体" w:hAnsi="宋体" w:eastAsia="宋体" w:cs="宋体"/>
          <w:bCs/>
          <w:kern w:val="2"/>
          <w:sz w:val="24"/>
          <w:szCs w:val="24"/>
          <w:lang w:val="en-US" w:eastAsia="zh-CN" w:bidi="ar"/>
        </w:rPr>
        <w:t>。履约保证金在本项目验收合格后，由采购人无息退还。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2．合同签订后供需双方即直接产生权利与义务的关系，合同执行过程中出现的问题应按照合同约定、法律法规的规定办理，在合同履行过程中，双方如有争议，协调解决。如协商不能解决，双方可向当地仲裁委员会申请仲裁，仲裁期间，除仲裁委员会要求停止履行合同或出现一方确实无法继续履行合同的情形外，本合同应继续履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Calibri" w:hAnsi="Calibri" w:cs="Calibri"/>
          <w:bCs/>
          <w:kern w:val="2"/>
          <w:sz w:val="24"/>
          <w:szCs w:val="24"/>
        </w:rPr>
      </w:pPr>
      <w:r>
        <w:rPr>
          <w:rFonts w:hint="eastAsia" w:ascii="宋体" w:hAnsi="宋体" w:eastAsia="宋体" w:cs="宋体"/>
          <w:bCs/>
          <w:kern w:val="2"/>
          <w:sz w:val="24"/>
          <w:szCs w:val="24"/>
          <w:lang w:val="en-US" w:eastAsia="zh-CN" w:bidi="ar"/>
        </w:rPr>
        <w:t>3．合同在执行过程中出现的未尽事宜，双方在不违背本合同和</w:t>
      </w:r>
      <w:r>
        <w:rPr>
          <w:rFonts w:hint="eastAsia" w:hAnsi="宋体" w:eastAsia="宋体" w:cs="宋体"/>
          <w:bCs/>
          <w:kern w:val="2"/>
          <w:sz w:val="24"/>
          <w:szCs w:val="24"/>
          <w:lang w:val="en-US" w:eastAsia="zh-CN" w:bidi="ar"/>
        </w:rPr>
        <w:t>磋商文件</w:t>
      </w:r>
      <w:r>
        <w:rPr>
          <w:rFonts w:hint="eastAsia" w:ascii="宋体" w:hAnsi="宋体" w:eastAsia="宋体" w:cs="宋体"/>
          <w:bCs/>
          <w:kern w:val="2"/>
          <w:sz w:val="24"/>
          <w:szCs w:val="24"/>
          <w:lang w:val="en-US" w:eastAsia="zh-CN" w:bidi="ar"/>
        </w:rPr>
        <w:t>的原则下协商解决，协商结果以书面形式签订补充协议，且补充协议与本合同具有同等效力。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4．供需双方确认：对本合同条款及后果均已知悉，一致确认不存在欺诈、胁迫、乘人之危、重大误解、显失公平等任何可能导致合同无效或被撤销的情形。</w:t>
      </w: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spacing w:line="360" w:lineRule="auto"/>
        <w:jc w:val="center"/>
        <w:outlineLvl w:val="0"/>
        <w:rPr>
          <w:rFonts w:hint="eastAsia" w:ascii="宋体" w:hAnsi="宋体" w:cs="宋体"/>
          <w:b/>
          <w:sz w:val="44"/>
          <w:szCs w:val="44"/>
          <w:highlight w:val="none"/>
        </w:rPr>
      </w:pPr>
    </w:p>
    <w:p>
      <w:pPr>
        <w:spacing w:line="360" w:lineRule="auto"/>
        <w:jc w:val="both"/>
        <w:outlineLvl w:val="0"/>
        <w:rPr>
          <w:rFonts w:hint="eastAsia" w:ascii="宋体" w:hAnsi="宋体" w:cs="宋体"/>
          <w:b/>
          <w:sz w:val="32"/>
          <w:szCs w:val="32"/>
          <w:highlight w:val="none"/>
        </w:rPr>
      </w:pPr>
    </w:p>
    <w:p>
      <w:pPr>
        <w:spacing w:line="360" w:lineRule="auto"/>
        <w:jc w:val="center"/>
        <w:outlineLvl w:val="0"/>
        <w:rPr>
          <w:rFonts w:hint="eastAsia" w:ascii="宋体" w:hAnsi="宋体" w:cs="宋体"/>
          <w:b/>
          <w:sz w:val="32"/>
          <w:szCs w:val="32"/>
          <w:highlight w:val="none"/>
        </w:rPr>
      </w:pPr>
      <w:r>
        <w:rPr>
          <w:rFonts w:hint="eastAsia" w:ascii="宋体" w:hAnsi="宋体" w:cs="宋体"/>
          <w:b/>
          <w:sz w:val="32"/>
          <w:szCs w:val="32"/>
          <w:highlight w:val="none"/>
        </w:rPr>
        <w:t>五．附件（响应文件格式）</w:t>
      </w:r>
    </w:p>
    <w:p>
      <w:pPr>
        <w:spacing w:line="360" w:lineRule="auto"/>
        <w:jc w:val="center"/>
        <w:outlineLvl w:val="0"/>
        <w:rPr>
          <w:rFonts w:hint="eastAsia" w:ascii="宋体" w:hAnsi="宋体" w:cs="宋体"/>
          <w:b/>
          <w:sz w:val="30"/>
          <w:szCs w:val="30"/>
          <w:highlight w:val="none"/>
        </w:rPr>
      </w:pPr>
    </w:p>
    <w:p>
      <w:pPr>
        <w:spacing w:line="360" w:lineRule="auto"/>
        <w:jc w:val="center"/>
        <w:rPr>
          <w:rFonts w:hint="eastAsia" w:ascii="宋体" w:hAnsi="宋体" w:cs="宋体"/>
          <w:b/>
          <w:sz w:val="48"/>
          <w:szCs w:val="20"/>
          <w:highlight w:val="none"/>
        </w:rPr>
      </w:pPr>
      <w:r>
        <w:rPr>
          <w:rFonts w:hint="eastAsia" w:ascii="宋体" w:hAnsi="宋体" w:cs="宋体"/>
          <w:b/>
          <w:sz w:val="48"/>
          <w:szCs w:val="20"/>
          <w:highlight w:val="none"/>
          <w:u w:val="single"/>
        </w:rPr>
        <w:t xml:space="preserve">                   </w:t>
      </w:r>
      <w:r>
        <w:rPr>
          <w:rFonts w:hint="eastAsia" w:ascii="宋体" w:hAnsi="宋体" w:cs="宋体"/>
          <w:b/>
          <w:sz w:val="48"/>
          <w:szCs w:val="20"/>
          <w:highlight w:val="none"/>
        </w:rPr>
        <w:t>项目</w:t>
      </w:r>
    </w:p>
    <w:p>
      <w:pPr>
        <w:spacing w:line="360" w:lineRule="auto"/>
        <w:jc w:val="center"/>
        <w:rPr>
          <w:rFonts w:hint="eastAsia" w:ascii="宋体" w:hAnsi="宋体" w:cs="宋体"/>
          <w:b/>
          <w:sz w:val="72"/>
          <w:szCs w:val="20"/>
          <w:highlight w:val="none"/>
        </w:rPr>
      </w:pPr>
      <w:r>
        <w:rPr>
          <w:rFonts w:hint="eastAsia" w:ascii="宋体" w:hAnsi="宋体" w:cs="宋体"/>
          <w:b/>
          <w:sz w:val="72"/>
          <w:szCs w:val="20"/>
          <w:highlight w:val="none"/>
        </w:rPr>
        <w:t>响应文件</w:t>
      </w:r>
    </w:p>
    <w:p>
      <w:pPr>
        <w:spacing w:line="360" w:lineRule="auto"/>
        <w:jc w:val="center"/>
        <w:rPr>
          <w:rFonts w:hint="eastAsia" w:ascii="宋体" w:hAnsi="宋体" w:cs="宋体"/>
          <w:b/>
          <w:sz w:val="48"/>
          <w:szCs w:val="20"/>
          <w:highlight w:val="none"/>
        </w:rPr>
      </w:pPr>
    </w:p>
    <w:p>
      <w:pPr>
        <w:spacing w:line="360" w:lineRule="auto"/>
        <w:jc w:val="both"/>
        <w:rPr>
          <w:rFonts w:hint="eastAsia" w:ascii="宋体" w:hAnsi="宋体" w:cs="宋体"/>
          <w:b/>
          <w:sz w:val="48"/>
          <w:szCs w:val="20"/>
          <w:highlight w:val="none"/>
        </w:rPr>
      </w:pPr>
    </w:p>
    <w:p>
      <w:pPr>
        <w:snapToGrid w:val="0"/>
        <w:spacing w:line="360" w:lineRule="auto"/>
        <w:rPr>
          <w:rFonts w:hint="eastAsia" w:ascii="宋体" w:hAnsi="宋体" w:cs="宋体"/>
          <w:b/>
          <w:sz w:val="30"/>
          <w:szCs w:val="20"/>
          <w:highlight w:val="none"/>
          <w:u w:val="single"/>
        </w:rPr>
      </w:pPr>
      <w:r>
        <w:rPr>
          <w:rFonts w:hint="eastAsia" w:ascii="宋体" w:hAnsi="宋体" w:cs="宋体"/>
          <w:b/>
          <w:sz w:val="30"/>
          <w:szCs w:val="20"/>
          <w:highlight w:val="none"/>
        </w:rPr>
        <w:t>政府采购编号：</w:t>
      </w:r>
      <w:r>
        <w:rPr>
          <w:rFonts w:hint="eastAsia" w:ascii="宋体" w:hAnsi="宋体" w:cs="宋体"/>
          <w:b/>
          <w:sz w:val="30"/>
          <w:szCs w:val="20"/>
          <w:highlight w:val="none"/>
          <w:u w:val="single"/>
        </w:rPr>
        <w:t xml:space="preserve">                                     </w:t>
      </w:r>
    </w:p>
    <w:p>
      <w:pPr>
        <w:snapToGrid w:val="0"/>
        <w:spacing w:line="360" w:lineRule="auto"/>
        <w:rPr>
          <w:rFonts w:hint="eastAsia" w:ascii="宋体" w:hAnsi="宋体" w:cs="宋体"/>
          <w:b/>
          <w:sz w:val="30"/>
          <w:szCs w:val="20"/>
          <w:highlight w:val="none"/>
          <w:u w:val="single"/>
        </w:rPr>
      </w:pPr>
      <w:r>
        <w:rPr>
          <w:rFonts w:hint="eastAsia" w:ascii="宋体" w:hAnsi="宋体" w:cs="宋体"/>
          <w:b/>
          <w:sz w:val="28"/>
          <w:szCs w:val="20"/>
          <w:highlight w:val="none"/>
        </w:rPr>
        <w:t>项目</w:t>
      </w:r>
      <w:r>
        <w:rPr>
          <w:rFonts w:hint="eastAsia" w:ascii="宋体" w:hAnsi="宋体" w:cs="宋体"/>
          <w:b/>
          <w:sz w:val="30"/>
          <w:szCs w:val="20"/>
          <w:highlight w:val="none"/>
        </w:rPr>
        <w:t>名称：</w:t>
      </w:r>
      <w:r>
        <w:rPr>
          <w:rFonts w:hint="eastAsia" w:ascii="宋体" w:hAnsi="宋体" w:cs="宋体"/>
          <w:b/>
          <w:sz w:val="30"/>
          <w:szCs w:val="20"/>
          <w:highlight w:val="none"/>
          <w:u w:val="single"/>
        </w:rPr>
        <w:t xml:space="preserve">       </w:t>
      </w:r>
      <w:r>
        <w:rPr>
          <w:rFonts w:hint="eastAsia" w:ascii="宋体" w:hAnsi="宋体" w:cs="宋体"/>
          <w:b/>
          <w:sz w:val="30"/>
          <w:szCs w:val="20"/>
          <w:highlight w:val="none"/>
          <w:u w:val="single"/>
        </w:rPr>
        <w:tab/>
      </w:r>
      <w:r>
        <w:rPr>
          <w:rFonts w:hint="eastAsia" w:ascii="宋体" w:hAnsi="宋体" w:cs="宋体"/>
          <w:b/>
          <w:sz w:val="30"/>
          <w:szCs w:val="20"/>
          <w:highlight w:val="none"/>
          <w:u w:val="single"/>
        </w:rPr>
        <w:t xml:space="preserve">  </w:t>
      </w:r>
      <w:r>
        <w:rPr>
          <w:rFonts w:hint="eastAsia" w:ascii="宋体" w:hAnsi="宋体" w:cs="宋体"/>
          <w:b/>
          <w:sz w:val="30"/>
          <w:szCs w:val="20"/>
          <w:highlight w:val="none"/>
          <w:u w:val="single"/>
        </w:rPr>
        <w:tab/>
      </w:r>
      <w:r>
        <w:rPr>
          <w:rFonts w:hint="eastAsia" w:ascii="宋体" w:hAnsi="宋体" w:cs="宋体"/>
          <w:b/>
          <w:sz w:val="30"/>
          <w:szCs w:val="20"/>
          <w:highlight w:val="none"/>
          <w:u w:val="single"/>
        </w:rPr>
        <w:tab/>
      </w:r>
      <w:r>
        <w:rPr>
          <w:rFonts w:hint="eastAsia" w:ascii="宋体" w:hAnsi="宋体" w:cs="宋体"/>
          <w:b/>
          <w:sz w:val="30"/>
          <w:szCs w:val="20"/>
          <w:highlight w:val="none"/>
          <w:u w:val="single"/>
        </w:rPr>
        <w:t xml:space="preserve">                            </w:t>
      </w:r>
    </w:p>
    <w:p>
      <w:pPr>
        <w:snapToGrid w:val="0"/>
        <w:spacing w:line="360" w:lineRule="auto"/>
        <w:rPr>
          <w:rFonts w:hint="eastAsia" w:ascii="宋体" w:hAnsi="宋体" w:cs="宋体"/>
          <w:b/>
          <w:sz w:val="30"/>
          <w:szCs w:val="20"/>
          <w:highlight w:val="none"/>
        </w:rPr>
      </w:pPr>
    </w:p>
    <w:p>
      <w:pPr>
        <w:snapToGrid w:val="0"/>
        <w:spacing w:line="360" w:lineRule="auto"/>
        <w:rPr>
          <w:rFonts w:hint="eastAsia" w:ascii="宋体" w:hAnsi="宋体" w:cs="宋体"/>
          <w:b/>
          <w:sz w:val="30"/>
          <w:szCs w:val="20"/>
          <w:highlight w:val="none"/>
          <w:u w:val="single"/>
        </w:rPr>
      </w:pPr>
      <w:r>
        <w:rPr>
          <w:rFonts w:hint="eastAsia" w:ascii="宋体" w:hAnsi="宋体" w:cs="宋体"/>
          <w:b/>
          <w:sz w:val="30"/>
          <w:szCs w:val="20"/>
          <w:highlight w:val="none"/>
        </w:rPr>
        <w:t>供应商：</w:t>
      </w:r>
      <w:r>
        <w:rPr>
          <w:rFonts w:hint="eastAsia" w:ascii="宋体" w:hAnsi="宋体" w:cs="宋体"/>
          <w:b/>
          <w:sz w:val="30"/>
          <w:szCs w:val="20"/>
          <w:highlight w:val="none"/>
          <w:u w:val="single"/>
        </w:rPr>
        <w:t xml:space="preserve">             </w:t>
      </w:r>
      <w:r>
        <w:rPr>
          <w:rFonts w:hint="eastAsia" w:ascii="宋体" w:hAnsi="宋体" w:cs="宋体"/>
          <w:b/>
          <w:sz w:val="30"/>
          <w:szCs w:val="20"/>
          <w:highlight w:val="none"/>
          <w:u w:val="single"/>
        </w:rPr>
        <w:tab/>
      </w:r>
      <w:r>
        <w:rPr>
          <w:rFonts w:hint="eastAsia" w:ascii="宋体" w:hAnsi="宋体" w:cs="宋体"/>
          <w:b/>
          <w:sz w:val="30"/>
          <w:szCs w:val="20"/>
          <w:highlight w:val="none"/>
          <w:u w:val="single"/>
        </w:rPr>
        <w:t xml:space="preserve">                   （盖公章）</w:t>
      </w:r>
    </w:p>
    <w:p>
      <w:pPr>
        <w:snapToGrid w:val="0"/>
        <w:spacing w:line="360" w:lineRule="auto"/>
        <w:rPr>
          <w:rFonts w:hint="eastAsia" w:ascii="宋体" w:hAnsi="宋体" w:cs="宋体"/>
          <w:b/>
          <w:sz w:val="30"/>
          <w:szCs w:val="20"/>
          <w:highlight w:val="none"/>
        </w:rPr>
      </w:pPr>
      <w:r>
        <w:rPr>
          <w:rFonts w:hint="eastAsia" w:ascii="宋体" w:hAnsi="宋体" w:cs="宋体"/>
          <w:b/>
          <w:sz w:val="30"/>
          <w:szCs w:val="20"/>
          <w:highlight w:val="none"/>
        </w:rPr>
        <w:t>法定代表人或</w:t>
      </w:r>
    </w:p>
    <w:p>
      <w:pPr>
        <w:snapToGrid w:val="0"/>
        <w:spacing w:line="360" w:lineRule="auto"/>
        <w:rPr>
          <w:rFonts w:hint="eastAsia" w:ascii="宋体" w:hAnsi="宋体" w:cs="宋体"/>
          <w:b/>
          <w:sz w:val="30"/>
          <w:szCs w:val="20"/>
          <w:highlight w:val="none"/>
          <w:u w:val="single"/>
        </w:rPr>
      </w:pPr>
      <w:r>
        <w:rPr>
          <w:rFonts w:hint="eastAsia" w:ascii="宋体" w:hAnsi="宋体" w:cs="宋体"/>
          <w:b/>
          <w:sz w:val="30"/>
          <w:szCs w:val="20"/>
          <w:highlight w:val="none"/>
        </w:rPr>
        <w:t>其委托代理人：</w:t>
      </w:r>
      <w:r>
        <w:rPr>
          <w:rFonts w:hint="eastAsia" w:ascii="宋体" w:hAnsi="宋体" w:cs="宋体"/>
          <w:b/>
          <w:sz w:val="30"/>
          <w:szCs w:val="20"/>
          <w:highlight w:val="none"/>
          <w:u w:val="single"/>
        </w:rPr>
        <w:t xml:space="preserve">           </w:t>
      </w:r>
      <w:r>
        <w:rPr>
          <w:rFonts w:hint="eastAsia" w:ascii="宋体" w:hAnsi="宋体" w:cs="宋体"/>
          <w:b/>
          <w:sz w:val="30"/>
          <w:szCs w:val="20"/>
          <w:highlight w:val="none"/>
          <w:u w:val="single"/>
        </w:rPr>
        <w:tab/>
      </w:r>
      <w:r>
        <w:rPr>
          <w:rFonts w:hint="eastAsia" w:ascii="宋体" w:hAnsi="宋体" w:cs="宋体"/>
          <w:b/>
          <w:sz w:val="30"/>
          <w:szCs w:val="20"/>
          <w:highlight w:val="none"/>
          <w:u w:val="single"/>
        </w:rPr>
        <w:t xml:space="preserve">          （签字或盖章）</w:t>
      </w:r>
    </w:p>
    <w:p>
      <w:pPr>
        <w:snapToGrid w:val="0"/>
        <w:spacing w:line="360" w:lineRule="auto"/>
        <w:rPr>
          <w:rFonts w:hint="eastAsia" w:ascii="宋体" w:hAnsi="宋体" w:cs="宋体"/>
          <w:b/>
          <w:sz w:val="30"/>
          <w:szCs w:val="20"/>
          <w:highlight w:val="none"/>
        </w:rPr>
      </w:pPr>
    </w:p>
    <w:p>
      <w:pPr>
        <w:snapToGrid w:val="0"/>
        <w:spacing w:line="360" w:lineRule="auto"/>
        <w:rPr>
          <w:rFonts w:hint="eastAsia" w:ascii="宋体" w:hAnsi="宋体" w:cs="宋体"/>
          <w:b/>
          <w:sz w:val="30"/>
          <w:szCs w:val="30"/>
          <w:highlight w:val="none"/>
        </w:rPr>
      </w:pPr>
      <w:r>
        <w:rPr>
          <w:rFonts w:hint="eastAsia" w:ascii="宋体" w:hAnsi="宋体" w:cs="宋体"/>
          <w:b/>
          <w:sz w:val="30"/>
          <w:szCs w:val="20"/>
          <w:highlight w:val="none"/>
        </w:rPr>
        <w:t>日  期：</w:t>
      </w:r>
      <w:r>
        <w:rPr>
          <w:rFonts w:hint="eastAsia" w:ascii="宋体" w:hAnsi="宋体" w:cs="宋体"/>
          <w:b/>
          <w:sz w:val="30"/>
          <w:szCs w:val="20"/>
          <w:highlight w:val="none"/>
          <w:u w:val="single"/>
        </w:rPr>
        <w:t xml:space="preserve">            </w:t>
      </w:r>
      <w:r>
        <w:rPr>
          <w:rFonts w:hint="eastAsia" w:ascii="宋体" w:hAnsi="宋体" w:cs="宋体"/>
          <w:b/>
          <w:sz w:val="30"/>
          <w:szCs w:val="20"/>
          <w:highlight w:val="none"/>
        </w:rPr>
        <w:t xml:space="preserve"> 年</w:t>
      </w:r>
      <w:r>
        <w:rPr>
          <w:rFonts w:hint="eastAsia" w:ascii="宋体" w:hAnsi="宋体" w:cs="宋体"/>
          <w:b/>
          <w:sz w:val="30"/>
          <w:szCs w:val="20"/>
          <w:highlight w:val="none"/>
          <w:u w:val="single"/>
        </w:rPr>
        <w:t xml:space="preserve">             </w:t>
      </w:r>
      <w:r>
        <w:rPr>
          <w:rFonts w:hint="eastAsia" w:ascii="宋体" w:hAnsi="宋体" w:cs="宋体"/>
          <w:b/>
          <w:sz w:val="30"/>
          <w:szCs w:val="20"/>
          <w:highlight w:val="none"/>
        </w:rPr>
        <w:t xml:space="preserve"> 月</w:t>
      </w:r>
      <w:r>
        <w:rPr>
          <w:rFonts w:hint="eastAsia" w:ascii="宋体" w:hAnsi="宋体" w:cs="宋体"/>
          <w:b/>
          <w:sz w:val="30"/>
          <w:szCs w:val="20"/>
          <w:highlight w:val="none"/>
          <w:u w:val="single"/>
        </w:rPr>
        <w:t xml:space="preserve">           </w:t>
      </w:r>
      <w:r>
        <w:rPr>
          <w:rFonts w:hint="eastAsia" w:ascii="宋体" w:hAnsi="宋体" w:cs="宋体"/>
          <w:b/>
          <w:sz w:val="30"/>
          <w:szCs w:val="20"/>
          <w:highlight w:val="none"/>
        </w:rPr>
        <w:t>日</w:t>
      </w:r>
    </w:p>
    <w:p>
      <w:pPr>
        <w:spacing w:line="360" w:lineRule="auto"/>
        <w:jc w:val="center"/>
        <w:outlineLvl w:val="0"/>
        <w:rPr>
          <w:rFonts w:hint="eastAsia" w:ascii="宋体" w:hAnsi="宋体" w:cs="宋体"/>
          <w:b/>
          <w:sz w:val="30"/>
          <w:szCs w:val="30"/>
          <w:highlight w:val="none"/>
        </w:rPr>
      </w:pPr>
    </w:p>
    <w:p>
      <w:pPr>
        <w:spacing w:line="360" w:lineRule="auto"/>
        <w:jc w:val="center"/>
        <w:outlineLvl w:val="0"/>
        <w:rPr>
          <w:rFonts w:hint="eastAsia" w:ascii="宋体" w:hAnsi="宋体" w:cs="宋体"/>
          <w:b/>
          <w:sz w:val="30"/>
          <w:szCs w:val="30"/>
          <w:highlight w:val="none"/>
        </w:rPr>
      </w:pPr>
    </w:p>
    <w:p>
      <w:pPr>
        <w:spacing w:line="360" w:lineRule="auto"/>
        <w:jc w:val="center"/>
        <w:outlineLvl w:val="0"/>
        <w:rPr>
          <w:rFonts w:hint="eastAsia" w:ascii="宋体" w:hAnsi="宋体" w:cs="宋体"/>
          <w:b/>
          <w:sz w:val="30"/>
          <w:szCs w:val="30"/>
          <w:highlight w:val="none"/>
        </w:rPr>
      </w:pPr>
    </w:p>
    <w:p>
      <w:pPr>
        <w:pStyle w:val="2"/>
        <w:rPr>
          <w:rFonts w:hint="eastAsia"/>
        </w:rPr>
      </w:pPr>
    </w:p>
    <w:p>
      <w:pPr>
        <w:spacing w:line="360" w:lineRule="auto"/>
        <w:jc w:val="center"/>
        <w:outlineLvl w:val="0"/>
        <w:rPr>
          <w:rFonts w:hint="eastAsia" w:ascii="宋体" w:hAnsi="宋体" w:cs="宋体"/>
          <w:b/>
          <w:sz w:val="30"/>
          <w:szCs w:val="30"/>
          <w:highlight w:val="none"/>
        </w:rPr>
      </w:pPr>
    </w:p>
    <w:p>
      <w:pPr>
        <w:spacing w:line="360" w:lineRule="auto"/>
        <w:jc w:val="center"/>
        <w:outlineLvl w:val="0"/>
        <w:rPr>
          <w:rFonts w:hint="eastAsia" w:ascii="宋体" w:hAnsi="宋体" w:cs="宋体"/>
          <w:b/>
          <w:sz w:val="30"/>
          <w:szCs w:val="30"/>
          <w:highlight w:val="none"/>
        </w:rPr>
      </w:pPr>
    </w:p>
    <w:p>
      <w:pPr>
        <w:pStyle w:val="2"/>
        <w:rPr>
          <w:rFonts w:hint="eastAsia"/>
        </w:rPr>
      </w:pPr>
    </w:p>
    <w:p>
      <w:pPr>
        <w:jc w:val="left"/>
        <w:outlineLvl w:val="0"/>
        <w:rPr>
          <w:rFonts w:hint="eastAsia" w:ascii="宋体" w:hAnsi="宋体" w:cs="宋体"/>
          <w:b/>
          <w:sz w:val="30"/>
          <w:szCs w:val="30"/>
          <w:highlight w:val="none"/>
        </w:rPr>
      </w:pPr>
      <w:r>
        <w:rPr>
          <w:rFonts w:hint="eastAsia" w:ascii="黑体" w:hAnsi="宋体" w:eastAsia="黑体"/>
          <w:bCs/>
          <w:sz w:val="24"/>
          <w:szCs w:val="24"/>
        </w:rPr>
        <w:t>（一）响应函（格式）：</w:t>
      </w:r>
    </w:p>
    <w:p>
      <w:pPr>
        <w:spacing w:line="360" w:lineRule="auto"/>
        <w:jc w:val="center"/>
        <w:outlineLvl w:val="0"/>
        <w:rPr>
          <w:rFonts w:hint="eastAsia"/>
        </w:rPr>
      </w:pPr>
      <w:r>
        <w:rPr>
          <w:rFonts w:hint="eastAsia" w:ascii="黑体" w:hAnsi="黑体" w:eastAsia="黑体" w:cs="黑体"/>
          <w:b w:val="0"/>
          <w:bCs/>
          <w:sz w:val="30"/>
          <w:szCs w:val="30"/>
          <w:highlight w:val="none"/>
        </w:rPr>
        <w:t>响应函</w:t>
      </w:r>
    </w:p>
    <w:p>
      <w:pPr>
        <w:spacing w:line="360" w:lineRule="auto"/>
        <w:rPr>
          <w:rFonts w:hint="eastAsia" w:ascii="宋体" w:hAnsi="宋体" w:eastAsia="宋体" w:cs="宋体"/>
          <w:bCs/>
          <w:sz w:val="24"/>
          <w:highlight w:val="none"/>
          <w:u w:val="single"/>
          <w:lang w:eastAsia="zh-CN"/>
        </w:rPr>
      </w:pPr>
      <w:r>
        <w:rPr>
          <w:rFonts w:hint="eastAsia" w:ascii="宋体" w:hAnsi="宋体" w:eastAsia="宋体" w:cs="宋体"/>
          <w:bCs/>
          <w:sz w:val="24"/>
          <w:highlight w:val="none"/>
          <w:u w:val="single"/>
        </w:rPr>
        <w:t>致：</w:t>
      </w:r>
      <w:r>
        <w:rPr>
          <w:rFonts w:hint="eastAsia" w:ascii="宋体" w:hAnsi="宋体" w:eastAsia="宋体" w:cs="宋体"/>
          <w:bCs/>
          <w:sz w:val="24"/>
          <w:highlight w:val="none"/>
          <w:u w:val="single"/>
          <w:lang w:eastAsia="zh-CN"/>
        </w:rPr>
        <w:t>江苏达瑞德工程管理咨询有限公司</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一、根据已收到的采购编号为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的</w:t>
      </w:r>
      <w:r>
        <w:rPr>
          <w:rFonts w:hint="eastAsia" w:ascii="宋体" w:hAnsi="宋体" w:eastAsia="宋体" w:cs="宋体"/>
          <w:bCs/>
          <w:sz w:val="24"/>
          <w:highlight w:val="none"/>
          <w:u w:val="single"/>
        </w:rPr>
        <w:t xml:space="preserve">    （采购项目名称 ）   </w:t>
      </w:r>
      <w:r>
        <w:rPr>
          <w:rFonts w:hint="eastAsia" w:ascii="宋体" w:hAnsi="宋体" w:eastAsia="宋体" w:cs="宋体"/>
          <w:bCs/>
          <w:sz w:val="24"/>
          <w:highlight w:val="none"/>
        </w:rPr>
        <w:t>的竞争性磋商文件，遵照国家法律、法规和规章的有关规定，我方经过踏勘现场和对竞争性磋商文件等所有文件的研究后，我方愿以</w:t>
      </w:r>
      <w:r>
        <w:rPr>
          <w:rFonts w:hint="eastAsia" w:ascii="宋体" w:hAnsi="宋体" w:eastAsia="宋体" w:cs="宋体"/>
          <w:bCs/>
          <w:sz w:val="24"/>
          <w:highlight w:val="none"/>
          <w:u w:val="none"/>
        </w:rPr>
        <w:t>大写金额：</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u w:val="none"/>
        </w:rPr>
        <w:t>小写金额：</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总价让利</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rPr>
        <w:t>的价格，按竞争性磋商文件中的要求、技术规范的条件承包本项目。</w:t>
      </w:r>
    </w:p>
    <w:p>
      <w:pPr>
        <w:spacing w:line="360" w:lineRule="auto"/>
        <w:ind w:firstLine="480" w:firstLineChars="200"/>
        <w:rPr>
          <w:rFonts w:hint="eastAsia" w:ascii="宋体" w:hAnsi="宋体" w:eastAsia="宋体" w:cs="宋体"/>
          <w:bCs/>
          <w:color w:val="FF0000"/>
          <w:sz w:val="24"/>
          <w:highlight w:val="none"/>
        </w:rPr>
      </w:pPr>
      <w:r>
        <w:rPr>
          <w:rFonts w:hint="eastAsia" w:ascii="宋体" w:hAnsi="宋体" w:eastAsia="宋体" w:cs="宋体"/>
          <w:bCs/>
          <w:color w:val="FF0000"/>
          <w:sz w:val="24"/>
          <w:highlight w:val="none"/>
        </w:rPr>
        <w:t>二、我方愿意提供</w:t>
      </w:r>
      <w:r>
        <w:rPr>
          <w:rFonts w:hint="eastAsia" w:ascii="宋体" w:hAnsi="宋体" w:eastAsia="宋体" w:cs="宋体"/>
          <w:bCs/>
          <w:color w:val="FF0000"/>
          <w:sz w:val="24"/>
          <w:highlight w:val="none"/>
          <w:lang w:eastAsia="zh-CN"/>
        </w:rPr>
        <w:t>江苏达瑞德工程管理咨询有限公司</w:t>
      </w:r>
      <w:r>
        <w:rPr>
          <w:rFonts w:hint="eastAsia" w:ascii="宋体" w:hAnsi="宋体" w:eastAsia="宋体" w:cs="宋体"/>
          <w:bCs/>
          <w:color w:val="FF0000"/>
          <w:sz w:val="24"/>
          <w:highlight w:val="none"/>
        </w:rPr>
        <w:t>在竞争性磋商文件中要求的文件、资料（具体内容如下）：</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响应函</w:t>
      </w:r>
      <w:r>
        <w:rPr>
          <w:rFonts w:hint="eastAsia" w:ascii="宋体" w:hAnsi="宋体" w:eastAsia="宋体" w:cs="宋体"/>
          <w:b/>
          <w:bCs/>
          <w:sz w:val="24"/>
          <w:highlight w:val="none"/>
        </w:rPr>
        <w:t>（格式见附件）</w:t>
      </w:r>
      <w:r>
        <w:rPr>
          <w:rFonts w:hint="eastAsia" w:ascii="宋体" w:hAnsi="宋体" w:eastAsia="宋体" w:cs="宋体"/>
          <w:b/>
          <w:bCs/>
          <w:sz w:val="24"/>
          <w:highlight w:val="none"/>
          <w:lang w:eastAsia="zh-CN"/>
        </w:rPr>
        <w:t>；</w:t>
      </w:r>
    </w:p>
    <w:p>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、证明文件：</w:t>
      </w:r>
      <w:r>
        <w:rPr>
          <w:rFonts w:hint="eastAsia" w:ascii="宋体" w:hAnsi="宋体" w:eastAsia="宋体" w:cs="宋体"/>
          <w:b/>
          <w:bCs/>
          <w:sz w:val="24"/>
          <w:highlight w:val="none"/>
        </w:rPr>
        <w:t>（扫描后上传，身份证应为正、反</w:t>
      </w:r>
      <w:r>
        <w:rPr>
          <w:rFonts w:hint="eastAsia" w:ascii="宋体" w:hAnsi="宋体" w:eastAsia="宋体" w:cs="宋体"/>
          <w:b/>
          <w:bCs/>
          <w:sz w:val="24"/>
          <w:highlight w:val="none"/>
          <w:lang w:val="en-US" w:eastAsia="zh-CN"/>
        </w:rPr>
        <w:t>两</w:t>
      </w:r>
      <w:r>
        <w:rPr>
          <w:rFonts w:hint="eastAsia" w:ascii="宋体" w:hAnsi="宋体" w:eastAsia="宋体" w:cs="宋体"/>
          <w:b/>
          <w:bCs/>
          <w:sz w:val="24"/>
          <w:highlight w:val="none"/>
        </w:rPr>
        <w:t>面）</w:t>
      </w:r>
    </w:p>
    <w:p>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.1资格、资信证明文件</w:t>
      </w:r>
    </w:p>
    <w:p>
      <w:pPr>
        <w:tabs>
          <w:tab w:val="left" w:pos="0"/>
        </w:tabs>
        <w:spacing w:line="360" w:lineRule="auto"/>
        <w:ind w:left="4" w:leftChars="2" w:firstLine="422" w:firstLineChars="176"/>
        <w:rPr>
          <w:rFonts w:hint="eastAsia" w:ascii="宋体" w:hAnsi="宋体" w:eastAsia="宋体" w:cs="宋体"/>
          <w:sz w:val="24"/>
          <w:highlight w:val="none"/>
          <w:lang w:eastAsia="zh-CN"/>
        </w:rPr>
      </w:pPr>
      <w:r>
        <w:rPr>
          <w:rFonts w:hint="eastAsia" w:ascii="宋体" w:hAnsi="宋体" w:eastAsia="宋体" w:cs="宋体"/>
          <w:sz w:val="24"/>
          <w:highlight w:val="none"/>
        </w:rPr>
        <w:t>（1）关于资格的声明函</w:t>
      </w:r>
      <w:r>
        <w:rPr>
          <w:rFonts w:hint="eastAsia" w:ascii="宋体" w:hAnsi="宋体" w:eastAsia="宋体" w:cs="宋体"/>
          <w:b/>
          <w:bCs/>
          <w:sz w:val="24"/>
          <w:highlight w:val="none"/>
        </w:rPr>
        <w:t>（格式见附件）</w:t>
      </w:r>
      <w:r>
        <w:rPr>
          <w:rFonts w:hint="eastAsia" w:ascii="宋体" w:hAnsi="宋体" w:eastAsia="宋体" w:cs="宋体"/>
          <w:sz w:val="24"/>
          <w:highlight w:val="none"/>
          <w:lang w:eastAsia="zh-CN"/>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（2）供应商法人营业执照副本复印件加盖公章；</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（3）供应商法定代表人授权委托书</w:t>
      </w:r>
      <w:r>
        <w:rPr>
          <w:rFonts w:hint="eastAsia" w:ascii="宋体" w:hAnsi="宋体" w:eastAsia="宋体" w:cs="宋体"/>
          <w:b/>
          <w:bCs/>
          <w:sz w:val="24"/>
          <w:highlight w:val="none"/>
        </w:rPr>
        <w:t>（法定代表人亲自参与磋商的除外，格式见附件）</w:t>
      </w:r>
      <w:r>
        <w:rPr>
          <w:rFonts w:hint="eastAsia" w:ascii="宋体" w:hAnsi="宋体" w:eastAsia="宋体" w:cs="宋体"/>
          <w:sz w:val="24"/>
          <w:highlight w:val="none"/>
        </w:rPr>
        <w:t>；</w:t>
      </w:r>
    </w:p>
    <w:p>
      <w:pPr>
        <w:tabs>
          <w:tab w:val="left" w:pos="0"/>
        </w:tabs>
        <w:spacing w:line="360" w:lineRule="auto"/>
        <w:ind w:left="4" w:leftChars="2" w:firstLine="422" w:firstLineChars="176"/>
        <w:rPr>
          <w:rFonts w:hint="eastAsia" w:ascii="宋体" w:hAnsi="宋体" w:eastAsia="宋体" w:cs="宋体"/>
          <w:sz w:val="24"/>
          <w:highlight w:val="none"/>
          <w:lang w:eastAsia="zh-CN"/>
        </w:rPr>
      </w:pPr>
      <w:r>
        <w:rPr>
          <w:rFonts w:hint="eastAsia" w:ascii="宋体" w:hAnsi="宋体" w:eastAsia="宋体" w:cs="宋体"/>
          <w:sz w:val="24"/>
          <w:highlight w:val="none"/>
        </w:rPr>
        <w:t>（4）供应商法定代表人身份证及法定代表人授权代表身份证复印件并加盖公章</w:t>
      </w:r>
      <w:r>
        <w:rPr>
          <w:rFonts w:hint="eastAsia" w:ascii="宋体" w:hAnsi="宋体" w:eastAsia="宋体" w:cs="宋体"/>
          <w:b/>
          <w:bCs/>
          <w:sz w:val="24"/>
          <w:highlight w:val="none"/>
        </w:rPr>
        <w:t>（法定代表人亲自参加</w:t>
      </w:r>
      <w:r>
        <w:rPr>
          <w:rFonts w:hint="eastAsia" w:ascii="宋体" w:hAnsi="宋体" w:eastAsia="宋体" w:cs="宋体"/>
          <w:b/>
          <w:bCs/>
          <w:sz w:val="24"/>
          <w:highlight w:val="none"/>
          <w:lang w:val="en-US" w:eastAsia="zh-CN"/>
        </w:rPr>
        <w:t>磋商</w:t>
      </w:r>
      <w:r>
        <w:rPr>
          <w:rFonts w:hint="eastAsia" w:ascii="宋体" w:hAnsi="宋体" w:eastAsia="宋体" w:cs="宋体"/>
          <w:b/>
          <w:bCs/>
          <w:sz w:val="24"/>
          <w:highlight w:val="none"/>
        </w:rPr>
        <w:t>的除外）</w:t>
      </w:r>
      <w:r>
        <w:rPr>
          <w:rFonts w:hint="eastAsia" w:ascii="宋体" w:hAnsi="宋体" w:eastAsia="宋体" w:cs="宋体"/>
          <w:b/>
          <w:bCs/>
          <w:sz w:val="24"/>
          <w:highlight w:val="none"/>
          <w:lang w:eastAsia="zh-CN"/>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）供应商近三个月中任意一个月份(不含磋商当月)的依法缴纳税收的相关材料（提供相关主管部门证明或银行代扣证明）复印件并加盖公章；</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）供应商近三个月中任意一个月份(不含磋商当月)的财务状况报告（资产负债表和利润表）或由会计师事务所出具的近两年中任意一个年度的审计报告和所附已审财务报告</w:t>
      </w:r>
      <w:r>
        <w:rPr>
          <w:rFonts w:hint="eastAsia" w:ascii="宋体" w:hAnsi="宋体" w:eastAsia="宋体" w:cs="宋体"/>
          <w:sz w:val="24"/>
          <w:highlight w:val="yellow"/>
        </w:rPr>
        <w:t>复印件并加盖公章</w:t>
      </w:r>
      <w:r>
        <w:rPr>
          <w:rFonts w:hint="eastAsia" w:ascii="宋体" w:hAnsi="宋体" w:eastAsia="宋体" w:cs="宋体"/>
          <w:sz w:val="24"/>
          <w:highlight w:val="none"/>
        </w:rPr>
        <w:t>；</w:t>
      </w:r>
    </w:p>
    <w:p>
      <w:pPr>
        <w:tabs>
          <w:tab w:val="left" w:pos="0"/>
        </w:tabs>
        <w:spacing w:line="360" w:lineRule="auto"/>
        <w:ind w:left="4" w:leftChars="2" w:firstLine="422" w:firstLineChars="176"/>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）供应商近三个月中任意一个月份（不含磋商当月)的依法缴纳社会保障资金的相关材料（提供相关主管部门证明或银行代扣证明）复印件并加盖公章；</w:t>
      </w:r>
    </w:p>
    <w:p>
      <w:pPr>
        <w:tabs>
          <w:tab w:val="left" w:pos="0"/>
        </w:tabs>
        <w:spacing w:line="360" w:lineRule="auto"/>
        <w:ind w:left="4" w:leftChars="2" w:firstLine="422" w:firstLineChars="176"/>
        <w:rPr>
          <w:rFonts w:hint="eastAsia" w:ascii="宋体" w:hAnsi="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）被授权委托人提供企业与其签订的劳动合同复印件并加盖公章和《职工养老保险手册》（内附社保部门出具的202</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月-2022年</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月的社保缴费清单</w:t>
      </w:r>
      <w:r>
        <w:rPr>
          <w:rFonts w:hint="eastAsia" w:ascii="宋体" w:hAnsi="宋体" w:eastAsia="宋体" w:cs="宋体"/>
          <w:sz w:val="24"/>
          <w:highlight w:val="none"/>
          <w:lang w:eastAsia="zh-CN"/>
        </w:rPr>
        <w:t>）</w:t>
      </w:r>
      <w:r>
        <w:rPr>
          <w:rFonts w:hint="eastAsia" w:ascii="宋体" w:hAnsi="宋体" w:eastAsia="宋体" w:cs="宋体"/>
          <w:sz w:val="24"/>
          <w:highlight w:val="none"/>
        </w:rPr>
        <w:t>或社保部门出具的企业为其缴费202</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月-2022年</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月带有二维码验证的打印件，法定代表人亲自参与磋商的除外</w:t>
      </w:r>
      <w:r>
        <w:rPr>
          <w:rFonts w:hint="eastAsia" w:ascii="宋体" w:hAnsi="宋体" w:eastAsia="宋体" w:cs="宋体"/>
          <w:sz w:val="24"/>
          <w:highlight w:val="none"/>
          <w:lang w:eastAsia="zh-CN"/>
        </w:rPr>
        <w:t>、</w:t>
      </w:r>
      <w:r>
        <w:rPr>
          <w:rFonts w:hint="eastAsia" w:ascii="宋体" w:hAnsi="宋体" w:eastAsia="宋体" w:cs="宋体"/>
          <w:sz w:val="24"/>
          <w:highlight w:val="none"/>
        </w:rPr>
        <w:t>新成立公司除外)；</w:t>
      </w:r>
    </w:p>
    <w:p>
      <w:pPr>
        <w:pStyle w:val="22"/>
        <w:spacing w:line="360" w:lineRule="auto"/>
        <w:ind w:firstLine="480"/>
        <w:rPr>
          <w:rFonts w:hint="eastAsia" w:ascii="宋体" w:hAnsi="宋体"/>
          <w:sz w:val="24"/>
          <w:szCs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sz w:val="24"/>
          <w:szCs w:val="24"/>
          <w:highlight w:val="none"/>
          <w:lang w:val="en-US" w:eastAsia="zh-CN"/>
        </w:rPr>
        <w:t>中小企业声明函（格式见附件）</w:t>
      </w:r>
      <w:r>
        <w:rPr>
          <w:rFonts w:hint="eastAsia" w:ascii="宋体" w:hAnsi="宋体"/>
          <w:sz w:val="24"/>
          <w:szCs w:val="24"/>
          <w:highlight w:val="none"/>
        </w:rPr>
        <w:t>；</w:t>
      </w:r>
    </w:p>
    <w:p>
      <w:pPr>
        <w:pStyle w:val="22"/>
        <w:spacing w:line="360" w:lineRule="auto"/>
        <w:ind w:firstLine="480"/>
        <w:rPr>
          <w:rFonts w:hint="eastAsia" w:ascii="宋体" w:hAnsi="宋体"/>
          <w:b/>
          <w:bCs/>
          <w:sz w:val="24"/>
          <w:szCs w:val="24"/>
          <w:highlight w:val="none"/>
        </w:rPr>
      </w:pPr>
      <w:r>
        <w:rPr>
          <w:rFonts w:hint="eastAsia" w:ascii="宋体" w:hAnsi="宋体"/>
          <w:b/>
          <w:bCs/>
          <w:sz w:val="24"/>
          <w:szCs w:val="24"/>
          <w:highlight w:val="none"/>
        </w:rPr>
        <w:t>注：①参加</w:t>
      </w:r>
      <w:r>
        <w:rPr>
          <w:rFonts w:hint="eastAsia" w:ascii="宋体" w:hAnsi="宋体"/>
          <w:b/>
          <w:bCs/>
          <w:sz w:val="24"/>
          <w:szCs w:val="24"/>
          <w:highlight w:val="none"/>
          <w:lang w:val="en-US" w:eastAsia="zh-CN"/>
        </w:rPr>
        <w:t>磋商</w:t>
      </w:r>
      <w:r>
        <w:rPr>
          <w:rFonts w:hint="eastAsia" w:ascii="宋体" w:hAnsi="宋体"/>
          <w:b/>
          <w:bCs/>
          <w:sz w:val="24"/>
          <w:szCs w:val="24"/>
          <w:highlight w:val="none"/>
        </w:rPr>
        <w:t>的中小企业,应当按照&lt;政府采购促进中小企业发展管理办法》财库(2020)46号)的规定提供《中小企业声明函》(格式见附件)。(中小企业划型标准详见《关于印发中小企业划型标准规定的通知》工信部联企业(2011) 300 号)。按属于小、微型企业产品细目报价表认真填写。)或参加</w:t>
      </w:r>
      <w:r>
        <w:rPr>
          <w:rFonts w:hint="eastAsia" w:ascii="宋体" w:hAnsi="宋体"/>
          <w:b/>
          <w:bCs/>
          <w:sz w:val="24"/>
          <w:szCs w:val="24"/>
          <w:highlight w:val="none"/>
          <w:lang w:val="en-US" w:eastAsia="zh-CN"/>
        </w:rPr>
        <w:t>磋商</w:t>
      </w:r>
      <w:r>
        <w:rPr>
          <w:rFonts w:hint="eastAsia" w:ascii="宋体" w:hAnsi="宋体"/>
          <w:b/>
          <w:bCs/>
          <w:sz w:val="24"/>
          <w:szCs w:val="24"/>
          <w:highlight w:val="none"/>
        </w:rPr>
        <w:t>的监狱企业，应当按照《关于政府采购支持监狱企业发展有关问题的通知》(财库[2014]68号)的规定提供由省级以上监狱管理局、戒毒管理局(含新疆生产建设兵团)出具的属于监狱企业的证明文件复印件。或参加磋商的残疾人福利性单位，应当按照《财政部、民政部、中国残疾人联合会关于促进残疾人就业政府采购政策的通知》(财库(2017) 141号)的规定提供《残疾人福利性单位声明函》。</w:t>
      </w:r>
    </w:p>
    <w:p>
      <w:pPr>
        <w:pStyle w:val="22"/>
        <w:spacing w:line="360" w:lineRule="auto"/>
        <w:ind w:firstLine="480"/>
        <w:rPr>
          <w:rFonts w:hint="eastAsia" w:ascii="宋体" w:hAnsi="宋体"/>
          <w:b/>
          <w:bCs/>
          <w:sz w:val="24"/>
          <w:szCs w:val="24"/>
          <w:highlight w:val="none"/>
        </w:rPr>
      </w:pPr>
      <w:r>
        <w:rPr>
          <w:rFonts w:hint="eastAsia" w:ascii="宋体" w:hAnsi="宋体"/>
          <w:b/>
          <w:bCs/>
          <w:sz w:val="24"/>
          <w:szCs w:val="24"/>
          <w:highlight w:val="none"/>
        </w:rPr>
        <w:t>②上述资格、资信证明文件供应商必须按要求全部提供，如果原件正在年检（或换证），则必须上传法定年检（或换证）单位出具的有效证明原件扫描件，否则</w:t>
      </w:r>
      <w:r>
        <w:rPr>
          <w:rFonts w:hint="eastAsia" w:ascii="宋体" w:hAnsi="宋体"/>
          <w:b/>
          <w:bCs/>
          <w:sz w:val="24"/>
          <w:szCs w:val="24"/>
          <w:highlight w:val="none"/>
          <w:lang w:val="en-US" w:eastAsia="zh-CN"/>
        </w:rPr>
        <w:t>响应</w:t>
      </w:r>
      <w:r>
        <w:rPr>
          <w:rFonts w:hint="eastAsia" w:ascii="宋体" w:hAnsi="宋体"/>
          <w:b/>
          <w:bCs/>
          <w:sz w:val="24"/>
          <w:szCs w:val="24"/>
          <w:highlight w:val="none"/>
        </w:rPr>
        <w:t>文件无效。如上述资格、资信证明文件遇有国家相关政策规定可不具备的，必须提供相关政策规定或相关单位出具的有效证明复印件。供应商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2.2</w:t>
      </w:r>
      <w:r>
        <w:rPr>
          <w:rFonts w:hint="eastAsia" w:ascii="宋体" w:hAnsi="宋体" w:eastAsia="宋体" w:cs="宋体"/>
          <w:b w:val="0"/>
          <w:bCs/>
          <w:sz w:val="24"/>
          <w:highlight w:val="none"/>
        </w:rPr>
        <w:t>补充证明文件</w:t>
      </w:r>
      <w:r>
        <w:rPr>
          <w:rFonts w:hint="eastAsia" w:ascii="宋体" w:hAnsi="宋体" w:eastAsia="宋体" w:cs="宋体"/>
          <w:b w:val="0"/>
          <w:bCs/>
          <w:sz w:val="24"/>
          <w:highlight w:val="none"/>
          <w:lang w:eastAsia="zh-CN"/>
        </w:rPr>
        <w:t>：</w:t>
      </w:r>
    </w:p>
    <w:p>
      <w:pPr>
        <w:spacing w:line="360" w:lineRule="auto"/>
        <w:ind w:firstLine="480" w:firstLineChars="200"/>
        <w:rPr>
          <w:rFonts w:hint="eastAsia" w:ascii="宋体" w:hAnsi="宋体" w:eastAsia="宋体" w:cs="宋体"/>
          <w:bCs/>
          <w:sz w:val="24"/>
          <w:highlight w:val="none"/>
          <w:lang w:eastAsia="zh-CN"/>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供应商认为有必要提供的其它资料（参照评分标准要求）</w:t>
      </w:r>
      <w:r>
        <w:rPr>
          <w:rFonts w:hint="eastAsia" w:ascii="宋体" w:hAnsi="宋体" w:eastAsia="宋体" w:cs="宋体"/>
          <w:bCs/>
          <w:sz w:val="24"/>
          <w:highlight w:val="none"/>
          <w:lang w:eastAsia="zh-CN"/>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、报价部分：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供应商的磋商报价明显低于其他通过符合性审查供应商的报价（有可能影响产品质量或者不能诚信履约的），</w:t>
      </w:r>
      <w:r>
        <w:rPr>
          <w:rFonts w:hint="eastAsia" w:ascii="宋体" w:hAnsi="宋体" w:eastAsia="宋体" w:cs="宋体"/>
          <w:sz w:val="24"/>
          <w:highlight w:val="none"/>
          <w:lang w:eastAsia="zh-CN"/>
        </w:rPr>
        <w:t>评审小组</w:t>
      </w:r>
      <w:r>
        <w:rPr>
          <w:rFonts w:hint="eastAsia" w:ascii="宋体" w:hAnsi="宋体" w:eastAsia="宋体" w:cs="宋体"/>
          <w:sz w:val="24"/>
          <w:highlight w:val="none"/>
        </w:rPr>
        <w:t>有权要求供应商在一小时内提供书面说明或相关证明材料以证明其报价合理性，否则作无效响应文件处理。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（1）报价一览表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格式见附件</w:t>
      </w:r>
      <w:r>
        <w:rPr>
          <w:rFonts w:hint="eastAsia" w:ascii="宋体" w:hAnsi="宋体" w:eastAsia="宋体" w:cs="宋体"/>
          <w:sz w:val="24"/>
          <w:highlight w:val="none"/>
          <w:lang w:eastAsia="zh-CN"/>
        </w:rPr>
        <w:t>）</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 w:val="24"/>
          <w:highlight w:val="none"/>
        </w:rPr>
        <w:t>（2）明细报价表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格式见附件</w:t>
      </w:r>
      <w:r>
        <w:rPr>
          <w:rFonts w:hint="eastAsia" w:ascii="宋体" w:hAnsi="宋体" w:eastAsia="宋体" w:cs="宋体"/>
          <w:sz w:val="24"/>
          <w:highlight w:val="none"/>
          <w:lang w:eastAsia="zh-CN"/>
        </w:rPr>
        <w:t>）</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、技术部分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（1）项目背景及现状分析；</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（2）社区宣传推广及入户评估工作方案；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（3）改造方案；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（4）进度计划及进度保障措施；</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（5）适老化改造管理系统</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）售后服务方案。</w:t>
      </w:r>
    </w:p>
    <w:p>
      <w:pPr>
        <w:pStyle w:val="2"/>
        <w:spacing w:line="360" w:lineRule="auto"/>
        <w:ind w:firstLine="480" w:firstLineChars="200"/>
        <w:rPr>
          <w:rFonts w:hint="default"/>
          <w:lang w:val="en-US"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7</w:t>
      </w:r>
      <w:r>
        <w:rPr>
          <w:rFonts w:hint="eastAsia" w:ascii="宋体" w:hAnsi="宋体" w:cs="宋体"/>
          <w:sz w:val="24"/>
          <w:highlight w:val="none"/>
          <w:lang w:eastAsia="zh-CN"/>
        </w:rPr>
        <w:t>）</w:t>
      </w:r>
      <w:r>
        <w:rPr>
          <w:rFonts w:hint="eastAsia" w:ascii="宋体" w:hAnsi="宋体" w:cs="宋体"/>
          <w:sz w:val="24"/>
          <w:highlight w:val="none"/>
          <w:lang w:val="en-US" w:eastAsia="zh-CN"/>
        </w:rPr>
        <w:t>产品清单响应</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三、我方同意按竞争性磋商文件中的规定，本响应文件报价的有效期限为</w:t>
      </w:r>
      <w:r>
        <w:rPr>
          <w:rFonts w:hint="eastAsia" w:ascii="宋体" w:hAnsi="宋体" w:eastAsia="宋体" w:cs="宋体"/>
          <w:bCs/>
          <w:sz w:val="24"/>
          <w:highlight w:val="none"/>
          <w:lang w:eastAsia="zh-CN"/>
        </w:rPr>
        <w:t>报价截止之日起90天</w:t>
      </w:r>
      <w:r>
        <w:rPr>
          <w:rFonts w:hint="eastAsia" w:ascii="宋体" w:hAnsi="宋体" w:eastAsia="宋体" w:cs="宋体"/>
          <w:bCs/>
          <w:sz w:val="24"/>
          <w:highlight w:val="none"/>
        </w:rPr>
        <w:t>。</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四、如果我方的响应文件被接受，我方将履行竞争性磋商文件中规定的每一项要求，按期、按质、按量，完成交货任务。</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五、我方认为你们有权决定</w:t>
      </w:r>
      <w:r>
        <w:rPr>
          <w:rFonts w:hint="eastAsia" w:ascii="宋体" w:hAnsi="宋体" w:eastAsia="宋体" w:cs="宋体"/>
          <w:bCs/>
          <w:sz w:val="24"/>
          <w:highlight w:val="none"/>
          <w:lang w:val="en-US" w:eastAsia="zh-CN"/>
        </w:rPr>
        <w:t>成交方</w:t>
      </w:r>
      <w:r>
        <w:rPr>
          <w:rFonts w:hint="eastAsia" w:ascii="宋体" w:hAnsi="宋体" w:eastAsia="宋体" w:cs="宋体"/>
          <w:bCs/>
          <w:sz w:val="24"/>
          <w:highlight w:val="none"/>
        </w:rPr>
        <w:t>。</w:t>
      </w:r>
    </w:p>
    <w:p>
      <w:pPr>
        <w:spacing w:line="360" w:lineRule="auto"/>
        <w:ind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rPr>
        <w:t>六、我方愿意遵守《中华人民共和国政府采购法》，并按《中华人民共和国民法典》和合同条款履行自己的全部责任。在合同履行过程中，双方如有争议，同意双方协调解决，并按相关法规和有关文件规定处理</w:t>
      </w:r>
      <w:r>
        <w:rPr>
          <w:rFonts w:hint="eastAsia" w:ascii="宋体" w:hAnsi="宋体" w:eastAsia="宋体" w:cs="宋体"/>
          <w:bCs/>
          <w:sz w:val="24"/>
          <w:highlight w:val="none"/>
          <w:lang w:eastAsia="zh-CN"/>
        </w:rPr>
        <w:t>。</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七、我方认可并保证遵守竞争性磋商文件的所有规定，放弃对竞争性磋商文件提出质疑的权利。</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八</w:t>
      </w:r>
      <w:r>
        <w:rPr>
          <w:rFonts w:hint="eastAsia" w:ascii="宋体" w:hAnsi="宋体" w:eastAsia="宋体" w:cs="宋体"/>
          <w:bCs/>
          <w:sz w:val="24"/>
          <w:highlight w:val="none"/>
        </w:rPr>
        <w:t>、如果我方被确定为</w:t>
      </w:r>
      <w:r>
        <w:rPr>
          <w:rFonts w:hint="eastAsia" w:ascii="宋体" w:hAnsi="宋体" w:eastAsia="宋体" w:cs="宋体"/>
          <w:bCs/>
          <w:sz w:val="24"/>
          <w:highlight w:val="none"/>
          <w:lang w:val="en-US" w:eastAsia="zh-CN"/>
        </w:rPr>
        <w:t>成交方</w:t>
      </w:r>
      <w:r>
        <w:rPr>
          <w:rFonts w:hint="eastAsia" w:ascii="宋体" w:hAnsi="宋体" w:eastAsia="宋体" w:cs="宋体"/>
          <w:bCs/>
          <w:sz w:val="24"/>
          <w:highlight w:val="none"/>
        </w:rPr>
        <w:t>，我方愿意在见证合同时交纳</w:t>
      </w:r>
      <w:r>
        <w:rPr>
          <w:rFonts w:hint="eastAsia" w:ascii="宋体" w:hAnsi="宋体" w:eastAsia="宋体" w:cs="宋体"/>
          <w:bCs/>
          <w:sz w:val="24"/>
          <w:highlight w:val="none"/>
          <w:lang w:val="en-US" w:eastAsia="zh-CN"/>
        </w:rPr>
        <w:t>成交</w:t>
      </w:r>
      <w:r>
        <w:rPr>
          <w:rFonts w:hint="eastAsia" w:ascii="宋体" w:hAnsi="宋体" w:eastAsia="宋体" w:cs="宋体"/>
          <w:bCs/>
          <w:sz w:val="24"/>
          <w:highlight w:val="none"/>
        </w:rPr>
        <w:t>总金额10%的履约保证金。且我方如无不可抗力，又未履行竞争性磋商文件、响应文件合同条款的，一经查实，我方愿意赔偿由此而造成的一切损失，并同意接受按竞争性磋商文件的相关要求对我方进行的处理。</w:t>
      </w:r>
    </w:p>
    <w:p>
      <w:pPr>
        <w:widowControl/>
        <w:topLinePunct/>
        <w:spacing w:before="4" w:line="360" w:lineRule="auto"/>
        <w:rPr>
          <w:rFonts w:hint="eastAsia" w:ascii="宋体" w:hAnsi="宋体" w:cs="宋体"/>
          <w:sz w:val="24"/>
          <w:highlight w:val="none"/>
        </w:rPr>
      </w:pP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供应商：（盖章）</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法定代表人或委托代理人：（签字或盖章）</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电话：                   传真：</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地址：                   邮编：</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 xml:space="preserve">开户名称：               </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 xml:space="preserve">开户银行：            </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开户账号：</w:t>
      </w:r>
    </w:p>
    <w:p>
      <w:pPr>
        <w:jc w:val="both"/>
        <w:outlineLvl w:val="0"/>
        <w:rPr>
          <w:rFonts w:hint="eastAsia" w:ascii="黑体" w:hAnsi="宋体" w:eastAsia="黑体"/>
          <w:bCs/>
          <w:sz w:val="24"/>
          <w:szCs w:val="24"/>
        </w:rPr>
      </w:pPr>
    </w:p>
    <w:p>
      <w:pPr>
        <w:jc w:val="both"/>
        <w:outlineLvl w:val="0"/>
        <w:rPr>
          <w:rFonts w:hint="eastAsia" w:ascii="黑体" w:eastAsia="黑体"/>
          <w:bCs/>
          <w:sz w:val="24"/>
          <w:szCs w:val="24"/>
        </w:rPr>
      </w:pPr>
      <w:r>
        <w:rPr>
          <w:rFonts w:hint="eastAsia" w:ascii="黑体" w:hAnsi="宋体" w:eastAsia="黑体"/>
          <w:bCs/>
          <w:sz w:val="24"/>
          <w:szCs w:val="24"/>
        </w:rPr>
        <w:t>（二）</w:t>
      </w:r>
      <w:r>
        <w:rPr>
          <w:rFonts w:hint="eastAsia" w:ascii="黑体" w:hAnsi="宋体" w:eastAsia="黑体"/>
          <w:bCs/>
          <w:sz w:val="24"/>
          <w:szCs w:val="24"/>
          <w:lang w:eastAsia="zh-CN"/>
        </w:rPr>
        <w:t>（</w:t>
      </w:r>
      <w:r>
        <w:rPr>
          <w:rFonts w:hint="eastAsia" w:ascii="黑体" w:hAnsi="宋体" w:eastAsia="黑体"/>
          <w:bCs/>
          <w:sz w:val="24"/>
          <w:szCs w:val="24"/>
          <w:lang w:val="en-US" w:eastAsia="zh-CN"/>
        </w:rPr>
        <w:t>供应商</w:t>
      </w:r>
      <w:r>
        <w:rPr>
          <w:rFonts w:hint="eastAsia" w:ascii="黑体" w:hAnsi="宋体" w:eastAsia="黑体"/>
          <w:bCs/>
          <w:sz w:val="24"/>
          <w:szCs w:val="24"/>
          <w:lang w:eastAsia="zh-CN"/>
        </w:rPr>
        <w:t>）</w:t>
      </w:r>
      <w:r>
        <w:rPr>
          <w:rFonts w:hint="eastAsia" w:ascii="黑体" w:hAnsi="宋体" w:eastAsia="黑体"/>
          <w:bCs/>
          <w:sz w:val="24"/>
          <w:szCs w:val="24"/>
        </w:rPr>
        <w:t>关于资格的声明函（格式）：</w:t>
      </w:r>
    </w:p>
    <w:p>
      <w:pPr>
        <w:pStyle w:val="17"/>
        <w:rPr>
          <w:rFonts w:hint="eastAsia" w:ascii="宋体" w:hAnsi="宋体" w:cs="宋体"/>
          <w:sz w:val="24"/>
          <w:highlight w:val="none"/>
        </w:rPr>
      </w:pPr>
    </w:p>
    <w:p>
      <w:pPr>
        <w:pStyle w:val="2"/>
        <w:jc w:val="center"/>
        <w:rPr>
          <w:rFonts w:hint="eastAsia" w:ascii="黑体" w:hAnsi="黑体" w:eastAsia="黑体" w:cs="黑体"/>
          <w:bCs/>
          <w:sz w:val="30"/>
          <w:szCs w:val="30"/>
          <w:highlight w:val="none"/>
        </w:rPr>
      </w:pPr>
      <w:r>
        <w:rPr>
          <w:rFonts w:hint="eastAsia" w:ascii="黑体" w:hAnsi="黑体" w:eastAsia="黑体" w:cs="黑体"/>
          <w:bCs/>
          <w:kern w:val="2"/>
          <w:sz w:val="30"/>
          <w:szCs w:val="30"/>
          <w:highlight w:val="none"/>
          <w:lang w:val="en-US" w:eastAsia="zh-CN"/>
        </w:rPr>
        <w:t>关于资格的声明函</w:t>
      </w:r>
    </w:p>
    <w:p>
      <w:pPr>
        <w:spacing w:line="360" w:lineRule="auto"/>
        <w:jc w:val="center"/>
        <w:rPr>
          <w:rFonts w:hint="eastAsia" w:ascii="宋体" w:hAnsi="宋体" w:eastAsia="宋体" w:cs="宋体"/>
          <w:bCs/>
          <w:sz w:val="24"/>
          <w:highlight w:val="none"/>
        </w:rPr>
      </w:pPr>
    </w:p>
    <w:p>
      <w:pPr>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采购</w:t>
      </w:r>
      <w:r>
        <w:rPr>
          <w:rFonts w:hint="eastAsia" w:ascii="宋体" w:hAnsi="宋体" w:eastAsia="宋体" w:cs="宋体"/>
          <w:bCs/>
          <w:sz w:val="24"/>
          <w:highlight w:val="none"/>
          <w:lang w:val="en-US" w:eastAsia="zh-CN"/>
        </w:rPr>
        <w:t>项目</w:t>
      </w:r>
      <w:r>
        <w:rPr>
          <w:rFonts w:hint="eastAsia" w:ascii="宋体" w:hAnsi="宋体" w:eastAsia="宋体" w:cs="宋体"/>
          <w:bCs/>
          <w:sz w:val="24"/>
          <w:highlight w:val="none"/>
        </w:rPr>
        <w:t>编号：</w:t>
      </w:r>
    </w:p>
    <w:p>
      <w:pPr>
        <w:tabs>
          <w:tab w:val="left" w:pos="6300"/>
        </w:tabs>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日期：</w:t>
      </w:r>
    </w:p>
    <w:p>
      <w:pPr>
        <w:spacing w:line="360" w:lineRule="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u w:val="single"/>
          <w:lang w:val="en-US" w:eastAsia="zh-CN" w:bidi="ar-SA"/>
        </w:rPr>
        <w:t xml:space="preserve">        （ 采购人名称）         </w:t>
      </w:r>
      <w:r>
        <w:rPr>
          <w:rFonts w:hint="eastAsia" w:ascii="宋体" w:hAnsi="宋体" w:eastAsia="宋体" w:cs="宋体"/>
          <w:bCs/>
          <w:kern w:val="0"/>
          <w:sz w:val="24"/>
          <w:szCs w:val="24"/>
          <w:highlight w:val="none"/>
          <w:lang w:val="en-US" w:eastAsia="zh-CN" w:bidi="ar-SA"/>
        </w:rPr>
        <w:t>:</w:t>
      </w:r>
    </w:p>
    <w:p>
      <w:pPr>
        <w:spacing w:line="360" w:lineRule="auto"/>
        <w:ind w:firstLine="480" w:firstLineChars="200"/>
        <w:rPr>
          <w:rFonts w:hint="eastAsia" w:ascii="宋体" w:hAnsi="宋体" w:eastAsia="宋体" w:cs="宋体"/>
          <w:bCs/>
          <w:sz w:val="24"/>
          <w:highlight w:val="none"/>
        </w:rPr>
      </w:pP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我公司(单位)愿针对本次项目进行</w:t>
      </w:r>
      <w:r>
        <w:rPr>
          <w:rFonts w:hint="eastAsia" w:ascii="宋体" w:hAnsi="宋体" w:eastAsia="宋体" w:cs="宋体"/>
          <w:bCs/>
          <w:sz w:val="24"/>
          <w:highlight w:val="none"/>
          <w:lang w:val="en-US" w:eastAsia="zh-CN"/>
        </w:rPr>
        <w:t>投标</w:t>
      </w:r>
      <w:r>
        <w:rPr>
          <w:rFonts w:hint="eastAsia" w:ascii="宋体" w:hAnsi="宋体" w:eastAsia="宋体" w:cs="宋体"/>
          <w:bCs/>
          <w:sz w:val="24"/>
          <w:highlight w:val="none"/>
        </w:rPr>
        <w:t>。</w:t>
      </w:r>
      <w:r>
        <w:rPr>
          <w:rFonts w:hint="eastAsia" w:ascii="宋体" w:hAnsi="宋体" w:eastAsia="宋体" w:cs="宋体"/>
          <w:bCs/>
          <w:sz w:val="24"/>
          <w:highlight w:val="none"/>
        </w:rPr>
        <w:cr/>
      </w:r>
      <w:r>
        <w:rPr>
          <w:rFonts w:hint="eastAsia" w:ascii="宋体" w:hAnsi="宋体" w:eastAsia="宋体" w:cs="宋体"/>
          <w:bCs/>
          <w:sz w:val="24"/>
          <w:highlight w:val="none"/>
        </w:rPr>
        <w:t xml:space="preserve">    我公司(单位)符合《中华人民共和国政府采购法》第二十二条的规定，在此郑重承诺具备以下条件：</w:t>
      </w:r>
      <w:r>
        <w:rPr>
          <w:rFonts w:hint="eastAsia" w:ascii="宋体" w:hAnsi="宋体" w:eastAsia="宋体" w:cs="宋体"/>
          <w:bCs/>
          <w:sz w:val="24"/>
          <w:highlight w:val="none"/>
        </w:rPr>
        <w:cr/>
      </w:r>
      <w:r>
        <w:rPr>
          <w:rFonts w:hint="eastAsia" w:ascii="宋体" w:hAnsi="宋体" w:eastAsia="宋体" w:cs="宋体"/>
          <w:bCs/>
          <w:sz w:val="24"/>
          <w:highlight w:val="none"/>
        </w:rPr>
        <w:t xml:space="preserve">    (一)具有独立承担民事责任的能力；</w:t>
      </w:r>
      <w:r>
        <w:rPr>
          <w:rFonts w:hint="eastAsia" w:ascii="宋体" w:hAnsi="宋体" w:eastAsia="宋体" w:cs="宋体"/>
          <w:bCs/>
          <w:sz w:val="24"/>
          <w:highlight w:val="none"/>
        </w:rPr>
        <w:cr/>
      </w:r>
      <w:r>
        <w:rPr>
          <w:rFonts w:hint="eastAsia" w:ascii="宋体" w:hAnsi="宋体" w:eastAsia="宋体" w:cs="宋体"/>
          <w:bCs/>
          <w:sz w:val="24"/>
          <w:highlight w:val="none"/>
        </w:rPr>
        <w:t xml:space="preserve">    (二)具有良好的商业信誉和健全的财务会计制度；</w:t>
      </w:r>
      <w:r>
        <w:rPr>
          <w:rFonts w:hint="eastAsia" w:ascii="宋体" w:hAnsi="宋体" w:eastAsia="宋体" w:cs="宋体"/>
          <w:bCs/>
          <w:sz w:val="24"/>
          <w:highlight w:val="none"/>
        </w:rPr>
        <w:cr/>
      </w:r>
      <w:r>
        <w:rPr>
          <w:rFonts w:hint="eastAsia" w:ascii="宋体" w:hAnsi="宋体" w:eastAsia="宋体" w:cs="宋体"/>
          <w:bCs/>
          <w:sz w:val="24"/>
          <w:highlight w:val="none"/>
        </w:rPr>
        <w:t xml:space="preserve">    (三)具有履行合同所必需的设备和专业技术能力；</w:t>
      </w:r>
      <w:r>
        <w:rPr>
          <w:rFonts w:hint="eastAsia" w:ascii="宋体" w:hAnsi="宋体" w:eastAsia="宋体" w:cs="宋体"/>
          <w:bCs/>
          <w:sz w:val="24"/>
          <w:highlight w:val="none"/>
        </w:rPr>
        <w:cr/>
      </w:r>
      <w:r>
        <w:rPr>
          <w:rFonts w:hint="eastAsia" w:ascii="宋体" w:hAnsi="宋体" w:eastAsia="宋体" w:cs="宋体"/>
          <w:bCs/>
          <w:sz w:val="24"/>
          <w:highlight w:val="none"/>
        </w:rPr>
        <w:t xml:space="preserve">    (四)有依法缴纳税收和社会保障资金的良好记录；</w:t>
      </w:r>
      <w:r>
        <w:rPr>
          <w:rFonts w:hint="eastAsia" w:ascii="宋体" w:hAnsi="宋体" w:eastAsia="宋体" w:cs="宋体"/>
          <w:bCs/>
          <w:sz w:val="24"/>
          <w:highlight w:val="none"/>
        </w:rPr>
        <w:cr/>
      </w:r>
      <w:r>
        <w:rPr>
          <w:rFonts w:hint="eastAsia" w:ascii="宋体" w:hAnsi="宋体" w:eastAsia="宋体" w:cs="宋体"/>
          <w:bCs/>
          <w:sz w:val="24"/>
          <w:highlight w:val="none"/>
        </w:rPr>
        <w:t xml:space="preserve">    (五)</w:t>
      </w:r>
      <w:r>
        <w:rPr>
          <w:rFonts w:hint="eastAsia" w:ascii="宋体" w:hAnsi="宋体" w:eastAsia="宋体" w:cs="宋体"/>
          <w:bCs/>
          <w:sz w:val="24"/>
          <w:highlight w:val="none"/>
          <w:lang w:val="en-US" w:eastAsia="zh-CN"/>
        </w:rPr>
        <w:t>参加政府采购活动前三年内</w:t>
      </w:r>
      <w:r>
        <w:rPr>
          <w:rFonts w:hint="eastAsia" w:ascii="宋体" w:hAnsi="宋体" w:eastAsia="宋体" w:cs="宋体"/>
          <w:bCs/>
          <w:sz w:val="24"/>
          <w:highlight w:val="none"/>
        </w:rPr>
        <w:t>，在经营活动中没有重大违法记录；</w:t>
      </w:r>
      <w:r>
        <w:rPr>
          <w:rFonts w:hint="eastAsia" w:ascii="宋体" w:hAnsi="宋体" w:eastAsia="宋体" w:cs="宋体"/>
          <w:bCs/>
          <w:sz w:val="24"/>
          <w:highlight w:val="none"/>
        </w:rPr>
        <w:cr/>
      </w:r>
      <w:r>
        <w:rPr>
          <w:rFonts w:hint="eastAsia" w:ascii="宋体" w:hAnsi="宋体" w:eastAsia="宋体" w:cs="宋体"/>
          <w:bCs/>
          <w:sz w:val="24"/>
          <w:highlight w:val="none"/>
        </w:rPr>
        <w:t xml:space="preserve">    (六)响应文件中所有关于投标资格的文件、证明、陈述均是真实的、准确的。</w:t>
      </w:r>
      <w:r>
        <w:rPr>
          <w:rFonts w:hint="eastAsia" w:ascii="宋体" w:hAnsi="宋体" w:eastAsia="宋体" w:cs="宋体"/>
          <w:bCs/>
          <w:sz w:val="24"/>
          <w:highlight w:val="none"/>
        </w:rPr>
        <w:cr/>
      </w:r>
      <w:r>
        <w:rPr>
          <w:rFonts w:hint="eastAsia" w:ascii="宋体" w:hAnsi="宋体" w:eastAsia="宋体" w:cs="宋体"/>
          <w:bCs/>
          <w:sz w:val="24"/>
          <w:highlight w:val="none"/>
        </w:rPr>
        <w:t xml:space="preserve">    若有违背，我公司(单位)愿意承担由此而产生的一切后果。</w:t>
      </w:r>
    </w:p>
    <w:p>
      <w:pPr>
        <w:spacing w:line="360" w:lineRule="auto"/>
        <w:ind w:firstLine="480" w:firstLineChars="200"/>
        <w:rPr>
          <w:rFonts w:hint="eastAsia" w:ascii="宋体" w:hAnsi="宋体" w:eastAsia="宋体" w:cs="宋体"/>
          <w:bCs/>
          <w:sz w:val="24"/>
          <w:highlight w:val="none"/>
        </w:rPr>
      </w:pPr>
    </w:p>
    <w:p>
      <w:pPr>
        <w:pStyle w:val="9"/>
        <w:rPr>
          <w:rFonts w:hint="eastAsia" w:ascii="宋体" w:hAnsi="宋体" w:eastAsia="宋体" w:cs="宋体"/>
          <w:bCs/>
          <w:sz w:val="24"/>
          <w:highlight w:val="none"/>
        </w:rPr>
      </w:pPr>
    </w:p>
    <w:p>
      <w:pPr>
        <w:pStyle w:val="9"/>
        <w:ind w:left="0" w:leftChars="0" w:firstLine="0" w:firstLineChars="0"/>
        <w:rPr>
          <w:rFonts w:hint="eastAsia"/>
        </w:rPr>
      </w:pPr>
    </w:p>
    <w:p>
      <w:pPr>
        <w:spacing w:line="360" w:lineRule="auto"/>
        <w:rPr>
          <w:rFonts w:ascii="宋体" w:hAnsi="宋体" w:cs="宋体"/>
          <w:bCs/>
          <w:sz w:val="24"/>
          <w:highlight w:val="none"/>
        </w:rPr>
      </w:pPr>
      <w:r>
        <w:rPr>
          <w:rFonts w:ascii="宋体" w:hAnsi="宋体" w:cs="宋体"/>
          <w:bCs/>
          <w:sz w:val="24"/>
          <w:highlight w:val="none"/>
        </w:rPr>
        <w:t xml:space="preserve">  </w:t>
      </w:r>
      <w:r>
        <w:rPr>
          <w:rFonts w:hint="eastAsia" w:ascii="宋体" w:hAnsi="宋体" w:cs="宋体"/>
          <w:bCs/>
          <w:sz w:val="24"/>
          <w:highlight w:val="none"/>
        </w:rPr>
        <w:t xml:space="preserve">                                      </w:t>
      </w:r>
      <w:r>
        <w:rPr>
          <w:rFonts w:hint="eastAsia" w:ascii="宋体" w:hAnsi="宋体" w:cs="宋体"/>
          <w:bCs/>
          <w:sz w:val="24"/>
          <w:highlight w:val="none"/>
          <w:lang w:val="en-US" w:eastAsia="zh-CN"/>
        </w:rPr>
        <w:t xml:space="preserve"> </w:t>
      </w:r>
      <w:r>
        <w:rPr>
          <w:rFonts w:hint="eastAsia" w:ascii="宋体" w:hAnsi="宋体" w:eastAsia="宋体" w:cs="宋体"/>
          <w:bCs/>
          <w:kern w:val="0"/>
          <w:sz w:val="24"/>
          <w:szCs w:val="24"/>
          <w:highlight w:val="none"/>
          <w:lang w:val="en-US" w:eastAsia="zh-CN" w:bidi="ar-SA"/>
        </w:rPr>
        <w:t>供应商名称（盖章）：</w:t>
      </w:r>
    </w:p>
    <w:p>
      <w:pPr>
        <w:pStyle w:val="2"/>
        <w:jc w:val="center"/>
        <w:rPr>
          <w:rFonts w:ascii="宋体" w:hAnsi="宋体" w:eastAsia="宋体" w:cs="宋体"/>
          <w:bCs/>
          <w:kern w:val="2"/>
          <w:szCs w:val="28"/>
          <w:highlight w:val="none"/>
          <w:lang w:val="en-US" w:eastAsia="zh-CN"/>
        </w:rPr>
      </w:pPr>
      <w:r>
        <w:rPr>
          <w:rFonts w:ascii="宋体" w:hAnsi="宋体" w:cs="宋体"/>
          <w:bCs/>
          <w:sz w:val="24"/>
          <w:szCs w:val="24"/>
          <w:highlight w:val="none"/>
        </w:rPr>
        <w:t xml:space="preserve">       </w:t>
      </w:r>
      <w:r>
        <w:rPr>
          <w:rFonts w:hint="eastAsia" w:ascii="宋体" w:hAnsi="宋体" w:eastAsia="宋体" w:cs="宋体"/>
          <w:bCs/>
          <w:sz w:val="24"/>
          <w:szCs w:val="24"/>
          <w:highlight w:val="none"/>
          <w:lang w:val="en-US" w:eastAsia="zh-CN"/>
        </w:rPr>
        <w:t>法定代表人</w:t>
      </w:r>
      <w:r>
        <w:rPr>
          <w:rFonts w:hint="eastAsia" w:ascii="宋体" w:hAnsi="宋体" w:cs="宋体"/>
          <w:bCs/>
          <w:sz w:val="24"/>
          <w:szCs w:val="24"/>
          <w:highlight w:val="none"/>
          <w:lang w:val="en-US" w:eastAsia="zh-CN"/>
        </w:rPr>
        <w:t>或法定代表人授权代表</w:t>
      </w:r>
      <w:r>
        <w:rPr>
          <w:rFonts w:hint="eastAsia" w:ascii="宋体" w:hAnsi="宋体" w:eastAsia="宋体" w:cs="宋体"/>
          <w:bCs/>
          <w:sz w:val="24"/>
          <w:szCs w:val="24"/>
          <w:highlight w:val="none"/>
          <w:lang w:val="en-US" w:eastAsia="zh-CN"/>
        </w:rPr>
        <w:t>（签字或盖章）：</w:t>
      </w:r>
    </w:p>
    <w:p>
      <w:pPr>
        <w:pStyle w:val="17"/>
        <w:rPr>
          <w:rFonts w:hint="eastAsia" w:ascii="宋体" w:hAnsi="宋体" w:cs="宋体"/>
          <w:sz w:val="24"/>
          <w:highlight w:val="none"/>
        </w:rPr>
      </w:pPr>
    </w:p>
    <w:p>
      <w:pPr>
        <w:pStyle w:val="17"/>
        <w:rPr>
          <w:rFonts w:hint="eastAsia" w:ascii="宋体" w:hAnsi="宋体" w:cs="宋体"/>
          <w:sz w:val="24"/>
          <w:highlight w:val="none"/>
        </w:rPr>
      </w:pPr>
    </w:p>
    <w:p>
      <w:pPr>
        <w:pStyle w:val="17"/>
        <w:rPr>
          <w:rFonts w:hint="eastAsia" w:ascii="宋体" w:hAnsi="宋体" w:cs="宋体"/>
          <w:sz w:val="24"/>
          <w:highlight w:val="none"/>
        </w:rPr>
      </w:pPr>
    </w:p>
    <w:p>
      <w:pPr>
        <w:spacing w:line="360" w:lineRule="auto"/>
        <w:ind w:firstLine="420" w:firstLineChars="20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备注：上述所称“重大违法记录”,是指供应商因违法经营受到刑事处罚或者责令停产停业、吊销许可证或者执照、较大数额罚款等行政处罚。</w:t>
      </w:r>
    </w:p>
    <w:p>
      <w:pPr>
        <w:pStyle w:val="17"/>
        <w:spacing w:line="360" w:lineRule="auto"/>
        <w:rPr>
          <w:rFonts w:hint="default"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根据财库（2022）3号文，</w:t>
      </w:r>
      <w:r>
        <w:rPr>
          <w:rFonts w:hint="eastAsia" w:cs="宋体"/>
          <w:b w:val="0"/>
          <w:bCs/>
          <w:kern w:val="2"/>
          <w:sz w:val="21"/>
          <w:szCs w:val="21"/>
          <w:highlight w:val="none"/>
          <w:lang w:val="en-US" w:eastAsia="zh-CN" w:bidi="ar-SA"/>
        </w:rPr>
        <w:t>“</w:t>
      </w:r>
      <w:r>
        <w:rPr>
          <w:rFonts w:hint="eastAsia" w:ascii="宋体" w:hAnsi="宋体" w:eastAsia="宋体" w:cs="宋体"/>
          <w:b w:val="0"/>
          <w:bCs/>
          <w:kern w:val="2"/>
          <w:sz w:val="21"/>
          <w:szCs w:val="21"/>
          <w:highlight w:val="none"/>
          <w:lang w:val="en-US" w:eastAsia="zh-CN" w:bidi="ar-SA"/>
        </w:rPr>
        <w:t>较大数额罚款</w:t>
      </w:r>
      <w:r>
        <w:rPr>
          <w:rFonts w:hint="eastAsia" w:cs="宋体"/>
          <w:b w:val="0"/>
          <w:bCs/>
          <w:kern w:val="2"/>
          <w:sz w:val="21"/>
          <w:szCs w:val="21"/>
          <w:highlight w:val="none"/>
          <w:lang w:val="en-US" w:eastAsia="zh-CN" w:bidi="ar-SA"/>
        </w:rPr>
        <w:t>”</w:t>
      </w:r>
      <w:r>
        <w:rPr>
          <w:rFonts w:hint="eastAsia" w:ascii="宋体" w:hAnsi="宋体" w:eastAsia="宋体" w:cs="宋体"/>
          <w:b w:val="0"/>
          <w:bCs/>
          <w:kern w:val="2"/>
          <w:sz w:val="21"/>
          <w:szCs w:val="21"/>
          <w:highlight w:val="none"/>
          <w:lang w:val="en-US" w:eastAsia="zh-CN" w:bidi="ar-SA"/>
        </w:rPr>
        <w:t>认定为200万元以上的罚款，法律、行政法规以及国务院有关部门明确规定相关领域较大数额罚款标准高于200万元的，从其规定。</w:t>
      </w:r>
    </w:p>
    <w:p>
      <w:pPr>
        <w:pStyle w:val="17"/>
        <w:ind w:left="0" w:leftChars="0" w:firstLine="0" w:firstLineChars="0"/>
        <w:rPr>
          <w:rFonts w:hint="eastAsia" w:ascii="宋体" w:hAnsi="宋体" w:cs="宋体"/>
          <w:sz w:val="24"/>
          <w:highlight w:val="none"/>
        </w:rPr>
      </w:pPr>
    </w:p>
    <w:p>
      <w:pPr>
        <w:outlineLvl w:val="0"/>
        <w:rPr>
          <w:rFonts w:hint="eastAsia" w:ascii="黑体" w:eastAsia="黑体"/>
          <w:bCs/>
          <w:sz w:val="24"/>
          <w:szCs w:val="24"/>
        </w:rPr>
      </w:pPr>
      <w:r>
        <w:rPr>
          <w:rFonts w:hint="eastAsia" w:ascii="黑体" w:hAnsi="宋体" w:eastAsia="黑体"/>
          <w:bCs/>
          <w:sz w:val="24"/>
          <w:szCs w:val="24"/>
        </w:rPr>
        <w:t>（三）</w:t>
      </w:r>
      <w:r>
        <w:rPr>
          <w:rFonts w:hint="eastAsia" w:ascii="黑体" w:hAnsi="宋体" w:eastAsia="黑体"/>
          <w:bCs/>
          <w:sz w:val="24"/>
          <w:szCs w:val="24"/>
          <w:lang w:eastAsia="zh-CN"/>
        </w:rPr>
        <w:t>（</w:t>
      </w:r>
      <w:r>
        <w:rPr>
          <w:rFonts w:hint="eastAsia" w:ascii="黑体" w:hAnsi="宋体" w:eastAsia="黑体"/>
          <w:bCs/>
          <w:sz w:val="24"/>
          <w:szCs w:val="24"/>
          <w:lang w:val="en-US" w:eastAsia="zh-CN"/>
        </w:rPr>
        <w:t>供应商</w:t>
      </w:r>
      <w:r>
        <w:rPr>
          <w:rFonts w:hint="eastAsia" w:ascii="黑体" w:hAnsi="宋体" w:eastAsia="黑体"/>
          <w:bCs/>
          <w:sz w:val="24"/>
          <w:szCs w:val="24"/>
          <w:lang w:eastAsia="zh-CN"/>
        </w:rPr>
        <w:t>）</w:t>
      </w:r>
      <w:r>
        <w:rPr>
          <w:rFonts w:hint="eastAsia" w:ascii="黑体" w:hAnsi="宋体" w:eastAsia="黑体"/>
          <w:bCs/>
          <w:sz w:val="24"/>
          <w:szCs w:val="24"/>
        </w:rPr>
        <w:t>法定代表人授权委托书（格式）：</w:t>
      </w:r>
    </w:p>
    <w:p>
      <w:pPr>
        <w:pStyle w:val="17"/>
        <w:rPr>
          <w:rFonts w:hint="eastAsia" w:ascii="宋体" w:hAnsi="宋体" w:cs="宋体"/>
          <w:sz w:val="24"/>
          <w:highlight w:val="none"/>
        </w:rPr>
      </w:pPr>
    </w:p>
    <w:p>
      <w:pPr>
        <w:pStyle w:val="17"/>
        <w:ind w:left="0" w:leftChars="0" w:firstLine="0" w:firstLineChars="0"/>
        <w:rPr>
          <w:rFonts w:hint="eastAsia" w:ascii="宋体" w:hAnsi="宋体" w:cs="宋体"/>
          <w:sz w:val="24"/>
          <w:highlight w:val="none"/>
        </w:rPr>
      </w:pPr>
    </w:p>
    <w:p>
      <w:pPr>
        <w:spacing w:line="360" w:lineRule="auto"/>
        <w:ind w:firstLine="525" w:firstLineChars="175"/>
        <w:jc w:val="center"/>
        <w:outlineLvl w:val="0"/>
        <w:rPr>
          <w:rFonts w:hint="eastAsia" w:hAnsi="宋体"/>
          <w:bCs/>
          <w:sz w:val="30"/>
          <w:szCs w:val="30"/>
          <w:highlight w:val="none"/>
        </w:rPr>
      </w:pPr>
      <w:r>
        <w:rPr>
          <w:rFonts w:hint="eastAsia" w:ascii="黑体" w:hAnsi="黑体" w:eastAsia="黑体" w:cs="黑体"/>
          <w:bCs/>
          <w:sz w:val="30"/>
          <w:szCs w:val="30"/>
          <w:highlight w:val="none"/>
        </w:rPr>
        <w:t>法定代表人授权委托书</w:t>
      </w:r>
    </w:p>
    <w:p>
      <w:pPr>
        <w:spacing w:line="360" w:lineRule="auto"/>
        <w:jc w:val="center"/>
        <w:rPr>
          <w:rFonts w:hint="eastAsia" w:ascii="宋体" w:hAnsi="宋体" w:eastAsia="宋体" w:cs="宋体"/>
          <w:bCs/>
          <w:sz w:val="24"/>
          <w:highlight w:val="none"/>
          <w:lang w:eastAsia="zh-CN"/>
        </w:rPr>
      </w:pPr>
      <w:r>
        <w:rPr>
          <w:rFonts w:hint="eastAsia" w:ascii="宋体" w:hAnsi="宋体" w:eastAsia="宋体" w:cs="宋体"/>
          <w:bCs/>
          <w:sz w:val="24"/>
          <w:highlight w:val="none"/>
        </w:rPr>
        <w:t>采购</w:t>
      </w:r>
      <w:r>
        <w:rPr>
          <w:rFonts w:hint="eastAsia" w:ascii="宋体" w:hAnsi="宋体" w:eastAsia="宋体" w:cs="宋体"/>
          <w:bCs/>
          <w:sz w:val="24"/>
          <w:highlight w:val="none"/>
          <w:lang w:val="en-US" w:eastAsia="zh-CN"/>
        </w:rPr>
        <w:t>项目</w:t>
      </w:r>
      <w:r>
        <w:rPr>
          <w:rFonts w:hint="eastAsia" w:ascii="宋体" w:hAnsi="宋体" w:eastAsia="宋体" w:cs="宋体"/>
          <w:bCs/>
          <w:sz w:val="24"/>
          <w:highlight w:val="none"/>
        </w:rPr>
        <w:t>编号</w:t>
      </w:r>
      <w:r>
        <w:rPr>
          <w:rFonts w:hint="eastAsia" w:ascii="宋体" w:hAnsi="宋体" w:eastAsia="宋体" w:cs="宋体"/>
          <w:bCs/>
          <w:sz w:val="24"/>
          <w:highlight w:val="none"/>
          <w:lang w:eastAsia="zh-CN"/>
        </w:rPr>
        <w:t>：</w:t>
      </w:r>
    </w:p>
    <w:p>
      <w:pPr>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日期：</w:t>
      </w:r>
    </w:p>
    <w:p>
      <w:pPr>
        <w:spacing w:line="360" w:lineRule="auto"/>
        <w:rPr>
          <w:rFonts w:hint="eastAsia" w:ascii="宋体" w:hAnsi="宋体" w:eastAsia="宋体" w:cs="宋体"/>
          <w:bCs/>
          <w:sz w:val="24"/>
          <w:highlight w:val="none"/>
          <w:u w:val="single"/>
          <w:lang w:eastAsia="zh-CN"/>
        </w:rPr>
      </w:pPr>
      <w:r>
        <w:rPr>
          <w:rFonts w:hint="eastAsia" w:ascii="宋体" w:hAnsi="宋体" w:eastAsia="宋体" w:cs="宋体"/>
          <w:bCs/>
          <w:sz w:val="24"/>
          <w:highlight w:val="none"/>
          <w:u w:val="single"/>
          <w:lang w:eastAsia="zh-CN"/>
        </w:rPr>
        <w:t>江苏达瑞德工程管理咨询有限公司：</w:t>
      </w:r>
    </w:p>
    <w:p>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eastAsia="zh-CN"/>
        </w:rPr>
        <w:t>（</w:t>
      </w:r>
      <w:r>
        <w:rPr>
          <w:rFonts w:hint="eastAsia" w:ascii="宋体" w:hAnsi="宋体" w:eastAsia="宋体" w:cs="宋体"/>
          <w:bCs/>
          <w:sz w:val="24"/>
          <w:highlight w:val="none"/>
          <w:u w:val="single"/>
          <w:lang w:val="en-US" w:eastAsia="zh-CN"/>
        </w:rPr>
        <w:t>供应商名称</w:t>
      </w:r>
      <w:r>
        <w:rPr>
          <w:rFonts w:hint="eastAsia" w:ascii="宋体" w:hAnsi="宋体" w:eastAsia="宋体" w:cs="宋体"/>
          <w:bCs/>
          <w:sz w:val="24"/>
          <w:highlight w:val="none"/>
          <w:u w:val="single"/>
          <w:lang w:eastAsia="zh-CN"/>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系中华人民共和国合法企业，</w:t>
      </w:r>
      <w:r>
        <w:rPr>
          <w:rFonts w:hint="eastAsia" w:ascii="宋体" w:hAnsi="宋体" w:eastAsia="宋体" w:cs="宋体"/>
          <w:sz w:val="24"/>
          <w:szCs w:val="24"/>
        </w:rPr>
        <w:t>法定地址：</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bCs/>
          <w:sz w:val="24"/>
          <w:highlight w:val="none"/>
        </w:rPr>
        <w:t>特授权</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代表我公司(单位)全权办理针对本项目（采购编号：</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）的竞争性磋商、参与报价、磋商、签约等具体工作，并签署全部有关的文件、协议及合同。</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我公司(单位)对被授权人的签名负全部责任。</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在撤销授权的书面通知送达你处以前，本授权书一直有效，被授权人签署的所有文件(在授权书有效期内签署的)不因授权的撤销而失效。</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被授权人无转委托权。</w:t>
      </w:r>
    </w:p>
    <w:p>
      <w:pPr>
        <w:spacing w:line="360" w:lineRule="auto"/>
        <w:ind w:firstLine="480" w:firstLineChars="200"/>
        <w:rPr>
          <w:rFonts w:hint="eastAsia" w:ascii="宋体" w:hAnsi="宋体" w:eastAsia="宋体" w:cs="宋体"/>
          <w:bCs/>
          <w:sz w:val="24"/>
          <w:highlight w:val="none"/>
        </w:rPr>
      </w:pP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被授权人情况：</w:t>
      </w:r>
    </w:p>
    <w:p>
      <w:pPr>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姓名：          性别：         年龄：          职务：</w:t>
      </w:r>
    </w:p>
    <w:p>
      <w:pPr>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身份证号码：                   电话：</w:t>
      </w:r>
    </w:p>
    <w:p>
      <w:pPr>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通讯地址：</w:t>
      </w:r>
    </w:p>
    <w:p>
      <w:pPr>
        <w:spacing w:line="360" w:lineRule="auto"/>
        <w:ind w:firstLine="480" w:firstLineChars="200"/>
        <w:outlineLvl w:val="0"/>
        <w:rPr>
          <w:rFonts w:hint="eastAsia" w:ascii="宋体" w:hAnsi="宋体" w:eastAsia="宋体" w:cs="宋体"/>
          <w:bCs/>
          <w:sz w:val="24"/>
          <w:highlight w:val="none"/>
        </w:rPr>
      </w:pPr>
      <w:r>
        <w:rPr>
          <w:rFonts w:hint="eastAsia" w:ascii="宋体" w:hAnsi="宋体" w:eastAsia="宋体" w:cs="宋体"/>
          <w:bCs/>
          <w:sz w:val="24"/>
          <w:highlight w:val="none"/>
        </w:rPr>
        <w:t xml:space="preserve">被授权人签名：                 </w:t>
      </w:r>
      <w:r>
        <w:rPr>
          <w:rFonts w:hint="eastAsia" w:ascii="宋体" w:hAnsi="宋体" w:eastAsia="宋体" w:cs="宋体"/>
          <w:bCs/>
          <w:sz w:val="24"/>
          <w:highlight w:val="none"/>
          <w:lang w:val="en-US" w:eastAsia="zh-CN"/>
        </w:rPr>
        <w:t xml:space="preserve"> </w:t>
      </w:r>
      <w:r>
        <w:rPr>
          <w:rFonts w:hint="eastAsia" w:ascii="宋体" w:hAnsi="宋体" w:eastAsia="宋体" w:cs="宋体"/>
          <w:bCs/>
          <w:sz w:val="24"/>
          <w:highlight w:val="none"/>
        </w:rPr>
        <w:t>单位名称（盖章）：</w:t>
      </w:r>
    </w:p>
    <w:p>
      <w:pPr>
        <w:spacing w:line="360" w:lineRule="auto"/>
        <w:ind w:firstLine="4320" w:firstLineChars="1800"/>
        <w:jc w:val="both"/>
        <w:outlineLvl w:val="0"/>
        <w:rPr>
          <w:rFonts w:hint="eastAsia" w:ascii="宋体" w:hAnsi="宋体" w:eastAsia="宋体" w:cs="宋体"/>
          <w:bCs/>
          <w:sz w:val="24"/>
          <w:highlight w:val="none"/>
        </w:rPr>
      </w:pPr>
      <w:r>
        <w:rPr>
          <w:rFonts w:hint="eastAsia" w:ascii="宋体" w:hAnsi="宋体" w:eastAsia="宋体" w:cs="宋体"/>
          <w:bCs/>
          <w:sz w:val="24"/>
          <w:highlight w:val="none"/>
        </w:rPr>
        <w:t>法定代表人（签字或盖章）：</w:t>
      </w:r>
    </w:p>
    <w:p>
      <w:pPr>
        <w:spacing w:line="360" w:lineRule="auto"/>
        <w:ind w:firstLine="480" w:firstLineChars="200"/>
        <w:jc w:val="center"/>
        <w:outlineLvl w:val="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 xml:space="preserve">                          </w:t>
      </w:r>
      <w:r>
        <w:rPr>
          <w:rFonts w:hint="eastAsia" w:ascii="宋体" w:hAnsi="宋体" w:eastAsia="宋体" w:cs="宋体"/>
          <w:bCs/>
          <w:sz w:val="24"/>
          <w:highlight w:val="none"/>
        </w:rPr>
        <w:t>年     月     日</w:t>
      </w:r>
    </w:p>
    <w:p>
      <w:pPr>
        <w:ind w:firstLine="480" w:firstLineChars="200"/>
        <w:outlineLvl w:val="0"/>
        <w:rPr>
          <w:rFonts w:hint="eastAsia" w:ascii="宋体" w:hAnsi="宋体" w:eastAsia="宋体" w:cs="宋体"/>
          <w:bCs/>
          <w:sz w:val="24"/>
          <w:highlight w:val="none"/>
        </w:rPr>
      </w:pPr>
    </w:p>
    <w:p>
      <w:pPr>
        <w:jc w:val="center"/>
        <w:rPr>
          <w:rFonts w:hint="eastAsia" w:ascii="宋体" w:hAnsi="宋体" w:eastAsia="宋体" w:cs="宋体"/>
          <w:sz w:val="32"/>
          <w:highlight w:val="none"/>
        </w:rPr>
      </w:pP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附法定代表人和被授权</w:t>
      </w:r>
      <w:r>
        <w:rPr>
          <w:rFonts w:hint="eastAsia" w:ascii="宋体" w:hAnsi="宋体" w:eastAsia="宋体" w:cs="宋体"/>
          <w:bCs/>
          <w:sz w:val="24"/>
          <w:highlight w:val="none"/>
          <w:lang w:val="en-US" w:eastAsia="zh-CN"/>
        </w:rPr>
        <w:t>人</w:t>
      </w:r>
      <w:r>
        <w:rPr>
          <w:rFonts w:hint="eastAsia" w:ascii="宋体" w:hAnsi="宋体" w:eastAsia="宋体" w:cs="宋体"/>
          <w:bCs/>
          <w:sz w:val="24"/>
          <w:highlight w:val="none"/>
        </w:rPr>
        <w:t>身份证复印件（正反面）</w:t>
      </w:r>
    </w:p>
    <w:p>
      <w:pPr>
        <w:widowControl/>
        <w:topLinePunct/>
        <w:spacing w:before="4" w:line="360" w:lineRule="auto"/>
        <w:rPr>
          <w:rFonts w:hint="eastAsia" w:ascii="宋体" w:hAnsi="宋体" w:cs="宋体"/>
          <w:sz w:val="24"/>
          <w:highlight w:val="none"/>
        </w:rPr>
      </w:pPr>
    </w:p>
    <w:p>
      <w:pPr>
        <w:widowControl/>
        <w:topLinePunct/>
        <w:spacing w:before="4" w:line="360" w:lineRule="auto"/>
        <w:rPr>
          <w:rFonts w:hint="eastAsia" w:ascii="宋体" w:hAnsi="宋体" w:cs="宋体"/>
          <w:sz w:val="24"/>
          <w:highlight w:val="none"/>
        </w:rPr>
      </w:pPr>
    </w:p>
    <w:p>
      <w:pPr>
        <w:widowControl/>
        <w:topLinePunct/>
        <w:spacing w:before="4" w:line="360" w:lineRule="auto"/>
        <w:rPr>
          <w:rFonts w:hint="eastAsia" w:ascii="宋体" w:hAnsi="宋体" w:cs="宋体"/>
          <w:sz w:val="24"/>
          <w:highlight w:val="none"/>
        </w:rPr>
      </w:pPr>
    </w:p>
    <w:p>
      <w:pPr>
        <w:pStyle w:val="17"/>
        <w:ind w:left="0" w:leftChars="0" w:firstLine="0" w:firstLineChars="0"/>
        <w:rPr>
          <w:rFonts w:hint="eastAsia" w:ascii="黑体" w:hAnsi="黑体" w:eastAsia="黑体" w:cs="黑体"/>
          <w:sz w:val="24"/>
          <w:highlight w:val="none"/>
          <w:lang w:eastAsia="zh-CN"/>
        </w:rPr>
      </w:pPr>
    </w:p>
    <w:p>
      <w:pPr>
        <w:pStyle w:val="17"/>
        <w:ind w:left="0" w:leftChars="0" w:firstLine="0" w:firstLineChars="0"/>
        <w:rPr>
          <w:rFonts w:hint="eastAsia" w:ascii="黑体" w:hAnsi="黑体" w:eastAsia="黑体" w:cs="黑体"/>
          <w:sz w:val="24"/>
          <w:highlight w:val="none"/>
          <w:lang w:eastAsia="zh-CN"/>
        </w:rPr>
      </w:pPr>
    </w:p>
    <w:p>
      <w:pPr>
        <w:pStyle w:val="17"/>
        <w:ind w:left="0" w:leftChars="0" w:firstLine="0" w:firstLineChars="0"/>
        <w:rPr>
          <w:rFonts w:hint="eastAsia" w:ascii="黑体" w:hAnsi="黑体" w:eastAsia="黑体" w:cs="黑体"/>
          <w:sz w:val="24"/>
          <w:highlight w:val="none"/>
        </w:rPr>
      </w:pPr>
      <w:r>
        <w:rPr>
          <w:rFonts w:hint="eastAsia" w:ascii="黑体" w:hAnsi="黑体" w:eastAsia="黑体" w:cs="黑体"/>
          <w:sz w:val="24"/>
          <w:highlight w:val="none"/>
          <w:lang w:eastAsia="zh-CN"/>
        </w:rPr>
        <w:t>（</w:t>
      </w:r>
      <w:r>
        <w:rPr>
          <w:rFonts w:hint="eastAsia" w:ascii="黑体" w:hAnsi="黑体" w:eastAsia="黑体" w:cs="黑体"/>
          <w:sz w:val="24"/>
          <w:highlight w:val="none"/>
          <w:lang w:val="en-US" w:eastAsia="zh-CN"/>
        </w:rPr>
        <w:t>四</w:t>
      </w:r>
      <w:r>
        <w:rPr>
          <w:rFonts w:hint="eastAsia" w:ascii="黑体" w:hAnsi="黑体" w:eastAsia="黑体" w:cs="黑体"/>
          <w:sz w:val="24"/>
          <w:highlight w:val="none"/>
          <w:lang w:eastAsia="zh-CN"/>
        </w:rPr>
        <w:t>）</w:t>
      </w:r>
      <w:r>
        <w:rPr>
          <w:rFonts w:hint="eastAsia" w:ascii="黑体" w:hAnsi="黑体" w:eastAsia="黑体" w:cs="黑体"/>
          <w:sz w:val="24"/>
          <w:highlight w:val="none"/>
        </w:rPr>
        <w:t>报价一览表（格式）：</w:t>
      </w:r>
    </w:p>
    <w:p>
      <w:pPr>
        <w:pStyle w:val="17"/>
        <w:rPr>
          <w:rFonts w:hint="eastAsia" w:ascii="宋体" w:hAnsi="宋体" w:cs="宋体"/>
          <w:sz w:val="24"/>
          <w:highlight w:val="none"/>
        </w:rPr>
      </w:pPr>
    </w:p>
    <w:p>
      <w:pPr>
        <w:spacing w:line="360" w:lineRule="auto"/>
        <w:ind w:firstLine="525" w:firstLineChars="175"/>
        <w:jc w:val="center"/>
        <w:outlineLvl w:val="0"/>
        <w:rPr>
          <w:rFonts w:hint="eastAsia" w:ascii="黑体" w:hAnsi="黑体" w:eastAsia="黑体" w:cs="黑体"/>
          <w:bCs/>
          <w:sz w:val="30"/>
          <w:szCs w:val="30"/>
          <w:highlight w:val="none"/>
        </w:rPr>
      </w:pPr>
      <w:r>
        <w:rPr>
          <w:rFonts w:hint="eastAsia" w:ascii="黑体" w:hAnsi="黑体" w:eastAsia="黑体" w:cs="黑体"/>
          <w:bCs/>
          <w:sz w:val="30"/>
          <w:szCs w:val="30"/>
          <w:highlight w:val="none"/>
        </w:rPr>
        <w:t>报价一览表</w:t>
      </w:r>
    </w:p>
    <w:p>
      <w:pPr>
        <w:spacing w:line="360" w:lineRule="auto"/>
        <w:outlineLvl w:val="0"/>
        <w:rPr>
          <w:rFonts w:hint="eastAsia" w:ascii="宋体" w:hAnsi="宋体" w:eastAsia="宋体" w:cs="宋体"/>
          <w:highlight w:val="none"/>
        </w:rPr>
      </w:pPr>
      <w:r>
        <w:rPr>
          <w:rFonts w:hint="eastAsia" w:ascii="宋体" w:hAnsi="宋体" w:eastAsia="宋体" w:cs="宋体"/>
          <w:sz w:val="24"/>
          <w:highlight w:val="none"/>
        </w:rPr>
        <w:t xml:space="preserve">供应商全称（加盖公章）：  </w:t>
      </w:r>
      <w:r>
        <w:rPr>
          <w:rFonts w:hint="eastAsia" w:ascii="宋体" w:hAnsi="宋体" w:eastAsia="宋体" w:cs="宋体"/>
          <w:sz w:val="24"/>
          <w:szCs w:val="28"/>
          <w:highlight w:val="none"/>
        </w:rPr>
        <w:t xml:space="preserve">                     </w:t>
      </w:r>
      <w:r>
        <w:rPr>
          <w:rFonts w:hint="eastAsia" w:ascii="宋体" w:hAnsi="宋体" w:eastAsia="宋体" w:cs="宋体"/>
          <w:sz w:val="24"/>
          <w:szCs w:val="28"/>
          <w:highlight w:val="none"/>
          <w:lang w:val="en-US" w:eastAsia="zh-CN"/>
        </w:rPr>
        <w:t>采购</w:t>
      </w:r>
      <w:r>
        <w:rPr>
          <w:rFonts w:hint="eastAsia" w:ascii="宋体" w:hAnsi="宋体" w:eastAsia="宋体" w:cs="宋体"/>
          <w:sz w:val="24"/>
          <w:highlight w:val="none"/>
        </w:rPr>
        <w:t>编号：</w:t>
      </w:r>
      <w:r>
        <w:rPr>
          <w:rFonts w:hint="eastAsia" w:ascii="宋体" w:hAnsi="宋体" w:eastAsia="宋体" w:cs="宋体"/>
          <w:highlight w:val="none"/>
        </w:rPr>
        <w:t xml:space="preserve"> </w:t>
      </w:r>
    </w:p>
    <w:tbl>
      <w:tblPr>
        <w:tblStyle w:val="10"/>
        <w:tblW w:w="93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2"/>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412" w:type="dxa"/>
            <w:noWrap w:val="0"/>
            <w:vAlign w:val="center"/>
          </w:tcPr>
          <w:p>
            <w:pPr>
              <w:autoSpaceDE w:val="0"/>
              <w:autoSpaceDN w:val="0"/>
              <w:adjustRightInd w:val="0"/>
              <w:jc w:val="center"/>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项目名称</w:t>
            </w:r>
          </w:p>
        </w:tc>
        <w:tc>
          <w:tcPr>
            <w:tcW w:w="5968" w:type="dxa"/>
            <w:noWrap w:val="0"/>
            <w:vAlign w:val="center"/>
          </w:tcPr>
          <w:p>
            <w:pPr>
              <w:autoSpaceDE w:val="0"/>
              <w:autoSpaceDN w:val="0"/>
              <w:adjustRightInd w:val="0"/>
              <w:jc w:val="center"/>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val="en-US" w:eastAsia="zh-CN"/>
              </w:rPr>
              <w:t>第一次磋商总</w:t>
            </w:r>
            <w:r>
              <w:rPr>
                <w:rFonts w:hint="eastAsia" w:ascii="宋体" w:hAnsi="宋体" w:eastAsia="宋体" w:cs="宋体"/>
                <w:b/>
                <w:bCs/>
                <w:color w:val="000000"/>
                <w:sz w:val="24"/>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trPr>
        <w:tc>
          <w:tcPr>
            <w:tcW w:w="3412" w:type="dxa"/>
            <w:vMerge w:val="restart"/>
            <w:noWrap w:val="0"/>
            <w:vAlign w:val="center"/>
          </w:tcPr>
          <w:p>
            <w:pPr>
              <w:pStyle w:val="21"/>
              <w:spacing w:line="400" w:lineRule="exact"/>
              <w:jc w:val="center"/>
              <w:rPr>
                <w:rFonts w:hint="eastAsia" w:ascii="宋体" w:hAnsi="宋体" w:eastAsia="宋体" w:cs="宋体"/>
                <w:bCs/>
                <w:color w:val="000000"/>
                <w:szCs w:val="24"/>
                <w:highlight w:val="none"/>
                <w:lang w:eastAsia="zh-CN"/>
              </w:rPr>
            </w:pPr>
            <w:r>
              <w:rPr>
                <w:rFonts w:hint="eastAsia" w:hAnsi="宋体" w:cs="宋体"/>
                <w:bCs/>
                <w:color w:val="000000"/>
                <w:szCs w:val="24"/>
                <w:highlight w:val="none"/>
                <w:lang w:eastAsia="zh-CN"/>
              </w:rPr>
              <w:t>无锡市新吴区旺庄街道2022年老年人家庭适老化改造服务项目</w:t>
            </w:r>
          </w:p>
        </w:tc>
        <w:tc>
          <w:tcPr>
            <w:tcW w:w="5968" w:type="dxa"/>
            <w:noWrap w:val="0"/>
            <w:vAlign w:val="center"/>
          </w:tcPr>
          <w:p>
            <w:pPr>
              <w:pStyle w:val="21"/>
              <w:spacing w:line="360" w:lineRule="auto"/>
              <w:jc w:val="left"/>
              <w:rPr>
                <w:rFonts w:hint="default" w:ascii="宋体" w:hAnsi="宋体" w:eastAsia="宋体" w:cs="宋体"/>
                <w:bCs/>
                <w:color w:val="000000"/>
                <w:szCs w:val="24"/>
                <w:highlight w:val="none"/>
                <w:u w:val="none"/>
                <w:lang w:val="en-US" w:eastAsia="zh-CN"/>
              </w:rPr>
            </w:pPr>
            <w:r>
              <w:rPr>
                <w:rFonts w:hint="eastAsia" w:ascii="宋体" w:hAnsi="宋体" w:eastAsia="宋体" w:cs="宋体"/>
                <w:bCs/>
                <w:color w:val="000000"/>
                <w:szCs w:val="24"/>
                <w:highlight w:val="none"/>
                <w:lang w:val="en-US" w:eastAsia="zh-CN"/>
              </w:rPr>
              <w:t>小写：</w:t>
            </w:r>
            <w:r>
              <w:rPr>
                <w:rFonts w:hint="eastAsia" w:hAnsi="宋体" w:cs="宋体"/>
                <w:bCs/>
                <w:color w:val="000000"/>
                <w:szCs w:val="24"/>
                <w:highlight w:val="none"/>
                <w:u w:val="single"/>
                <w:lang w:val="en-US" w:eastAsia="zh-CN"/>
              </w:rPr>
              <w:t xml:space="preserve">                   </w:t>
            </w:r>
            <w:r>
              <w:rPr>
                <w:rFonts w:hint="eastAsia" w:hAnsi="宋体" w:cs="宋体"/>
                <w:bCs/>
                <w:color w:val="000000"/>
                <w:szCs w:val="24"/>
                <w:highlight w:val="none"/>
                <w:u w:val="none"/>
                <w:lang w:val="en-US" w:eastAsia="zh-CN"/>
              </w:rPr>
              <w:t>元（人民币）</w:t>
            </w:r>
          </w:p>
          <w:p>
            <w:pPr>
              <w:pStyle w:val="21"/>
              <w:spacing w:line="360" w:lineRule="auto"/>
              <w:jc w:val="left"/>
              <w:rPr>
                <w:rFonts w:hint="default" w:ascii="宋体" w:hAnsi="宋体" w:eastAsia="宋体" w:cs="宋体"/>
                <w:u w:val="single"/>
                <w:lang w:val="en-US" w:eastAsia="zh-CN"/>
              </w:rPr>
            </w:pPr>
            <w:r>
              <w:rPr>
                <w:rFonts w:hint="eastAsia" w:ascii="宋体" w:hAnsi="宋体" w:eastAsia="宋体" w:cs="宋体"/>
                <w:bCs/>
                <w:color w:val="000000"/>
                <w:szCs w:val="24"/>
                <w:highlight w:val="none"/>
                <w:lang w:val="en-US" w:eastAsia="zh-CN"/>
              </w:rPr>
              <w:t>大写：</w:t>
            </w:r>
            <w:r>
              <w:rPr>
                <w:rFonts w:hint="eastAsia" w:hAnsi="宋体" w:cs="宋体"/>
                <w:bCs/>
                <w:color w:val="000000"/>
                <w:szCs w:val="24"/>
                <w:highlight w:val="none"/>
                <w:u w:val="single"/>
                <w:lang w:val="en-US" w:eastAsia="zh-CN"/>
              </w:rPr>
              <w:t xml:space="preserve">                    </w:t>
            </w:r>
            <w:r>
              <w:rPr>
                <w:rFonts w:hint="eastAsia" w:hAnsi="宋体" w:cs="宋体"/>
                <w:bCs/>
                <w:color w:val="000000"/>
                <w:szCs w:val="24"/>
                <w:highlight w:val="none"/>
                <w:u w:val="none"/>
                <w:lang w:val="en-US" w:eastAsia="zh-CN"/>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9" w:hRule="atLeast"/>
        </w:trPr>
        <w:tc>
          <w:tcPr>
            <w:tcW w:w="3412" w:type="dxa"/>
            <w:vMerge w:val="continue"/>
            <w:noWrap w:val="0"/>
            <w:vAlign w:val="center"/>
          </w:tcPr>
          <w:p>
            <w:pPr>
              <w:jc w:val="center"/>
              <w:rPr>
                <w:rFonts w:hint="eastAsia" w:ascii="宋体" w:hAnsi="宋体" w:eastAsia="宋体" w:cs="宋体"/>
                <w:color w:val="000000"/>
                <w:sz w:val="24"/>
                <w:highlight w:val="none"/>
                <w:lang w:eastAsia="zh-CN"/>
              </w:rPr>
            </w:pPr>
          </w:p>
        </w:tc>
        <w:tc>
          <w:tcPr>
            <w:tcW w:w="5968" w:type="dxa"/>
            <w:noWrap w:val="0"/>
            <w:vAlign w:val="center"/>
          </w:tcPr>
          <w:p>
            <w:pPr>
              <w:spacing w:line="360" w:lineRule="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总价让利</w:t>
            </w:r>
            <w:r>
              <w:rPr>
                <w:rFonts w:hint="eastAsia" w:ascii="宋体" w:hAnsi="宋体" w:eastAsia="宋体" w:cs="宋体"/>
                <w:color w:val="0000FF"/>
                <w:sz w:val="24"/>
                <w:szCs w:val="24"/>
                <w:u w:val="single"/>
                <w:lang w:val="en-US" w:eastAsia="zh-CN"/>
              </w:rPr>
              <w:t xml:space="preserve">     </w:t>
            </w:r>
            <w:r>
              <w:rPr>
                <w:rFonts w:hint="eastAsia" w:ascii="宋体" w:hAnsi="宋体" w:eastAsia="宋体" w:cs="宋体"/>
                <w:color w:val="0000FF"/>
                <w:sz w:val="24"/>
                <w:szCs w:val="24"/>
                <w:lang w:val="en-US" w:eastAsia="zh-CN"/>
              </w:rPr>
              <w:t>%，计算公式：（1-磋商总报价/最高限价）计算保留小数点后两位。</w:t>
            </w:r>
          </w:p>
          <w:p>
            <w:pPr>
              <w:pStyle w:val="9"/>
              <w:spacing w:line="360" w:lineRule="auto"/>
              <w:ind w:left="0" w:leftChars="0" w:firstLine="0" w:firstLineChars="0"/>
              <w:rPr>
                <w:rFonts w:hint="default"/>
                <w:lang w:val="en-US" w:eastAsia="zh-CN"/>
              </w:rPr>
            </w:pPr>
            <w:r>
              <w:rPr>
                <w:rFonts w:hint="eastAsia" w:ascii="宋体" w:hAnsi="宋体" w:eastAsia="宋体" w:cs="宋体"/>
                <w:bCs/>
                <w:color w:val="auto"/>
                <w:sz w:val="24"/>
                <w:szCs w:val="24"/>
                <w:highlight w:val="none"/>
                <w:lang w:val="en-US" w:eastAsia="zh-CN"/>
              </w:rPr>
              <w:t>政府兜底保障对象</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补贴标准上限不超8000元/每户；</w:t>
            </w:r>
            <w:r>
              <w:rPr>
                <w:rFonts w:hint="eastAsia" w:ascii="宋体" w:hAnsi="宋体" w:eastAsia="宋体" w:cs="宋体"/>
                <w:bCs/>
                <w:color w:val="auto"/>
                <w:sz w:val="24"/>
                <w:szCs w:val="24"/>
                <w:highlight w:val="none"/>
              </w:rPr>
              <w:t>基础改造服务对象</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补贴标准上限不超1000元/每户；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0" w:hRule="atLeast"/>
        </w:trPr>
        <w:tc>
          <w:tcPr>
            <w:tcW w:w="3412" w:type="dxa"/>
            <w:noWrap w:val="0"/>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质保期</w:t>
            </w:r>
          </w:p>
        </w:tc>
        <w:tc>
          <w:tcPr>
            <w:tcW w:w="5968" w:type="dxa"/>
            <w:noWrap w:val="0"/>
            <w:vAlign w:val="center"/>
          </w:tcPr>
          <w:p>
            <w:pPr>
              <w:rPr>
                <w:rFonts w:hint="eastAsia" w:ascii="宋体" w:hAnsi="宋体" w:eastAsia="宋体" w:cs="宋体"/>
                <w:color w:val="000000"/>
                <w:sz w:val="24"/>
                <w:highlight w:val="none"/>
              </w:rPr>
            </w:pPr>
            <w:r>
              <w:rPr>
                <w:rFonts w:hint="eastAsia" w:ascii="宋体" w:hAnsi="宋体" w:eastAsia="宋体" w:cs="宋体"/>
                <w:color w:val="000000"/>
                <w:sz w:val="24"/>
                <w:highlight w:val="none"/>
              </w:rPr>
              <w:t>自验收合格起</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≥2年</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3412" w:type="dxa"/>
            <w:noWrap w:val="0"/>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质量要求</w:t>
            </w:r>
          </w:p>
        </w:tc>
        <w:tc>
          <w:tcPr>
            <w:tcW w:w="5968" w:type="dxa"/>
            <w:noWrap w:val="0"/>
            <w:vAlign w:val="center"/>
          </w:tcPr>
          <w:p>
            <w:pPr>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符合无锡市困难老年人家庭适老化改造要求，100%合格。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trPr>
        <w:tc>
          <w:tcPr>
            <w:tcW w:w="3412" w:type="dxa"/>
            <w:noWrap w:val="0"/>
            <w:vAlign w:val="center"/>
          </w:tcPr>
          <w:p>
            <w:pPr>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项目负责人</w:t>
            </w:r>
          </w:p>
        </w:tc>
        <w:tc>
          <w:tcPr>
            <w:tcW w:w="5968" w:type="dxa"/>
            <w:noWrap w:val="0"/>
            <w:vAlign w:val="center"/>
          </w:tcPr>
          <w:p>
            <w:pPr>
              <w:spacing w:line="360" w:lineRule="auto"/>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姓名：</w:t>
            </w:r>
          </w:p>
          <w:p>
            <w:pPr>
              <w:spacing w:line="360" w:lineRule="auto"/>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联系电话：</w:t>
            </w:r>
          </w:p>
        </w:tc>
      </w:tr>
    </w:tbl>
    <w:p>
      <w:pPr>
        <w:adjustRightInd w:val="0"/>
        <w:snapToGrid w:val="0"/>
        <w:spacing w:line="360" w:lineRule="auto"/>
        <w:rPr>
          <w:rFonts w:hint="eastAsia" w:ascii="宋体" w:hAnsi="宋体" w:cs="宋体"/>
          <w:sz w:val="24"/>
          <w:highlight w:val="none"/>
        </w:rPr>
      </w:pPr>
    </w:p>
    <w:p>
      <w:pPr>
        <w:overflowPunct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法定代表人或授权代表签字：                          </w:t>
      </w:r>
    </w:p>
    <w:p>
      <w:pPr>
        <w:overflowPunct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日期：   年   月   日</w:t>
      </w:r>
    </w:p>
    <w:p>
      <w:pPr>
        <w:overflowPunct w:val="0"/>
        <w:spacing w:line="360" w:lineRule="auto"/>
        <w:rPr>
          <w:rFonts w:hint="eastAsia" w:ascii="宋体" w:hAnsi="宋体" w:eastAsia="宋体" w:cs="宋体"/>
          <w:sz w:val="24"/>
          <w:highlight w:val="none"/>
        </w:rPr>
      </w:pPr>
    </w:p>
    <w:p>
      <w:pPr>
        <w:overflowPunct w:val="0"/>
        <w:spacing w:line="360" w:lineRule="auto"/>
        <w:rPr>
          <w:rFonts w:hint="default" w:ascii="宋体" w:hAnsi="宋体" w:eastAsia="宋体" w:cs="宋体"/>
          <w:b/>
          <w:bCs/>
          <w:sz w:val="24"/>
          <w:highlight w:val="none"/>
          <w:lang w:val="en-US" w:eastAsia="zh-CN"/>
        </w:rPr>
      </w:pPr>
      <w:r>
        <w:rPr>
          <w:rFonts w:hint="eastAsia" w:ascii="宋体" w:hAnsi="宋体" w:eastAsia="宋体" w:cs="宋体"/>
          <w:sz w:val="24"/>
          <w:highlight w:val="none"/>
        </w:rPr>
        <w:t>填写说明：</w:t>
      </w:r>
    </w:p>
    <w:p>
      <w:pPr>
        <w:overflowPunct w:val="0"/>
        <w:spacing w:line="360" w:lineRule="auto"/>
        <w:rPr>
          <w:rFonts w:hint="eastAsia" w:ascii="宋体" w:hAnsi="宋体" w:eastAsia="宋体" w:cs="宋体"/>
          <w:b/>
          <w:sz w:val="24"/>
          <w:highlight w:val="none"/>
        </w:rPr>
      </w:pPr>
      <w:r>
        <w:rPr>
          <w:rFonts w:hint="eastAsia" w:ascii="宋体" w:hAnsi="宋体" w:eastAsia="宋体" w:cs="宋体"/>
          <w:b/>
          <w:bCs/>
          <w:sz w:val="24"/>
          <w:highlight w:val="none"/>
          <w:lang w:val="en-US" w:eastAsia="zh-CN"/>
        </w:rPr>
        <w:t>1、</w:t>
      </w:r>
      <w:r>
        <w:rPr>
          <w:rFonts w:hint="eastAsia" w:ascii="宋体" w:hAnsi="宋体" w:eastAsia="宋体" w:cs="宋体"/>
          <w:b/>
          <w:bCs/>
          <w:sz w:val="24"/>
          <w:highlight w:val="none"/>
        </w:rPr>
        <w:t>报价一览表中的内容应与响应函内容一致，否则磋商时一律按报价一览表中</w:t>
      </w:r>
      <w:r>
        <w:rPr>
          <w:rFonts w:hint="eastAsia" w:ascii="宋体" w:hAnsi="宋体" w:eastAsia="宋体" w:cs="宋体"/>
          <w:b/>
          <w:sz w:val="24"/>
          <w:highlight w:val="none"/>
        </w:rPr>
        <w:t>内容为准，报价一览表中必须盖章或签字。</w:t>
      </w:r>
    </w:p>
    <w:p>
      <w:pPr>
        <w:spacing w:line="360" w:lineRule="auto"/>
        <w:jc w:val="center"/>
        <w:rPr>
          <w:rFonts w:hint="eastAsia" w:ascii="宋体" w:hAnsi="宋体" w:cs="宋体"/>
          <w:bCs/>
          <w:sz w:val="24"/>
          <w:highlight w:val="none"/>
        </w:rPr>
      </w:pPr>
    </w:p>
    <w:p>
      <w:pPr>
        <w:spacing w:line="360" w:lineRule="auto"/>
        <w:jc w:val="center"/>
        <w:rPr>
          <w:rFonts w:hint="eastAsia" w:ascii="宋体" w:hAnsi="宋体" w:cs="宋体"/>
          <w:bCs/>
          <w:sz w:val="24"/>
          <w:highlight w:val="none"/>
        </w:rPr>
      </w:pPr>
    </w:p>
    <w:p>
      <w:pPr>
        <w:spacing w:line="360" w:lineRule="auto"/>
        <w:jc w:val="center"/>
        <w:rPr>
          <w:rFonts w:hint="eastAsia" w:ascii="宋体" w:hAnsi="宋体" w:cs="宋体"/>
          <w:bCs/>
          <w:sz w:val="24"/>
          <w:highlight w:val="none"/>
        </w:rPr>
      </w:pPr>
    </w:p>
    <w:p>
      <w:pPr>
        <w:spacing w:line="360" w:lineRule="auto"/>
        <w:jc w:val="left"/>
        <w:rPr>
          <w:rFonts w:hint="eastAsia" w:ascii="黑体" w:hAnsi="黑体" w:eastAsia="黑体" w:cs="黑体"/>
          <w:bCs/>
          <w:sz w:val="24"/>
          <w:highlight w:val="none"/>
          <w:lang w:eastAsia="zh-CN"/>
        </w:rPr>
      </w:pPr>
    </w:p>
    <w:p>
      <w:pPr>
        <w:spacing w:line="360" w:lineRule="auto"/>
        <w:jc w:val="left"/>
        <w:rPr>
          <w:rFonts w:hint="eastAsia" w:ascii="宋体" w:hAnsi="宋体" w:eastAsia="宋体" w:cs="宋体"/>
          <w:bCs/>
          <w:sz w:val="28"/>
          <w:szCs w:val="28"/>
          <w:highlight w:val="none"/>
        </w:rPr>
      </w:pPr>
      <w:r>
        <w:rPr>
          <w:rFonts w:hint="eastAsia" w:ascii="黑体" w:hAnsi="黑体" w:eastAsia="黑体" w:cs="黑体"/>
          <w:bCs/>
          <w:sz w:val="24"/>
          <w:highlight w:val="none"/>
          <w:lang w:eastAsia="zh-CN"/>
        </w:rPr>
        <w:t>（</w:t>
      </w:r>
      <w:r>
        <w:rPr>
          <w:rFonts w:hint="eastAsia" w:ascii="黑体" w:hAnsi="黑体" w:eastAsia="黑体" w:cs="黑体"/>
          <w:bCs/>
          <w:sz w:val="24"/>
          <w:highlight w:val="none"/>
          <w:lang w:val="en-US" w:eastAsia="zh-CN"/>
        </w:rPr>
        <w:t>五</w:t>
      </w:r>
      <w:r>
        <w:rPr>
          <w:rFonts w:hint="eastAsia" w:ascii="黑体" w:hAnsi="黑体" w:eastAsia="黑体" w:cs="黑体"/>
          <w:bCs/>
          <w:sz w:val="24"/>
          <w:highlight w:val="none"/>
          <w:lang w:eastAsia="zh-CN"/>
        </w:rPr>
        <w:t>）</w:t>
      </w:r>
      <w:r>
        <w:rPr>
          <w:rFonts w:hint="eastAsia" w:ascii="黑体" w:hAnsi="黑体" w:eastAsia="黑体" w:cs="黑体"/>
          <w:bCs/>
          <w:sz w:val="24"/>
          <w:highlight w:val="none"/>
          <w:lang w:val="en-US" w:eastAsia="zh-CN"/>
        </w:rPr>
        <w:t>明细报价表（格式）：</w:t>
      </w:r>
    </w:p>
    <w:p>
      <w:pPr>
        <w:spacing w:line="360" w:lineRule="auto"/>
        <w:jc w:val="center"/>
        <w:outlineLvl w:val="0"/>
        <w:rPr>
          <w:rFonts w:hint="eastAsia" w:ascii="黑体" w:hAnsi="黑体" w:eastAsia="黑体" w:cs="黑体"/>
          <w:bCs/>
          <w:sz w:val="30"/>
          <w:szCs w:val="30"/>
          <w:highlight w:val="none"/>
        </w:rPr>
      </w:pPr>
      <w:r>
        <w:rPr>
          <w:rFonts w:hint="eastAsia" w:ascii="黑体" w:hAnsi="黑体" w:eastAsia="黑体" w:cs="黑体"/>
          <w:bCs/>
          <w:sz w:val="30"/>
          <w:szCs w:val="30"/>
          <w:highlight w:val="none"/>
        </w:rPr>
        <w:t>明细报价表</w:t>
      </w:r>
    </w:p>
    <w:p>
      <w:pPr>
        <w:pStyle w:val="17"/>
        <w:ind w:left="0" w:leftChars="0" w:firstLine="0" w:firstLineChars="0"/>
        <w:jc w:val="center"/>
        <w:rPr>
          <w:rFonts w:hint="eastAsia" w:eastAsia="宋体"/>
          <w:sz w:val="24"/>
          <w:szCs w:val="24"/>
          <w:lang w:eastAsia="zh-CN"/>
        </w:rPr>
      </w:pPr>
      <w:r>
        <w:rPr>
          <w:rFonts w:hint="eastAsia" w:hAnsi="宋体" w:eastAsia="宋体" w:cs="宋体"/>
          <w:bCs/>
          <w:sz w:val="24"/>
          <w:szCs w:val="24"/>
          <w:highlight w:val="none"/>
          <w:lang w:eastAsia="zh-CN"/>
        </w:rPr>
        <w:t>（</w:t>
      </w:r>
      <w:r>
        <w:rPr>
          <w:rFonts w:hint="eastAsia" w:hAnsi="宋体" w:eastAsia="宋体" w:cs="宋体"/>
          <w:bCs/>
          <w:sz w:val="24"/>
          <w:szCs w:val="24"/>
          <w:highlight w:val="none"/>
          <w:lang w:val="en-US" w:eastAsia="zh-CN"/>
        </w:rPr>
        <w:t>供应商按下表填报各改造内容单价</w:t>
      </w:r>
      <w:r>
        <w:rPr>
          <w:rFonts w:hint="eastAsia" w:hAnsi="宋体" w:eastAsia="宋体" w:cs="宋体"/>
          <w:bCs/>
          <w:sz w:val="24"/>
          <w:szCs w:val="24"/>
          <w:highlight w:val="none"/>
          <w:lang w:eastAsia="zh-CN"/>
        </w:rPr>
        <w:t>）</w:t>
      </w:r>
    </w:p>
    <w:p>
      <w:pPr>
        <w:spacing w:line="360" w:lineRule="auto"/>
        <w:jc w:val="center"/>
        <w:rPr>
          <w:rFonts w:hint="eastAsia" w:ascii="宋体" w:hAnsi="宋体" w:eastAsia="宋体" w:cs="宋体"/>
          <w:szCs w:val="21"/>
          <w:highlight w:val="none"/>
        </w:rPr>
      </w:pPr>
    </w:p>
    <w:p>
      <w:pPr>
        <w:pStyle w:val="2"/>
        <w:rPr>
          <w:rFonts w:hint="eastAsia" w:ascii="宋体" w:hAnsi="宋体" w:eastAsia="宋体" w:cs="宋体"/>
          <w:szCs w:val="21"/>
          <w:highlight w:val="none"/>
        </w:rPr>
      </w:pPr>
    </w:p>
    <w:p>
      <w:pPr>
        <w:pStyle w:val="2"/>
        <w:rPr>
          <w:rFonts w:hint="eastAsia" w:ascii="宋体" w:hAnsi="宋体" w:eastAsia="宋体" w:cs="宋体"/>
          <w:szCs w:val="21"/>
          <w:highlight w:val="none"/>
        </w:rPr>
      </w:pPr>
    </w:p>
    <w:tbl>
      <w:tblPr>
        <w:tblStyle w:val="10"/>
        <w:tblpPr w:leftFromText="180" w:rightFromText="180" w:vertAnchor="text" w:horzAnchor="page" w:tblpX="489" w:tblpY="-4145"/>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1256"/>
        <w:gridCol w:w="4875"/>
        <w:gridCol w:w="1804"/>
        <w:gridCol w:w="660"/>
        <w:gridCol w:w="720"/>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9"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改造内容</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参考图片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65"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报价（元）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56"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智能水表</w:t>
            </w:r>
          </w:p>
        </w:tc>
        <w:tc>
          <w:tcPr>
            <w:tcW w:w="4875"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1.加装摄像识别终端，对水表数据进行在线监控，无线通讯，12小时不足0.01吨上报使用异常，独居老人安全防护第一道防线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2.利用电子通讯手段为压缩后图片传输及识别，同时实现后台云存储以便核对。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3.摄像模组独立化设计，无需对原有仪表更换或改装。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4.机械部分与电子部分完全分离，计量部分不怕高温湿热，电子部分防水等级达到IP68标准，正常工作温度在-20~70度。</w:t>
            </w:r>
          </w:p>
        </w:tc>
        <w:tc>
          <w:tcPr>
            <w:tcW w:w="1804" w:type="dxa"/>
            <w:tcBorders>
              <w:top w:val="nil"/>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123825</wp:posOffset>
                  </wp:positionH>
                  <wp:positionV relativeFrom="paragraph">
                    <wp:posOffset>695325</wp:posOffset>
                  </wp:positionV>
                  <wp:extent cx="897890" cy="856615"/>
                  <wp:effectExtent l="0" t="0" r="1270" b="12065"/>
                  <wp:wrapNone/>
                  <wp:docPr id="1" name="0"/>
                  <wp:cNvGraphicFramePr/>
                  <a:graphic xmlns:a="http://schemas.openxmlformats.org/drawingml/2006/main">
                    <a:graphicData uri="http://schemas.openxmlformats.org/drawingml/2006/picture">
                      <pic:pic xmlns:pic="http://schemas.openxmlformats.org/drawingml/2006/picture">
                        <pic:nvPicPr>
                          <pic:cNvPr id="1" name="0"/>
                          <pic:cNvPicPr/>
                        </pic:nvPicPr>
                        <pic:blipFill>
                          <a:blip r:embed="rId4"/>
                          <a:stretch>
                            <a:fillRect/>
                          </a:stretch>
                        </pic:blipFill>
                        <pic:spPr>
                          <a:xfrm>
                            <a:off x="0" y="0"/>
                            <a:ext cx="897890" cy="856615"/>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智能电谱</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1.结构及外观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表面完好无划痕，标识清晰，结构无松动。尺寸不超过120mm * 60mm * 20mm。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2.安装方式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要求支持35mm DIN标准导轨安装，符合DIN EN 50022标准。要求1极宽度(模数17.5mm)，符合DIN 43880标准。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3.网络与数据采集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要求支持IEEE802.11n协议，并兼容前代协议，数据采集间隔≤0.1s。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4.指示灯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要求支持指示设备工作状态、网络状态、固件升级状态等设备情况。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5.电流互感器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要求最高支持监测80A电流输入，输出电压为0.33V信号。采集电流的方式：采用非侵入式卡扣互感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6.剩余电流互感器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要求最高支持监测1A电流输入，输出电压为0.33V信号。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7.工作环境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工作温度： 0℃～+70℃。存储温度：-10℃～+80℃。相对湿度不大于95%RH，无冷凝。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8.输入电压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要求支持220-240V 50Hz交流电压输入。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9.最大电流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要求支持最大80A电流输入。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10.准确度等级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要求达到0.5级，具备电器辩识功能，识别电器类型，电器开关时间，识别准确性≥95%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11.使用寿命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要求设备使用寿命不低于10万小时。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12.平均无故障工作时间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要求设备平均无故障时间不低于1万小时。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13.静电等级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接触放电：要求±6kV无异常。空气放电：要求±8kV无异常。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14.支持OTA；实现以下报警：主动用电间隔过长、起居延迟、特定设备运行过久、电气安全异常、短路等；支持对报警的接单、电话、上门等跟踪处理</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7620</wp:posOffset>
                  </wp:positionH>
                  <wp:positionV relativeFrom="paragraph">
                    <wp:posOffset>2858135</wp:posOffset>
                  </wp:positionV>
                  <wp:extent cx="923925" cy="760730"/>
                  <wp:effectExtent l="0" t="0" r="5715" b="1270"/>
                  <wp:wrapNone/>
                  <wp:docPr id="2" name="1"/>
                  <wp:cNvGraphicFramePr/>
                  <a:graphic xmlns:a="http://schemas.openxmlformats.org/drawingml/2006/main">
                    <a:graphicData uri="http://schemas.openxmlformats.org/drawingml/2006/picture">
                      <pic:pic xmlns:pic="http://schemas.openxmlformats.org/drawingml/2006/picture">
                        <pic:nvPicPr>
                          <pic:cNvPr id="2" name="1"/>
                          <pic:cNvPicPr/>
                        </pic:nvPicPr>
                        <pic:blipFill>
                          <a:blip r:embed="rId5"/>
                          <a:stretch>
                            <a:fillRect/>
                          </a:stretch>
                        </pic:blipFill>
                        <pic:spPr>
                          <a:xfrm>
                            <a:off x="0" y="0"/>
                            <a:ext cx="923925" cy="7607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烟雾智能探测器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能够准确的检测烟雾，当烟雾浓度超过限量时，烟感探测器会鸣响，并将报警信号上传至平台。支持三大运营商网络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1.安装测试：独立测试按键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2.告警检测：自动调节灵敏度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3.自检功能：24小时自我诊断一次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5.告警内容：超浓度报警，防拆，电池电压低告警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7.烟雾浓度：符合国标要求；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8.报警声音：大于85DB；</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9.工作电压： DC6V，2*CR123A锂电池；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-17780</wp:posOffset>
                  </wp:positionH>
                  <wp:positionV relativeFrom="paragraph">
                    <wp:posOffset>525780</wp:posOffset>
                  </wp:positionV>
                  <wp:extent cx="828675" cy="1003935"/>
                  <wp:effectExtent l="0" t="0" r="9525" b="1905"/>
                  <wp:wrapNone/>
                  <wp:docPr id="3" name="18"/>
                  <wp:cNvGraphicFramePr/>
                  <a:graphic xmlns:a="http://schemas.openxmlformats.org/drawingml/2006/main">
                    <a:graphicData uri="http://schemas.openxmlformats.org/drawingml/2006/picture">
                      <pic:pic xmlns:pic="http://schemas.openxmlformats.org/drawingml/2006/picture">
                        <pic:nvPicPr>
                          <pic:cNvPr id="3" name="18"/>
                          <pic:cNvPicPr/>
                        </pic:nvPicPr>
                        <pic:blipFill>
                          <a:blip r:embed="rId6"/>
                          <a:stretch>
                            <a:fillRect/>
                          </a:stretch>
                        </pic:blipFill>
                        <pic:spPr>
                          <a:xfrm>
                            <a:off x="0" y="0"/>
                            <a:ext cx="828675" cy="10039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无线燃气探测器，安装在厨房，即插即用，能及时探测到漏出的煤气，并发出声光报警信号，将报警信息推送至手机和平台，实现老年人家庭安全防范。支持三大运营商网络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1.纳米传感器，警情排除自动复位；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2.可测气体：天然气、煤气、液化石油气；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3.告警方式：声光报警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4.告警内容：泄露预警，浓度超高；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5.报警记忆：GAS浓度峰值记忆存储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7.报警浓度：8% LEL</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8.报警声音：大于75DB</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9.工作电压：AC110V—240V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10.工作电流：≤120mA监视，≤150mA报警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11.工作环境：-10℃～50℃，&lt;95%RH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12.电源防水等级：IP</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-53975</wp:posOffset>
                  </wp:positionH>
                  <wp:positionV relativeFrom="paragraph">
                    <wp:posOffset>738505</wp:posOffset>
                  </wp:positionV>
                  <wp:extent cx="981075" cy="1019175"/>
                  <wp:effectExtent l="0" t="0" r="9525" b="1905"/>
                  <wp:wrapNone/>
                  <wp:docPr id="4" name="109"/>
                  <wp:cNvGraphicFramePr/>
                  <a:graphic xmlns:a="http://schemas.openxmlformats.org/drawingml/2006/main">
                    <a:graphicData uri="http://schemas.openxmlformats.org/drawingml/2006/picture">
                      <pic:pic xmlns:pic="http://schemas.openxmlformats.org/drawingml/2006/picture">
                        <pic:nvPicPr>
                          <pic:cNvPr id="4" name="109"/>
                          <pic:cNvPicPr/>
                        </pic:nvPicPr>
                        <pic:blipFill>
                          <a:blip r:embed="rId7"/>
                          <a:stretch>
                            <a:fillRect/>
                          </a:stretch>
                        </pic:blipFill>
                        <pic:spPr>
                          <a:xfrm>
                            <a:off x="0" y="0"/>
                            <a:ext cx="981075" cy="10191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紧急呼叫器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迷你型单按键无线紧急求救按钮，使用简单方便。能在紧急情况下及时发送警情，有效保护生命及财产安全。支持三大运营商网络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告警内容：紧急求救、低电压告警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安装方式：表面安装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工作电压：DC3V，1*CR123A锂电池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 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-62865</wp:posOffset>
                  </wp:positionH>
                  <wp:positionV relativeFrom="paragraph">
                    <wp:posOffset>215265</wp:posOffset>
                  </wp:positionV>
                  <wp:extent cx="1079500" cy="1108075"/>
                  <wp:effectExtent l="0" t="0" r="2540" b="4445"/>
                  <wp:wrapNone/>
                  <wp:docPr id="5" name="2"/>
                  <wp:cNvGraphicFramePr/>
                  <a:graphic xmlns:a="http://schemas.openxmlformats.org/drawingml/2006/main">
                    <a:graphicData uri="http://schemas.openxmlformats.org/drawingml/2006/picture">
                      <pic:pic xmlns:pic="http://schemas.openxmlformats.org/drawingml/2006/picture">
                        <pic:nvPicPr>
                          <pic:cNvPr id="5" name="2"/>
                          <pic:cNvPicPr/>
                        </pic:nvPicPr>
                        <pic:blipFill>
                          <a:blip r:embed="rId8"/>
                          <a:stretch>
                            <a:fillRect/>
                          </a:stretch>
                        </pic:blipFill>
                        <pic:spPr>
                          <a:xfrm>
                            <a:off x="0" y="0"/>
                            <a:ext cx="1079500" cy="11080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适用于室内的被动红外人体探测。采用精密柱状菲涅尔透镜，能有效提高能量接受的效率，对区域人体移动进行分析，将判断结果发送至平台，可触发异常报警。支持三大运营商网络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1.探测方式：四元红外</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2.探测距离：12M*12M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3.探测角度：110°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4.静态功耗：&lt;15uA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5.告警内容：入侵，防拆，低电压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7.工作电压：DC3V 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8.工作电流：≤20uA监视，≤35mA报警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133350</wp:posOffset>
                  </wp:positionH>
                  <wp:positionV relativeFrom="paragraph">
                    <wp:posOffset>452755</wp:posOffset>
                  </wp:positionV>
                  <wp:extent cx="787400" cy="1447165"/>
                  <wp:effectExtent l="0" t="0" r="5080" b="635"/>
                  <wp:wrapNone/>
                  <wp:docPr id="6" name="6"/>
                  <wp:cNvGraphicFramePr/>
                  <a:graphic xmlns:a="http://schemas.openxmlformats.org/drawingml/2006/main">
                    <a:graphicData uri="http://schemas.openxmlformats.org/drawingml/2006/picture">
                      <pic:pic xmlns:pic="http://schemas.openxmlformats.org/drawingml/2006/picture">
                        <pic:nvPicPr>
                          <pic:cNvPr id="6" name="6"/>
                          <pic:cNvPicPr/>
                        </pic:nvPicPr>
                        <pic:blipFill>
                          <a:blip r:embed="rId9"/>
                          <a:stretch>
                            <a:fillRect/>
                          </a:stretch>
                        </pic:blipFill>
                        <pic:spPr>
                          <a:xfrm>
                            <a:off x="0" y="0"/>
                            <a:ext cx="787400" cy="14471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门磁智能探测器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分离触发型，安装在入户门，可感知开关状态。当磁条与发射器的位置移动约2.5cm时，发射器将报警信号上传至平台，以防止企图从门窗等处潜入的侵入者。支持三大运营商网络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1.磁力范围: 2.5CM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2.安装方式：表面安装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3.告警内容：开门，防拆，低电压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5.工作电压：DC3V 1*CR123A锂电池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6.工作电流：≤10uA监视，≤100mA报警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7.工作环境：-10℃～50℃，&lt;95%RH</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17780</wp:posOffset>
                  </wp:positionH>
                  <wp:positionV relativeFrom="paragraph">
                    <wp:posOffset>577850</wp:posOffset>
                  </wp:positionV>
                  <wp:extent cx="1076325" cy="1019175"/>
                  <wp:effectExtent l="0" t="0" r="5715" b="1905"/>
                  <wp:wrapNone/>
                  <wp:docPr id="7" name="7"/>
                  <wp:cNvGraphicFramePr/>
                  <a:graphic xmlns:a="http://schemas.openxmlformats.org/drawingml/2006/main">
                    <a:graphicData uri="http://schemas.openxmlformats.org/drawingml/2006/picture">
                      <pic:pic xmlns:pic="http://schemas.openxmlformats.org/drawingml/2006/picture">
                        <pic:nvPicPr>
                          <pic:cNvPr id="7" name="7"/>
                          <pic:cNvPicPr/>
                        </pic:nvPicPr>
                        <pic:blipFill>
                          <a:blip r:embed="rId10"/>
                          <a:stretch>
                            <a:fillRect/>
                          </a:stretch>
                        </pic:blipFill>
                        <pic:spPr>
                          <a:xfrm>
                            <a:off x="0" y="0"/>
                            <a:ext cx="1076325" cy="10191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水浸智能探测器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根据要求安装在卫生间、厨房等老人忘记关水或水管漏水导致水浸，根据根据探测电极浸水后阻抗发生变化，通过无线通信方式传输报警信号，通知平台及家属。支持三大运营商网络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超低功耗：电池超长待机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告警内容：浸水告警、低电压告警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安装方式：无需安装，平置于地面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联网模式：NB-IoT/lora/433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工作电压： DC3V，2*AAA碱性电池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工作电流：≤10uA监视，≤20mA报警 7. 工作环境：-10℃～50℃，&lt;95%RH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 电池寿命：≥3年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防水等级：IP65 </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116840</wp:posOffset>
                  </wp:positionH>
                  <wp:positionV relativeFrom="paragraph">
                    <wp:posOffset>405130</wp:posOffset>
                  </wp:positionV>
                  <wp:extent cx="689610" cy="1508760"/>
                  <wp:effectExtent l="0" t="0" r="11430" b="0"/>
                  <wp:wrapNone/>
                  <wp:docPr id="8" name="8"/>
                  <wp:cNvGraphicFramePr/>
                  <a:graphic xmlns:a="http://schemas.openxmlformats.org/drawingml/2006/main">
                    <a:graphicData uri="http://schemas.openxmlformats.org/drawingml/2006/picture">
                      <pic:pic xmlns:pic="http://schemas.openxmlformats.org/drawingml/2006/picture">
                        <pic:nvPicPr>
                          <pic:cNvPr id="8" name="8"/>
                          <pic:cNvPicPr/>
                        </pic:nvPicPr>
                        <pic:blipFill>
                          <a:blip r:embed="rId11"/>
                          <a:stretch>
                            <a:fillRect/>
                          </a:stretch>
                        </pic:blipFill>
                        <pic:spPr>
                          <a:xfrm>
                            <a:off x="0" y="0"/>
                            <a:ext cx="689610" cy="15087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智能主机</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数据传输；wifi版、4G居家网关版。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3223260</wp:posOffset>
                  </wp:positionH>
                  <wp:positionV relativeFrom="paragraph">
                    <wp:posOffset>74295</wp:posOffset>
                  </wp:positionV>
                  <wp:extent cx="752475" cy="524510"/>
                  <wp:effectExtent l="0" t="0" r="9525" b="9525"/>
                  <wp:wrapNone/>
                  <wp:docPr id="9" name="attachment-1652426043149-cb9b3d7fb070c1c9"/>
                  <wp:cNvGraphicFramePr/>
                  <a:graphic xmlns:a="http://schemas.openxmlformats.org/drawingml/2006/main">
                    <a:graphicData uri="http://schemas.openxmlformats.org/drawingml/2006/picture">
                      <pic:pic xmlns:pic="http://schemas.openxmlformats.org/drawingml/2006/picture">
                        <pic:nvPicPr>
                          <pic:cNvPr id="9" name="attachment-1652426043149-cb9b3d7fb070c1c9"/>
                          <pic:cNvPicPr/>
                        </pic:nvPicPr>
                        <pic:blipFill>
                          <a:blip r:embed="rId12"/>
                          <a:stretch>
                            <a:fillRect/>
                          </a:stretch>
                        </pic:blipFill>
                        <pic:spPr>
                          <a:xfrm>
                            <a:off x="0" y="0"/>
                            <a:ext cx="752475" cy="5245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语音通话，语音报警，语音广播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联网模式：NB-IoT/lora/433</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语音呼叫器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紧急求救按钮，使用简单方便。能在紧急情况下及时发送警情，有效保护生命及财产安全。支持三大运营商网络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一键呼叫，语音通话，语音报警，语音广播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联网模式：NB-IoT/lora/433</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160655</wp:posOffset>
                  </wp:positionH>
                  <wp:positionV relativeFrom="paragraph">
                    <wp:posOffset>243840</wp:posOffset>
                  </wp:positionV>
                  <wp:extent cx="876300" cy="1057275"/>
                  <wp:effectExtent l="0" t="0" r="7620" b="9525"/>
                  <wp:wrapNone/>
                  <wp:docPr id="10" name="attachment-1652426061730-d1391dddec9642ea"/>
                  <wp:cNvGraphicFramePr/>
                  <a:graphic xmlns:a="http://schemas.openxmlformats.org/drawingml/2006/main">
                    <a:graphicData uri="http://schemas.openxmlformats.org/drawingml/2006/picture">
                      <pic:pic xmlns:pic="http://schemas.openxmlformats.org/drawingml/2006/picture">
                        <pic:nvPicPr>
                          <pic:cNvPr id="10" name="attachment-1652426061730-d1391dddec9642ea"/>
                          <pic:cNvPicPr/>
                        </pic:nvPicPr>
                        <pic:blipFill>
                          <a:blip r:embed="rId13"/>
                          <a:stretch>
                            <a:fillRect/>
                          </a:stretch>
                        </pic:blipFill>
                        <pic:spPr>
                          <a:xfrm>
                            <a:off x="0" y="0"/>
                            <a:ext cx="876300" cy="1057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定位胸牌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尺寸：101x59x9mm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NBIOT：超低功耗、多功能胸卡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蓝牙BLE，GPS/北斗/WIFI+BLE定位+加速度，2年NB卡费+GSM一键呼叫+运动检测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1000mAH电池+USB充电+1个SOS按键</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102235</wp:posOffset>
                  </wp:positionH>
                  <wp:positionV relativeFrom="paragraph">
                    <wp:posOffset>247650</wp:posOffset>
                  </wp:positionV>
                  <wp:extent cx="828675" cy="704850"/>
                  <wp:effectExtent l="0" t="0" r="9525" b="11430"/>
                  <wp:wrapNone/>
                  <wp:docPr id="11" name="111"/>
                  <wp:cNvGraphicFramePr/>
                  <a:graphic xmlns:a="http://schemas.openxmlformats.org/drawingml/2006/main">
                    <a:graphicData uri="http://schemas.openxmlformats.org/drawingml/2006/picture">
                      <pic:pic xmlns:pic="http://schemas.openxmlformats.org/drawingml/2006/picture">
                        <pic:nvPicPr>
                          <pic:cNvPr id="11" name="111"/>
                          <pic:cNvPicPr/>
                        </pic:nvPicPr>
                        <pic:blipFill>
                          <a:blip r:embed="rId14"/>
                          <a:stretch>
                            <a:fillRect/>
                          </a:stretch>
                        </pic:blipFill>
                        <pic:spPr>
                          <a:xfrm>
                            <a:off x="0" y="0"/>
                            <a:ext cx="828675" cy="7048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数据分析平台服务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1、活动感知和预警；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2、紧急求助信息接收，发送；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3、语音提醒服务；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4、呼叫服务；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5、数据统计及分析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6、硬件设备流量费；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7、硬件设备维护费。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包含平台服务费及流量费（第一，二年费用包含于硬件产品中，报价为第三年开始每年收取的费用）</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12700</wp:posOffset>
                  </wp:positionH>
                  <wp:positionV relativeFrom="paragraph">
                    <wp:posOffset>302260</wp:posOffset>
                  </wp:positionV>
                  <wp:extent cx="814705" cy="563245"/>
                  <wp:effectExtent l="0" t="0" r="8255" b="635"/>
                  <wp:wrapNone/>
                  <wp:docPr id="12" name="3"/>
                  <wp:cNvGraphicFramePr/>
                  <a:graphic xmlns:a="http://schemas.openxmlformats.org/drawingml/2006/main">
                    <a:graphicData uri="http://schemas.openxmlformats.org/drawingml/2006/picture">
                      <pic:pic xmlns:pic="http://schemas.openxmlformats.org/drawingml/2006/picture">
                        <pic:nvPicPr>
                          <pic:cNvPr id="12" name="3"/>
                          <pic:cNvPicPr/>
                        </pic:nvPicPr>
                        <pic:blipFill>
                          <a:blip r:embed="rId15"/>
                          <a:stretch>
                            <a:fillRect/>
                          </a:stretch>
                        </pic:blipFill>
                        <pic:spPr>
                          <a:xfrm>
                            <a:off x="0" y="0"/>
                            <a:ext cx="814705" cy="5632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智能手环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1重量 53g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主机配置 ASR3601   128M+128M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频段覆盖 GSM、LTE-FDD、LTE-TDD</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屏幕尺寸、分辨率 1.54英寸，方屏、分辨率不低于240*240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尺寸 49x40x15mm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定位系统 GPS、北斗、LBS、wifi定位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 其它配置 喇叭支持、Mic支持、马达支持、Nano SIM支持、按键具有电源、返回、开关机、一键SOS功能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标准配置：手环（手表）、USB充电线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 防护功能 IP54,具有较强防摔防震防电磁防辐射功能，具有良好的散热功能。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9、电池 电池容量700mAh及以上</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 电源、充电接口 4pin充电，磁吸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 WIFI 只做定位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12、表带 亲肤类硅胶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 能够显示紧急联系人号码；能够显示手环（手表）编号等信息，便于从编号查找；显示字体大小适合老年人使用；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14、实时位置：手表端和APP端能够准确显示手环(手表）的实时位置；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15、SOS求救：具有一键紧急求救的功能，能够向紧急联系人发送SOS短信及位置信息；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16、历史轨迹：APP能够显示手环（手表）的历史行动轨迹；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17、安全区域：能够在APP上划定安全区域，一旦越出该区，能够在APP上提醒；</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18、支持蓝牙室内定位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19、心率监测：支持24小时实时心率，可随时通过APP获取心率数据；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20、血压监测：支持监测老人血压，可通过APP获取血压变化趋势；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21、电量监控：APP能够随时显示、监控手环（手表）电量；</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22、具有睡眠监测功能、有运动监测功能、有佩戴监测功能、有智能提醒功能、有天气预报功能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23、在异常情况，App会给关联人提供自动报警。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24、系统支持 APP支持安卓、苹果操作系统，一部手环（手表）可绑定多个手机用户</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25、多重定位 支持至少双星七重定位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26、电话卡需老人自行购买</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46355</wp:posOffset>
                  </wp:positionH>
                  <wp:positionV relativeFrom="paragraph">
                    <wp:posOffset>1637665</wp:posOffset>
                  </wp:positionV>
                  <wp:extent cx="1028700" cy="1057275"/>
                  <wp:effectExtent l="0" t="0" r="0" b="0"/>
                  <wp:wrapNone/>
                  <wp:docPr id="13" name="112"/>
                  <wp:cNvGraphicFramePr/>
                  <a:graphic xmlns:a="http://schemas.openxmlformats.org/drawingml/2006/main">
                    <a:graphicData uri="http://schemas.openxmlformats.org/drawingml/2006/picture">
                      <pic:pic xmlns:pic="http://schemas.openxmlformats.org/drawingml/2006/picture">
                        <pic:nvPicPr>
                          <pic:cNvPr id="13" name="112"/>
                          <pic:cNvPicPr/>
                        </pic:nvPicPr>
                        <pic:blipFill>
                          <a:blip r:embed="rId16"/>
                          <a:stretch>
                            <a:fillRect/>
                          </a:stretch>
                        </pic:blipFill>
                        <pic:spPr>
                          <a:xfrm>
                            <a:off x="0" y="0"/>
                            <a:ext cx="1028700" cy="1057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U型上翻马桶扶手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1、尺寸：600*700mm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4.可上翻折叠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★5、底板为优质304不锈钢，在潮湿环境中，测试48H后，未出现红绣。</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245745</wp:posOffset>
                  </wp:positionH>
                  <wp:positionV relativeFrom="paragraph">
                    <wp:posOffset>415290</wp:posOffset>
                  </wp:positionV>
                  <wp:extent cx="647700" cy="914400"/>
                  <wp:effectExtent l="0" t="0" r="7620" b="0"/>
                  <wp:wrapNone/>
                  <wp:docPr id="14" name="4"/>
                  <wp:cNvGraphicFramePr/>
                  <a:graphic xmlns:a="http://schemas.openxmlformats.org/drawingml/2006/main">
                    <a:graphicData uri="http://schemas.openxmlformats.org/drawingml/2006/picture">
                      <pic:pic xmlns:pic="http://schemas.openxmlformats.org/drawingml/2006/picture">
                        <pic:nvPicPr>
                          <pic:cNvPr id="14" name="4"/>
                          <pic:cNvPicPr/>
                        </pic:nvPicPr>
                        <pic:blipFill>
                          <a:blip r:embed="rId17"/>
                          <a:stretch>
                            <a:fillRect/>
                          </a:stretch>
                        </pic:blipFill>
                        <pic:spPr>
                          <a:xfrm>
                            <a:off x="0" y="0"/>
                            <a:ext cx="647700" cy="9144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一字型扶手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1、尺寸：φ35mm*430mm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★4、产品通过强度性能检测，承受2.0KN荷重，5min无松动、破损及变形。</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50165</wp:posOffset>
                  </wp:positionH>
                  <wp:positionV relativeFrom="paragraph">
                    <wp:posOffset>382270</wp:posOffset>
                  </wp:positionV>
                  <wp:extent cx="876300" cy="476250"/>
                  <wp:effectExtent l="0" t="0" r="7620" b="11430"/>
                  <wp:wrapNone/>
                  <wp:docPr id="15" name="5"/>
                  <wp:cNvGraphicFramePr/>
                  <a:graphic xmlns:a="http://schemas.openxmlformats.org/drawingml/2006/main">
                    <a:graphicData uri="http://schemas.openxmlformats.org/drawingml/2006/picture">
                      <pic:pic xmlns:pic="http://schemas.openxmlformats.org/drawingml/2006/picture">
                        <pic:nvPicPr>
                          <pic:cNvPr id="15" name="5"/>
                          <pic:cNvPicPr/>
                        </pic:nvPicPr>
                        <pic:blipFill>
                          <a:blip r:embed="rId18"/>
                          <a:stretch>
                            <a:fillRect/>
                          </a:stretch>
                        </pic:blipFill>
                        <pic:spPr>
                          <a:xfrm>
                            <a:off x="0" y="0"/>
                            <a:ext cx="876300" cy="476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L型扶手</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1、尺寸：500mm*700mm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2、外管材质：ABS材质或者抗菌尼龙，直径35mm；内管材质：铝合金/不锈钢内管，直径28mm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3、扶手表面使用环保标准、抗老化、耐腐蚀耐火材料，能有效抑制大肠杆菌、金黄色葡萄球菌等细菌；扶手表面采用防滑浮点设 计，厚度为0.5毫米。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★4、外部管件加入抗菌因子，抗菌性能对大肠杆菌、金黄色葡萄球菌抗菌率&gt;99.9，其中对大肠杆菌抗菌性能值＞6.0，对金黄色葡萄球菌抗菌性能值＞4.8。</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328295</wp:posOffset>
                  </wp:positionV>
                  <wp:extent cx="800100" cy="933450"/>
                  <wp:effectExtent l="0" t="0" r="7620" b="11430"/>
                  <wp:wrapNone/>
                  <wp:docPr id="16" name="93"/>
                  <wp:cNvGraphicFramePr/>
                  <a:graphic xmlns:a="http://schemas.openxmlformats.org/drawingml/2006/main">
                    <a:graphicData uri="http://schemas.openxmlformats.org/drawingml/2006/picture">
                      <pic:pic xmlns:pic="http://schemas.openxmlformats.org/drawingml/2006/picture">
                        <pic:nvPicPr>
                          <pic:cNvPr id="16" name="93"/>
                          <pic:cNvPicPr/>
                        </pic:nvPicPr>
                        <pic:blipFill>
                          <a:blip r:embed="rId19"/>
                          <a:stretch>
                            <a:fillRect/>
                          </a:stretch>
                        </pic:blipFill>
                        <pic:spPr>
                          <a:xfrm>
                            <a:off x="0" y="0"/>
                            <a:ext cx="800100" cy="9334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声光门铃</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按钮尺寸：76*45mm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门铃尺寸：103*61*30mm材质：ABS材料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工作频率：433Mhz±0.5Mhz工作电压：AC交流 85V-260V功耗：&lt;0.5W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曲目类别：45首和旋铃声</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音量调节：四级音量/带静音功能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发射距离：（空旷）：&gt;200m     障碍10-80m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520065</wp:posOffset>
                  </wp:positionV>
                  <wp:extent cx="762000" cy="752475"/>
                  <wp:effectExtent l="0" t="0" r="0" b="9525"/>
                  <wp:wrapNone/>
                  <wp:docPr id="17" name="9"/>
                  <wp:cNvGraphicFramePr/>
                  <a:graphic xmlns:a="http://schemas.openxmlformats.org/drawingml/2006/main">
                    <a:graphicData uri="http://schemas.openxmlformats.org/drawingml/2006/picture">
                      <pic:pic xmlns:pic="http://schemas.openxmlformats.org/drawingml/2006/picture">
                        <pic:nvPicPr>
                          <pic:cNvPr id="17" name="9"/>
                          <pic:cNvPicPr/>
                        </pic:nvPicPr>
                        <pic:blipFill>
                          <a:blip r:embed="rId20"/>
                          <a:stretch>
                            <a:fillRect/>
                          </a:stretch>
                        </pic:blipFill>
                        <pic:spPr>
                          <a:xfrm>
                            <a:off x="0" y="0"/>
                            <a:ext cx="762000" cy="7524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折叠助浴椅</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1、尺寸：540*510*680MM( 最低位置展开）、540*580*770MM (最高位置展开）、540*250*800MM( 最低位置折叠）、540*250*900MM (最高位置折叠）；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2、材质：椅架高强度铝合金，喷粉处理（珠光白）；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3、坐板是吹塑件，材质是HDPE；4、扶手PP材质；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5、坐垫、靠背EVA材质；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6、防霉防滑EOE材质脚垫；</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7、座板高度六档调节：370-460MM；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8、承重：100KG；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9、符合SGS环保要求的高弹性EVA座垫、靠垫使用更加舒适；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★10、产品通过SGS权威机构检测，有害物质经过检测，检测结果满足限值要求；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★11、产品通过盐雾测试，400h无生锈，起泡，掉漆现象。</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-57785</wp:posOffset>
                  </wp:positionH>
                  <wp:positionV relativeFrom="paragraph">
                    <wp:posOffset>1136650</wp:posOffset>
                  </wp:positionV>
                  <wp:extent cx="923925" cy="895350"/>
                  <wp:effectExtent l="0" t="0" r="5715" b="3810"/>
                  <wp:wrapNone/>
                  <wp:docPr id="18" name="10"/>
                  <wp:cNvGraphicFramePr/>
                  <a:graphic xmlns:a="http://schemas.openxmlformats.org/drawingml/2006/main">
                    <a:graphicData uri="http://schemas.openxmlformats.org/drawingml/2006/picture">
                      <pic:pic xmlns:pic="http://schemas.openxmlformats.org/drawingml/2006/picture">
                        <pic:nvPicPr>
                          <pic:cNvPr id="18" name="10"/>
                          <pic:cNvPicPr/>
                        </pic:nvPicPr>
                        <pic:blipFill>
                          <a:blip r:embed="rId21"/>
                          <a:stretch>
                            <a:fillRect/>
                          </a:stretch>
                        </pic:blipFill>
                        <pic:spPr>
                          <a:xfrm>
                            <a:off x="0" y="0"/>
                            <a:ext cx="923925" cy="8953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铝合金洗澡便椅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1.座位深度：39cm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2.座位宽度：46cm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3.坐垫到地面高度：45-55cm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4.靠背到地面高度：80-90CM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5.产品总宽度：52cm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6.产品净重：5.5kg</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87630</wp:posOffset>
                  </wp:positionV>
                  <wp:extent cx="960755" cy="855980"/>
                  <wp:effectExtent l="0" t="0" r="14605" b="12700"/>
                  <wp:wrapNone/>
                  <wp:docPr id="19" name="81"/>
                  <wp:cNvGraphicFramePr/>
                  <a:graphic xmlns:a="http://schemas.openxmlformats.org/drawingml/2006/main">
                    <a:graphicData uri="http://schemas.openxmlformats.org/drawingml/2006/picture">
                      <pic:pic xmlns:pic="http://schemas.openxmlformats.org/drawingml/2006/picture">
                        <pic:nvPicPr>
                          <pic:cNvPr id="19" name="81"/>
                          <pic:cNvPicPr/>
                        </pic:nvPicPr>
                        <pic:blipFill>
                          <a:blip r:embed="rId22"/>
                          <a:stretch>
                            <a:fillRect/>
                          </a:stretch>
                        </pic:blipFill>
                        <pic:spPr>
                          <a:xfrm>
                            <a:off x="0" y="0"/>
                            <a:ext cx="960755" cy="85598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助浴椅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1）产品尺寸：50*43*（66-79）CM;坐高：36-49CM;坐宽42CM;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坐板尺寸：40*33*5CM;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全承重：100KG,净重：3KG。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2）主架：由高强度铝合金管材组成，管的厚度是1.2mm，表面阳极氧化处理。采用交叉螺丝安装方式设计。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3）座靠板：坐板和靠背板是采用的PE吹塑成型，坐板表面设计有漏水孔和防滑纹。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4）扶手：扶手采用的是焊接拆装，扶手表面安装有泡沫棉，防滑耐用。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5）脚腿：四只脚腿高度6档可调节，可以根据不同的身高来调节舒适度，脚底配用大底斜形橡胶防滑脚垫，脚垫内有钢片经久耐用。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-30480</wp:posOffset>
                  </wp:positionH>
                  <wp:positionV relativeFrom="paragraph">
                    <wp:posOffset>485775</wp:posOffset>
                  </wp:positionV>
                  <wp:extent cx="1043940" cy="1096010"/>
                  <wp:effectExtent l="0" t="0" r="7620" b="1270"/>
                  <wp:wrapNone/>
                  <wp:docPr id="20" name="95"/>
                  <wp:cNvGraphicFramePr/>
                  <a:graphic xmlns:a="http://schemas.openxmlformats.org/drawingml/2006/main">
                    <a:graphicData uri="http://schemas.openxmlformats.org/drawingml/2006/picture">
                      <pic:pic xmlns:pic="http://schemas.openxmlformats.org/drawingml/2006/picture">
                        <pic:nvPicPr>
                          <pic:cNvPr id="20" name="95"/>
                          <pic:cNvPicPr/>
                        </pic:nvPicPr>
                        <pic:blipFill>
                          <a:blip r:embed="rId23"/>
                          <a:stretch>
                            <a:fillRect/>
                          </a:stretch>
                        </pic:blipFill>
                        <pic:spPr>
                          <a:xfrm>
                            <a:off x="0" y="0"/>
                            <a:ext cx="1043940" cy="10960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吸顶灯</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采用LED光源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功率：24W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外径：410mm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153035</wp:posOffset>
                  </wp:positionH>
                  <wp:positionV relativeFrom="paragraph">
                    <wp:posOffset>199390</wp:posOffset>
                  </wp:positionV>
                  <wp:extent cx="695325" cy="583565"/>
                  <wp:effectExtent l="0" t="0" r="5715" b="10795"/>
                  <wp:wrapNone/>
                  <wp:docPr id="21" name="11"/>
                  <wp:cNvGraphicFramePr/>
                  <a:graphic xmlns:a="http://schemas.openxmlformats.org/drawingml/2006/main">
                    <a:graphicData uri="http://schemas.openxmlformats.org/drawingml/2006/picture">
                      <pic:pic xmlns:pic="http://schemas.openxmlformats.org/drawingml/2006/picture">
                        <pic:nvPicPr>
                          <pic:cNvPr id="21" name="11"/>
                          <pic:cNvPicPr/>
                        </pic:nvPicPr>
                        <pic:blipFill>
                          <a:blip r:embed="rId24"/>
                          <a:stretch>
                            <a:fillRect/>
                          </a:stretch>
                        </pic:blipFill>
                        <pic:spPr>
                          <a:xfrm>
                            <a:off x="0" y="0"/>
                            <a:ext cx="695325" cy="5835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小夜灯</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尺寸：96*92*29mm材质：ABS</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带6颗led灯珠、内置600mAH锂电池，暖光</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感应距离是正面100度，3米以内，天黑的时候，走到它的感应范围，就自动亮起，人离开感应范围，25秒正负5秒自动熄灭</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-3175</wp:posOffset>
                  </wp:positionH>
                  <wp:positionV relativeFrom="paragraph">
                    <wp:posOffset>520700</wp:posOffset>
                  </wp:positionV>
                  <wp:extent cx="818515" cy="571500"/>
                  <wp:effectExtent l="0" t="0" r="4445" b="7620"/>
                  <wp:wrapNone/>
                  <wp:docPr id="22" name="12"/>
                  <wp:cNvGraphicFramePr/>
                  <a:graphic xmlns:a="http://schemas.openxmlformats.org/drawingml/2006/main">
                    <a:graphicData uri="http://schemas.openxmlformats.org/drawingml/2006/picture">
                      <pic:pic xmlns:pic="http://schemas.openxmlformats.org/drawingml/2006/picture">
                        <pic:nvPicPr>
                          <pic:cNvPr id="22" name="12"/>
                          <pic:cNvPicPr/>
                        </pic:nvPicPr>
                        <pic:blipFill>
                          <a:blip r:embed="rId25"/>
                          <a:stretch>
                            <a:fillRect/>
                          </a:stretch>
                        </pic:blipFill>
                        <pic:spPr>
                          <a:xfrm>
                            <a:off x="0" y="0"/>
                            <a:ext cx="818515" cy="5715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换鞋凳</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1、尺寸：600*300*600mm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2、框架：采用优质橡胶木更加耐用，腿部使用橡胶实木，耐用美观油漆：环保油漆，成品纹理清晰、表层饱满、光泽润亮。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3、涂装要求无桔皮、发白、流挂、泪油现象。漆膜硬度达2—3H之间。结实耐用，耐磨损，耐腐蚀。</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4、软包：优质油蜡皮。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★5、产品通过力学性能检测，座面承受950N，加载5万次，无缺陷；产品通过力学性能检测，加载20N，任意方向倾覆测试后，无倾翻。</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493395</wp:posOffset>
                  </wp:positionV>
                  <wp:extent cx="1009650" cy="971550"/>
                  <wp:effectExtent l="0" t="0" r="11430" b="3810"/>
                  <wp:wrapNone/>
                  <wp:docPr id="23" name="13"/>
                  <wp:cNvGraphicFramePr/>
                  <a:graphic xmlns:a="http://schemas.openxmlformats.org/drawingml/2006/main">
                    <a:graphicData uri="http://schemas.openxmlformats.org/drawingml/2006/picture">
                      <pic:pic xmlns:pic="http://schemas.openxmlformats.org/drawingml/2006/picture">
                        <pic:nvPicPr>
                          <pic:cNvPr id="23" name="13"/>
                          <pic:cNvPicPr/>
                        </pic:nvPicPr>
                        <pic:blipFill>
                          <a:blip r:embed="rId26"/>
                          <a:stretch>
                            <a:fillRect/>
                          </a:stretch>
                        </pic:blipFill>
                        <pic:spPr>
                          <a:xfrm>
                            <a:off x="0" y="0"/>
                            <a:ext cx="1009650" cy="9715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坐便椅</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尺寸:53*49*(78-90)CM(5档可调)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折叠后尺寸:52*18*（78.5-90.5)CM坐宽(两扶手间距离）:45CM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坐高:42.5-54.5CM净重:7.2KG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安全承重:180KG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材质:高碳钢 壁厚：1.2MM表面处理:喷涂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 可轻松折叠,可调节高低.双盖板经典款。</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-21590</wp:posOffset>
                  </wp:positionH>
                  <wp:positionV relativeFrom="paragraph">
                    <wp:posOffset>336550</wp:posOffset>
                  </wp:positionV>
                  <wp:extent cx="990600" cy="1028700"/>
                  <wp:effectExtent l="0" t="0" r="0" b="7620"/>
                  <wp:wrapNone/>
                  <wp:docPr id="24" name="14"/>
                  <wp:cNvGraphicFramePr/>
                  <a:graphic xmlns:a="http://schemas.openxmlformats.org/drawingml/2006/main">
                    <a:graphicData uri="http://schemas.openxmlformats.org/drawingml/2006/picture">
                      <pic:pic xmlns:pic="http://schemas.openxmlformats.org/drawingml/2006/picture">
                        <pic:nvPicPr>
                          <pic:cNvPr id="24" name="14"/>
                          <pic:cNvPicPr/>
                        </pic:nvPicPr>
                        <pic:blipFill>
                          <a:blip r:embed="rId27"/>
                          <a:stretch>
                            <a:fillRect/>
                          </a:stretch>
                        </pic:blipFill>
                        <pic:spPr>
                          <a:xfrm>
                            <a:off x="0" y="0"/>
                            <a:ext cx="990600" cy="10287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助行器</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42*54*(73-84)cm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材质：航空铝合金安全承重150kg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1、采用铝合金材质，不会划伤表面，永不生锈；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2、腿部高度可调，适合不同身高（因生产批次不同，有些许误差）；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3、把手采用高密度PVC材质，防滑不断裂；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4、双把手设计，适用不同环境使用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5、加大加厚天然橡胶脚垫，更耐用、更防滑，内藏金属垫片，更加强其耐用性；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6、不用时，折叠非常方便，占地面积小</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-3175</wp:posOffset>
                  </wp:positionH>
                  <wp:positionV relativeFrom="paragraph">
                    <wp:posOffset>502285</wp:posOffset>
                  </wp:positionV>
                  <wp:extent cx="934720" cy="680720"/>
                  <wp:effectExtent l="0" t="0" r="10160" b="5080"/>
                  <wp:wrapNone/>
                  <wp:docPr id="25" name="94"/>
                  <wp:cNvGraphicFramePr/>
                  <a:graphic xmlns:a="http://schemas.openxmlformats.org/drawingml/2006/main">
                    <a:graphicData uri="http://schemas.openxmlformats.org/drawingml/2006/picture">
                      <pic:pic xmlns:pic="http://schemas.openxmlformats.org/drawingml/2006/picture">
                        <pic:nvPicPr>
                          <pic:cNvPr id="25" name="94"/>
                          <pic:cNvPicPr/>
                        </pic:nvPicPr>
                        <pic:blipFill>
                          <a:blip r:embed="rId28"/>
                          <a:stretch>
                            <a:fillRect/>
                          </a:stretch>
                        </pic:blipFill>
                        <pic:spPr>
                          <a:xfrm>
                            <a:off x="0" y="0"/>
                            <a:ext cx="934720" cy="6807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智能拐杖伞</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尺寸：700*157*38mm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高灵敏度FM调频收音机；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LED手电筒照明，闪光警示；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 超过100分贝声音报警；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 通过标准5V USB线可以给内置充电电池进行充电；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 灯头可45°角旋转，提供远光，近光照明；</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 产品防溅水设计，外形美观；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 产品配带挂绳，方便携带及挂放；</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 高强度可伸缩调节铝合金杆。</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101600</wp:posOffset>
                  </wp:positionH>
                  <wp:positionV relativeFrom="paragraph">
                    <wp:posOffset>351155</wp:posOffset>
                  </wp:positionV>
                  <wp:extent cx="728345" cy="1007110"/>
                  <wp:effectExtent l="0" t="0" r="0" b="0"/>
                  <wp:wrapNone/>
                  <wp:docPr id="26" name="82"/>
                  <wp:cNvGraphicFramePr/>
                  <a:graphic xmlns:a="http://schemas.openxmlformats.org/drawingml/2006/main">
                    <a:graphicData uri="http://schemas.openxmlformats.org/drawingml/2006/picture">
                      <pic:pic xmlns:pic="http://schemas.openxmlformats.org/drawingml/2006/picture">
                        <pic:nvPicPr>
                          <pic:cNvPr id="26" name="82"/>
                          <pic:cNvPicPr/>
                        </pic:nvPicPr>
                        <pic:blipFill>
                          <a:blip r:embed="rId29"/>
                          <a:stretch>
                            <a:fillRect/>
                          </a:stretch>
                        </pic:blipFill>
                        <pic:spPr>
                          <a:xfrm>
                            <a:off x="0" y="0"/>
                            <a:ext cx="728345" cy="10071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四脚拐杖</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上支:铝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下支:铝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19双珠弹片:铁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16大头胶脚:橡胶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19三层平头盖:塑料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T型拐杖头:塑料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挽手带:绳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19十字塞:塑料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44*83胶袋:PO</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塑料介子(配22管):塑料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M22塑料螺母:塑料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纸箱:纸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厚度:1.2MM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底座尺寸:15*15CM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可调高度:73-91CM</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72390</wp:posOffset>
                  </wp:positionH>
                  <wp:positionV relativeFrom="paragraph">
                    <wp:posOffset>816610</wp:posOffset>
                  </wp:positionV>
                  <wp:extent cx="676275" cy="1438275"/>
                  <wp:effectExtent l="0" t="0" r="9525" b="9525"/>
                  <wp:wrapNone/>
                  <wp:docPr id="27" name="96"/>
                  <wp:cNvGraphicFramePr/>
                  <a:graphic xmlns:a="http://schemas.openxmlformats.org/drawingml/2006/main">
                    <a:graphicData uri="http://schemas.openxmlformats.org/drawingml/2006/picture">
                      <pic:pic xmlns:pic="http://schemas.openxmlformats.org/drawingml/2006/picture">
                        <pic:nvPicPr>
                          <pic:cNvPr id="27" name="96"/>
                          <pic:cNvPicPr/>
                        </pic:nvPicPr>
                        <pic:blipFill>
                          <a:blip r:embed="rId30"/>
                          <a:stretch>
                            <a:fillRect/>
                          </a:stretch>
                        </pic:blipFill>
                        <pic:spPr>
                          <a:xfrm>
                            <a:off x="0" y="0"/>
                            <a:ext cx="676275" cy="1438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卫生间抽拉水龙头</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1.尺寸:高179*宽127mm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3.不锈钢编织软管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4.不锈钢抽拉头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5.304不锈钢材质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6.表面拉丝处理</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320040</wp:posOffset>
                  </wp:positionH>
                  <wp:positionV relativeFrom="paragraph">
                    <wp:posOffset>265430</wp:posOffset>
                  </wp:positionV>
                  <wp:extent cx="572135" cy="739775"/>
                  <wp:effectExtent l="0" t="0" r="6985" b="6985"/>
                  <wp:wrapNone/>
                  <wp:docPr id="28" name="15"/>
                  <wp:cNvGraphicFramePr/>
                  <a:graphic xmlns:a="http://schemas.openxmlformats.org/drawingml/2006/main">
                    <a:graphicData uri="http://schemas.openxmlformats.org/drawingml/2006/picture">
                      <pic:pic xmlns:pic="http://schemas.openxmlformats.org/drawingml/2006/picture">
                        <pic:nvPicPr>
                          <pic:cNvPr id="28" name="15"/>
                          <pic:cNvPicPr/>
                        </pic:nvPicPr>
                        <pic:blipFill>
                          <a:blip r:embed="rId31"/>
                          <a:stretch>
                            <a:fillRect/>
                          </a:stretch>
                        </pic:blipFill>
                        <pic:spPr>
                          <a:xfrm>
                            <a:off x="0" y="0"/>
                            <a:ext cx="572135" cy="7397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普通花洒</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3.1.5m304不锈钢花洒软管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4.304不锈钢单功能圆手洒</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158115</wp:posOffset>
                  </wp:positionV>
                  <wp:extent cx="723265" cy="624205"/>
                  <wp:effectExtent l="0" t="0" r="8255" b="635"/>
                  <wp:wrapNone/>
                  <wp:docPr id="29" name="16"/>
                  <wp:cNvGraphicFramePr/>
                  <a:graphic xmlns:a="http://schemas.openxmlformats.org/drawingml/2006/main">
                    <a:graphicData uri="http://schemas.openxmlformats.org/drawingml/2006/picture">
                      <pic:pic xmlns:pic="http://schemas.openxmlformats.org/drawingml/2006/picture">
                        <pic:nvPicPr>
                          <pic:cNvPr id="29" name="16"/>
                          <pic:cNvPicPr/>
                        </pic:nvPicPr>
                        <pic:blipFill>
                          <a:blip r:embed="rId32"/>
                          <a:stretch>
                            <a:fillRect/>
                          </a:stretch>
                        </pic:blipFill>
                        <pic:spPr>
                          <a:xfrm>
                            <a:off x="0" y="0"/>
                            <a:ext cx="723265" cy="6242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调节式靠背器</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折叠尺寸：60*58*7.5cm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靠背角度五档调节，折叠设计方便携带，承重136公斤</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109855</wp:posOffset>
                  </wp:positionH>
                  <wp:positionV relativeFrom="paragraph">
                    <wp:posOffset>259715</wp:posOffset>
                  </wp:positionV>
                  <wp:extent cx="717550" cy="670560"/>
                  <wp:effectExtent l="0" t="0" r="13970" b="0"/>
                  <wp:wrapNone/>
                  <wp:docPr id="30" name="83"/>
                  <wp:cNvGraphicFramePr/>
                  <a:graphic xmlns:a="http://schemas.openxmlformats.org/drawingml/2006/main">
                    <a:graphicData uri="http://schemas.openxmlformats.org/drawingml/2006/picture">
                      <pic:pic xmlns:pic="http://schemas.openxmlformats.org/drawingml/2006/picture">
                        <pic:nvPicPr>
                          <pic:cNvPr id="30" name="83"/>
                          <pic:cNvPicPr/>
                        </pic:nvPicPr>
                        <pic:blipFill>
                          <a:blip r:embed="rId33"/>
                          <a:stretch>
                            <a:fillRect/>
                          </a:stretch>
                        </pic:blipFill>
                        <pic:spPr>
                          <a:xfrm>
                            <a:off x="0" y="0"/>
                            <a:ext cx="717550" cy="6705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远红外护腰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尺码：分为L(2尺2-2尺7）、XL（2尺6-3尺）、XXL（2尺9-3尺3）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材质：竹炭纤维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颜色：浅灰</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材质：竹炭纤维材质占70%-85%，像胶盘及锦纶占15%-30%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70%竹炭纤维材质，通过人体自身热量和潮湿水分激活护具内部的BCP成分，散发出远红外和负离子能量，可将远红外能量渗透到皮下，使皮下组织升温，产生的温热由内向外散发。</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93980</wp:posOffset>
                  </wp:positionH>
                  <wp:positionV relativeFrom="paragraph">
                    <wp:posOffset>636905</wp:posOffset>
                  </wp:positionV>
                  <wp:extent cx="797560" cy="645795"/>
                  <wp:effectExtent l="0" t="0" r="10160" b="9525"/>
                  <wp:wrapNone/>
                  <wp:docPr id="31" name="84"/>
                  <wp:cNvGraphicFramePr/>
                  <a:graphic xmlns:a="http://schemas.openxmlformats.org/drawingml/2006/main">
                    <a:graphicData uri="http://schemas.openxmlformats.org/drawingml/2006/picture">
                      <pic:pic xmlns:pic="http://schemas.openxmlformats.org/drawingml/2006/picture">
                        <pic:nvPicPr>
                          <pic:cNvPr id="31" name="84"/>
                          <pic:cNvPicPr/>
                        </pic:nvPicPr>
                        <pic:blipFill>
                          <a:blip r:embed="rId34"/>
                          <a:stretch>
                            <a:fillRect/>
                          </a:stretch>
                        </pic:blipFill>
                        <pic:spPr>
                          <a:xfrm>
                            <a:off x="0" y="0"/>
                            <a:ext cx="797560" cy="6457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放大镜</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镜片直径：70mm，外观直径：92mm ，高度：52mm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材质：亚克力 /K9玻璃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1、免对焦、防眼累：采用5倍定焦设计；相比传统的放大镜，免去上下来回对焦产生的文字或图像变形引起的眼累和眼晕，能够很好的保护眼睛；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2、视野大、手感好：采用70mm直径超大视野、正扣固定设计，无需手握，只需滑动看书看报即可，防止手拿放大镜造成劳累；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3、柔和LED灯：采用3个柔和LED光源，按压式开关设计，黑暗环境也可以方便使用；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wp:posOffset>
                  </wp:positionH>
                  <wp:positionV relativeFrom="paragraph">
                    <wp:posOffset>474980</wp:posOffset>
                  </wp:positionV>
                  <wp:extent cx="821690" cy="880110"/>
                  <wp:effectExtent l="0" t="0" r="1270" b="3810"/>
                  <wp:wrapNone/>
                  <wp:docPr id="32" name="85"/>
                  <wp:cNvGraphicFramePr/>
                  <a:graphic xmlns:a="http://schemas.openxmlformats.org/drawingml/2006/main">
                    <a:graphicData uri="http://schemas.openxmlformats.org/drawingml/2006/picture">
                      <pic:pic xmlns:pic="http://schemas.openxmlformats.org/drawingml/2006/picture">
                        <pic:nvPicPr>
                          <pic:cNvPr id="32" name="85"/>
                          <pic:cNvPicPr/>
                        </pic:nvPicPr>
                        <pic:blipFill>
                          <a:blip r:embed="rId35"/>
                          <a:stretch>
                            <a:fillRect/>
                          </a:stretch>
                        </pic:blipFill>
                        <pic:spPr>
                          <a:xfrm>
                            <a:off x="0" y="0"/>
                            <a:ext cx="821690" cy="8801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2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放大镜指甲钳</w:t>
            </w:r>
          </w:p>
        </w:tc>
        <w:tc>
          <w:tcPr>
            <w:tcW w:w="487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尺寸:130*42mm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材质：碳钢+ABS+PP</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1，带有放大镜，使指甲尖部放大，便于看清楚，使用更加安全.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2，因有放大镜，还可以观察指甲的卫生、健康情况.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3，放大镜也可单独使用，为家庭实用品，方便家居生活.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4，本产品指甲钳和放大镜均为大尺寸，使用更加舒适，便捷.</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3230245</wp:posOffset>
                  </wp:positionH>
                  <wp:positionV relativeFrom="paragraph">
                    <wp:posOffset>53975</wp:posOffset>
                  </wp:positionV>
                  <wp:extent cx="876300" cy="691515"/>
                  <wp:effectExtent l="0" t="0" r="7620" b="9525"/>
                  <wp:wrapNone/>
                  <wp:docPr id="33" name="86"/>
                  <wp:cNvGraphicFramePr/>
                  <a:graphic xmlns:a="http://schemas.openxmlformats.org/drawingml/2006/main">
                    <a:graphicData uri="http://schemas.openxmlformats.org/drawingml/2006/picture">
                      <pic:pic xmlns:pic="http://schemas.openxmlformats.org/drawingml/2006/picture">
                        <pic:nvPicPr>
                          <pic:cNvPr id="33" name="86"/>
                          <pic:cNvPicPr/>
                        </pic:nvPicPr>
                        <pic:blipFill>
                          <a:blip r:embed="rId36"/>
                          <a:stretch>
                            <a:fillRect/>
                          </a:stretch>
                        </pic:blipFill>
                        <pic:spPr>
                          <a:xfrm>
                            <a:off x="0" y="0"/>
                            <a:ext cx="876300" cy="691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5，放大镜焦距可上下前后调节，适合各种年龄的人群使用。特别是老人、儿童，使用起来安全用放心.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6，不少老人眼花、手颤，剪指甲时费神费力。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7，塑料壳的作用：防止使用时指甲飞溅，剪完后抽出指甲剪倒掉指甲屑，干净卫生.</w:t>
            </w:r>
          </w:p>
        </w:tc>
        <w:tc>
          <w:tcPr>
            <w:tcW w:w="180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带吸管杯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尺寸：100*100*15mm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容量：350ml，杯体：食品级PP，内胆：食品级304不锈钢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1、杯口广口设计，方便使用；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2、食品级材质，安全、密封好；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3、安全防溢漏，即使碰倒也不会溢出。</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341630</wp:posOffset>
                  </wp:positionV>
                  <wp:extent cx="716280" cy="696595"/>
                  <wp:effectExtent l="0" t="0" r="0" b="4445"/>
                  <wp:wrapNone/>
                  <wp:docPr id="34" name="92"/>
                  <wp:cNvGraphicFramePr/>
                  <a:graphic xmlns:a="http://schemas.openxmlformats.org/drawingml/2006/main">
                    <a:graphicData uri="http://schemas.openxmlformats.org/drawingml/2006/picture">
                      <pic:pic xmlns:pic="http://schemas.openxmlformats.org/drawingml/2006/picture">
                        <pic:nvPicPr>
                          <pic:cNvPr id="34" name="92"/>
                          <pic:cNvPicPr/>
                        </pic:nvPicPr>
                        <pic:blipFill>
                          <a:blip r:embed="rId37"/>
                          <a:stretch>
                            <a:fillRect/>
                          </a:stretch>
                        </pic:blipFill>
                        <pic:spPr>
                          <a:xfrm>
                            <a:off x="0" y="0"/>
                            <a:ext cx="716280" cy="6965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防滑地垫</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尺寸：580*880mm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PVC材质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正面小圆点按摩，真空吸盘可轻松吸附于光滑地面，不会偏移。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吸附力强，透水快</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13335</wp:posOffset>
                  </wp:positionH>
                  <wp:positionV relativeFrom="paragraph">
                    <wp:posOffset>387985</wp:posOffset>
                  </wp:positionV>
                  <wp:extent cx="732790" cy="468630"/>
                  <wp:effectExtent l="0" t="0" r="13970" b="3810"/>
                  <wp:wrapNone/>
                  <wp:docPr id="35" name="17"/>
                  <wp:cNvGraphicFramePr/>
                  <a:graphic xmlns:a="http://schemas.openxmlformats.org/drawingml/2006/main">
                    <a:graphicData uri="http://schemas.openxmlformats.org/drawingml/2006/picture">
                      <pic:pic xmlns:pic="http://schemas.openxmlformats.org/drawingml/2006/picture">
                        <pic:nvPicPr>
                          <pic:cNvPr id="35" name="17"/>
                          <pic:cNvPicPr/>
                        </pic:nvPicPr>
                        <pic:blipFill>
                          <a:blip r:embed="rId38"/>
                          <a:stretch>
                            <a:fillRect/>
                          </a:stretch>
                        </pic:blipFill>
                        <pic:spPr>
                          <a:xfrm>
                            <a:off x="0" y="0"/>
                            <a:ext cx="732790" cy="4686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睡眠监测带</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产品颜色：白色</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主机尺寸：115*115*32mm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主机净重：0.18kg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传感器尺寸：400*70*8mm(开合状态下为10mm)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线缆规格：传感器的线长1.7m(外露1.5m）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数据传输：wifi</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供电方式：电源适配器供电</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103505</wp:posOffset>
                  </wp:positionH>
                  <wp:positionV relativeFrom="paragraph">
                    <wp:posOffset>356235</wp:posOffset>
                  </wp:positionV>
                  <wp:extent cx="756285" cy="537210"/>
                  <wp:effectExtent l="0" t="0" r="5715" b="11430"/>
                  <wp:wrapNone/>
                  <wp:docPr id="36" name="attachment-1652406926252-692f762deabe0420"/>
                  <wp:cNvGraphicFramePr/>
                  <a:graphic xmlns:a="http://schemas.openxmlformats.org/drawingml/2006/main">
                    <a:graphicData uri="http://schemas.openxmlformats.org/drawingml/2006/picture">
                      <pic:pic xmlns:pic="http://schemas.openxmlformats.org/drawingml/2006/picture">
                        <pic:nvPicPr>
                          <pic:cNvPr id="36" name="attachment-1652406926252-692f762deabe0420"/>
                          <pic:cNvPicPr/>
                        </pic:nvPicPr>
                        <pic:blipFill>
                          <a:blip r:embed="rId39"/>
                          <a:stretch>
                            <a:fillRect/>
                          </a:stretch>
                        </pic:blipFill>
                        <pic:spPr>
                          <a:xfrm>
                            <a:off x="0" y="0"/>
                            <a:ext cx="756285" cy="5372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2"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生命体征监测仪</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功能介绍：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一键视频医生 小病、常见病随时问，视频问诊一键看家庭医生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三甲专科医生 三甲专科医生服务，视频问诊 3 分钟快速接通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就医绿通 三甲专家精准预约，边界就医看病不求人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健康评估 自助式心血管健康风险测评，提示未来风险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健康检测 血糖、血压快速检测，系统自动记录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健康档案 日常检测、问诊自动归档，图表展示易理解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智慧养老        实时监测 健康日报  </w:t>
            </w:r>
          </w:p>
        </w:tc>
        <w:tc>
          <w:tcPr>
            <w:tcW w:w="1804"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31115</wp:posOffset>
                  </wp:positionH>
                  <wp:positionV relativeFrom="paragraph">
                    <wp:posOffset>819785</wp:posOffset>
                  </wp:positionV>
                  <wp:extent cx="949960" cy="758190"/>
                  <wp:effectExtent l="0" t="0" r="10160" b="3810"/>
                  <wp:wrapNone/>
                  <wp:docPr id="37" name="110"/>
                  <wp:cNvGraphicFramePr/>
                  <a:graphic xmlns:a="http://schemas.openxmlformats.org/drawingml/2006/main">
                    <a:graphicData uri="http://schemas.openxmlformats.org/drawingml/2006/picture">
                      <pic:pic xmlns:pic="http://schemas.openxmlformats.org/drawingml/2006/picture">
                        <pic:nvPicPr>
                          <pic:cNvPr id="37" name="110"/>
                          <pic:cNvPicPr/>
                        </pic:nvPicPr>
                        <pic:blipFill>
                          <a:blip r:embed="rId40"/>
                          <a:stretch>
                            <a:fillRect/>
                          </a:stretch>
                        </pic:blipFill>
                        <pic:spPr>
                          <a:xfrm>
                            <a:off x="0" y="0"/>
                            <a:ext cx="949960" cy="75819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25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陪护机器人</w:t>
            </w:r>
          </w:p>
        </w:tc>
        <w:tc>
          <w:tcPr>
            <w:tcW w:w="487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尺寸：275.5*239.5*433mm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屏幕尺寸：9寸，摄像头：500W，通讯：wifi/蓝牙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1.医疗级体征检测器械，支持血压、心率、血糖、尿酸、总胆固醇、血氧、体温、心电多项测量，及测量数据智能分析、自动记录；</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2.支持针对每个老人不同用药的提醒，在线视频问诊，智能自诊，在线医疗等健康服务；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3.支持远程视频通话，资讯、音乐音频，及广场舞、养生、健身等视频资源播放，丰富老年人生活；</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4.支持一键电话紧急求救；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5.支持微信端远程视频监控；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6.支持人脸识别、语音交互、触屏交互、声源识别、头部转动。</w:t>
            </w:r>
          </w:p>
        </w:tc>
        <w:tc>
          <w:tcPr>
            <w:tcW w:w="180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31750</wp:posOffset>
                  </wp:positionH>
                  <wp:positionV relativeFrom="paragraph">
                    <wp:posOffset>1326515</wp:posOffset>
                  </wp:positionV>
                  <wp:extent cx="1040130" cy="819150"/>
                  <wp:effectExtent l="0" t="0" r="11430" b="3810"/>
                  <wp:wrapNone/>
                  <wp:docPr id="38" name="attachment-1652425046236-d8963af6b54d67fb"/>
                  <wp:cNvGraphicFramePr/>
                  <a:graphic xmlns:a="http://schemas.openxmlformats.org/drawingml/2006/main">
                    <a:graphicData uri="http://schemas.openxmlformats.org/drawingml/2006/picture">
                      <pic:pic xmlns:pic="http://schemas.openxmlformats.org/drawingml/2006/picture">
                        <pic:nvPicPr>
                          <pic:cNvPr id="38" name="attachment-1652425046236-d8963af6b54d67fb"/>
                          <pic:cNvPicPr/>
                        </pic:nvPicPr>
                        <pic:blipFill>
                          <a:blip r:embed="rId41"/>
                          <a:stretch>
                            <a:fillRect/>
                          </a:stretch>
                        </pic:blipFill>
                        <pic:spPr>
                          <a:xfrm>
                            <a:off x="0" y="0"/>
                            <a:ext cx="1040130"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带吸盘防滑垫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尺寸：300*300mm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带吸盘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可拼接</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20955</wp:posOffset>
                  </wp:positionH>
                  <wp:positionV relativeFrom="paragraph">
                    <wp:posOffset>92075</wp:posOffset>
                  </wp:positionV>
                  <wp:extent cx="911225" cy="603250"/>
                  <wp:effectExtent l="0" t="0" r="3175" b="6350"/>
                  <wp:wrapNone/>
                  <wp:docPr id="39" name="attachment-1652423814778-1f1191981413a6e5"/>
                  <wp:cNvGraphicFramePr/>
                  <a:graphic xmlns:a="http://schemas.openxmlformats.org/drawingml/2006/main">
                    <a:graphicData uri="http://schemas.openxmlformats.org/drawingml/2006/picture">
                      <pic:pic xmlns:pic="http://schemas.openxmlformats.org/drawingml/2006/picture">
                        <pic:nvPicPr>
                          <pic:cNvPr id="39" name="attachment-1652423814778-1f1191981413a6e5"/>
                          <pic:cNvPicPr/>
                        </pic:nvPicPr>
                        <pic:blipFill>
                          <a:blip r:embed="rId42"/>
                          <a:stretch>
                            <a:fillRect/>
                          </a:stretch>
                        </pic:blipFill>
                        <pic:spPr>
                          <a:xfrm>
                            <a:off x="0" y="0"/>
                            <a:ext cx="911225" cy="603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挂墙式助浴凳</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座板宽380mm，水平座板垂直于地面的距离可调范围从425mm到550mm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高强度铝合金框架，安全牢固，经久耐用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安全承重190公斤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环保工程塑料座板，防滑设计，5个漏水孔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高档记忆PU回弹坐垫，触感温暖舒适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高级TPR橡胶脚，防滑静音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安全承重190公斤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灰、蓝色可选</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91440</wp:posOffset>
                  </wp:positionH>
                  <wp:positionV relativeFrom="paragraph">
                    <wp:posOffset>683895</wp:posOffset>
                  </wp:positionV>
                  <wp:extent cx="899795" cy="876300"/>
                  <wp:effectExtent l="0" t="0" r="14605" b="7620"/>
                  <wp:wrapNone/>
                  <wp:docPr id="40" name="57"/>
                  <wp:cNvGraphicFramePr/>
                  <a:graphic xmlns:a="http://schemas.openxmlformats.org/drawingml/2006/main">
                    <a:graphicData uri="http://schemas.openxmlformats.org/drawingml/2006/picture">
                      <pic:pic xmlns:pic="http://schemas.openxmlformats.org/drawingml/2006/picture">
                        <pic:nvPicPr>
                          <pic:cNvPr id="40" name="57"/>
                          <pic:cNvPicPr/>
                        </pic:nvPicPr>
                        <pic:blipFill>
                          <a:blip r:embed="rId43"/>
                          <a:stretch>
                            <a:fillRect/>
                          </a:stretch>
                        </pic:blipFill>
                        <pic:spPr>
                          <a:xfrm>
                            <a:off x="0" y="0"/>
                            <a:ext cx="899795" cy="8763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后大轮斜躺洗澡便椅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1.座宽：40CM,座深：42CM；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2.扶手到地面高度：69CM；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3.坐垫到地面高度：51CM；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4.头枕到地面高度：116/108/97CM；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5.总宽：58CM,侧面总长：74CM；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6.脚踏板尺寸：19*38CM；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7.前轮：5英寸万向轮，后轮：12英寸免充气PU轮；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8.靠背角度三挡可调节，头枕与推把可随时替换使用，方便不同场景使用。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-2540</wp:posOffset>
                  </wp:positionH>
                  <wp:positionV relativeFrom="paragraph">
                    <wp:posOffset>492760</wp:posOffset>
                  </wp:positionV>
                  <wp:extent cx="863600" cy="779145"/>
                  <wp:effectExtent l="0" t="0" r="5080" b="13335"/>
                  <wp:wrapNone/>
                  <wp:docPr id="41" name="91"/>
                  <wp:cNvGraphicFramePr/>
                  <a:graphic xmlns:a="http://schemas.openxmlformats.org/drawingml/2006/main">
                    <a:graphicData uri="http://schemas.openxmlformats.org/drawingml/2006/picture">
                      <pic:pic xmlns:pic="http://schemas.openxmlformats.org/drawingml/2006/picture">
                        <pic:nvPicPr>
                          <pic:cNvPr id="41" name="91"/>
                          <pic:cNvPicPr/>
                        </pic:nvPicPr>
                        <pic:blipFill>
                          <a:blip r:embed="rId44"/>
                          <a:stretch>
                            <a:fillRect/>
                          </a:stretch>
                        </pic:blipFill>
                        <pic:spPr>
                          <a:xfrm>
                            <a:off x="0" y="0"/>
                            <a:ext cx="863600" cy="7791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适老分体智能座便盖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尺寸：508×370×85mm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外观：V形/U形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额定电压：AC 220V 50Hz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材质：PP缓降盖板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加热方式：即热式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操控方式：侧面旋钮操作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清洗功能：臀洗、妇洗、无电清洗</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加热功能：座圈加热、暖风烘干、座温/风温调节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便捷功能：阻尼缓降、夜间柔光、喷嘴清洗、便捷安装</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抗菌材质：SIAA抗菌座圈</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节水安全：整机防水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55245</wp:posOffset>
                  </wp:positionH>
                  <wp:positionV relativeFrom="paragraph">
                    <wp:posOffset>838200</wp:posOffset>
                  </wp:positionV>
                  <wp:extent cx="948690" cy="864870"/>
                  <wp:effectExtent l="0" t="0" r="0" b="0"/>
                  <wp:wrapNone/>
                  <wp:docPr id="42" name="38"/>
                  <wp:cNvGraphicFramePr/>
                  <a:graphic xmlns:a="http://schemas.openxmlformats.org/drawingml/2006/main">
                    <a:graphicData uri="http://schemas.openxmlformats.org/drawingml/2006/picture">
                      <pic:pic xmlns:pic="http://schemas.openxmlformats.org/drawingml/2006/picture">
                        <pic:nvPicPr>
                          <pic:cNvPr id="42" name="38"/>
                          <pic:cNvPicPr/>
                        </pic:nvPicPr>
                        <pic:blipFill>
                          <a:blip r:embed="rId45"/>
                          <a:stretch>
                            <a:fillRect/>
                          </a:stretch>
                        </pic:blipFill>
                        <pic:spPr>
                          <a:xfrm>
                            <a:off x="0" y="0"/>
                            <a:ext cx="948690" cy="86487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恒温花洒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3.1.5m304不锈钢花洒软管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4.304不锈钢五功能手洒</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121920</wp:posOffset>
                  </wp:positionH>
                  <wp:positionV relativeFrom="paragraph">
                    <wp:posOffset>128270</wp:posOffset>
                  </wp:positionV>
                  <wp:extent cx="744220" cy="632460"/>
                  <wp:effectExtent l="0" t="0" r="2540" b="7620"/>
                  <wp:wrapNone/>
                  <wp:docPr id="43" name="70"/>
                  <wp:cNvGraphicFramePr/>
                  <a:graphic xmlns:a="http://schemas.openxmlformats.org/drawingml/2006/main">
                    <a:graphicData uri="http://schemas.openxmlformats.org/drawingml/2006/picture">
                      <pic:pic xmlns:pic="http://schemas.openxmlformats.org/drawingml/2006/picture">
                        <pic:nvPicPr>
                          <pic:cNvPr id="43" name="70"/>
                          <pic:cNvPicPr/>
                        </pic:nvPicPr>
                        <pic:blipFill>
                          <a:blip r:embed="rId46"/>
                          <a:stretch>
                            <a:fillRect/>
                          </a:stretch>
                        </pic:blipFill>
                        <pic:spPr>
                          <a:xfrm>
                            <a:off x="0" y="0"/>
                            <a:ext cx="744220" cy="6324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浴帘（含轨道）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 2000x1800mm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 EVA；保暖、加厚、防水、防霉</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304不锈钢免孔浴帘杆，一体式法兰不锈钢材质，无缝更结实；</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管径25mm，一体成型，壁厚1mm</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140970</wp:posOffset>
                  </wp:positionH>
                  <wp:positionV relativeFrom="paragraph">
                    <wp:posOffset>328295</wp:posOffset>
                  </wp:positionV>
                  <wp:extent cx="793115" cy="791845"/>
                  <wp:effectExtent l="0" t="0" r="14605" b="635"/>
                  <wp:wrapNone/>
                  <wp:docPr id="44" name="30"/>
                  <wp:cNvGraphicFramePr/>
                  <a:graphic xmlns:a="http://schemas.openxmlformats.org/drawingml/2006/main">
                    <a:graphicData uri="http://schemas.openxmlformats.org/drawingml/2006/picture">
                      <pic:pic xmlns:pic="http://schemas.openxmlformats.org/drawingml/2006/picture">
                        <pic:nvPicPr>
                          <pic:cNvPr id="44" name="30"/>
                          <pic:cNvPicPr/>
                        </pic:nvPicPr>
                        <pic:blipFill>
                          <a:blip r:embed="rId47"/>
                          <a:stretch>
                            <a:fillRect/>
                          </a:stretch>
                        </pic:blipFill>
                        <pic:spPr>
                          <a:xfrm>
                            <a:off x="0" y="0"/>
                            <a:ext cx="793115" cy="7918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平脚台盆龙头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1.尺寸：高186*宽115mm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2.表面拉丝处理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3.品牌起泡器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4.品牌35平底阀芯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5.马蹄片紧固套件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6.500mm304不锈钢进水软管</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43815</wp:posOffset>
                  </wp:positionH>
                  <wp:positionV relativeFrom="paragraph">
                    <wp:posOffset>355600</wp:posOffset>
                  </wp:positionV>
                  <wp:extent cx="704850" cy="829310"/>
                  <wp:effectExtent l="0" t="0" r="11430" b="8890"/>
                  <wp:wrapNone/>
                  <wp:docPr id="45" name="45"/>
                  <wp:cNvGraphicFramePr/>
                  <a:graphic xmlns:a="http://schemas.openxmlformats.org/drawingml/2006/main">
                    <a:graphicData uri="http://schemas.openxmlformats.org/drawingml/2006/picture">
                      <pic:pic xmlns:pic="http://schemas.openxmlformats.org/drawingml/2006/picture">
                        <pic:nvPicPr>
                          <pic:cNvPr id="45" name="45"/>
                          <pic:cNvPicPr/>
                        </pic:nvPicPr>
                        <pic:blipFill>
                          <a:blip r:embed="rId48"/>
                          <a:stretch>
                            <a:fillRect/>
                          </a:stretch>
                        </pic:blipFill>
                        <pic:spPr>
                          <a:xfrm>
                            <a:off x="0" y="0"/>
                            <a:ext cx="704850" cy="8293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立柱台盆</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材质：陶瓷盆尺寸：L582*W488*H212mm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立柱尺寸：L190*W200*H635mm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实际容量：8.5L</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安装方式：立柱式</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颜色：洁白</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60325</wp:posOffset>
                  </wp:positionH>
                  <wp:positionV relativeFrom="paragraph">
                    <wp:posOffset>190500</wp:posOffset>
                  </wp:positionV>
                  <wp:extent cx="736600" cy="674370"/>
                  <wp:effectExtent l="0" t="0" r="10160" b="11430"/>
                  <wp:wrapNone/>
                  <wp:docPr id="46" name="69"/>
                  <wp:cNvGraphicFramePr/>
                  <a:graphic xmlns:a="http://schemas.openxmlformats.org/drawingml/2006/main">
                    <a:graphicData uri="http://schemas.openxmlformats.org/drawingml/2006/picture">
                      <pic:pic xmlns:pic="http://schemas.openxmlformats.org/drawingml/2006/picture">
                        <pic:nvPicPr>
                          <pic:cNvPr id="46" name="69"/>
                          <pic:cNvPicPr/>
                        </pic:nvPicPr>
                        <pic:blipFill>
                          <a:blip r:embed="rId49"/>
                          <a:stretch>
                            <a:fillRect/>
                          </a:stretch>
                        </pic:blipFill>
                        <pic:spPr>
                          <a:xfrm>
                            <a:off x="0" y="0"/>
                            <a:ext cx="736600" cy="67437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台盆进深空间及低位改造镜柜+台盆+底柜</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洗盆：850*550mm，亚克力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卫浴柜底柜：尺寸760*400*600，材质选用18mm厚度杨桉木实木多层板，仿木纹色三聚氰胺贴纸，环保美观，柜门内凹设计，方便老人使用；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卫浴柜镜柜：尺寸750*130*800，材质选用18mm厚度杨桉木实木多层板，仿木纹色三聚氰胺贴纸，环保美观，镜面倾斜且角度可微调，方便老年人，轮椅用户抬头使用；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138430</wp:posOffset>
                  </wp:positionH>
                  <wp:positionV relativeFrom="paragraph">
                    <wp:posOffset>392430</wp:posOffset>
                  </wp:positionV>
                  <wp:extent cx="819150" cy="990600"/>
                  <wp:effectExtent l="0" t="0" r="3810" b="0"/>
                  <wp:wrapNone/>
                  <wp:docPr id="47" name="87"/>
                  <wp:cNvGraphicFramePr/>
                  <a:graphic xmlns:a="http://schemas.openxmlformats.org/drawingml/2006/main">
                    <a:graphicData uri="http://schemas.openxmlformats.org/drawingml/2006/picture">
                      <pic:pic xmlns:pic="http://schemas.openxmlformats.org/drawingml/2006/picture">
                        <pic:nvPicPr>
                          <pic:cNvPr id="47" name="87"/>
                          <pic:cNvPicPr/>
                        </pic:nvPicPr>
                        <pic:blipFill>
                          <a:blip r:embed="rId50"/>
                          <a:stretch>
                            <a:fillRect/>
                          </a:stretch>
                        </pic:blipFill>
                        <pic:spPr>
                          <a:xfrm>
                            <a:off x="0" y="0"/>
                            <a:ext cx="819150" cy="9906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适老台盆</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整体尺寸：750*450mm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盆胆尺寸（椭圆）：400*300mm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盆胆深度：130mm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材质：人造石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扶手孔距尺寸：120*40mm  半径15mm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挡水条加盆边缘的总高度：45mm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挡水条高: 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盆边高：30mm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阻燃性好</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389255</wp:posOffset>
                  </wp:positionV>
                  <wp:extent cx="848360" cy="854710"/>
                  <wp:effectExtent l="0" t="0" r="5080" b="13970"/>
                  <wp:wrapNone/>
                  <wp:docPr id="48" name="88"/>
                  <wp:cNvGraphicFramePr/>
                  <a:graphic xmlns:a="http://schemas.openxmlformats.org/drawingml/2006/main">
                    <a:graphicData uri="http://schemas.openxmlformats.org/drawingml/2006/picture">
                      <pic:pic xmlns:pic="http://schemas.openxmlformats.org/drawingml/2006/picture">
                        <pic:nvPicPr>
                          <pic:cNvPr id="48" name="88"/>
                          <pic:cNvPicPr/>
                        </pic:nvPicPr>
                        <pic:blipFill>
                          <a:blip r:embed="rId51"/>
                          <a:stretch>
                            <a:fillRect/>
                          </a:stretch>
                        </pic:blipFill>
                        <pic:spPr>
                          <a:xfrm>
                            <a:off x="0" y="0"/>
                            <a:ext cx="848360" cy="85471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带扶手智能马桶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尺寸：660*526*385mm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坑距：305/400mm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核心功能配置：臀部清洗，座圈加热，女性清洗，夜间照明，移动清洗，自动冲水，按摩清洗，智能识别大小便冲水，喷头自洁，停电冲水，暖风烘干，智能节电，老年扶手架，零水压冲水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-34925</wp:posOffset>
                  </wp:positionH>
                  <wp:positionV relativeFrom="paragraph">
                    <wp:posOffset>200025</wp:posOffset>
                  </wp:positionV>
                  <wp:extent cx="971550" cy="1047750"/>
                  <wp:effectExtent l="0" t="0" r="3810" b="3810"/>
                  <wp:wrapNone/>
                  <wp:docPr id="49" name="40"/>
                  <wp:cNvGraphicFramePr/>
                  <a:graphic xmlns:a="http://schemas.openxmlformats.org/drawingml/2006/main">
                    <a:graphicData uri="http://schemas.openxmlformats.org/drawingml/2006/picture">
                      <pic:pic xmlns:pic="http://schemas.openxmlformats.org/drawingml/2006/picture">
                        <pic:nvPicPr>
                          <pic:cNvPr id="49" name="40"/>
                          <pic:cNvPicPr/>
                        </pic:nvPicPr>
                        <pic:blipFill>
                          <a:blip r:embed="rId52"/>
                          <a:stretch>
                            <a:fillRect/>
                          </a:stretch>
                        </pic:blipFill>
                        <pic:spPr>
                          <a:xfrm>
                            <a:off x="0" y="0"/>
                            <a:ext cx="971550" cy="10477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产品规格：682*393*465mm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坑距：305/400mm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水压范围：0.12MPa - 0.8MPa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额定电压及频率：220V/50Hz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额定功率：1300W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水加热器额定功率：1600W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水箱结构：无水箱</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冲排方式：喷射虹吸式地排水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节水功能：二级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水效用水量：4.3升盖板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材质：PP盖板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控制方式：旋钮、遥控、脚感</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数码显示：LED,水温、坐温</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132715</wp:posOffset>
                  </wp:positionH>
                  <wp:positionV relativeFrom="paragraph">
                    <wp:posOffset>419735</wp:posOffset>
                  </wp:positionV>
                  <wp:extent cx="781050" cy="1122045"/>
                  <wp:effectExtent l="0" t="0" r="11430" b="5715"/>
                  <wp:wrapNone/>
                  <wp:docPr id="50" name="55"/>
                  <wp:cNvGraphicFramePr/>
                  <a:graphic xmlns:a="http://schemas.openxmlformats.org/drawingml/2006/main">
                    <a:graphicData uri="http://schemas.openxmlformats.org/drawingml/2006/picture">
                      <pic:pic xmlns:pic="http://schemas.openxmlformats.org/drawingml/2006/picture">
                        <pic:nvPicPr>
                          <pic:cNvPr id="50" name="55"/>
                          <pic:cNvPicPr/>
                        </pic:nvPicPr>
                        <pic:blipFill>
                          <a:blip r:embed="rId53"/>
                          <a:stretch>
                            <a:fillRect/>
                          </a:stretch>
                        </pic:blipFill>
                        <pic:spPr>
                          <a:xfrm>
                            <a:off x="0" y="0"/>
                            <a:ext cx="781050" cy="11220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坐式沐浴器</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安装后尺寸：1360*715*546mm，折叠包装后尺寸：112*76.5*24mm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座椅尺寸：464*376mm；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产品外观：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1.ABS手持花洒，利于全方位淋浴。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2.椅背设计符合人体工程学，贴合脊椎曲线，使用舒适；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3.可折叠座椅：HDPE高级人体安全接触的材料，座椅承重可达110kg；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4.SUS304不锈钢支腿设计，安全舒适；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5.隐藏式不锈钢内部件，更安全可靠贴心；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6.可折叠式塑料包裹防护扶手，冬天良好的舒服触摸体验。</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1.出水嘴可以360度调整角度;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2.喷臂可根据需要调整旋转120度角度，方便使用者轻松淋浴;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3.喷臂有多档定位，可根据需要调整出水角度。</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76835</wp:posOffset>
                  </wp:positionH>
                  <wp:positionV relativeFrom="paragraph">
                    <wp:posOffset>523240</wp:posOffset>
                  </wp:positionV>
                  <wp:extent cx="942340" cy="1191260"/>
                  <wp:effectExtent l="0" t="0" r="0" b="0"/>
                  <wp:wrapNone/>
                  <wp:docPr id="51" name="65"/>
                  <wp:cNvGraphicFramePr/>
                  <a:graphic xmlns:a="http://schemas.openxmlformats.org/drawingml/2006/main">
                    <a:graphicData uri="http://schemas.openxmlformats.org/drawingml/2006/picture">
                      <pic:pic xmlns:pic="http://schemas.openxmlformats.org/drawingml/2006/picture">
                        <pic:nvPicPr>
                          <pic:cNvPr id="51" name="65"/>
                          <pic:cNvPicPr/>
                        </pic:nvPicPr>
                        <pic:blipFill>
                          <a:blip r:embed="rId54"/>
                          <a:stretch>
                            <a:fillRect/>
                          </a:stretch>
                        </pic:blipFill>
                        <pic:spPr>
                          <a:xfrm>
                            <a:off x="0" y="0"/>
                            <a:ext cx="942340" cy="119126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1.尺寸:702*382*716mm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2.盖板材质：PP</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3.水件：品牌2寸水件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4.排水方式：地排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5.坑距：300mm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6.功能：节水型，喷射虹吸，顶按双档，缓降静音盖板。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7.用水量：4.8升</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39370</wp:posOffset>
                  </wp:positionH>
                  <wp:positionV relativeFrom="paragraph">
                    <wp:posOffset>422910</wp:posOffset>
                  </wp:positionV>
                  <wp:extent cx="674370" cy="808990"/>
                  <wp:effectExtent l="0" t="0" r="11430" b="13970"/>
                  <wp:wrapNone/>
                  <wp:docPr id="52" name="48"/>
                  <wp:cNvGraphicFramePr/>
                  <a:graphic xmlns:a="http://schemas.openxmlformats.org/drawingml/2006/main">
                    <a:graphicData uri="http://schemas.openxmlformats.org/drawingml/2006/picture">
                      <pic:pic xmlns:pic="http://schemas.openxmlformats.org/drawingml/2006/picture">
                        <pic:nvPicPr>
                          <pic:cNvPr id="52" name="48"/>
                          <pic:cNvPicPr/>
                        </pic:nvPicPr>
                        <pic:blipFill>
                          <a:blip r:embed="rId55"/>
                          <a:stretch>
                            <a:fillRect/>
                          </a:stretch>
                        </pic:blipFill>
                        <pic:spPr>
                          <a:xfrm>
                            <a:off x="0" y="0"/>
                            <a:ext cx="674370" cy="80899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坐便器助力扶手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1、产品尺寸：660×540×550-670mm（高度5档调节）；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2、产品材质：PP+抗菌(扶手)，钢管组装式支架；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FF0000"/>
                <w:kern w:val="0"/>
                <w:sz w:val="24"/>
                <w:szCs w:val="24"/>
                <w:highlight w:val="none"/>
                <w:u w:val="none"/>
                <w:lang w:val="en-US" w:eastAsia="zh-CN" w:bidi="ar"/>
              </w:rPr>
              <w:t>★3、双侧扶手总承重可达80KG，没有断裂和倾斜现象、扶手通过循环寿命测试，使用≤26N力，连续5千次循环之后，扶手能正常使用无卡阻，无松动现象、外观经过400h的中性盐雾测试，无生锈，起泡，掉漆现象。</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4445</wp:posOffset>
                  </wp:positionH>
                  <wp:positionV relativeFrom="paragraph">
                    <wp:posOffset>324485</wp:posOffset>
                  </wp:positionV>
                  <wp:extent cx="1029335" cy="1171575"/>
                  <wp:effectExtent l="0" t="0" r="0" b="0"/>
                  <wp:wrapNone/>
                  <wp:docPr id="53" name="32"/>
                  <wp:cNvGraphicFramePr/>
                  <a:graphic xmlns:a="http://schemas.openxmlformats.org/drawingml/2006/main">
                    <a:graphicData uri="http://schemas.openxmlformats.org/drawingml/2006/picture">
                      <pic:pic xmlns:pic="http://schemas.openxmlformats.org/drawingml/2006/picture">
                        <pic:nvPicPr>
                          <pic:cNvPr id="53" name="32"/>
                          <pic:cNvPicPr/>
                        </pic:nvPicPr>
                        <pic:blipFill>
                          <a:blip r:embed="rId56"/>
                          <a:stretch>
                            <a:fillRect/>
                          </a:stretch>
                        </pic:blipFill>
                        <pic:spPr>
                          <a:xfrm>
                            <a:off x="0" y="0"/>
                            <a:ext cx="1029335" cy="11715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auto"/>
                <w:sz w:val="24"/>
                <w:szCs w:val="24"/>
                <w:highlight w:val="none"/>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浴霸</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产品尺寸：30cm*60cm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总功率：2480W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功能：取暖强/弱、吹风、换气、照明（光通800）防频闪</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电机：双/纯铜滚珠电机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额定电压：220V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材质：ABS面罩+PP后壳</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127635</wp:posOffset>
                  </wp:positionH>
                  <wp:positionV relativeFrom="paragraph">
                    <wp:posOffset>335915</wp:posOffset>
                  </wp:positionV>
                  <wp:extent cx="863600" cy="686435"/>
                  <wp:effectExtent l="0" t="0" r="5080" b="14605"/>
                  <wp:wrapNone/>
                  <wp:docPr id="54" name="53"/>
                  <wp:cNvGraphicFramePr/>
                  <a:graphic xmlns:a="http://schemas.openxmlformats.org/drawingml/2006/main">
                    <a:graphicData uri="http://schemas.openxmlformats.org/drawingml/2006/picture">
                      <pic:pic xmlns:pic="http://schemas.openxmlformats.org/drawingml/2006/picture">
                        <pic:nvPicPr>
                          <pic:cNvPr id="54" name="53"/>
                          <pic:cNvPicPr/>
                        </pic:nvPicPr>
                        <pic:blipFill>
                          <a:blip r:embed="rId57"/>
                          <a:stretch>
                            <a:fillRect/>
                          </a:stretch>
                        </pic:blipFill>
                        <pic:spPr>
                          <a:xfrm>
                            <a:off x="0" y="0"/>
                            <a:ext cx="863600" cy="6864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橡胶坡道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90*15*2.0cm/90*20*3.0cm /90*20*4.0cm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材质：橡胶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1、天然橡胶材质，耐水防滑、承重力高达500kg；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2、产品稳定性高，长期使用不变形；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3、无需安装，省时省力，实用性高；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4、表面凹凸条纹防滑设计，防滑性强。</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wp:posOffset>
                  </wp:positionH>
                  <wp:positionV relativeFrom="paragraph">
                    <wp:posOffset>335280</wp:posOffset>
                  </wp:positionV>
                  <wp:extent cx="609600" cy="895350"/>
                  <wp:effectExtent l="0" t="0" r="0" b="3810"/>
                  <wp:wrapNone/>
                  <wp:docPr id="55" name="23"/>
                  <wp:cNvGraphicFramePr/>
                  <a:graphic xmlns:a="http://schemas.openxmlformats.org/drawingml/2006/main">
                    <a:graphicData uri="http://schemas.openxmlformats.org/drawingml/2006/picture">
                      <pic:pic xmlns:pic="http://schemas.openxmlformats.org/drawingml/2006/picture">
                        <pic:nvPicPr>
                          <pic:cNvPr id="55" name="23"/>
                          <pic:cNvPicPr/>
                        </pic:nvPicPr>
                        <pic:blipFill>
                          <a:blip r:embed="rId58"/>
                          <a:stretch>
                            <a:fillRect/>
                          </a:stretch>
                        </pic:blipFill>
                        <pic:spPr>
                          <a:xfrm>
                            <a:off x="0" y="0"/>
                            <a:ext cx="609600" cy="8953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铝合金坡道</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80*12*2.5cm/80*25*5cm/80*38*7.5cm/80*50*10cm/80*63*12.5cm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可组装可拆卸门槛斜坡道</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实用性强，轻便，耐用。多支撑脚分布式承重（300kg），受力均匀不塌陷，表面防滑纹路+防滑凹，防滑性更高</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71755</wp:posOffset>
                  </wp:positionH>
                  <wp:positionV relativeFrom="paragraph">
                    <wp:posOffset>300990</wp:posOffset>
                  </wp:positionV>
                  <wp:extent cx="781050" cy="971550"/>
                  <wp:effectExtent l="0" t="0" r="11430" b="3810"/>
                  <wp:wrapNone/>
                  <wp:docPr id="56" name="24"/>
                  <wp:cNvGraphicFramePr/>
                  <a:graphic xmlns:a="http://schemas.openxmlformats.org/drawingml/2006/main">
                    <a:graphicData uri="http://schemas.openxmlformats.org/drawingml/2006/picture">
                      <pic:pic xmlns:pic="http://schemas.openxmlformats.org/drawingml/2006/picture">
                        <pic:nvPicPr>
                          <pic:cNvPr id="56" name="24"/>
                          <pic:cNvPicPr/>
                        </pic:nvPicPr>
                        <pic:blipFill>
                          <a:blip r:embed="rId59"/>
                          <a:stretch>
                            <a:fillRect/>
                          </a:stretch>
                        </pic:blipFill>
                        <pic:spPr>
                          <a:xfrm>
                            <a:off x="0" y="0"/>
                            <a:ext cx="781050" cy="9715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智能门锁</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适合门类：防盗门、木门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门厚范围：45-110mm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锁体规格：标准锁体、霸王锁体</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工作湿度：10%-90%RH</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门锁尺寸：370mm*75mm*21.5mm</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300355</wp:posOffset>
                  </wp:positionH>
                  <wp:positionV relativeFrom="paragraph">
                    <wp:posOffset>274955</wp:posOffset>
                  </wp:positionV>
                  <wp:extent cx="408940" cy="672465"/>
                  <wp:effectExtent l="0" t="0" r="2540" b="13335"/>
                  <wp:wrapNone/>
                  <wp:docPr id="57" name="54"/>
                  <wp:cNvGraphicFramePr/>
                  <a:graphic xmlns:a="http://schemas.openxmlformats.org/drawingml/2006/main">
                    <a:graphicData uri="http://schemas.openxmlformats.org/drawingml/2006/picture">
                      <pic:pic xmlns:pic="http://schemas.openxmlformats.org/drawingml/2006/picture">
                        <pic:nvPicPr>
                          <pic:cNvPr id="57" name="54"/>
                          <pic:cNvPicPr/>
                        </pic:nvPicPr>
                        <pic:blipFill>
                          <a:blip r:embed="rId60"/>
                          <a:stretch>
                            <a:fillRect/>
                          </a:stretch>
                        </pic:blipFill>
                        <pic:spPr>
                          <a:xfrm>
                            <a:off x="0" y="0"/>
                            <a:ext cx="408940" cy="672465"/>
                          </a:xfrm>
                          <a:prstGeom prst="rect">
                            <a:avLst/>
                          </a:prstGeom>
                          <a:noFill/>
                          <a:ln>
                            <a:noFill/>
                          </a:ln>
                        </pic:spPr>
                      </pic:pic>
                    </a:graphicData>
                  </a:graphic>
                </wp:anchor>
              </w:drawing>
            </w:r>
          </w:p>
        </w:tc>
        <w:tc>
          <w:tcPr>
            <w:tcW w:w="660" w:type="dxa"/>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挂墙式换鞋凳</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尺寸：长410*宽75*高500mm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铝合金材质，不锈钢支撑板</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智能阻尼，静音。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缓冲，静电喷涂，防水防污，边缘光滑圆润。</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217170</wp:posOffset>
                  </wp:positionH>
                  <wp:positionV relativeFrom="paragraph">
                    <wp:posOffset>102870</wp:posOffset>
                  </wp:positionV>
                  <wp:extent cx="666750" cy="819150"/>
                  <wp:effectExtent l="0" t="0" r="3810" b="3810"/>
                  <wp:wrapNone/>
                  <wp:docPr id="58" name="47"/>
                  <wp:cNvGraphicFramePr/>
                  <a:graphic xmlns:a="http://schemas.openxmlformats.org/drawingml/2006/main">
                    <a:graphicData uri="http://schemas.openxmlformats.org/drawingml/2006/picture">
                      <pic:pic xmlns:pic="http://schemas.openxmlformats.org/drawingml/2006/picture">
                        <pic:nvPicPr>
                          <pic:cNvPr id="58" name="47"/>
                          <pic:cNvPicPr/>
                        </pic:nvPicPr>
                        <pic:blipFill>
                          <a:blip r:embed="rId61"/>
                          <a:stretch>
                            <a:fillRect/>
                          </a:stretch>
                        </pic:blipFill>
                        <pic:spPr>
                          <a:xfrm>
                            <a:off x="0" y="0"/>
                            <a:ext cx="666750"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走廊扶手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直径：38MM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材质：外层PVC材质，内层为铝合金，圆形。</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11430</wp:posOffset>
                  </wp:positionH>
                  <wp:positionV relativeFrom="paragraph">
                    <wp:posOffset>182880</wp:posOffset>
                  </wp:positionV>
                  <wp:extent cx="933450" cy="361950"/>
                  <wp:effectExtent l="0" t="0" r="11430" b="3810"/>
                  <wp:wrapNone/>
                  <wp:docPr id="59" name="66"/>
                  <wp:cNvGraphicFramePr/>
                  <a:graphic xmlns:a="http://schemas.openxmlformats.org/drawingml/2006/main">
                    <a:graphicData uri="http://schemas.openxmlformats.org/drawingml/2006/picture">
                      <pic:pic xmlns:pic="http://schemas.openxmlformats.org/drawingml/2006/picture">
                        <pic:nvPicPr>
                          <pic:cNvPr id="59" name="66"/>
                          <pic:cNvPicPr/>
                        </pic:nvPicPr>
                        <pic:blipFill>
                          <a:blip r:embed="rId62"/>
                          <a:stretch>
                            <a:fillRect/>
                          </a:stretch>
                        </pic:blipFill>
                        <pic:spPr>
                          <a:xfrm>
                            <a:off x="0" y="0"/>
                            <a:ext cx="933450" cy="3619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防撞条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尺寸：35*35*7mm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    双面胶/免钉胶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防火阻燃，经久耐用，不含甲醛</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58420</wp:posOffset>
                  </wp:positionH>
                  <wp:positionV relativeFrom="paragraph">
                    <wp:posOffset>233045</wp:posOffset>
                  </wp:positionV>
                  <wp:extent cx="933450" cy="495300"/>
                  <wp:effectExtent l="0" t="0" r="11430" b="0"/>
                  <wp:wrapNone/>
                  <wp:docPr id="60" name="43"/>
                  <wp:cNvGraphicFramePr/>
                  <a:graphic xmlns:a="http://schemas.openxmlformats.org/drawingml/2006/main">
                    <a:graphicData uri="http://schemas.openxmlformats.org/drawingml/2006/picture">
                      <pic:pic xmlns:pic="http://schemas.openxmlformats.org/drawingml/2006/picture">
                        <pic:nvPicPr>
                          <pic:cNvPr id="60" name="43"/>
                          <pic:cNvPicPr/>
                        </pic:nvPicPr>
                        <pic:blipFill>
                          <a:blip r:embed="rId63"/>
                          <a:stretch>
                            <a:fillRect/>
                          </a:stretch>
                        </pic:blipFill>
                        <pic:spPr>
                          <a:xfrm>
                            <a:off x="0" y="0"/>
                            <a:ext cx="933450" cy="4953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防撞角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尺寸：60*35*12mm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材质：NBR ，防水耐油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加厚，无残留，不伤家具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60325</wp:posOffset>
                  </wp:positionH>
                  <wp:positionV relativeFrom="paragraph">
                    <wp:posOffset>254635</wp:posOffset>
                  </wp:positionV>
                  <wp:extent cx="723900" cy="600075"/>
                  <wp:effectExtent l="0" t="0" r="7620" b="9525"/>
                  <wp:wrapNone/>
                  <wp:docPr id="61" name="44"/>
                  <wp:cNvGraphicFramePr/>
                  <a:graphic xmlns:a="http://schemas.openxmlformats.org/drawingml/2006/main">
                    <a:graphicData uri="http://schemas.openxmlformats.org/drawingml/2006/picture">
                      <pic:pic xmlns:pic="http://schemas.openxmlformats.org/drawingml/2006/picture">
                        <pic:nvPicPr>
                          <pic:cNvPr id="61" name="44"/>
                          <pic:cNvPicPr/>
                        </pic:nvPicPr>
                        <pic:blipFill>
                          <a:blip r:embed="rId64"/>
                          <a:stretch>
                            <a:fillRect/>
                          </a:stretch>
                        </pic:blipFill>
                        <pic:spPr>
                          <a:xfrm>
                            <a:off x="0" y="0"/>
                            <a:ext cx="723900" cy="6000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适老化方桌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1、尺寸：800*800*750mm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2、实木框架：采用优质实木，木质细腻、硬度高，具有较良好的总体强度性能，良好的抗震力；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3、台面：实木多层板贴水曲柳实木木皮，设计安全角，无缝拼接边角处采用倒圆工艺；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4、油漆：采用国内品牌油漆，成品纹理清晰、表层饱满、光泽润亮。涂装要求无桔皮、发白、流挂、泪油现象。结实耐用，耐磨损，耐腐蚀；</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有害物质检测，甲醛释放量≤0.1mg/L；底脚平稳性≤0.2；漆膜附着力≥1级，耐磨性与抗冲击等级≥2级；漆膜耐液性≥2级；耐湿热，耐干热等级≥1级；产品通过强度与耐久性检测，桌面垂直载荷1.5kg/dm²，无缺陷；产品通过稳定性检测，垂直加载600N，水平和垂直加载40N，无倾翻现象。</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32385</wp:posOffset>
                  </wp:positionH>
                  <wp:positionV relativeFrom="paragraph">
                    <wp:posOffset>1209675</wp:posOffset>
                  </wp:positionV>
                  <wp:extent cx="924560" cy="827405"/>
                  <wp:effectExtent l="0" t="0" r="5080" b="10795"/>
                  <wp:wrapNone/>
                  <wp:docPr id="62" name="49"/>
                  <wp:cNvGraphicFramePr/>
                  <a:graphic xmlns:a="http://schemas.openxmlformats.org/drawingml/2006/main">
                    <a:graphicData uri="http://schemas.openxmlformats.org/drawingml/2006/picture">
                      <pic:pic xmlns:pic="http://schemas.openxmlformats.org/drawingml/2006/picture">
                        <pic:nvPicPr>
                          <pic:cNvPr id="62" name="49"/>
                          <pic:cNvPicPr/>
                        </pic:nvPicPr>
                        <pic:blipFill>
                          <a:blip r:embed="rId65"/>
                          <a:stretch>
                            <a:fillRect/>
                          </a:stretch>
                        </pic:blipFill>
                        <pic:spPr>
                          <a:xfrm>
                            <a:off x="0" y="0"/>
                            <a:ext cx="924560" cy="8274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尺寸：570*610*855mm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1、框架：弯曲木， 靠背外框+扶手+前后脚为一个完整件，无榫接、胶粘等组装方式，具有较良好的强度性能和抗震力。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2、海绵：采用阻燃、高密度、高弹海绵，可有效防止褥疮。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3、面料：采用具有耐磨防水、抗菌防霉、防火阻燃、耐医疗消毒剂特性的PU皮；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4、油漆：采用“大宝”品牌油漆，成品纹理清晰、表层饱满、光泽润亮。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★5、产品通过有害物质检测，甲醛释放量≤0.1mg/L；扶手通过耐久性检测，承受10N，加载5万次，符合要求；产品通过稳定性检测，向前倾翻20N，向后倾翻160N，侧向倾斜20N施加力测试后，无倾翻。</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6985</wp:posOffset>
                  </wp:positionH>
                  <wp:positionV relativeFrom="paragraph">
                    <wp:posOffset>787400</wp:posOffset>
                  </wp:positionV>
                  <wp:extent cx="1098550" cy="1158875"/>
                  <wp:effectExtent l="0" t="0" r="0" b="14605"/>
                  <wp:wrapNone/>
                  <wp:docPr id="63" name="35"/>
                  <wp:cNvGraphicFramePr/>
                  <a:graphic xmlns:a="http://schemas.openxmlformats.org/drawingml/2006/main">
                    <a:graphicData uri="http://schemas.openxmlformats.org/drawingml/2006/picture">
                      <pic:pic xmlns:pic="http://schemas.openxmlformats.org/drawingml/2006/picture">
                        <pic:nvPicPr>
                          <pic:cNvPr id="63" name="35"/>
                          <pic:cNvPicPr/>
                        </pic:nvPicPr>
                        <pic:blipFill>
                          <a:blip r:embed="rId66"/>
                          <a:stretch>
                            <a:fillRect/>
                          </a:stretch>
                        </pic:blipFill>
                        <pic:spPr>
                          <a:xfrm>
                            <a:off x="0" y="0"/>
                            <a:ext cx="1098550" cy="11588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床边桌</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尺寸：800*400*700-950mm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材质：铝、塑、木混合材质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1、桌架立柱采用铝型材焊接而成，表面静电喷塑，自然时效后氧化处理，光滑平整，色泽均匀，确保使用都在接触面 ，无尖角、刃口、毛刺。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2、桌架底盘采用冷轧钢板冲压成型，表面除锈，静电喷涂，抗老化不生锈，美观大方。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3、注塑封边桌面，桌面凹型设计，方便老人或者病人进餐，更加符合人体工程学。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4、四脚采用全制动双轴承橡胶脚轮，转动灵活，带刹车、控制在确定位置。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5、升降装置采用优质可调阻尼器调节高度。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6、产品通过桌面水平耐久性检测，加力150N，循环1.5万次，无缺陷；产品通过强度与耐久性检测，从高度200mm，跌落,10次，无缺陷；产品垂直加力600N，水平加载40N，无倾翻现象；产品封边条表面胶合强度≥0.86MPa，抗冲击性≥2级；产品通过强度与耐久性检测，推拉构件加载200N，10次，无缺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94615</wp:posOffset>
                  </wp:positionH>
                  <wp:positionV relativeFrom="paragraph">
                    <wp:posOffset>1429385</wp:posOffset>
                  </wp:positionV>
                  <wp:extent cx="954405" cy="1137920"/>
                  <wp:effectExtent l="0" t="0" r="5715" b="5080"/>
                  <wp:wrapNone/>
                  <wp:docPr id="64" name="67"/>
                  <wp:cNvGraphicFramePr/>
                  <a:graphic xmlns:a="http://schemas.openxmlformats.org/drawingml/2006/main">
                    <a:graphicData uri="http://schemas.openxmlformats.org/drawingml/2006/picture">
                      <pic:pic xmlns:pic="http://schemas.openxmlformats.org/drawingml/2006/picture">
                        <pic:nvPicPr>
                          <pic:cNvPr id="64" name="67"/>
                          <pic:cNvPicPr/>
                        </pic:nvPicPr>
                        <pic:blipFill>
                          <a:blip r:embed="rId67"/>
                          <a:stretch>
                            <a:fillRect/>
                          </a:stretch>
                        </pic:blipFill>
                        <pic:spPr>
                          <a:xfrm>
                            <a:off x="0" y="0"/>
                            <a:ext cx="954405" cy="11379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可移动床边扶手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1、扶手采用无凉感的材质，底座采用稳固钢板材料，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底座面积尺寸：≥800*600MM，产品净重量≥20KG，提高使用安全性。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2、高度:750mm-850mm高度6挡可调；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3、材料：扶手采用钢管材质，扶手套采用高密度橡塑NBR海绵套管；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1）、底座：3.75mm厚钢板，表面烤漆橡胶条包边处理，稳固安全。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2）、固定立柱套管采用直径43mm优质碳钢机加工而成，立柱壁厚4mm,立柱高度30cm,采用整体螺丝固定的方式，安全美观。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3）、扶手内管均采用壁厚1.2mm高强度碳钢。具有抗冲击，耐高温，耐低温，易清洁，不易滋生细菌的特性。</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104140</wp:posOffset>
                  </wp:positionH>
                  <wp:positionV relativeFrom="paragraph">
                    <wp:posOffset>980440</wp:posOffset>
                  </wp:positionV>
                  <wp:extent cx="873760" cy="1078865"/>
                  <wp:effectExtent l="0" t="0" r="10160" b="3175"/>
                  <wp:wrapNone/>
                  <wp:docPr id="65" name="64"/>
                  <wp:cNvGraphicFramePr/>
                  <a:graphic xmlns:a="http://schemas.openxmlformats.org/drawingml/2006/main">
                    <a:graphicData uri="http://schemas.openxmlformats.org/drawingml/2006/picture">
                      <pic:pic xmlns:pic="http://schemas.openxmlformats.org/drawingml/2006/picture">
                        <pic:nvPicPr>
                          <pic:cNvPr id="65" name="64"/>
                          <pic:cNvPicPr/>
                        </pic:nvPicPr>
                        <pic:blipFill>
                          <a:blip r:embed="rId68"/>
                          <a:stretch>
                            <a:fillRect/>
                          </a:stretch>
                        </pic:blipFill>
                        <pic:spPr>
                          <a:xfrm>
                            <a:off x="0" y="0"/>
                            <a:ext cx="873760" cy="10788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固定式床边扶手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1、扶手可固定、防侧翻、无凉感，整体表面采用无凉感磨砂材质，底座采用稳固钢板材料，底座面积尺寸：580*260mm，产品净重量:≥7.2KG。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2、高度:820mm高度；横杆间距（从上到下）：250mm,250mm,320mm;立杆间距：300mm;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3、材料：扶手采用钢管材质，扶手套采用高密度橡塑NBR海绵套管；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1）、底板厚度：4.75mm,表面静电喷塑橡胶条包边处理，稳固安全。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2）、固定立柱套管采用直径42mm优质碳钢机加工而成，立柱壁厚4mm,立柱高度78mm,底板跟立杆的连接采用不锈钢螺丝固定方式，安全美观。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3）、扶手内管采用直径32mm高强度碳钢，扶手内管壁厚1.2mm。具有抗冲击，耐高温，耐低温，易清洁，不易滋生细菌的特性。</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★4、产品硬度≥2H，冲击高度400mm，无剥落、裂纹、皱纹现象，产品通过耐腐蚀检测，100h内，划道两侧3mm以外，无鼓泡，锈迹、剥落等现象产生。</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63500</wp:posOffset>
                  </wp:positionH>
                  <wp:positionV relativeFrom="paragraph">
                    <wp:posOffset>1170940</wp:posOffset>
                  </wp:positionV>
                  <wp:extent cx="850265" cy="1401445"/>
                  <wp:effectExtent l="0" t="0" r="3175" b="635"/>
                  <wp:wrapNone/>
                  <wp:docPr id="66" name="58"/>
                  <wp:cNvGraphicFramePr/>
                  <a:graphic xmlns:a="http://schemas.openxmlformats.org/drawingml/2006/main">
                    <a:graphicData uri="http://schemas.openxmlformats.org/drawingml/2006/picture">
                      <pic:pic xmlns:pic="http://schemas.openxmlformats.org/drawingml/2006/picture">
                        <pic:nvPicPr>
                          <pic:cNvPr id="66" name="58"/>
                          <pic:cNvPicPr/>
                        </pic:nvPicPr>
                        <pic:blipFill>
                          <a:blip r:embed="rId69"/>
                          <a:stretch>
                            <a:fillRect/>
                          </a:stretch>
                        </pic:blipFill>
                        <pic:spPr>
                          <a:xfrm>
                            <a:off x="0" y="0"/>
                            <a:ext cx="850265" cy="14014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可旋转床边扶手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1、产品尺寸：57*50*49cm；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2、材质：高碳钢，底座为扁管；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3、表面处理：喷粉；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4、配送6米安全带及储物袋；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5、180度可折叠。</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144780</wp:posOffset>
                  </wp:positionH>
                  <wp:positionV relativeFrom="paragraph">
                    <wp:posOffset>374015</wp:posOffset>
                  </wp:positionV>
                  <wp:extent cx="751840" cy="558165"/>
                  <wp:effectExtent l="0" t="0" r="10160" b="5715"/>
                  <wp:wrapNone/>
                  <wp:docPr id="67" name="attachment-1652410875742-183802254205cb62"/>
                  <wp:cNvGraphicFramePr/>
                  <a:graphic xmlns:a="http://schemas.openxmlformats.org/drawingml/2006/main">
                    <a:graphicData uri="http://schemas.openxmlformats.org/drawingml/2006/picture">
                      <pic:pic xmlns:pic="http://schemas.openxmlformats.org/drawingml/2006/picture">
                        <pic:nvPicPr>
                          <pic:cNvPr id="67" name="attachment-1652410875742-183802254205cb62"/>
                          <pic:cNvPicPr/>
                        </pic:nvPicPr>
                        <pic:blipFill>
                          <a:blip r:embed="rId70"/>
                          <a:stretch>
                            <a:fillRect/>
                          </a:stretch>
                        </pic:blipFill>
                        <pic:spPr>
                          <a:xfrm>
                            <a:off x="0" y="0"/>
                            <a:ext cx="751840" cy="55816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双摇床</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1、尺寸：2040×1050mm（长×宽），整体承重可达≥300kg,背板动态载重≥70kg。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2、调整角度：背部调节高度：0-70°/±5°,腿部调节高度：0-40°/±5。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3025140</wp:posOffset>
                  </wp:positionH>
                  <wp:positionV relativeFrom="paragraph">
                    <wp:posOffset>273050</wp:posOffset>
                  </wp:positionV>
                  <wp:extent cx="1127760" cy="1041400"/>
                  <wp:effectExtent l="0" t="0" r="0" b="10160"/>
                  <wp:wrapNone/>
                  <wp:docPr id="68" name="59"/>
                  <wp:cNvGraphicFramePr/>
                  <a:graphic xmlns:a="http://schemas.openxmlformats.org/drawingml/2006/main">
                    <a:graphicData uri="http://schemas.openxmlformats.org/drawingml/2006/picture">
                      <pic:pic xmlns:pic="http://schemas.openxmlformats.org/drawingml/2006/picture">
                        <pic:nvPicPr>
                          <pic:cNvPr id="68" name="59"/>
                          <pic:cNvPicPr/>
                        </pic:nvPicPr>
                        <pic:blipFill>
                          <a:blip r:embed="rId71"/>
                          <a:stretch>
                            <a:fillRect/>
                          </a:stretch>
                        </pic:blipFill>
                        <pic:spPr>
                          <a:xfrm>
                            <a:off x="0" y="0"/>
                            <a:ext cx="1127760" cy="10414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3、优质网状钢丝结构，弹性大、透气性好，可避免床垫因潮湿而产生的霉变。</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4、摇杆系统：摇杆为含油带极限位置双向过营保护螺杆。采用高强度轴承钢制的螺杆， 丝杆万向节采用 45#精钢制成，双重保护，防滑丝，耐磨、轻便省力、无噪音。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5、双侧可插式护栏,方便起身及坐卧助力，有效防止坠床，护栏尺寸：900*270mm（长*宽），护栏圆管直径：19mm。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床头尾板及包围采用弧线形设计,床头尾厚度40mm，床尾上弧形扶手35mmφ，床头尾实现快速拆卸，满足临床急救需求。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6、床垫：与床尺寸配套。</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7、空载时手柄启动力≤1.5N.m；背筐折起角度≤81°；腿筐折起角度≤44°；脚筐折起角度≤45°；产品通过配合性检测，床面中间承受240kg重量之后，凹度量小于40mm，撤出后残留凹度量小2mm，各部位无异常现象；产品通过装配性检测，床框任一侧中间部位承受240kg重量之后，凹度量小于20mm，撤出后残留凹度量小于5mm，各部位无异常现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4"/>
                <w:szCs w:val="24"/>
                <w:u w:val="none"/>
                <w:lang w:val="en-US" w:eastAsia="zh-CN" w:bidi="ar"/>
              </w:rPr>
              <w:t>★8、产品通过配合性检测，床身与床架装配后固定牢靠，无松动，判定结果：合格。</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五功能电动护理床</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1、规格尺寸：外径为102CM*213CM，内径为90CM*200CM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2、护理床安全运作负荷≥220kg，最大承重不低于180Kg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3、床体通过背部、腿部电机，升降电机，实现背部角度升降（0-70°），腿部角度升降（0-30°），整体升降（离地385mm-810mm），小腿部份亦可调节升降，背膝可同步运作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床头床尾板采用规格≥15mm的刨花板，双面贴三聚睛胺（贴面颜色为榉木色），甲醛释放达到E1级环保标准，护栏为全封闭木护栏，护栏的升降操作装置需符合”一提一按“安全标准，以防操作者身体受损，当护栏升起时，高度（床垫面到护栏）应为≥220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5、床头两侧各配备一个手抓杆插孔（亦可装输液架）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6、脚轮：4个直径100mm的旋转脚轮，且都具有刹车装置</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7、整床折叠式设计、床头、床尾及床架之间可拆分，便于不用时储存.</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59690</wp:posOffset>
                  </wp:positionH>
                  <wp:positionV relativeFrom="paragraph">
                    <wp:posOffset>730885</wp:posOffset>
                  </wp:positionV>
                  <wp:extent cx="880110" cy="894715"/>
                  <wp:effectExtent l="0" t="0" r="3810" b="4445"/>
                  <wp:wrapNone/>
                  <wp:docPr id="69" name="29"/>
                  <wp:cNvGraphicFramePr/>
                  <a:graphic xmlns:a="http://schemas.openxmlformats.org/drawingml/2006/main">
                    <a:graphicData uri="http://schemas.openxmlformats.org/drawingml/2006/picture">
                      <pic:pic xmlns:pic="http://schemas.openxmlformats.org/drawingml/2006/picture">
                        <pic:nvPicPr>
                          <pic:cNvPr id="69" name="29"/>
                          <pic:cNvPicPr/>
                        </pic:nvPicPr>
                        <pic:blipFill>
                          <a:blip r:embed="rId72"/>
                          <a:stretch>
                            <a:fillRect/>
                          </a:stretch>
                        </pic:blipFill>
                        <pic:spPr>
                          <a:xfrm>
                            <a:off x="0" y="0"/>
                            <a:ext cx="880110" cy="8947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70</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适老抽拉水龙头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1.尺寸:高450*宽210mm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2.可旋转出水管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3.品牌阀芯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4.不锈钢编织软管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5.表面拉丝</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94615</wp:posOffset>
                  </wp:positionH>
                  <wp:positionV relativeFrom="paragraph">
                    <wp:posOffset>50165</wp:posOffset>
                  </wp:positionV>
                  <wp:extent cx="733425" cy="828675"/>
                  <wp:effectExtent l="0" t="0" r="13335" b="9525"/>
                  <wp:wrapNone/>
                  <wp:docPr id="70" name="46"/>
                  <wp:cNvGraphicFramePr/>
                  <a:graphic xmlns:a="http://schemas.openxmlformats.org/drawingml/2006/main">
                    <a:graphicData uri="http://schemas.openxmlformats.org/drawingml/2006/picture">
                      <pic:pic xmlns:pic="http://schemas.openxmlformats.org/drawingml/2006/picture">
                        <pic:nvPicPr>
                          <pic:cNvPr id="70" name="46"/>
                          <pic:cNvPicPr/>
                        </pic:nvPicPr>
                        <pic:blipFill>
                          <a:blip r:embed="rId73"/>
                          <a:stretch>
                            <a:fillRect/>
                          </a:stretch>
                        </pic:blipFill>
                        <pic:spPr>
                          <a:xfrm>
                            <a:off x="0" y="0"/>
                            <a:ext cx="733425" cy="8286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固定式不锈钢操作台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 优质不锈钢 拼装式 单层不锈钢桌子  120*60*80cm，可固定，防侧翻、安全性佳。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 台面δ=1.0mm(下衬1.5cm多层实木板)，脚Φ48(配有可调子弹脚)  上层板  实际厚度&gt;0.85mm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 下部不锈钢圆管腿脚，高度可调节  桌面前后两个宽面半圆倒角处理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  腿脚为圆管,实际展开厚度&gt;0.85mm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  下腿短边 长边均用螺丝固定 用Φ32圆管 实厚&gt;0.85mm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  固定螺丝，挡片为镀锌材质 减震板下方撑为高强度全钢材质</w:t>
            </w:r>
          </w:p>
        </w:tc>
        <w:tc>
          <w:tcPr>
            <w:tcW w:w="180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65405</wp:posOffset>
                  </wp:positionH>
                  <wp:positionV relativeFrom="paragraph">
                    <wp:posOffset>796925</wp:posOffset>
                  </wp:positionV>
                  <wp:extent cx="892810" cy="797560"/>
                  <wp:effectExtent l="0" t="0" r="6350" b="10160"/>
                  <wp:wrapNone/>
                  <wp:docPr id="71" name="68"/>
                  <wp:cNvGraphicFramePr/>
                  <a:graphic xmlns:a="http://schemas.openxmlformats.org/drawingml/2006/main">
                    <a:graphicData uri="http://schemas.openxmlformats.org/drawingml/2006/picture">
                      <pic:pic xmlns:pic="http://schemas.openxmlformats.org/drawingml/2006/picture">
                        <pic:nvPicPr>
                          <pic:cNvPr id="71" name="68"/>
                          <pic:cNvPicPr/>
                        </pic:nvPicPr>
                        <pic:blipFill>
                          <a:blip r:embed="rId74"/>
                          <a:stretch>
                            <a:fillRect/>
                          </a:stretch>
                        </pic:blipFill>
                        <pic:spPr>
                          <a:xfrm>
                            <a:off x="0" y="0"/>
                            <a:ext cx="892810" cy="797560"/>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单槽洗漱池</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500*500*800 mm,采用优质不锈钢板制作，台面δ=1.0mm，层板侧板δ=1.0mm，星盆斗δ=1.0mm，主立柱38mm，横拉28mm,不锈钢可调节重力子弹脚，配优质不锈钢落水器、拦渣斗。</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132715</wp:posOffset>
                  </wp:positionH>
                  <wp:positionV relativeFrom="paragraph">
                    <wp:posOffset>159385</wp:posOffset>
                  </wp:positionV>
                  <wp:extent cx="795020" cy="755015"/>
                  <wp:effectExtent l="0" t="0" r="12700" b="6985"/>
                  <wp:wrapNone/>
                  <wp:docPr id="72" name="51"/>
                  <wp:cNvGraphicFramePr/>
                  <a:graphic xmlns:a="http://schemas.openxmlformats.org/drawingml/2006/main">
                    <a:graphicData uri="http://schemas.openxmlformats.org/drawingml/2006/picture">
                      <pic:pic xmlns:pic="http://schemas.openxmlformats.org/drawingml/2006/picture">
                        <pic:nvPicPr>
                          <pic:cNvPr id="72" name="51"/>
                          <pic:cNvPicPr/>
                        </pic:nvPicPr>
                        <pic:blipFill>
                          <a:blip r:embed="rId75"/>
                          <a:stretch>
                            <a:fillRect/>
                          </a:stretch>
                        </pic:blipFill>
                        <pic:spPr>
                          <a:xfrm>
                            <a:off x="0" y="0"/>
                            <a:ext cx="795020" cy="7550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不锈钢煤气灶台架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总长120cm,宽40cm,左高80cm,右高70cm;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采用优质不锈钢板制作，台面δ=1.0mm，层板侧板δ=1.0mm，主立柱38mm，横拉28mm,不锈钢可调节重力子弹脚。</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36830</wp:posOffset>
                  </wp:positionH>
                  <wp:positionV relativeFrom="paragraph">
                    <wp:posOffset>216535</wp:posOffset>
                  </wp:positionV>
                  <wp:extent cx="967105" cy="737235"/>
                  <wp:effectExtent l="0" t="0" r="8255" b="9525"/>
                  <wp:wrapNone/>
                  <wp:docPr id="73" name="52"/>
                  <wp:cNvGraphicFramePr/>
                  <a:graphic xmlns:a="http://schemas.openxmlformats.org/drawingml/2006/main">
                    <a:graphicData uri="http://schemas.openxmlformats.org/drawingml/2006/picture">
                      <pic:pic xmlns:pic="http://schemas.openxmlformats.org/drawingml/2006/picture">
                        <pic:nvPicPr>
                          <pic:cNvPr id="73" name="52"/>
                          <pic:cNvPicPr/>
                        </pic:nvPicPr>
                        <pic:blipFill>
                          <a:blip r:embed="rId76"/>
                          <a:stretch>
                            <a:fillRect/>
                          </a:stretch>
                        </pic:blipFill>
                        <pic:spPr>
                          <a:xfrm>
                            <a:off x="0" y="0"/>
                            <a:ext cx="967105" cy="73723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适老橱柜--底柜含案台底位进深空间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1、整体采用三聚氰胺饰面板制作，厚度25mm，符合GB18580-2001《室内装饰装修材料 人造板及其制品中甲醛释放限量》检测标准。封边：采用PVC同色封边，一次性热压成型，厚度达2mm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2.人造大理石台面</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78105</wp:posOffset>
                  </wp:positionH>
                  <wp:positionV relativeFrom="paragraph">
                    <wp:posOffset>520700</wp:posOffset>
                  </wp:positionV>
                  <wp:extent cx="875030" cy="391795"/>
                  <wp:effectExtent l="0" t="0" r="8890" b="4445"/>
                  <wp:wrapNone/>
                  <wp:docPr id="74" name="89"/>
                  <wp:cNvGraphicFramePr/>
                  <a:graphic xmlns:a="http://schemas.openxmlformats.org/drawingml/2006/main">
                    <a:graphicData uri="http://schemas.openxmlformats.org/drawingml/2006/picture">
                      <pic:pic xmlns:pic="http://schemas.openxmlformats.org/drawingml/2006/picture">
                        <pic:nvPicPr>
                          <pic:cNvPr id="74" name="89"/>
                          <pic:cNvPicPr/>
                        </pic:nvPicPr>
                        <pic:blipFill>
                          <a:blip r:embed="rId77"/>
                          <a:stretch>
                            <a:fillRect/>
                          </a:stretch>
                        </pic:blipFill>
                        <pic:spPr>
                          <a:xfrm>
                            <a:off x="0" y="0"/>
                            <a:ext cx="875030" cy="3917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电动晾衣架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20W全景照明，26挂孔，升降高度1100mm,晾杆长度1.32-2.2米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稳定智能电机</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大量晒承载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大屏照明，电亮夜间晾晒</w:t>
            </w:r>
          </w:p>
        </w:tc>
        <w:tc>
          <w:tcPr>
            <w:tcW w:w="180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wp:posOffset>
                  </wp:positionH>
                  <wp:positionV relativeFrom="paragraph">
                    <wp:posOffset>212090</wp:posOffset>
                  </wp:positionV>
                  <wp:extent cx="942975" cy="723900"/>
                  <wp:effectExtent l="0" t="0" r="1905" b="7620"/>
                  <wp:wrapNone/>
                  <wp:docPr id="75" name="56"/>
                  <wp:cNvGraphicFramePr/>
                  <a:graphic xmlns:a="http://schemas.openxmlformats.org/drawingml/2006/main">
                    <a:graphicData uri="http://schemas.openxmlformats.org/drawingml/2006/picture">
                      <pic:pic xmlns:pic="http://schemas.openxmlformats.org/drawingml/2006/picture">
                        <pic:nvPicPr>
                          <pic:cNvPr id="75" name="56"/>
                          <pic:cNvPicPr/>
                        </pic:nvPicPr>
                        <pic:blipFill>
                          <a:blip r:embed="rId78"/>
                          <a:stretch>
                            <a:fillRect/>
                          </a:stretch>
                        </pic:blipFill>
                        <pic:spPr>
                          <a:xfrm>
                            <a:off x="0" y="0"/>
                            <a:ext cx="942975" cy="723900"/>
                          </a:xfrm>
                          <a:prstGeom prst="rect">
                            <a:avLst/>
                          </a:prstGeom>
                          <a:noFill/>
                          <a:ln>
                            <a:noFill/>
                          </a:ln>
                        </pic:spPr>
                      </pic:pic>
                    </a:graphicData>
                  </a:graphic>
                </wp:anchor>
              </w:drawing>
            </w:r>
          </w:p>
        </w:tc>
        <w:tc>
          <w:tcPr>
            <w:tcW w:w="66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nil"/>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防褥疮床垫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尺寸：2000*900mm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1.条形波动，1、2、3档为波动档，带有微型喷气孔。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2.间隔管7分钟交替充气。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3.低噪音设计，不大于20分贝。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4.气条可单独拆卸，方便更换。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5.微电脑控制气囊换气。</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377190</wp:posOffset>
                  </wp:positionV>
                  <wp:extent cx="1011555" cy="769620"/>
                  <wp:effectExtent l="0" t="0" r="9525" b="0"/>
                  <wp:wrapNone/>
                  <wp:docPr id="76" name="41"/>
                  <wp:cNvGraphicFramePr/>
                  <a:graphic xmlns:a="http://schemas.openxmlformats.org/drawingml/2006/main">
                    <a:graphicData uri="http://schemas.openxmlformats.org/drawingml/2006/picture">
                      <pic:pic xmlns:pic="http://schemas.openxmlformats.org/drawingml/2006/picture">
                        <pic:nvPicPr>
                          <pic:cNvPr id="76" name="41"/>
                          <pic:cNvPicPr/>
                        </pic:nvPicPr>
                        <pic:blipFill>
                          <a:blip r:embed="rId79"/>
                          <a:stretch>
                            <a:fillRect/>
                          </a:stretch>
                        </pic:blipFill>
                        <pic:spPr>
                          <a:xfrm>
                            <a:off x="0" y="0"/>
                            <a:ext cx="1011555" cy="7696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3D防褥疮床垫</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1980*1500*80mm/1980*1200*80mm，密度60kg/m³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面料：网眼布（涤纶）内芯：树脂纤维芯材</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1、透气性：如水晶般的丝缕缠绕，造就前所未有的透气性，形成了有利于空气微循环的自然透气通道，显著提升散热排湿，具有冬暖夏凉的效果。</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2、舒适性：数以万计支撑点均匀分散身体重量，超高弹性材料自动适应身体轮廓，确保血液畅通肌肉放松，让您安然舒适入睡。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3、环保性：芯材原料进口自世界500强企业，品质保证，成品经CTI测试不含有害物质，本品用完可回收，环境友好。</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4、水洗性:优异的结构与优良的材料造就了可冲洗的特性，而且阴凉速干，给您长久的清洁睡眠环境。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5、防螨性：优良的透气性与独特的可水洗，让您远离螨虫的侵害，细菌的滋生以及霉变的异味。</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40005</wp:posOffset>
                  </wp:positionH>
                  <wp:positionV relativeFrom="paragraph">
                    <wp:posOffset>812165</wp:posOffset>
                  </wp:positionV>
                  <wp:extent cx="924560" cy="1236980"/>
                  <wp:effectExtent l="0" t="0" r="5080" b="12700"/>
                  <wp:wrapNone/>
                  <wp:docPr id="77" name="attachment-1652409968244-307a6495500352a5"/>
                  <wp:cNvGraphicFramePr/>
                  <a:graphic xmlns:a="http://schemas.openxmlformats.org/drawingml/2006/main">
                    <a:graphicData uri="http://schemas.openxmlformats.org/drawingml/2006/picture">
                      <pic:pic xmlns:pic="http://schemas.openxmlformats.org/drawingml/2006/picture">
                        <pic:nvPicPr>
                          <pic:cNvPr id="77" name="attachment-1652409968244-307a6495500352a5"/>
                          <pic:cNvPicPr/>
                        </pic:nvPicPr>
                        <pic:blipFill>
                          <a:blip r:embed="rId80"/>
                          <a:stretch>
                            <a:fillRect/>
                          </a:stretch>
                        </pic:blipFill>
                        <pic:spPr>
                          <a:xfrm>
                            <a:off x="0" y="0"/>
                            <a:ext cx="924560" cy="123698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移位枕</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尺寸：500*250*150mm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材质：全棉布套+高密度海绵</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回弹性好，柔软贴合舒适。</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12065</wp:posOffset>
                  </wp:positionH>
                  <wp:positionV relativeFrom="paragraph">
                    <wp:posOffset>180975</wp:posOffset>
                  </wp:positionV>
                  <wp:extent cx="834390" cy="655320"/>
                  <wp:effectExtent l="0" t="0" r="3810" b="0"/>
                  <wp:wrapNone/>
                  <wp:docPr id="78" name="图片_165"/>
                  <wp:cNvGraphicFramePr/>
                  <a:graphic xmlns:a="http://schemas.openxmlformats.org/drawingml/2006/main">
                    <a:graphicData uri="http://schemas.openxmlformats.org/drawingml/2006/picture">
                      <pic:pic xmlns:pic="http://schemas.openxmlformats.org/drawingml/2006/picture">
                        <pic:nvPicPr>
                          <pic:cNvPr id="78" name="图片_165"/>
                          <pic:cNvPicPr/>
                        </pic:nvPicPr>
                        <pic:blipFill>
                          <a:blip r:embed="rId81"/>
                          <a:stretch>
                            <a:fillRect/>
                          </a:stretch>
                        </pic:blipFill>
                        <pic:spPr>
                          <a:xfrm>
                            <a:off x="0" y="0"/>
                            <a:ext cx="834390" cy="6553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弯柄擦背刷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 350*240mm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材质：PP+15%玻璃纤维环保塑胶材料，无毒环保。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洗澡刷刷头配有复合布套，可拆卸清洗或更换。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手柄防滑，方便挂靠。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309880</wp:posOffset>
                  </wp:positionV>
                  <wp:extent cx="847725" cy="314325"/>
                  <wp:effectExtent l="0" t="0" r="5715" b="5715"/>
                  <wp:wrapNone/>
                  <wp:docPr id="79" name="26"/>
                  <wp:cNvGraphicFramePr/>
                  <a:graphic xmlns:a="http://schemas.openxmlformats.org/drawingml/2006/main">
                    <a:graphicData uri="http://schemas.openxmlformats.org/drawingml/2006/picture">
                      <pic:pic xmlns:pic="http://schemas.openxmlformats.org/drawingml/2006/picture">
                        <pic:nvPicPr>
                          <pic:cNvPr id="79" name="26"/>
                          <pic:cNvPicPr/>
                        </pic:nvPicPr>
                        <pic:blipFill>
                          <a:blip r:embed="rId82"/>
                          <a:stretch>
                            <a:fillRect/>
                          </a:stretch>
                        </pic:blipFill>
                        <pic:spPr>
                          <a:xfrm>
                            <a:off x="0" y="0"/>
                            <a:ext cx="847725" cy="314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长柄梳子</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尺寸：320*38mm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该产品采用PP+15%玻璃纤维环保塑胶材料，无毒环保。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手柄防滑，手柄尾部留有穿戴孔，方便挂靠。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38735</wp:posOffset>
                  </wp:positionH>
                  <wp:positionV relativeFrom="paragraph">
                    <wp:posOffset>202565</wp:posOffset>
                  </wp:positionV>
                  <wp:extent cx="809625" cy="400050"/>
                  <wp:effectExtent l="0" t="0" r="13335" b="11430"/>
                  <wp:wrapNone/>
                  <wp:docPr id="80" name="27"/>
                  <wp:cNvGraphicFramePr/>
                  <a:graphic xmlns:a="http://schemas.openxmlformats.org/drawingml/2006/main">
                    <a:graphicData uri="http://schemas.openxmlformats.org/drawingml/2006/picture">
                      <pic:pic xmlns:pic="http://schemas.openxmlformats.org/drawingml/2006/picture">
                        <pic:nvPicPr>
                          <pic:cNvPr id="80" name="27"/>
                          <pic:cNvPicPr/>
                        </pic:nvPicPr>
                        <pic:blipFill>
                          <a:blip r:embed="rId83"/>
                          <a:stretch>
                            <a:fillRect/>
                          </a:stretch>
                        </pic:blipFill>
                        <pic:spPr>
                          <a:xfrm>
                            <a:off x="0" y="0"/>
                            <a:ext cx="809625" cy="4000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记忆成人牙刷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尺寸：37*26*225mm，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材质：手柄材质为形状记忆聚合物，刷头为抗菌刷毛。</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结构：U形握柄的形状记忆牙刷,握柄可多次加热软化重新塑型</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握柄的材质无毒、无害、抗菌环保、易于清洁、不易退色；</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刷毛柔软，刷牙干净，不容易出血。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334010</wp:posOffset>
                  </wp:positionV>
                  <wp:extent cx="866775" cy="762000"/>
                  <wp:effectExtent l="0" t="0" r="1905" b="0"/>
                  <wp:wrapNone/>
                  <wp:docPr id="81" name="28"/>
                  <wp:cNvGraphicFramePr/>
                  <a:graphic xmlns:a="http://schemas.openxmlformats.org/drawingml/2006/main">
                    <a:graphicData uri="http://schemas.openxmlformats.org/drawingml/2006/picture">
                      <pic:pic xmlns:pic="http://schemas.openxmlformats.org/drawingml/2006/picture">
                        <pic:nvPicPr>
                          <pic:cNvPr id="81" name="28"/>
                          <pic:cNvPicPr/>
                        </pic:nvPicPr>
                        <pic:blipFill>
                          <a:blip r:embed="rId84"/>
                          <a:stretch>
                            <a:fillRect/>
                          </a:stretch>
                        </pic:blipFill>
                        <pic:spPr>
                          <a:xfrm>
                            <a:off x="0" y="0"/>
                            <a:ext cx="866775" cy="7620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充气式浴槽</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外围尺寸：2000*850*250mm,内径尺寸：1800*650*150mm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净重：5kg，最大承重：200Kg。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材质：防毒、耐寒、高弹、符合欧盟EN-71标准的环保PVC。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1、采用抽充两用气塞：充气时只进气不出气，抽气能快速放气；</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2、90°直角排水，洗澡时废水很快排出，不会因挤压堵住不排水；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3、专利17°角斜面设计，头高脚低防呛水，排水方便，护理高效；</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6985</wp:posOffset>
                  </wp:positionH>
                  <wp:positionV relativeFrom="paragraph">
                    <wp:posOffset>713740</wp:posOffset>
                  </wp:positionV>
                  <wp:extent cx="1028065" cy="1085215"/>
                  <wp:effectExtent l="0" t="0" r="8255" b="12065"/>
                  <wp:wrapNone/>
                  <wp:docPr id="82" name="31"/>
                  <wp:cNvGraphicFramePr/>
                  <a:graphic xmlns:a="http://schemas.openxmlformats.org/drawingml/2006/main">
                    <a:graphicData uri="http://schemas.openxmlformats.org/drawingml/2006/picture">
                      <pic:pic xmlns:pic="http://schemas.openxmlformats.org/drawingml/2006/picture">
                        <pic:nvPicPr>
                          <pic:cNvPr id="82" name="31"/>
                          <pic:cNvPicPr/>
                        </pic:nvPicPr>
                        <pic:blipFill>
                          <a:blip r:embed="rId85"/>
                          <a:stretch>
                            <a:fillRect/>
                          </a:stretch>
                        </pic:blipFill>
                        <pic:spPr>
                          <a:xfrm>
                            <a:off x="0" y="0"/>
                            <a:ext cx="1028065" cy="108521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1、车架选用航钛高强度A3钢焊接而成，表面经喷漆处理后具有不褪色、防锈能力强、安全性能高、坚固耐用等特点。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2、靠背架：角度完全按人体腰部生理弯曲度来设计，为人体提供最佳支撑。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3、座垫/靠垫：采用牛津尼龙布料做成，质地柔软、透气防滑，平整美观. 座面平整。</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4、采用固定斜扶手架，坚固耐用，方便使用者站立时辅助。</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5、拆脚：固定式拆脚、操作简易，脚踏板采用塑料脚踏板，高度可调。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6、前轮：8英寸（20cm）PVC前轮，配高强度塑料轮毂,坚固耐用，实心轮耐磨。7、后轮：24英寸（60cm）实心胎后轮，耐磨不用充气，减震功能卓越，配工程塑料手轮装置（手直接驱动轮椅时使用）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8、肘节式刹车装置制动低于座位面，快捷方便、安全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9、可折叠式车型方便携带出行，且能节省占用空间位置。</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1428750</wp:posOffset>
                  </wp:positionV>
                  <wp:extent cx="1076960" cy="930275"/>
                  <wp:effectExtent l="0" t="0" r="5080" b="14605"/>
                  <wp:wrapNone/>
                  <wp:docPr id="83" name="39"/>
                  <wp:cNvGraphicFramePr/>
                  <a:graphic xmlns:a="http://schemas.openxmlformats.org/drawingml/2006/main">
                    <a:graphicData uri="http://schemas.openxmlformats.org/drawingml/2006/picture">
                      <pic:pic xmlns:pic="http://schemas.openxmlformats.org/drawingml/2006/picture">
                        <pic:nvPicPr>
                          <pic:cNvPr id="83" name="39"/>
                          <pic:cNvPicPr/>
                        </pic:nvPicPr>
                        <pic:blipFill>
                          <a:blip r:embed="rId86"/>
                          <a:stretch>
                            <a:fillRect/>
                          </a:stretch>
                        </pic:blipFill>
                        <pic:spPr>
                          <a:xfrm>
                            <a:off x="0" y="0"/>
                            <a:ext cx="1076960" cy="930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老人助行车</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1、人性化贴心设计；</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2、铝合金车架；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3、可折叠收纳；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4、大容量购物袋购物袋承重20斤；</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5、支撑扶手；</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-41910</wp:posOffset>
                  </wp:positionH>
                  <wp:positionV relativeFrom="paragraph">
                    <wp:posOffset>248285</wp:posOffset>
                  </wp:positionV>
                  <wp:extent cx="1009650" cy="798830"/>
                  <wp:effectExtent l="0" t="0" r="11430" b="8890"/>
                  <wp:wrapNone/>
                  <wp:docPr id="84" name="72"/>
                  <wp:cNvGraphicFramePr/>
                  <a:graphic xmlns:a="http://schemas.openxmlformats.org/drawingml/2006/main">
                    <a:graphicData uri="http://schemas.openxmlformats.org/drawingml/2006/picture">
                      <pic:pic xmlns:pic="http://schemas.openxmlformats.org/drawingml/2006/picture">
                        <pic:nvPicPr>
                          <pic:cNvPr id="84" name="72"/>
                          <pic:cNvPicPr/>
                        </pic:nvPicPr>
                        <pic:blipFill>
                          <a:blip r:embed="rId87"/>
                          <a:stretch>
                            <a:fillRect/>
                          </a:stretch>
                        </pic:blipFill>
                        <pic:spPr>
                          <a:xfrm>
                            <a:off x="0" y="0"/>
                            <a:ext cx="1009650" cy="7988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电动轮椅</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1、车架选A3钢焊接而成；具有强度高；重量轻的特性。 采用先进的喷涂技术进行表面喷涂处理。相比对普通喷涂技术，具有：颜色鲜艳、防撞击、防生锈能力强，喷涂表面无重金属、无有毒物质等优点。属于安全、耐用、健康、环保产品。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2、座、靠软垫采用优质牛津布加海棉面料，质地柔软、外表平整美观高档。角度完全符合人体腰部生理弯曲角度；使用者坐、躺舒适。极大地方便使用都的外出或者郊游。</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4、前轮采用8寸PU胎。后轮采用12寸加厚耐磨PU后轮组合，具有转向灵活，减震效果出色等优点。使使用者坐、驾使用舒适。</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控制器彩用麦控控制器，具用控制精准，质量可靠，启、停平缓等优点。并且能左、右扶手互换；控制器时速为：1～6公里/小时可调节,电量与速度显示功能，可任意360度转向，故障报警等功能。适合不同习惯的使用者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电机采用250W低功耗、大功率的齿轮传动电动机构。配上24伏22安时铅酸电池。一次性充满电约行驶20公里（水平面路）。具有功率大，续航长，爬坡能力强等优点。能轻松爬上坡度：6～8度，具有半坡驻停不溜后等优点。</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7、充电器选用4A恒流恒压浮充式充电器。一次充电时间约8小时左右可充满。电源插头为可任选插头制式，操作方便。</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13970</wp:posOffset>
                  </wp:positionH>
                  <wp:positionV relativeFrom="paragraph">
                    <wp:posOffset>2285365</wp:posOffset>
                  </wp:positionV>
                  <wp:extent cx="1017905" cy="900430"/>
                  <wp:effectExtent l="0" t="0" r="3175" b="13970"/>
                  <wp:wrapNone/>
                  <wp:docPr id="85" name="attachment-1652427619699-9b65a2b38995917b"/>
                  <wp:cNvGraphicFramePr/>
                  <a:graphic xmlns:a="http://schemas.openxmlformats.org/drawingml/2006/main">
                    <a:graphicData uri="http://schemas.openxmlformats.org/drawingml/2006/picture">
                      <pic:pic xmlns:pic="http://schemas.openxmlformats.org/drawingml/2006/picture">
                        <pic:nvPicPr>
                          <pic:cNvPr id="85" name="attachment-1652427619699-9b65a2b38995917b"/>
                          <pic:cNvPicPr/>
                        </pic:nvPicPr>
                        <pic:blipFill>
                          <a:blip r:embed="rId88"/>
                          <a:stretch>
                            <a:fillRect/>
                          </a:stretch>
                        </pic:blipFill>
                        <pic:spPr>
                          <a:xfrm>
                            <a:off x="0" y="0"/>
                            <a:ext cx="1017905" cy="90043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带凳拐杖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折叠尺寸： 43-50cm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展开尺寸： 81-91cm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1、凳面：24*24cm （坐姿需注意，要面向拐杖面）</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2、座板：PVC材质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3、带 LED 照明灯，铝合金 ABS 塑料，重量 1.04kg，承重 200 斤， </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127635</wp:posOffset>
                  </wp:positionV>
                  <wp:extent cx="971550" cy="1076325"/>
                  <wp:effectExtent l="0" t="0" r="0" b="0"/>
                  <wp:wrapNone/>
                  <wp:docPr id="86" name="34"/>
                  <wp:cNvGraphicFramePr/>
                  <a:graphic xmlns:a="http://schemas.openxmlformats.org/drawingml/2006/main">
                    <a:graphicData uri="http://schemas.openxmlformats.org/drawingml/2006/picture">
                      <pic:pic xmlns:pic="http://schemas.openxmlformats.org/drawingml/2006/picture">
                        <pic:nvPicPr>
                          <pic:cNvPr id="86" name="34"/>
                          <pic:cNvPicPr/>
                        </pic:nvPicPr>
                        <pic:blipFill>
                          <a:blip r:embed="rId89"/>
                          <a:stretch>
                            <a:fillRect/>
                          </a:stretch>
                        </pic:blipFill>
                        <pic:spPr>
                          <a:xfrm>
                            <a:off x="0" y="0"/>
                            <a:ext cx="971550" cy="1076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制氧机</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尺寸：372*340*612mm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氧浓度：93%±3%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额定功率：390W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额定流量：3L/min</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整机重量：21kg</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工作电压：~220±10%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额定频率：50±1HZ</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额定浓度：93±3%</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最佳噪音≤36dB(A)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氧气出口压力45±10%KPa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法国原装进口分子筛，效率高寿命长；体积小，性能强；定时功能，氧浓度低报警，断电报警，温度报警，雾化功能。</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-17145</wp:posOffset>
                  </wp:positionH>
                  <wp:positionV relativeFrom="paragraph">
                    <wp:posOffset>781685</wp:posOffset>
                  </wp:positionV>
                  <wp:extent cx="1066800" cy="1314450"/>
                  <wp:effectExtent l="0" t="0" r="0" b="0"/>
                  <wp:wrapNone/>
                  <wp:docPr id="87" name="33"/>
                  <wp:cNvGraphicFramePr/>
                  <a:graphic xmlns:a="http://schemas.openxmlformats.org/drawingml/2006/main">
                    <a:graphicData uri="http://schemas.openxmlformats.org/drawingml/2006/picture">
                      <pic:pic xmlns:pic="http://schemas.openxmlformats.org/drawingml/2006/picture">
                        <pic:nvPicPr>
                          <pic:cNvPr id="87" name="33"/>
                          <pic:cNvPicPr/>
                        </pic:nvPicPr>
                        <pic:blipFill>
                          <a:blip r:embed="rId90"/>
                          <a:stretch>
                            <a:fillRect/>
                          </a:stretch>
                        </pic:blipFill>
                        <pic:spPr>
                          <a:xfrm>
                            <a:off x="0" y="0"/>
                            <a:ext cx="1066800" cy="13144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血压计</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外形尺寸：160*120*81mm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测量范围：压力0mmHg~299mmHg(0KPa~39kPa),脉搏：40跳/分~199跳/分</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测量精度：静态压力：±3mmHg(±0.4kPa)    脉搏：读取数值的±5%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操作环境：温度：5℃~40℃   湿度：15%~80%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运输与储存环境：温度-20℃~55℃  湿度：10%~95%</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大气压力：800hPa~1050hPa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重量：约577克（不含电池）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臂带周长：24cm~40cm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血压示值重复性：≤5mmHg(0.7kPa)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561975</wp:posOffset>
                  </wp:positionV>
                  <wp:extent cx="857250" cy="1266825"/>
                  <wp:effectExtent l="0" t="0" r="11430" b="13335"/>
                  <wp:wrapNone/>
                  <wp:docPr id="88" name="37"/>
                  <wp:cNvGraphicFramePr/>
                  <a:graphic xmlns:a="http://schemas.openxmlformats.org/drawingml/2006/main">
                    <a:graphicData uri="http://schemas.openxmlformats.org/drawingml/2006/picture">
                      <pic:pic xmlns:pic="http://schemas.openxmlformats.org/drawingml/2006/picture">
                        <pic:nvPicPr>
                          <pic:cNvPr id="88" name="37"/>
                          <pic:cNvPicPr/>
                        </pic:nvPicPr>
                        <pic:blipFill>
                          <a:blip r:embed="rId91"/>
                          <a:stretch>
                            <a:fillRect/>
                          </a:stretch>
                        </pic:blipFill>
                        <pic:spPr>
                          <a:xfrm>
                            <a:off x="0" y="0"/>
                            <a:ext cx="857250" cy="12668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远红外护膝</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波长：8um-15um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拉伸弹性恢复率：横向≥70%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远红法相发射率≥78%</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负离子浓度≥3500个/cm³</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远红外光波，共振吸收，持续理疗</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101600</wp:posOffset>
                  </wp:positionH>
                  <wp:positionV relativeFrom="paragraph">
                    <wp:posOffset>220980</wp:posOffset>
                  </wp:positionV>
                  <wp:extent cx="728345" cy="753745"/>
                  <wp:effectExtent l="0" t="0" r="3175" b="8255"/>
                  <wp:wrapNone/>
                  <wp:docPr id="89" name="36"/>
                  <wp:cNvGraphicFramePr/>
                  <a:graphic xmlns:a="http://schemas.openxmlformats.org/drawingml/2006/main">
                    <a:graphicData uri="http://schemas.openxmlformats.org/drawingml/2006/picture">
                      <pic:pic xmlns:pic="http://schemas.openxmlformats.org/drawingml/2006/picture">
                        <pic:nvPicPr>
                          <pic:cNvPr id="89" name="36"/>
                          <pic:cNvPicPr/>
                        </pic:nvPicPr>
                        <pic:blipFill>
                          <a:blip r:embed="rId92"/>
                          <a:stretch>
                            <a:fillRect/>
                          </a:stretch>
                        </pic:blipFill>
                        <pic:spPr>
                          <a:xfrm>
                            <a:off x="0" y="0"/>
                            <a:ext cx="728345" cy="7537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智能药盒</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尺寸：直径11cm*高2.5cm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材质：食品级PP（放药格）+ABS（定时器）+纽扣电池</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1.采用食品级PP+电子元件材质，无毒无异味，健康环保；</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2.24小时内4组闹钟，随意设置，一次设置，每天按时响铃；</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3.7分格，对应星期一到星期天标识，避免错服漏服药；</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4.每天对应的小格可单独开启，卡扣紧实，不易松动。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5、三种提醒方式：铃声提醒、LED闪灯提醒、LCD上闪动符号提醒、同事有四种不同的铃声提醒；</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6、有LED夜光灯功能，方便夜晚使用；</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7、7格放药格，每格可以独立打开，大容量；定时器可以去除，单独使用。</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101600</wp:posOffset>
                  </wp:positionH>
                  <wp:positionV relativeFrom="paragraph">
                    <wp:posOffset>489585</wp:posOffset>
                  </wp:positionV>
                  <wp:extent cx="809625" cy="819150"/>
                  <wp:effectExtent l="0" t="0" r="13335" b="3810"/>
                  <wp:wrapNone/>
                  <wp:docPr id="90" name="19"/>
                  <wp:cNvGraphicFramePr/>
                  <a:graphic xmlns:a="http://schemas.openxmlformats.org/drawingml/2006/main">
                    <a:graphicData uri="http://schemas.openxmlformats.org/drawingml/2006/picture">
                      <pic:pic xmlns:pic="http://schemas.openxmlformats.org/drawingml/2006/picture">
                        <pic:nvPicPr>
                          <pic:cNvPr id="90" name="19"/>
                          <pic:cNvPicPr/>
                        </pic:nvPicPr>
                        <pic:blipFill>
                          <a:blip r:embed="rId93"/>
                          <a:stretch>
                            <a:fillRect/>
                          </a:stretch>
                        </pic:blipFill>
                        <pic:spPr>
                          <a:xfrm>
                            <a:off x="0" y="0"/>
                            <a:ext cx="809625" cy="8191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适老餐具</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1、助食筷可帮助一些手部僵硬、中风、挛缩的病人，自主进食。其独特的设计，及时在使用过程中，因手部问题造成的不稳现象，也可较为轻松的夹起食物。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助食勺和助食叉能在水平140°、轴向旋转360°的空间范围内任意调整及锁定位置，并保持其状态。手柄位置带有橡胶皮带可按手的大小，调整松紧。手柄内部空间可以放置配重，满足用户的使用习惯及特殊需要。</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3、助食碗和防洒盘底部带有吸盘，吸附力持久，防止碗滑动；碗口一侧为屋檐式设计，防止食物遗洒。材质：碗体为食品级PP塑料，吸盘为无毒级硅胶。</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86360</wp:posOffset>
                  </wp:positionH>
                  <wp:positionV relativeFrom="paragraph">
                    <wp:posOffset>652780</wp:posOffset>
                  </wp:positionV>
                  <wp:extent cx="876300" cy="952500"/>
                  <wp:effectExtent l="0" t="0" r="6985" b="7620"/>
                  <wp:wrapNone/>
                  <wp:docPr id="91" name="42"/>
                  <wp:cNvGraphicFramePr/>
                  <a:graphic xmlns:a="http://schemas.openxmlformats.org/drawingml/2006/main">
                    <a:graphicData uri="http://schemas.openxmlformats.org/drawingml/2006/picture">
                      <pic:pic xmlns:pic="http://schemas.openxmlformats.org/drawingml/2006/picture">
                        <pic:nvPicPr>
                          <pic:cNvPr id="91" name="42"/>
                          <pic:cNvPicPr/>
                        </pic:nvPicPr>
                        <pic:blipFill>
                          <a:blip r:embed="rId94"/>
                          <a:stretch>
                            <a:fillRect/>
                          </a:stretch>
                        </pic:blipFill>
                        <pic:spPr>
                          <a:xfrm>
                            <a:off x="0" y="0"/>
                            <a:ext cx="876300" cy="9525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65"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智能浴神</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尺寸：470mm*307mm*115mm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适配电源：220V/16A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总功率：2400W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暖房功率：2400W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干衣功率：800W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吹风功率：40W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1、双档冷热风、立体吹风可调节、安全保护、暖风吹发，烘干衣物毛巾，冷风降温。                    </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2、确保老人洗澡有适宜的温度。</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3、负离子空气净化。</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4、暖房模式：3秒钟制热，10分钟温暖浴室。</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5、柔和暖风，便捷吹干头发。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6、搭配特别设计的180°旋转衣杆，可以烘干衣服。</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7、出风口可自动摆风或定向送风。</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8、氛围灯，可自行调节多种色彩。</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9、夜间感应灯人性化设计，夜间进入卫生间，感应灯会自动感应开启。人离开，10秒钟后会自动熄灭。</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10、智能化设计，老人或小孩在使用中忘记关机的情况下，本机两小时自动关闭使用功能。</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93980</wp:posOffset>
                  </wp:positionH>
                  <wp:positionV relativeFrom="paragraph">
                    <wp:posOffset>1057910</wp:posOffset>
                  </wp:positionV>
                  <wp:extent cx="961390" cy="2092325"/>
                  <wp:effectExtent l="0" t="0" r="13970" b="10795"/>
                  <wp:wrapNone/>
                  <wp:docPr id="92" name="25"/>
                  <wp:cNvGraphicFramePr/>
                  <a:graphic xmlns:a="http://schemas.openxmlformats.org/drawingml/2006/main">
                    <a:graphicData uri="http://schemas.openxmlformats.org/drawingml/2006/picture">
                      <pic:pic xmlns:pic="http://schemas.openxmlformats.org/drawingml/2006/picture">
                        <pic:nvPicPr>
                          <pic:cNvPr id="92" name="25"/>
                          <pic:cNvPicPr/>
                        </pic:nvPicPr>
                        <pic:blipFill>
                          <a:blip r:embed="rId95"/>
                          <a:stretch>
                            <a:fillRect/>
                          </a:stretch>
                        </pic:blipFill>
                        <pic:spPr>
                          <a:xfrm>
                            <a:off x="0" y="0"/>
                            <a:ext cx="961390" cy="209232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开关面板（单开/双开）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银镍合金触点、拜耳PC料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额定电流：10A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额定电压：250V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额定功率：2500W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规格：86*86mm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开关外环有荧光贴条</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538480</wp:posOffset>
                  </wp:positionV>
                  <wp:extent cx="595630" cy="412750"/>
                  <wp:effectExtent l="0" t="0" r="13970" b="13970"/>
                  <wp:wrapNone/>
                  <wp:docPr id="93" name="60"/>
                  <wp:cNvGraphicFramePr/>
                  <a:graphic xmlns:a="http://schemas.openxmlformats.org/drawingml/2006/main">
                    <a:graphicData uri="http://schemas.openxmlformats.org/drawingml/2006/picture">
                      <pic:pic xmlns:pic="http://schemas.openxmlformats.org/drawingml/2006/picture">
                        <pic:nvPicPr>
                          <pic:cNvPr id="93" name="60"/>
                          <pic:cNvPicPr/>
                        </pic:nvPicPr>
                        <pic:blipFill>
                          <a:blip r:embed="rId96"/>
                          <a:stretch>
                            <a:fillRect/>
                          </a:stretch>
                        </pic:blipFill>
                        <pic:spPr>
                          <a:xfrm>
                            <a:off x="0" y="0"/>
                            <a:ext cx="595630" cy="4127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389890</wp:posOffset>
                  </wp:positionH>
                  <wp:positionV relativeFrom="paragraph">
                    <wp:posOffset>290195</wp:posOffset>
                  </wp:positionV>
                  <wp:extent cx="684530" cy="763905"/>
                  <wp:effectExtent l="0" t="0" r="1270" b="13335"/>
                  <wp:wrapNone/>
                  <wp:docPr id="94" name="61"/>
                  <wp:cNvGraphicFramePr/>
                  <a:graphic xmlns:a="http://schemas.openxmlformats.org/drawingml/2006/main">
                    <a:graphicData uri="http://schemas.openxmlformats.org/drawingml/2006/picture">
                      <pic:pic xmlns:pic="http://schemas.openxmlformats.org/drawingml/2006/picture">
                        <pic:nvPicPr>
                          <pic:cNvPr id="94" name="61"/>
                          <pic:cNvPicPr/>
                        </pic:nvPicPr>
                        <pic:blipFill>
                          <a:blip r:embed="rId97"/>
                          <a:stretch>
                            <a:fillRect/>
                          </a:stretch>
                        </pic:blipFill>
                        <pic:spPr>
                          <a:xfrm>
                            <a:off x="0" y="0"/>
                            <a:ext cx="684530" cy="7639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8"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五孔插座/开关插座</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进口拜耳PC料</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额定电流：10A/16A</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额定电压：250V</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额定功率：2500W</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规格：86*86mm</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-48895</wp:posOffset>
                  </wp:positionH>
                  <wp:positionV relativeFrom="paragraph">
                    <wp:posOffset>177165</wp:posOffset>
                  </wp:positionV>
                  <wp:extent cx="744220" cy="721360"/>
                  <wp:effectExtent l="0" t="0" r="2540" b="10160"/>
                  <wp:wrapNone/>
                  <wp:docPr id="95" name="63"/>
                  <wp:cNvGraphicFramePr/>
                  <a:graphic xmlns:a="http://schemas.openxmlformats.org/drawingml/2006/main">
                    <a:graphicData uri="http://schemas.openxmlformats.org/drawingml/2006/picture">
                      <pic:pic xmlns:pic="http://schemas.openxmlformats.org/drawingml/2006/picture">
                        <pic:nvPicPr>
                          <pic:cNvPr id="95" name="63"/>
                          <pic:cNvPicPr/>
                        </pic:nvPicPr>
                        <pic:blipFill>
                          <a:blip r:embed="rId98"/>
                          <a:stretch>
                            <a:fillRect/>
                          </a:stretch>
                        </pic:blipFill>
                        <pic:spPr>
                          <a:xfrm>
                            <a:off x="0" y="0"/>
                            <a:ext cx="744220" cy="7213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546100</wp:posOffset>
                  </wp:positionH>
                  <wp:positionV relativeFrom="paragraph">
                    <wp:posOffset>287020</wp:posOffset>
                  </wp:positionV>
                  <wp:extent cx="508000" cy="611505"/>
                  <wp:effectExtent l="0" t="0" r="10160" b="13335"/>
                  <wp:wrapNone/>
                  <wp:docPr id="96" name="62"/>
                  <wp:cNvGraphicFramePr/>
                  <a:graphic xmlns:a="http://schemas.openxmlformats.org/drawingml/2006/main">
                    <a:graphicData uri="http://schemas.openxmlformats.org/drawingml/2006/picture">
                      <pic:pic xmlns:pic="http://schemas.openxmlformats.org/drawingml/2006/picture">
                        <pic:nvPicPr>
                          <pic:cNvPr id="96" name="62"/>
                          <pic:cNvPicPr/>
                        </pic:nvPicPr>
                        <pic:blipFill>
                          <a:blip r:embed="rId99"/>
                          <a:stretch>
                            <a:fillRect/>
                          </a:stretch>
                        </pic:blipFill>
                        <pic:spPr>
                          <a:xfrm>
                            <a:off x="0" y="0"/>
                            <a:ext cx="508000" cy="61150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水管更换</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墙面开槽，原管拆除，接新水管，布管横平竖直，热水管加保温套，墙面修复（含人工、主材、辅材）。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143510</wp:posOffset>
                  </wp:positionH>
                  <wp:positionV relativeFrom="paragraph">
                    <wp:posOffset>148590</wp:posOffset>
                  </wp:positionV>
                  <wp:extent cx="578485" cy="476250"/>
                  <wp:effectExtent l="0" t="0" r="635" b="11430"/>
                  <wp:wrapNone/>
                  <wp:docPr id="97" name="73"/>
                  <wp:cNvGraphicFramePr/>
                  <a:graphic xmlns:a="http://schemas.openxmlformats.org/drawingml/2006/main">
                    <a:graphicData uri="http://schemas.openxmlformats.org/drawingml/2006/picture">
                      <pic:pic xmlns:pic="http://schemas.openxmlformats.org/drawingml/2006/picture">
                        <pic:nvPicPr>
                          <pic:cNvPr id="97" name="73"/>
                          <pic:cNvPicPr/>
                        </pic:nvPicPr>
                        <pic:blipFill>
                          <a:blip r:embed="rId100"/>
                          <a:stretch>
                            <a:fillRect/>
                          </a:stretch>
                        </pic:blipFill>
                        <pic:spPr>
                          <a:xfrm>
                            <a:off x="0" y="0"/>
                            <a:ext cx="578485" cy="4762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墙/地面瓷砖铺设</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找平，放线，瓷砖处理，铺贴，嵌缝处理（含人工、主材、辅材；不含防水）</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50800</wp:posOffset>
                  </wp:positionH>
                  <wp:positionV relativeFrom="paragraph">
                    <wp:posOffset>122555</wp:posOffset>
                  </wp:positionV>
                  <wp:extent cx="858520" cy="605155"/>
                  <wp:effectExtent l="0" t="0" r="10160" b="4445"/>
                  <wp:wrapNone/>
                  <wp:docPr id="98" name="100"/>
                  <wp:cNvGraphicFramePr/>
                  <a:graphic xmlns:a="http://schemas.openxmlformats.org/drawingml/2006/main">
                    <a:graphicData uri="http://schemas.openxmlformats.org/drawingml/2006/picture">
                      <pic:pic xmlns:pic="http://schemas.openxmlformats.org/drawingml/2006/picture">
                        <pic:nvPicPr>
                          <pic:cNvPr id="98" name="100"/>
                          <pic:cNvPicPr/>
                        </pic:nvPicPr>
                        <pic:blipFill>
                          <a:blip r:embed="rId101"/>
                          <a:stretch>
                            <a:fillRect/>
                          </a:stretch>
                        </pic:blipFill>
                        <pic:spPr>
                          <a:xfrm>
                            <a:off x="0" y="0"/>
                            <a:ext cx="858520" cy="60515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墙/地面防水</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找平，三遍JS防水涂料，干区地面上返300mm，湿区1800mm以上；24小时闭水试验合格，蓄水高度30mm-40mm。</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86995</wp:posOffset>
                  </wp:positionH>
                  <wp:positionV relativeFrom="paragraph">
                    <wp:posOffset>354965</wp:posOffset>
                  </wp:positionV>
                  <wp:extent cx="703580" cy="328295"/>
                  <wp:effectExtent l="0" t="0" r="12700" b="6985"/>
                  <wp:wrapNone/>
                  <wp:docPr id="99" name="101"/>
                  <wp:cNvGraphicFramePr/>
                  <a:graphic xmlns:a="http://schemas.openxmlformats.org/drawingml/2006/main">
                    <a:graphicData uri="http://schemas.openxmlformats.org/drawingml/2006/picture">
                      <pic:pic xmlns:pic="http://schemas.openxmlformats.org/drawingml/2006/picture">
                        <pic:nvPicPr>
                          <pic:cNvPr id="99" name="101"/>
                          <pic:cNvPicPr/>
                        </pic:nvPicPr>
                        <pic:blipFill>
                          <a:blip r:embed="rId102"/>
                          <a:stretch>
                            <a:fillRect/>
                          </a:stretch>
                        </pic:blipFill>
                        <pic:spPr>
                          <a:xfrm>
                            <a:off x="0" y="0"/>
                            <a:ext cx="703580" cy="3282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浴缸拆除及修补</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拆除，粉平，防水，改管，贴瓷砖（含人工、主材、辅材）。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36830</wp:posOffset>
                  </wp:positionH>
                  <wp:positionV relativeFrom="paragraph">
                    <wp:posOffset>154305</wp:posOffset>
                  </wp:positionV>
                  <wp:extent cx="878840" cy="527685"/>
                  <wp:effectExtent l="0" t="0" r="5080" b="5715"/>
                  <wp:wrapNone/>
                  <wp:docPr id="100" name="74"/>
                  <wp:cNvGraphicFramePr/>
                  <a:graphic xmlns:a="http://schemas.openxmlformats.org/drawingml/2006/main">
                    <a:graphicData uri="http://schemas.openxmlformats.org/drawingml/2006/picture">
                      <pic:pic xmlns:pic="http://schemas.openxmlformats.org/drawingml/2006/picture">
                        <pic:nvPicPr>
                          <pic:cNvPr id="100" name="74"/>
                          <pic:cNvPicPr/>
                        </pic:nvPicPr>
                        <pic:blipFill>
                          <a:blip r:embed="rId103"/>
                          <a:stretch>
                            <a:fillRect/>
                          </a:stretch>
                        </pic:blipFill>
                        <pic:spPr>
                          <a:xfrm>
                            <a:off x="0" y="0"/>
                            <a:ext cx="878840" cy="52768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地面硬化</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局部凿除，地面清理，碎石压实，铺设C25强度等级的混凝土，抹面压光（含人工、主材、辅材）。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86360</wp:posOffset>
                  </wp:positionH>
                  <wp:positionV relativeFrom="paragraph">
                    <wp:posOffset>240030</wp:posOffset>
                  </wp:positionV>
                  <wp:extent cx="733425" cy="452120"/>
                  <wp:effectExtent l="0" t="0" r="13335" b="5080"/>
                  <wp:wrapNone/>
                  <wp:docPr id="101" name="105"/>
                  <wp:cNvGraphicFramePr/>
                  <a:graphic xmlns:a="http://schemas.openxmlformats.org/drawingml/2006/main">
                    <a:graphicData uri="http://schemas.openxmlformats.org/drawingml/2006/picture">
                      <pic:pic xmlns:pic="http://schemas.openxmlformats.org/drawingml/2006/picture">
                        <pic:nvPicPr>
                          <pic:cNvPr id="101" name="105"/>
                          <pic:cNvPicPr/>
                        </pic:nvPicPr>
                        <pic:blipFill>
                          <a:blip r:embed="rId104"/>
                          <a:stretch>
                            <a:fillRect/>
                          </a:stretch>
                        </pic:blipFill>
                        <pic:spPr>
                          <a:xfrm>
                            <a:off x="0" y="0"/>
                            <a:ext cx="733425" cy="4521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坡道改造</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地面清理，碎石压实，按坡比（1：8/1:12)标准铺设C25强度等级的混凝土，抹面压光，压防滑纹（含人工、主材、辅材）。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64770</wp:posOffset>
                  </wp:positionH>
                  <wp:positionV relativeFrom="paragraph">
                    <wp:posOffset>348615</wp:posOffset>
                  </wp:positionV>
                  <wp:extent cx="765810" cy="422275"/>
                  <wp:effectExtent l="0" t="0" r="11430" b="4445"/>
                  <wp:wrapNone/>
                  <wp:docPr id="102" name="106"/>
                  <wp:cNvGraphicFramePr/>
                  <a:graphic xmlns:a="http://schemas.openxmlformats.org/drawingml/2006/main">
                    <a:graphicData uri="http://schemas.openxmlformats.org/drawingml/2006/picture">
                      <pic:pic xmlns:pic="http://schemas.openxmlformats.org/drawingml/2006/picture">
                        <pic:nvPicPr>
                          <pic:cNvPr id="102" name="106"/>
                          <pic:cNvPicPr/>
                        </pic:nvPicPr>
                        <pic:blipFill>
                          <a:blip r:embed="rId105"/>
                          <a:stretch>
                            <a:fillRect/>
                          </a:stretch>
                        </pic:blipFill>
                        <pic:spPr>
                          <a:xfrm>
                            <a:off x="0" y="0"/>
                            <a:ext cx="765810" cy="42227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304不锈钢扶手</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定制304不锈钢扶手，安装，不锈钢厚度不小于1.0mm，扶手高度不小于1100mm（含人工、主材、辅材）。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385445</wp:posOffset>
                  </wp:positionV>
                  <wp:extent cx="596900" cy="385445"/>
                  <wp:effectExtent l="0" t="0" r="12700" b="10795"/>
                  <wp:wrapNone/>
                  <wp:docPr id="103" name="107"/>
                  <wp:cNvGraphicFramePr/>
                  <a:graphic xmlns:a="http://schemas.openxmlformats.org/drawingml/2006/main">
                    <a:graphicData uri="http://schemas.openxmlformats.org/drawingml/2006/picture">
                      <pic:pic xmlns:pic="http://schemas.openxmlformats.org/drawingml/2006/picture">
                        <pic:nvPicPr>
                          <pic:cNvPr id="103" name="107"/>
                          <pic:cNvPicPr/>
                        </pic:nvPicPr>
                        <pic:blipFill>
                          <a:blip r:embed="rId106"/>
                          <a:stretch>
                            <a:fillRect/>
                          </a:stretch>
                        </pic:blipFill>
                        <pic:spPr>
                          <a:xfrm>
                            <a:off x="0" y="0"/>
                            <a:ext cx="596900" cy="38544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门洞扩宽及粉刷修复</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门洞拓宽，抹灰修复，粉刷修复（含人工、主材、辅材）。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139700</wp:posOffset>
                  </wp:positionH>
                  <wp:positionV relativeFrom="paragraph">
                    <wp:posOffset>391160</wp:posOffset>
                  </wp:positionV>
                  <wp:extent cx="650875" cy="635000"/>
                  <wp:effectExtent l="0" t="0" r="4445" b="5080"/>
                  <wp:wrapNone/>
                  <wp:docPr id="104" name="108"/>
                  <wp:cNvGraphicFramePr/>
                  <a:graphic xmlns:a="http://schemas.openxmlformats.org/drawingml/2006/main">
                    <a:graphicData uri="http://schemas.openxmlformats.org/drawingml/2006/picture">
                      <pic:pic xmlns:pic="http://schemas.openxmlformats.org/drawingml/2006/picture">
                        <pic:nvPicPr>
                          <pic:cNvPr id="104" name="108"/>
                          <pic:cNvPicPr/>
                        </pic:nvPicPr>
                        <pic:blipFill>
                          <a:blip r:embed="rId107"/>
                          <a:stretch>
                            <a:fillRect/>
                          </a:stretch>
                        </pic:blipFill>
                        <pic:spPr>
                          <a:xfrm>
                            <a:off x="0" y="0"/>
                            <a:ext cx="650875" cy="6350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隐形地漏</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不锈钢地漏。</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113030</wp:posOffset>
                  </wp:positionH>
                  <wp:positionV relativeFrom="paragraph">
                    <wp:posOffset>161925</wp:posOffset>
                  </wp:positionV>
                  <wp:extent cx="694055" cy="414020"/>
                  <wp:effectExtent l="0" t="0" r="6985" b="12700"/>
                  <wp:wrapNone/>
                  <wp:docPr id="105" name="78"/>
                  <wp:cNvGraphicFramePr/>
                  <a:graphic xmlns:a="http://schemas.openxmlformats.org/drawingml/2006/main">
                    <a:graphicData uri="http://schemas.openxmlformats.org/drawingml/2006/picture">
                      <pic:pic xmlns:pic="http://schemas.openxmlformats.org/drawingml/2006/picture">
                        <pic:nvPicPr>
                          <pic:cNvPr id="105" name="78"/>
                          <pic:cNvPicPr/>
                        </pic:nvPicPr>
                        <pic:blipFill>
                          <a:blip r:embed="rId108"/>
                          <a:stretch>
                            <a:fillRect/>
                          </a:stretch>
                        </pic:blipFill>
                        <pic:spPr>
                          <a:xfrm>
                            <a:off x="0" y="0"/>
                            <a:ext cx="694055" cy="4140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普通方形地漏</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不锈钢地漏，卫生间或淋浴房地漏</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82550</wp:posOffset>
                  </wp:positionV>
                  <wp:extent cx="774065" cy="612140"/>
                  <wp:effectExtent l="0" t="0" r="3175" b="12700"/>
                  <wp:wrapNone/>
                  <wp:docPr id="106" name="79"/>
                  <wp:cNvGraphicFramePr/>
                  <a:graphic xmlns:a="http://schemas.openxmlformats.org/drawingml/2006/main">
                    <a:graphicData uri="http://schemas.openxmlformats.org/drawingml/2006/picture">
                      <pic:pic xmlns:pic="http://schemas.openxmlformats.org/drawingml/2006/picture">
                        <pic:nvPicPr>
                          <pic:cNvPr id="106" name="79"/>
                          <pic:cNvPicPr/>
                        </pic:nvPicPr>
                        <pic:blipFill>
                          <a:blip r:embed="rId109"/>
                          <a:stretch>
                            <a:fillRect/>
                          </a:stretch>
                        </pic:blipFill>
                        <pic:spPr>
                          <a:xfrm>
                            <a:off x="0" y="0"/>
                            <a:ext cx="774065" cy="61214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墙面出新</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基层处理、批刮两遍腻子（含挂网，阴阳角）、打磨平整、滚涂乳胶漆（多合一）二遍（含人工、主材、辅材）。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29210</wp:posOffset>
                  </wp:positionH>
                  <wp:positionV relativeFrom="paragraph">
                    <wp:posOffset>136525</wp:posOffset>
                  </wp:positionV>
                  <wp:extent cx="763905" cy="641985"/>
                  <wp:effectExtent l="0" t="0" r="13335" b="13335"/>
                  <wp:wrapNone/>
                  <wp:docPr id="107" name="77"/>
                  <wp:cNvGraphicFramePr/>
                  <a:graphic xmlns:a="http://schemas.openxmlformats.org/drawingml/2006/main">
                    <a:graphicData uri="http://schemas.openxmlformats.org/drawingml/2006/picture">
                      <pic:pic xmlns:pic="http://schemas.openxmlformats.org/drawingml/2006/picture">
                        <pic:nvPicPr>
                          <pic:cNvPr id="107" name="77"/>
                          <pic:cNvPicPr/>
                        </pic:nvPicPr>
                        <pic:blipFill>
                          <a:blip r:embed="rId110"/>
                          <a:stretch>
                            <a:fillRect/>
                          </a:stretch>
                        </pic:blipFill>
                        <pic:spPr>
                          <a:xfrm>
                            <a:off x="0" y="0"/>
                            <a:ext cx="763905" cy="64198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9"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 吊顶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原吊顶拆除、安装 PVC 吊顶（含人工、主材、辅材）。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107950</wp:posOffset>
                  </wp:positionH>
                  <wp:positionV relativeFrom="paragraph">
                    <wp:posOffset>113030</wp:posOffset>
                  </wp:positionV>
                  <wp:extent cx="586105" cy="548640"/>
                  <wp:effectExtent l="0" t="0" r="8255" b="0"/>
                  <wp:wrapNone/>
                  <wp:docPr id="108" name="102"/>
                  <wp:cNvGraphicFramePr/>
                  <a:graphic xmlns:a="http://schemas.openxmlformats.org/drawingml/2006/main">
                    <a:graphicData uri="http://schemas.openxmlformats.org/drawingml/2006/picture">
                      <pic:pic xmlns:pic="http://schemas.openxmlformats.org/drawingml/2006/picture">
                        <pic:nvPicPr>
                          <pic:cNvPr id="108" name="102"/>
                          <pic:cNvPicPr/>
                        </pic:nvPicPr>
                        <pic:blipFill>
                          <a:blip r:embed="rId111"/>
                          <a:stretch>
                            <a:fillRect/>
                          </a:stretch>
                        </pic:blipFill>
                        <pic:spPr>
                          <a:xfrm>
                            <a:off x="0" y="0"/>
                            <a:ext cx="586105" cy="54864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铝扣板吊顶</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原吊顶拆除，安装铝制扣板吊顶（含人工、主材、辅材）。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113030</wp:posOffset>
                  </wp:positionH>
                  <wp:positionV relativeFrom="paragraph">
                    <wp:posOffset>140970</wp:posOffset>
                  </wp:positionV>
                  <wp:extent cx="735965" cy="465455"/>
                  <wp:effectExtent l="0" t="0" r="10795" b="6985"/>
                  <wp:wrapNone/>
                  <wp:docPr id="109" name="76"/>
                  <wp:cNvGraphicFramePr/>
                  <a:graphic xmlns:a="http://schemas.openxmlformats.org/drawingml/2006/main">
                    <a:graphicData uri="http://schemas.openxmlformats.org/drawingml/2006/picture">
                      <pic:pic xmlns:pic="http://schemas.openxmlformats.org/drawingml/2006/picture">
                        <pic:nvPicPr>
                          <pic:cNvPr id="109" name="76"/>
                          <pic:cNvPicPr/>
                        </pic:nvPicPr>
                        <pic:blipFill>
                          <a:blip r:embed="rId112"/>
                          <a:stretch>
                            <a:fillRect/>
                          </a:stretch>
                        </pic:blipFill>
                        <pic:spPr>
                          <a:xfrm>
                            <a:off x="0" y="0"/>
                            <a:ext cx="735965" cy="46545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m2</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集成灯</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尺寸：600*300*34.6mm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光通量：1800lm</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整板材质：铝合金+钣金</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防护等级：IP20</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使用寿命：15000小时</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色温：4000K、5700K</w:t>
            </w:r>
          </w:p>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功率：24W</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72390</wp:posOffset>
                  </wp:positionH>
                  <wp:positionV relativeFrom="paragraph">
                    <wp:posOffset>369570</wp:posOffset>
                  </wp:positionV>
                  <wp:extent cx="830580" cy="400050"/>
                  <wp:effectExtent l="0" t="0" r="7620" b="11430"/>
                  <wp:wrapNone/>
                  <wp:docPr id="110" name="90"/>
                  <wp:cNvGraphicFramePr/>
                  <a:graphic xmlns:a="http://schemas.openxmlformats.org/drawingml/2006/main">
                    <a:graphicData uri="http://schemas.openxmlformats.org/drawingml/2006/picture">
                      <pic:pic xmlns:pic="http://schemas.openxmlformats.org/drawingml/2006/picture">
                        <pic:nvPicPr>
                          <pic:cNvPr id="110" name="90"/>
                          <pic:cNvPicPr/>
                        </pic:nvPicPr>
                        <pic:blipFill>
                          <a:blip r:embed="rId113"/>
                          <a:stretch>
                            <a:fillRect/>
                          </a:stretch>
                        </pic:blipFill>
                        <pic:spPr>
                          <a:xfrm>
                            <a:off x="0" y="0"/>
                            <a:ext cx="830580" cy="40005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更换成套电箱</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总空开，分路空开，定制低压成套配电箱配电柜电表箱分线箱路灯控制箱插座箱电源箱等（含人工、主材、辅材）。</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146685</wp:posOffset>
                  </wp:positionH>
                  <wp:positionV relativeFrom="paragraph">
                    <wp:posOffset>66675</wp:posOffset>
                  </wp:positionV>
                  <wp:extent cx="740410" cy="558800"/>
                  <wp:effectExtent l="0" t="0" r="6350" b="5080"/>
                  <wp:wrapNone/>
                  <wp:docPr id="111" name="80"/>
                  <wp:cNvGraphicFramePr/>
                  <a:graphic xmlns:a="http://schemas.openxmlformats.org/drawingml/2006/main">
                    <a:graphicData uri="http://schemas.openxmlformats.org/drawingml/2006/picture">
                      <pic:pic xmlns:pic="http://schemas.openxmlformats.org/drawingml/2006/picture">
                        <pic:nvPicPr>
                          <pic:cNvPr id="111" name="80"/>
                          <pic:cNvPicPr/>
                        </pic:nvPicPr>
                        <pic:blipFill>
                          <a:blip r:embed="rId114"/>
                          <a:stretch>
                            <a:fillRect/>
                          </a:stretch>
                        </pic:blipFill>
                        <pic:spPr>
                          <a:xfrm>
                            <a:off x="0" y="0"/>
                            <a:ext cx="740410" cy="55880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空开（总控空开）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总控开关，符合国标，功率≥63A。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143510</wp:posOffset>
                  </wp:positionH>
                  <wp:positionV relativeFrom="paragraph">
                    <wp:posOffset>132715</wp:posOffset>
                  </wp:positionV>
                  <wp:extent cx="652145" cy="696595"/>
                  <wp:effectExtent l="0" t="0" r="0" b="0"/>
                  <wp:wrapNone/>
                  <wp:docPr id="112" name="103"/>
                  <wp:cNvGraphicFramePr/>
                  <a:graphic xmlns:a="http://schemas.openxmlformats.org/drawingml/2006/main">
                    <a:graphicData uri="http://schemas.openxmlformats.org/drawingml/2006/picture">
                      <pic:pic xmlns:pic="http://schemas.openxmlformats.org/drawingml/2006/picture">
                        <pic:nvPicPr>
                          <pic:cNvPr id="112" name="103"/>
                          <pic:cNvPicPr/>
                        </pic:nvPicPr>
                        <pic:blipFill>
                          <a:blip r:embed="rId115"/>
                          <a:stretch>
                            <a:fillRect/>
                          </a:stretch>
                        </pic:blipFill>
                        <pic:spPr>
                          <a:xfrm>
                            <a:off x="0" y="0"/>
                            <a:ext cx="652145" cy="696595"/>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空开（普通空开）</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空气开关，符合国标，功率≥10A。</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181610</wp:posOffset>
                  </wp:positionH>
                  <wp:positionV relativeFrom="paragraph">
                    <wp:posOffset>241300</wp:posOffset>
                  </wp:positionV>
                  <wp:extent cx="594360" cy="617220"/>
                  <wp:effectExtent l="0" t="0" r="0" b="0"/>
                  <wp:wrapNone/>
                  <wp:docPr id="113" name="104"/>
                  <wp:cNvGraphicFramePr/>
                  <a:graphic xmlns:a="http://schemas.openxmlformats.org/drawingml/2006/main">
                    <a:graphicData uri="http://schemas.openxmlformats.org/drawingml/2006/picture">
                      <pic:pic xmlns:pic="http://schemas.openxmlformats.org/drawingml/2006/picture">
                        <pic:nvPicPr>
                          <pic:cNvPr id="113" name="104"/>
                          <pic:cNvPicPr/>
                        </pic:nvPicPr>
                        <pic:blipFill>
                          <a:blip r:embed="rId116"/>
                          <a:stretch>
                            <a:fillRect/>
                          </a:stretch>
                        </pic:blipFill>
                        <pic:spPr>
                          <a:xfrm>
                            <a:off x="0" y="0"/>
                            <a:ext cx="594360" cy="617220"/>
                          </a:xfrm>
                          <a:prstGeom prst="rect">
                            <a:avLst/>
                          </a:prstGeom>
                          <a:noFill/>
                          <a:ln>
                            <a:noFill/>
                          </a:ln>
                        </pic:spPr>
                      </pic:pic>
                    </a:graphicData>
                  </a:graphic>
                </wp:anchor>
              </w:drawing>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65"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112</w:t>
            </w:r>
          </w:p>
        </w:tc>
        <w:tc>
          <w:tcPr>
            <w:tcW w:w="12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电路改造</w:t>
            </w:r>
          </w:p>
        </w:tc>
        <w:tc>
          <w:tcPr>
            <w:tcW w:w="48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拆除原有老旧电线，铺设新线，接入电箱及末端插座开关，布线横平竖直，穿线采用PVC套管；明管敷设，线管穿线含施工费及辅材（含人工、主材、辅材）。</w:t>
            </w:r>
          </w:p>
        </w:tc>
        <w:tc>
          <w:tcPr>
            <w:tcW w:w="180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100965</wp:posOffset>
                  </wp:positionH>
                  <wp:positionV relativeFrom="paragraph">
                    <wp:posOffset>182880</wp:posOffset>
                  </wp:positionV>
                  <wp:extent cx="681355" cy="678815"/>
                  <wp:effectExtent l="0" t="0" r="4445" b="6985"/>
                  <wp:wrapNone/>
                  <wp:docPr id="114" name="75"/>
                  <wp:cNvGraphicFramePr/>
                  <a:graphic xmlns:a="http://schemas.openxmlformats.org/drawingml/2006/main">
                    <a:graphicData uri="http://schemas.openxmlformats.org/drawingml/2006/picture">
                      <pic:pic xmlns:pic="http://schemas.openxmlformats.org/drawingml/2006/picture">
                        <pic:nvPicPr>
                          <pic:cNvPr id="114" name="75"/>
                          <pic:cNvPicPr/>
                        </pic:nvPicPr>
                        <pic:blipFill>
                          <a:blip r:embed="rId117"/>
                          <a:stretch>
                            <a:fillRect/>
                          </a:stretch>
                        </pic:blipFill>
                        <pic:spPr>
                          <a:xfrm>
                            <a:off x="0" y="0"/>
                            <a:ext cx="681355" cy="678815"/>
                          </a:xfrm>
                          <a:prstGeom prst="rect">
                            <a:avLst/>
                          </a:prstGeom>
                          <a:noFill/>
                          <a:ln>
                            <a:noFill/>
                          </a:ln>
                        </pic:spPr>
                      </pic:pic>
                    </a:graphicData>
                  </a:graphic>
                </wp:anchor>
              </w:drawing>
            </w:r>
          </w:p>
        </w:tc>
        <w:tc>
          <w:tcPr>
            <w:tcW w:w="66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065" w:type="dxa"/>
            <w:tcBorders>
              <w:top w:val="single" w:color="000000" w:sz="4" w:space="0"/>
              <w:left w:val="single" w:color="auto" w:sz="4" w:space="0"/>
              <w:bottom w:val="nil"/>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67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厨卫拆除垃圾清运</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人工费及垃圾送至指定点。</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w:t>
            </w:r>
          </w:p>
        </w:tc>
        <w:tc>
          <w:tcPr>
            <w:tcW w:w="1065" w:type="dxa"/>
            <w:tcBorders>
              <w:top w:val="single" w:color="000000"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 w:lineRule="auto"/>
              <w:jc w:val="both"/>
              <w:textAlignment w:val="center"/>
              <w:rPr>
                <w:rFonts w:hint="eastAsia" w:ascii="宋体" w:hAnsi="宋体" w:eastAsia="宋体" w:cs="宋体"/>
                <w:i w:val="0"/>
                <w:iCs w:val="0"/>
                <w:color w:val="000000"/>
                <w:sz w:val="24"/>
                <w:szCs w:val="24"/>
                <w:u w:val="none"/>
                <w:lang w:val="en-US"/>
              </w:rPr>
            </w:pPr>
          </w:p>
        </w:tc>
      </w:tr>
    </w:tbl>
    <w:p>
      <w:pPr>
        <w:pStyle w:val="2"/>
        <w:rPr>
          <w:rFonts w:hint="eastAsia" w:ascii="宋体" w:hAnsi="宋体" w:eastAsia="宋体" w:cs="宋体"/>
          <w:szCs w:val="21"/>
          <w:highlight w:val="none"/>
        </w:rPr>
      </w:pPr>
    </w:p>
    <w:p>
      <w:pPr>
        <w:spacing w:beforeLines="0" w:afterLines="0" w:line="360" w:lineRule="auto"/>
        <w:rPr>
          <w:rFonts w:hint="eastAsia" w:ascii="宋体" w:hAnsi="宋体" w:eastAsia="宋体" w:cs="Times New Roman"/>
          <w:sz w:val="24"/>
          <w:szCs w:val="24"/>
        </w:rPr>
      </w:pPr>
      <w:r>
        <w:rPr>
          <w:rFonts w:hint="eastAsia" w:ascii="宋体" w:hAnsi="宋体" w:eastAsia="宋体" w:cs="Times New Roman"/>
          <w:sz w:val="24"/>
          <w:szCs w:val="24"/>
          <w:lang w:val="en-US" w:eastAsia="zh-CN"/>
        </w:rPr>
        <w:t>供应商</w:t>
      </w:r>
      <w:r>
        <w:rPr>
          <w:rFonts w:hint="eastAsia" w:ascii="宋体" w:hAnsi="宋体" w:eastAsia="宋体" w:cs="Times New Roman"/>
          <w:sz w:val="24"/>
          <w:szCs w:val="24"/>
        </w:rPr>
        <w:t>名称（盖章）：</w:t>
      </w:r>
    </w:p>
    <w:p>
      <w:pPr>
        <w:spacing w:beforeLines="0" w:afterLines="0"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法定代表人或授权代表签字：                          </w:t>
      </w:r>
    </w:p>
    <w:p>
      <w:pPr>
        <w:spacing w:beforeLines="0" w:afterLines="0" w:line="360" w:lineRule="auto"/>
        <w:rPr>
          <w:rFonts w:hint="eastAsia" w:ascii="宋体" w:hAnsi="宋体" w:cs="宋体"/>
          <w:bCs/>
          <w:sz w:val="28"/>
          <w:szCs w:val="28"/>
          <w:highlight w:val="none"/>
        </w:rPr>
      </w:pPr>
      <w:r>
        <w:rPr>
          <w:rFonts w:hint="eastAsia" w:ascii="宋体" w:hAnsi="宋体" w:eastAsia="宋体" w:cs="Times New Roman"/>
          <w:sz w:val="24"/>
          <w:szCs w:val="24"/>
        </w:rPr>
        <w:t>日期：   年   月   日</w:t>
      </w:r>
    </w:p>
    <w:p>
      <w:pPr>
        <w:pStyle w:val="17"/>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bCs/>
          <w:sz w:val="28"/>
          <w:szCs w:val="28"/>
          <w:highlight w:val="none"/>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bCs/>
          <w:sz w:val="28"/>
          <w:szCs w:val="28"/>
          <w:highlight w:val="none"/>
          <w:lang w:eastAsia="zh-CN"/>
        </w:rPr>
      </w:pPr>
    </w:p>
    <w:p>
      <w:pPr>
        <w:pStyle w:val="2"/>
        <w:rPr>
          <w:rFonts w:hint="eastAsia" w:ascii="宋体" w:hAnsi="宋体" w:cs="宋体" w:eastAsiaTheme="minorEastAsia"/>
          <w:bCs/>
          <w:sz w:val="28"/>
          <w:szCs w:val="28"/>
          <w:highlight w:val="none"/>
          <w:lang w:eastAsia="zh-CN"/>
        </w:rPr>
      </w:pPr>
    </w:p>
    <w:p>
      <w:pPr>
        <w:rPr>
          <w:rFonts w:hint="eastAsia" w:ascii="宋体" w:hAnsi="宋体" w:cs="宋体" w:eastAsiaTheme="minorEastAsia"/>
          <w:bCs/>
          <w:sz w:val="28"/>
          <w:szCs w:val="28"/>
          <w:highlight w:val="none"/>
          <w:lang w:eastAsia="zh-CN"/>
        </w:rPr>
      </w:pPr>
    </w:p>
    <w:p>
      <w:pPr>
        <w:pStyle w:val="2"/>
        <w:rPr>
          <w:rFonts w:hint="eastAsia" w:ascii="宋体" w:hAnsi="宋体" w:cs="宋体" w:eastAsiaTheme="minorEastAsia"/>
          <w:bCs/>
          <w:sz w:val="28"/>
          <w:szCs w:val="28"/>
          <w:highlight w:val="none"/>
          <w:lang w:eastAsia="zh-CN"/>
        </w:rPr>
      </w:pPr>
    </w:p>
    <w:p>
      <w:pPr>
        <w:rPr>
          <w:rFonts w:hint="eastAsia"/>
          <w:lang w:eastAsia="zh-CN"/>
        </w:rPr>
      </w:pPr>
    </w:p>
    <w:p>
      <w:pPr>
        <w:rPr>
          <w:rFonts w:hint="eastAsia" w:ascii="黑体" w:hAnsi="黑体" w:eastAsia="黑体" w:cs="黑体"/>
          <w:b/>
          <w:sz w:val="24"/>
          <w:szCs w:val="24"/>
        </w:rPr>
      </w:pPr>
    </w:p>
    <w:p>
      <w:pPr>
        <w:rPr>
          <w:rFonts w:hint="eastAsia" w:ascii="黑体" w:hAnsi="黑体" w:eastAsia="黑体" w:cs="黑体"/>
          <w:b w:val="0"/>
          <w:bCs/>
          <w:sz w:val="24"/>
          <w:szCs w:val="24"/>
        </w:rPr>
      </w:pPr>
      <w:r>
        <w:rPr>
          <w:rFonts w:hint="eastAsia" w:ascii="黑体" w:hAnsi="黑体" w:eastAsia="黑体" w:cs="黑体"/>
          <w:b w:val="0"/>
          <w:bCs/>
          <w:sz w:val="24"/>
          <w:szCs w:val="24"/>
        </w:rPr>
        <w:t>（</w:t>
      </w:r>
      <w:r>
        <w:rPr>
          <w:rFonts w:hint="eastAsia" w:ascii="黑体" w:hAnsi="黑体" w:eastAsia="黑体" w:cs="黑体"/>
          <w:b w:val="0"/>
          <w:bCs/>
          <w:sz w:val="24"/>
          <w:szCs w:val="24"/>
          <w:lang w:val="en-US" w:eastAsia="zh-CN"/>
        </w:rPr>
        <w:t>六</w:t>
      </w:r>
      <w:r>
        <w:rPr>
          <w:rFonts w:hint="eastAsia" w:ascii="黑体" w:hAnsi="黑体" w:eastAsia="黑体" w:cs="黑体"/>
          <w:b w:val="0"/>
          <w:bCs/>
          <w:sz w:val="24"/>
          <w:szCs w:val="24"/>
        </w:rPr>
        <w:t>）中小企业声明函（格式）：</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center"/>
        <w:textAlignment w:val="auto"/>
        <w:rPr>
          <w:rFonts w:hint="eastAsia" w:ascii="黑体" w:hAnsi="黑体" w:eastAsia="黑体" w:cs="黑体"/>
          <w:b w:val="0"/>
          <w:bCs/>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center"/>
        <w:textAlignment w:val="auto"/>
        <w:rPr>
          <w:rFonts w:hint="eastAsia" w:ascii="黑体" w:hAnsi="黑体" w:eastAsia="黑体" w:cs="黑体"/>
          <w:b w:val="0"/>
          <w:bCs/>
          <w:sz w:val="30"/>
          <w:szCs w:val="30"/>
        </w:rPr>
      </w:pPr>
      <w:r>
        <w:rPr>
          <w:rFonts w:hint="eastAsia" w:ascii="黑体" w:hAnsi="黑体" w:eastAsia="黑体" w:cs="黑体"/>
          <w:b w:val="0"/>
          <w:bCs/>
          <w:kern w:val="0"/>
          <w:sz w:val="30"/>
          <w:szCs w:val="30"/>
          <w:lang w:val="en-US" w:eastAsia="zh-CN" w:bidi="ar"/>
        </w:rPr>
        <w:t>中小企业声明函（服务）</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i w:val="0"/>
          <w:iCs w:val="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i w:val="0"/>
          <w:iCs w:val="0"/>
          <w:sz w:val="24"/>
          <w:szCs w:val="24"/>
        </w:rPr>
      </w:pPr>
      <w:r>
        <w:rPr>
          <w:rFonts w:hint="eastAsia" w:ascii="宋体" w:hAnsi="宋体" w:eastAsia="宋体" w:cs="宋体"/>
          <w:i w:val="0"/>
          <w:iCs w:val="0"/>
          <w:kern w:val="0"/>
          <w:sz w:val="24"/>
          <w:szCs w:val="24"/>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kern w:val="0"/>
          <w:sz w:val="24"/>
          <w:szCs w:val="24"/>
          <w:u w:val="single"/>
          <w:lang w:val="en-US" w:eastAsia="zh-CN" w:bidi="ar"/>
        </w:rPr>
        <w:t>（单位名称）</w:t>
      </w:r>
      <w:r>
        <w:rPr>
          <w:rFonts w:hint="eastAsia" w:ascii="宋体" w:hAnsi="宋体" w:eastAsia="宋体" w:cs="宋体"/>
          <w:i w:val="0"/>
          <w:iCs w:val="0"/>
          <w:kern w:val="0"/>
          <w:sz w:val="24"/>
          <w:szCs w:val="24"/>
          <w:lang w:val="en-US" w:eastAsia="zh-CN" w:bidi="ar"/>
        </w:rPr>
        <w:t>的</w:t>
      </w:r>
      <w:r>
        <w:rPr>
          <w:rFonts w:hint="eastAsia" w:ascii="宋体" w:hAnsi="宋体" w:eastAsia="宋体" w:cs="宋体"/>
          <w:i w:val="0"/>
          <w:iCs w:val="0"/>
          <w:kern w:val="0"/>
          <w:sz w:val="24"/>
          <w:szCs w:val="24"/>
          <w:u w:val="single"/>
          <w:lang w:val="en-US" w:eastAsia="zh-CN" w:bidi="ar"/>
        </w:rPr>
        <w:t>（项目名称）</w:t>
      </w:r>
      <w:r>
        <w:rPr>
          <w:rFonts w:hint="eastAsia" w:ascii="宋体" w:hAnsi="宋体" w:eastAsia="宋体" w:cs="宋体"/>
          <w:i w:val="0"/>
          <w:iCs w:val="0"/>
          <w:kern w:val="0"/>
          <w:sz w:val="24"/>
          <w:szCs w:val="24"/>
          <w:lang w:val="en-US" w:eastAsia="zh-CN" w:bidi="ar"/>
        </w:rPr>
        <w:t>采购活动，</w:t>
      </w:r>
      <w:r>
        <w:rPr>
          <w:rFonts w:hint="eastAsia" w:ascii="宋体" w:hAnsi="宋体" w:eastAsia="宋体" w:cs="宋体"/>
          <w:b/>
          <w:bCs/>
          <w:i w:val="0"/>
          <w:iCs w:val="0"/>
          <w:kern w:val="0"/>
          <w:sz w:val="24"/>
          <w:szCs w:val="24"/>
          <w:lang w:val="en-US" w:eastAsia="zh-CN" w:bidi="ar"/>
        </w:rPr>
        <w:t>服务全部由符合政策要求的中小企业承接。</w:t>
      </w:r>
      <w:r>
        <w:rPr>
          <w:rFonts w:hint="eastAsia" w:ascii="宋体" w:hAnsi="宋体" w:eastAsia="宋体" w:cs="宋体"/>
          <w:i w:val="0"/>
          <w:iCs w:val="0"/>
          <w:kern w:val="0"/>
          <w:sz w:val="24"/>
          <w:szCs w:val="24"/>
          <w:lang w:val="en-US" w:eastAsia="zh-CN" w:bidi="ar"/>
        </w:rPr>
        <w:t>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i w:val="0"/>
          <w:iCs w:val="0"/>
          <w:sz w:val="24"/>
          <w:szCs w:val="24"/>
        </w:rPr>
      </w:pPr>
      <w:r>
        <w:rPr>
          <w:rFonts w:hint="eastAsia" w:ascii="宋体" w:hAnsi="宋体" w:eastAsia="宋体" w:cs="宋体"/>
          <w:i w:val="0"/>
          <w:iCs w:val="0"/>
          <w:kern w:val="0"/>
          <w:sz w:val="24"/>
          <w:szCs w:val="24"/>
          <w:lang w:val="en-US" w:eastAsia="zh-CN" w:bidi="ar"/>
        </w:rPr>
        <w:t>1.</w:t>
      </w:r>
      <w:r>
        <w:rPr>
          <w:rFonts w:hint="eastAsia" w:ascii="宋体" w:hAnsi="宋体" w:eastAsia="宋体" w:cs="宋体"/>
          <w:i w:val="0"/>
          <w:iCs w:val="0"/>
          <w:kern w:val="0"/>
          <w:sz w:val="24"/>
          <w:szCs w:val="24"/>
          <w:u w:val="single"/>
          <w:lang w:val="en-US" w:eastAsia="zh-CN" w:bidi="ar"/>
        </w:rPr>
        <w:t xml:space="preserve"> （标的名称） </w:t>
      </w:r>
      <w:r>
        <w:rPr>
          <w:rFonts w:hint="eastAsia" w:ascii="宋体" w:hAnsi="宋体" w:eastAsia="宋体" w:cs="宋体"/>
          <w:i w:val="0"/>
          <w:iCs w:val="0"/>
          <w:kern w:val="0"/>
          <w:sz w:val="24"/>
          <w:szCs w:val="24"/>
          <w:lang w:val="en-US" w:eastAsia="zh-CN" w:bidi="ar"/>
        </w:rPr>
        <w:t>，属于</w:t>
      </w:r>
      <w:r>
        <w:rPr>
          <w:rFonts w:hint="eastAsia" w:ascii="宋体" w:hAnsi="宋体" w:eastAsia="宋体" w:cs="宋体"/>
          <w:i w:val="0"/>
          <w:iCs w:val="0"/>
          <w:kern w:val="0"/>
          <w:sz w:val="24"/>
          <w:szCs w:val="24"/>
          <w:u w:val="single"/>
          <w:lang w:val="en-US" w:eastAsia="zh-CN" w:bidi="ar"/>
        </w:rPr>
        <w:t>（磋商文件中明确的所属行业）</w:t>
      </w:r>
      <w:r>
        <w:rPr>
          <w:rFonts w:hint="eastAsia" w:ascii="宋体" w:hAnsi="宋体" w:eastAsia="宋体" w:cs="宋体"/>
          <w:i w:val="0"/>
          <w:iCs w:val="0"/>
          <w:kern w:val="0"/>
          <w:sz w:val="24"/>
          <w:szCs w:val="24"/>
          <w:lang w:val="en-US" w:eastAsia="zh-CN" w:bidi="ar"/>
        </w:rPr>
        <w:t>；承建（承接）企业为</w:t>
      </w:r>
      <w:r>
        <w:rPr>
          <w:rFonts w:hint="eastAsia" w:ascii="宋体" w:hAnsi="宋体" w:eastAsia="宋体" w:cs="宋体"/>
          <w:i w:val="0"/>
          <w:iCs w:val="0"/>
          <w:kern w:val="0"/>
          <w:sz w:val="24"/>
          <w:szCs w:val="24"/>
          <w:u w:val="single"/>
          <w:lang w:val="en-US" w:eastAsia="zh-CN" w:bidi="ar"/>
        </w:rPr>
        <w:t>（企业名称）</w:t>
      </w:r>
      <w:r>
        <w:rPr>
          <w:rFonts w:hint="eastAsia" w:ascii="宋体" w:hAnsi="宋体" w:eastAsia="宋体" w:cs="宋体"/>
          <w:i w:val="0"/>
          <w:iCs w:val="0"/>
          <w:kern w:val="0"/>
          <w:sz w:val="24"/>
          <w:szCs w:val="24"/>
          <w:lang w:val="en-US" w:eastAsia="zh-CN" w:bidi="ar"/>
        </w:rPr>
        <w:t>，从业人员</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人，营业收入为</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万元，资产总额为</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万元</w:t>
      </w:r>
      <w:r>
        <w:rPr>
          <w:rFonts w:hint="eastAsia" w:ascii="宋体" w:hAnsi="宋体" w:eastAsia="宋体" w:cs="宋体"/>
          <w:i w:val="0"/>
          <w:iCs w:val="0"/>
          <w:kern w:val="0"/>
          <w:sz w:val="24"/>
          <w:szCs w:val="24"/>
          <w:vertAlign w:val="superscript"/>
          <w:lang w:val="en-US" w:eastAsia="zh-CN" w:bidi="ar"/>
        </w:rPr>
        <w:t>1</w:t>
      </w:r>
      <w:r>
        <w:rPr>
          <w:rFonts w:hint="eastAsia" w:ascii="宋体" w:hAnsi="宋体" w:eastAsia="宋体" w:cs="宋体"/>
          <w:i w:val="0"/>
          <w:iCs w:val="0"/>
          <w:kern w:val="0"/>
          <w:sz w:val="24"/>
          <w:szCs w:val="24"/>
          <w:lang w:val="en-US" w:eastAsia="zh-CN" w:bidi="ar"/>
        </w:rPr>
        <w:t>，属于</w:t>
      </w:r>
      <w:r>
        <w:rPr>
          <w:rFonts w:hint="eastAsia" w:ascii="宋体" w:hAnsi="宋体" w:eastAsia="宋体" w:cs="宋体"/>
          <w:i w:val="0"/>
          <w:iCs w:val="0"/>
          <w:kern w:val="0"/>
          <w:sz w:val="24"/>
          <w:szCs w:val="24"/>
          <w:u w:val="single"/>
          <w:lang w:val="en-US" w:eastAsia="zh-CN" w:bidi="ar"/>
        </w:rPr>
        <w:t>（中型企业、小型企业、微型企业）</w:t>
      </w:r>
      <w:r>
        <w:rPr>
          <w:rFonts w:hint="eastAsia" w:ascii="宋体" w:hAnsi="宋体" w:eastAsia="宋体" w:cs="宋体"/>
          <w:i w:val="0"/>
          <w:iCs w:val="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i w:val="0"/>
          <w:iCs w:val="0"/>
          <w:sz w:val="24"/>
          <w:szCs w:val="24"/>
        </w:rPr>
      </w:pPr>
      <w:r>
        <w:rPr>
          <w:rFonts w:hint="eastAsia" w:ascii="宋体" w:hAnsi="宋体" w:eastAsia="宋体" w:cs="宋体"/>
          <w:i w:val="0"/>
          <w:iCs w:val="0"/>
          <w:kern w:val="0"/>
          <w:sz w:val="24"/>
          <w:szCs w:val="24"/>
          <w:lang w:val="en-US" w:eastAsia="zh-CN" w:bidi="ar"/>
        </w:rPr>
        <w:t>2.</w:t>
      </w:r>
      <w:r>
        <w:rPr>
          <w:rFonts w:hint="eastAsia" w:ascii="宋体" w:hAnsi="宋体" w:eastAsia="宋体" w:cs="宋体"/>
          <w:i w:val="0"/>
          <w:iCs w:val="0"/>
          <w:kern w:val="0"/>
          <w:sz w:val="24"/>
          <w:szCs w:val="24"/>
          <w:u w:val="single"/>
          <w:lang w:val="en-US" w:eastAsia="zh-CN" w:bidi="ar"/>
        </w:rPr>
        <w:t xml:space="preserve"> （标的名称） </w:t>
      </w:r>
      <w:r>
        <w:rPr>
          <w:rFonts w:hint="eastAsia" w:ascii="宋体" w:hAnsi="宋体" w:eastAsia="宋体" w:cs="宋体"/>
          <w:i w:val="0"/>
          <w:iCs w:val="0"/>
          <w:kern w:val="0"/>
          <w:sz w:val="24"/>
          <w:szCs w:val="24"/>
          <w:lang w:val="en-US" w:eastAsia="zh-CN" w:bidi="ar"/>
        </w:rPr>
        <w:t>，属于</w:t>
      </w:r>
      <w:r>
        <w:rPr>
          <w:rFonts w:hint="eastAsia" w:ascii="宋体" w:hAnsi="宋体" w:eastAsia="宋体" w:cs="宋体"/>
          <w:i w:val="0"/>
          <w:iCs w:val="0"/>
          <w:kern w:val="0"/>
          <w:sz w:val="24"/>
          <w:szCs w:val="24"/>
          <w:u w:val="single"/>
          <w:lang w:val="en-US" w:eastAsia="zh-CN" w:bidi="ar"/>
        </w:rPr>
        <w:t>（磋商文件中明确的所属行业）</w:t>
      </w:r>
      <w:r>
        <w:rPr>
          <w:rFonts w:hint="eastAsia" w:ascii="宋体" w:hAnsi="宋体" w:eastAsia="宋体" w:cs="宋体"/>
          <w:i w:val="0"/>
          <w:iCs w:val="0"/>
          <w:kern w:val="0"/>
          <w:sz w:val="24"/>
          <w:szCs w:val="24"/>
          <w:lang w:val="en-US" w:eastAsia="zh-CN" w:bidi="ar"/>
        </w:rPr>
        <w:t>；承建（承接）企业为</w:t>
      </w:r>
      <w:r>
        <w:rPr>
          <w:rFonts w:hint="eastAsia" w:ascii="宋体" w:hAnsi="宋体" w:eastAsia="宋体" w:cs="宋体"/>
          <w:i w:val="0"/>
          <w:iCs w:val="0"/>
          <w:kern w:val="0"/>
          <w:sz w:val="24"/>
          <w:szCs w:val="24"/>
          <w:u w:val="single"/>
          <w:lang w:val="en-US" w:eastAsia="zh-CN" w:bidi="ar"/>
        </w:rPr>
        <w:t>（企业名称）</w:t>
      </w:r>
      <w:r>
        <w:rPr>
          <w:rFonts w:hint="eastAsia" w:ascii="宋体" w:hAnsi="宋体" w:eastAsia="宋体" w:cs="宋体"/>
          <w:i w:val="0"/>
          <w:iCs w:val="0"/>
          <w:kern w:val="0"/>
          <w:sz w:val="24"/>
          <w:szCs w:val="24"/>
          <w:lang w:val="en-US" w:eastAsia="zh-CN" w:bidi="ar"/>
        </w:rPr>
        <w:t>，从业人员</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人，营业收入为</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万元，资产总额为</w:t>
      </w:r>
      <w:r>
        <w:rPr>
          <w:rFonts w:hint="eastAsia" w:ascii="宋体" w:hAnsi="宋体" w:eastAsia="宋体" w:cs="宋体"/>
          <w:i w:val="0"/>
          <w:iCs w:val="0"/>
          <w:kern w:val="0"/>
          <w:sz w:val="24"/>
          <w:szCs w:val="24"/>
          <w:u w:val="single"/>
          <w:lang w:val="en-US" w:eastAsia="zh-CN" w:bidi="ar"/>
        </w:rPr>
        <w:t xml:space="preserve">   </w:t>
      </w:r>
      <w:r>
        <w:rPr>
          <w:rFonts w:hint="eastAsia" w:ascii="宋体" w:hAnsi="宋体" w:eastAsia="宋体" w:cs="宋体"/>
          <w:i w:val="0"/>
          <w:iCs w:val="0"/>
          <w:kern w:val="0"/>
          <w:sz w:val="24"/>
          <w:szCs w:val="24"/>
          <w:lang w:val="en-US" w:eastAsia="zh-CN" w:bidi="ar"/>
        </w:rPr>
        <w:t>万元，属于</w:t>
      </w:r>
      <w:r>
        <w:rPr>
          <w:rFonts w:hint="eastAsia" w:ascii="宋体" w:hAnsi="宋体" w:eastAsia="宋体" w:cs="宋体"/>
          <w:i w:val="0"/>
          <w:iCs w:val="0"/>
          <w:kern w:val="0"/>
          <w:sz w:val="24"/>
          <w:szCs w:val="24"/>
          <w:u w:val="single"/>
          <w:lang w:val="en-US" w:eastAsia="zh-CN" w:bidi="ar"/>
        </w:rPr>
        <w:t>（中型企业、小型企业、微型企业）</w:t>
      </w:r>
      <w:r>
        <w:rPr>
          <w:rFonts w:hint="eastAsia" w:ascii="宋体" w:hAnsi="宋体" w:eastAsia="宋体" w:cs="宋体"/>
          <w:i w:val="0"/>
          <w:iCs w:val="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5760" w:firstLineChars="2400"/>
        <w:jc w:val="left"/>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5760" w:firstLineChars="24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 xml:space="preserve">企业名称（盖章）： </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5760" w:firstLineChars="24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日 期：</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5760" w:firstLineChars="24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 </w:t>
      </w:r>
    </w:p>
    <w:p>
      <w:pPr>
        <w:spacing w:line="360" w:lineRule="auto"/>
        <w:ind w:left="414" w:hanging="412" w:hangingChars="200"/>
        <w:rPr>
          <w:rFonts w:hint="eastAsia" w:ascii="Times New Roman" w:hAnsi="宋体" w:eastAsia="宋体" w:cs="宋体"/>
          <w:b w:val="0"/>
          <w:bCs w:val="0"/>
          <w:spacing w:val="-2"/>
          <w:sz w:val="21"/>
          <w:szCs w:val="21"/>
        </w:rPr>
      </w:pPr>
      <w:r>
        <w:rPr>
          <w:rFonts w:hint="eastAsia" w:ascii="Times New Roman" w:hAnsi="宋体" w:eastAsia="宋体" w:cs="宋体"/>
          <w:b w:val="0"/>
          <w:bCs w:val="0"/>
          <w:spacing w:val="-2"/>
          <w:sz w:val="21"/>
          <w:szCs w:val="21"/>
        </w:rPr>
        <w:t>注：1.从业人员、营业收入、资产总额填报上一年度数据，无上一年度数据的新成立企业可不填报。</w:t>
      </w:r>
    </w:p>
    <w:p>
      <w:pPr>
        <w:spacing w:line="360" w:lineRule="auto"/>
        <w:ind w:left="412" w:leftChars="196" w:firstLine="0" w:firstLineChars="0"/>
        <w:rPr>
          <w:rFonts w:hint="eastAsia" w:ascii="Times New Roman" w:hAnsi="宋体" w:eastAsia="宋体" w:cs="宋体"/>
          <w:b w:val="0"/>
          <w:bCs w:val="0"/>
          <w:spacing w:val="-2"/>
          <w:sz w:val="21"/>
          <w:szCs w:val="21"/>
        </w:rPr>
      </w:pPr>
      <w:r>
        <w:rPr>
          <w:rFonts w:hint="eastAsia" w:ascii="Times New Roman" w:hAnsi="宋体" w:eastAsia="宋体" w:cs="宋体"/>
          <w:b w:val="0"/>
          <w:bCs w:val="0"/>
          <w:spacing w:val="-2"/>
          <w:sz w:val="21"/>
          <w:szCs w:val="21"/>
        </w:rPr>
        <w:t>2.中标、成交供应商的《中小企业声明函》将随中标、成交公告进行公示。供应商按照本办法规定提供声明函内容不实的，属于提供虚假材料谋取中标、成交，依照《中华人民共和国政府采购法》等国家有关规定追究相应责任。</w:t>
      </w:r>
    </w:p>
    <w:p>
      <w:pPr>
        <w:spacing w:line="360" w:lineRule="auto"/>
        <w:jc w:val="center"/>
        <w:rPr>
          <w:rFonts w:hint="eastAsia" w:ascii="宋体" w:hAnsi="宋体" w:cs="宋体"/>
          <w:bCs/>
          <w:sz w:val="28"/>
          <w:szCs w:val="28"/>
          <w:highlight w:val="none"/>
        </w:rPr>
      </w:pPr>
    </w:p>
    <w:p>
      <w:pPr>
        <w:spacing w:line="360" w:lineRule="auto"/>
        <w:jc w:val="left"/>
        <w:rPr>
          <w:rFonts w:hint="eastAsia" w:ascii="黑体" w:hAnsi="黑体" w:eastAsia="黑体" w:cs="黑体"/>
          <w:bCs/>
          <w:sz w:val="24"/>
          <w:szCs w:val="24"/>
          <w:highlight w:val="none"/>
          <w:lang w:eastAsia="zh-CN"/>
        </w:rPr>
      </w:pPr>
      <w:r>
        <w:rPr>
          <w:rFonts w:hint="eastAsia" w:ascii="黑体" w:hAnsi="黑体" w:eastAsia="黑体" w:cs="黑体"/>
          <w:bCs/>
          <w:sz w:val="24"/>
          <w:szCs w:val="24"/>
          <w:highlight w:val="none"/>
          <w:lang w:eastAsia="zh-CN"/>
        </w:rPr>
        <w:t>（</w:t>
      </w:r>
      <w:r>
        <w:rPr>
          <w:rFonts w:hint="eastAsia" w:ascii="黑体" w:hAnsi="黑体" w:eastAsia="黑体" w:cs="黑体"/>
          <w:bCs/>
          <w:sz w:val="24"/>
          <w:szCs w:val="24"/>
          <w:highlight w:val="none"/>
          <w:lang w:val="en-US" w:eastAsia="zh-CN"/>
        </w:rPr>
        <w:t>七</w:t>
      </w:r>
      <w:r>
        <w:rPr>
          <w:rFonts w:hint="eastAsia" w:ascii="黑体" w:hAnsi="黑体" w:eastAsia="黑体" w:cs="黑体"/>
          <w:bCs/>
          <w:sz w:val="24"/>
          <w:szCs w:val="24"/>
          <w:highlight w:val="none"/>
          <w:lang w:eastAsia="zh-CN"/>
        </w:rPr>
        <w:t>）</w:t>
      </w:r>
      <w:bookmarkStart w:id="776" w:name="_Hlk2681693"/>
      <w:r>
        <w:rPr>
          <w:rFonts w:hint="eastAsia" w:ascii="黑体" w:hAnsi="黑体" w:eastAsia="黑体" w:cs="黑体"/>
          <w:b/>
          <w:color w:val="auto"/>
          <w:sz w:val="24"/>
          <w:szCs w:val="24"/>
          <w:highlight w:val="none"/>
        </w:rPr>
        <w:t>残疾人福利性单位声明函</w:t>
      </w:r>
      <w:bookmarkEnd w:id="776"/>
      <w:r>
        <w:rPr>
          <w:rFonts w:hint="eastAsia" w:ascii="黑体" w:hAnsi="黑体" w:eastAsia="黑体" w:cs="黑体"/>
          <w:b/>
          <w:color w:val="auto"/>
          <w:sz w:val="24"/>
          <w:szCs w:val="24"/>
          <w:highlight w:val="none"/>
        </w:rPr>
        <w:t>（格式）</w:t>
      </w:r>
      <w:r>
        <w:rPr>
          <w:rFonts w:hint="eastAsia" w:ascii="黑体" w:hAnsi="黑体" w:eastAsia="黑体" w:cs="黑体"/>
          <w:b/>
          <w:color w:val="auto"/>
          <w:sz w:val="24"/>
          <w:szCs w:val="24"/>
          <w:highlight w:val="none"/>
          <w:lang w:eastAsia="zh-CN"/>
        </w:rPr>
        <w:t>：</w:t>
      </w:r>
    </w:p>
    <w:p>
      <w:pPr>
        <w:spacing w:line="360" w:lineRule="auto"/>
        <w:jc w:val="center"/>
        <w:rPr>
          <w:rFonts w:hint="eastAsia" w:ascii="宋体" w:hAnsi="宋体" w:cs="宋体"/>
          <w:bCs/>
          <w:sz w:val="28"/>
          <w:szCs w:val="28"/>
          <w:highlight w:val="none"/>
        </w:rPr>
      </w:pPr>
    </w:p>
    <w:p>
      <w:pPr>
        <w:spacing w:line="360" w:lineRule="auto"/>
        <w:jc w:val="center"/>
        <w:rPr>
          <w:rFonts w:hint="eastAsia" w:ascii="宋体" w:hAnsi="宋体" w:cs="宋体"/>
          <w:bCs/>
          <w:sz w:val="28"/>
          <w:szCs w:val="28"/>
          <w:highlight w:val="none"/>
        </w:rPr>
      </w:pPr>
      <w:r>
        <w:rPr>
          <w:rFonts w:hint="eastAsia" w:ascii="宋体" w:hAnsi="宋体" w:cs="宋体"/>
          <w:bCs/>
          <w:sz w:val="28"/>
          <w:szCs w:val="28"/>
          <w:highlight w:val="none"/>
        </w:rPr>
        <w:t xml:space="preserve"> 残疾人福利性单位声明函</w:t>
      </w:r>
    </w:p>
    <w:p>
      <w:pPr>
        <w:pStyle w:val="2"/>
        <w:spacing w:line="360" w:lineRule="auto"/>
        <w:ind w:right="116"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本单位郑重声明，根据《财政部 民政部 中国残疾人联合会关于促进残疾人就业政府采购政策的通知》（财库〔2017〕 141</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号）的规定，本单位为符合条件的残疾人福利性单位，且本单位参加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单位的</w:t>
      </w:r>
      <w:r>
        <w:rPr>
          <w:rFonts w:hint="eastAsia" w:ascii="宋体" w:hAnsi="宋体" w:eastAsia="宋体" w:cs="宋体"/>
          <w:spacing w:val="119"/>
          <w:sz w:val="24"/>
          <w:szCs w:val="24"/>
          <w:highlight w:val="none"/>
          <w:u w:val="single"/>
        </w:rPr>
        <w:t xml:space="preserve">   </w:t>
      </w:r>
      <w:r>
        <w:rPr>
          <w:rFonts w:hint="eastAsia" w:ascii="宋体" w:hAnsi="宋体" w:eastAsia="宋体" w:cs="宋体"/>
          <w:sz w:val="24"/>
          <w:szCs w:val="24"/>
          <w:highlight w:val="none"/>
        </w:rPr>
        <w:t>项目采购活动提</w:t>
      </w:r>
      <w:r>
        <w:rPr>
          <w:rFonts w:hint="eastAsia" w:ascii="宋体" w:hAnsi="宋体" w:eastAsia="宋体" w:cs="宋体"/>
          <w:spacing w:val="-2"/>
          <w:sz w:val="24"/>
          <w:szCs w:val="24"/>
          <w:highlight w:val="none"/>
        </w:rPr>
        <w:t>供本单位制造的货物（由本单位承担工程/提供服务），或者提供其他残疾人福利性单位</w:t>
      </w:r>
      <w:r>
        <w:rPr>
          <w:rFonts w:hint="eastAsia" w:ascii="宋体" w:hAnsi="宋体" w:eastAsia="宋体" w:cs="宋体"/>
          <w:spacing w:val="-106"/>
          <w:sz w:val="24"/>
          <w:szCs w:val="24"/>
          <w:highlight w:val="none"/>
        </w:rPr>
        <w:t xml:space="preserve"> </w:t>
      </w:r>
      <w:r>
        <w:rPr>
          <w:rFonts w:hint="eastAsia" w:ascii="宋体" w:hAnsi="宋体" w:eastAsia="宋体" w:cs="宋体"/>
          <w:sz w:val="24"/>
          <w:szCs w:val="24"/>
          <w:highlight w:val="none"/>
        </w:rPr>
        <w:t xml:space="preserve">制造的货物（不包括使用非残疾人福利性单位注册商标的货物）。 </w:t>
      </w:r>
    </w:p>
    <w:p>
      <w:pPr>
        <w:pStyle w:val="2"/>
        <w:spacing w:before="39" w:line="360" w:lineRule="auto"/>
        <w:ind w:left="526"/>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本单位对上述声明的真实性负责。如有虚假，将依法承担相应责任。 </w:t>
      </w:r>
    </w:p>
    <w:p>
      <w:pPr>
        <w:pStyle w:val="2"/>
        <w:spacing w:before="166" w:line="360" w:lineRule="auto"/>
        <w:ind w:left="526"/>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2"/>
        <w:spacing w:before="166" w:line="360" w:lineRule="auto"/>
        <w:ind w:left="526"/>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2"/>
        <w:spacing w:before="166" w:line="360" w:lineRule="auto"/>
        <w:ind w:left="526"/>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rPr>
        <w:t xml:space="preserve">                                                                   </w:t>
      </w:r>
    </w:p>
    <w:p>
      <w:pPr>
        <w:pStyle w:val="2"/>
        <w:spacing w:before="166"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rPr>
        <w:t xml:space="preserve">                                 单位名称（盖章）：              </w:t>
      </w:r>
    </w:p>
    <w:p>
      <w:pPr>
        <w:pStyle w:val="2"/>
        <w:spacing w:before="166"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rPr>
        <w:t xml:space="preserve">                                        日   期： </w:t>
      </w:r>
    </w:p>
    <w:p>
      <w:pPr>
        <w:spacing w:line="360" w:lineRule="auto"/>
        <w:ind w:left="720"/>
        <w:rPr>
          <w:rFonts w:hint="eastAsia" w:ascii="宋体" w:hAnsi="宋体" w:cs="宋体"/>
          <w:bCs/>
          <w:sz w:val="24"/>
          <w:highlight w:val="none"/>
        </w:rPr>
      </w:pPr>
    </w:p>
    <w:p>
      <w:pPr>
        <w:spacing w:line="360" w:lineRule="auto"/>
        <w:ind w:left="720"/>
        <w:rPr>
          <w:rFonts w:hint="eastAsia" w:ascii="宋体" w:hAnsi="宋体" w:cs="宋体"/>
          <w:bCs/>
          <w:sz w:val="24"/>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17"/>
        <w:ind w:left="0" w:leftChars="0" w:firstLine="0" w:firstLineChars="0"/>
        <w:rPr>
          <w:rFonts w:hint="eastAsia" w:ascii="宋体" w:hAnsi="宋体" w:eastAsia="宋体" w:cs="宋体"/>
          <w:bCs/>
          <w:kern w:val="2"/>
          <w:szCs w:val="28"/>
          <w:highlight w:val="none"/>
          <w:lang w:val="en-US" w:eastAsia="zh-CN"/>
        </w:rPr>
      </w:pPr>
    </w:p>
    <w:p>
      <w:pPr>
        <w:pStyle w:val="17"/>
        <w:ind w:left="0" w:leftChars="0" w:firstLine="0" w:firstLineChars="0"/>
        <w:rPr>
          <w:rFonts w:hint="eastAsia" w:ascii="宋体" w:hAnsi="宋体" w:eastAsia="宋体" w:cs="宋体"/>
          <w:bCs/>
          <w:kern w:val="2"/>
          <w:szCs w:val="28"/>
          <w:highlight w:val="none"/>
          <w:lang w:val="en-US" w:eastAsia="zh-CN"/>
        </w:rPr>
      </w:pPr>
    </w:p>
    <w:p>
      <w:pPr>
        <w:pStyle w:val="17"/>
        <w:ind w:left="0" w:leftChars="0" w:firstLine="0" w:firstLineChars="0"/>
        <w:rPr>
          <w:rFonts w:hint="eastAsia" w:ascii="宋体" w:hAnsi="宋体" w:eastAsia="宋体" w:cs="宋体"/>
          <w:bCs/>
          <w:kern w:val="2"/>
          <w:szCs w:val="28"/>
          <w:highlight w:val="none"/>
          <w:lang w:val="en-US" w:eastAsia="zh-CN"/>
        </w:rPr>
      </w:pPr>
    </w:p>
    <w:p>
      <w:pPr>
        <w:pStyle w:val="17"/>
        <w:ind w:left="0" w:leftChars="0" w:firstLine="0" w:firstLineChars="0"/>
        <w:rPr>
          <w:rFonts w:hint="eastAsia" w:ascii="宋体" w:hAnsi="宋体" w:eastAsia="宋体" w:cs="宋体"/>
          <w:bCs/>
          <w:kern w:val="2"/>
          <w:szCs w:val="28"/>
          <w:highlight w:val="none"/>
          <w:lang w:val="en-US" w:eastAsia="zh-CN"/>
        </w:rPr>
      </w:pPr>
    </w:p>
    <w:p>
      <w:pPr>
        <w:outlineLvl w:val="0"/>
        <w:rPr>
          <w:rFonts w:hint="eastAsia"/>
          <w:highlight w:val="none"/>
        </w:rPr>
      </w:pPr>
      <w:r>
        <w:rPr>
          <w:rFonts w:hint="eastAsia" w:ascii="宋体" w:hAnsi="宋体" w:cs="宋体"/>
          <w:b/>
          <w:color w:val="auto"/>
          <w:sz w:val="24"/>
          <w:szCs w:val="24"/>
          <w:highlight w:val="none"/>
          <w:lang w:val="en-US" w:eastAsia="zh-CN"/>
        </w:rPr>
        <w:t>附件一、</w:t>
      </w:r>
      <w:r>
        <w:rPr>
          <w:rFonts w:hint="eastAsia" w:ascii="宋体" w:hAnsi="宋体" w:cs="宋体"/>
          <w:b/>
          <w:color w:val="auto"/>
          <w:sz w:val="24"/>
          <w:szCs w:val="24"/>
          <w:highlight w:val="none"/>
        </w:rPr>
        <w:t>政府采购履约担保函（格式）</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 xml:space="preserve">         </w:t>
      </w:r>
      <w:r>
        <w:rPr>
          <w:rFonts w:hint="eastAsia" w:ascii="宋体" w:hAnsi="宋体" w:cs="宋体"/>
          <w:color w:val="auto"/>
          <w:sz w:val="24"/>
          <w:szCs w:val="24"/>
          <w:highlight w:val="none"/>
        </w:rPr>
        <w:t xml:space="preserve">                                                   </w:t>
      </w:r>
    </w:p>
    <w:p>
      <w:pPr>
        <w:spacing w:line="360" w:lineRule="auto"/>
        <w:jc w:val="center"/>
        <w:rPr>
          <w:rFonts w:hint="eastAsia" w:ascii="宋体" w:hAnsi="宋体" w:eastAsia="宋体" w:cs="宋体"/>
          <w:sz w:val="15"/>
          <w:szCs w:val="15"/>
          <w:highlight w:val="none"/>
          <w:u w:val="single"/>
        </w:rPr>
      </w:pPr>
      <w:r>
        <w:rPr>
          <w:rFonts w:hint="eastAsia" w:ascii="华文中宋" w:hAnsi="华文中宋" w:eastAsia="华文中宋"/>
          <w:b/>
          <w:sz w:val="36"/>
          <w:szCs w:val="36"/>
          <w:highlight w:val="none"/>
        </w:rPr>
        <w:t>政府采购履约担保函（项目用）</w:t>
      </w:r>
      <w:r>
        <w:rPr>
          <w:rFonts w:hint="eastAsia"/>
          <w:highlight w:val="none"/>
        </w:rPr>
        <w:t xml:space="preserve">                                     </w:t>
      </w:r>
      <w:r>
        <w:rPr>
          <w:highlight w:val="none"/>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（采购人）：</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鉴于你方与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（以下简称供应商）于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日签定编号为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政府采购合同》（以下简称主合同），且依据该合同的约定，供应商应在</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日前向你方交纳履约保证金，且可以履约担保函的形式交纳履约保证金。应供应商的申请，我方以保证的方式向你方提供如下履约保证金担保：</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一、保证责任的情形及保证金额</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（一）在供应商出现下列情形之一时，我方承担保证责任：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1．将中标项目转让给他人，或者在响应文件中未说明，且未经采购招标机构人同意，将中标项目分包给他人的；</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2．主合同约定的应当缴纳履约保证金的情形: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（1）未按主合同约定的质量、数量和期限供应货物/提供服务/完成工程的；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（二）我方的保证范围是主合同约定的合同价款总额的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%数额为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），币种为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。（即主合同履约保证金金额）</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二、保证的方式及保证期间</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我方保证的方式为：连带责任保证。</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我方保证的期间为：自本合同生效之日起至供应商按照主合同约定的供货/完工期限届满后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日内。</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如果供应商未按主合同约定向贵方供应货物/提供服务/完成工程的，由我方在保证金额内向你方支付上述款项。</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三、承担保证责任的程序</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1．你方要求我方承担保证责任的，应在本保函保证期间内向我方发出书面索赔通知。索赔通知应写明要求索赔的金额，支付款项应到达的帐号。并附有证明供应商违约事实的证明材料。</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如果你方与供应商因货物质量问题产生争议，你方还需同时提供</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部门出具的质量检测报告，或经诉讼（仲裁）程序裁决后的裁决书、调解书，本保证人即按照检测结果或裁决书、调解书决定是否承担保证责任。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我方收到你方的书面索赔通知及相应证明材料，在</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工作日内进行核定后按照本保函的承诺承担保证责任。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四、保证责任的终止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2．我方按照本保函向你方履行了保证责任后，自我方向你方支付款项（支付款项从我方账户划出）之日起，保证责任即终止。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3．按照法律法规的规定或出现应终止我方保证责任的其它情形的，我方在本保函项下的保证责任亦终止。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五、免责条款</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1．因你方违反主合同约定致使供应商不能履行义务的，我方不承担保证责任。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2．依照法律法规的规定或你方与供应商的另行约定，全部或者部分免除供应商应缴纳的保证金义务的，我方亦免除相应的保证责任。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3．因不可抗力造成供应商不能履行供货义务的，我方不承担保证责任。</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六、争议的解决</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因本保函发生的纠纷，由你我双方协商解决，协商不成的，通过诉讼程序解决，诉讼管辖地法院为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法院。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七、保函的生效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本保函自我方加盖公章之日起生效。</w:t>
      </w:r>
    </w:p>
    <w:p>
      <w:pPr>
        <w:spacing w:line="360" w:lineRule="auto"/>
        <w:rPr>
          <w:rFonts w:hint="eastAsia" w:ascii="宋体" w:hAnsi="宋体" w:eastAsia="宋体" w:cs="宋体"/>
          <w:sz w:val="24"/>
          <w:highlight w:val="none"/>
        </w:rPr>
      </w:pPr>
    </w:p>
    <w:p>
      <w:pPr>
        <w:spacing w:line="360" w:lineRule="auto"/>
        <w:ind w:firstLine="5040" w:firstLineChars="2100"/>
        <w:jc w:val="center"/>
        <w:rPr>
          <w:rFonts w:hint="eastAsia" w:ascii="宋体" w:hAnsi="宋体" w:eastAsia="宋体" w:cs="宋体"/>
          <w:sz w:val="24"/>
          <w:highlight w:val="none"/>
        </w:rPr>
      </w:pPr>
      <w:r>
        <w:rPr>
          <w:rFonts w:hint="eastAsia" w:ascii="宋体" w:hAnsi="宋体" w:eastAsia="宋体" w:cs="宋体"/>
          <w:sz w:val="24"/>
          <w:highlight w:val="none"/>
        </w:rPr>
        <w:t>保证人：（公章）</w:t>
      </w:r>
    </w:p>
    <w:p>
      <w:pPr>
        <w:pStyle w:val="2"/>
        <w:spacing w:line="360" w:lineRule="auto"/>
        <w:jc w:val="center"/>
        <w:rPr>
          <w:rFonts w:hint="eastAsia"/>
        </w:rPr>
      </w:pPr>
      <w:r>
        <w:rPr>
          <w:rFonts w:hint="eastAsia" w:ascii="宋体" w:hAnsi="宋体" w:cs="宋体"/>
          <w:kern w:val="2"/>
          <w:sz w:val="24"/>
          <w:szCs w:val="24"/>
          <w:highlight w:val="none"/>
          <w:lang w:val="en-US" w:eastAsia="zh-CN" w:bidi="ar-SA"/>
        </w:rPr>
        <w:t xml:space="preserve">                                                   </w:t>
      </w:r>
      <w:r>
        <w:rPr>
          <w:rFonts w:hint="eastAsia" w:ascii="宋体" w:hAnsi="宋体" w:eastAsia="宋体" w:cs="宋体"/>
          <w:kern w:val="2"/>
          <w:sz w:val="24"/>
          <w:szCs w:val="24"/>
          <w:highlight w:val="none"/>
          <w:lang w:val="en-US" w:eastAsia="zh-CN" w:bidi="ar-SA"/>
        </w:rPr>
        <w:t>年     月      日</w:t>
      </w:r>
    </w:p>
    <w:p>
      <w:pPr>
        <w:spacing w:line="360" w:lineRule="auto"/>
      </w:pPr>
    </w:p>
    <w:sectPr>
      <w:pgSz w:w="11900" w:h="16840"/>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7B291"/>
    <w:multiLevelType w:val="singleLevel"/>
    <w:tmpl w:val="BB77B291"/>
    <w:lvl w:ilvl="0" w:tentative="0">
      <w:start w:val="1"/>
      <w:numFmt w:val="decimal"/>
      <w:suff w:val="nothing"/>
      <w:lvlText w:val="%1、"/>
      <w:lvlJc w:val="left"/>
    </w:lvl>
  </w:abstractNum>
  <w:abstractNum w:abstractNumId="1">
    <w:nsid w:val="BC99882D"/>
    <w:multiLevelType w:val="singleLevel"/>
    <w:tmpl w:val="BC99882D"/>
    <w:lvl w:ilvl="0" w:tentative="0">
      <w:start w:val="7"/>
      <w:numFmt w:val="decimal"/>
      <w:suff w:val="nothing"/>
      <w:lvlText w:val="%1、"/>
      <w:lvlJc w:val="left"/>
    </w:lvl>
  </w:abstractNum>
  <w:abstractNum w:abstractNumId="2">
    <w:nsid w:val="37679DAD"/>
    <w:multiLevelType w:val="singleLevel"/>
    <w:tmpl w:val="37679DAD"/>
    <w:lvl w:ilvl="0" w:tentative="0">
      <w:start w:val="15"/>
      <w:numFmt w:val="chineseCounting"/>
      <w:suff w:val="nothing"/>
      <w:lvlText w:val="（%1）"/>
      <w:lvlJc w:val="left"/>
      <w:rPr>
        <w:rFonts w:hint="eastAsia"/>
      </w:rPr>
    </w:lvl>
  </w:abstractNum>
  <w:abstractNum w:abstractNumId="3">
    <w:nsid w:val="409C79A4"/>
    <w:multiLevelType w:val="multilevel"/>
    <w:tmpl w:val="409C79A4"/>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1MmIwMDI0Y2FiN2QyZjBmNjMzZjk3Y2NiZDQ5NmUifQ=="/>
  </w:docVars>
  <w:rsids>
    <w:rsidRoot w:val="00D46A4D"/>
    <w:rsid w:val="00662D82"/>
    <w:rsid w:val="0096748C"/>
    <w:rsid w:val="00A5601F"/>
    <w:rsid w:val="00CD5990"/>
    <w:rsid w:val="00D46A4D"/>
    <w:rsid w:val="00FF73AC"/>
    <w:rsid w:val="025951EF"/>
    <w:rsid w:val="039A0B7B"/>
    <w:rsid w:val="03C76963"/>
    <w:rsid w:val="03F75207"/>
    <w:rsid w:val="05E42195"/>
    <w:rsid w:val="077A1135"/>
    <w:rsid w:val="09A400A6"/>
    <w:rsid w:val="09C42361"/>
    <w:rsid w:val="0D31571E"/>
    <w:rsid w:val="0D3E5906"/>
    <w:rsid w:val="0FA73786"/>
    <w:rsid w:val="0FCE2765"/>
    <w:rsid w:val="108D36A5"/>
    <w:rsid w:val="110D552B"/>
    <w:rsid w:val="13042088"/>
    <w:rsid w:val="13D87A57"/>
    <w:rsid w:val="15EB31D0"/>
    <w:rsid w:val="165B72B0"/>
    <w:rsid w:val="17B500C5"/>
    <w:rsid w:val="1897104C"/>
    <w:rsid w:val="18CD45C3"/>
    <w:rsid w:val="1BBC3931"/>
    <w:rsid w:val="1D3706AF"/>
    <w:rsid w:val="1E8F53CB"/>
    <w:rsid w:val="1ED96DFA"/>
    <w:rsid w:val="1F1B547E"/>
    <w:rsid w:val="1F2E26B5"/>
    <w:rsid w:val="1FE91861"/>
    <w:rsid w:val="204C308C"/>
    <w:rsid w:val="2404305E"/>
    <w:rsid w:val="27E54441"/>
    <w:rsid w:val="28581610"/>
    <w:rsid w:val="2A614AB9"/>
    <w:rsid w:val="2A757D6F"/>
    <w:rsid w:val="2A863B2C"/>
    <w:rsid w:val="32F06A62"/>
    <w:rsid w:val="32F128CB"/>
    <w:rsid w:val="340E2035"/>
    <w:rsid w:val="376D790A"/>
    <w:rsid w:val="37865FD4"/>
    <w:rsid w:val="3AEA35CF"/>
    <w:rsid w:val="3B714E2B"/>
    <w:rsid w:val="3C226298"/>
    <w:rsid w:val="3E954E4C"/>
    <w:rsid w:val="42116A20"/>
    <w:rsid w:val="43E41BF7"/>
    <w:rsid w:val="48AE78FB"/>
    <w:rsid w:val="48C37356"/>
    <w:rsid w:val="48FC0103"/>
    <w:rsid w:val="49837F59"/>
    <w:rsid w:val="4B11480A"/>
    <w:rsid w:val="4B214C3B"/>
    <w:rsid w:val="4FFC60BF"/>
    <w:rsid w:val="50BC7A06"/>
    <w:rsid w:val="567C6EF3"/>
    <w:rsid w:val="56945458"/>
    <w:rsid w:val="589E1BD3"/>
    <w:rsid w:val="5C581546"/>
    <w:rsid w:val="5FE23598"/>
    <w:rsid w:val="609365FE"/>
    <w:rsid w:val="66642A8D"/>
    <w:rsid w:val="684F6C06"/>
    <w:rsid w:val="68863217"/>
    <w:rsid w:val="693E5B46"/>
    <w:rsid w:val="6A583AA3"/>
    <w:rsid w:val="6B4F3F91"/>
    <w:rsid w:val="6BC93FF4"/>
    <w:rsid w:val="6BCE2828"/>
    <w:rsid w:val="6D5D3B57"/>
    <w:rsid w:val="6E227515"/>
    <w:rsid w:val="6E715AF2"/>
    <w:rsid w:val="6E88361E"/>
    <w:rsid w:val="715220E5"/>
    <w:rsid w:val="71CA70BB"/>
    <w:rsid w:val="76AD7897"/>
    <w:rsid w:val="77E04324"/>
    <w:rsid w:val="796A30B2"/>
    <w:rsid w:val="79BE2A0D"/>
    <w:rsid w:val="7B670E83"/>
    <w:rsid w:val="7C507143"/>
    <w:rsid w:val="7F5D6825"/>
    <w:rsid w:val="7FDD3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link w:val="18"/>
    <w:qFormat/>
    <w:uiPriority w:val="99"/>
    <w:pPr>
      <w:keepNext/>
      <w:keepLines/>
      <w:spacing w:line="415" w:lineRule="auto"/>
      <w:ind w:left="567" w:hanging="567"/>
      <w:outlineLvl w:val="1"/>
    </w:pPr>
    <w:rPr>
      <w:rFonts w:ascii="Arial" w:hAnsi="Arial" w:eastAsia="黑体" w:cs="Arial"/>
      <w:b/>
      <w:bCs/>
      <w:kern w:val="0"/>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
    <w:unhideWhenUsed/>
    <w:qFormat/>
    <w:uiPriority w:val="99"/>
    <w:pPr>
      <w:autoSpaceDE w:val="0"/>
      <w:autoSpaceDN w:val="0"/>
      <w:adjustRightInd w:val="0"/>
    </w:pPr>
    <w:rPr>
      <w:rFonts w:ascii="仿宋_GB2312" w:hAnsi="仿宋_GB2312" w:eastAsia="宋体" w:cs="宋体"/>
      <w:kern w:val="0"/>
      <w:sz w:val="28"/>
      <w:szCs w:val="28"/>
    </w:rPr>
  </w:style>
  <w:style w:type="paragraph" w:styleId="4">
    <w:name w:val="Body Text Indent"/>
    <w:basedOn w:val="1"/>
    <w:qFormat/>
    <w:uiPriority w:val="0"/>
    <w:pPr>
      <w:widowControl/>
      <w:autoSpaceDE w:val="0"/>
      <w:autoSpaceDN w:val="0"/>
      <w:adjustRightInd w:val="0"/>
      <w:spacing w:line="300" w:lineRule="auto"/>
      <w:ind w:left="156"/>
    </w:pPr>
    <w:rPr>
      <w:rFonts w:ascii="仿宋_GB2312" w:eastAsia="仿宋_GB2312"/>
      <w:kern w:val="0"/>
      <w:sz w:val="28"/>
      <w:szCs w:val="20"/>
    </w:rPr>
  </w:style>
  <w:style w:type="paragraph" w:styleId="5">
    <w:name w:val="Block Text"/>
    <w:basedOn w:val="1"/>
    <w:unhideWhenUsed/>
    <w:qFormat/>
    <w:uiPriority w:val="99"/>
    <w:pPr>
      <w:adjustRightInd w:val="0"/>
      <w:spacing w:before="100" w:beforeAutospacing="1" w:after="100" w:afterAutospacing="1"/>
      <w:ind w:left="420" w:right="33"/>
      <w:jc w:val="left"/>
      <w:textAlignment w:val="baseline"/>
    </w:pPr>
    <w:rPr>
      <w:rFonts w:ascii="宋体" w:hAnsi="宋体" w:eastAsia="宋体" w:cs="宋体"/>
      <w:kern w:val="0"/>
      <w:sz w:val="24"/>
    </w:rPr>
  </w:style>
  <w:style w:type="paragraph" w:styleId="6">
    <w:name w:val="footer"/>
    <w:basedOn w:val="1"/>
    <w:next w:val="7"/>
    <w:link w:val="23"/>
    <w:unhideWhenUsed/>
    <w:qFormat/>
    <w:uiPriority w:val="99"/>
    <w:pPr>
      <w:snapToGrid w:val="0"/>
      <w:jc w:val="left"/>
    </w:pPr>
    <w:rPr>
      <w:rFonts w:ascii="Tahoma" w:hAnsi="Tahoma" w:eastAsia="宋体" w:cs="Tahoma"/>
      <w:kern w:val="0"/>
      <w:sz w:val="18"/>
      <w:szCs w:val="18"/>
    </w:rPr>
  </w:style>
  <w:style w:type="paragraph" w:customStyle="1" w:styleId="7">
    <w:name w:val="TOC Heading1"/>
    <w:basedOn w:val="1"/>
    <w:next w:val="1"/>
    <w:semiHidden/>
    <w:qFormat/>
    <w:uiPriority w:val="0"/>
    <w:pPr>
      <w:widowControl/>
      <w:wordWrap w:val="0"/>
      <w:jc w:val="left"/>
    </w:pPr>
    <w:rPr>
      <w:rFonts w:ascii="Times New Roman" w:hAnsi="Times New Roman" w:eastAsia="宋体" w:cs="Times New Roman"/>
      <w:kern w:val="0"/>
      <w:sz w:val="32"/>
      <w:szCs w:val="32"/>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First Indent 2"/>
    <w:basedOn w:val="4"/>
    <w:next w:val="1"/>
    <w:qFormat/>
    <w:uiPriority w:val="0"/>
    <w:pPr>
      <w:widowControl w:val="0"/>
      <w:autoSpaceDE/>
      <w:autoSpaceDN/>
      <w:adjustRightInd/>
      <w:spacing w:after="120" w:line="420" w:lineRule="exact"/>
      <w:ind w:left="420" w:leftChars="200" w:firstLine="200" w:firstLineChars="200"/>
    </w:pPr>
    <w:rPr>
      <w:rFonts w:ascii="Calibri" w:eastAsia="宋体"/>
      <w:sz w:val="24"/>
      <w:szCs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character" w:styleId="14">
    <w:name w:val="FollowedHyperlink"/>
    <w:basedOn w:val="12"/>
    <w:unhideWhenUsed/>
    <w:qFormat/>
    <w:uiPriority w:val="99"/>
    <w:rPr>
      <w:color w:val="800080"/>
      <w:u w:val="single"/>
    </w:rPr>
  </w:style>
  <w:style w:type="character" w:styleId="15">
    <w:name w:val="Hyperlink"/>
    <w:basedOn w:val="12"/>
    <w:unhideWhenUsed/>
    <w:qFormat/>
    <w:uiPriority w:val="99"/>
    <w:rPr>
      <w:color w:val="0000FF"/>
      <w:u w:val="single"/>
    </w:rPr>
  </w:style>
  <w:style w:type="paragraph" w:customStyle="1" w:styleId="16">
    <w:name w:val="_Style 1"/>
    <w:basedOn w:val="1"/>
    <w:qFormat/>
    <w:uiPriority w:val="99"/>
    <w:pPr>
      <w:ind w:firstLine="420" w:firstLineChars="200"/>
    </w:pPr>
    <w:rPr>
      <w:rFonts w:ascii="Calibri" w:hAnsi="Calibri" w:eastAsia="宋体" w:cs="Calibri"/>
      <w:kern w:val="0"/>
      <w:sz w:val="34"/>
      <w:szCs w:val="34"/>
    </w:rPr>
  </w:style>
  <w:style w:type="paragraph" w:customStyle="1" w:styleId="17">
    <w:name w:val="列出段落1"/>
    <w:basedOn w:val="1"/>
    <w:semiHidden/>
    <w:qFormat/>
    <w:uiPriority w:val="0"/>
    <w:pPr>
      <w:ind w:firstLine="420" w:firstLineChars="200"/>
    </w:pPr>
    <w:rPr>
      <w:rFonts w:ascii="宋体" w:hAnsi="宋体" w:eastAsia="宋体" w:cs="宋体"/>
      <w:kern w:val="0"/>
      <w:szCs w:val="21"/>
    </w:rPr>
  </w:style>
  <w:style w:type="character" w:customStyle="1" w:styleId="18">
    <w:name w:val="标题 2 字符"/>
    <w:basedOn w:val="12"/>
    <w:link w:val="3"/>
    <w:qFormat/>
    <w:uiPriority w:val="99"/>
    <w:rPr>
      <w:rFonts w:ascii="Arial" w:hAnsi="Arial" w:eastAsia="黑体" w:cs="Arial"/>
      <w:b/>
      <w:bCs/>
      <w:kern w:val="0"/>
      <w:sz w:val="32"/>
      <w:szCs w:val="32"/>
    </w:rPr>
  </w:style>
  <w:style w:type="paragraph" w:customStyle="1" w:styleId="19">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0">
    <w:name w:val="正文文本 字符"/>
    <w:basedOn w:val="12"/>
    <w:link w:val="2"/>
    <w:qFormat/>
    <w:uiPriority w:val="99"/>
    <w:rPr>
      <w:rFonts w:ascii="仿宋_GB2312" w:hAnsi="仿宋_GB2312" w:eastAsia="宋体" w:cs="宋体"/>
      <w:kern w:val="0"/>
      <w:sz w:val="28"/>
      <w:szCs w:val="28"/>
    </w:rPr>
  </w:style>
  <w:style w:type="paragraph" w:customStyle="1" w:styleId="21">
    <w:name w:val="普通文字"/>
    <w:basedOn w:val="1"/>
    <w:next w:val="1"/>
    <w:qFormat/>
    <w:uiPriority w:val="0"/>
    <w:rPr>
      <w:rFonts w:ascii="宋体" w:hAnsi="Times New Roman" w:eastAsia="宋体" w:cs="Times New Roman"/>
      <w:kern w:val="0"/>
      <w:sz w:val="24"/>
    </w:rPr>
  </w:style>
  <w:style w:type="paragraph" w:styleId="22">
    <w:name w:val="List Paragraph"/>
    <w:basedOn w:val="1"/>
    <w:qFormat/>
    <w:uiPriority w:val="99"/>
    <w:pPr>
      <w:ind w:firstLine="420" w:firstLineChars="200"/>
    </w:pPr>
    <w:rPr>
      <w:rFonts w:ascii="Calibri" w:hAnsi="Calibri" w:eastAsia="宋体" w:cs="Calibri"/>
      <w:kern w:val="0"/>
      <w:sz w:val="34"/>
      <w:szCs w:val="34"/>
    </w:rPr>
  </w:style>
  <w:style w:type="character" w:customStyle="1" w:styleId="23">
    <w:name w:val="页脚 字符"/>
    <w:basedOn w:val="12"/>
    <w:link w:val="6"/>
    <w:qFormat/>
    <w:uiPriority w:val="99"/>
    <w:rPr>
      <w:rFonts w:ascii="Tahoma" w:hAnsi="Tahoma" w:eastAsia="宋体" w:cs="Tahoma"/>
      <w:kern w:val="0"/>
      <w:sz w:val="18"/>
      <w:szCs w:val="18"/>
    </w:rPr>
  </w:style>
  <w:style w:type="character" w:customStyle="1" w:styleId="24">
    <w:name w:val="10"/>
    <w:basedOn w:val="12"/>
    <w:qFormat/>
    <w:uiPriority w:val="0"/>
    <w:rPr>
      <w:rFonts w:hint="default" w:ascii="Tahoma" w:hAnsi="Tahoma" w:cs="仿宋_GB2312"/>
      <w:sz w:val="24"/>
      <w:szCs w:val="24"/>
    </w:rPr>
  </w:style>
  <w:style w:type="character" w:customStyle="1" w:styleId="25">
    <w:name w:val="15"/>
    <w:basedOn w:val="12"/>
    <w:qFormat/>
    <w:uiPriority w:val="0"/>
    <w:rPr>
      <w:rFonts w:hint="default" w:ascii="Tahoma" w:hAnsi="Tahoma" w:cs="仿宋_GB2312"/>
      <w:sz w:val="24"/>
      <w:szCs w:val="24"/>
    </w:rPr>
  </w:style>
  <w:style w:type="character" w:customStyle="1" w:styleId="26">
    <w:name w:val="16"/>
    <w:basedOn w:val="12"/>
    <w:qFormat/>
    <w:uiPriority w:val="0"/>
    <w:rPr>
      <w:rFonts w:hint="eastAsia" w:ascii="微软雅黑" w:hAnsi="微软雅黑" w:eastAsia="微软雅黑"/>
      <w:color w:val="000000"/>
      <w:sz w:val="20"/>
      <w:szCs w:val="20"/>
    </w:rPr>
  </w:style>
  <w:style w:type="character" w:customStyle="1" w:styleId="27">
    <w:name w:val="17"/>
    <w:basedOn w:val="12"/>
    <w:qFormat/>
    <w:uiPriority w:val="0"/>
    <w:rPr>
      <w:rFonts w:hint="eastAsia" w:ascii="微软雅黑" w:hAnsi="微软雅黑" w:eastAsia="微软雅黑"/>
      <w:color w:val="FF0000"/>
      <w:sz w:val="20"/>
      <w:szCs w:val="20"/>
    </w:rPr>
  </w:style>
  <w:style w:type="character" w:customStyle="1" w:styleId="28">
    <w:name w:val="font31"/>
    <w:basedOn w:val="12"/>
    <w:qFormat/>
    <w:uiPriority w:val="0"/>
    <w:rPr>
      <w:rFonts w:hint="eastAsia" w:ascii="微软雅黑" w:hAnsi="微软雅黑" w:eastAsia="微软雅黑" w:cs="微软雅黑"/>
      <w:color w:val="000000"/>
      <w:sz w:val="20"/>
      <w:szCs w:val="20"/>
      <w:u w:val="none"/>
    </w:rPr>
  </w:style>
  <w:style w:type="character" w:customStyle="1" w:styleId="29">
    <w:name w:val="font71"/>
    <w:basedOn w:val="12"/>
    <w:qFormat/>
    <w:uiPriority w:val="0"/>
    <w:rPr>
      <w:rFonts w:hint="eastAsia" w:ascii="微软雅黑" w:hAnsi="微软雅黑" w:eastAsia="微软雅黑" w:cs="微软雅黑"/>
      <w:color w:val="FF0000"/>
      <w:sz w:val="20"/>
      <w:szCs w:val="20"/>
      <w:u w:val="none"/>
    </w:rPr>
  </w:style>
  <w:style w:type="character" w:customStyle="1" w:styleId="30">
    <w:name w:val="font21"/>
    <w:basedOn w:val="12"/>
    <w:qFormat/>
    <w:uiPriority w:val="0"/>
    <w:rPr>
      <w:rFonts w:hint="eastAsia" w:ascii="微软雅黑" w:hAnsi="微软雅黑" w:eastAsia="微软雅黑" w:cs="微软雅黑"/>
      <w:color w:val="000000"/>
      <w:sz w:val="20"/>
      <w:szCs w:val="20"/>
      <w:u w:val="none"/>
    </w:rPr>
  </w:style>
  <w:style w:type="character" w:customStyle="1" w:styleId="31">
    <w:name w:val="font61"/>
    <w:basedOn w:val="12"/>
    <w:qFormat/>
    <w:uiPriority w:val="0"/>
    <w:rPr>
      <w:rFonts w:hint="eastAsia" w:ascii="微软雅黑" w:hAnsi="微软雅黑" w:eastAsia="微软雅黑" w:cs="微软雅黑"/>
      <w:color w:val="FF0000"/>
      <w:sz w:val="20"/>
      <w:szCs w:val="20"/>
      <w:u w:val="none"/>
    </w:rPr>
  </w:style>
  <w:style w:type="character" w:customStyle="1" w:styleId="32">
    <w:name w:val="font11"/>
    <w:basedOn w:val="12"/>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98</Pages>
  <Words>53164</Words>
  <Characters>61033</Characters>
  <Lines>2245</Lines>
  <Paragraphs>4082</Paragraphs>
  <TotalTime>110</TotalTime>
  <ScaleCrop>false</ScaleCrop>
  <LinksUpToDate>false</LinksUpToDate>
  <CharactersWithSpaces>64571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2018-05-17T07:29:00Z</dcterms:created>
  <dc:creator>Microsoft Office 用户</dc:creator>
  <cp:lastModifiedBy>倪倩</cp:lastModifiedBy>
  <dcterms:modified xsi:type="dcterms:W3CDTF">2022-07-08T09:43:10Z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94752896D21445B6AC5B49EB20CE79D1</vt:lpwstr>
  </property>
</Properties>
</file>