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ascii="宋体" w:hAnsi="宋体" w:cs="宋体"/>
          <w:b/>
          <w:color w:val="auto"/>
          <w:sz w:val="52"/>
          <w:szCs w:val="52"/>
          <w:highlight w:val="none"/>
        </w:rPr>
      </w:pPr>
    </w:p>
    <w:p>
      <w:pPr>
        <w:pStyle w:val="2"/>
        <w:rPr>
          <w:rFonts w:ascii="宋体" w:hAnsi="宋体" w:cs="宋体"/>
          <w:b/>
          <w:color w:val="auto"/>
          <w:sz w:val="52"/>
          <w:szCs w:val="52"/>
          <w:highlight w:val="none"/>
        </w:rPr>
      </w:pPr>
    </w:p>
    <w:p>
      <w:pPr>
        <w:rPr>
          <w:color w:val="auto"/>
          <w:highlight w:val="none"/>
        </w:rPr>
      </w:pPr>
    </w:p>
    <w:p>
      <w:pPr>
        <w:topLinePunct/>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无锡市政府采购</w:t>
      </w:r>
    </w:p>
    <w:p>
      <w:pPr>
        <w:topLinePunct/>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竞争性磋商文件</w:t>
      </w: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ind w:left="3036" w:hanging="3036" w:hangingChars="945"/>
        <w:rPr>
          <w:rFonts w:ascii="宋体" w:hAnsi="宋体" w:cs="宋体"/>
          <w:b/>
          <w:color w:val="auto"/>
          <w:sz w:val="32"/>
          <w:szCs w:val="32"/>
          <w:highlight w:val="none"/>
        </w:rPr>
      </w:pPr>
    </w:p>
    <w:p>
      <w:pPr>
        <w:topLinePunct/>
        <w:spacing w:line="360" w:lineRule="auto"/>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 xml:space="preserve">采购编号： </w:t>
      </w:r>
      <w:r>
        <w:rPr>
          <w:rFonts w:hint="eastAsia" w:ascii="宋体" w:hAnsi="宋体" w:cs="宋体"/>
          <w:b/>
          <w:color w:val="auto"/>
          <w:sz w:val="32"/>
          <w:szCs w:val="32"/>
          <w:highlight w:val="none"/>
          <w:lang w:eastAsia="zh-CN"/>
        </w:rPr>
        <w:t>LXJSDNCG2021-02</w:t>
      </w:r>
    </w:p>
    <w:p>
      <w:pPr>
        <w:topLinePunct/>
        <w:spacing w:line="360" w:lineRule="auto"/>
        <w:ind w:firstLine="321" w:firstLineChars="100"/>
        <w:rPr>
          <w:rFonts w:ascii="宋体" w:hAnsi="宋体" w:cs="宋体"/>
          <w:b/>
          <w:color w:val="auto"/>
          <w:sz w:val="32"/>
          <w:szCs w:val="32"/>
          <w:highlight w:val="none"/>
        </w:rPr>
      </w:pPr>
    </w:p>
    <w:p>
      <w:pPr>
        <w:topLinePunct/>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采购名称：</w:t>
      </w:r>
      <w:r>
        <w:rPr>
          <w:rFonts w:hint="eastAsia" w:ascii="宋体" w:hAnsi="宋体" w:cs="宋体"/>
          <w:b/>
          <w:color w:val="auto"/>
          <w:sz w:val="32"/>
          <w:szCs w:val="32"/>
          <w:highlight w:val="none"/>
          <w:lang w:eastAsia="zh-CN"/>
        </w:rPr>
        <w:t>2021年度上马墩街道背街小巷整治改造工程</w:t>
      </w:r>
    </w:p>
    <w:p>
      <w:pPr>
        <w:topLinePunct/>
        <w:jc w:val="center"/>
        <w:rPr>
          <w:rFonts w:ascii="宋体" w:hAnsi="宋体" w:cs="宋体"/>
          <w:b/>
          <w:color w:val="auto"/>
          <w:sz w:val="32"/>
          <w:szCs w:val="32"/>
          <w:highlight w:val="none"/>
        </w:rPr>
      </w:pPr>
    </w:p>
    <w:p>
      <w:pPr>
        <w:topLinePunct/>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eastAsia="zh-CN"/>
        </w:rPr>
        <w:t>无锡市梁溪区上马墩街道办事处</w:t>
      </w:r>
    </w:p>
    <w:p>
      <w:pPr>
        <w:topLinePunct/>
        <w:spacing w:line="360" w:lineRule="auto"/>
        <w:rPr>
          <w:rFonts w:ascii="宋体" w:hAnsi="宋体" w:cs="宋体"/>
          <w:b/>
          <w:color w:val="auto"/>
          <w:sz w:val="32"/>
          <w:szCs w:val="32"/>
          <w:highlight w:val="none"/>
        </w:rPr>
      </w:pPr>
    </w:p>
    <w:p>
      <w:pPr>
        <w:topLinePunct/>
        <w:spacing w:line="360" w:lineRule="auto"/>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江苏德诺工程项目管理有限公司</w:t>
      </w:r>
    </w:p>
    <w:p>
      <w:pPr>
        <w:topLinePunct/>
        <w:spacing w:line="360" w:lineRule="auto"/>
        <w:rPr>
          <w:rFonts w:ascii="宋体" w:hAnsi="宋体" w:cs="宋体"/>
          <w:b/>
          <w:color w:val="auto"/>
          <w:sz w:val="24"/>
          <w:highlight w:val="none"/>
        </w:rPr>
      </w:pPr>
    </w:p>
    <w:p>
      <w:pPr>
        <w:topLinePunct/>
        <w:spacing w:line="360" w:lineRule="auto"/>
        <w:jc w:val="center"/>
        <w:rPr>
          <w:rFonts w:ascii="宋体" w:hAnsi="宋体" w:cs="宋体"/>
          <w:b/>
          <w:color w:val="auto"/>
          <w:sz w:val="32"/>
          <w:szCs w:val="32"/>
          <w:highlight w:val="none"/>
        </w:rPr>
      </w:pPr>
    </w:p>
    <w:p>
      <w:pPr>
        <w:topLinePunct/>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二〇二一年</w:t>
      </w:r>
      <w:r>
        <w:rPr>
          <w:rFonts w:hint="eastAsia" w:ascii="宋体" w:hAnsi="宋体" w:cs="宋体"/>
          <w:b/>
          <w:color w:val="auto"/>
          <w:sz w:val="32"/>
          <w:szCs w:val="32"/>
          <w:highlight w:val="none"/>
          <w:lang w:val="en-US" w:eastAsia="zh-CN"/>
        </w:rPr>
        <w:t>十</w:t>
      </w:r>
      <w:r>
        <w:rPr>
          <w:rFonts w:hint="eastAsia" w:ascii="宋体" w:hAnsi="宋体" w:cs="宋体"/>
          <w:b/>
          <w:color w:val="auto"/>
          <w:sz w:val="32"/>
          <w:szCs w:val="32"/>
          <w:highlight w:val="none"/>
        </w:rPr>
        <w:t>月</w:t>
      </w:r>
    </w:p>
    <w:p>
      <w:pPr>
        <w:topLinePunct/>
        <w:snapToGrid w:val="0"/>
        <w:spacing w:line="360" w:lineRule="auto"/>
        <w:jc w:val="center"/>
        <w:rPr>
          <w:rFonts w:ascii="宋体" w:hAnsi="宋体" w:cs="宋体"/>
          <w:b/>
          <w:color w:val="auto"/>
          <w:sz w:val="44"/>
          <w:szCs w:val="44"/>
          <w:highlight w:val="none"/>
        </w:rPr>
      </w:pPr>
    </w:p>
    <w:p>
      <w:pPr>
        <w:topLinePunct/>
        <w:snapToGri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topLinePunct/>
        <w:snapToGrid w:val="0"/>
        <w:spacing w:line="360" w:lineRule="auto"/>
        <w:jc w:val="center"/>
        <w:rPr>
          <w:rFonts w:ascii="宋体" w:hAnsi="宋体" w:cs="宋体"/>
          <w:b/>
          <w:color w:val="auto"/>
          <w:sz w:val="30"/>
          <w:szCs w:val="30"/>
          <w:highlight w:val="none"/>
        </w:rPr>
      </w:pPr>
    </w:p>
    <w:p>
      <w:pPr>
        <w:tabs>
          <w:tab w:val="left" w:pos="8000"/>
        </w:tabs>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第一部分   磋商须知前附表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第二部分   磋商须知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第三部分   </w:t>
      </w:r>
      <w:r>
        <w:rPr>
          <w:rFonts w:hint="eastAsia" w:ascii="宋体" w:hAnsi="宋体" w:cs="宋体"/>
          <w:b/>
          <w:color w:val="auto"/>
          <w:sz w:val="30"/>
          <w:szCs w:val="30"/>
          <w:highlight w:val="none"/>
          <w:lang w:val="en-US" w:eastAsia="zh-CN"/>
        </w:rPr>
        <w:t>采购需求</w:t>
      </w:r>
      <w:r>
        <w:rPr>
          <w:rFonts w:hint="eastAsia" w:ascii="宋体" w:hAnsi="宋体" w:cs="宋体"/>
          <w:b/>
          <w:color w:val="auto"/>
          <w:sz w:val="30"/>
          <w:szCs w:val="30"/>
          <w:highlight w:val="none"/>
        </w:rPr>
        <w:t xml:space="preserve">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第四部分   合同条款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第五部分   附件 </w:t>
      </w:r>
    </w:p>
    <w:p>
      <w:pPr>
        <w:widowControl/>
        <w:topLinePunct/>
        <w:snapToGrid w:val="0"/>
        <w:spacing w:line="360" w:lineRule="auto"/>
        <w:rPr>
          <w:rFonts w:ascii="宋体" w:hAnsi="宋体" w:cs="宋体"/>
          <w:b/>
          <w:color w:val="auto"/>
          <w:sz w:val="30"/>
          <w:szCs w:val="30"/>
          <w:highlight w:val="none"/>
        </w:rPr>
      </w:pP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pacing w:before="470"/>
        <w:rPr>
          <w:rFonts w:ascii="宋体" w:hAnsi="宋体" w:cs="宋体"/>
          <w:b/>
          <w:color w:val="auto"/>
          <w:sz w:val="24"/>
          <w:highlight w:val="none"/>
        </w:rPr>
      </w:pPr>
    </w:p>
    <w:p>
      <w:pPr>
        <w:widowControl/>
        <w:topLinePunct/>
        <w:spacing w:before="470"/>
        <w:rPr>
          <w:rFonts w:ascii="宋体" w:hAnsi="宋体" w:cs="宋体"/>
          <w:b/>
          <w:color w:val="auto"/>
          <w:sz w:val="24"/>
          <w:highlight w:val="none"/>
        </w:rPr>
      </w:pPr>
    </w:p>
    <w:p>
      <w:pPr>
        <w:widowControl/>
        <w:topLinePunct/>
        <w:spacing w:before="470"/>
        <w:jc w:val="center"/>
        <w:rPr>
          <w:rFonts w:ascii="宋体" w:hAnsi="宋体" w:cs="宋体"/>
          <w:b/>
          <w:color w:val="auto"/>
          <w:sz w:val="44"/>
          <w:szCs w:val="44"/>
          <w:highlight w:val="none"/>
        </w:rPr>
        <w:sectPr>
          <w:footerReference r:id="rId3" w:type="first"/>
          <w:pgSz w:w="11906" w:h="16838"/>
          <w:pgMar w:top="1418" w:right="1555" w:bottom="1418" w:left="1531" w:header="851" w:footer="992" w:gutter="0"/>
          <w:pgNumType w:start="1"/>
          <w:cols w:space="720" w:num="1"/>
          <w:docGrid w:type="lines" w:linePitch="312" w:charSpace="0"/>
        </w:sectPr>
      </w:pPr>
    </w:p>
    <w:p>
      <w:pPr>
        <w:keepNext w:val="0"/>
        <w:keepLines w:val="0"/>
        <w:pageBreakBefore w:val="0"/>
        <w:widowControl/>
        <w:kinsoku/>
        <w:wordWrap/>
        <w:overflowPunct/>
        <w:topLinePunct/>
        <w:autoSpaceDE/>
        <w:autoSpaceDN/>
        <w:bidi w:val="0"/>
        <w:adjustRightInd/>
        <w:snapToGrid/>
        <w:spacing w:line="360" w:lineRule="auto"/>
        <w:jc w:val="center"/>
        <w:textAlignment w:val="auto"/>
        <w:rPr>
          <w:rFonts w:ascii="宋体" w:hAnsi="宋体" w:cs="宋体"/>
          <w:b/>
          <w:color w:val="auto"/>
          <w:sz w:val="44"/>
          <w:szCs w:val="44"/>
          <w:highlight w:val="none"/>
        </w:rPr>
      </w:pPr>
      <w:r>
        <w:rPr>
          <w:rFonts w:hint="eastAsia" w:ascii="宋体" w:hAnsi="宋体" w:cs="宋体"/>
          <w:b/>
          <w:color w:val="auto"/>
          <w:sz w:val="44"/>
          <w:szCs w:val="44"/>
          <w:highlight w:val="none"/>
        </w:rPr>
        <w:t>第一部分.磋商须知前附表</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7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96"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896" w:type="dxa"/>
            <w:vAlign w:val="center"/>
          </w:tcPr>
          <w:p>
            <w:pPr>
              <w:spacing w:line="44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2021年度上马墩街道背街小巷整治改造工程</w:t>
            </w:r>
          </w:p>
          <w:p>
            <w:pPr>
              <w:widowControl/>
              <w:spacing w:line="44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LXJSDNCG2021-02</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896" w:type="dxa"/>
            <w:vAlign w:val="center"/>
          </w:tcPr>
          <w:p>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无锡市梁溪区上马墩街道办事处</w:t>
            </w:r>
          </w:p>
          <w:p>
            <w:pPr>
              <w:spacing w:line="44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采购人地址：江苏省无锡市梁溪区上马墩路152</w:t>
            </w:r>
            <w:r>
              <w:rPr>
                <w:rFonts w:hint="eastAsia" w:ascii="宋体" w:hAnsi="宋体" w:cs="宋体"/>
                <w:color w:val="auto"/>
                <w:sz w:val="24"/>
                <w:highlight w:val="none"/>
                <w:lang w:val="en-US" w:eastAsia="zh-CN"/>
              </w:rPr>
              <w:t>号</w:t>
            </w:r>
          </w:p>
          <w:p>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江苏德诺工程项目管理有限公司</w:t>
            </w:r>
          </w:p>
          <w:p>
            <w:pPr>
              <w:widowControl/>
              <w:spacing w:line="44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采购机构地址：</w:t>
            </w:r>
            <w:r>
              <w:rPr>
                <w:rFonts w:hint="eastAsia" w:ascii="宋体" w:hAnsi="宋体" w:cs="宋体"/>
                <w:color w:val="auto"/>
                <w:sz w:val="24"/>
                <w:highlight w:val="none"/>
                <w:lang w:eastAsia="zh-CN"/>
              </w:rPr>
              <w:t>无锡滨湖区联合金融大厦601室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7896" w:type="dxa"/>
            <w:vAlign w:val="center"/>
          </w:tcPr>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项目基本概况：</w:t>
            </w:r>
          </w:p>
          <w:p>
            <w:pPr>
              <w:numPr>
                <w:ilvl w:val="0"/>
                <w:numId w:val="0"/>
              </w:numPr>
              <w:spacing w:line="440" w:lineRule="exact"/>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1、项目概况：</w:t>
            </w:r>
            <w:r>
              <w:rPr>
                <w:rFonts w:hint="eastAsia" w:ascii="宋体" w:hAnsi="宋体" w:cs="宋体"/>
                <w:color w:val="auto"/>
                <w:sz w:val="24"/>
                <w:highlight w:val="none"/>
                <w:lang w:val="en-US" w:eastAsia="zh-CN"/>
              </w:rPr>
              <w:t>本项目位于无锡市梁溪区上马墩街道，为上马墩街道四条背街小巷：塔影一支路、雪松路、崇正路、颐养院支路提升改造，从店招店牌改造、围墙出新、设置功能性点位、破损道路修复平整、景观绿化改造、停车位改造等，实现街巷气质的全面提升。</w:t>
            </w:r>
          </w:p>
          <w:p>
            <w:pPr>
              <w:numPr>
                <w:ilvl w:val="0"/>
                <w:numId w:val="0"/>
              </w:numPr>
              <w:spacing w:line="440" w:lineRule="exact"/>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建设规模为：</w:t>
            </w:r>
            <w:r>
              <w:rPr>
                <w:rFonts w:hint="eastAsia" w:ascii="宋体" w:hAnsi="宋体" w:cs="宋体"/>
                <w:color w:val="auto"/>
                <w:sz w:val="24"/>
                <w:highlight w:val="none"/>
                <w:lang w:val="en-US" w:eastAsia="zh-CN"/>
              </w:rPr>
              <w:t>塔影一支路（上马墩路-门岗）全长100米，道路宽度10米。雪松路（振奋路-靖海新村），全长约332米，宽度15米。崇正路（梁溪区政法委门口-梁溪区老环卫所）全长100米，宽度15米。颐养院支路（上马墩路-靖海颐养院）全长154米，宽度10米。</w:t>
            </w:r>
          </w:p>
          <w:p>
            <w:pPr>
              <w:numPr>
                <w:ilvl w:val="0"/>
                <w:numId w:val="0"/>
              </w:numPr>
              <w:spacing w:line="440" w:lineRule="exact"/>
              <w:rPr>
                <w:rFonts w:ascii="宋体" w:hAnsi="宋体" w:cs="宋体"/>
                <w:color w:val="auto"/>
                <w:sz w:val="24"/>
                <w:highlight w:val="none"/>
              </w:rPr>
            </w:pPr>
            <w:r>
              <w:rPr>
                <w:rFonts w:hint="eastAsia" w:ascii="宋体" w:hAnsi="宋体" w:cs="宋体"/>
                <w:b/>
                <w:bCs/>
                <w:color w:val="auto"/>
                <w:sz w:val="24"/>
                <w:highlight w:val="none"/>
                <w:lang w:val="en-US" w:eastAsia="zh-CN"/>
              </w:rPr>
              <w:t>2、招标范围：</w:t>
            </w:r>
            <w:r>
              <w:rPr>
                <w:rFonts w:hint="eastAsia" w:ascii="宋体" w:hAnsi="宋体" w:cs="宋体"/>
                <w:color w:val="auto"/>
                <w:sz w:val="24"/>
                <w:highlight w:val="none"/>
                <w:lang w:val="en-US" w:eastAsia="zh-CN"/>
              </w:rPr>
              <w:t>施工图纸及工程量清单范围内的提升改造工程（颐养院支路、崇正路、雪松路、塔影一支路）；</w:t>
            </w:r>
          </w:p>
          <w:p>
            <w:pPr>
              <w:numPr>
                <w:ilvl w:val="0"/>
                <w:numId w:val="0"/>
              </w:numPr>
              <w:spacing w:line="440" w:lineRule="exact"/>
              <w:rPr>
                <w:rFonts w:ascii="宋体" w:hAnsi="宋体" w:cs="宋体"/>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zh-CN"/>
              </w:rPr>
              <w:t>工期：</w:t>
            </w:r>
            <w:r>
              <w:rPr>
                <w:rFonts w:hint="eastAsia" w:ascii="宋体" w:hAnsi="宋体" w:cs="宋体"/>
                <w:b/>
                <w:bCs/>
                <w:color w:val="auto"/>
                <w:sz w:val="24"/>
                <w:highlight w:val="none"/>
                <w:lang w:val="en-US" w:eastAsia="zh-CN"/>
              </w:rPr>
              <w:t>40</w:t>
            </w:r>
            <w:r>
              <w:rPr>
                <w:rFonts w:hint="eastAsia" w:ascii="宋体" w:hAnsi="宋体" w:cs="宋体"/>
                <w:b/>
                <w:bCs/>
                <w:color w:val="auto"/>
                <w:sz w:val="24"/>
                <w:highlight w:val="none"/>
                <w:lang w:val="zh-CN"/>
              </w:rPr>
              <w:t>日历天；</w:t>
            </w:r>
            <w:r>
              <w:rPr>
                <w:rFonts w:hint="eastAsia" w:ascii="宋体" w:hAnsi="宋体" w:cs="宋体"/>
                <w:color w:val="auto"/>
                <w:sz w:val="24"/>
                <w:highlight w:val="none"/>
              </w:rPr>
              <w:t>误期违约金：</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000元/天</w:t>
            </w:r>
            <w:r>
              <w:rPr>
                <w:rFonts w:hint="eastAsia" w:ascii="宋体" w:hAnsi="宋体" w:cs="宋体"/>
                <w:color w:val="auto"/>
                <w:sz w:val="24"/>
                <w:highlight w:val="none"/>
                <w:lang w:val="zh-CN"/>
              </w:rPr>
              <w:t>；</w:t>
            </w:r>
          </w:p>
          <w:p>
            <w:pPr>
              <w:spacing w:line="440" w:lineRule="exac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质量标准：一次性验收通过，100%合格；质量违约金：合同价款的3%</w:t>
            </w:r>
            <w:r>
              <w:rPr>
                <w:rFonts w:hint="eastAsia" w:ascii="宋体" w:hAnsi="宋体" w:cs="宋体"/>
                <w:color w:val="auto"/>
                <w:sz w:val="24"/>
                <w:highlight w:val="none"/>
                <w:lang w:val="zh-CN"/>
              </w:rPr>
              <w:t>；</w:t>
            </w:r>
          </w:p>
          <w:p>
            <w:pPr>
              <w:spacing w:line="360" w:lineRule="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5、本项目采购预算（同最高限价）：6096206.37元；</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根据《中小企业划型标准规定》工信部联企业[2011]300号，本项目所属行业为：建筑业。</w:t>
            </w:r>
          </w:p>
          <w:p>
            <w:pPr>
              <w:spacing w:line="360" w:lineRule="auto"/>
              <w:rPr>
                <w:rFonts w:hint="eastAsia" w:ascii="宋体" w:hAnsi="宋体"/>
                <w:color w:val="auto"/>
                <w:sz w:val="24"/>
                <w:highlight w:val="none"/>
              </w:rPr>
            </w:pPr>
            <w:r>
              <w:rPr>
                <w:rFonts w:hint="eastAsia" w:ascii="宋体" w:hAnsi="宋体" w:cs="宋体"/>
                <w:color w:val="auto"/>
                <w:sz w:val="24"/>
                <w:highlight w:val="none"/>
                <w:lang w:val="en-US" w:eastAsia="zh-CN"/>
              </w:rPr>
              <w:t>7、</w:t>
            </w:r>
            <w:r>
              <w:rPr>
                <w:rFonts w:hint="eastAsia" w:ascii="宋体" w:hAnsi="宋体"/>
                <w:color w:val="auto"/>
                <w:sz w:val="24"/>
                <w:highlight w:val="none"/>
              </w:rPr>
              <w:t>根据《中小企业划型标准规定》工信部联企业[2011]300号，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440" w:lineRule="exac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Times New Roman"/>
                <w:color w:val="auto"/>
                <w:sz w:val="24"/>
                <w:highlight w:val="none"/>
                <w:lang w:val="en-US" w:eastAsia="zh-CN"/>
              </w:rPr>
              <w:t>本项目非专门面向中小企业（或监狱企业或残疾人福利性单位）采购</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7896" w:type="dxa"/>
            <w:vAlign w:val="center"/>
          </w:tcPr>
          <w:p>
            <w:pPr>
              <w:spacing w:line="360" w:lineRule="auto"/>
              <w:rPr>
                <w:rFonts w:hint="eastAsia" w:ascii="宋体" w:hAnsi="宋体"/>
                <w:bCs/>
                <w:color w:val="auto"/>
                <w:sz w:val="24"/>
                <w:highlight w:val="none"/>
              </w:rPr>
            </w:pPr>
            <w:r>
              <w:rPr>
                <w:rFonts w:hint="eastAsia" w:ascii="宋体" w:hAnsi="宋体"/>
                <w:bCs/>
                <w:color w:val="auto"/>
                <w:sz w:val="24"/>
                <w:highlight w:val="none"/>
              </w:rPr>
              <w:t>供应商条件：供应商参加本次政府采购活动除应当符合《中华人民共和国政府采购法》第二十二条的规定外，还必须具备以下条件：</w:t>
            </w:r>
          </w:p>
          <w:p>
            <w:pPr>
              <w:spacing w:line="360" w:lineRule="auto"/>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zh-CN" w:eastAsia="zh-CN"/>
              </w:rPr>
              <w:t>报价供应商具备独立承担民事责任能力的供应商营业执照或相关部门的登记证明文件；</w:t>
            </w:r>
          </w:p>
          <w:p>
            <w:pPr>
              <w:spacing w:line="360" w:lineRule="auto"/>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rPr>
              <w:t>报价供应商必须具有【市政公用工程施工总承包叁级】（含）以上资质和安全生产许可证（有效期内）；</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3）拟派项目负责人必须为投标供应商企业在职员工，</w:t>
            </w:r>
            <w:r>
              <w:rPr>
                <w:rFonts w:hint="eastAsia" w:ascii="宋体" w:hAnsi="宋体" w:eastAsia="宋体" w:cs="宋体"/>
                <w:color w:val="auto"/>
                <w:sz w:val="24"/>
                <w:highlight w:val="none"/>
                <w:lang w:val="zh-CN"/>
              </w:rPr>
              <w:t>具备二级及以上注册建造师</w:t>
            </w:r>
            <w:r>
              <w:rPr>
                <w:rFonts w:hint="eastAsia" w:ascii="宋体" w:hAnsi="宋体" w:eastAsia="宋体" w:cs="宋体"/>
                <w:color w:val="auto"/>
                <w:sz w:val="24"/>
                <w:highlight w:val="none"/>
                <w:lang w:val="en-US" w:eastAsia="zh-CN"/>
              </w:rPr>
              <w:t>执业资格</w:t>
            </w:r>
            <w:r>
              <w:rPr>
                <w:rFonts w:hint="eastAsia" w:ascii="宋体" w:hAnsi="宋体" w:eastAsia="宋体" w:cs="宋体"/>
                <w:color w:val="auto"/>
                <w:sz w:val="24"/>
                <w:highlight w:val="none"/>
                <w:lang w:val="zh-CN"/>
              </w:rPr>
              <w:t>（市政公用工程专业）和有效的《建筑施工企业项目负责人安全生产考核合格证书》（B证）</w:t>
            </w:r>
            <w:r>
              <w:rPr>
                <w:rFonts w:hint="eastAsia" w:ascii="宋体" w:hAnsi="宋体"/>
                <w:color w:val="auto"/>
                <w:sz w:val="24"/>
                <w:szCs w:val="24"/>
                <w:highlight w:val="none"/>
              </w:rPr>
              <w:t>，且未担任其他在建工程项目的项目经理</w:t>
            </w:r>
            <w:r>
              <w:rPr>
                <w:rFonts w:hint="eastAsia" w:ascii="宋体" w:hAnsi="宋体" w:eastAsia="宋体" w:cs="宋体"/>
                <w:color w:val="auto"/>
                <w:sz w:val="24"/>
                <w:highlight w:val="none"/>
                <w:lang w:val="zh-CN"/>
              </w:rPr>
              <w:t>；</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法定代表人授权代表、项目负责人为供应商企业在职正式职工，提供法定代表人授权代表、项目负责人与企业签订的劳动合同，和由社保机构出具的2021年04月-2021年09月的缴费证明（公司成立在2021年04月以后的则提供自成立起法定代表人授权代表、项目负责人的社保缴费证明）；</w:t>
            </w:r>
          </w:p>
          <w:p>
            <w:pPr>
              <w:tabs>
                <w:tab w:val="left" w:pos="945"/>
                <w:tab w:val="left" w:pos="1155"/>
              </w:tabs>
              <w:spacing w:line="360" w:lineRule="auto"/>
              <w:rPr>
                <w:rFonts w:hint="eastAsia" w:ascii="宋体" w:hAnsi="宋体" w:cs="宋体"/>
                <w:color w:val="auto"/>
                <w:sz w:val="24"/>
                <w:highlight w:val="none"/>
                <w:lang w:val="en-US" w:eastAsia="zh-CN"/>
              </w:rPr>
            </w:pPr>
            <w:r>
              <w:rPr>
                <w:rFonts w:hint="eastAsia" w:ascii="宋体" w:hAnsi="宋体" w:cs="宋体"/>
                <w:b/>
                <w:bCs/>
                <w:color w:val="auto"/>
                <w:sz w:val="24"/>
                <w:lang w:val="en-US" w:eastAsia="zh-CN"/>
              </w:rPr>
              <w:t>注：</w:t>
            </w:r>
            <w:r>
              <w:rPr>
                <w:rFonts w:hint="eastAsia" w:ascii="宋体" w:hAnsi="宋体" w:cs="宋体"/>
                <w:b/>
                <w:bCs/>
                <w:color w:val="auto"/>
                <w:sz w:val="24"/>
              </w:rPr>
              <w:t>根据疫情防控要求，为减少人群聚集，投标供应商进入开标现场人数只允许1人。</w:t>
            </w:r>
            <w:r>
              <w:rPr>
                <w:rFonts w:hint="eastAsia" w:ascii="宋体" w:hAnsi="宋体" w:cs="宋体"/>
                <w:b/>
                <w:bCs/>
                <w:color w:val="auto"/>
                <w:sz w:val="24"/>
                <w:lang w:val="en-US" w:eastAsia="zh-CN"/>
              </w:rPr>
              <w:t>因本项目需要项目负责人答辩，</w:t>
            </w:r>
            <w:r>
              <w:rPr>
                <w:rFonts w:hint="eastAsia" w:ascii="宋体" w:hAnsi="宋体"/>
                <w:b/>
                <w:bCs/>
                <w:color w:val="auto"/>
                <w:sz w:val="24"/>
                <w:highlight w:val="none"/>
                <w:lang w:val="en-US" w:eastAsia="zh-CN"/>
              </w:rPr>
              <w:t>要求报价供应商授权委托人代表与项目负责人应为同一人。</w:t>
            </w:r>
          </w:p>
          <w:p>
            <w:pPr>
              <w:keepLines w:val="0"/>
              <w:pageBreakBefore w:val="0"/>
              <w:tabs>
                <w:tab w:val="left" w:pos="0"/>
              </w:tabs>
              <w:kinsoku/>
              <w:wordWrap/>
              <w:overflowPunct/>
              <w:bidi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7896" w:type="dxa"/>
            <w:vAlign w:val="center"/>
          </w:tcPr>
          <w:p>
            <w:pPr>
              <w:widowControl/>
              <w:topLinePunct/>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rPr>
              <w:t>提供磋商文件时间：</w:t>
            </w:r>
            <w:r>
              <w:rPr>
                <w:rFonts w:hint="eastAsia" w:ascii="宋体" w:hAnsi="宋体" w:cs="宋体"/>
                <w:color w:val="auto"/>
                <w:kern w:val="0"/>
                <w:sz w:val="24"/>
                <w:highlight w:val="none"/>
              </w:rPr>
              <w:t>本项目竞争性磋商公告发布之日起五个工作日内（法定假日除外）</w:t>
            </w:r>
            <w:r>
              <w:rPr>
                <w:rFonts w:hint="eastAsia" w:ascii="宋体" w:hAnsi="宋体" w:cs="宋体"/>
                <w:color w:val="auto"/>
                <w:sz w:val="24"/>
                <w:highlight w:val="none"/>
                <w:lang w:val="zh-CN"/>
              </w:rPr>
              <w:t>，每天上午9:00-11:30，下午13:30-16：00。</w:t>
            </w:r>
          </w:p>
          <w:p>
            <w:pPr>
              <w:widowControl/>
              <w:topLinePunct/>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售价：</w:t>
            </w:r>
            <w:r>
              <w:rPr>
                <w:rFonts w:hint="eastAsia" w:ascii="宋体" w:hAnsi="宋体" w:cs="宋体"/>
                <w:color w:val="auto"/>
                <w:kern w:val="0"/>
                <w:sz w:val="24"/>
                <w:highlight w:val="none"/>
                <w:lang w:val="zh-CN"/>
              </w:rPr>
              <w:t>捌佰元</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份</w:t>
            </w:r>
            <w:r>
              <w:rPr>
                <w:rFonts w:hint="eastAsia" w:ascii="宋体" w:hAnsi="宋体" w:cs="宋体"/>
                <w:color w:val="auto"/>
                <w:kern w:val="0"/>
                <w:sz w:val="24"/>
                <w:highlight w:val="none"/>
              </w:rPr>
              <w:t>，现金支付，磋商文件售后不退。</w:t>
            </w:r>
          </w:p>
          <w:p>
            <w:pPr>
              <w:widowControl/>
              <w:topLinePunct/>
              <w:spacing w:line="440" w:lineRule="exact"/>
              <w:rPr>
                <w:rFonts w:ascii="宋体" w:hAnsi="宋体" w:cs="宋体"/>
                <w:b/>
                <w:color w:val="auto"/>
                <w:sz w:val="24"/>
                <w:highlight w:val="none"/>
              </w:rPr>
            </w:pPr>
            <w:r>
              <w:rPr>
                <w:rFonts w:hint="eastAsia" w:ascii="宋体" w:hAnsi="宋体" w:cs="宋体"/>
                <w:color w:val="auto"/>
                <w:sz w:val="24"/>
                <w:highlight w:val="none"/>
              </w:rPr>
              <w:t>提供磋商文件地点：</w:t>
            </w:r>
            <w:r>
              <w:rPr>
                <w:rFonts w:hint="eastAsia" w:ascii="宋体" w:hAnsi="宋体" w:cs="宋体"/>
                <w:b/>
                <w:color w:val="auto"/>
                <w:sz w:val="24"/>
                <w:highlight w:val="none"/>
                <w:lang w:eastAsia="zh-CN"/>
              </w:rPr>
              <w:t>江苏德诺工程项目管理有限公司</w:t>
            </w:r>
            <w:r>
              <w:rPr>
                <w:rFonts w:hint="eastAsia" w:ascii="宋体" w:hAnsi="宋体" w:cs="宋体"/>
                <w:b/>
                <w:color w:val="auto"/>
                <w:sz w:val="24"/>
                <w:highlight w:val="none"/>
              </w:rPr>
              <w:t>（</w:t>
            </w:r>
            <w:r>
              <w:rPr>
                <w:rFonts w:hint="eastAsia" w:ascii="宋体" w:hAnsi="宋体" w:cs="宋体"/>
                <w:b/>
                <w:color w:val="auto"/>
                <w:sz w:val="24"/>
                <w:highlight w:val="none"/>
                <w:lang w:eastAsia="zh-CN"/>
              </w:rPr>
              <w:t>无锡滨湖区联合金融大厦601室</w:t>
            </w:r>
            <w:r>
              <w:rPr>
                <w:rFonts w:hint="eastAsia" w:ascii="宋体" w:hAnsi="宋体" w:cs="宋体"/>
                <w:b/>
                <w:color w:val="auto"/>
                <w:sz w:val="24"/>
                <w:highlight w:val="none"/>
              </w:rPr>
              <w:t>）</w:t>
            </w:r>
          </w:p>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供应商应承担其编制响应文件以及递交响应文件所涉及的一切费用。无论结果如何，采购人对上述费用不负任何责任。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7896" w:type="dxa"/>
            <w:vAlign w:val="center"/>
          </w:tcPr>
          <w:p>
            <w:pPr>
              <w:widowControl/>
              <w:topLinePunct/>
              <w:spacing w:line="440" w:lineRule="exact"/>
              <w:jc w:val="left"/>
              <w:rPr>
                <w:rFonts w:ascii="宋体" w:hAnsi="宋体" w:cs="宋体"/>
                <w:color w:val="auto"/>
                <w:sz w:val="24"/>
                <w:highlight w:val="none"/>
              </w:rPr>
            </w:pPr>
            <w:r>
              <w:rPr>
                <w:rFonts w:hint="eastAsia" w:ascii="宋体" w:hAnsi="宋体"/>
                <w:color w:val="auto"/>
                <w:sz w:val="24"/>
                <w:highlight w:val="none"/>
              </w:rPr>
              <w:t>提疑截止时间：202</w:t>
            </w:r>
            <w:r>
              <w:rPr>
                <w:rFonts w:ascii="宋体" w:hAnsi="宋体"/>
                <w:color w:val="auto"/>
                <w:sz w:val="24"/>
                <w:highlight w:val="none"/>
              </w:rPr>
              <w:t>1</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29 </w:t>
            </w:r>
            <w:r>
              <w:rPr>
                <w:rFonts w:hint="eastAsia" w:ascii="宋体" w:hAnsi="宋体"/>
                <w:color w:val="auto"/>
                <w:sz w:val="24"/>
                <w:highlight w:val="none"/>
              </w:rPr>
              <w:t>日</w:t>
            </w:r>
            <w:r>
              <w:rPr>
                <w:rFonts w:hint="eastAsia" w:ascii="宋体" w:hAnsi="宋体"/>
                <w:color w:val="auto"/>
                <w:sz w:val="24"/>
                <w:highlight w:val="none"/>
                <w:lang w:val="en-US" w:eastAsia="zh-CN"/>
              </w:rPr>
              <w:t>17</w:t>
            </w:r>
            <w:r>
              <w:rPr>
                <w:rFonts w:hint="eastAsia" w:ascii="宋体" w:hAnsi="宋体"/>
                <w:color w:val="auto"/>
                <w:sz w:val="24"/>
                <w:highlight w:val="none"/>
              </w:rPr>
              <w:t>时，以书面形式（含电子邮件）发送给采购代理机构。</w:t>
            </w:r>
          </w:p>
          <w:p>
            <w:pPr>
              <w:widowControl/>
              <w:topLinePunct/>
              <w:spacing w:line="440" w:lineRule="exact"/>
              <w:jc w:val="left"/>
              <w:rPr>
                <w:rFonts w:ascii="宋体" w:hAnsi="宋体" w:cs="宋体"/>
                <w:color w:val="auto"/>
                <w:sz w:val="24"/>
                <w:highlight w:val="none"/>
              </w:rPr>
            </w:pPr>
            <w:r>
              <w:rPr>
                <w:rFonts w:hint="eastAsia" w:ascii="宋体" w:hAnsi="宋体" w:cs="宋体"/>
                <w:color w:val="auto"/>
                <w:sz w:val="24"/>
                <w:highlight w:val="none"/>
              </w:rPr>
              <w:t>采购人对竞争性磋商文件澄清修改的时间：磋商截止前5天；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7896" w:type="dxa"/>
            <w:vAlign w:val="center"/>
          </w:tcPr>
          <w:p>
            <w:pPr>
              <w:widowControl/>
              <w:topLinePunct/>
              <w:spacing w:line="360" w:lineRule="auto"/>
              <w:rPr>
                <w:rFonts w:ascii="宋体" w:hAnsi="宋体" w:cs="宋体"/>
                <w:color w:val="auto"/>
                <w:sz w:val="24"/>
                <w:highlight w:val="none"/>
              </w:rPr>
            </w:pPr>
            <w:r>
              <w:rPr>
                <w:rFonts w:hint="eastAsia" w:ascii="宋体" w:hAnsi="宋体" w:cs="宋体"/>
                <w:color w:val="auto"/>
                <w:sz w:val="24"/>
                <w:highlight w:val="none"/>
              </w:rPr>
              <w:t>本项目不需缴纳磋商保证金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7896" w:type="dxa"/>
            <w:vAlign w:val="center"/>
          </w:tcPr>
          <w:p>
            <w:pPr>
              <w:widowControl/>
              <w:topLinePunct/>
              <w:spacing w:line="440" w:lineRule="exact"/>
              <w:jc w:val="left"/>
              <w:rPr>
                <w:rFonts w:ascii="宋体" w:hAnsi="宋体" w:cs="宋体"/>
                <w:color w:val="auto"/>
                <w:sz w:val="24"/>
                <w:highlight w:val="none"/>
              </w:rPr>
            </w:pPr>
            <w:r>
              <w:rPr>
                <w:rFonts w:hint="eastAsia" w:ascii="宋体" w:hAnsi="宋体" w:cs="宋体"/>
                <w:color w:val="auto"/>
                <w:sz w:val="24"/>
                <w:highlight w:val="none"/>
              </w:rPr>
              <w:t>磋商有效期：磋商截止时间起90天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7896" w:type="dxa"/>
            <w:vAlign w:val="center"/>
          </w:tcPr>
          <w:p>
            <w:pPr>
              <w:tabs>
                <w:tab w:val="left" w:pos="0"/>
              </w:tabs>
              <w:autoSpaceDE w:val="0"/>
              <w:autoSpaceDN w:val="0"/>
              <w:adjustRightInd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响应文件开始接收时间</w:t>
            </w:r>
            <w:r>
              <w:rPr>
                <w:rFonts w:hint="eastAsia" w:ascii="宋体" w:hAnsi="宋体" w:cs="宋体"/>
                <w:b/>
                <w:color w:val="auto"/>
                <w:sz w:val="24"/>
                <w:highlight w:val="none"/>
              </w:rPr>
              <w:t>：</w:t>
            </w:r>
            <w:r>
              <w:rPr>
                <w:rFonts w:hint="eastAsia" w:ascii="宋体" w:hAnsi="宋体" w:cs="宋体"/>
                <w:color w:val="auto"/>
                <w:sz w:val="24"/>
                <w:highlight w:val="none"/>
                <w:lang w:val="zh-CN"/>
              </w:rPr>
              <w:t>2021年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 xml:space="preserve"> 09 </w:t>
            </w:r>
            <w:r>
              <w:rPr>
                <w:rFonts w:hint="eastAsia" w:ascii="宋体" w:hAnsi="宋体" w:cs="宋体"/>
                <w:color w:val="auto"/>
                <w:sz w:val="24"/>
                <w:highlight w:val="none"/>
                <w:lang w:val="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0时始</w:t>
            </w:r>
          </w:p>
          <w:p>
            <w:pPr>
              <w:tabs>
                <w:tab w:val="left" w:pos="0"/>
              </w:tabs>
              <w:autoSpaceDE w:val="0"/>
              <w:autoSpaceDN w:val="0"/>
              <w:adjustRightInd w:val="0"/>
              <w:spacing w:line="440" w:lineRule="exact"/>
              <w:rPr>
                <w:rFonts w:ascii="宋体" w:hAnsi="宋体" w:cs="宋体"/>
                <w:b/>
                <w:color w:val="auto"/>
                <w:sz w:val="24"/>
                <w:highlight w:val="none"/>
              </w:rPr>
            </w:pPr>
            <w:r>
              <w:rPr>
                <w:rFonts w:hint="eastAsia" w:ascii="宋体" w:hAnsi="宋体" w:cs="宋体"/>
                <w:color w:val="auto"/>
                <w:sz w:val="24"/>
                <w:highlight w:val="none"/>
                <w:lang w:val="zh-CN"/>
              </w:rPr>
              <w:t>响应文件接收截止时间：2021年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 xml:space="preserve"> 09 </w:t>
            </w:r>
            <w:r>
              <w:rPr>
                <w:rFonts w:hint="eastAsia" w:ascii="宋体" w:hAnsi="宋体" w:cs="宋体"/>
                <w:color w:val="auto"/>
                <w:sz w:val="24"/>
                <w:highlight w:val="none"/>
                <w:lang w:val="zh-CN"/>
              </w:rPr>
              <w:t>日</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9：30截止， 截止</w:t>
            </w:r>
            <w:r>
              <w:rPr>
                <w:rFonts w:hint="eastAsia" w:ascii="宋体" w:hAnsi="宋体" w:cs="宋体"/>
                <w:color w:val="auto"/>
                <w:sz w:val="24"/>
                <w:highlight w:val="none"/>
              </w:rPr>
              <w:t>期后的响应文件恕不接受。</w:t>
            </w:r>
          </w:p>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响应文件接受地点：</w:t>
            </w:r>
            <w:r>
              <w:rPr>
                <w:rFonts w:hint="eastAsia" w:ascii="宋体" w:hAnsi="宋体" w:cs="宋体"/>
                <w:color w:val="auto"/>
                <w:sz w:val="24"/>
                <w:highlight w:val="none"/>
                <w:lang w:eastAsia="zh-CN"/>
              </w:rPr>
              <w:t>江苏德诺工程项目管理有限公司（无锡滨湖区联合金融大厦601开标室）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7896" w:type="dxa"/>
            <w:vAlign w:val="center"/>
          </w:tcPr>
          <w:p>
            <w:pPr>
              <w:widowControl/>
              <w:topLinePunct/>
              <w:spacing w:line="440" w:lineRule="exact"/>
              <w:rPr>
                <w:rFonts w:ascii="宋体" w:hAnsi="宋体" w:cs="宋体"/>
                <w:b/>
                <w:color w:val="auto"/>
                <w:sz w:val="24"/>
                <w:highlight w:val="none"/>
              </w:rPr>
            </w:pPr>
            <w:r>
              <w:rPr>
                <w:rFonts w:hint="eastAsia" w:ascii="宋体" w:hAnsi="宋体" w:cs="宋体"/>
                <w:color w:val="auto"/>
                <w:sz w:val="24"/>
                <w:highlight w:val="none"/>
              </w:rPr>
              <w:t>磋商开始时间：</w:t>
            </w:r>
            <w:r>
              <w:rPr>
                <w:rFonts w:hint="eastAsia" w:ascii="宋体" w:hAnsi="宋体" w:cs="宋体"/>
                <w:b/>
                <w:color w:val="auto"/>
                <w:sz w:val="24"/>
                <w:highlight w:val="none"/>
              </w:rPr>
              <w:t>2021年</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 09 </w:t>
            </w:r>
            <w:r>
              <w:rPr>
                <w:rFonts w:hint="eastAsia" w:ascii="宋体" w:hAnsi="宋体" w:cs="宋体"/>
                <w:b/>
                <w:color w:val="auto"/>
                <w:sz w:val="24"/>
                <w:highlight w:val="none"/>
              </w:rPr>
              <w:t>日</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9:30</w:t>
            </w:r>
          </w:p>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磋商地点：</w:t>
            </w:r>
            <w:r>
              <w:rPr>
                <w:rFonts w:hint="eastAsia" w:ascii="宋体" w:hAnsi="宋体" w:cs="宋体"/>
                <w:color w:val="auto"/>
                <w:sz w:val="24"/>
                <w:highlight w:val="none"/>
                <w:lang w:eastAsia="zh-CN"/>
              </w:rPr>
              <w:t>江苏德诺工程项目管理有限公司（无锡滨湖区联合金融大厦601开标室）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7896" w:type="dxa"/>
            <w:vAlign w:val="center"/>
          </w:tcPr>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确定成交单位时间：</w:t>
            </w:r>
            <w:r>
              <w:rPr>
                <w:rFonts w:hint="eastAsia" w:ascii="宋体" w:hAnsi="宋体" w:cs="宋体"/>
                <w:b/>
                <w:color w:val="auto"/>
                <w:sz w:val="24"/>
                <w:highlight w:val="none"/>
              </w:rPr>
              <w:t>2021年</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 09 </w:t>
            </w:r>
            <w:r>
              <w:rPr>
                <w:rFonts w:hint="eastAsia" w:ascii="宋体" w:hAnsi="宋体" w:cs="宋体"/>
                <w:b/>
                <w:color w:val="auto"/>
                <w:sz w:val="24"/>
                <w:highlight w:val="none"/>
              </w:rPr>
              <w:t>日</w:t>
            </w:r>
            <w:r>
              <w:rPr>
                <w:rFonts w:hint="eastAsia" w:ascii="宋体" w:hAnsi="宋体" w:cs="宋体"/>
                <w:color w:val="auto"/>
                <w:sz w:val="24"/>
                <w:highlight w:val="none"/>
              </w:rPr>
              <w:t>评审结束</w:t>
            </w:r>
          </w:p>
          <w:p>
            <w:pPr>
              <w:widowControl/>
              <w:topLinePunct/>
              <w:spacing w:line="440" w:lineRule="exact"/>
              <w:rPr>
                <w:rFonts w:ascii="宋体" w:hAnsi="宋体" w:cs="宋体"/>
                <w:b/>
                <w:color w:val="auto"/>
                <w:sz w:val="24"/>
                <w:highlight w:val="none"/>
              </w:rPr>
            </w:pPr>
            <w:r>
              <w:rPr>
                <w:rFonts w:hint="eastAsia" w:ascii="宋体" w:hAnsi="宋体" w:cs="宋体"/>
                <w:color w:val="auto"/>
                <w:sz w:val="24"/>
                <w:highlight w:val="none"/>
              </w:rPr>
              <w:t>确定成交单位地点：</w:t>
            </w:r>
            <w:r>
              <w:rPr>
                <w:rFonts w:hint="eastAsia" w:ascii="宋体" w:hAnsi="宋体" w:cs="宋体"/>
                <w:color w:val="auto"/>
                <w:sz w:val="24"/>
                <w:highlight w:val="none"/>
                <w:lang w:eastAsia="zh-CN"/>
              </w:rPr>
              <w:t>江苏德诺工程项目管理有限公司（无锡滨湖区联合金融大厦601</w:t>
            </w:r>
            <w:r>
              <w:rPr>
                <w:rFonts w:hint="eastAsia" w:ascii="宋体" w:hAnsi="宋体" w:cs="宋体"/>
                <w:color w:val="auto"/>
                <w:sz w:val="24"/>
                <w:highlight w:val="none"/>
                <w:lang w:val="en-US" w:eastAsia="zh-CN"/>
              </w:rPr>
              <w:t>评标室</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7896" w:type="dxa"/>
            <w:vAlign w:val="center"/>
          </w:tcPr>
          <w:p>
            <w:pPr>
              <w:widowControl/>
              <w:topLinePunct/>
              <w:spacing w:line="440" w:lineRule="exact"/>
              <w:rPr>
                <w:rFonts w:hint="eastAsia" w:ascii="宋体" w:hAnsi="宋体" w:cs="宋体"/>
                <w:color w:val="auto"/>
                <w:sz w:val="24"/>
                <w:highlight w:val="none"/>
              </w:rPr>
            </w:pPr>
            <w:r>
              <w:rPr>
                <w:rFonts w:hint="eastAsia" w:ascii="宋体" w:hAnsi="宋体" w:cs="宋体"/>
                <w:color w:val="auto"/>
                <w:sz w:val="24"/>
                <w:highlight w:val="none"/>
              </w:rPr>
              <w:t>响应文件份数：</w:t>
            </w:r>
          </w:p>
          <w:p>
            <w:pPr>
              <w:widowControl/>
              <w:topLinePunct/>
              <w:spacing w:line="440" w:lineRule="exact"/>
              <w:rPr>
                <w:rFonts w:hint="eastAsia" w:ascii="宋体" w:hAnsi="宋体" w:cs="宋体"/>
                <w:color w:val="auto"/>
                <w:sz w:val="24"/>
                <w:highlight w:val="none"/>
              </w:rPr>
            </w:pPr>
            <w:r>
              <w:rPr>
                <w:rFonts w:hint="eastAsia" w:ascii="宋体" w:hAnsi="宋体" w:cs="宋体"/>
                <w:color w:val="auto"/>
                <w:sz w:val="24"/>
                <w:highlight w:val="none"/>
              </w:rPr>
              <w:t>明标部分：</w:t>
            </w:r>
            <w:r>
              <w:rPr>
                <w:rFonts w:hint="eastAsia" w:ascii="宋体" w:hAnsi="宋体" w:cs="宋体"/>
                <w:color w:val="auto"/>
                <w:sz w:val="24"/>
                <w:highlight w:val="none"/>
                <w:lang w:eastAsia="zh-CN"/>
              </w:rPr>
              <w:t>正本1份，副本</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份</w:t>
            </w:r>
          </w:p>
          <w:p>
            <w:pPr>
              <w:widowControl/>
              <w:topLinePunct/>
              <w:spacing w:line="440" w:lineRule="exact"/>
              <w:rPr>
                <w:rFonts w:hint="eastAsia" w:ascii="宋体" w:hAnsi="宋体" w:cs="宋体"/>
                <w:color w:val="auto"/>
                <w:sz w:val="24"/>
                <w:highlight w:val="none"/>
              </w:rPr>
            </w:pPr>
            <w:r>
              <w:rPr>
                <w:rFonts w:hint="eastAsia" w:ascii="宋体" w:hAnsi="宋体" w:cs="宋体"/>
                <w:color w:val="auto"/>
                <w:sz w:val="24"/>
                <w:highlight w:val="none"/>
              </w:rPr>
              <w:t>暗标部分：</w:t>
            </w:r>
            <w:r>
              <w:rPr>
                <w:rFonts w:hint="eastAsia" w:ascii="宋体" w:hAnsi="宋体" w:cs="宋体"/>
                <w:color w:val="auto"/>
                <w:sz w:val="24"/>
                <w:highlight w:val="none"/>
                <w:lang w:eastAsia="zh-CN"/>
              </w:rPr>
              <w:t>正本1份，副本5份</w:t>
            </w:r>
          </w:p>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电子投标文件一份（以光盘为载体）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7896" w:type="dxa"/>
            <w:vAlign w:val="center"/>
          </w:tcPr>
          <w:p>
            <w:pPr>
              <w:spacing w:line="440" w:lineRule="exact"/>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无锡市梁溪区上马墩街道办事处</w:t>
            </w:r>
            <w:r>
              <w:rPr>
                <w:rFonts w:hint="eastAsia" w:ascii="宋体" w:hAnsi="宋体" w:cs="宋体"/>
                <w:color w:val="auto"/>
                <w:sz w:val="24"/>
                <w:highlight w:val="none"/>
              </w:rPr>
              <w:t xml:space="preserve"> </w:t>
            </w:r>
          </w:p>
          <w:p>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采购人地址：</w:t>
            </w:r>
            <w:r>
              <w:rPr>
                <w:rFonts w:hint="eastAsia" w:ascii="宋体" w:hAnsi="宋体" w:cs="宋体"/>
                <w:color w:val="auto"/>
                <w:sz w:val="24"/>
                <w:highlight w:val="none"/>
                <w:lang w:eastAsia="zh-CN"/>
              </w:rPr>
              <w:t>江苏省无锡市梁溪区上马墩路152号</w:t>
            </w:r>
          </w:p>
          <w:p>
            <w:pPr>
              <w:spacing w:line="440" w:lineRule="exact"/>
              <w:rPr>
                <w:rFonts w:ascii="宋体" w:hAnsi="宋体" w:cs="宋体"/>
                <w:color w:val="auto"/>
                <w:sz w:val="24"/>
                <w:highlight w:val="none"/>
              </w:rPr>
            </w:pPr>
            <w:r>
              <w:rPr>
                <w:rFonts w:hint="eastAsia" w:ascii="宋体" w:hAnsi="宋体" w:cs="宋体"/>
                <w:color w:val="auto"/>
                <w:sz w:val="24"/>
                <w:highlight w:val="none"/>
              </w:rPr>
              <w:t>联系人：</w:t>
            </w:r>
            <w:r>
              <w:rPr>
                <w:rFonts w:hint="eastAsia"/>
                <w:b w:val="0"/>
                <w:color w:val="auto"/>
                <w:sz w:val="24"/>
                <w:highlight w:val="none"/>
              </w:rPr>
              <w:t>韩工</w:t>
            </w:r>
            <w:r>
              <w:rPr>
                <w:rFonts w:hint="eastAsia" w:ascii="宋体" w:hAnsi="宋体" w:cs="宋体"/>
                <w:color w:val="auto"/>
                <w:sz w:val="24"/>
                <w:highlight w:val="none"/>
              </w:rPr>
              <w:t xml:space="preserve">  </w:t>
            </w:r>
          </w:p>
          <w:p>
            <w:pPr>
              <w:spacing w:line="440" w:lineRule="exact"/>
              <w:rPr>
                <w:rFonts w:ascii="宋体" w:hAnsi="宋体"/>
                <w:color w:val="auto"/>
                <w:sz w:val="24"/>
                <w:highlight w:val="none"/>
              </w:rPr>
            </w:pPr>
            <w:r>
              <w:rPr>
                <w:rFonts w:hint="eastAsia" w:ascii="宋体" w:hAnsi="宋体" w:cs="宋体"/>
                <w:color w:val="auto"/>
                <w:sz w:val="24"/>
                <w:highlight w:val="none"/>
              </w:rPr>
              <w:t>联系电话：0510-82444467</w:t>
            </w:r>
          </w:p>
          <w:p>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江苏德诺工程项目管理有限公司</w:t>
            </w:r>
          </w:p>
          <w:p>
            <w:pPr>
              <w:spacing w:line="440" w:lineRule="exact"/>
              <w:rPr>
                <w:rFonts w:hint="default" w:ascii="宋体" w:hAnsi="宋体" w:eastAsia="宋体"/>
                <w:color w:val="auto"/>
                <w:sz w:val="24"/>
                <w:highlight w:val="none"/>
                <w:lang w:val="en-US" w:eastAsia="zh-CN"/>
              </w:rPr>
            </w:pPr>
            <w:r>
              <w:rPr>
                <w:rFonts w:ascii="宋体" w:hAnsi="宋体"/>
                <w:color w:val="auto"/>
                <w:sz w:val="24"/>
                <w:highlight w:val="none"/>
              </w:rPr>
              <w:t>联系人：</w:t>
            </w:r>
            <w:r>
              <w:rPr>
                <w:rFonts w:hint="eastAsia" w:ascii="宋体" w:hAnsi="宋体" w:cs="宋体"/>
                <w:color w:val="auto"/>
                <w:sz w:val="24"/>
                <w:highlight w:val="none"/>
                <w:lang w:val="en-US" w:eastAsia="zh-CN"/>
              </w:rPr>
              <w:t>徐盛茏、张小丽</w:t>
            </w:r>
          </w:p>
          <w:p>
            <w:pPr>
              <w:spacing w:line="440" w:lineRule="exact"/>
              <w:rPr>
                <w:rFonts w:hint="eastAsia" w:ascii="宋体" w:hAnsi="宋体"/>
                <w:color w:val="auto"/>
                <w:sz w:val="24"/>
                <w:highlight w:val="none"/>
              </w:rPr>
            </w:pPr>
            <w:r>
              <w:rPr>
                <w:rFonts w:ascii="宋体" w:hAnsi="宋体"/>
                <w:color w:val="auto"/>
                <w:sz w:val="24"/>
                <w:highlight w:val="none"/>
              </w:rPr>
              <w:t>联系电话：</w:t>
            </w:r>
            <w:r>
              <w:rPr>
                <w:rFonts w:hint="eastAsia" w:ascii="宋体" w:hAnsi="宋体"/>
                <w:color w:val="auto"/>
                <w:sz w:val="24"/>
                <w:highlight w:val="none"/>
              </w:rPr>
              <w:t>18015352446、15996514213</w:t>
            </w:r>
          </w:p>
          <w:p>
            <w:pPr>
              <w:spacing w:line="440" w:lineRule="exact"/>
              <w:rPr>
                <w:rFonts w:hint="eastAsia" w:ascii="宋体" w:hAnsi="宋体" w:eastAsia="宋体"/>
                <w:color w:val="auto"/>
                <w:sz w:val="24"/>
                <w:highlight w:val="none"/>
                <w:lang w:eastAsia="zh-CN"/>
              </w:rPr>
            </w:pPr>
            <w:r>
              <w:rPr>
                <w:rFonts w:hint="eastAsia" w:ascii="宋体" w:hAnsi="宋体"/>
                <w:color w:val="auto"/>
                <w:sz w:val="24"/>
                <w:highlight w:val="none"/>
              </w:rPr>
              <w:t>联系地址：</w:t>
            </w:r>
            <w:r>
              <w:rPr>
                <w:rFonts w:hint="eastAsia" w:ascii="宋体" w:hAnsi="宋体"/>
                <w:color w:val="auto"/>
                <w:sz w:val="24"/>
                <w:highlight w:val="none"/>
                <w:lang w:eastAsia="zh-CN"/>
              </w:rPr>
              <w:t>无锡滨湖区联合金融大厦601室</w:t>
            </w:r>
          </w:p>
          <w:p>
            <w:pPr>
              <w:spacing w:line="440" w:lineRule="exact"/>
              <w:rPr>
                <w:rFonts w:ascii="宋体" w:hAnsi="宋体"/>
                <w:color w:val="auto"/>
                <w:sz w:val="24"/>
                <w:highlight w:val="none"/>
              </w:rPr>
            </w:pPr>
            <w:r>
              <w:rPr>
                <w:rFonts w:hint="eastAsia" w:ascii="宋体" w:hAnsi="宋体"/>
                <w:color w:val="auto"/>
                <w:sz w:val="24"/>
                <w:highlight w:val="none"/>
              </w:rPr>
              <w:t xml:space="preserve">邮政编码：214000       </w:t>
            </w:r>
          </w:p>
          <w:p>
            <w:pPr>
              <w:widowControl/>
              <w:topLinePunct/>
              <w:spacing w:line="440" w:lineRule="exact"/>
              <w:rPr>
                <w:rFonts w:ascii="宋体" w:hAnsi="宋体" w:cs="宋体"/>
                <w:color w:val="auto"/>
                <w:sz w:val="24"/>
                <w:highlight w:val="none"/>
              </w:rPr>
            </w:pPr>
            <w:r>
              <w:rPr>
                <w:rFonts w:hint="eastAsia" w:ascii="宋体" w:hAnsi="宋体"/>
                <w:color w:val="auto"/>
                <w:sz w:val="24"/>
                <w:highlight w:val="none"/>
              </w:rPr>
              <w:t>电子邮件地址：</w:t>
            </w:r>
            <w:r>
              <w:rPr>
                <w:rFonts w:hint="eastAsia" w:ascii="宋体" w:hAnsi="宋体" w:cs="宋体"/>
                <w:color w:val="auto"/>
                <w:sz w:val="24"/>
                <w:highlight w:val="none"/>
                <w:lang w:val="en-US" w:eastAsia="zh-CN"/>
              </w:rPr>
              <w:t>644820794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qq</w:t>
            </w:r>
            <w:r>
              <w:rPr>
                <w:rFonts w:hint="eastAsia" w:ascii="宋体" w:hAnsi="宋体" w:cs="宋体"/>
                <w:color w:val="auto"/>
                <w:sz w:val="24"/>
                <w:highlight w:val="none"/>
              </w:rPr>
              <w:t xml:space="preserve">.com </w:t>
            </w:r>
          </w:p>
          <w:p>
            <w:pPr>
              <w:widowControl/>
              <w:topLinePunct/>
              <w:spacing w:line="440" w:lineRule="exact"/>
              <w:rPr>
                <w:rFonts w:ascii="宋体" w:hAnsi="宋体" w:cs="宋体"/>
                <w:b/>
                <w:color w:val="auto"/>
                <w:sz w:val="24"/>
                <w:highlight w:val="none"/>
              </w:rPr>
            </w:pPr>
            <w:r>
              <w:rPr>
                <w:rFonts w:hint="eastAsia" w:ascii="宋体" w:hAnsi="宋体" w:cs="宋体"/>
                <w:color w:val="auto"/>
                <w:sz w:val="24"/>
                <w:highlight w:val="none"/>
              </w:rPr>
              <w:t>有关本次采购活动方面的问题,可来人、来函（传真）或电话联系。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92" w:type="dxa"/>
            <w:vAlign w:val="center"/>
          </w:tcPr>
          <w:p>
            <w:pPr>
              <w:widowControl/>
              <w:topLinePunct/>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7896" w:type="dxa"/>
            <w:vAlign w:val="center"/>
          </w:tcPr>
          <w:p>
            <w:pPr>
              <w:tabs>
                <w:tab w:val="left" w:pos="945"/>
                <w:tab w:val="left" w:pos="1155"/>
              </w:tabs>
              <w:spacing w:line="360" w:lineRule="auto"/>
              <w:ind w:firstLine="480" w:firstLineChars="200"/>
              <w:rPr>
                <w:rFonts w:hint="eastAsia" w:ascii="宋体" w:hAnsi="宋体" w:eastAsia="宋体"/>
                <w:b/>
                <w:bCs/>
                <w:color w:val="auto"/>
                <w:sz w:val="24"/>
                <w:highlight w:val="none"/>
                <w:lang w:eastAsia="zh-CN"/>
              </w:rPr>
            </w:pPr>
            <w:r>
              <w:rPr>
                <w:rFonts w:hint="eastAsia" w:ascii="宋体" w:hAnsi="宋体" w:cs="宋体"/>
                <w:color w:val="auto"/>
                <w:sz w:val="24"/>
                <w:highlight w:val="none"/>
              </w:rPr>
              <w:t>根据《关于近期政府采购领域疫情防控有关要求的通知》（锡财购函〔2021〕3号）的要求，凡参与项目投标的相关人员，应遵循以下事项：（1）必须在投标报名及开标评标场所入口处，须出示“苏康码”与“行程码”（实时查验图，截图无效），采取“测温+扫码”进，“扫码”出。凡体温超过正常值（37.3℃）、核验结果为“红色”的人员，严禁进入。“苏康码”、“行程码”为绿码，但行程中有涉及中高风险地区的（加*标注地区），应持48小时核酸阴性证明进场；“苏康码”验证结果为黄色或红色、体温≥37.3℃的，严禁进场并上报同级财政部门。48小时内核酸检测阴性证明、体温测量正常的，在做好个人防护的前提下，可以自由有序流动；不能提供48小时内核酸检测阴性证明的，要进行核酸检测，核酸检测阴性可有序流动。开标当日请携带身份证、出示健康码（必须为绿码）、核酸检测阴性证明;服从佩戴口罩、测量体温、健康信息登记等各项疫情防控规定</w:t>
            </w:r>
            <w:r>
              <w:rPr>
                <w:rFonts w:hint="eastAsia" w:ascii="宋体" w:hAnsi="宋体" w:cs="宋体"/>
                <w:color w:val="auto"/>
                <w:sz w:val="24"/>
                <w:highlight w:val="none"/>
                <w:lang w:eastAsia="zh-CN"/>
              </w:rPr>
              <w:t>；</w:t>
            </w:r>
            <w:r>
              <w:rPr>
                <w:rFonts w:hint="eastAsia" w:ascii="宋体" w:hAnsi="宋体" w:cs="宋体"/>
                <w:color w:val="auto"/>
                <w:sz w:val="24"/>
                <w:highlight w:val="none"/>
              </w:rPr>
              <w:t>进场后请保持安全距离，分散等候，不得扎堆聚集;不配合工作人员管理的，工作人员有权拒绝其入场。进入现场人员，必须全程带好口罩，做好个人防控，对拒不配合的人员，禁止进入。《“锡康码”申领使用操作手册》详见无锡政府采购网首页“工作动态栏”或者无锡市公共资源交易中心网政府采购“公示栏”。</w:t>
            </w:r>
            <w:r>
              <w:rPr>
                <w:rFonts w:hint="eastAsia" w:ascii="宋体" w:hAnsi="宋体" w:cs="宋体"/>
                <w:b/>
                <w:bCs/>
                <w:color w:val="auto"/>
                <w:sz w:val="24"/>
                <w:highlight w:val="none"/>
              </w:rPr>
              <w:t>（2）</w:t>
            </w:r>
            <w:r>
              <w:rPr>
                <w:rFonts w:hint="eastAsia" w:ascii="宋体" w:hAnsi="宋体" w:cs="宋体"/>
                <w:b/>
                <w:bCs/>
                <w:color w:val="auto"/>
                <w:sz w:val="24"/>
              </w:rPr>
              <w:t>根据疫情防控要求，为减少人群聚集，投标供应商进入开标现场人数只允许1人。</w:t>
            </w:r>
            <w:r>
              <w:rPr>
                <w:rFonts w:hint="eastAsia" w:ascii="宋体" w:hAnsi="宋体" w:cs="宋体"/>
                <w:b/>
                <w:bCs/>
                <w:color w:val="auto"/>
                <w:sz w:val="24"/>
                <w:lang w:val="en-US" w:eastAsia="zh-CN"/>
              </w:rPr>
              <w:t>因本项目需要项目负责人答辩，</w:t>
            </w:r>
            <w:r>
              <w:rPr>
                <w:rFonts w:hint="eastAsia" w:ascii="宋体" w:hAnsi="宋体"/>
                <w:b/>
                <w:bCs/>
                <w:color w:val="auto"/>
                <w:sz w:val="24"/>
                <w:highlight w:val="none"/>
                <w:lang w:val="en-US" w:eastAsia="zh-CN"/>
              </w:rPr>
              <w:t>要求报价供应商授权委托人代表与项目负责人应为同一人。</w:t>
            </w:r>
          </w:p>
          <w:p>
            <w:pPr>
              <w:widowControl/>
              <w:topLinePunct/>
              <w:spacing w:line="360" w:lineRule="auto"/>
              <w:rPr>
                <w:rFonts w:hint="eastAsia" w:ascii="宋体" w:hAnsi="宋体" w:cs="宋体"/>
                <w:color w:val="auto"/>
                <w:sz w:val="24"/>
                <w:highlight w:val="none"/>
              </w:rPr>
            </w:pPr>
            <w:r>
              <w:rPr>
                <w:rFonts w:hint="eastAsia" w:ascii="宋体" w:hAnsi="宋体" w:cs="宋体"/>
                <w:color w:val="auto"/>
                <w:sz w:val="24"/>
                <w:highlight w:val="none"/>
              </w:rPr>
              <w:t>（3）请各投标单位按照上述要求提前做好投标准备，未按上述要求而影响投标的，责任由投标单位自行承担。新冠肺炎疫情防控政策如有变化的，以最新通知为准。</w:t>
            </w:r>
          </w:p>
        </w:tc>
      </w:tr>
    </w:tbl>
    <w:p>
      <w:pPr>
        <w:keepNext w:val="0"/>
        <w:keepLines w:val="0"/>
        <w:pageBreakBefore/>
        <w:widowControl w:val="0"/>
        <w:kinsoku/>
        <w:wordWrap/>
        <w:overflowPunct/>
        <w:topLinePunct w:val="0"/>
        <w:autoSpaceDE/>
        <w:autoSpaceDN/>
        <w:bidi w:val="0"/>
        <w:adjustRightInd/>
        <w:snapToGrid/>
        <w:spacing w:line="360" w:lineRule="auto"/>
        <w:jc w:val="left"/>
        <w:textAlignment w:val="auto"/>
        <w:rPr>
          <w:rFonts w:ascii="宋体" w:hAnsi="宋体" w:cs="宋体"/>
          <w:b/>
          <w:color w:val="auto"/>
          <w:sz w:val="44"/>
          <w:szCs w:val="44"/>
          <w:highlight w:val="none"/>
        </w:rPr>
      </w:pPr>
      <w:r>
        <w:rPr>
          <w:rFonts w:hint="eastAsia" w:ascii="宋体" w:hAnsi="宋体" w:cs="宋体"/>
          <w:b/>
          <w:color w:val="auto"/>
          <w:sz w:val="44"/>
          <w:szCs w:val="44"/>
          <w:highlight w:val="none"/>
        </w:rPr>
        <w:t>第二部分. 磋商须知</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（一）遵循原则：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公开透明原则、公平竞争原则、公正原则和诚实信用原则。</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（二）磋商文件：</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1．磋商文件包括文件目录所列全部内容，供应商应仔细阅读，并响应文件中充分反映磋商文件的所有要求。</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2．供应商应向</w:t>
      </w:r>
      <w:r>
        <w:rPr>
          <w:rFonts w:hint="eastAsia" w:ascii="宋体" w:hAnsi="宋体" w:cs="宋体"/>
          <w:color w:val="auto"/>
          <w:sz w:val="24"/>
          <w:highlight w:val="none"/>
          <w:lang w:eastAsia="zh-CN"/>
        </w:rPr>
        <w:t>江苏德诺工程项目管理有限公司</w:t>
      </w:r>
      <w:r>
        <w:rPr>
          <w:rFonts w:hint="eastAsia" w:ascii="宋体" w:hAnsi="宋体" w:cs="宋体"/>
          <w:color w:val="auto"/>
          <w:sz w:val="24"/>
          <w:highlight w:val="none"/>
        </w:rPr>
        <w:t>购买文件及有关资料，按磋商文件要求提交全部资料并对磋商文件各项内容做出实质性响应，否则响应文件无效。</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3．供应商一旦参加本项目竞争性磋商，即表明承诺接受了本磋商文件中所有条件和规定。</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4．磋商文件一经售出、一律不退，且仅作为本次竞争性磋商使用。</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（三）磋商文件的解释：</w:t>
      </w:r>
      <w:bookmarkStart w:id="512" w:name="_GoBack"/>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1．供应商如有需要对磋商文件要求澄清的问题，请以书面（含电子邮件）提出，</w:t>
      </w:r>
      <w:bookmarkEnd w:id="512"/>
      <w:r>
        <w:rPr>
          <w:rFonts w:hint="eastAsia" w:ascii="宋体" w:hAnsi="宋体" w:cs="宋体"/>
          <w:color w:val="auto"/>
          <w:sz w:val="24"/>
          <w:highlight w:val="none"/>
        </w:rPr>
        <w:t>并按“磋商须知前附表”第6项规定的时间将电子邮件及书面传真（两种形式均须发送）至</w:t>
      </w:r>
      <w:r>
        <w:rPr>
          <w:rFonts w:hint="eastAsia" w:ascii="宋体" w:hAnsi="宋体" w:cs="宋体"/>
          <w:color w:val="auto"/>
          <w:sz w:val="24"/>
          <w:highlight w:val="none"/>
          <w:lang w:eastAsia="zh-CN"/>
        </w:rPr>
        <w:t>江苏德诺工程项目管理有限公司</w:t>
      </w:r>
      <w:r>
        <w:rPr>
          <w:rFonts w:hint="eastAsia" w:ascii="宋体" w:hAnsi="宋体" w:cs="宋体"/>
          <w:color w:val="auto"/>
          <w:sz w:val="24"/>
          <w:highlight w:val="none"/>
        </w:rPr>
        <w:t>，联系方式详见磋商须知前附表第13项。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w:t>
      </w:r>
      <w:r>
        <w:rPr>
          <w:rFonts w:hint="eastAsia" w:ascii="宋体" w:hAnsi="宋体" w:cs="宋体"/>
          <w:color w:val="auto"/>
          <w:sz w:val="24"/>
          <w:highlight w:val="none"/>
          <w:lang w:eastAsia="zh-CN"/>
        </w:rPr>
        <w:t>江苏德诺工程项目管理有限公司</w:t>
      </w:r>
      <w:r>
        <w:rPr>
          <w:rFonts w:hint="eastAsia" w:ascii="宋体" w:hAnsi="宋体" w:cs="宋体"/>
          <w:color w:val="auto"/>
          <w:sz w:val="24"/>
          <w:highlight w:val="none"/>
        </w:rPr>
        <w:t>将按“磋商须知前附表”第6项规定的时间对供应商针对磋商文件书面（含电子邮件）提出的要求澄清的问题进行书面（含电子邮件）答疑。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3．本文件的最终解释权归采购人。</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（四）磋商文件的补充或修正：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1．磋商截止时间五日前</w:t>
      </w:r>
      <w:r>
        <w:rPr>
          <w:rFonts w:hint="eastAsia" w:ascii="宋体" w:hAnsi="宋体" w:cs="宋体"/>
          <w:color w:val="auto"/>
          <w:sz w:val="24"/>
          <w:highlight w:val="none"/>
          <w:lang w:eastAsia="zh-CN"/>
        </w:rPr>
        <w:t>江苏德诺工程项目管理有限公司</w:t>
      </w:r>
      <w:r>
        <w:rPr>
          <w:rFonts w:hint="eastAsia" w:ascii="宋体" w:hAnsi="宋体" w:cs="宋体"/>
          <w:color w:val="auto"/>
          <w:sz w:val="24"/>
          <w:highlight w:val="none"/>
        </w:rPr>
        <w:t>可对磋商文件进行必要的澄清或者修改，并视具体情况，延长磋商时间。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2．如需对磋商文件进行补充或修正，</w:t>
      </w:r>
      <w:r>
        <w:rPr>
          <w:rFonts w:hint="eastAsia" w:ascii="宋体" w:hAnsi="宋体" w:cs="宋体"/>
          <w:color w:val="auto"/>
          <w:sz w:val="24"/>
          <w:highlight w:val="none"/>
          <w:lang w:eastAsia="zh-CN"/>
        </w:rPr>
        <w:t>江苏德诺工程项目管理有限公司</w:t>
      </w:r>
      <w:r>
        <w:rPr>
          <w:rFonts w:hint="eastAsia" w:ascii="宋体" w:hAnsi="宋体" w:cs="宋体"/>
          <w:color w:val="auto"/>
          <w:sz w:val="24"/>
          <w:highlight w:val="none"/>
        </w:rPr>
        <w:t>将在</w:t>
      </w:r>
      <w:r>
        <w:rPr>
          <w:rFonts w:hint="eastAsia" w:ascii="宋体" w:hAnsi="宋体" w:cs="宋体"/>
          <w:b/>
          <w:bCs/>
          <w:color w:val="auto"/>
          <w:sz w:val="24"/>
          <w:highlight w:val="none"/>
        </w:rPr>
        <w:t>江苏政府采购网、无锡政府采购网</w:t>
      </w:r>
      <w:r>
        <w:rPr>
          <w:rFonts w:hint="eastAsia" w:ascii="宋体" w:hAnsi="宋体" w:cs="宋体"/>
          <w:color w:val="auto"/>
          <w:sz w:val="24"/>
          <w:highlight w:val="none"/>
        </w:rPr>
        <w:t>发布更正公告，并用书面（含电子邮件）形式通知所有供应商，其作为磋商文件的一部分，与磋商文件具有同等约束力，供应商应立即以书面（含电子邮件）形式回复</w:t>
      </w:r>
      <w:r>
        <w:rPr>
          <w:rFonts w:hint="eastAsia" w:ascii="宋体" w:hAnsi="宋体" w:cs="宋体"/>
          <w:bCs/>
          <w:color w:val="auto"/>
          <w:sz w:val="24"/>
          <w:highlight w:val="none"/>
          <w:lang w:eastAsia="zh-CN"/>
        </w:rPr>
        <w:t>江苏德诺工程项目管理有限公司</w:t>
      </w:r>
      <w:r>
        <w:rPr>
          <w:rFonts w:hint="eastAsia" w:ascii="宋体" w:hAnsi="宋体" w:cs="宋体"/>
          <w:color w:val="auto"/>
          <w:sz w:val="24"/>
          <w:highlight w:val="none"/>
        </w:rPr>
        <w:t>，确认已收到修改文件。</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（五）响应文件的组成：</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响应文件分为明标和暗标两部分，明标由证明文件部分、响应函部分、报价部分三部分组成，暗标为技术文件部分（单独成册）。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明标部分：</w:t>
      </w:r>
    </w:p>
    <w:p>
      <w:pPr>
        <w:spacing w:line="360" w:lineRule="auto"/>
        <w:ind w:firstLine="480" w:firstLineChars="200"/>
        <w:rPr>
          <w:rFonts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证明文件部分：</w:t>
      </w:r>
    </w:p>
    <w:p>
      <w:pPr>
        <w:tabs>
          <w:tab w:val="left" w:pos="0"/>
        </w:tabs>
        <w:autoSpaceDE w:val="0"/>
        <w:autoSpaceDN w:val="0"/>
        <w:adjustRightInd w:val="0"/>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1.1资格、资信证明文件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（1）关于资格的声明函（格式见附件）；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（2）报价供应商法定代表人授权委托书（</w:t>
      </w:r>
      <w:r>
        <w:rPr>
          <w:rFonts w:hint="eastAsia" w:ascii="宋体" w:hAnsi="宋体"/>
          <w:bCs/>
          <w:color w:val="auto"/>
          <w:sz w:val="24"/>
          <w:highlight w:val="none"/>
        </w:rPr>
        <w:t>法定代表人亲自参与报价的除外，</w:t>
      </w:r>
      <w:r>
        <w:rPr>
          <w:rFonts w:hint="eastAsia" w:ascii="宋体" w:hAnsi="宋体" w:cs="宋体"/>
          <w:color w:val="auto"/>
          <w:sz w:val="24"/>
          <w:highlight w:val="none"/>
        </w:rPr>
        <w:t>格式见附件）；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（3）报价供应商法定代表人身份证复印件及法定代表人授权代表身份证复印件</w:t>
      </w:r>
      <w:r>
        <w:rPr>
          <w:rFonts w:hint="eastAsia" w:ascii="宋体" w:hAnsi="宋体" w:eastAsia="宋体"/>
          <w:b/>
          <w:color w:val="auto"/>
          <w:sz w:val="24"/>
          <w:highlight w:val="none"/>
        </w:rPr>
        <w:t xml:space="preserve">（磋商时必须携带参加开标会议的法定代表人或法定代表人授权代表有效身份证明原件）； </w:t>
      </w:r>
    </w:p>
    <w:p>
      <w:pPr>
        <w:tabs>
          <w:tab w:val="left" w:pos="0"/>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（4）报价供应商有效期内企业法人营业执照或相关部门的登记证明文件复印件并加盖公章</w:t>
      </w:r>
      <w:r>
        <w:rPr>
          <w:rFonts w:hint="eastAsia" w:ascii="宋体" w:hAnsi="宋体" w:eastAsia="宋体"/>
          <w:b/>
          <w:color w:val="auto"/>
          <w:sz w:val="24"/>
          <w:highlight w:val="none"/>
        </w:rPr>
        <w:t>（磋商时需提供原件或公证件）</w:t>
      </w:r>
      <w:r>
        <w:rPr>
          <w:rFonts w:hint="eastAsia" w:ascii="宋体" w:hAnsi="宋体" w:eastAsia="宋体"/>
          <w:b/>
          <w:color w:val="auto"/>
          <w:sz w:val="24"/>
          <w:highlight w:val="none"/>
          <w:lang w:eastAsia="zh-CN"/>
        </w:rPr>
        <w:t>；</w:t>
      </w:r>
    </w:p>
    <w:p>
      <w:pPr>
        <w:tabs>
          <w:tab w:val="left" w:pos="0"/>
        </w:tabs>
        <w:spacing w:line="360" w:lineRule="auto"/>
        <w:ind w:firstLine="480" w:firstLineChars="200"/>
        <w:rPr>
          <w:rFonts w:hint="eastAsia" w:ascii="宋体" w:hAnsi="宋体" w:eastAsia="宋体"/>
          <w:b/>
          <w:color w:val="auto"/>
          <w:sz w:val="24"/>
          <w:highlight w:val="none"/>
          <w:lang w:eastAsia="zh-CN"/>
        </w:rPr>
      </w:pPr>
      <w:r>
        <w:rPr>
          <w:rFonts w:hint="eastAsia" w:ascii="宋体" w:hAnsi="宋体" w:cs="宋体"/>
          <w:color w:val="auto"/>
          <w:sz w:val="24"/>
          <w:highlight w:val="none"/>
        </w:rPr>
        <w:t>（5）报价</w:t>
      </w:r>
      <w:r>
        <w:rPr>
          <w:rFonts w:hint="eastAsia" w:ascii="宋体" w:hAnsi="宋体"/>
          <w:bCs/>
          <w:color w:val="auto"/>
          <w:sz w:val="24"/>
          <w:highlight w:val="none"/>
        </w:rPr>
        <w:t>供应商有效的资质证书</w:t>
      </w:r>
      <w:r>
        <w:rPr>
          <w:rFonts w:hint="eastAsia" w:ascii="宋体" w:hAnsi="宋体"/>
          <w:color w:val="auto"/>
          <w:sz w:val="24"/>
          <w:highlight w:val="none"/>
        </w:rPr>
        <w:t>复印件加盖公章</w:t>
      </w:r>
      <w:r>
        <w:rPr>
          <w:rFonts w:hint="eastAsia" w:ascii="宋体" w:hAnsi="宋体" w:eastAsia="宋体"/>
          <w:b/>
          <w:color w:val="auto"/>
          <w:sz w:val="24"/>
          <w:highlight w:val="none"/>
        </w:rPr>
        <w:t>（磋商时必须提交原件或公证件）</w:t>
      </w:r>
      <w:r>
        <w:rPr>
          <w:rFonts w:hint="eastAsia" w:ascii="宋体" w:hAnsi="宋体" w:eastAsia="宋体"/>
          <w:b/>
          <w:color w:val="auto"/>
          <w:sz w:val="24"/>
          <w:highlight w:val="none"/>
          <w:lang w:eastAsia="zh-CN"/>
        </w:rPr>
        <w:t>；</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（6）报价</w:t>
      </w:r>
      <w:r>
        <w:rPr>
          <w:rFonts w:hint="eastAsia" w:ascii="宋体" w:hAnsi="宋体"/>
          <w:color w:val="auto"/>
          <w:sz w:val="24"/>
          <w:highlight w:val="none"/>
        </w:rPr>
        <w:t>供应商有效的安全生产许可证复印件并加盖公章</w:t>
      </w:r>
      <w:r>
        <w:rPr>
          <w:rFonts w:hint="eastAsia" w:ascii="宋体" w:hAnsi="宋体"/>
          <w:b/>
          <w:color w:val="auto"/>
          <w:sz w:val="24"/>
          <w:highlight w:val="none"/>
        </w:rPr>
        <w:t>（磋商时提供原件或公证件）；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（7）</w:t>
      </w:r>
      <w:r>
        <w:rPr>
          <w:rFonts w:hint="eastAsia" w:ascii="宋体" w:hAnsi="宋体" w:cs="宋体"/>
          <w:color w:val="auto"/>
          <w:sz w:val="24"/>
          <w:highlight w:val="none"/>
          <w:lang w:val="zh-CN"/>
        </w:rPr>
        <w:t>项目负责人的</w:t>
      </w:r>
      <w:r>
        <w:rPr>
          <w:rFonts w:hint="eastAsia" w:ascii="宋体" w:hAnsi="宋体" w:cs="宋体"/>
          <w:color w:val="auto"/>
          <w:kern w:val="0"/>
          <w:sz w:val="24"/>
          <w:highlight w:val="none"/>
        </w:rPr>
        <w:t>二级及以上注册建造师资质（市政公用工程专业）</w:t>
      </w:r>
      <w:r>
        <w:rPr>
          <w:rFonts w:hint="eastAsia" w:ascii="宋体" w:hAnsi="宋体" w:cs="宋体"/>
          <w:color w:val="auto"/>
          <w:kern w:val="0"/>
          <w:sz w:val="24"/>
          <w:highlight w:val="none"/>
          <w:lang w:val="zh-CN"/>
        </w:rPr>
        <w:t>和有效的《建筑施工企业项目负责人安全生产考核合格证书》（B证），</w:t>
      </w:r>
      <w:r>
        <w:rPr>
          <w:rFonts w:hint="eastAsia" w:ascii="宋体" w:hAnsi="宋体"/>
          <w:color w:val="auto"/>
          <w:sz w:val="24"/>
          <w:szCs w:val="24"/>
          <w:highlight w:val="none"/>
        </w:rPr>
        <w:t>且未担任其他在建工程项目的项目经理</w:t>
      </w:r>
      <w:r>
        <w:rPr>
          <w:rFonts w:hint="eastAsia" w:ascii="宋体" w:hAnsi="宋体" w:cs="宋体"/>
          <w:color w:val="auto"/>
          <w:kern w:val="0"/>
          <w:sz w:val="24"/>
          <w:highlight w:val="none"/>
        </w:rPr>
        <w:t>复印件加盖公章</w:t>
      </w:r>
      <w:r>
        <w:rPr>
          <w:rFonts w:hint="eastAsia" w:ascii="宋体" w:hAnsi="宋体" w:cs="宋体"/>
          <w:b/>
          <w:bCs/>
          <w:color w:val="auto"/>
          <w:sz w:val="24"/>
          <w:highlight w:val="none"/>
        </w:rPr>
        <w:t>（磋商时提供原件或公证件）</w:t>
      </w:r>
      <w:r>
        <w:rPr>
          <w:rFonts w:hint="eastAsia" w:ascii="宋体" w:hAnsi="宋体" w:cs="宋体"/>
          <w:b/>
          <w:bCs/>
          <w:color w:val="auto"/>
          <w:sz w:val="24"/>
          <w:highlight w:val="none"/>
          <w:lang w:eastAsia="zh-CN"/>
        </w:rPr>
        <w:t>；</w:t>
      </w:r>
    </w:p>
    <w:p>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（8）授权委托人、项目负责人应具备与企业签订的劳动合同和《职工养老保险手册》（内附</w:t>
      </w:r>
      <w:r>
        <w:rPr>
          <w:rFonts w:hint="eastAsia" w:ascii="宋体" w:hAnsi="宋体" w:cs="宋体"/>
          <w:color w:val="auto"/>
          <w:sz w:val="24"/>
          <w:highlight w:val="none"/>
          <w:lang w:eastAsia="zh-CN"/>
        </w:rPr>
        <w:t>2021年0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月-2021年0</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月</w:t>
      </w:r>
      <w:r>
        <w:rPr>
          <w:rFonts w:hint="eastAsia" w:ascii="宋体" w:hAnsi="宋体" w:cs="宋体"/>
          <w:color w:val="auto"/>
          <w:sz w:val="24"/>
          <w:highlight w:val="none"/>
        </w:rPr>
        <w:t>的缴费清单）或由社保机构出具的</w:t>
      </w:r>
      <w:r>
        <w:rPr>
          <w:rFonts w:hint="eastAsia" w:ascii="宋体" w:hAnsi="宋体" w:cs="宋体"/>
          <w:color w:val="auto"/>
          <w:sz w:val="24"/>
          <w:highlight w:val="none"/>
          <w:lang w:eastAsia="zh-CN"/>
        </w:rPr>
        <w:t>2021年0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月-2021年0</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月</w:t>
      </w:r>
      <w:r>
        <w:rPr>
          <w:rFonts w:hint="eastAsia" w:ascii="宋体" w:hAnsi="宋体" w:cs="宋体"/>
          <w:color w:val="auto"/>
          <w:sz w:val="24"/>
          <w:highlight w:val="none"/>
        </w:rPr>
        <w:t>的缴费证明</w:t>
      </w:r>
      <w:r>
        <w:rPr>
          <w:rFonts w:hint="eastAsia" w:ascii="宋体" w:hAnsi="宋体" w:cs="宋体"/>
          <w:color w:val="auto"/>
          <w:sz w:val="24"/>
          <w:highlight w:val="none"/>
          <w:lang w:eastAsia="zh-CN"/>
        </w:rPr>
        <w:t>，</w:t>
      </w:r>
      <w:r>
        <w:rPr>
          <w:rFonts w:hint="eastAsia" w:ascii="宋体" w:hAnsi="宋体" w:cs="宋体"/>
          <w:color w:val="auto"/>
          <w:sz w:val="24"/>
          <w:highlight w:val="none"/>
        </w:rPr>
        <w:t>复印件并加盖公章；</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（9）报价供应商近三个月中任意一个月份(不含磋商当月)的财务状况报告（资产负债表和利润表）或由会计师事务所出具的近两年中任意一年度的审计报告和所附已审财务报告复印件并加盖公章</w:t>
      </w:r>
      <w:r>
        <w:rPr>
          <w:rFonts w:hint="eastAsia" w:ascii="宋体" w:hAnsi="宋体" w:cs="宋体"/>
          <w:b/>
          <w:bCs/>
          <w:color w:val="auto"/>
          <w:sz w:val="24"/>
          <w:highlight w:val="none"/>
        </w:rPr>
        <w:t>（磋商时提供原件）；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（10）报价供应商近三个月中任意一个月份(不含磋商当月)的依法缴纳税收的相关材料（提供相关主管部门证明或银行代扣证明）复印件加盖公章；</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（11）报价供应商近三个月中任意一个月份(不含磋商当月)的依法缴纳社会保障资金的相关材料（提供相关主管部门证明或银行代扣证明）复印件加盖公章；</w:t>
      </w:r>
    </w:p>
    <w:p>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（12）承诺书</w:t>
      </w:r>
      <w:r>
        <w:rPr>
          <w:rFonts w:hint="eastAsia" w:ascii="宋体" w:hAnsi="宋体" w:cs="宋体"/>
          <w:b/>
          <w:bCs/>
          <w:color w:val="auto"/>
          <w:sz w:val="24"/>
          <w:highlight w:val="none"/>
        </w:rPr>
        <w:t>（格式见附件）。</w:t>
      </w:r>
    </w:p>
    <w:p>
      <w:pPr>
        <w:wordWrap w:val="0"/>
        <w:spacing w:line="360" w:lineRule="auto"/>
        <w:ind w:firstLine="566" w:firstLineChars="235"/>
        <w:rPr>
          <w:rFonts w:ascii="宋体" w:hAnsi="宋体" w:cs="宋体"/>
          <w:b/>
          <w:color w:val="auto"/>
          <w:sz w:val="24"/>
          <w:highlight w:val="none"/>
        </w:rPr>
      </w:pPr>
      <w:r>
        <w:rPr>
          <w:rFonts w:hint="eastAsia" w:ascii="宋体" w:hAnsi="宋体" w:cs="宋体"/>
          <w:b/>
          <w:color w:val="auto"/>
          <w:sz w:val="24"/>
          <w:highlight w:val="none"/>
        </w:rPr>
        <w:t>*注：报价供应商如已按《关于启用无锡市政府采购交易管理一体化系统供应商注册登记模块的通知》、《无锡市政府采购供应商注册登记管理办法》（锡财购〔2012〕3号）要求加入供应商库的，可注册入库成功后，从网上下载打印《无锡市政府采购注册供应商资格信息登记表》（以下简称信息登记表），并经法定代表人签字和加盖公章后,可作为供应商响应文件的有效组成部分提交采购代理机构。信息登记表所记录的信息如能反映报价供应商具备对应资格条件项的，在本项目评审时，可凭该信息登记表免于提供相应的资格证明材料的原件或公证件，否则必须按要求提供相应的资格证明材料原件或公证件。</w:t>
      </w:r>
    </w:p>
    <w:p>
      <w:pPr>
        <w:spacing w:line="360" w:lineRule="auto"/>
        <w:ind w:firstLine="566" w:firstLineChars="235"/>
        <w:rPr>
          <w:rFonts w:ascii="宋体" w:hAnsi="宋体" w:cs="宋体"/>
          <w:b/>
          <w:color w:val="auto"/>
          <w:sz w:val="24"/>
          <w:highlight w:val="none"/>
        </w:rPr>
      </w:pPr>
      <w:r>
        <w:rPr>
          <w:rFonts w:hint="eastAsia" w:ascii="宋体" w:hAnsi="宋体" w:cs="宋体"/>
          <w:b/>
          <w:color w:val="auto"/>
          <w:sz w:val="24"/>
          <w:highlight w:val="none"/>
        </w:rPr>
        <w:t>上述资格、资信证明文件供应商必须按要求全部提供，要求提交的原件或公证件必须与响应文件同时提交，如果原件正在年检（或换证），则必须提供法定年检（或换证）单位出具的有效证明原件，否则响应文件无效。如上述资格、资信证明文件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他可在中国大陆有效居留的许可证明。</w:t>
      </w:r>
    </w:p>
    <w:p>
      <w:pPr>
        <w:widowControl/>
        <w:tabs>
          <w:tab w:val="left" w:pos="0"/>
        </w:tabs>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sz w:val="24"/>
          <w:highlight w:val="none"/>
        </w:rPr>
        <w:t>1.2</w:t>
      </w:r>
      <w:r>
        <w:rPr>
          <w:rFonts w:hint="eastAsia" w:ascii="宋体" w:hAnsi="宋体" w:cs="宋体"/>
          <w:color w:val="auto"/>
          <w:kern w:val="0"/>
          <w:sz w:val="24"/>
          <w:highlight w:val="none"/>
        </w:rPr>
        <w:t>补充证明文件：</w:t>
      </w:r>
    </w:p>
    <w:p>
      <w:pPr>
        <w:widowControl/>
        <w:tabs>
          <w:tab w:val="left" w:pos="0"/>
        </w:tabs>
        <w:spacing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（1）中小企业声明函；（报价供应商为中小企业的必须提供，格式见附件）；</w:t>
      </w:r>
    </w:p>
    <w:p>
      <w:pPr>
        <w:widowControl/>
        <w:tabs>
          <w:tab w:val="left" w:pos="0"/>
        </w:tabs>
        <w:spacing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（2）监狱企业证明文件或残疾人福利性单位声明函；（供应商为残疾人福利性单位的必须提供，格式 见附件；</w:t>
      </w:r>
    </w:p>
    <w:p>
      <w:pPr>
        <w:widowControl/>
        <w:tabs>
          <w:tab w:val="left" w:pos="0"/>
        </w:tabs>
        <w:spacing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（3）供应商简介和经营情况说明；</w:t>
      </w:r>
    </w:p>
    <w:p>
      <w:pPr>
        <w:widowControl/>
        <w:tabs>
          <w:tab w:val="left" w:pos="0"/>
        </w:tabs>
        <w:spacing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（4）供应商认为必须提供的其他证明材料。</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2．响应函部分（格式见附件）：</w:t>
      </w:r>
    </w:p>
    <w:p>
      <w:pPr>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（1）响应函；</w:t>
      </w:r>
    </w:p>
    <w:p>
      <w:pPr>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（2）开标一览表；</w:t>
      </w:r>
    </w:p>
    <w:p>
      <w:pPr>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（3）项目管理机构配备情况；</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1）项目管理机构配备情况表；</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2）项目负责人简历表；</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3）项目技术负责人简历表；</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4）项目管理机构配备情况辅助说明资料；</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3.报价部分（格式见附件）；</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一、投标总价                                     表1</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kern w:val="0"/>
          <w:sz w:val="24"/>
          <w:highlight w:val="none"/>
        </w:rPr>
        <w:t>建设项目投标报价汇总表</w:t>
      </w:r>
      <w:r>
        <w:rPr>
          <w:rFonts w:hint="eastAsia" w:ascii="宋体" w:hAnsi="宋体" w:cs="宋体"/>
          <w:color w:val="auto"/>
          <w:sz w:val="24"/>
          <w:highlight w:val="none"/>
        </w:rPr>
        <w:t xml:space="preserve">                       表2</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kern w:val="0"/>
          <w:sz w:val="24"/>
          <w:highlight w:val="none"/>
        </w:rPr>
        <w:t>单项工程投标报价汇总表</w:t>
      </w:r>
      <w:r>
        <w:rPr>
          <w:rFonts w:hint="eastAsia" w:ascii="宋体" w:hAnsi="宋体" w:cs="宋体"/>
          <w:color w:val="auto"/>
          <w:sz w:val="24"/>
          <w:highlight w:val="none"/>
        </w:rPr>
        <w:t xml:space="preserve">                       表3</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kern w:val="0"/>
          <w:sz w:val="24"/>
          <w:highlight w:val="none"/>
        </w:rPr>
        <w:t>单位工程投标报价汇总表</w:t>
      </w:r>
      <w:r>
        <w:rPr>
          <w:rFonts w:hint="eastAsia" w:ascii="宋体" w:hAnsi="宋体" w:cs="宋体"/>
          <w:color w:val="auto"/>
          <w:sz w:val="24"/>
          <w:highlight w:val="none"/>
        </w:rPr>
        <w:t xml:space="preserve">                       表4</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五、分部分项工程和单价措施项目清单与计价表       表5</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六、</w:t>
      </w:r>
      <w:r>
        <w:rPr>
          <w:rFonts w:hint="eastAsia" w:ascii="宋体" w:hAnsi="宋体" w:cs="宋体"/>
          <w:color w:val="auto"/>
          <w:kern w:val="0"/>
          <w:sz w:val="24"/>
          <w:highlight w:val="none"/>
        </w:rPr>
        <w:t xml:space="preserve">综合单价分析表 </w:t>
      </w:r>
      <w:r>
        <w:rPr>
          <w:rFonts w:hint="eastAsia" w:ascii="宋体" w:hAnsi="宋体" w:cs="宋体"/>
          <w:color w:val="auto"/>
          <w:sz w:val="24"/>
          <w:highlight w:val="none"/>
        </w:rPr>
        <w:t xml:space="preserve">                              表6</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七、</w:t>
      </w:r>
      <w:r>
        <w:rPr>
          <w:rFonts w:hint="eastAsia" w:ascii="宋体" w:hAnsi="宋体" w:cs="宋体"/>
          <w:color w:val="auto"/>
          <w:kern w:val="0"/>
          <w:sz w:val="24"/>
          <w:highlight w:val="none"/>
        </w:rPr>
        <w:t xml:space="preserve">总价措施项目清单与计价表 </w:t>
      </w:r>
      <w:r>
        <w:rPr>
          <w:rFonts w:hint="eastAsia" w:ascii="宋体" w:hAnsi="宋体" w:cs="宋体"/>
          <w:color w:val="auto"/>
          <w:sz w:val="24"/>
          <w:highlight w:val="none"/>
        </w:rPr>
        <w:t xml:space="preserve">                    表7</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八、</w:t>
      </w:r>
      <w:r>
        <w:rPr>
          <w:rFonts w:hint="eastAsia" w:ascii="宋体" w:hAnsi="宋体" w:cs="宋体"/>
          <w:color w:val="auto"/>
          <w:kern w:val="0"/>
          <w:sz w:val="24"/>
          <w:highlight w:val="none"/>
        </w:rPr>
        <w:t xml:space="preserve">其他项目清单与计价汇总表  </w:t>
      </w:r>
      <w:r>
        <w:rPr>
          <w:rFonts w:hint="eastAsia" w:ascii="宋体" w:hAnsi="宋体" w:cs="宋体"/>
          <w:color w:val="auto"/>
          <w:sz w:val="24"/>
          <w:highlight w:val="none"/>
        </w:rPr>
        <w:t xml:space="preserve">                   表8</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九、</w:t>
      </w:r>
      <w:r>
        <w:rPr>
          <w:rFonts w:hint="eastAsia" w:ascii="宋体" w:hAnsi="宋体" w:cs="宋体"/>
          <w:color w:val="auto"/>
          <w:kern w:val="0"/>
          <w:sz w:val="24"/>
          <w:highlight w:val="none"/>
        </w:rPr>
        <w:t>暂列金额明细表</w:t>
      </w:r>
      <w:r>
        <w:rPr>
          <w:rFonts w:hint="eastAsia" w:ascii="宋体" w:hAnsi="宋体" w:cs="宋体"/>
          <w:color w:val="auto"/>
          <w:sz w:val="24"/>
          <w:highlight w:val="none"/>
        </w:rPr>
        <w:t xml:space="preserve">                               表9</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kern w:val="0"/>
          <w:sz w:val="24"/>
          <w:highlight w:val="none"/>
        </w:rPr>
        <w:t xml:space="preserve">材料（工程设备）暂估单价及调整表          </w:t>
      </w:r>
      <w:r>
        <w:rPr>
          <w:rFonts w:hint="eastAsia" w:ascii="宋体" w:hAnsi="宋体" w:cs="宋体"/>
          <w:color w:val="auto"/>
          <w:sz w:val="24"/>
          <w:highlight w:val="none"/>
        </w:rPr>
        <w:t xml:space="preserve">   表10</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十一、</w:t>
      </w:r>
      <w:r>
        <w:rPr>
          <w:rFonts w:hint="eastAsia" w:ascii="宋体" w:hAnsi="宋体" w:cs="宋体"/>
          <w:color w:val="auto"/>
          <w:kern w:val="0"/>
          <w:sz w:val="24"/>
          <w:highlight w:val="none"/>
        </w:rPr>
        <w:t xml:space="preserve">专业工程暂估价及结算价表 </w:t>
      </w:r>
      <w:r>
        <w:rPr>
          <w:rFonts w:hint="eastAsia" w:ascii="宋体" w:hAnsi="宋体" w:cs="宋体"/>
          <w:color w:val="auto"/>
          <w:sz w:val="24"/>
          <w:highlight w:val="none"/>
        </w:rPr>
        <w:t xml:space="preserve">                  表11</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十二、</w:t>
      </w:r>
      <w:r>
        <w:rPr>
          <w:rFonts w:hint="eastAsia" w:ascii="宋体" w:hAnsi="宋体" w:cs="宋体"/>
          <w:color w:val="auto"/>
          <w:kern w:val="0"/>
          <w:sz w:val="24"/>
          <w:highlight w:val="none"/>
        </w:rPr>
        <w:t>计日工表</w:t>
      </w:r>
      <w:r>
        <w:rPr>
          <w:rFonts w:hint="eastAsia" w:ascii="宋体" w:hAnsi="宋体" w:cs="宋体"/>
          <w:color w:val="auto"/>
          <w:sz w:val="24"/>
          <w:highlight w:val="none"/>
        </w:rPr>
        <w:t xml:space="preserve">                                   表12</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十三、</w:t>
      </w:r>
      <w:r>
        <w:rPr>
          <w:rFonts w:hint="eastAsia" w:ascii="宋体" w:hAnsi="宋体" w:cs="宋体"/>
          <w:color w:val="auto"/>
          <w:kern w:val="0"/>
          <w:sz w:val="24"/>
          <w:highlight w:val="none"/>
        </w:rPr>
        <w:t>总承包服务费计价表</w:t>
      </w:r>
      <w:r>
        <w:rPr>
          <w:rFonts w:hint="eastAsia" w:ascii="宋体" w:hAnsi="宋体" w:cs="宋体"/>
          <w:color w:val="auto"/>
          <w:sz w:val="24"/>
          <w:highlight w:val="none"/>
        </w:rPr>
        <w:t xml:space="preserve">                         表13  </w:t>
      </w:r>
    </w:p>
    <w:p>
      <w:pPr>
        <w:spacing w:line="360" w:lineRule="auto"/>
        <w:ind w:left="840"/>
        <w:rPr>
          <w:rFonts w:ascii="宋体" w:hAnsi="宋体" w:cs="宋体"/>
          <w:color w:val="auto"/>
          <w:sz w:val="24"/>
          <w:highlight w:val="none"/>
        </w:rPr>
      </w:pPr>
      <w:r>
        <w:rPr>
          <w:rFonts w:hint="eastAsia" w:ascii="宋体" w:hAnsi="宋体" w:cs="宋体"/>
          <w:color w:val="auto"/>
          <w:sz w:val="24"/>
          <w:highlight w:val="none"/>
        </w:rPr>
        <w:t>十四、</w:t>
      </w:r>
      <w:r>
        <w:rPr>
          <w:rFonts w:hint="eastAsia" w:ascii="宋体" w:hAnsi="宋体" w:cs="宋体"/>
          <w:color w:val="auto"/>
          <w:kern w:val="0"/>
          <w:sz w:val="24"/>
          <w:highlight w:val="none"/>
        </w:rPr>
        <w:t xml:space="preserve">规费、税金项目计价表    </w:t>
      </w:r>
      <w:r>
        <w:rPr>
          <w:rFonts w:hint="eastAsia" w:ascii="宋体" w:hAnsi="宋体" w:cs="宋体"/>
          <w:color w:val="auto"/>
          <w:sz w:val="24"/>
          <w:highlight w:val="none"/>
        </w:rPr>
        <w:t xml:space="preserve">                   表14</w:t>
      </w:r>
    </w:p>
    <w:p>
      <w:pPr>
        <w:widowControl/>
        <w:spacing w:line="360" w:lineRule="auto"/>
        <w:ind w:left="840"/>
        <w:rPr>
          <w:rFonts w:ascii="宋体" w:hAnsi="宋体" w:cs="宋体"/>
          <w:color w:val="auto"/>
          <w:sz w:val="24"/>
          <w:highlight w:val="none"/>
        </w:rPr>
      </w:pPr>
      <w:r>
        <w:rPr>
          <w:rFonts w:hint="eastAsia" w:ascii="宋体" w:hAnsi="宋体" w:cs="宋体"/>
          <w:color w:val="auto"/>
          <w:sz w:val="24"/>
          <w:highlight w:val="none"/>
        </w:rPr>
        <w:t>十五、</w:t>
      </w:r>
      <w:r>
        <w:rPr>
          <w:rFonts w:hint="eastAsia" w:ascii="宋体" w:hAnsi="宋体" w:cs="宋体"/>
          <w:color w:val="auto"/>
          <w:kern w:val="0"/>
          <w:sz w:val="24"/>
          <w:highlight w:val="none"/>
        </w:rPr>
        <w:t>总价项目进度款支付分解表</w:t>
      </w:r>
      <w:r>
        <w:rPr>
          <w:rFonts w:hint="eastAsia" w:ascii="宋体" w:hAnsi="宋体" w:cs="宋体"/>
          <w:color w:val="auto"/>
          <w:sz w:val="24"/>
          <w:highlight w:val="none"/>
        </w:rPr>
        <w:t xml:space="preserve">                   表15</w:t>
      </w:r>
    </w:p>
    <w:p>
      <w:pPr>
        <w:spacing w:line="360" w:lineRule="auto"/>
        <w:ind w:firstLine="840" w:firstLineChars="350"/>
        <w:rPr>
          <w:rFonts w:ascii="宋体" w:hAnsi="宋体" w:cs="宋体"/>
          <w:color w:val="auto"/>
          <w:sz w:val="24"/>
          <w:highlight w:val="none"/>
        </w:rPr>
      </w:pPr>
      <w:r>
        <w:rPr>
          <w:rFonts w:hint="eastAsia" w:ascii="宋体" w:hAnsi="宋体" w:cs="宋体"/>
          <w:color w:val="auto"/>
          <w:kern w:val="0"/>
          <w:sz w:val="24"/>
          <w:highlight w:val="none"/>
        </w:rPr>
        <w:t xml:space="preserve">十六、发包人提供材料和工程设备一览表             </w:t>
      </w:r>
      <w:r>
        <w:rPr>
          <w:rFonts w:hint="eastAsia" w:ascii="宋体" w:hAnsi="宋体" w:cs="宋体"/>
          <w:color w:val="auto"/>
          <w:sz w:val="24"/>
          <w:highlight w:val="none"/>
        </w:rPr>
        <w:t>表16</w:t>
      </w:r>
    </w:p>
    <w:p>
      <w:pPr>
        <w:spacing w:line="360" w:lineRule="auto"/>
        <w:ind w:left="6737" w:leftChars="456" w:hanging="5779" w:hangingChars="2408"/>
        <w:rPr>
          <w:rFonts w:ascii="宋体" w:hAnsi="宋体" w:cs="宋体"/>
          <w:color w:val="auto"/>
          <w:sz w:val="24"/>
          <w:highlight w:val="none"/>
        </w:rPr>
      </w:pPr>
      <w:r>
        <w:rPr>
          <w:rFonts w:hint="eastAsia" w:ascii="宋体" w:hAnsi="宋体" w:cs="宋体"/>
          <w:color w:val="auto"/>
          <w:sz w:val="24"/>
          <w:highlight w:val="none"/>
        </w:rPr>
        <w:t>十七、承包人提供主要材料和工程设备一览表（适用造价信息差额调整法）表17</w:t>
      </w:r>
    </w:p>
    <w:p>
      <w:pPr>
        <w:spacing w:line="360" w:lineRule="auto"/>
        <w:ind w:left="6737" w:leftChars="456" w:hanging="5779" w:hangingChars="2408"/>
        <w:rPr>
          <w:rFonts w:ascii="宋体" w:hAnsi="宋体" w:cs="宋体"/>
          <w:color w:val="auto"/>
          <w:sz w:val="24"/>
          <w:highlight w:val="none"/>
        </w:rPr>
      </w:pPr>
      <w:r>
        <w:rPr>
          <w:rFonts w:hint="eastAsia" w:ascii="宋体" w:hAnsi="宋体" w:cs="宋体"/>
          <w:color w:val="auto"/>
          <w:sz w:val="24"/>
          <w:highlight w:val="none"/>
        </w:rPr>
        <w:t>十八、承包人提供主要材料和工程设备一览表（适用于价格指数差额调整法）  表18</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暗标部分：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4.技术文件</w:t>
      </w:r>
    </w:p>
    <w:p>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 xml:space="preserve">（1）总体概述：施工组织总体设想、方案针对性及施工段划分； </w:t>
      </w:r>
    </w:p>
    <w:p>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 xml:space="preserve">（2）施工现场平面布置和临时设施、临时道路布置；  </w:t>
      </w:r>
    </w:p>
    <w:p>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 xml:space="preserve">（3）施工进度计划和各阶段进度的保证措施；  </w:t>
      </w:r>
    </w:p>
    <w:p>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 xml:space="preserve">（4）各分部分项工程的施工方案及质量保证措施； </w:t>
      </w:r>
    </w:p>
    <w:p>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（5）安全文明施工及环境保护</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降尘降噪</w:t>
      </w:r>
      <w:r>
        <w:rPr>
          <w:rFonts w:hint="eastAsia" w:ascii="宋体" w:hAnsi="宋体"/>
          <w:bCs/>
          <w:color w:val="auto"/>
          <w:sz w:val="24"/>
          <w:highlight w:val="none"/>
          <w:lang w:eastAsia="zh-CN"/>
        </w:rPr>
        <w:t>）</w:t>
      </w:r>
      <w:r>
        <w:rPr>
          <w:rFonts w:hint="eastAsia" w:ascii="宋体" w:hAnsi="宋体"/>
          <w:bCs/>
          <w:color w:val="auto"/>
          <w:sz w:val="24"/>
          <w:highlight w:val="none"/>
        </w:rPr>
        <w:t>措施；</w:t>
      </w:r>
    </w:p>
    <w:p>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（6）劳动力、机械设备和材料投入计划；</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（六）报价说明：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（1）本工程的报价应采用《建设工程工程量清单计价规范》(GB50500-2013)及其9本工程量计算规范规定的工程量清单计价格式。</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供应商的报价的总额应是报价供应商在响应文件中提出的各项支付金额的总和，也应是完成磋商文件工程量清单计价所列项目的全部费用。包括分部分项工程费、措施项目费、其他项目费、规费和税金。综合单价包括完成工程量清单中一个规定计量单位项目所需的人工、材料费、机械使用费，管理费和利润并考虑风险因素。总之报价应为完成该项目的全部费用。包括工完清场、移交竣工验收、保修期满。</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本工程磋商文件所提供的工程量清单是按照《建设工程工程量清单计价规范》(GB50500-2013)及其9本工程量计算规范和施工图设计计算确定。对于工程量清单中未提供齐全，而本磋商文件中所确定的招标范围所提供的全套设计图中已明确包含的工程内容，报价供应商可以按统一的工程量计算规则计算后，在发标后3天内以书面形式提供给采购人，采购人在收到书面资料后2天内将可以增列的项目或修改的数量以修正文件形式书面通知报价供应商。但是不论工程量清单数量与设计图数量是否一致，报价供应商只能以采购人发放的工程量清单及修正文件进行报价。工程数量与实际施工量不一致时，工程数量可按实调整。</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除非采购人对磋商文件予以修改，报价供应商应按采购人提供的工程量清单及其计价格式，填报单价和合价。报价供应商未填单价或合价的工程项目，视为该项目费用已包括在其他有价款的单价或合价内，在实施后，采购人将不另行支付。如实际施工的工程量与采购人提供的工程量清单中的数量不一致时，量差部分结算时可按实调整，每一项目只允许有一个报价。任何有选择的报价将不予接受。</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所有的施工方案的费用以及按国家标准或施工验收规范要求对材料、构件进行质量检测或检测所需的试验、检测费用应列入报价供应商认为合适的细目中，在工程量清单分析中反映出来。工程量清单分析中未列细目的，其施工方案费用及试验、检测费用应被视为已分摊在报价供应商认为合适的细目报价中。</w:t>
      </w:r>
    </w:p>
    <w:p>
      <w:pPr>
        <w:spacing w:line="360" w:lineRule="auto"/>
        <w:ind w:firstLine="480" w:firstLineChars="200"/>
        <w:rPr>
          <w:rFonts w:hint="eastAsia" w:ascii="宋体" w:hAnsi="宋体" w:eastAsia="宋体"/>
          <w:bCs/>
          <w:color w:val="auto"/>
          <w:sz w:val="24"/>
          <w:highlight w:val="none"/>
          <w:lang w:val="en-US" w:eastAsia="zh-CN"/>
        </w:rPr>
      </w:pPr>
      <w:r>
        <w:rPr>
          <w:rFonts w:hint="eastAsia" w:ascii="宋体" w:hAnsi="宋体"/>
          <w:bCs/>
          <w:color w:val="auto"/>
          <w:sz w:val="24"/>
          <w:highlight w:val="none"/>
        </w:rPr>
        <w:t>（6）报价供应商应结合本企业的技术水平，管理水平和拟定的施工方案自主报价，人工、材料、机械台班单价，管理费、利润措施费都可以自主确定。消耗用量也可适当调正，但定额编号、子目工作内容、工程量计算规则、措施费划分以及规费、税金的计取应按规定执行。</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（7）报价供应商不得改变不可竞争费用标准收取：现场安全文明施工措施费、规费、税金、磋商文件中已明确的材料设备及暂定费用、其他法律法规规定不可竞争的费用。如改变不可竞争费用的按无效标处理。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各种材料的价格当采购人未提供价格时，由报价供应商自行进行市场调查后决定报价，但各报价供应商应充分考虑在工程建设周期内市场价格的波动风险，一经报价确认，结算时涨跌不超过5%部分将不作调整，超过部分根据相关约定执行。当采购人对部分材料提供暂定价格时，报价供应商报价时不得以任何理由更改暂定价格，否则作无效标处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9）报价供应商应根据施工现场的实际情况、本磋商文件中载明的施工组织要求、现场的交通管制条件、文明施工要求和各自的施工经验确定合理的施工组织方案，自主合理报价。各报价供应商应认真踏勘现场，充分考虑临时用地(采购人无偿提供定点线内土地可供临时使用)、临时通道、临时排水、临时路灯等因素，并对工程车辆行驶线路认真踏勘，预计可能发生的费用，均可列入，凡未列的一旦发生，将视为由报价的成交供应商自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（10）报价时各单位工程中同一清单子目对应的综合单价报价应保持一致，如不一致，成交单位今后结算审计时以所报综合单价中最低的作为结算依据。</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经磋商小组认定供应商的报价明显低于其他通过符合性审查报价供应商的报价，有可能影响产品质量或者不能诚信履约的，供应商报价不得低于成本价，供应商必须在一小时内提供书面说明，必要时提交相关证明材料以证明其报价合理性。供应商不能证明其报价合理性的，磋商小组应当将其作为无效响应文件处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（12）本项目计税方法为营改增后的一般计税方法。</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（七）响应文件的要求：</w:t>
      </w:r>
    </w:p>
    <w:p>
      <w:pPr>
        <w:spacing w:line="360" w:lineRule="auto"/>
        <w:ind w:firstLine="482" w:firstLineChars="200"/>
        <w:rPr>
          <w:rFonts w:ascii="宋体" w:hAnsi="宋体"/>
          <w:bCs/>
          <w:color w:val="auto"/>
          <w:sz w:val="24"/>
          <w:highlight w:val="none"/>
        </w:rPr>
      </w:pPr>
      <w:r>
        <w:rPr>
          <w:rFonts w:hint="eastAsia" w:ascii="宋体" w:hAnsi="宋体"/>
          <w:b/>
          <w:bCs/>
          <w:color w:val="auto"/>
          <w:sz w:val="24"/>
          <w:highlight w:val="none"/>
        </w:rPr>
        <w:t>1.明标部分响应文件的要求</w:t>
      </w:r>
      <w:r>
        <w:rPr>
          <w:rFonts w:hint="eastAsia" w:ascii="宋体" w:hAnsi="宋体"/>
          <w:bCs/>
          <w:color w:val="auto"/>
          <w:sz w:val="24"/>
          <w:highlight w:val="none"/>
        </w:rPr>
        <w:t>：</w:t>
      </w:r>
    </w:p>
    <w:p>
      <w:pPr>
        <w:spacing w:line="360" w:lineRule="auto"/>
        <w:ind w:left="719" w:leftChars="228" w:hanging="240" w:hangingChars="100"/>
        <w:rPr>
          <w:rFonts w:ascii="宋体" w:hAnsi="宋体"/>
          <w:bCs/>
          <w:color w:val="auto"/>
          <w:sz w:val="24"/>
          <w:highlight w:val="none"/>
        </w:rPr>
      </w:pPr>
      <w:r>
        <w:rPr>
          <w:rFonts w:hint="eastAsia" w:ascii="宋体" w:hAnsi="宋体"/>
          <w:bCs/>
          <w:color w:val="auto"/>
          <w:sz w:val="24"/>
          <w:highlight w:val="none"/>
        </w:rPr>
        <w:t>1.1明标部分响应文件应为纸质文件,所有文件、往来函件均应使用简体中文（规格、型号辅助符号例外）。</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明标部分响应文件由报价供应商按给定格式如实填写（编写），须有法人（盖章）、法定代表人或被授权代表签字或盖章，方为有效，未尽事宜可自行补充。明标部分响应文件正文打印一律使用普白办公用纸,A4，竖排版面。</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1.3明标部分响应文件的格式部分，应由报价供应商按磋商文件给定格式制作。</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1.4明标部分响应文件应打印或使用不褪色的黑色墨水书写。</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1.5明标部分响应文件统一按照响应函文件组成中的顺序制作，并请编制目录及页码。</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1.6 </w:t>
      </w:r>
      <w:r>
        <w:rPr>
          <w:rFonts w:hint="eastAsia" w:ascii="宋体" w:hAnsi="宋体"/>
          <w:b/>
          <w:bCs w:val="0"/>
          <w:color w:val="auto"/>
          <w:sz w:val="24"/>
          <w:highlight w:val="none"/>
        </w:rPr>
        <w:t>明标部分响应文件份数为正本壹份，副本叁份，共肆份。须各自装订成册。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报价供应商应将明标部分正本、电子光盘【报价部分：清单部分刻盘格式为江苏省格式（13JT）</w:t>
      </w:r>
      <w:r>
        <w:rPr>
          <w:rFonts w:hint="eastAsia" w:ascii="宋体" w:hAnsi="宋体"/>
          <w:b/>
          <w:bCs/>
          <w:color w:val="auto"/>
          <w:sz w:val="24"/>
          <w:highlight w:val="none"/>
          <w:lang w:val="en-US" w:eastAsia="zh-CN"/>
        </w:rPr>
        <w:t>与其他部分</w:t>
      </w:r>
      <w:r>
        <w:rPr>
          <w:rFonts w:hint="eastAsia" w:ascii="宋体" w:hAnsi="宋体"/>
          <w:b/>
          <w:bCs/>
          <w:color w:val="auto"/>
          <w:sz w:val="24"/>
          <w:highlight w:val="none"/>
        </w:rPr>
        <w:t>】密封在一个封袋中并在封袋上清楚地标明“明标正本”，将明标部分所有副本密封在另一个封袋中并在密封袋上清楚地标明</w:t>
      </w:r>
      <w:r>
        <w:rPr>
          <w:rFonts w:ascii="宋体" w:hAnsi="宋体"/>
          <w:b/>
          <w:bCs/>
          <w:color w:val="auto"/>
          <w:sz w:val="24"/>
          <w:highlight w:val="none"/>
        </w:rPr>
        <w:t xml:space="preserve"> “</w:t>
      </w:r>
      <w:r>
        <w:rPr>
          <w:rFonts w:hint="eastAsia" w:ascii="宋体" w:hAnsi="宋体"/>
          <w:b/>
          <w:bCs/>
          <w:color w:val="auto"/>
          <w:sz w:val="24"/>
          <w:highlight w:val="none"/>
        </w:rPr>
        <w:t>明标副本</w:t>
      </w:r>
      <w:r>
        <w:rPr>
          <w:rFonts w:ascii="宋体" w:hAnsi="宋体"/>
          <w:b/>
          <w:bCs/>
          <w:color w:val="auto"/>
          <w:sz w:val="24"/>
          <w:highlight w:val="none"/>
        </w:rPr>
        <w:t>”</w:t>
      </w:r>
      <w:r>
        <w:rPr>
          <w:rFonts w:hint="eastAsia" w:ascii="宋体" w:hAnsi="宋体"/>
          <w:b/>
          <w:bCs/>
          <w:color w:val="auto"/>
          <w:sz w:val="24"/>
          <w:highlight w:val="none"/>
        </w:rPr>
        <w:t>。</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1.7报价</w:t>
      </w:r>
      <w:r>
        <w:rPr>
          <w:rFonts w:hint="eastAsia" w:ascii="宋体" w:hAnsi="宋体"/>
          <w:color w:val="auto"/>
          <w:sz w:val="24"/>
          <w:highlight w:val="none"/>
        </w:rPr>
        <w:t>供应商报价一律以人民币为报价结算货币，结算单位为“元”。</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1.8上述明标部分响应文件封袋的封口处应加盖报价供应商印章。密封袋上还均应注明采购编号、项目名称、</w:t>
      </w:r>
      <w:r>
        <w:rPr>
          <w:rFonts w:hint="eastAsia" w:ascii="宋体" w:hAnsi="宋体"/>
          <w:color w:val="auto"/>
          <w:sz w:val="24"/>
          <w:highlight w:val="none"/>
        </w:rPr>
        <w:t>报价供应商</w:t>
      </w:r>
      <w:r>
        <w:rPr>
          <w:rFonts w:hint="eastAsia" w:ascii="宋体" w:hAnsi="宋体"/>
          <w:bCs/>
          <w:color w:val="auto"/>
          <w:sz w:val="24"/>
          <w:highlight w:val="none"/>
        </w:rPr>
        <w:t>名称、标段。</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1.9响应文件不应有涂改、增删和潦草之处，如有必须修改时，修改处必须有法定代表人或被授权代表的签字或盖章。</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 暗标部分响应文件的要求：</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2.1暗标部分响应文件为纸质文件。</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2.2暗标部分纸质的响应文件由报价供应商按给定格式如实编写，应使用简体中文（辅助符号例外）。</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2.3暗标部分纸质的响应文件应单面打印，不得双面打印及手工书写。</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2.4暗标部分纸质的响应文件按照暗标部分的组成规定的顺序制作，并编制目录及页码，装订成册。暗标编制、装订要求规定如下（给定格式除外）：</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2.4.1 暗标需单独成册，不得有分册。暗标的封面、封底及目录由采购代理机构提供统一格式（PDF版），纸张要求：普白办公用纸。暗标装订夹采用采购代理机构提供的统一样品（白铁皮盖板式装订夹）</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 xml:space="preserve">2.4.2技术标暗标页数不得少于50页；暗标中不得出现报价供应商名称、人员姓名；要求版面整洁、字迹清楚、不许涂改，不得出现能显示企业特征或其他提示性的标记或标识，也不得采用任何不符合常规、有别于其他报价供应商的特殊做法。 </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2.4.3排版要求：使用word文件形式，A4白色复印纸单面黑色打印，字体为小四号宋体，不得出现手写，单倍行间距，不得有任何加粗、斜体、下划线、边框、底纹、阴影等标记，不得设置页眉，页脚只准出现页码，采用小5号阿拉伯数字格式，设在页脚对中位置，页码应当连续，不得有空白页，装订必须在左侧装订。</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2.4.4网络图、平面图、进度表用A3纸单面黑色打印，图表中字体用宋体字，字号不作限制。</w:t>
      </w:r>
    </w:p>
    <w:p>
      <w:pPr>
        <w:spacing w:line="360" w:lineRule="auto"/>
        <w:ind w:firstLine="482" w:firstLineChars="200"/>
        <w:rPr>
          <w:rFonts w:hint="eastAsia" w:ascii="宋体" w:hAnsi="宋体" w:eastAsia="宋体"/>
          <w:b/>
          <w:color w:val="auto"/>
          <w:sz w:val="24"/>
          <w:highlight w:val="none"/>
        </w:rPr>
      </w:pPr>
      <w:r>
        <w:rPr>
          <w:rFonts w:hint="eastAsia" w:ascii="宋体" w:hAnsi="宋体" w:eastAsia="宋体"/>
          <w:b/>
          <w:color w:val="auto"/>
          <w:sz w:val="24"/>
          <w:highlight w:val="none"/>
        </w:rPr>
        <w:t>2.4.5除页码外不设其他页眉、页脚。</w:t>
      </w:r>
    </w:p>
    <w:p>
      <w:pPr>
        <w:spacing w:line="360" w:lineRule="auto"/>
        <w:ind w:firstLine="482" w:firstLineChars="200"/>
        <w:rPr>
          <w:rFonts w:hint="eastAsia" w:ascii="宋体" w:hAnsi="宋体" w:eastAsia="宋体"/>
          <w:b/>
          <w:color w:val="auto"/>
          <w:sz w:val="24"/>
          <w:highlight w:val="none"/>
        </w:rPr>
      </w:pPr>
      <w:r>
        <w:rPr>
          <w:rFonts w:hint="eastAsia" w:ascii="宋体" w:hAnsi="宋体" w:eastAsia="宋体"/>
          <w:b/>
          <w:color w:val="auto"/>
          <w:sz w:val="24"/>
          <w:highlight w:val="none"/>
        </w:rPr>
        <w:t>2.4.6页码编码格式1   2   3 ……   居中，Times New Roman,小五号字体。</w:t>
      </w:r>
    </w:p>
    <w:p>
      <w:pPr>
        <w:spacing w:line="360" w:lineRule="auto"/>
        <w:ind w:firstLine="482" w:firstLineChars="200"/>
        <w:rPr>
          <w:color w:val="auto"/>
          <w:highlight w:val="none"/>
        </w:rPr>
      </w:pPr>
      <w:r>
        <w:rPr>
          <w:rFonts w:hint="eastAsia" w:ascii="宋体" w:hAnsi="宋体" w:eastAsia="宋体"/>
          <w:b/>
          <w:color w:val="auto"/>
          <w:sz w:val="24"/>
          <w:highlight w:val="none"/>
        </w:rPr>
        <w:t>2.4.7页边距  上2.54厘米，下2.54厘米，左1.91厘米，右1.91厘米。（A3纸页边距不做要求）</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2.5 技术文件（暗标）正本密封在一个封袋中并在密封袋上清楚地标明“技术文件正本”，将技术文件（暗标）所有副本密封在另一个封袋中并在密封袋上清楚地标明“技术文件副本”；</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上述暗标部分响应文件封袋的封口处应加盖报价供应商印章。密封袋上还均应注明采购编号、项目名称、报价供应商名称。</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3. </w:t>
      </w:r>
      <w:r>
        <w:rPr>
          <w:rFonts w:hint="eastAsia" w:ascii="宋体" w:hAnsi="宋体"/>
          <w:b/>
          <w:color w:val="auto"/>
          <w:sz w:val="24"/>
          <w:highlight w:val="none"/>
        </w:rPr>
        <w:t>磋商文件中证明文件部分及评标办法中所需提供的原件资料需单独密封在封袋中，并在密封袋上清楚地标明“原件资料”；被授权代表身份证随身携带，不放入原件密封袋。</w:t>
      </w:r>
    </w:p>
    <w:p>
      <w:pPr>
        <w:tabs>
          <w:tab w:val="left" w:pos="0"/>
        </w:tabs>
        <w:spacing w:line="440" w:lineRule="exact"/>
        <w:ind w:left="315" w:leftChars="150"/>
        <w:rPr>
          <w:rFonts w:ascii="宋体" w:hAnsi="宋体"/>
          <w:b/>
          <w:color w:val="auto"/>
          <w:sz w:val="24"/>
          <w:highlight w:val="none"/>
        </w:rPr>
      </w:pPr>
      <w:r>
        <w:rPr>
          <w:rFonts w:hint="eastAsia" w:ascii="宋体" w:hAnsi="宋体"/>
          <w:b/>
          <w:color w:val="auto"/>
          <w:sz w:val="24"/>
          <w:highlight w:val="none"/>
        </w:rPr>
        <w:t>注：1.封袋：包含档案袋、封盒、牛皮纸等密封形式。</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磋商费用自理。</w:t>
      </w:r>
    </w:p>
    <w:p>
      <w:pPr>
        <w:tabs>
          <w:tab w:val="left" w:pos="94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八</w:t>
      </w:r>
      <w:r>
        <w:rPr>
          <w:rFonts w:hint="eastAsia" w:ascii="宋体" w:hAnsi="宋体"/>
          <w:bCs/>
          <w:color w:val="auto"/>
          <w:sz w:val="24"/>
          <w:highlight w:val="none"/>
        </w:rPr>
        <w:t>） 无效响应文件的确认：</w:t>
      </w:r>
    </w:p>
    <w:p>
      <w:pPr>
        <w:tabs>
          <w:tab w:val="left" w:pos="94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报价供应商有下列情况之一者，响应文件无效：</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响应文件未按规定的期限、地点送达的；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响应文件未按要求密封、签署、盖章的；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报价供应商的法定代表人或法定代表人授权代表，未准时参加磋商会议的；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报价供应商的法定代表人授权代表，无法定代表人授权委托书的；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不具备磋商文件中规定的资格要求及未按磋商文件规定的要求提供资格证明文件的；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响应文件含有采购人不能接受的附加条件的；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响应文件未按磋商文件规定的格式、内容和要求填写、制作的；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响应文件书写潦草、字迹模糊不清、无法辨认的；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响应文件中有磋商文件未允许提供的选择性内容的；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恶意串通其他报价供应商，故意哄抬价格或压价的；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提供虚假材料的（包括工商营业执照、财务报表、资格证明文件等）；</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商务标（明标）和技术标（暗标）未分别制作、装订、密封包装的；</w:t>
      </w:r>
    </w:p>
    <w:p>
      <w:pPr>
        <w:numPr>
          <w:ilvl w:val="0"/>
          <w:numId w:val="2"/>
        </w:numPr>
        <w:spacing w:line="360" w:lineRule="auto"/>
        <w:rPr>
          <w:color w:val="auto"/>
          <w:sz w:val="24"/>
          <w:highlight w:val="none"/>
        </w:rPr>
      </w:pPr>
      <w:r>
        <w:rPr>
          <w:rFonts w:hint="eastAsia" w:ascii="宋体" w:hAnsi="宋体"/>
          <w:color w:val="auto"/>
          <w:sz w:val="24"/>
          <w:highlight w:val="none"/>
        </w:rPr>
        <w:t>响应文件商务标（明标）未加盖报价供应商公章及法定代表人或授权代表签字和盖章的；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不同报价供应商响应文件相互混装的；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不同报价供应商响应文件中的项目相关人员出现同一人的；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不同报价供应商聘请同一人为其报价提供技术或经济咨询服务的；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不同报价供应商的单位负责人为同一人或者存在直接控股、管理关系的；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报价供应商为本项目提供整体设计、规范编制或者项目管理、监理、检测等服务的；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不同报价供应商的响应文件异常一致或者报价呈规律性差异；</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响应文件商务标（明标）中同一方案有选择性报价且未声明以哪一个为准的；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技术标（暗标）中出现该报价供应商单位名称、简称、人员姓名、Logo、商标、电话号码等任何标识标记及其他暗示性标志的；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 xml:space="preserve"> 改变磋商文件规定的暂定价格或不可竞争费用的；改变磋商文件规定的工期、误期违约金 、质量标准及质量违约金的；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商务标（明标）和技术标（暗标），其中某一标被本项目磋商小组确认为无效响应文件的；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改变磋商文件提供的工程量清单中的清单编码、计量单位、工程数量、项目特征；</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未按要求提供技术文件的；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未按要求提供电子版或电子版内容不全、格式不符要求的；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项目负责人有在建的；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响应文件报价出现前后不一致，报价供应商拒不确认修正后的报价的；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超过磋商文件规定的最高限价的；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磋商小组认为报价供应商的报价明显低于其他通过符合性审查报价供应商的报价，有可能影响产品质量或者不能诚信履约的或者低于成本价的，要求其在评标现场</w:t>
      </w:r>
      <w:r>
        <w:rPr>
          <w:rFonts w:hint="eastAsia" w:ascii="宋体" w:hAnsi="宋体"/>
          <w:color w:val="auto"/>
          <w:sz w:val="24"/>
          <w:highlight w:val="none"/>
          <w:lang w:val="en-US" w:eastAsia="zh-CN"/>
        </w:rPr>
        <w:t>一小时</w:t>
      </w:r>
      <w:r>
        <w:rPr>
          <w:rFonts w:hint="eastAsia" w:ascii="宋体" w:hAnsi="宋体"/>
          <w:color w:val="auto"/>
          <w:sz w:val="24"/>
          <w:highlight w:val="none"/>
        </w:rPr>
        <w:t>内提供书面说明，必要时提交相关证明材料；报价供应商不能证明其报价合理性的；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未通过初步资格性审查、响应文件资格性检查、 响应文件符合性检查的；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列入失信被执行人、重大税收违法案件当事人名单、政府采购严重违法失信行为记录名单及其他不符合《中华人民共和国政府采购法》第二十二条规定条件的；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未按要求提供技术文件，技术文件编制粗糙、缺漏项、格式混乱、条例不清的；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报价供应商的报价畸高或畸低，在询标时没有合理的解释或者不能提供计算依据和报价依据的；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不同报价供应商的响应文件的装订形式、纸张情况、目录序号、排版格式、文字风格等存在明显的相似性或一致性，特征显示由同一单位或者同一个人编制的；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不同报价供应商响应文件内容存在非正常一致、项目组成员或者联系人员出现同一人、响应文件中错误（或异常）一致或雷同、电子文档信息一致或雷同的；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不同报价供应商的委托代理人、项目负责人以及其他相关人员有在同一个单位缴纳社会保险的；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同一响应文件中单位名称落款与公章不是同一单位的；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不同报价供应商委托同一单位或者个人办理报价事宜的；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响应文件内容不全或不符合法律法规和磋商文件中规定的其他实质性要求的。</w:t>
      </w:r>
    </w:p>
    <w:p>
      <w:pPr>
        <w:numPr>
          <w:ilvl w:val="0"/>
          <w:numId w:val="2"/>
        </w:numPr>
        <w:spacing w:line="360" w:lineRule="auto"/>
        <w:rPr>
          <w:rFonts w:hint="eastAsia" w:ascii="宋体" w:hAnsi="宋体"/>
          <w:color w:val="auto"/>
          <w:sz w:val="24"/>
          <w:highlight w:val="none"/>
        </w:rPr>
      </w:pPr>
      <w:r>
        <w:rPr>
          <w:rFonts w:hint="eastAsia" w:ascii="宋体" w:hAnsi="宋体"/>
          <w:color w:val="auto"/>
          <w:sz w:val="24"/>
          <w:highlight w:val="none"/>
        </w:rPr>
        <w:t>标段成交标段优先顺序承诺函不一致的。</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）评审程序、方法和标准：</w:t>
      </w:r>
    </w:p>
    <w:p>
      <w:pPr>
        <w:numPr>
          <w:ilvl w:val="1"/>
          <w:numId w:val="3"/>
        </w:numPr>
        <w:tabs>
          <w:tab w:val="left" w:pos="525"/>
          <w:tab w:val="left" w:pos="1050"/>
          <w:tab w:val="clear" w:pos="1290"/>
        </w:tabs>
        <w:spacing w:line="360" w:lineRule="auto"/>
        <w:ind w:left="1" w:firstLine="628" w:firstLineChars="262"/>
        <w:rPr>
          <w:rFonts w:ascii="宋体" w:hAnsi="宋体"/>
          <w:bCs/>
          <w:color w:val="auto"/>
          <w:sz w:val="24"/>
          <w:highlight w:val="none"/>
        </w:rPr>
      </w:pPr>
      <w:r>
        <w:rPr>
          <w:rFonts w:hint="eastAsia" w:ascii="宋体" w:hAnsi="宋体"/>
          <w:bCs/>
          <w:color w:val="auto"/>
          <w:sz w:val="24"/>
          <w:highlight w:val="none"/>
        </w:rPr>
        <w:t>由专家及采购人代表组成磋商小组，并实行回避制度。</w:t>
      </w:r>
    </w:p>
    <w:p>
      <w:pPr>
        <w:numPr>
          <w:ilvl w:val="1"/>
          <w:numId w:val="3"/>
        </w:numPr>
        <w:tabs>
          <w:tab w:val="left" w:pos="525"/>
          <w:tab w:val="left" w:pos="1050"/>
          <w:tab w:val="clear" w:pos="1290"/>
        </w:tabs>
        <w:spacing w:line="360" w:lineRule="auto"/>
        <w:ind w:left="1" w:firstLine="628" w:firstLineChars="262"/>
        <w:rPr>
          <w:rFonts w:ascii="宋体" w:hAnsi="宋体"/>
          <w:bCs/>
          <w:color w:val="auto"/>
          <w:sz w:val="24"/>
          <w:highlight w:val="none"/>
        </w:rPr>
      </w:pPr>
      <w:r>
        <w:rPr>
          <w:rFonts w:hint="eastAsia" w:ascii="宋体" w:hAnsi="宋体"/>
          <w:bCs/>
          <w:color w:val="auto"/>
          <w:sz w:val="24"/>
          <w:highlight w:val="none"/>
        </w:rPr>
        <w:t>响应文件的评审依据：</w:t>
      </w:r>
    </w:p>
    <w:p>
      <w:pPr>
        <w:tabs>
          <w:tab w:val="left" w:pos="630"/>
          <w:tab w:val="left" w:pos="1155"/>
          <w:tab w:val="left" w:pos="1320"/>
          <w:tab w:val="left" w:pos="1365"/>
        </w:tabs>
        <w:spacing w:line="360" w:lineRule="auto"/>
        <w:ind w:left="630"/>
        <w:rPr>
          <w:rFonts w:ascii="宋体" w:hAnsi="宋体"/>
          <w:bCs/>
          <w:color w:val="auto"/>
          <w:sz w:val="24"/>
          <w:highlight w:val="none"/>
        </w:rPr>
      </w:pPr>
      <w:r>
        <w:rPr>
          <w:rFonts w:hint="eastAsia" w:ascii="宋体" w:hAnsi="宋体"/>
          <w:bCs/>
          <w:color w:val="auto"/>
          <w:sz w:val="24"/>
          <w:highlight w:val="none"/>
        </w:rPr>
        <w:t>2.1响应文件的纸质文件,正本与副本不符，以正本为准；</w:t>
      </w:r>
    </w:p>
    <w:p>
      <w:pPr>
        <w:tabs>
          <w:tab w:val="left" w:pos="630"/>
          <w:tab w:val="left" w:pos="1155"/>
          <w:tab w:val="left" w:pos="1320"/>
          <w:tab w:val="left" w:pos="1365"/>
        </w:tabs>
        <w:spacing w:line="360" w:lineRule="auto"/>
        <w:ind w:left="630"/>
        <w:rPr>
          <w:rFonts w:ascii="宋体" w:hAnsi="宋体"/>
          <w:bCs/>
          <w:color w:val="auto"/>
          <w:sz w:val="24"/>
          <w:highlight w:val="none"/>
        </w:rPr>
      </w:pPr>
      <w:r>
        <w:rPr>
          <w:rFonts w:hint="eastAsia" w:ascii="宋体" w:hAnsi="宋体"/>
          <w:bCs/>
          <w:color w:val="auto"/>
          <w:sz w:val="24"/>
          <w:highlight w:val="none"/>
        </w:rPr>
        <w:t>2.2响应文件报价出现前后不一致的，除磋商文件另有规定外，按照下列规定修正：</w:t>
      </w:r>
    </w:p>
    <w:p>
      <w:pPr>
        <w:tabs>
          <w:tab w:val="left" w:pos="630"/>
          <w:tab w:val="left" w:pos="1155"/>
          <w:tab w:val="left" w:pos="1320"/>
          <w:tab w:val="left" w:pos="1365"/>
        </w:tabs>
        <w:spacing w:line="360" w:lineRule="auto"/>
        <w:ind w:left="630" w:firstLine="480" w:firstLineChars="200"/>
        <w:rPr>
          <w:rFonts w:ascii="宋体" w:hAnsi="宋体"/>
          <w:bCs/>
          <w:color w:val="auto"/>
          <w:sz w:val="24"/>
          <w:highlight w:val="none"/>
        </w:rPr>
      </w:pPr>
      <w:r>
        <w:rPr>
          <w:rFonts w:hint="eastAsia" w:ascii="宋体" w:hAnsi="宋体"/>
          <w:bCs/>
          <w:color w:val="auto"/>
          <w:sz w:val="24"/>
          <w:highlight w:val="none"/>
        </w:rPr>
        <w:t>2.2.1响应文件中开标一览表（报价表）内容与响应文件中相应内容不一致的，以开标一览表（报价表）为准；</w:t>
      </w:r>
    </w:p>
    <w:p>
      <w:pPr>
        <w:tabs>
          <w:tab w:val="left" w:pos="630"/>
          <w:tab w:val="left" w:pos="1155"/>
          <w:tab w:val="left" w:pos="1320"/>
          <w:tab w:val="left" w:pos="1365"/>
        </w:tabs>
        <w:spacing w:line="360" w:lineRule="auto"/>
        <w:ind w:left="630" w:firstLine="480" w:firstLineChars="200"/>
        <w:rPr>
          <w:rFonts w:ascii="宋体" w:hAnsi="宋体"/>
          <w:bCs/>
          <w:color w:val="auto"/>
          <w:sz w:val="24"/>
          <w:highlight w:val="none"/>
        </w:rPr>
      </w:pPr>
      <w:r>
        <w:rPr>
          <w:rFonts w:hint="eastAsia" w:ascii="宋体" w:hAnsi="宋体"/>
          <w:bCs/>
          <w:color w:val="auto"/>
          <w:sz w:val="24"/>
          <w:highlight w:val="none"/>
        </w:rPr>
        <w:t>2.2.2大写金额和小写金额不一致的，以大写金额为准；</w:t>
      </w:r>
    </w:p>
    <w:p>
      <w:pPr>
        <w:tabs>
          <w:tab w:val="left" w:pos="630"/>
          <w:tab w:val="left" w:pos="1155"/>
          <w:tab w:val="left" w:pos="1320"/>
          <w:tab w:val="left" w:pos="1365"/>
        </w:tabs>
        <w:spacing w:line="360" w:lineRule="auto"/>
        <w:ind w:left="630" w:firstLine="480" w:firstLineChars="200"/>
        <w:rPr>
          <w:rFonts w:ascii="宋体" w:hAnsi="宋体"/>
          <w:bCs/>
          <w:color w:val="auto"/>
          <w:sz w:val="24"/>
          <w:highlight w:val="none"/>
        </w:rPr>
      </w:pPr>
      <w:r>
        <w:rPr>
          <w:rFonts w:hint="eastAsia" w:ascii="宋体" w:hAnsi="宋体"/>
          <w:bCs/>
          <w:color w:val="auto"/>
          <w:sz w:val="24"/>
          <w:highlight w:val="none"/>
        </w:rPr>
        <w:t>2.2.3商务标（明标）和技术标（暗标）的纸质文件,正本与副本不符，以正本为准</w:t>
      </w:r>
    </w:p>
    <w:p>
      <w:pPr>
        <w:tabs>
          <w:tab w:val="left" w:pos="630"/>
          <w:tab w:val="left" w:pos="1155"/>
          <w:tab w:val="left" w:pos="1320"/>
          <w:tab w:val="left" w:pos="1365"/>
        </w:tabs>
        <w:spacing w:line="360" w:lineRule="auto"/>
        <w:ind w:left="630" w:firstLine="480" w:firstLineChars="200"/>
        <w:rPr>
          <w:rFonts w:ascii="宋体" w:hAnsi="宋体"/>
          <w:bCs/>
          <w:color w:val="auto"/>
          <w:sz w:val="24"/>
          <w:highlight w:val="none"/>
        </w:rPr>
      </w:pPr>
      <w:r>
        <w:rPr>
          <w:rFonts w:hint="eastAsia" w:ascii="宋体" w:hAnsi="宋体"/>
          <w:bCs/>
          <w:color w:val="auto"/>
          <w:sz w:val="24"/>
          <w:highlight w:val="none"/>
        </w:rPr>
        <w:t>2.2.4单价金额小数点或者百分比有明显错位的，以开标一览表的总价为准，并修改单价；</w:t>
      </w:r>
    </w:p>
    <w:p>
      <w:pPr>
        <w:tabs>
          <w:tab w:val="left" w:pos="630"/>
          <w:tab w:val="left" w:pos="1155"/>
          <w:tab w:val="left" w:pos="1320"/>
          <w:tab w:val="left" w:pos="1365"/>
        </w:tabs>
        <w:spacing w:line="360" w:lineRule="auto"/>
        <w:ind w:left="630" w:firstLine="480" w:firstLineChars="200"/>
        <w:rPr>
          <w:rFonts w:ascii="宋体" w:hAnsi="宋体"/>
          <w:bCs/>
          <w:color w:val="auto"/>
          <w:sz w:val="24"/>
          <w:highlight w:val="none"/>
        </w:rPr>
      </w:pPr>
      <w:r>
        <w:rPr>
          <w:rFonts w:hint="eastAsia" w:ascii="宋体" w:hAnsi="宋体"/>
          <w:bCs/>
          <w:color w:val="auto"/>
          <w:sz w:val="24"/>
          <w:highlight w:val="none"/>
        </w:rPr>
        <w:t>2.2.5总价金额与按单价汇总金额不一致的，以单价金额计算结果为准。</w:t>
      </w:r>
    </w:p>
    <w:p>
      <w:pPr>
        <w:tabs>
          <w:tab w:val="left" w:pos="630"/>
          <w:tab w:val="left" w:pos="1155"/>
          <w:tab w:val="left" w:pos="1320"/>
          <w:tab w:val="left" w:pos="1365"/>
        </w:tabs>
        <w:spacing w:line="360" w:lineRule="auto"/>
        <w:ind w:left="630"/>
        <w:rPr>
          <w:rFonts w:ascii="宋体" w:hAnsi="宋体"/>
          <w:b/>
          <w:color w:val="auto"/>
          <w:sz w:val="24"/>
          <w:highlight w:val="none"/>
        </w:rPr>
      </w:pPr>
      <w:r>
        <w:rPr>
          <w:rFonts w:hint="eastAsia" w:ascii="宋体" w:hAnsi="宋体"/>
          <w:b/>
          <w:color w:val="auto"/>
          <w:sz w:val="24"/>
          <w:highlight w:val="none"/>
        </w:rPr>
        <w:t>　　同时出现两种以上不一致的，按照前款规定的顺序修正。修正后的报价参照《财政部关于印发《政府采购竞争性磋商采购方式管理暂行办法》的通知》第十八条第二款的规定经报价人确认后产生约束力，报价人不确认的，其报价无效。</w:t>
      </w:r>
    </w:p>
    <w:p>
      <w:pPr>
        <w:numPr>
          <w:ilvl w:val="1"/>
          <w:numId w:val="3"/>
        </w:numPr>
        <w:tabs>
          <w:tab w:val="left" w:pos="525"/>
          <w:tab w:val="left" w:pos="840"/>
          <w:tab w:val="left" w:pos="1050"/>
          <w:tab w:val="clear" w:pos="1290"/>
        </w:tabs>
        <w:spacing w:line="360" w:lineRule="auto"/>
        <w:ind w:left="1" w:firstLine="628" w:firstLineChars="262"/>
        <w:rPr>
          <w:rFonts w:ascii="宋体" w:hAnsi="宋体"/>
          <w:bCs/>
          <w:color w:val="auto"/>
          <w:sz w:val="24"/>
          <w:highlight w:val="none"/>
        </w:rPr>
      </w:pPr>
      <w:r>
        <w:rPr>
          <w:rFonts w:hint="eastAsia" w:ascii="宋体" w:hAnsi="宋体"/>
          <w:bCs/>
          <w:color w:val="auto"/>
          <w:sz w:val="24"/>
          <w:highlight w:val="none"/>
        </w:rPr>
        <w:t>开标工作程序</w:t>
      </w:r>
    </w:p>
    <w:p>
      <w:pPr>
        <w:tabs>
          <w:tab w:val="left" w:pos="840"/>
          <w:tab w:val="left" w:pos="1050"/>
        </w:tabs>
        <w:spacing w:line="360" w:lineRule="auto"/>
        <w:ind w:firstLine="628" w:firstLineChars="262"/>
        <w:rPr>
          <w:rFonts w:hint="eastAsia" w:ascii="宋体" w:hAnsi="宋体"/>
          <w:color w:val="auto"/>
          <w:sz w:val="24"/>
          <w:szCs w:val="20"/>
          <w:highlight w:val="none"/>
        </w:rPr>
      </w:pPr>
      <w:r>
        <w:rPr>
          <w:rFonts w:hint="eastAsia" w:ascii="宋体" w:hAnsi="宋体"/>
          <w:color w:val="auto"/>
          <w:sz w:val="24"/>
          <w:szCs w:val="20"/>
          <w:highlight w:val="none"/>
        </w:rPr>
        <w:t>3.1磋商由采购人或者代理机构主持，邀请报价供应商参加。</w:t>
      </w:r>
    </w:p>
    <w:p>
      <w:pPr>
        <w:tabs>
          <w:tab w:val="left" w:pos="840"/>
          <w:tab w:val="left" w:pos="1050"/>
        </w:tabs>
        <w:spacing w:line="360" w:lineRule="auto"/>
        <w:ind w:firstLine="628" w:firstLineChars="262"/>
        <w:rPr>
          <w:rFonts w:ascii="宋体" w:hAnsi="宋体"/>
          <w:bCs/>
          <w:color w:val="auto"/>
          <w:sz w:val="24"/>
          <w:highlight w:val="none"/>
        </w:rPr>
      </w:pPr>
      <w:r>
        <w:rPr>
          <w:rFonts w:hint="eastAsia" w:ascii="宋体" w:hAnsi="宋体"/>
          <w:bCs/>
          <w:color w:val="auto"/>
          <w:sz w:val="24"/>
          <w:highlight w:val="none"/>
        </w:rPr>
        <w:t>3.2 密封性审查：</w:t>
      </w:r>
    </w:p>
    <w:p>
      <w:pPr>
        <w:tabs>
          <w:tab w:val="left" w:pos="840"/>
          <w:tab w:val="left" w:pos="1050"/>
        </w:tabs>
        <w:spacing w:line="360" w:lineRule="auto"/>
        <w:ind w:left="630" w:firstLine="480" w:firstLineChars="200"/>
        <w:rPr>
          <w:rFonts w:ascii="宋体" w:hAnsi="宋体"/>
          <w:bCs/>
          <w:color w:val="auto"/>
          <w:sz w:val="24"/>
          <w:highlight w:val="none"/>
        </w:rPr>
      </w:pPr>
      <w:r>
        <w:rPr>
          <w:rFonts w:hint="eastAsia" w:ascii="宋体" w:hAnsi="宋体"/>
          <w:bCs/>
          <w:color w:val="auto"/>
          <w:sz w:val="24"/>
          <w:highlight w:val="none"/>
        </w:rPr>
        <w:t>由报价供应商或其推选的代表检查响应文件的密封、签署、盖章情况，也可以由公证人员检查并公证；</w:t>
      </w:r>
    </w:p>
    <w:p>
      <w:pPr>
        <w:tabs>
          <w:tab w:val="left" w:pos="840"/>
          <w:tab w:val="left" w:pos="1050"/>
        </w:tabs>
        <w:spacing w:line="360" w:lineRule="auto"/>
        <w:ind w:left="630"/>
        <w:rPr>
          <w:rFonts w:ascii="宋体" w:hAnsi="宋体"/>
          <w:bCs/>
          <w:color w:val="auto"/>
          <w:sz w:val="24"/>
          <w:highlight w:val="none"/>
        </w:rPr>
      </w:pPr>
      <w:r>
        <w:rPr>
          <w:rFonts w:hint="eastAsia" w:ascii="宋体" w:hAnsi="宋体"/>
          <w:bCs/>
          <w:color w:val="auto"/>
          <w:sz w:val="24"/>
          <w:highlight w:val="none"/>
        </w:rPr>
        <w:t>3.3初步资格性审查：</w:t>
      </w:r>
    </w:p>
    <w:p>
      <w:pPr>
        <w:tabs>
          <w:tab w:val="left" w:pos="840"/>
          <w:tab w:val="left" w:pos="1050"/>
        </w:tabs>
        <w:spacing w:line="360" w:lineRule="auto"/>
        <w:ind w:left="630" w:firstLine="480" w:firstLineChars="200"/>
        <w:rPr>
          <w:rFonts w:ascii="宋体" w:hAnsi="宋体"/>
          <w:bCs/>
          <w:color w:val="auto"/>
          <w:sz w:val="24"/>
          <w:highlight w:val="none"/>
        </w:rPr>
      </w:pPr>
      <w:r>
        <w:rPr>
          <w:rFonts w:hint="eastAsia" w:ascii="宋体" w:hAnsi="宋体"/>
          <w:bCs/>
          <w:color w:val="auto"/>
          <w:sz w:val="24"/>
          <w:highlight w:val="none"/>
        </w:rPr>
        <w:t>由工作人员在公证或监督下，按照报价供应商签到时间顺序进行。审查内容有：</w:t>
      </w:r>
    </w:p>
    <w:p>
      <w:pPr>
        <w:tabs>
          <w:tab w:val="left" w:pos="840"/>
          <w:tab w:val="left" w:pos="1050"/>
        </w:tabs>
        <w:spacing w:line="360" w:lineRule="auto"/>
        <w:ind w:left="630"/>
        <w:rPr>
          <w:rFonts w:ascii="宋体" w:hAnsi="宋体"/>
          <w:bCs/>
          <w:color w:val="auto"/>
          <w:sz w:val="24"/>
          <w:highlight w:val="none"/>
        </w:rPr>
      </w:pPr>
      <w:r>
        <w:rPr>
          <w:rFonts w:hint="eastAsia" w:ascii="宋体" w:hAnsi="宋体"/>
          <w:bCs/>
          <w:color w:val="auto"/>
          <w:sz w:val="24"/>
          <w:highlight w:val="none"/>
        </w:rPr>
        <w:t>3.3.1 报价供应商的响应文件是否规定的期限、地点送达；</w:t>
      </w:r>
    </w:p>
    <w:p>
      <w:pPr>
        <w:tabs>
          <w:tab w:val="left" w:pos="840"/>
          <w:tab w:val="left" w:pos="1050"/>
        </w:tabs>
        <w:spacing w:line="360" w:lineRule="auto"/>
        <w:ind w:left="630"/>
        <w:rPr>
          <w:rFonts w:ascii="宋体" w:hAnsi="宋体"/>
          <w:bCs/>
          <w:color w:val="auto"/>
          <w:sz w:val="24"/>
          <w:highlight w:val="none"/>
        </w:rPr>
      </w:pPr>
      <w:r>
        <w:rPr>
          <w:rFonts w:hint="eastAsia" w:ascii="宋体" w:hAnsi="宋体"/>
          <w:bCs/>
          <w:color w:val="auto"/>
          <w:sz w:val="24"/>
          <w:highlight w:val="none"/>
        </w:rPr>
        <w:t>3.3.2报价供应商的法定代表人或负责人或授权代表是否准时参加开标会议。</w:t>
      </w:r>
    </w:p>
    <w:p>
      <w:pPr>
        <w:tabs>
          <w:tab w:val="left" w:pos="840"/>
          <w:tab w:val="left" w:pos="1050"/>
        </w:tabs>
        <w:spacing w:line="360" w:lineRule="auto"/>
        <w:ind w:left="630"/>
        <w:rPr>
          <w:rFonts w:ascii="宋体" w:hAnsi="宋体"/>
          <w:bCs/>
          <w:color w:val="auto"/>
          <w:sz w:val="24"/>
          <w:highlight w:val="none"/>
        </w:rPr>
      </w:pPr>
      <w:r>
        <w:rPr>
          <w:rFonts w:hint="eastAsia" w:ascii="宋体" w:hAnsi="宋体"/>
          <w:bCs/>
          <w:color w:val="auto"/>
          <w:sz w:val="24"/>
          <w:highlight w:val="none"/>
        </w:rPr>
        <w:t>3.3.3 报价供应商的法定代表人授权代表是否提供有效的身份证明和法定代表人授权委托书。</w:t>
      </w:r>
      <w:r>
        <w:rPr>
          <w:rFonts w:hint="eastAsia" w:ascii="宋体" w:hAnsi="宋体"/>
          <w:b/>
          <w:color w:val="auto"/>
          <w:sz w:val="24"/>
          <w:highlight w:val="none"/>
        </w:rPr>
        <w:t>（必须单独出具授权委托书原件，不另行拆封原件资料封袋</w:t>
      </w:r>
      <w:r>
        <w:rPr>
          <w:rFonts w:hint="eastAsia" w:ascii="宋体" w:hAnsi="宋体"/>
          <w:b/>
          <w:bCs/>
          <w:color w:val="auto"/>
          <w:sz w:val="24"/>
          <w:highlight w:val="none"/>
        </w:rPr>
        <w:t>，</w:t>
      </w:r>
      <w:r>
        <w:rPr>
          <w:rFonts w:hint="eastAsia" w:ascii="宋体" w:hAnsi="宋体"/>
          <w:b/>
          <w:color w:val="auto"/>
          <w:sz w:val="24"/>
          <w:highlight w:val="none"/>
        </w:rPr>
        <w:t>否则视作无效响应文件）</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3.4编制报价供应商暗标编号</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3.4.1由采购方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spacing w:line="360" w:lineRule="auto"/>
        <w:ind w:firstLine="600" w:firstLineChars="250"/>
        <w:rPr>
          <w:rFonts w:ascii="宋体" w:hAnsi="宋体"/>
          <w:color w:val="auto"/>
          <w:sz w:val="24"/>
          <w:highlight w:val="none"/>
        </w:rPr>
      </w:pPr>
      <w:bookmarkStart w:id="0" w:name="OLE_LINK9"/>
      <w:r>
        <w:rPr>
          <w:rFonts w:hint="eastAsia" w:ascii="宋体" w:hAnsi="宋体"/>
          <w:color w:val="auto"/>
          <w:sz w:val="24"/>
          <w:highlight w:val="none"/>
        </w:rPr>
        <w:t>3.5对响应文件进行基础性数据分析和整理工作(清标)</w:t>
      </w:r>
    </w:p>
    <w:p>
      <w:pPr>
        <w:tabs>
          <w:tab w:val="left" w:pos="840"/>
          <w:tab w:val="left" w:pos="1050"/>
        </w:tabs>
        <w:spacing w:line="360" w:lineRule="auto"/>
        <w:ind w:firstLine="600" w:firstLineChars="250"/>
        <w:rPr>
          <w:rFonts w:ascii="宋体" w:hAnsi="宋体"/>
          <w:color w:val="auto"/>
          <w:sz w:val="24"/>
          <w:highlight w:val="none"/>
        </w:rPr>
      </w:pPr>
      <w:r>
        <w:rPr>
          <w:rFonts w:hint="eastAsia" w:ascii="宋体" w:hAnsi="宋体"/>
          <w:color w:val="auto"/>
          <w:sz w:val="24"/>
          <w:highlight w:val="none"/>
        </w:rPr>
        <w:t>3.5.1在不改变报价供应商响应文件实质性内容的前提下，磋商小组应当对响应文件进行基础性数据分析和整理(简称为“清标”)，从而发现并提取其中可能存在的对招标范围理解的偏差、磋商报价的算术性错误、错漏项、磋商报价构成不合理、不平衡报价等存在明显异常的问题，并就这些问题整理形成清标成果。磋商小组对清标成果审议后，决定需要报价供应商进行澄清、说明或补正的问题，形成质疑问卷，向报价供应商发出问题澄清通知(包括质疑问卷)。</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3.5.2报价供应商接到磋商小组发出的问题澄清通知后，应按磋商小组的要求提供澄清资料并在规定的时间递交。否则视为“不按磋商小组要求澄清、说明或补正”，按无效响应文件处理。</w:t>
      </w:r>
      <w:bookmarkEnd w:id="0"/>
    </w:p>
    <w:p>
      <w:pPr>
        <w:tabs>
          <w:tab w:val="left" w:pos="840"/>
          <w:tab w:val="left" w:pos="1050"/>
        </w:tabs>
        <w:spacing w:line="360" w:lineRule="auto"/>
        <w:ind w:firstLine="424" w:firstLineChars="177"/>
        <w:rPr>
          <w:rFonts w:ascii="宋体" w:hAnsi="宋体" w:cs="宋体"/>
          <w:b/>
          <w:bCs/>
          <w:color w:val="auto"/>
          <w:sz w:val="24"/>
          <w:highlight w:val="none"/>
        </w:rPr>
      </w:pPr>
      <w:r>
        <w:rPr>
          <w:rFonts w:hint="eastAsia" w:ascii="宋体" w:hAnsi="宋体" w:cs="宋体"/>
          <w:color w:val="auto"/>
          <w:sz w:val="24"/>
          <w:szCs w:val="20"/>
          <w:highlight w:val="none"/>
        </w:rPr>
        <w:t>4.</w:t>
      </w:r>
      <w:r>
        <w:rPr>
          <w:rFonts w:hint="eastAsia" w:ascii="宋体" w:hAnsi="宋体" w:cs="宋体"/>
          <w:b/>
          <w:bCs/>
          <w:color w:val="auto"/>
          <w:sz w:val="24"/>
          <w:highlight w:val="none"/>
        </w:rPr>
        <w:t>信用信息查询</w:t>
      </w:r>
    </w:p>
    <w:p>
      <w:pPr>
        <w:tabs>
          <w:tab w:val="left" w:pos="840"/>
          <w:tab w:val="left" w:pos="1050"/>
        </w:tabs>
        <w:wordWrap w:val="0"/>
        <w:spacing w:line="420" w:lineRule="exact"/>
        <w:ind w:firstLine="426" w:firstLineChars="177"/>
        <w:rPr>
          <w:rFonts w:ascii="宋体" w:hAnsi="宋体" w:cs="宋体"/>
          <w:b/>
          <w:bCs/>
          <w:color w:val="auto"/>
          <w:sz w:val="24"/>
          <w:highlight w:val="none"/>
        </w:rPr>
      </w:pPr>
      <w:r>
        <w:rPr>
          <w:rFonts w:hint="eastAsia" w:ascii="宋体" w:hAnsi="宋体" w:cs="宋体"/>
          <w:b/>
          <w:bCs/>
          <w:color w:val="auto"/>
          <w:sz w:val="24"/>
          <w:highlight w:val="none"/>
        </w:rPr>
        <w:t>4.1采购人或采购代理机构在磋商截止时间前通过“信用中国”网站(https://www.creditchina.gov.cn/)、中国政府采购网(http://www.ccgp.gov.cn/)、“信用江苏”（http://credit.jiangsu.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420" w:lineRule="exact"/>
        <w:ind w:firstLine="426" w:firstLineChars="177"/>
        <w:rPr>
          <w:rFonts w:ascii="宋体" w:hAnsi="宋体" w:cs="宋体"/>
          <w:b/>
          <w:bCs/>
          <w:color w:val="auto"/>
          <w:sz w:val="24"/>
          <w:highlight w:val="none"/>
        </w:rPr>
      </w:pPr>
      <w:r>
        <w:rPr>
          <w:rFonts w:hint="eastAsia" w:ascii="宋体" w:hAnsi="宋体" w:cs="宋体"/>
          <w:b/>
          <w:bCs/>
          <w:color w:val="auto"/>
          <w:sz w:val="24"/>
          <w:highlight w:val="none"/>
        </w:rPr>
        <w:t>4.2采购人或采购代理机构通过相关渠道查询的供应商主体信用记录，与项目其他采购资料一并保存。</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 磋商、评审程序</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5.1 商务标（明标）响应文件资格性检查。</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5.1.1资格性检查。依据法律法规和磋商文件的规定，对响应文件中的资格证明等进行审查，以确定报价供应商是否具备报价资格。</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5.1.2依据法律法规和磋商文件的规定，对商务标（明标）响应文件中的资格、资信证明等进行审查，以确定报价供应商提供资格、资信证明材料的合法性、真实性，是否具备报价资格。</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5.2响应文件符合性检查。</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5.2.1磋商小组应当对符合资格的报价供应商的响应文件进行符合性审查，以确定其是否满足磋商文件的实质性要求。</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5.2.2商务标（明标）响应文件的符合性检查由磋商小组明标评审小组负责。</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5.2.3技术标（暗标）响应文件的符合性检查由磋商小组暗标评审小组负责。</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5.3澄清有关问题。磋商小组认为响应文件中有含义不明确、同类问题表述不一致或者有明显文字和计算错误的，应以书面形式提出询标内容，由招标工作人员传递给报价供应商授权代表。报价供应商授权代表应当以书面形式作出澄清、说明或者补正。明标部分由报价供应商加盖公章，或者由法定代表人或其授权的代表签字确认；暗标部分由法定代表人或其授权的代表按手印代替签字确认。在暗标评审小组确认签字时，签署“×（技术标编号）号供应商”。 报价供应商的澄清、说明或者补正不得超出响应文件的范围或者改变响应文件的实质性内容。</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5.4磋商小组讨论、确定磋商程序和磋商内容。</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5.5磋商小组集中与单一供应商分别进行磋商。磋商轮次由磋商小组视情况决定。</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5.6在磋商过程中，磋商小组可以根据磋商文件和磋商情况实质性变动采购需求中的技术、服务要求以及合同草案条款，但不得变动磋商文件中的其他内容。对磋商文件作出的实质性变动是磋商文件的有效组成部分。如有实质性变动，磋商小组将以书面形式通知所有参加磋商的供应商。供应商应当按照磋商文件的变动情况和磋商小组的要求在规定的时间内重新提交响应文件，并由其法定代表人或授权代表签字或者加盖公章。如有负偏离，将作为无效标处理。</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 5.7 比较与评价</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5.7.1 商务标（明标）响应文件资格性检查和响应文件的符合性检查结束后，凡属于“（</w:t>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）无效响应文件的确认”的响应文件不进入比较与评价程序。</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5.7.2 本项目对磋商小组对确定最终采购需求和提交最后报价的报价供应商采用综合评分法进行比较与评价。经评审有效的响应文件按磋商文件中规定的评标方法和标准，由磋商小组进行比较与评价。</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5.7.3 明标评审小组负责对磋商文件评分标准中涉及的报价供应商磋商价格、业绩、答辩等明标部分内容进行评审；</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5.7.4 暗标评审小组负责对磋商文件评分标准中涉及的技术方案等暗标部分内容进行评审。</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评审中，暗标评审小组成员不接触明标商务标文本。需要对照、查阅明标商务标有关内容的，由工作人员在公证或监督下查阅告知。</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5.7.5 技术标（暗标）和商务标（明标）评审全部结束后，由工作人员在公证或监督下，在评标室当场核对、公布各报价供应商技术标编号，汇总各报价供应商商务标和技术标得分，确定各报价供应商总分和最终排序。</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5.7.6 评标方法和主要因素：</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本次评标采用综合评分法，即在最大限度地满足磋商文件实质性要求前提下，按照磋商文件中规定的各项因素进行综合评审后，按评审后得分由高到低顺序排列。得分相同的，按磋商报价由低到高顺序排列。得分且磋商报价相同的，按技术标（暗标）指标优劣顺序排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5.7.7评标标准和主要因素：</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综合评分法满分为100分，计分均保留2位小数。</w:t>
      </w:r>
    </w:p>
    <w:p>
      <w:pPr>
        <w:spacing w:line="360" w:lineRule="auto"/>
        <w:ind w:firstLine="426" w:firstLineChars="177"/>
        <w:rPr>
          <w:rFonts w:ascii="宋体" w:hAnsi="宋体" w:cs="宋体"/>
          <w:b/>
          <w:bCs/>
          <w:color w:val="auto"/>
          <w:sz w:val="24"/>
          <w:highlight w:val="none"/>
        </w:rPr>
      </w:pPr>
      <w:r>
        <w:rPr>
          <w:rFonts w:hint="eastAsia" w:ascii="宋体" w:hAnsi="宋体" w:cs="宋体"/>
          <w:b/>
          <w:bCs/>
          <w:color w:val="auto"/>
          <w:sz w:val="24"/>
          <w:highlight w:val="none"/>
        </w:rPr>
        <w:t>（一）评分项目及总分（总分100分）</w:t>
      </w:r>
    </w:p>
    <w:p>
      <w:pPr>
        <w:spacing w:line="360" w:lineRule="auto"/>
        <w:ind w:firstLine="426" w:firstLineChars="177"/>
        <w:rPr>
          <w:rFonts w:ascii="宋体" w:hAnsi="宋体" w:cs="宋体"/>
          <w:b/>
          <w:bCs/>
          <w:color w:val="auto"/>
          <w:sz w:val="24"/>
          <w:highlight w:val="none"/>
        </w:rPr>
      </w:pPr>
      <w:r>
        <w:rPr>
          <w:rFonts w:hint="eastAsia" w:ascii="宋体" w:hAnsi="宋体" w:cs="宋体"/>
          <w:b/>
          <w:bCs/>
          <w:color w:val="auto"/>
          <w:sz w:val="24"/>
          <w:highlight w:val="none"/>
        </w:rPr>
        <w:t>明标：</w:t>
      </w:r>
    </w:p>
    <w:p>
      <w:pPr>
        <w:spacing w:line="360" w:lineRule="auto"/>
        <w:ind w:firstLine="426" w:firstLineChars="177"/>
        <w:rPr>
          <w:rFonts w:ascii="宋体" w:hAnsi="宋体" w:cs="宋体"/>
          <w:color w:val="auto"/>
          <w:sz w:val="24"/>
          <w:highlight w:val="none"/>
        </w:rPr>
      </w:pPr>
      <w:r>
        <w:rPr>
          <w:rFonts w:hint="eastAsia" w:ascii="宋体" w:hAnsi="宋体" w:cs="宋体"/>
          <w:b/>
          <w:bCs/>
          <w:color w:val="auto"/>
          <w:sz w:val="24"/>
          <w:highlight w:val="none"/>
        </w:rPr>
        <w:t xml:space="preserve">（1）报价     </w:t>
      </w:r>
      <w:r>
        <w:rPr>
          <w:rFonts w:hint="eastAsia" w:ascii="宋体" w:hAnsi="宋体" w:cs="宋体"/>
          <w:color w:val="auto"/>
          <w:sz w:val="24"/>
          <w:highlight w:val="none"/>
        </w:rPr>
        <w:t xml:space="preserve">                               </w:t>
      </w:r>
      <w:r>
        <w:rPr>
          <w:rFonts w:hint="eastAsia" w:ascii="宋体" w:hAnsi="宋体" w:cs="宋体"/>
          <w:b/>
          <w:bCs/>
          <w:color w:val="auto"/>
          <w:sz w:val="24"/>
          <w:highlight w:val="none"/>
        </w:rPr>
        <w:t>30分</w:t>
      </w:r>
    </w:p>
    <w:p>
      <w:pPr>
        <w:spacing w:line="360" w:lineRule="auto"/>
        <w:ind w:firstLine="426" w:firstLineChars="177"/>
        <w:rPr>
          <w:rFonts w:ascii="宋体" w:hAnsi="宋体" w:cs="宋体"/>
          <w:b/>
          <w:bCs/>
          <w:color w:val="auto"/>
          <w:sz w:val="24"/>
          <w:highlight w:val="none"/>
        </w:rPr>
      </w:pPr>
      <w:r>
        <w:rPr>
          <w:rFonts w:hint="eastAsia" w:ascii="宋体" w:hAnsi="宋体" w:cs="宋体"/>
          <w:b/>
          <w:bCs/>
          <w:color w:val="auto"/>
          <w:sz w:val="24"/>
          <w:highlight w:val="none"/>
        </w:rPr>
        <w:t>（2）报价供应商评价                          2</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分</w:t>
      </w:r>
    </w:p>
    <w:p>
      <w:pPr>
        <w:spacing w:line="360" w:lineRule="auto"/>
        <w:ind w:firstLine="426" w:firstLineChars="177"/>
        <w:rPr>
          <w:rFonts w:ascii="宋体" w:hAnsi="宋体" w:cs="宋体"/>
          <w:b/>
          <w:bCs/>
          <w:color w:val="auto"/>
          <w:sz w:val="24"/>
          <w:highlight w:val="none"/>
        </w:rPr>
      </w:pPr>
      <w:r>
        <w:rPr>
          <w:rFonts w:hint="eastAsia" w:ascii="宋体" w:hAnsi="宋体" w:cs="宋体"/>
          <w:b/>
          <w:bCs/>
          <w:color w:val="auto"/>
          <w:sz w:val="24"/>
          <w:highlight w:val="none"/>
        </w:rPr>
        <w:t>暗标：</w:t>
      </w:r>
    </w:p>
    <w:p>
      <w:pPr>
        <w:spacing w:line="360" w:lineRule="auto"/>
        <w:ind w:firstLine="426" w:firstLineChars="177"/>
        <w:rPr>
          <w:rFonts w:ascii="宋体" w:hAnsi="宋体" w:cs="宋体"/>
          <w:b/>
          <w:bCs/>
          <w:color w:val="auto"/>
          <w:sz w:val="24"/>
          <w:highlight w:val="none"/>
        </w:rPr>
      </w:pPr>
      <w:r>
        <w:rPr>
          <w:rFonts w:hint="eastAsia" w:ascii="宋体" w:hAnsi="宋体" w:cs="宋体"/>
          <w:b/>
          <w:bCs/>
          <w:color w:val="auto"/>
          <w:sz w:val="24"/>
          <w:highlight w:val="none"/>
        </w:rPr>
        <w:t xml:space="preserve">（3）技术文件部分                            </w:t>
      </w:r>
      <w:r>
        <w:rPr>
          <w:rFonts w:hint="eastAsia" w:ascii="宋体" w:hAnsi="宋体" w:cs="宋体"/>
          <w:b/>
          <w:bCs/>
          <w:color w:val="auto"/>
          <w:sz w:val="24"/>
          <w:highlight w:val="none"/>
          <w:lang w:val="en-US" w:eastAsia="zh-CN"/>
        </w:rPr>
        <w:t>50</w:t>
      </w:r>
      <w:r>
        <w:rPr>
          <w:rFonts w:hint="eastAsia" w:ascii="宋体" w:hAnsi="宋体" w:cs="宋体"/>
          <w:b/>
          <w:bCs/>
          <w:color w:val="auto"/>
          <w:sz w:val="24"/>
          <w:highlight w:val="none"/>
        </w:rPr>
        <w:t>分</w:t>
      </w:r>
    </w:p>
    <w:p>
      <w:pPr>
        <w:spacing w:line="360" w:lineRule="auto"/>
        <w:ind w:firstLine="426" w:firstLineChars="177"/>
        <w:rPr>
          <w:rFonts w:ascii="宋体" w:hAnsi="宋体" w:cs="宋体"/>
          <w:b/>
          <w:bCs/>
          <w:color w:val="auto"/>
          <w:sz w:val="24"/>
          <w:highlight w:val="none"/>
        </w:rPr>
      </w:pPr>
      <w:r>
        <w:rPr>
          <w:rFonts w:hint="eastAsia" w:ascii="宋体" w:hAnsi="宋体" w:cs="宋体"/>
          <w:b/>
          <w:bCs/>
          <w:color w:val="auto"/>
          <w:sz w:val="24"/>
          <w:highlight w:val="none"/>
        </w:rPr>
        <w:t>（二）各项目评分标准：</w:t>
      </w:r>
    </w:p>
    <w:p>
      <w:pPr>
        <w:spacing w:line="360" w:lineRule="auto"/>
        <w:ind w:firstLine="426" w:firstLineChars="177"/>
        <w:rPr>
          <w:rFonts w:ascii="宋体" w:hAnsi="宋体"/>
          <w:b/>
          <w:bCs/>
          <w:color w:val="auto"/>
          <w:sz w:val="24"/>
          <w:highlight w:val="none"/>
        </w:rPr>
      </w:pPr>
      <w:r>
        <w:rPr>
          <w:rFonts w:hint="eastAsia" w:ascii="宋体" w:hAnsi="宋体"/>
          <w:b/>
          <w:bCs/>
          <w:color w:val="auto"/>
          <w:sz w:val="24"/>
          <w:highlight w:val="none"/>
        </w:rPr>
        <w:t>明标部分：</w:t>
      </w:r>
    </w:p>
    <w:p>
      <w:pPr>
        <w:tabs>
          <w:tab w:val="left" w:pos="426"/>
        </w:tabs>
        <w:spacing w:line="360" w:lineRule="auto"/>
        <w:ind w:firstLine="482" w:firstLineChars="200"/>
        <w:rPr>
          <w:rFonts w:ascii="宋体" w:hAnsi="宋体" w:cs="宋体"/>
          <w:b/>
          <w:bCs/>
          <w:color w:val="auto"/>
          <w:sz w:val="24"/>
          <w:szCs w:val="28"/>
          <w:highlight w:val="none"/>
        </w:rPr>
      </w:pPr>
      <w:r>
        <w:rPr>
          <w:rFonts w:hint="eastAsia" w:ascii="宋体" w:hAnsi="宋体" w:cs="宋体"/>
          <w:b/>
          <w:bCs/>
          <w:color w:val="auto"/>
          <w:sz w:val="24"/>
          <w:szCs w:val="28"/>
          <w:highlight w:val="none"/>
        </w:rPr>
        <w:t>（1）报价（30分）</w:t>
      </w:r>
    </w:p>
    <w:p>
      <w:pPr>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各报价供应商的有效磋商报价，满足磋商文件要求的经磋商后最终报价的最低报价为评标基准价，其价格为30分。其他供应商的价格分统一按照下列公式计算，最高得分为30分：   </w:t>
      </w:r>
    </w:p>
    <w:p>
      <w:pPr>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报价得分=30×（评标基准价/经磋商后最终报价)。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8"/>
          <w:highlight w:val="none"/>
        </w:rPr>
        <w:t>项目评审过程中，不得去掉最后报价中的最高报价和最低报价。</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价格扣除：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根据省财政厅《关于做好政府采购支持企业发展有关事项的通知》（苏财购[2020]52号）的要求，对于非专门面向小微企业的项目，对小微企业报价给予 5%的扣除，用扣除后的价格参与评审。</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①对小型和微型企业承建的价格给予5%的扣除，用扣除后的价格参与评审。参加磋商的中小企业，应当按照《政府采购促进中小企业发展管理办法》（财库〔2020〕46号）的规定提供《中小企业声明函》（中小企业划型标准详见《关于印发中小企业划型标准规定的通知》工信部联企业〔2011〕300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监狱企业视同小型、微型企业，对其承建价格给予5%的扣除，用扣除后的价格参与评审。参加磋商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③残疾人福利性单位视同小型、微型企业，对其承建价格给予5%的扣除，用扣除后的价格参与评审。参加磋商的残疾人福利性单位，应当按照《财政部、民政部、中国残疾人联合会关于促进残疾人就业政府采购政策的通知》（财库〔2017〕141号）的规定提供《残疾人福利性单位声明函》。但残疾人福利性单位本身属于小型、微型企业的，不重复享受政策。</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（2）报价供应商评价（最高得 </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p>
      <w:pPr>
        <w:tabs>
          <w:tab w:val="left" w:pos="945"/>
          <w:tab w:val="left" w:pos="1155"/>
        </w:tabs>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1）报价供应商具备有效期内的质量管理体系认证、职业健康安全管理体系认证、环境管理体系认证的，且在有效期内，有一项得1分，本项最高得3分。</w:t>
      </w:r>
      <w:r>
        <w:rPr>
          <w:rFonts w:hint="eastAsia" w:ascii="宋体" w:hAnsi="宋体" w:cs="宋体"/>
          <w:b/>
          <w:bCs/>
          <w:color w:val="auto"/>
          <w:sz w:val="24"/>
          <w:highlight w:val="none"/>
        </w:rPr>
        <w:t>（报价时提供证书原件，不提供原件不得分，复印件装订进补充证明文件中）。</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2）报价供应商信用等级为AA的得2分；等级为AAA的得3分，本项最高得3分。</w:t>
      </w:r>
      <w:r>
        <w:rPr>
          <w:rFonts w:hint="eastAsia" w:ascii="宋体" w:hAnsi="宋体" w:cs="宋体"/>
          <w:b/>
          <w:bCs/>
          <w:color w:val="auto"/>
          <w:sz w:val="24"/>
          <w:highlight w:val="none"/>
        </w:rPr>
        <w:t>（报价时提供证书原件，不提供原件不得分，复印件装订进补充证明文件中）</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）报价供应商自2018年1月1日以来，承担过市政</w:t>
      </w:r>
      <w:r>
        <w:rPr>
          <w:rFonts w:hint="eastAsia" w:ascii="宋体" w:hAnsi="宋体" w:cs="宋体"/>
          <w:color w:val="auto"/>
          <w:sz w:val="24"/>
          <w:highlight w:val="none"/>
          <w:lang w:val="en-US" w:eastAsia="zh-CN"/>
        </w:rPr>
        <w:t>改造类似</w:t>
      </w:r>
      <w:r>
        <w:rPr>
          <w:rFonts w:hint="eastAsia" w:ascii="宋体" w:hAnsi="宋体" w:cs="宋体"/>
          <w:color w:val="auto"/>
          <w:sz w:val="24"/>
          <w:highlight w:val="none"/>
        </w:rPr>
        <w:t>工程业绩，有1个得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分。（类似工程业绩要求提供，有效的中标通知书（成交通知书）或直接发包备案证明复印件、施工合同复印件、竣工验收证明复印件，复印件均须加盖报价供应商公章，并装订入响应文件补充证明文件部分，</w:t>
      </w:r>
      <w:r>
        <w:rPr>
          <w:rFonts w:hint="eastAsia" w:ascii="宋体" w:hAnsi="宋体" w:cs="宋体"/>
          <w:b/>
          <w:bCs/>
          <w:color w:val="auto"/>
          <w:sz w:val="24"/>
          <w:highlight w:val="none"/>
        </w:rPr>
        <w:t>报价时提供中标通知书（成交通知书）或直接发包备案证明原件、施工合同原件或公证书、竣工验收证明原件核查，</w:t>
      </w:r>
      <w:r>
        <w:rPr>
          <w:rFonts w:hint="eastAsia" w:ascii="宋体" w:hAnsi="宋体" w:cs="宋体"/>
          <w:color w:val="auto"/>
          <w:sz w:val="24"/>
          <w:highlight w:val="none"/>
        </w:rPr>
        <w:t>不提供或缺任意一项不得分，类似工程业绩时间以中标通知书（成交通知书）签发时间为准）。</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5）项目管理班子的人员配备、素质及管理经验 （3分）        </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项目管理班子人员配备要求：配备技术负责人</w:t>
      </w:r>
      <w:r>
        <w:rPr>
          <w:rFonts w:hint="eastAsia" w:ascii="宋体" w:hAnsi="宋体" w:cs="宋体"/>
          <w:color w:val="auto"/>
          <w:sz w:val="24"/>
          <w:highlight w:val="none"/>
          <w:lang w:eastAsia="zh-CN"/>
        </w:rPr>
        <w:t>、</w:t>
      </w:r>
      <w:r>
        <w:rPr>
          <w:rFonts w:hint="eastAsia" w:ascii="宋体" w:hAnsi="宋体" w:cs="宋体"/>
          <w:color w:val="auto"/>
          <w:sz w:val="24"/>
          <w:highlight w:val="none"/>
        </w:rPr>
        <w:t>施工员、安全员的得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分，本项最多得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分，缺任意一项扣0.5分，扣完为止；其中技术负责人具备</w:t>
      </w:r>
      <w:r>
        <w:rPr>
          <w:rFonts w:hint="eastAsia" w:ascii="宋体" w:hAnsi="宋体" w:cs="宋体"/>
          <w:color w:val="auto"/>
          <w:sz w:val="24"/>
          <w:highlight w:val="none"/>
          <w:lang w:val="en-US" w:eastAsia="zh-CN"/>
        </w:rPr>
        <w:t>工程类中</w:t>
      </w:r>
      <w:r>
        <w:rPr>
          <w:rFonts w:hint="eastAsia" w:ascii="宋体" w:hAnsi="宋体" w:cs="宋体"/>
          <w:color w:val="auto"/>
          <w:sz w:val="24"/>
          <w:highlight w:val="none"/>
        </w:rPr>
        <w:t>级及以上职称的得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分。提供资料：技术负责人提供</w:t>
      </w:r>
      <w:r>
        <w:rPr>
          <w:rFonts w:hint="eastAsia" w:ascii="宋体" w:hAnsi="宋体" w:cs="宋体"/>
          <w:color w:val="auto"/>
          <w:sz w:val="24"/>
          <w:highlight w:val="none"/>
          <w:lang w:val="en-US" w:eastAsia="zh-CN"/>
        </w:rPr>
        <w:t>工程类</w:t>
      </w:r>
      <w:r>
        <w:rPr>
          <w:rFonts w:hint="eastAsia" w:ascii="宋体" w:hAnsi="宋体" w:cs="宋体"/>
          <w:color w:val="auto"/>
          <w:sz w:val="24"/>
          <w:highlight w:val="none"/>
        </w:rPr>
        <w:t>职称证书</w:t>
      </w:r>
      <w:r>
        <w:rPr>
          <w:rFonts w:hint="eastAsia" w:ascii="宋体" w:hAnsi="宋体" w:cs="宋体"/>
          <w:color w:val="auto"/>
          <w:sz w:val="24"/>
          <w:highlight w:val="none"/>
          <w:lang w:eastAsia="zh-CN"/>
        </w:rPr>
        <w:t>，若职称证书不能体现相关专业，另需提供其他相关证明材料</w:t>
      </w:r>
      <w:r>
        <w:rPr>
          <w:rFonts w:hint="eastAsia" w:ascii="宋体" w:hAnsi="宋体" w:cs="宋体"/>
          <w:color w:val="auto"/>
          <w:sz w:val="24"/>
          <w:highlight w:val="none"/>
        </w:rPr>
        <w:t>；其他人员提供岗位证书、项目管理班子所有人员与本企业签订的劳动合同和由法定的社保收缴部门出具的202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月-2021年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月的</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依法为其缴纳社会保障资金的相关材料（提供相关主管部门证明或银行代扣证明）（以上资料的复印件装订进入</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补充证明文件部分，</w:t>
      </w:r>
      <w:r>
        <w:rPr>
          <w:rFonts w:hint="eastAsia" w:ascii="宋体" w:hAnsi="宋体" w:cs="宋体"/>
          <w:b/>
          <w:bCs/>
          <w:color w:val="auto"/>
          <w:sz w:val="24"/>
          <w:highlight w:val="none"/>
          <w:lang w:val="en-US" w:eastAsia="zh-CN"/>
        </w:rPr>
        <w:t>报价</w:t>
      </w:r>
      <w:r>
        <w:rPr>
          <w:rFonts w:hint="eastAsia" w:ascii="宋体" w:hAnsi="宋体" w:cs="宋体"/>
          <w:b/>
          <w:bCs/>
          <w:color w:val="auto"/>
          <w:sz w:val="24"/>
          <w:highlight w:val="none"/>
          <w:lang w:eastAsia="zh-CN"/>
        </w:rPr>
        <w:t>时</w:t>
      </w:r>
      <w:r>
        <w:rPr>
          <w:rFonts w:hint="eastAsia" w:ascii="宋体" w:hAnsi="宋体" w:cs="宋体"/>
          <w:b/>
          <w:bCs/>
          <w:color w:val="auto"/>
          <w:sz w:val="24"/>
          <w:highlight w:val="none"/>
        </w:rPr>
        <w:t>另提供资料原件或公证件，不提供或缺任意一项不得分</w:t>
      </w:r>
      <w:r>
        <w:rPr>
          <w:rFonts w:hint="eastAsia" w:ascii="宋体" w:hAnsi="宋体" w:cs="宋体"/>
          <w:color w:val="auto"/>
          <w:sz w:val="24"/>
          <w:highlight w:val="none"/>
        </w:rPr>
        <w:t>）。</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）项目负责人答辩(5分)</w:t>
      </w:r>
    </w:p>
    <w:p>
      <w:pPr>
        <w:tabs>
          <w:tab w:val="left" w:pos="945"/>
          <w:tab w:val="left" w:pos="1155"/>
        </w:tabs>
        <w:spacing w:line="360" w:lineRule="auto"/>
        <w:rPr>
          <w:rFonts w:hint="eastAsia" w:ascii="宋体" w:hAnsi="宋体" w:eastAsia="宋体"/>
          <w:b/>
          <w:bCs/>
          <w:color w:val="auto"/>
          <w:sz w:val="24"/>
          <w:highlight w:val="none"/>
          <w:lang w:eastAsia="zh-CN"/>
        </w:rPr>
      </w:pPr>
      <w:r>
        <w:rPr>
          <w:rFonts w:hint="eastAsia" w:ascii="宋体" w:hAnsi="宋体"/>
          <w:color w:val="auto"/>
          <w:sz w:val="24"/>
          <w:highlight w:val="none"/>
        </w:rPr>
        <w:t>项目负责人答辩，由磋商小组成员现场以书面形式出题（2题，每题2.5分），项目负责人携带身份证原件，检查确认后以书面形式作答（20分钟），磋商小组按照项目负责人答辩内容酌情评分。</w:t>
      </w:r>
      <w:r>
        <w:rPr>
          <w:rFonts w:hint="eastAsia" w:ascii="宋体" w:hAnsi="宋体"/>
          <w:b/>
          <w:bCs/>
          <w:color w:val="auto"/>
          <w:sz w:val="24"/>
          <w:highlight w:val="none"/>
          <w:lang w:eastAsia="zh-CN"/>
        </w:rPr>
        <w:t>（</w:t>
      </w:r>
      <w:r>
        <w:rPr>
          <w:rFonts w:hint="eastAsia" w:ascii="宋体" w:hAnsi="宋体" w:cs="宋体"/>
          <w:b/>
          <w:bCs/>
          <w:color w:val="auto"/>
          <w:sz w:val="24"/>
          <w:lang w:val="en-US" w:eastAsia="zh-CN"/>
        </w:rPr>
        <w:t>因本项目需要项目负责人答辩，</w:t>
      </w:r>
      <w:r>
        <w:rPr>
          <w:rFonts w:hint="eastAsia" w:ascii="宋体" w:hAnsi="宋体"/>
          <w:b/>
          <w:bCs/>
          <w:color w:val="auto"/>
          <w:sz w:val="24"/>
          <w:highlight w:val="none"/>
          <w:lang w:val="en-US" w:eastAsia="zh-CN"/>
        </w:rPr>
        <w:t>要求报价供应商授权委托人代表与项目负责人应为同一人。）</w:t>
      </w:r>
    </w:p>
    <w:p>
      <w:pPr>
        <w:spacing w:line="360" w:lineRule="auto"/>
        <w:ind w:firstLine="424" w:firstLineChars="177"/>
        <w:rPr>
          <w:rFonts w:ascii="宋体" w:hAnsi="宋体"/>
          <w:color w:val="auto"/>
          <w:sz w:val="24"/>
          <w:highlight w:val="none"/>
        </w:rPr>
      </w:pPr>
      <w:r>
        <w:rPr>
          <w:rFonts w:ascii="宋体" w:hAnsi="宋体"/>
          <w:color w:val="auto"/>
          <w:sz w:val="24"/>
          <w:highlight w:val="none"/>
        </w:rPr>
        <w:t>暗标部分：</w:t>
      </w:r>
    </w:p>
    <w:p>
      <w:p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（3）技术文件 （</w:t>
      </w:r>
      <w:r>
        <w:rPr>
          <w:rFonts w:hint="eastAsia" w:ascii="宋体" w:hAnsi="宋体" w:cs="宋体"/>
          <w:b/>
          <w:bCs/>
          <w:color w:val="auto"/>
          <w:sz w:val="24"/>
          <w:highlight w:val="none"/>
          <w:lang w:val="en-US" w:eastAsia="zh-CN"/>
        </w:rPr>
        <w:t>50</w:t>
      </w:r>
      <w:r>
        <w:rPr>
          <w:rFonts w:hint="eastAsia" w:ascii="宋体" w:hAnsi="宋体" w:cs="宋体"/>
          <w:b/>
          <w:bCs/>
          <w:color w:val="auto"/>
          <w:sz w:val="24"/>
          <w:highlight w:val="none"/>
        </w:rPr>
        <w:t>分）</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（1）总体概述：施工组织总体设想、方案针对性及施工段划分；  8分</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 xml:space="preserve">（2）施工现场平面布置和临时设施、临时道路布置；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8分</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 xml:space="preserve">（3）施工进度计划和各阶段进度的保证措施；  </w:t>
      </w:r>
      <w:r>
        <w:rPr>
          <w:rFonts w:hint="eastAsia" w:ascii="宋体" w:hAnsi="宋体" w:cs="宋体"/>
          <w:color w:val="auto"/>
          <w:sz w:val="24"/>
          <w:highlight w:val="none"/>
          <w:lang w:val="en-US" w:eastAsia="zh-CN"/>
        </w:rPr>
        <w:t xml:space="preserve">                8</w:t>
      </w:r>
      <w:r>
        <w:rPr>
          <w:rFonts w:hint="eastAsia" w:ascii="宋体" w:hAnsi="宋体" w:cs="宋体"/>
          <w:color w:val="auto"/>
          <w:sz w:val="24"/>
          <w:highlight w:val="none"/>
        </w:rPr>
        <w:t>分</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 xml:space="preserve">（4）各分部分项工程的施工方案及质量保证措施； </w:t>
      </w:r>
      <w:r>
        <w:rPr>
          <w:rFonts w:hint="eastAsia" w:ascii="宋体" w:hAnsi="宋体" w:cs="宋体"/>
          <w:color w:val="auto"/>
          <w:sz w:val="24"/>
          <w:highlight w:val="none"/>
          <w:lang w:val="en-US" w:eastAsia="zh-CN"/>
        </w:rPr>
        <w:t xml:space="preserve">            10</w:t>
      </w:r>
      <w:r>
        <w:rPr>
          <w:rFonts w:hint="eastAsia" w:ascii="宋体" w:hAnsi="宋体" w:cs="宋体"/>
          <w:color w:val="auto"/>
          <w:sz w:val="24"/>
          <w:highlight w:val="none"/>
        </w:rPr>
        <w:t>分</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 xml:space="preserve">（5）安全文明施工及环境保护措施；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8分</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 xml:space="preserve">（6）劳动力、机械设备和材料投入计划；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8分</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技术标编制粗糙、缺漏项、格式混乱、条例不清的除外。一般技术标评委按照下列评分幅度对技术标进行评分：90%≤切实、可行、具体≤100%；80%≤切实、可行、较具体＜90%；70%≤切实、较可行、较具体＜80%；60%≤较切实、较可行、较具体＜70%。</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加分因素（2分）：依据财政部、发展改革委发布的《节能产品政府采购品目清单》和财政部、生态环境部发布的《环境标志产品政府采购品目清单》，磋商产品为政府采购节能（政府强制采购节能产品除外）、环保产品分别加1分（磋商时须提供所投产品由国家确定的认证机构出具的、处于有效期之内的节能产品认证证书复印件、环境标志产品认证证书复印件，否则不得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未列入本评分细则的其他条件不作为评分内容。</w:t>
      </w:r>
    </w:p>
    <w:p>
      <w:pPr>
        <w:numPr>
          <w:ilvl w:val="0"/>
          <w:numId w:val="0"/>
        </w:numPr>
        <w:spacing w:line="360" w:lineRule="auto"/>
        <w:outlineLvl w:val="0"/>
        <w:rPr>
          <w:rFonts w:ascii="宋体" w:hAnsi="宋体" w:cs="宋体"/>
          <w:color w:val="auto"/>
          <w:sz w:val="24"/>
          <w:highlight w:val="none"/>
        </w:rPr>
      </w:pPr>
      <w:r>
        <w:rPr>
          <w:rFonts w:hint="eastAsia" w:ascii="宋体" w:hAnsi="宋体" w:cs="宋体"/>
          <w:color w:val="auto"/>
          <w:sz w:val="24"/>
          <w:highlight w:val="none"/>
          <w:lang w:eastAsia="zh-CN"/>
        </w:rPr>
        <w:t>（十）</w:t>
      </w:r>
      <w:r>
        <w:rPr>
          <w:rFonts w:hint="eastAsia" w:ascii="宋体" w:hAnsi="宋体" w:cs="宋体"/>
          <w:color w:val="auto"/>
          <w:sz w:val="24"/>
          <w:highlight w:val="none"/>
        </w:rPr>
        <w:t>确定</w:t>
      </w:r>
      <w:r>
        <w:rPr>
          <w:rFonts w:hint="eastAsia" w:ascii="宋体" w:hAnsi="宋体" w:cs="宋体"/>
          <w:bCs/>
          <w:color w:val="auto"/>
          <w:sz w:val="24"/>
          <w:highlight w:val="none"/>
        </w:rPr>
        <w:t>成交供应商</w:t>
      </w:r>
      <w:r>
        <w:rPr>
          <w:rFonts w:hint="eastAsia" w:ascii="宋体" w:hAnsi="宋体" w:cs="宋体"/>
          <w:color w:val="auto"/>
          <w:sz w:val="24"/>
          <w:highlight w:val="none"/>
        </w:rPr>
        <w:t>：</w:t>
      </w:r>
    </w:p>
    <w:p>
      <w:pPr>
        <w:tabs>
          <w:tab w:val="left" w:pos="525"/>
          <w:tab w:val="left" w:pos="945"/>
        </w:tabs>
        <w:spacing w:line="360" w:lineRule="auto"/>
        <w:ind w:firstLine="480" w:firstLineChars="200"/>
        <w:rPr>
          <w:rFonts w:ascii="宋体" w:hAnsi="宋体" w:cs="宋体"/>
          <w:bCs/>
          <w:color w:val="auto"/>
          <w:sz w:val="24"/>
          <w:highlight w:val="none"/>
        </w:rPr>
      </w:pPr>
      <w:r>
        <w:rPr>
          <w:rFonts w:hint="eastAsia" w:ascii="宋体" w:hAnsi="宋体"/>
          <w:color w:val="auto"/>
          <w:sz w:val="24"/>
          <w:highlight w:val="none"/>
        </w:rPr>
        <w:t>1.</w:t>
      </w:r>
      <w:r>
        <w:rPr>
          <w:rFonts w:hint="eastAsia" w:ascii="宋体" w:hAnsi="宋体" w:cs="宋体"/>
          <w:bCs/>
          <w:color w:val="auto"/>
          <w:sz w:val="24"/>
          <w:highlight w:val="none"/>
        </w:rPr>
        <w:t>.磋商小组根据竞争性磋商文件规定的评标方法和评标标准进行评审，并推荐每标段中标候选单位，在所有标段全部开标评审结束后，再按竞争性磋商文件要求确定成交单位</w:t>
      </w:r>
      <w:r>
        <w:rPr>
          <w:rFonts w:hint="eastAsia" w:ascii="宋体" w:hAnsi="宋体" w:cs="宋体"/>
          <w:bCs/>
          <w:color w:val="auto"/>
          <w:sz w:val="24"/>
          <w:highlight w:val="none"/>
          <w:lang w:eastAsia="zh-CN"/>
        </w:rPr>
        <w:t>，江苏德诺工程项目管理有限公司</w:t>
      </w:r>
      <w:r>
        <w:rPr>
          <w:rFonts w:hint="eastAsia" w:ascii="宋体" w:hAnsi="宋体" w:cs="宋体"/>
          <w:bCs/>
          <w:color w:val="auto"/>
          <w:sz w:val="24"/>
          <w:highlight w:val="none"/>
        </w:rPr>
        <w:t>将在</w:t>
      </w:r>
      <w:r>
        <w:rPr>
          <w:rFonts w:hint="eastAsia" w:ascii="宋体" w:hAnsi="宋体" w:cs="宋体"/>
          <w:b/>
          <w:bCs/>
          <w:color w:val="auto"/>
          <w:sz w:val="24"/>
          <w:highlight w:val="none"/>
        </w:rPr>
        <w:t>江苏政府采购网、无锡政府采购网</w:t>
      </w:r>
      <w:r>
        <w:rPr>
          <w:rFonts w:hint="eastAsia" w:ascii="宋体" w:hAnsi="宋体" w:cs="宋体"/>
          <w:bCs/>
          <w:color w:val="auto"/>
          <w:sz w:val="24"/>
          <w:highlight w:val="none"/>
        </w:rPr>
        <w:t>发布成交公告。如有质疑，</w:t>
      </w:r>
      <w:r>
        <w:rPr>
          <w:rFonts w:hint="eastAsia" w:ascii="宋体" w:hAnsi="宋体" w:cs="宋体"/>
          <w:color w:val="auto"/>
          <w:sz w:val="24"/>
          <w:highlight w:val="none"/>
        </w:rPr>
        <w:t>供应商按中华人民共和国财政部令【第94号】《政府采购质疑和投诉办法》第十二条：供应商提出质疑应当提交质疑函和必要的证明材料。质疑函应当包括下列内容: (一)供应商的姓名或者名称、地址、邮编、联系人及联系电话；(二)质疑项目的名称、编号； (三)具体、明确的质疑事项和与质疑事项相关的请求；(四)事实依据；(五)必要的法律依据；(六)提出质疑的日期。 供应商为自然人的，应当由本人签字；供应商为法人或者其他组织的，应当由法定代表人、主要负责人，或者其授权代表签字或者盖章，并加盖公章。规定提交资料；按《中华人民共和国政府采购法》等有关法规处理。</w:t>
      </w:r>
      <w:r>
        <w:rPr>
          <w:rFonts w:hint="eastAsia" w:ascii="宋体" w:hAnsi="宋体" w:cs="宋体"/>
          <w:bCs/>
          <w:color w:val="auto"/>
          <w:sz w:val="24"/>
          <w:highlight w:val="none"/>
        </w:rPr>
        <w:t>评审、开标及定标</w:t>
      </w:r>
      <w:r>
        <w:rPr>
          <w:rFonts w:hint="eastAsia" w:ascii="宋体" w:hAnsi="宋体" w:cs="宋体"/>
          <w:color w:val="auto"/>
          <w:sz w:val="24"/>
          <w:highlight w:val="none"/>
        </w:rPr>
        <w:t>的整个过程均由采购人或纪律监察部门全程监督。</w:t>
      </w:r>
    </w:p>
    <w:p>
      <w:pPr>
        <w:tabs>
          <w:tab w:val="left" w:pos="525"/>
          <w:tab w:val="left" w:pos="115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3.定标后，采购人将向成交供应商发出成交通知书。</w:t>
      </w:r>
    </w:p>
    <w:p>
      <w:pPr>
        <w:tabs>
          <w:tab w:val="left" w:pos="525"/>
          <w:tab w:val="left" w:pos="988"/>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4.未成交供应商的响应文件正本、成交供应商的响应文件正本及副本（肆份）留存，其余响应文件副本和原件退还各供应商。</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）采购项目的中止：</w:t>
      </w:r>
    </w:p>
    <w:p>
      <w:pPr>
        <w:widowControl/>
        <w:numPr>
          <w:ilvl w:val="0"/>
          <w:numId w:val="4"/>
        </w:numPr>
        <w:tabs>
          <w:tab w:val="left" w:pos="0"/>
          <w:tab w:val="clear" w:pos="570"/>
        </w:tabs>
        <w:spacing w:line="360" w:lineRule="auto"/>
        <w:ind w:left="0" w:firstLine="42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出现下列情形之一的，采购人或者采购代理机构应当终止竞争性磋商采购活动，发布项目终止公告并说明原因，重新开展采购活动：</w:t>
      </w:r>
    </w:p>
    <w:p>
      <w:pPr>
        <w:widowControl/>
        <w:spacing w:line="360" w:lineRule="auto"/>
        <w:ind w:left="424" w:leftChars="202" w:firstLine="139" w:firstLineChars="58"/>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（一）因情况变化，不再符合规定的竞争性磋商采购方式适用情形的；</w:t>
      </w:r>
    </w:p>
    <w:p>
      <w:pPr>
        <w:widowControl/>
        <w:spacing w:line="360" w:lineRule="auto"/>
        <w:ind w:left="424" w:leftChars="202" w:firstLine="139" w:firstLineChars="58"/>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（二）出现影响采购公正的违法、违规行为的；</w:t>
      </w:r>
    </w:p>
    <w:p>
      <w:pPr>
        <w:widowControl/>
        <w:spacing w:line="360" w:lineRule="auto"/>
        <w:ind w:left="424" w:leftChars="202" w:firstLine="139" w:firstLineChars="58"/>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（三）除《政府采购竞争性磋商采购方式管理暂行办法》第二十一条第三款规定的情形外，在采购过程中符合要求的供应商或者报价未超过采购预算的供应商不足3家的。</w:t>
      </w:r>
    </w:p>
    <w:p>
      <w:pPr>
        <w:spacing w:line="360" w:lineRule="auto"/>
        <w:ind w:left="-2" w:firstLine="420" w:firstLineChars="175"/>
        <w:outlineLvl w:val="0"/>
        <w:rPr>
          <w:rFonts w:ascii="宋体" w:hAnsi="宋体" w:cs="宋体"/>
          <w:bCs/>
          <w:color w:val="auto"/>
          <w:sz w:val="24"/>
          <w:highlight w:val="none"/>
        </w:rPr>
      </w:pPr>
      <w:r>
        <w:rPr>
          <w:rFonts w:hint="eastAsia" w:ascii="宋体" w:hAnsi="宋体" w:cs="宋体"/>
          <w:bCs/>
          <w:color w:val="auto"/>
          <w:sz w:val="24"/>
          <w:highlight w:val="none"/>
        </w:rPr>
        <w:t>（十</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rPr>
        <w:t>） 废标的确认：</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在磋商过程中，出现下列情况之一的，应予废标：</w:t>
      </w:r>
    </w:p>
    <w:p>
      <w:pPr>
        <w:tabs>
          <w:tab w:val="left" w:pos="510"/>
          <w:tab w:val="left" w:pos="1155"/>
          <w:tab w:val="left" w:pos="1260"/>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1.符合专业条件的供应商或者对竞争性磋商文件作出实质性响应的供应商不足三家；</w:t>
      </w:r>
    </w:p>
    <w:p>
      <w:pPr>
        <w:tabs>
          <w:tab w:val="left" w:pos="510"/>
          <w:tab w:val="left" w:pos="1155"/>
          <w:tab w:val="left" w:pos="1260"/>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2.出现影响采购公正的违法、违规行为；</w:t>
      </w:r>
    </w:p>
    <w:p>
      <w:pPr>
        <w:tabs>
          <w:tab w:val="left" w:pos="510"/>
          <w:tab w:val="left" w:pos="1155"/>
          <w:tab w:val="left" w:pos="1260"/>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3.供应商的报价均超过采购预算，采购人不能支付的；</w:t>
      </w:r>
    </w:p>
    <w:p>
      <w:pPr>
        <w:tabs>
          <w:tab w:val="right" w:pos="180"/>
          <w:tab w:val="left" w:pos="510"/>
          <w:tab w:val="left" w:pos="1155"/>
          <w:tab w:val="left" w:pos="1260"/>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4.因重大变故，采购任务取消。</w:t>
      </w:r>
    </w:p>
    <w:p>
      <w:pPr>
        <w:spacing w:line="360" w:lineRule="auto"/>
        <w:ind w:left="-2" w:firstLine="420" w:firstLineChars="175"/>
        <w:outlineLvl w:val="0"/>
        <w:rPr>
          <w:rFonts w:ascii="宋体" w:hAnsi="宋体" w:cs="宋体"/>
          <w:bCs/>
          <w:color w:val="auto"/>
          <w:sz w:val="24"/>
          <w:highlight w:val="none"/>
        </w:rPr>
      </w:pPr>
      <w:r>
        <w:rPr>
          <w:rFonts w:hint="eastAsia" w:ascii="宋体" w:hAnsi="宋体" w:cs="宋体"/>
          <w:b w:val="0"/>
          <w:bCs/>
          <w:color w:val="auto"/>
          <w:sz w:val="24"/>
          <w:highlight w:val="none"/>
        </w:rPr>
        <w:t>（十</w:t>
      </w:r>
      <w:r>
        <w:rPr>
          <w:rFonts w:hint="eastAsia" w:ascii="宋体" w:hAnsi="宋体" w:cs="宋体"/>
          <w:b w:val="0"/>
          <w:bCs/>
          <w:color w:val="auto"/>
          <w:sz w:val="24"/>
          <w:highlight w:val="none"/>
          <w:lang w:val="en-US" w:eastAsia="zh-CN"/>
        </w:rPr>
        <w:t>三</w:t>
      </w:r>
      <w:r>
        <w:rPr>
          <w:rFonts w:hint="eastAsia" w:ascii="宋体" w:hAnsi="宋体" w:cs="宋体"/>
          <w:b w:val="0"/>
          <w:bCs/>
          <w:color w:val="auto"/>
          <w:sz w:val="24"/>
          <w:highlight w:val="none"/>
        </w:rPr>
        <w:t>）</w:t>
      </w:r>
      <w:r>
        <w:rPr>
          <w:rFonts w:hint="eastAsia" w:ascii="宋体" w:hAnsi="宋体" w:cs="宋体"/>
          <w:bCs/>
          <w:color w:val="auto"/>
          <w:sz w:val="24"/>
          <w:highlight w:val="none"/>
        </w:rPr>
        <w:t>成交无效的确认：</w:t>
      </w:r>
    </w:p>
    <w:p>
      <w:pPr>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1.提供虚假材料谋取成交的；</w:t>
      </w:r>
    </w:p>
    <w:p>
      <w:pPr>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2.采取不正当手段诋毁、排挤其他供应商的；</w:t>
      </w:r>
    </w:p>
    <w:p>
      <w:pPr>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3.与采购人、其他供应商或者采购代理机构恶意串通的；</w:t>
      </w:r>
    </w:p>
    <w:p>
      <w:pPr>
        <w:tabs>
          <w:tab w:val="left" w:pos="1140"/>
        </w:tabs>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4.向采购人、采购代理机构行贿或者提供其他不正当利益的；</w:t>
      </w:r>
    </w:p>
    <w:p>
      <w:pPr>
        <w:tabs>
          <w:tab w:val="left" w:pos="1140"/>
        </w:tabs>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5.拒绝有关部门监督检查或者提供虚假情况的；</w:t>
      </w:r>
    </w:p>
    <w:p>
      <w:pPr>
        <w:tabs>
          <w:tab w:val="left" w:pos="1140"/>
        </w:tabs>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6.采购人、采购代理机构发现磋商小组未按照磋商文件规定的评审标准进行评审的；</w:t>
      </w:r>
    </w:p>
    <w:p>
      <w:pPr>
        <w:tabs>
          <w:tab w:val="left" w:pos="1140"/>
        </w:tabs>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7.成交供应商拒绝签订政府采购合同的。</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     供应商有上述（1）至（5）项情形之一的，处以政府采购项目采购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left="-2" w:firstLine="420" w:firstLineChars="175"/>
        <w:outlineLvl w:val="0"/>
        <w:rPr>
          <w:rFonts w:ascii="宋体" w:hAnsi="宋体" w:cs="宋体"/>
          <w:bCs/>
          <w:color w:val="auto"/>
          <w:sz w:val="24"/>
          <w:highlight w:val="none"/>
        </w:rPr>
      </w:pPr>
      <w:r>
        <w:rPr>
          <w:rFonts w:hint="eastAsia" w:ascii="宋体" w:hAnsi="宋体" w:cs="宋体"/>
          <w:bCs/>
          <w:color w:val="auto"/>
          <w:sz w:val="24"/>
          <w:highlight w:val="none"/>
        </w:rPr>
        <w:t>（十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）签订、履行合同：</w:t>
      </w:r>
    </w:p>
    <w:p>
      <w:pPr>
        <w:tabs>
          <w:tab w:val="left" w:pos="780"/>
          <w:tab w:val="left" w:pos="1050"/>
          <w:tab w:val="left" w:pos="114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bookmarkStart w:id="1" w:name="_Hlk62564219"/>
      <w:r>
        <w:rPr>
          <w:rFonts w:hint="eastAsia" w:ascii="宋体" w:hAnsi="宋体" w:cs="宋体"/>
          <w:bCs/>
          <w:color w:val="auto"/>
          <w:sz w:val="24"/>
          <w:highlight w:val="none"/>
        </w:rPr>
        <w:t>采购人应当自中标通知书发出之日起三十日内，按照磋商文件和成交供应商响应文件的约定，与成交供应商签订书面合同。所签订的合同不得对磋商文件和成交供应商响应文件作实质性修改。代建公司不得向成交供应商提出任何不合理的要求，作为签订合同的条件，不得与成交供应商私下订立背离合同实质性内容的协议。</w:t>
      </w:r>
      <w:bookmarkEnd w:id="1"/>
      <w:r>
        <w:rPr>
          <w:rFonts w:hint="eastAsia" w:ascii="宋体" w:hAnsi="宋体" w:cs="宋体"/>
          <w:bCs/>
          <w:color w:val="auto"/>
          <w:sz w:val="24"/>
          <w:highlight w:val="none"/>
        </w:rPr>
        <w:t>合同经</w:t>
      </w:r>
      <w:r>
        <w:rPr>
          <w:rFonts w:hint="eastAsia" w:ascii="宋体" w:hAnsi="宋体" w:cs="宋体"/>
          <w:bCs/>
          <w:color w:val="auto"/>
          <w:sz w:val="24"/>
          <w:highlight w:val="none"/>
          <w:lang w:eastAsia="zh-CN"/>
        </w:rPr>
        <w:t>江苏德诺工程项目管理有限公司</w:t>
      </w:r>
      <w:r>
        <w:rPr>
          <w:rFonts w:hint="eastAsia" w:ascii="宋体" w:hAnsi="宋体" w:cs="宋体"/>
          <w:bCs/>
          <w:color w:val="auto"/>
          <w:sz w:val="24"/>
          <w:highlight w:val="none"/>
        </w:rPr>
        <w:t>见证后生效。</w:t>
      </w:r>
    </w:p>
    <w:p>
      <w:pPr>
        <w:spacing w:line="360" w:lineRule="auto"/>
        <w:ind w:firstLine="480" w:firstLineChars="200"/>
        <w:rPr>
          <w:color w:val="auto"/>
          <w:highlight w:val="none"/>
        </w:rPr>
      </w:pPr>
      <w:r>
        <w:rPr>
          <w:rFonts w:hint="eastAsia" w:ascii="宋体" w:hAnsi="宋体"/>
          <w:bCs/>
          <w:color w:val="auto"/>
          <w:sz w:val="24"/>
          <w:highlight w:val="none"/>
        </w:rPr>
        <w:t>2. 签订合同时，成交供应商须向采购人交纳成交合同总金额10%的履约保证金。履约保证金在本项目验收合格后退还，不计利息。履约保证金的形式：支票、汇票、本票或者金融机构、担保机构出具的保函等非现金形式提交。</w:t>
      </w:r>
    </w:p>
    <w:p>
      <w:pPr>
        <w:tabs>
          <w:tab w:val="left" w:pos="525"/>
          <w:tab w:val="left" w:pos="1050"/>
        </w:tabs>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江苏德诺工程项目管理有限公司</w:t>
      </w:r>
      <w:r>
        <w:rPr>
          <w:rFonts w:hint="eastAsia" w:ascii="宋体" w:hAnsi="宋体" w:cs="宋体"/>
          <w:bCs/>
          <w:color w:val="auto"/>
          <w:sz w:val="24"/>
          <w:highlight w:val="none"/>
        </w:rPr>
        <w:t>监督合同的履行。成交方非因不可抗力未履行招、响应文件和合同规定的义务，一经查实，招标代理机构将根据具体情况提请政府采购管理部门作出相应处理。</w:t>
      </w:r>
    </w:p>
    <w:p>
      <w:pPr>
        <w:spacing w:line="360" w:lineRule="auto"/>
        <w:ind w:firstLine="480" w:firstLineChars="200"/>
        <w:rPr>
          <w:color w:val="auto"/>
          <w:highlight w:val="none"/>
        </w:rPr>
      </w:pPr>
      <w:r>
        <w:rPr>
          <w:rFonts w:hint="eastAsia" w:ascii="宋体" w:hAnsi="宋体"/>
          <w:bCs/>
          <w:color w:val="auto"/>
          <w:sz w:val="24"/>
          <w:highlight w:val="none"/>
        </w:rPr>
        <w:t>4. 若由于相应国家法律法规、地方法规、行业规章、政策文件等变动造成项目中止，项目参与各方均不承担违约责任。</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）成交服务费：</w:t>
      </w:r>
    </w:p>
    <w:p>
      <w:pPr>
        <w:tabs>
          <w:tab w:val="left" w:pos="525"/>
          <w:tab w:val="left" w:pos="1050"/>
        </w:tabs>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1.本项目采购代理服务费由采购人支付。①代理服务费参考国家计委计价格[2002]1980号《招标代理服务收费管理暂行办法》</w:t>
      </w:r>
      <w:r>
        <w:rPr>
          <w:rFonts w:hint="eastAsia" w:ascii="宋体" w:hAnsi="宋体" w:cs="宋体"/>
          <w:b/>
          <w:bCs w:val="0"/>
          <w:color w:val="auto"/>
          <w:sz w:val="24"/>
          <w:highlight w:val="none"/>
          <w:lang w:val="en-US" w:eastAsia="zh-CN"/>
        </w:rPr>
        <w:t>基准价的75％计取，具体计算方式以中标价为基数；</w:t>
      </w:r>
      <w:r>
        <w:rPr>
          <w:rFonts w:hint="eastAsia" w:ascii="宋体" w:hAnsi="宋体" w:cs="宋体"/>
          <w:b/>
          <w:bCs w:val="0"/>
          <w:color w:val="auto"/>
          <w:sz w:val="24"/>
          <w:highlight w:val="none"/>
        </w:rPr>
        <w:t>②清单预算编制费参考苏价服（2014)）383号文</w:t>
      </w:r>
      <w:r>
        <w:rPr>
          <w:rFonts w:hint="eastAsia" w:ascii="宋体" w:hAnsi="宋体" w:cs="宋体"/>
          <w:b/>
          <w:bCs w:val="0"/>
          <w:color w:val="auto"/>
          <w:sz w:val="24"/>
          <w:highlight w:val="none"/>
          <w:lang w:val="en-US" w:eastAsia="zh-CN"/>
        </w:rPr>
        <w:t>基准价的75%计取，</w:t>
      </w:r>
      <w:r>
        <w:rPr>
          <w:rFonts w:hint="eastAsia" w:ascii="宋体" w:hAnsi="宋体" w:cs="宋体"/>
          <w:b/>
          <w:bCs w:val="0"/>
          <w:color w:val="auto"/>
          <w:sz w:val="24"/>
          <w:highlight w:val="none"/>
        </w:rPr>
        <w:t>以审定的最高限价作为计算基数计算。</w:t>
      </w:r>
    </w:p>
    <w:p>
      <w:pPr>
        <w:tabs>
          <w:tab w:val="left" w:pos="600"/>
        </w:tabs>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）其他：</w:t>
      </w:r>
      <w:r>
        <w:rPr>
          <w:rFonts w:hint="eastAsia" w:ascii="宋体" w:hAnsi="宋体" w:cs="宋体"/>
          <w:bCs/>
          <w:color w:val="auto"/>
          <w:sz w:val="24"/>
          <w:highlight w:val="none"/>
        </w:rPr>
        <w:t>磋商文件的条款必须认真审阅，供应商应自行检查磋商文件页数是否齐全。若有遗漏、重复或不清楚，需立刻通知采购人予以更正；凡属对条款的误解所造成的磋商价格失误，由供应商负责。</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）政府采购信用担保</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履约担保，是指由专业担保机构为成交供应商支付履约保证金的义务向采购人提供的保函担保。专业担保机构根据成交供应商的中标通知书为凭据，进行资信审查后出具保函, 成交供应商以保函形式缴纳履约保证金；供应商未按政府采购合同履行约定义务而应实际支付保证金的，由专业担保机构按照担保函约定履行担保责任。供应商可以自愿选择是否采取履约担保函的形式交纳履约保证金。 </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 和中信银行南京分行、浙商银行无锡分行可以在无锡市范围内开展政府采购履约担保业务。政府采购履约担保函格式见附件1。</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（十</w:t>
      </w:r>
      <w:r>
        <w:rPr>
          <w:rFonts w:hint="eastAsia" w:ascii="宋体" w:hAnsi="宋体" w:cs="宋体"/>
          <w:color w:val="auto"/>
          <w:sz w:val="24"/>
          <w:highlight w:val="none"/>
          <w:shd w:val="clear" w:color="auto" w:fill="FFFFFF"/>
          <w:lang w:val="en-US" w:eastAsia="zh-CN"/>
        </w:rPr>
        <w:t>八</w:t>
      </w:r>
      <w:r>
        <w:rPr>
          <w:rFonts w:hint="eastAsia" w:ascii="宋体" w:hAnsi="宋体" w:cs="宋体"/>
          <w:color w:val="auto"/>
          <w:sz w:val="24"/>
          <w:highlight w:val="none"/>
          <w:shd w:val="clear" w:color="auto" w:fill="FFFFFF"/>
        </w:rPr>
        <w:t>）　政府采购合同融资：</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中标、成交供应商可根据自身情况，自行决定是否选择采用合同融资形式，在无锡政府采购网——政采贷专栏提供的银行名录内自主选择合作银行。</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附：无锡市政府采购合同融资政策告知函</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各供应商：</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欢迎贵公司参与无锡市政府采购活动！</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spacing w:line="500" w:lineRule="exact"/>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贷款渠道和提供贷款的金融机构，可在无锡政府采购网无锡市政府采购交易管理一体化系统查询联系。</w:t>
      </w:r>
    </w:p>
    <w:p>
      <w:pPr>
        <w:spacing w:line="5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br w:type="page"/>
      </w:r>
      <w:r>
        <w:rPr>
          <w:rFonts w:hint="eastAsia" w:ascii="宋体" w:hAnsi="宋体" w:cs="宋体"/>
          <w:color w:val="auto"/>
          <w:sz w:val="24"/>
          <w:highlight w:val="none"/>
          <w:shd w:val="clear" w:color="auto" w:fill="FFFFFF"/>
        </w:rPr>
        <w:t>附件1.                       政府采购履约担保函（项目用）</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编号：</w:t>
      </w:r>
    </w:p>
    <w:p>
      <w:pPr>
        <w:widowControl/>
        <w:tabs>
          <w:tab w:val="left" w:pos="360"/>
          <w:tab w:val="left" w:pos="960"/>
        </w:tabs>
        <w:spacing w:line="440" w:lineRule="exact"/>
        <w:jc w:val="left"/>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（采购人）：</w:t>
      </w:r>
    </w:p>
    <w:p>
      <w:pPr>
        <w:widowControl/>
        <w:tabs>
          <w:tab w:val="left" w:pos="360"/>
          <w:tab w:val="left" w:pos="960"/>
        </w:tabs>
        <w:spacing w:line="440" w:lineRule="exact"/>
        <w:ind w:firstLine="360" w:firstLineChars="150"/>
        <w:jc w:val="left"/>
        <w:rPr>
          <w:rFonts w:ascii="宋体" w:hAnsi="宋体" w:cs="宋体"/>
          <w:color w:val="auto"/>
          <w:sz w:val="24"/>
          <w:highlight w:val="none"/>
        </w:rPr>
      </w:pP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鉴于你方与</w:t>
      </w:r>
      <w:r>
        <w:rPr>
          <w:rFonts w:hint="eastAsia" w:ascii="宋体" w:hAnsi="宋体" w:cs="宋体"/>
          <w:color w:val="auto"/>
          <w:sz w:val="24"/>
          <w:highlight w:val="none"/>
          <w:u w:val="single"/>
        </w:rPr>
        <w:t xml:space="preserve">                    （以下简称供应商）</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日签定编号为   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政府采购合同》（以下简称主合同），且依据该合同的约定，供应商应在</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一、保证责任的情形及保证金额</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1．将中标项目转让给他人，或者在磋商文件中未说明，且未经采购招标机构人同意，将中标项目分包给他人的；</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2．主合同约定的应当缴纳履约保证金的情形: </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                                                           。</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），币种为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。（即主合同履约保证金金额）</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二、保证的方式及保证期间</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我方保证的方式为：连带责任保证。</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三、承担保证责任的程序</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如果你方与供应商因货物质量问题产生争议，你方还需同时提供        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 我方收到你方的书面索赔通知及相应证明材料，在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工作日内进行核定后按照本保函的承诺承担保证责任。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四、保证责任的终止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3．按照法律法规的规定或出现应终止我方保证责任的其他情形的，我方在本保函项下的保证责任亦终止。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五、免责条款</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六、争议的解决</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七、保函的生效</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本保函自我方加盖公章之日起生效。</w:t>
      </w:r>
    </w:p>
    <w:p>
      <w:pPr>
        <w:widowControl/>
        <w:tabs>
          <w:tab w:val="left" w:pos="360"/>
          <w:tab w:val="left" w:pos="960"/>
        </w:tabs>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保证人：（公章）</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年     月      日</w:t>
      </w:r>
    </w:p>
    <w:p>
      <w:pPr>
        <w:widowControl/>
        <w:tabs>
          <w:tab w:val="left" w:pos="360"/>
          <w:tab w:val="left" w:pos="960"/>
        </w:tabs>
        <w:spacing w:line="440" w:lineRule="exact"/>
        <w:jc w:val="left"/>
        <w:rPr>
          <w:rFonts w:ascii="宋体" w:hAnsi="宋体" w:cs="宋体"/>
          <w:color w:val="auto"/>
          <w:sz w:val="24"/>
          <w:highlight w:val="none"/>
        </w:rPr>
      </w:pPr>
    </w:p>
    <w:p>
      <w:pPr>
        <w:rPr>
          <w:rFonts w:ascii="宋体" w:hAnsi="宋体" w:cs="宋体"/>
          <w:color w:val="auto"/>
          <w:highlight w:val="none"/>
        </w:rPr>
      </w:pPr>
    </w:p>
    <w:p>
      <w:pPr>
        <w:numPr>
          <w:ilvl w:val="0"/>
          <w:numId w:val="5"/>
        </w:numPr>
        <w:spacing w:line="520" w:lineRule="exact"/>
        <w:jc w:val="center"/>
        <w:rPr>
          <w:rFonts w:ascii="宋体" w:hAnsi="宋体" w:cs="宋体"/>
          <w:b/>
          <w:color w:val="auto"/>
          <w:sz w:val="44"/>
          <w:szCs w:val="44"/>
          <w:highlight w:val="none"/>
        </w:rPr>
        <w:sectPr>
          <w:footerReference r:id="rId4" w:type="default"/>
          <w:pgSz w:w="11906" w:h="16838"/>
          <w:pgMar w:top="1418" w:right="1555" w:bottom="1418" w:left="1531" w:header="851" w:footer="992" w:gutter="0"/>
          <w:pgNumType w:start="1"/>
          <w:cols w:space="720" w:num="1"/>
          <w:docGrid w:type="lines" w:linePitch="312" w:charSpace="0"/>
        </w:sectPr>
      </w:pPr>
    </w:p>
    <w:p>
      <w:pPr>
        <w:numPr>
          <w:ilvl w:val="0"/>
          <w:numId w:val="5"/>
        </w:numPr>
        <w:spacing w:line="520" w:lineRule="exact"/>
        <w:jc w:val="center"/>
        <w:rPr>
          <w:rFonts w:ascii="宋体" w:hAnsi="宋体" w:cs="宋体"/>
          <w:b/>
          <w:color w:val="auto"/>
          <w:sz w:val="44"/>
          <w:szCs w:val="44"/>
          <w:highlight w:val="none"/>
        </w:rPr>
        <w:sectPr>
          <w:footerReference r:id="rId5" w:type="default"/>
          <w:type w:val="continuous"/>
          <w:pgSz w:w="11906" w:h="16838"/>
          <w:pgMar w:top="1418" w:right="1555" w:bottom="1418" w:left="1531" w:header="851" w:footer="992" w:gutter="0"/>
          <w:cols w:space="720" w:num="1"/>
          <w:titlePg/>
          <w:docGrid w:type="lines" w:linePitch="312" w:charSpace="0"/>
        </w:sectPr>
      </w:pPr>
    </w:p>
    <w:p>
      <w:pPr>
        <w:numPr>
          <w:ilvl w:val="0"/>
          <w:numId w:val="5"/>
        </w:numPr>
        <w:spacing w:line="52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采购需求</w:t>
      </w:r>
    </w:p>
    <w:p>
      <w:pPr>
        <w:numPr>
          <w:ilvl w:val="0"/>
          <w:numId w:val="0"/>
        </w:numPr>
        <w:spacing w:line="440" w:lineRule="exac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一、项目基本情况</w:t>
      </w:r>
    </w:p>
    <w:p>
      <w:pPr>
        <w:numPr>
          <w:ilvl w:val="0"/>
          <w:numId w:val="0"/>
        </w:num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目概况：本项目位于无锡市梁溪区上马墩街道，为上马墩街道四条背街小巷：塔影一支路、雪松路、崇正路、颐养院支路提升改造，从店招店牌改造、围墙出新、设置功能性点位、破损道路修复平整、景观绿化改造、停车位改造等，实现街巷气质的全面提升。</w:t>
      </w:r>
    </w:p>
    <w:p>
      <w:pPr>
        <w:numPr>
          <w:ilvl w:val="0"/>
          <w:numId w:val="0"/>
        </w:num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建设规模为：塔影一支路（上马墩路-门岗）全长100米，道路宽度10米。雪松路（振奋路-靖海新村），全长约332米，宽度15米。崇正路（梁溪区政法委门口-梁溪区老环卫所）全长100米，宽度15米。颐养院支路（上马墩路-靖海颐养院）全长154米，宽度10米。</w:t>
      </w:r>
    </w:p>
    <w:p>
      <w:pPr>
        <w:numPr>
          <w:ilvl w:val="0"/>
          <w:numId w:val="0"/>
        </w:numPr>
        <w:spacing w:line="440" w:lineRule="exact"/>
        <w:rPr>
          <w:rFonts w:ascii="宋体" w:hAnsi="宋体" w:cs="宋体"/>
          <w:color w:val="auto"/>
          <w:sz w:val="24"/>
          <w:highlight w:val="none"/>
        </w:rPr>
      </w:pPr>
      <w:r>
        <w:rPr>
          <w:rFonts w:hint="eastAsia" w:ascii="宋体" w:hAnsi="宋体" w:cs="宋体"/>
          <w:color w:val="auto"/>
          <w:sz w:val="24"/>
          <w:highlight w:val="none"/>
          <w:lang w:val="en-US" w:eastAsia="zh-CN"/>
        </w:rPr>
        <w:t>2、招标范围：施工图纸及工程量清单范围内的提升改造工程（颐养院支路、崇正路、雪松路、塔影一支路）；</w:t>
      </w:r>
    </w:p>
    <w:p>
      <w:pPr>
        <w:numPr>
          <w:ilvl w:val="0"/>
          <w:numId w:val="0"/>
        </w:numPr>
        <w:spacing w:line="440" w:lineRule="exac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工期：</w:t>
      </w:r>
      <w:r>
        <w:rPr>
          <w:rFonts w:hint="eastAsia" w:ascii="宋体" w:hAnsi="宋体" w:cs="宋体"/>
          <w:color w:val="auto"/>
          <w:sz w:val="24"/>
          <w:highlight w:val="none"/>
          <w:lang w:val="en-US" w:eastAsia="zh-CN"/>
        </w:rPr>
        <w:t>40</w:t>
      </w:r>
      <w:r>
        <w:rPr>
          <w:rFonts w:hint="eastAsia" w:ascii="宋体" w:hAnsi="宋体" w:cs="宋体"/>
          <w:color w:val="auto"/>
          <w:sz w:val="24"/>
          <w:highlight w:val="none"/>
          <w:lang w:val="zh-CN"/>
        </w:rPr>
        <w:t>日历天；</w:t>
      </w:r>
      <w:r>
        <w:rPr>
          <w:rFonts w:hint="eastAsia" w:ascii="宋体" w:hAnsi="宋体" w:cs="宋体"/>
          <w:color w:val="auto"/>
          <w:sz w:val="24"/>
          <w:highlight w:val="none"/>
        </w:rPr>
        <w:t>误期违约金：</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000元/天</w:t>
      </w:r>
      <w:r>
        <w:rPr>
          <w:rFonts w:hint="eastAsia" w:ascii="宋体" w:hAnsi="宋体" w:cs="宋体"/>
          <w:color w:val="auto"/>
          <w:sz w:val="24"/>
          <w:highlight w:val="none"/>
          <w:lang w:val="zh-CN"/>
        </w:rPr>
        <w:t>；</w:t>
      </w:r>
    </w:p>
    <w:p>
      <w:pPr>
        <w:spacing w:line="440" w:lineRule="exac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质量标准：一次性验收通过，100%合格；质量违约金：合同价款的3%</w:t>
      </w:r>
      <w:r>
        <w:rPr>
          <w:rFonts w:hint="eastAsia" w:ascii="宋体" w:hAnsi="宋体" w:cs="宋体"/>
          <w:color w:val="auto"/>
          <w:sz w:val="24"/>
          <w:highlight w:val="none"/>
          <w:lang w:val="zh-CN"/>
        </w:rPr>
        <w:t>；</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5、本项目采购预算（同最高限价）：6096206.37元；</w:t>
      </w:r>
    </w:p>
    <w:p>
      <w:pPr>
        <w:pStyle w:val="7"/>
        <w:jc w:val="both"/>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二、安全要求：</w:t>
      </w:r>
    </w:p>
    <w:p>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1.严格遵守工程建设安全生产的有关规定，严格按照安全标准施工，采取必要的安全防护措施并对施工人员进行安全生产教育和管理；健全组织制度，指定主要领导负责安全工作，确保作业人员和车辆、设备的安全，每个施工队队长为安全员，负责日常安全的督导。</w:t>
      </w:r>
    </w:p>
    <w:p>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2. 施工现场要求佩戴显著标记的安全员，负责现场安全组织协调工作，接受交警、路政、工程管理人员对现场存在问题的询问和纠正指导。遇有紧急情况采购人与报价供应商安全联络员联系，安全联络员应及时将信息传达到施工现场。特殊情况：雨雪天、雾天不得上路作业。</w:t>
      </w:r>
    </w:p>
    <w:p>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3. 上路作业应按规定办理相关手续，并服从交警、路政部门的管理；作业人员须穿着统一的标志服在作业封闭区内作业，严禁随意穿越车道；在作业封闭区内的车辆和设备应按要求设置安全标志，并开启黄色警示灯和双跳灯；运输车辆进出作业封闭区应遵守现场管理人员指挥，严禁私自开启中央分隔带开口调头；白天滞留在公路上的施工设备应及时撤离。在施工过程个发生的任何交通、生产事故造成财产损失或人员伤亡的，以及与其他第三方发生的任何纠纷或事故，采购人概不承担任何责任和费用。</w:t>
      </w:r>
    </w:p>
    <w:p>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4. 施工方应在整个施工期间对其为本工程工作的人员投保意外伤害险；还应为其为完成本工程的设备、车辆购买财产保险，其投保金额应足以现场重置。办理保险的一切费用均由施工方承担，并已包括在工程量单价及总额价中。</w:t>
      </w:r>
    </w:p>
    <w:p>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5. 采购方按照 IS09001—2000《质量管理体系要求》、IS014000《环境管理体系要求》、OHSASl8001《安康管理体系要求》三项标准进行全面管理。为此施工方道路清扫日常养护工作应按照采购人三大体系标准要求，加强施工过程控制，健全质量、环境等制度，指定主要领导负责相关工作，并不得污染环境。</w:t>
      </w:r>
    </w:p>
    <w:p>
      <w:pPr>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7. 若发生安全事故，由中标方承担全部责任及费用。</w:t>
      </w:r>
    </w:p>
    <w:p>
      <w:pPr>
        <w:rPr>
          <w:rFonts w:hint="default"/>
          <w:color w:val="auto"/>
          <w:highlight w:val="none"/>
          <w:lang w:val="en-US" w:eastAsia="zh-CN"/>
        </w:rPr>
      </w:pPr>
    </w:p>
    <w:p>
      <w:pPr>
        <w:pStyle w:val="18"/>
        <w:numPr>
          <w:ilvl w:val="0"/>
          <w:numId w:val="6"/>
        </w:numPr>
        <w:shd w:val="clear" w:color="auto" w:fill="FFFFFF"/>
        <w:spacing w:before="90" w:beforeAutospacing="0" w:after="90" w:afterAutospacing="0" w:line="360" w:lineRule="atLeast"/>
        <w:ind w:left="0" w:leftChars="0" w:firstLine="0" w:firstLineChars="0"/>
        <w:rPr>
          <w:rFonts w:hint="eastAsia" w:cs="宋体"/>
          <w:b/>
          <w:color w:val="auto"/>
          <w:highlight w:val="none"/>
        </w:rPr>
      </w:pPr>
      <w:r>
        <w:rPr>
          <w:rFonts w:hint="eastAsia" w:cs="宋体"/>
          <w:b/>
          <w:color w:val="auto"/>
          <w:highlight w:val="none"/>
        </w:rPr>
        <w:t>工程量清单详见附件。</w:t>
      </w:r>
    </w:p>
    <w:p>
      <w:pPr>
        <w:pStyle w:val="18"/>
        <w:numPr>
          <w:ilvl w:val="0"/>
          <w:numId w:val="6"/>
        </w:numPr>
        <w:shd w:val="clear" w:color="auto" w:fill="FFFFFF"/>
        <w:spacing w:before="90" w:beforeAutospacing="0" w:after="90" w:afterAutospacing="0" w:line="360" w:lineRule="atLeast"/>
        <w:ind w:left="0" w:leftChars="0" w:firstLine="0" w:firstLineChars="0"/>
        <w:rPr>
          <w:rFonts w:hint="eastAsia" w:cs="宋体"/>
          <w:b/>
          <w:color w:val="auto"/>
          <w:highlight w:val="none"/>
        </w:rPr>
      </w:pPr>
      <w:r>
        <w:rPr>
          <w:rFonts w:hint="eastAsia" w:cs="宋体"/>
          <w:b/>
          <w:color w:val="auto"/>
          <w:highlight w:val="none"/>
          <w:lang w:val="en-US" w:eastAsia="zh-CN"/>
        </w:rPr>
        <w:t>图纸：</w:t>
      </w:r>
      <w:r>
        <w:rPr>
          <w:rFonts w:hint="eastAsia" w:cs="宋体"/>
          <w:b/>
          <w:color w:val="auto"/>
          <w:highlight w:val="none"/>
        </w:rPr>
        <w:t>详见附件</w:t>
      </w:r>
      <w:r>
        <w:rPr>
          <w:rFonts w:hint="eastAsia" w:cs="宋体"/>
          <w:b/>
          <w:color w:val="auto"/>
          <w:highlight w:val="none"/>
          <w:lang w:eastAsia="zh-CN"/>
        </w:rPr>
        <w:t>。</w:t>
      </w:r>
    </w:p>
    <w:p>
      <w:pPr>
        <w:pStyle w:val="18"/>
        <w:shd w:val="clear" w:color="auto" w:fill="FFFFFF"/>
        <w:spacing w:before="90" w:beforeAutospacing="0" w:after="90" w:afterAutospacing="0" w:line="360" w:lineRule="atLeast"/>
        <w:ind w:firstLine="480"/>
        <w:rPr>
          <w:rFonts w:cs="宋体"/>
          <w:color w:val="auto"/>
          <w:highlight w:val="none"/>
        </w:rPr>
      </w:pPr>
    </w:p>
    <w:p>
      <w:pPr>
        <w:pStyle w:val="4"/>
        <w:numPr>
          <w:ilvl w:val="0"/>
          <w:numId w:val="0"/>
        </w:numPr>
        <w:rPr>
          <w:rFonts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第四部分．合同条款</w:t>
      </w:r>
      <w:r>
        <w:rPr>
          <w:rFonts w:hint="eastAsia" w:ascii="宋体" w:hAnsi="宋体" w:eastAsia="宋体" w:cs="宋体"/>
          <w:color w:val="auto"/>
          <w:sz w:val="24"/>
          <w:szCs w:val="24"/>
          <w:highlight w:val="none"/>
        </w:rPr>
        <w:t>(格式,磋商时不需填写）</w:t>
      </w:r>
    </w:p>
    <w:p>
      <w:pPr>
        <w:jc w:val="center"/>
        <w:rPr>
          <w:rFonts w:ascii="宋体" w:hAnsi="宋体" w:cs="宋体"/>
          <w:b/>
          <w:color w:val="auto"/>
          <w:sz w:val="52"/>
          <w:szCs w:val="52"/>
          <w:highlight w:val="none"/>
        </w:rPr>
      </w:pPr>
    </w:p>
    <w:p>
      <w:pPr>
        <w:pStyle w:val="26"/>
        <w:jc w:val="center"/>
        <w:rPr>
          <w:rFonts w:hint="eastAsia" w:ascii="Times New Roman" w:hAnsi="Times New Roman" w:eastAsia="华文中宋"/>
          <w:b/>
          <w:color w:val="auto"/>
          <w:sz w:val="72"/>
          <w:szCs w:val="52"/>
          <w:highlight w:val="none"/>
          <w:lang w:val="en-US" w:eastAsia="zh-CN"/>
        </w:rPr>
      </w:pPr>
    </w:p>
    <w:p>
      <w:pPr>
        <w:pStyle w:val="26"/>
        <w:jc w:val="center"/>
        <w:rPr>
          <w:rFonts w:hint="eastAsia" w:ascii="Times New Roman" w:hAnsi="Times New Roman" w:eastAsia="华文中宋"/>
          <w:b/>
          <w:color w:val="auto"/>
          <w:sz w:val="72"/>
          <w:szCs w:val="52"/>
          <w:highlight w:val="none"/>
          <w:lang w:val="en-US" w:eastAsia="zh-CN"/>
        </w:rPr>
      </w:pPr>
    </w:p>
    <w:p>
      <w:pPr>
        <w:pStyle w:val="26"/>
        <w:jc w:val="center"/>
        <w:rPr>
          <w:rFonts w:ascii="Times New Roman" w:hAnsi="Times New Roman" w:eastAsia="华文中宋"/>
          <w:b/>
          <w:color w:val="auto"/>
          <w:sz w:val="52"/>
          <w:szCs w:val="52"/>
          <w:highlight w:val="none"/>
        </w:rPr>
      </w:pPr>
      <w:r>
        <w:rPr>
          <w:rFonts w:hint="eastAsia" w:ascii="Times New Roman" w:hAnsi="Times New Roman" w:eastAsia="华文中宋"/>
          <w:b/>
          <w:color w:val="auto"/>
          <w:sz w:val="72"/>
          <w:szCs w:val="52"/>
          <w:highlight w:val="none"/>
          <w:lang w:val="en-US" w:eastAsia="zh-CN"/>
        </w:rPr>
        <w:t>政府采购</w:t>
      </w:r>
      <w:r>
        <w:rPr>
          <w:rFonts w:ascii="Times New Roman" w:hAnsi="Times New Roman" w:eastAsia="华文中宋"/>
          <w:b/>
          <w:color w:val="auto"/>
          <w:sz w:val="72"/>
          <w:szCs w:val="52"/>
          <w:highlight w:val="none"/>
        </w:rPr>
        <w:t>施工合同</w:t>
      </w:r>
      <w:r>
        <w:rPr>
          <w:rFonts w:ascii="Times New Roman" w:hAnsi="Times New Roman" w:eastAsia="华文中宋"/>
          <w:b/>
          <w:color w:val="auto"/>
          <w:sz w:val="52"/>
          <w:szCs w:val="52"/>
          <w:highlight w:val="none"/>
        </w:rPr>
        <w:br w:type="textWrapping"/>
      </w:r>
      <w:r>
        <w:rPr>
          <w:rFonts w:ascii="Times New Roman" w:hAnsi="Times New Roman" w:eastAsia="华文中宋"/>
          <w:b/>
          <w:color w:val="auto"/>
          <w:sz w:val="52"/>
          <w:szCs w:val="52"/>
          <w:highlight w:val="none"/>
        </w:rPr>
        <w:t>（示范文本）</w:t>
      </w:r>
    </w:p>
    <w:p>
      <w:pPr>
        <w:jc w:val="center"/>
        <w:rPr>
          <w:rFonts w:ascii="宋体" w:hAnsi="宋体"/>
          <w:b/>
          <w:color w:val="auto"/>
          <w:sz w:val="52"/>
          <w:szCs w:val="52"/>
          <w:highlight w:val="none"/>
        </w:rPr>
      </w:pPr>
    </w:p>
    <w:p>
      <w:pPr>
        <w:jc w:val="center"/>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pStyle w:val="19"/>
        <w:keepNext w:val="0"/>
        <w:keepLines w:val="0"/>
        <w:pageBreakBefore/>
        <w:widowControl w:val="0"/>
        <w:kinsoku/>
        <w:wordWrap/>
        <w:overflowPunct/>
        <w:topLinePunct w:val="0"/>
        <w:autoSpaceDE/>
        <w:autoSpaceDN/>
        <w:bidi w:val="0"/>
        <w:adjustRightInd w:val="0"/>
        <w:snapToGrid/>
        <w:spacing w:line="420" w:lineRule="exact"/>
        <w:ind w:left="0" w:leftChars="0" w:firstLine="0" w:firstLineChars="0"/>
        <w:jc w:val="center"/>
        <w:textAlignment w:val="baseline"/>
        <w:rPr>
          <w:rFonts w:hint="eastAsia"/>
          <w:color w:val="auto"/>
          <w:sz w:val="44"/>
          <w:szCs w:val="44"/>
          <w:highlight w:val="none"/>
        </w:rPr>
      </w:pPr>
      <w:bookmarkStart w:id="2" w:name="_Toc311627699"/>
      <w:bookmarkStart w:id="3" w:name="_Toc267475113"/>
      <w:bookmarkStart w:id="4" w:name="_Toc263777212"/>
      <w:r>
        <w:rPr>
          <w:rFonts w:hint="eastAsia"/>
          <w:color w:val="auto"/>
          <w:sz w:val="44"/>
          <w:szCs w:val="44"/>
          <w:highlight w:val="none"/>
        </w:rPr>
        <w:t>第一部分　</w:t>
      </w:r>
      <w:bookmarkStart w:id="5" w:name="_Toc277937723"/>
      <w:bookmarkStart w:id="6" w:name="_Toc276025319"/>
      <w:r>
        <w:rPr>
          <w:rFonts w:hint="eastAsia"/>
          <w:color w:val="auto"/>
          <w:sz w:val="44"/>
          <w:szCs w:val="44"/>
          <w:highlight w:val="none"/>
        </w:rPr>
        <w:t>合同协议书</w:t>
      </w:r>
      <w:bookmarkEnd w:id="2"/>
      <w:bookmarkEnd w:id="5"/>
      <w:bookmarkEnd w:id="6"/>
    </w:p>
    <w:p>
      <w:pPr>
        <w:pageBreakBefore w:val="0"/>
        <w:widowControl w:val="0"/>
        <w:kinsoku/>
        <w:wordWrap/>
        <w:overflowPunct/>
        <w:topLinePunct w:val="0"/>
        <w:autoSpaceDE/>
        <w:autoSpaceDN/>
        <w:bidi w:val="0"/>
        <w:adjustRightInd w:val="0"/>
        <w:snapToGrid/>
        <w:spacing w:line="420" w:lineRule="exact"/>
        <w:rPr>
          <w:rFonts w:hint="eastAsia" w:ascii="宋体" w:hAnsi="宋体" w:eastAsia="宋体" w:cs="宋体"/>
          <w:b/>
          <w:color w:val="auto"/>
          <w:spacing w:val="12"/>
          <w:sz w:val="24"/>
          <w:szCs w:val="24"/>
          <w:highlight w:val="none"/>
          <w:u w:val="single"/>
        </w:rPr>
      </w:pPr>
      <w:r>
        <w:rPr>
          <w:rFonts w:hint="eastAsia" w:ascii="宋体" w:hAnsi="宋体" w:eastAsia="宋体" w:cs="宋体"/>
          <w:b/>
          <w:color w:val="auto"/>
          <w:spacing w:val="12"/>
          <w:sz w:val="24"/>
          <w:szCs w:val="24"/>
          <w:highlight w:val="none"/>
        </w:rPr>
        <w:t>发包人(全称)：</w:t>
      </w:r>
      <w:r>
        <w:rPr>
          <w:rFonts w:hint="eastAsia" w:ascii="宋体" w:hAnsi="宋体" w:eastAsia="宋体" w:cs="宋体"/>
          <w:b/>
          <w:bCs/>
          <w:color w:val="auto"/>
          <w:kern w:val="0"/>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pacing w:val="12"/>
          <w:sz w:val="24"/>
          <w:szCs w:val="24"/>
          <w:highlight w:val="none"/>
        </w:rPr>
        <w:t>承包人(全称)：</w:t>
      </w:r>
      <w:r>
        <w:rPr>
          <w:rFonts w:hint="eastAsia" w:ascii="宋体" w:hAnsi="宋体" w:eastAsia="宋体" w:cs="宋体"/>
          <w:b/>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600" w:firstLineChars="200"/>
        <w:rPr>
          <w:rFonts w:hint="eastAsia" w:ascii="宋体" w:hAnsi="宋体" w:eastAsia="宋体" w:cs="宋体"/>
          <w:color w:val="auto"/>
          <w:sz w:val="24"/>
          <w:szCs w:val="24"/>
          <w:highlight w:val="none"/>
        </w:rPr>
      </w:pPr>
      <w:r>
        <w:rPr>
          <w:rFonts w:hint="eastAsia" w:ascii="宋体" w:hAnsi="宋体" w:eastAsia="宋体" w:cs="宋体"/>
          <w:bCs/>
          <w:color w:val="auto"/>
          <w:spacing w:val="30"/>
          <w:sz w:val="24"/>
          <w:szCs w:val="24"/>
          <w:highlight w:val="none"/>
        </w:rPr>
        <w:t>根据</w:t>
      </w:r>
      <w:r>
        <w:rPr>
          <w:rFonts w:hint="eastAsia" w:ascii="宋体" w:hAnsi="宋体" w:eastAsia="宋体" w:cs="宋体"/>
          <w:color w:val="auto"/>
          <w:sz w:val="24"/>
          <w:szCs w:val="24"/>
          <w:highlight w:val="none"/>
        </w:rPr>
        <w:t>《中华人民共和国招标投标法》、《中华人民共和国建筑法》及其他有关法律规定，遵循平等、自愿、公平和诚实信用的原则，双方就工程施工及有关事项协商一致，共同达成如下协议。</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1、项目名称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4、资金来源：</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5、工程内容：</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6、工程承包范围</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二、合同工期</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天，工期总天数日历天数与根据前述计划开竣工日期计算的工期天数不一致的，以工期总日历天数为准。</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三、质量标准</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工程质量符合标准：</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四、签订合同价与合同价格形式：</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     元</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pPr>
        <w:pageBreakBefore w:val="0"/>
        <w:widowControl w:val="0"/>
        <w:kinsoku/>
        <w:wordWrap/>
        <w:overflowPunct/>
        <w:topLinePunct w:val="0"/>
        <w:autoSpaceDE/>
        <w:autoSpaceDN/>
        <w:bidi w:val="0"/>
        <w:snapToGrid/>
        <w:spacing w:line="42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w:t>
      </w:r>
    </w:p>
    <w:p>
      <w:pPr>
        <w:pageBreakBefore w:val="0"/>
        <w:widowControl w:val="0"/>
        <w:kinsoku/>
        <w:wordWrap/>
        <w:overflowPunct/>
        <w:topLinePunct w:val="0"/>
        <w:autoSpaceDE/>
        <w:autoSpaceDN/>
        <w:bidi w:val="0"/>
        <w:snapToGrid/>
        <w:spacing w:line="420" w:lineRule="exact"/>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w:t>
      </w:r>
    </w:p>
    <w:p>
      <w:pPr>
        <w:pageBreakBefore w:val="0"/>
        <w:widowControl w:val="0"/>
        <w:kinsoku/>
        <w:wordWrap/>
        <w:overflowPunct/>
        <w:topLinePunct w:val="0"/>
        <w:autoSpaceDE/>
        <w:autoSpaceDN/>
        <w:bidi w:val="0"/>
        <w:snapToGrid/>
        <w:spacing w:line="42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pPr>
        <w:pageBreakBefore w:val="0"/>
        <w:widowControl w:val="0"/>
        <w:kinsoku/>
        <w:wordWrap/>
        <w:overflowPunct/>
        <w:topLinePunct w:val="0"/>
        <w:autoSpaceDE/>
        <w:autoSpaceDN/>
        <w:bidi w:val="0"/>
        <w:snapToGrid/>
        <w:spacing w:line="420" w:lineRule="exact"/>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rPr>
        <w:t>固定单价合同。</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五、承包人项目经理：</w:t>
      </w:r>
    </w:p>
    <w:p>
      <w:pPr>
        <w:pageBreakBefore w:val="0"/>
        <w:widowControl w:val="0"/>
        <w:kinsoku/>
        <w:wordWrap/>
        <w:overflowPunct/>
        <w:topLinePunct w:val="0"/>
        <w:autoSpaceDE/>
        <w:autoSpaceDN/>
        <w:bidi w:val="0"/>
        <w:adjustRightInd w:val="0"/>
        <w:snapToGrid/>
        <w:spacing w:line="42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lang w:val="en-US" w:eastAsia="zh-CN"/>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六、合同文件的组成</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2、投标书及其附件；</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pageBreakBefore w:val="0"/>
        <w:widowControl w:val="0"/>
        <w:kinsoku/>
        <w:wordWrap/>
        <w:overflowPunct/>
        <w:topLinePunct w:val="0"/>
        <w:autoSpaceDE/>
        <w:autoSpaceDN/>
        <w:bidi w:val="0"/>
        <w:adjustRightInd w:val="0"/>
        <w:snapToGrid/>
        <w:spacing w:after="120" w:afterLines="5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pageBreakBefore w:val="0"/>
        <w:widowControl w:val="0"/>
        <w:kinsoku/>
        <w:wordWrap/>
        <w:overflowPunct/>
        <w:topLinePunct w:val="0"/>
        <w:autoSpaceDE/>
        <w:autoSpaceDN/>
        <w:bidi w:val="0"/>
        <w:adjustRightInd w:val="0"/>
        <w:snapToGrid/>
        <w:spacing w:after="120" w:afterLines="5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合同在订立及履行过程中形成的与合同有关的文件均构成合同文件组成部分。</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上述各项合同文件包括合同当事人就该项合同文件所作出的补充和修改，属于同一类内容的文件，应以最新签署的为准。专用合同条款及其附件需经合同当事人签字或盖章。</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bookmarkStart w:id="7" w:name="_Toc351203487"/>
      <w:r>
        <w:rPr>
          <w:rFonts w:hint="eastAsia" w:ascii="宋体" w:hAnsi="宋体" w:eastAsia="宋体" w:cs="宋体"/>
          <w:color w:val="auto"/>
          <w:sz w:val="24"/>
          <w:szCs w:val="24"/>
          <w:highlight w:val="none"/>
        </w:rPr>
        <w:t>七、承诺</w:t>
      </w:r>
      <w:bookmarkEnd w:id="7"/>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bookmarkStart w:id="8" w:name="_Toc351203488"/>
      <w:r>
        <w:rPr>
          <w:rFonts w:hint="eastAsia" w:ascii="宋体" w:hAnsi="宋体" w:eastAsia="宋体" w:cs="宋体"/>
          <w:color w:val="auto"/>
          <w:sz w:val="24"/>
          <w:szCs w:val="24"/>
          <w:highlight w:val="none"/>
        </w:rPr>
        <w:t>八、词语含义</w:t>
      </w:r>
      <w:bookmarkEnd w:id="8"/>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pStyle w:val="10"/>
        <w:pageBreakBefore w:val="0"/>
        <w:widowControl w:val="0"/>
        <w:kinsoku/>
        <w:wordWrap/>
        <w:overflowPunct/>
        <w:topLinePunct w:val="0"/>
        <w:autoSpaceDE/>
        <w:autoSpaceDN/>
        <w:bidi w:val="0"/>
        <w:snapToGrid/>
        <w:spacing w:line="420" w:lineRule="exact"/>
        <w:ind w:left="1687" w:leftChars="209" w:hanging="1248" w:hangingChars="520"/>
        <w:rPr>
          <w:rFonts w:hint="eastAsia" w:ascii="宋体" w:hAnsi="宋体" w:eastAsia="宋体" w:cs="宋体"/>
          <w:color w:val="auto"/>
          <w:sz w:val="24"/>
          <w:szCs w:val="24"/>
          <w:highlight w:val="none"/>
        </w:rPr>
      </w:pPr>
      <w:bookmarkStart w:id="9" w:name="_Toc351203489"/>
      <w:r>
        <w:rPr>
          <w:rFonts w:hint="eastAsia" w:ascii="宋体" w:hAnsi="宋体" w:eastAsia="宋体" w:cs="宋体"/>
          <w:color w:val="auto"/>
          <w:sz w:val="24"/>
          <w:szCs w:val="24"/>
          <w:highlight w:val="none"/>
        </w:rPr>
        <w:t>九、签订时间</w:t>
      </w:r>
      <w:bookmarkEnd w:id="9"/>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pStyle w:val="1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 w:val="24"/>
          <w:szCs w:val="24"/>
          <w:highlight w:val="none"/>
        </w:rPr>
      </w:pPr>
      <w:bookmarkStart w:id="10" w:name="_Toc351203490"/>
      <w:r>
        <w:rPr>
          <w:rFonts w:hint="eastAsia" w:ascii="宋体" w:hAnsi="宋体" w:eastAsia="宋体" w:cs="宋体"/>
          <w:color w:val="auto"/>
          <w:sz w:val="24"/>
          <w:szCs w:val="24"/>
          <w:highlight w:val="none"/>
        </w:rPr>
        <w:t>十、签订地点</w:t>
      </w:r>
      <w:bookmarkEnd w:id="10"/>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1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 w:val="24"/>
          <w:szCs w:val="24"/>
          <w:highlight w:val="none"/>
        </w:rPr>
      </w:pPr>
      <w:bookmarkStart w:id="11" w:name="_Toc351203491"/>
      <w:r>
        <w:rPr>
          <w:rFonts w:hint="eastAsia" w:ascii="宋体" w:hAnsi="宋体" w:eastAsia="宋体" w:cs="宋体"/>
          <w:color w:val="auto"/>
          <w:sz w:val="24"/>
          <w:szCs w:val="24"/>
          <w:highlight w:val="none"/>
        </w:rPr>
        <w:t>十一、补充协议</w:t>
      </w:r>
      <w:bookmarkEnd w:id="11"/>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1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 w:val="24"/>
          <w:szCs w:val="24"/>
          <w:highlight w:val="none"/>
        </w:rPr>
      </w:pPr>
      <w:bookmarkStart w:id="12" w:name="_Toc351203492"/>
      <w:r>
        <w:rPr>
          <w:rFonts w:hint="eastAsia" w:ascii="宋体" w:hAnsi="宋体" w:eastAsia="宋体" w:cs="宋体"/>
          <w:color w:val="auto"/>
          <w:sz w:val="24"/>
          <w:szCs w:val="24"/>
          <w:highlight w:val="none"/>
        </w:rPr>
        <w:t>十二、合同生效</w:t>
      </w:r>
      <w:bookmarkEnd w:id="12"/>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szCs w:val="24"/>
          <w:highlight w:val="none"/>
          <w:u w:val="single"/>
          <w:lang w:eastAsia="zh-CN"/>
        </w:rPr>
        <w:t>双方</w:t>
      </w:r>
      <w:r>
        <w:rPr>
          <w:rFonts w:hint="eastAsia" w:ascii="宋体" w:hAnsi="宋体" w:cs="宋体"/>
          <w:color w:val="auto"/>
          <w:sz w:val="24"/>
          <w:szCs w:val="24"/>
          <w:highlight w:val="none"/>
          <w:u w:val="single"/>
        </w:rPr>
        <w:t>签字盖章并经见证后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pPr>
        <w:pStyle w:val="1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 w:val="24"/>
          <w:szCs w:val="24"/>
          <w:highlight w:val="none"/>
        </w:rPr>
      </w:pPr>
      <w:bookmarkStart w:id="13" w:name="_Toc351203493"/>
      <w:r>
        <w:rPr>
          <w:rFonts w:hint="eastAsia" w:ascii="宋体" w:hAnsi="宋体" w:eastAsia="宋体" w:cs="宋体"/>
          <w:color w:val="auto"/>
          <w:sz w:val="24"/>
          <w:szCs w:val="24"/>
          <w:highlight w:val="none"/>
        </w:rPr>
        <w:t>十三、合同份数</w:t>
      </w:r>
      <w:bookmarkEnd w:id="13"/>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见证方</w:t>
      </w:r>
      <w:r>
        <w:rPr>
          <w:rFonts w:hint="eastAsia" w:ascii="宋体" w:hAnsi="宋体" w:eastAsia="宋体" w:cs="宋体"/>
          <w:bCs/>
          <w:color w:val="auto"/>
          <w:sz w:val="24"/>
          <w:szCs w:val="24"/>
          <w:highlight w:val="none"/>
        </w:rPr>
        <w:t>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u w:val="single"/>
        </w:rPr>
      </w:pP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u w:val="single"/>
        </w:rPr>
      </w:pPr>
    </w:p>
    <w:p>
      <w:pPr>
        <w:pageBreakBefore w:val="0"/>
        <w:widowControl w:val="0"/>
        <w:tabs>
          <w:tab w:val="left" w:pos="4410"/>
        </w:tabs>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住所：</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p>
    <w:p>
      <w:pPr>
        <w:pageBreakBefore w:val="0"/>
        <w:widowControl w:val="0"/>
        <w:kinsoku/>
        <w:wordWrap/>
        <w:overflowPunct/>
        <w:topLinePunct w:val="0"/>
        <w:autoSpaceDE/>
        <w:autoSpaceDN/>
        <w:bidi w:val="0"/>
        <w:adjustRightInd w:val="0"/>
        <w:snapToGrid/>
        <w:spacing w:line="420" w:lineRule="exact"/>
        <w:ind w:firstLine="480" w:firstLineChars="200"/>
        <w:rPr>
          <w:rFonts w:hint="eastAsia" w:ascii="宋体" w:hAnsi="宋体" w:eastAsia="宋体" w:cs="宋体"/>
          <w:bCs/>
          <w:color w:val="auto"/>
          <w:sz w:val="24"/>
          <w:szCs w:val="24"/>
          <w:highlight w:val="none"/>
        </w:rPr>
      </w:pPr>
    </w:p>
    <w:p>
      <w:pPr>
        <w:pStyle w:val="6"/>
        <w:pageBreakBefore w:val="0"/>
        <w:widowControl w:val="0"/>
        <w:kinsoku/>
        <w:wordWrap/>
        <w:overflowPunct/>
        <w:topLinePunct w:val="0"/>
        <w:autoSpaceDE/>
        <w:autoSpaceDN/>
        <w:bidi w:val="0"/>
        <w:snapToGrid/>
        <w:spacing w:line="420" w:lineRule="exact"/>
        <w:ind w:firstLine="241" w:firstLineChars="100"/>
        <w:rPr>
          <w:rFonts w:hint="eastAsia" w:ascii="宋体" w:hAnsi="宋体" w:eastAsia="宋体" w:cs="宋体"/>
          <w:color w:val="auto"/>
          <w:sz w:val="24"/>
          <w:szCs w:val="24"/>
          <w:highlight w:val="none"/>
          <w:u w:val="none"/>
          <w:lang w:val="en-US" w:eastAsia="zh-CN"/>
        </w:rPr>
      </w:pPr>
    </w:p>
    <w:p>
      <w:pPr>
        <w:pStyle w:val="6"/>
        <w:pageBreakBefore w:val="0"/>
        <w:widowControl w:val="0"/>
        <w:kinsoku/>
        <w:wordWrap/>
        <w:overflowPunct/>
        <w:topLinePunct w:val="0"/>
        <w:autoSpaceDE/>
        <w:autoSpaceDN/>
        <w:bidi w:val="0"/>
        <w:snapToGrid/>
        <w:spacing w:line="420" w:lineRule="exact"/>
        <w:ind w:firstLine="241" w:firstLineChars="1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见证章：</w:t>
      </w:r>
      <w:bookmarkEnd w:id="3"/>
      <w:bookmarkEnd w:id="4"/>
      <w:bookmarkStart w:id="14" w:name="_Toc311627700"/>
    </w:p>
    <w:p>
      <w:pPr>
        <w:pStyle w:val="6"/>
        <w:jc w:val="center"/>
        <w:rPr>
          <w:rFonts w:hint="eastAsia"/>
          <w:color w:val="auto"/>
          <w:highlight w:val="none"/>
        </w:rPr>
      </w:pPr>
      <w:r>
        <w:rPr>
          <w:rFonts w:hint="eastAsia"/>
          <w:color w:val="auto"/>
          <w:highlight w:val="none"/>
          <w:u w:val="none"/>
          <w:lang w:val="en-US" w:eastAsia="zh-CN"/>
        </w:rPr>
        <w:br w:type="page"/>
      </w:r>
      <w:r>
        <w:rPr>
          <w:rFonts w:hint="eastAsia"/>
          <w:color w:val="auto"/>
          <w:highlight w:val="none"/>
        </w:rPr>
        <w:t>第二部分　通用条款</w:t>
      </w:r>
      <w:bookmarkEnd w:id="14"/>
    </w:p>
    <w:p>
      <w:pPr>
        <w:adjustRightIn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按照住房和城乡建设部、国家工商行政管理总局制定的《建设工程施工合同（示范文本）》（GF-2013-0201）第二部分通用合同条款执行。</w:t>
      </w:r>
    </w:p>
    <w:p>
      <w:pPr>
        <w:pStyle w:val="6"/>
        <w:jc w:val="center"/>
        <w:rPr>
          <w:color w:val="auto"/>
          <w:highlight w:val="none"/>
        </w:rPr>
      </w:pPr>
      <w:bookmarkStart w:id="15" w:name="_Toc311627701"/>
      <w:r>
        <w:rPr>
          <w:rFonts w:hint="eastAsia"/>
          <w:color w:val="auto"/>
          <w:highlight w:val="none"/>
        </w:rPr>
        <w:t>第三部分　专用条款</w:t>
      </w:r>
      <w:bookmarkEnd w:id="15"/>
    </w:p>
    <w:p>
      <w:pPr>
        <w:pStyle w:val="9"/>
        <w:rPr>
          <w:color w:val="auto"/>
          <w:highlight w:val="none"/>
        </w:rPr>
      </w:pPr>
      <w:bookmarkStart w:id="16" w:name="_Toc351203633"/>
      <w:r>
        <w:rPr>
          <w:color w:val="auto"/>
          <w:highlight w:val="none"/>
        </w:rPr>
        <w:t>1</w:t>
      </w:r>
      <w:bookmarkStart w:id="17" w:name="_Toc296891196"/>
      <w:bookmarkStart w:id="18" w:name="_Toc296503156"/>
      <w:bookmarkStart w:id="19" w:name="_Toc296347155"/>
      <w:bookmarkStart w:id="20" w:name="_Toc296890984"/>
      <w:bookmarkStart w:id="21" w:name="_Toc297120456"/>
      <w:bookmarkStart w:id="22" w:name="_Toc292559866"/>
      <w:bookmarkStart w:id="23" w:name="_Toc296944495"/>
      <w:bookmarkStart w:id="24" w:name="_Toc297048342"/>
      <w:bookmarkStart w:id="25" w:name="_Toc296346657"/>
      <w:bookmarkStart w:id="26" w:name="_Toc292559361"/>
      <w:r>
        <w:rPr>
          <w:color w:val="auto"/>
          <w:highlight w:val="none"/>
        </w:rPr>
        <w:t>. 一般约定</w:t>
      </w:r>
      <w:bookmarkEnd w:id="16"/>
    </w:p>
    <w:bookmarkEnd w:id="17"/>
    <w:bookmarkEnd w:id="18"/>
    <w:bookmarkEnd w:id="19"/>
    <w:bookmarkEnd w:id="20"/>
    <w:bookmarkEnd w:id="21"/>
    <w:bookmarkEnd w:id="22"/>
    <w:bookmarkEnd w:id="23"/>
    <w:bookmarkEnd w:id="24"/>
    <w:bookmarkEnd w:id="25"/>
    <w:bookmarkEnd w:id="26"/>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 词语定义</w:t>
      </w:r>
    </w:p>
    <w:p>
      <w:pPr>
        <w:adjustRightInd w:val="0"/>
        <w:spacing w:line="40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1.1.1合同</w:t>
      </w:r>
    </w:p>
    <w:p>
      <w:pPr>
        <w:pStyle w:val="33"/>
        <w:spacing w:before="0" w:after="0" w:line="400" w:lineRule="exact"/>
        <w:ind w:left="0" w:right="0" w:firstLine="440" w:firstLineChars="200"/>
        <w:rPr>
          <w:rFonts w:hint="eastAsia" w:ascii="宋体" w:hAnsi="宋体"/>
          <w:color w:val="auto"/>
          <w:sz w:val="22"/>
          <w:szCs w:val="22"/>
          <w:highlight w:val="none"/>
        </w:rPr>
      </w:pPr>
      <w:r>
        <w:rPr>
          <w:rFonts w:ascii="宋体" w:hAnsi="宋体"/>
          <w:color w:val="auto"/>
          <w:sz w:val="22"/>
          <w:szCs w:val="22"/>
          <w:highlight w:val="none"/>
        </w:rPr>
        <w:t>1.1.1.10其他合同文件包括：</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(1)补充协议书（如有）；（2）招标文件及招标期间发包人回复异议资料（投标答疑） (如有)； (3) 发包人或发包人委托的第三方编制的工程量清单及编制说明； (4)图纸答疑及图纸交底资料；（5）专用合同条款的补充条款(6)其他与本合同有关的文件</w:t>
      </w:r>
    </w:p>
    <w:p>
      <w:pPr>
        <w:pStyle w:val="33"/>
        <w:spacing w:before="0" w:after="0" w:line="400" w:lineRule="exact"/>
        <w:ind w:left="0" w:right="0" w:firstLine="440" w:firstLineChars="200"/>
        <w:rPr>
          <w:rFonts w:ascii="宋体" w:hAnsi="宋体"/>
          <w:color w:val="auto"/>
          <w:sz w:val="22"/>
          <w:szCs w:val="22"/>
          <w:highlight w:val="none"/>
        </w:rPr>
      </w:pPr>
      <w:r>
        <w:rPr>
          <w:rFonts w:ascii="宋体" w:hAnsi="宋体"/>
          <w:color w:val="auto"/>
          <w:sz w:val="22"/>
          <w:szCs w:val="22"/>
          <w:highlight w:val="none"/>
        </w:rPr>
        <w:t>1.1.2 合同当事人及其他相关方</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1.1.2.4监理人：</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名    称</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资质类别和等级：</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hint="eastAsia" w:ascii="MingLiU_HKSCS" w:hAnsi="MingLiU_HKSCS" w:cs="MingLiU_HKSCS"/>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hint="eastAsia" w:ascii="MingLiU_HKSCS" w:hAnsi="MingLiU_HKSCS" w:cs="MingLiU_HKSCS"/>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hint="eastAsia" w:ascii="MingLiU_HKSCS" w:hAnsi="MingLiU_HKSCS" w:cs="MingLiU_HKSCS"/>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1.1.2.5 设计人：</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名    称：</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资质类别和等级：</w:t>
      </w:r>
      <w:r>
        <w:rPr>
          <w:rFonts w:hint="eastAsia" w:ascii="MingLiU_HKSCS" w:hAnsi="MingLiU_HKSCS" w:cs="MingLiU_HKSCS"/>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hint="eastAsia" w:ascii="MingLiU_HKSCS" w:hAnsi="MingLiU_HKSCS" w:cs="MingLiU_HKSCS"/>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hint="eastAsia" w:ascii="宋体" w:hAnsi="宋体"/>
          <w:color w:val="auto"/>
          <w:sz w:val="22"/>
          <w:szCs w:val="22"/>
          <w:highlight w:val="none"/>
          <w:u w:val="single"/>
        </w:rPr>
        <w:t xml:space="preserve">            </w:t>
      </w:r>
      <w:r>
        <w:rPr>
          <w:rFonts w:hint="eastAsia" w:ascii="MingLiU_HKSCS" w:hAnsi="MingLiU_HKSCS" w:cs="MingLiU_HKSCS"/>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通信地址：</w:t>
      </w:r>
      <w:r>
        <w:rPr>
          <w:rFonts w:hint="eastAsia" w:ascii="MingLiU_HKSCS" w:hAnsi="MingLiU_HKSCS" w:cs="MingLiU_HKSCS"/>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1.1.3 工程和设备</w:t>
      </w:r>
    </w:p>
    <w:p>
      <w:pPr>
        <w:adjustRightInd w:val="0"/>
        <w:spacing w:line="400" w:lineRule="exact"/>
        <w:ind w:firstLine="440" w:firstLineChars="200"/>
        <w:rPr>
          <w:rFonts w:hint="eastAsia" w:ascii="宋体" w:hAnsi="宋体"/>
          <w:color w:val="auto"/>
          <w:sz w:val="22"/>
          <w:szCs w:val="22"/>
          <w:highlight w:val="none"/>
          <w:u w:val="single"/>
        </w:rPr>
      </w:pPr>
      <w:r>
        <w:rPr>
          <w:rFonts w:ascii="宋体" w:hAnsi="宋体"/>
          <w:color w:val="auto"/>
          <w:sz w:val="22"/>
          <w:szCs w:val="22"/>
          <w:highlight w:val="none"/>
        </w:rPr>
        <w:t>1.1.3.7 作为施工现场组成部分的其他场所包括：</w:t>
      </w:r>
      <w:r>
        <w:rPr>
          <w:rFonts w:hint="eastAsia" w:ascii="宋体" w:hAnsi="宋体"/>
          <w:color w:val="auto"/>
          <w:sz w:val="22"/>
          <w:szCs w:val="22"/>
          <w:highlight w:val="none"/>
          <w:u w:val="single"/>
        </w:rPr>
        <w:t>符合通用条款规定的发包方提供的施工场地</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1.1.3.9 永久占地包括：</w:t>
      </w:r>
      <w:r>
        <w:rPr>
          <w:rFonts w:hint="eastAsia" w:ascii="宋体" w:hAnsi="宋体"/>
          <w:color w:val="auto"/>
          <w:sz w:val="22"/>
          <w:szCs w:val="22"/>
          <w:highlight w:val="none"/>
          <w:u w:val="single"/>
        </w:rPr>
        <w:t>依据设计图纸确定</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1.1.3.10 临时占地包括：</w:t>
      </w:r>
      <w:r>
        <w:rPr>
          <w:rFonts w:hint="eastAsia" w:ascii="宋体" w:hAnsi="宋体"/>
          <w:color w:val="auto"/>
          <w:sz w:val="22"/>
          <w:szCs w:val="22"/>
          <w:highlight w:val="none"/>
          <w:u w:val="single"/>
        </w:rPr>
        <w:t>双方在合同履行过程中确定</w:t>
      </w:r>
      <w:r>
        <w:rPr>
          <w:rFonts w:ascii="宋体" w:hAnsi="宋体"/>
          <w:color w:val="auto"/>
          <w:kern w:val="0"/>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 xml:space="preserve">1.3法律 </w:t>
      </w:r>
    </w:p>
    <w:p>
      <w:pPr>
        <w:adjustRightInd w:val="0"/>
        <w:spacing w:line="400" w:lineRule="exact"/>
        <w:ind w:firstLine="440" w:firstLineChars="200"/>
        <w:rPr>
          <w:rFonts w:ascii="宋体" w:hAnsi="宋体"/>
          <w:bCs/>
          <w:color w:val="auto"/>
          <w:sz w:val="22"/>
          <w:szCs w:val="22"/>
          <w:highlight w:val="none"/>
          <w:u w:val="single"/>
        </w:rPr>
      </w:pPr>
      <w:r>
        <w:rPr>
          <w:rFonts w:ascii="宋体" w:hAnsi="宋体"/>
          <w:color w:val="auto"/>
          <w:sz w:val="22"/>
          <w:szCs w:val="22"/>
          <w:highlight w:val="none"/>
        </w:rPr>
        <w:t>适用于合同的其他规范性文件：</w:t>
      </w:r>
      <w:r>
        <w:rPr>
          <w:rFonts w:hint="eastAsia" w:ascii="宋体" w:hAnsi="宋体"/>
          <w:bCs/>
          <w:color w:val="auto"/>
          <w:sz w:val="22"/>
          <w:szCs w:val="22"/>
          <w:highlight w:val="none"/>
          <w:u w:val="single"/>
        </w:rPr>
        <w:t>执行通用条款,其他按《中华人民共和国合同法》、《中华人民共和国建筑法》、《建设工程质量管理条例》、《中华人民共和国招标投标法》、《工程建设项目施工招标投标办法》（七部委30号令）、《江苏省工程建设管理条例》、《建设工程施工发包与承包价格管理暂行规定》、《工程量清单计价规范》、其他法律法规以及江苏省和无锡市行业主管部门颁布的相关文件规定，如地方法规与国家法规相抵触，按国家法规执行。如本合同中所提及各种法律、行政法规、部门规章、工程所在地的地方性法规、自治条例、单行条例、地方政府规章、其他规范性文件如已经终止、失效或被更新，双方在适用时，均应自动适用现行有效的最新版本。</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 标准和规范</w:t>
      </w:r>
    </w:p>
    <w:p>
      <w:pPr>
        <w:adjustRightInd w:val="0"/>
        <w:snapToGri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1.4.1适用于工程的标准规范包括：</w:t>
      </w:r>
      <w:r>
        <w:rPr>
          <w:rFonts w:hint="eastAsia" w:ascii="宋体" w:hAnsi="宋体"/>
          <w:bCs/>
          <w:color w:val="auto"/>
          <w:kern w:val="0"/>
          <w:sz w:val="22"/>
          <w:szCs w:val="22"/>
          <w:highlight w:val="none"/>
          <w:u w:val="single"/>
        </w:rPr>
        <w:t>现行工程施工标准规范以及质量验收标准及规范。以上各类标准、规范、技术标准之间规定不一致的，以较严格者为准；无法判定“较严格者”的，以发包人的书面决定为准。国内没有相应标准、规范的，由发包人向各分部分项工程正式施工前向承包人提出施工技术要求。如本合同中所提及的各种标准、规范已经终止、失效或被更新，双方在适用时，均应自动适用相应标准、规范现行有效的最新版本。</w:t>
      </w:r>
    </w:p>
    <w:p>
      <w:pPr>
        <w:adjustRightInd w:val="0"/>
        <w:spacing w:line="40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1.4.2 发包人提供国外标准、规范的名称：</w:t>
      </w:r>
      <w:r>
        <w:rPr>
          <w:rFonts w:hint="eastAsia" w:ascii="宋体" w:hAnsi="宋体"/>
          <w:color w:val="auto"/>
          <w:kern w:val="0"/>
          <w:sz w:val="22"/>
          <w:szCs w:val="22"/>
          <w:highlight w:val="none"/>
          <w:u w:val="single"/>
        </w:rPr>
        <w:t>如有涉及，双方另行协商</w:t>
      </w:r>
      <w:r>
        <w:rPr>
          <w:rFonts w:ascii="宋体" w:hAnsi="宋体"/>
          <w:color w:val="auto"/>
          <w:kern w:val="0"/>
          <w:sz w:val="22"/>
          <w:szCs w:val="22"/>
          <w:highlight w:val="none"/>
        </w:rPr>
        <w:t>；</w:t>
      </w:r>
    </w:p>
    <w:p>
      <w:pPr>
        <w:adjustRightInd w:val="0"/>
        <w:spacing w:line="40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发包人提供国外标准、规范的份数：</w:t>
      </w:r>
      <w:r>
        <w:rPr>
          <w:rFonts w:hint="eastAsia" w:ascii="宋体" w:hAnsi="宋体"/>
          <w:color w:val="auto"/>
          <w:kern w:val="0"/>
          <w:sz w:val="22"/>
          <w:szCs w:val="22"/>
          <w:highlight w:val="none"/>
          <w:u w:val="single"/>
        </w:rPr>
        <w:t>如有涉及，双方另行协商</w:t>
      </w:r>
      <w:r>
        <w:rPr>
          <w:rFonts w:ascii="宋体" w:hAnsi="宋体"/>
          <w:color w:val="auto"/>
          <w:kern w:val="0"/>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kern w:val="0"/>
          <w:sz w:val="22"/>
          <w:szCs w:val="22"/>
          <w:highlight w:val="none"/>
        </w:rPr>
        <w:t>发包人提供国外标准、规范的名称：</w:t>
      </w:r>
      <w:r>
        <w:rPr>
          <w:rFonts w:hint="eastAsia" w:ascii="宋体" w:hAnsi="宋体"/>
          <w:color w:val="auto"/>
          <w:kern w:val="0"/>
          <w:sz w:val="22"/>
          <w:szCs w:val="22"/>
          <w:highlight w:val="none"/>
          <w:u w:val="single"/>
        </w:rPr>
        <w:t>如有涉及，双方另行协商</w:t>
      </w:r>
      <w:r>
        <w:rPr>
          <w:rFonts w:ascii="宋体" w:hAnsi="宋体"/>
          <w:color w:val="auto"/>
          <w:kern w:val="0"/>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1.4.3发包人对工程的技术标准和功能要求的特殊要求：</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1.5 合同文件的优先顺序</w:t>
      </w:r>
    </w:p>
    <w:p>
      <w:pPr>
        <w:adjustRightInd w:val="0"/>
        <w:snapToGri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合同文件组成及优先顺序为：</w:t>
      </w:r>
      <w:r>
        <w:rPr>
          <w:rFonts w:hint="eastAsia" w:ascii="宋体" w:hAnsi="宋体"/>
          <w:color w:val="auto"/>
          <w:sz w:val="22"/>
          <w:szCs w:val="22"/>
          <w:highlight w:val="none"/>
          <w:u w:val="single"/>
        </w:rPr>
        <w:t>执行通用条款</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 图纸和承包人文件</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1.6.1 图纸的提供</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 图纸和承包人文件</w:t>
      </w:r>
      <w:r>
        <w:rPr>
          <w:rFonts w:ascii="宋体" w:hAnsi="宋体"/>
          <w:color w:val="auto"/>
          <w:sz w:val="22"/>
          <w:szCs w:val="22"/>
          <w:highlight w:val="none"/>
        </w:rPr>
        <w:tab/>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1.6.1 图纸的提供</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发包人向承包人提供图纸的期限：</w:t>
      </w:r>
      <w:r>
        <w:rPr>
          <w:rFonts w:hint="eastAsia" w:ascii="宋体" w:hAnsi="宋体"/>
          <w:bCs/>
          <w:color w:val="auto"/>
          <w:kern w:val="0"/>
          <w:sz w:val="22"/>
          <w:szCs w:val="22"/>
          <w:highlight w:val="none"/>
          <w:u w:val="single"/>
        </w:rPr>
        <w:t>开工前5天</w:t>
      </w:r>
      <w:r>
        <w:rPr>
          <w:rFonts w:ascii="宋体" w:hAnsi="宋体"/>
          <w:bCs/>
          <w:color w:val="auto"/>
          <w:kern w:val="0"/>
          <w:sz w:val="22"/>
          <w:szCs w:val="22"/>
          <w:highlight w:val="none"/>
          <w:u w:val="single"/>
        </w:rPr>
        <w:t>；</w:t>
      </w:r>
    </w:p>
    <w:p>
      <w:pPr>
        <w:pStyle w:val="34"/>
        <w:numPr>
          <w:ilvl w:val="0"/>
          <w:numId w:val="7"/>
        </w:numPr>
        <w:tabs>
          <w:tab w:val="clear" w:pos="570"/>
        </w:tabs>
        <w:adjustRightInd w:val="0"/>
        <w:spacing w:line="400" w:lineRule="exact"/>
        <w:ind w:left="0" w:firstLine="440" w:firstLineChars="200"/>
        <w:rPr>
          <w:rFonts w:ascii="宋体" w:hAnsi="宋体"/>
          <w:color w:val="auto"/>
          <w:kern w:val="2"/>
          <w:sz w:val="22"/>
          <w:szCs w:val="22"/>
          <w:highlight w:val="none"/>
          <w:u w:val="single"/>
        </w:rPr>
      </w:pPr>
      <w:r>
        <w:rPr>
          <w:rFonts w:ascii="宋体" w:hAnsi="宋体"/>
          <w:color w:val="auto"/>
          <w:sz w:val="22"/>
          <w:szCs w:val="22"/>
          <w:highlight w:val="none"/>
        </w:rPr>
        <w:t>发包人向承包人提供图纸的数量：</w:t>
      </w:r>
      <w:r>
        <w:rPr>
          <w:rFonts w:hint="eastAsia" w:ascii="宋体" w:hAnsi="宋体"/>
          <w:bCs/>
          <w:color w:val="auto"/>
          <w:sz w:val="22"/>
          <w:szCs w:val="22"/>
          <w:highlight w:val="none"/>
          <w:u w:val="single"/>
        </w:rPr>
        <w:t xml:space="preserve"> 4套（其中二套用于竣工图））</w:t>
      </w:r>
      <w:r>
        <w:rPr>
          <w:rFonts w:ascii="宋体" w:hAnsi="宋体"/>
          <w:bCs/>
          <w:color w:val="auto"/>
          <w:sz w:val="22"/>
          <w:szCs w:val="22"/>
          <w:highlight w:val="none"/>
          <w:u w:val="single"/>
        </w:rPr>
        <w:t>；</w:t>
      </w:r>
    </w:p>
    <w:p>
      <w:pPr>
        <w:pStyle w:val="34"/>
        <w:numPr>
          <w:ilvl w:val="0"/>
          <w:numId w:val="7"/>
        </w:numPr>
        <w:tabs>
          <w:tab w:val="clear" w:pos="570"/>
        </w:tabs>
        <w:adjustRightInd w:val="0"/>
        <w:spacing w:line="400" w:lineRule="exact"/>
        <w:ind w:left="0" w:firstLine="440" w:firstLineChars="200"/>
        <w:rPr>
          <w:rFonts w:ascii="宋体" w:hAnsi="宋体"/>
          <w:bCs/>
          <w:color w:val="auto"/>
          <w:sz w:val="22"/>
          <w:szCs w:val="22"/>
          <w:highlight w:val="none"/>
          <w:u w:val="single"/>
        </w:rPr>
      </w:pPr>
      <w:r>
        <w:rPr>
          <w:rFonts w:ascii="宋体" w:hAnsi="宋体"/>
          <w:color w:val="auto"/>
          <w:sz w:val="22"/>
          <w:szCs w:val="22"/>
          <w:highlight w:val="none"/>
        </w:rPr>
        <w:t>发包人向承包人提供图纸的内容：</w:t>
      </w:r>
      <w:r>
        <w:rPr>
          <w:rFonts w:hint="eastAsia" w:ascii="宋体" w:hAnsi="宋体"/>
          <w:bCs/>
          <w:color w:val="auto"/>
          <w:sz w:val="22"/>
          <w:szCs w:val="22"/>
          <w:highlight w:val="none"/>
          <w:u w:val="single"/>
        </w:rPr>
        <w:t>本合同工程范围内全套施工图。</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1.6.4 承包人文件</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需要由承包人提供的文件，包括：</w:t>
      </w:r>
      <w:r>
        <w:rPr>
          <w:rFonts w:hint="eastAsia" w:ascii="宋体" w:hAnsi="宋体"/>
          <w:bCs/>
          <w:color w:val="auto"/>
          <w:kern w:val="0"/>
          <w:sz w:val="22"/>
          <w:szCs w:val="22"/>
          <w:highlight w:val="none"/>
          <w:u w:val="single"/>
        </w:rPr>
        <w:t>包括但不限于满足发包人要求并完善细化投标的施工组织设计，全套投标文件；提供实施性的施工组织设计，材料、工程总进度计划、劳动力安排计划等；工程进度计划要充分考虑邻近工程的进度情况 ；其它文件按监理人要求；</w:t>
      </w:r>
      <w:r>
        <w:rPr>
          <w:rFonts w:ascii="宋体" w:hAnsi="宋体"/>
          <w:bCs/>
          <w:color w:val="auto"/>
          <w:kern w:val="0"/>
          <w:sz w:val="22"/>
          <w:szCs w:val="22"/>
          <w:highlight w:val="none"/>
          <w:u w:val="single"/>
        </w:rPr>
        <w:t xml:space="preserve"> </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承包人提供的文件的期限为：</w:t>
      </w:r>
      <w:r>
        <w:rPr>
          <w:rFonts w:hint="eastAsia" w:ascii="宋体" w:hAnsi="宋体"/>
          <w:bCs/>
          <w:color w:val="auto"/>
          <w:kern w:val="0"/>
          <w:sz w:val="22"/>
          <w:szCs w:val="22"/>
          <w:highlight w:val="none"/>
          <w:u w:val="single"/>
        </w:rPr>
        <w:t>领取中标通知书后20天内，最晚为正式开工前7天</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承包人提供的文件的数量为：</w:t>
      </w:r>
      <w:r>
        <w:rPr>
          <w:rFonts w:hint="eastAsia" w:ascii="宋体" w:hAnsi="宋体"/>
          <w:color w:val="auto"/>
          <w:sz w:val="22"/>
          <w:szCs w:val="22"/>
          <w:highlight w:val="none"/>
          <w:u w:val="single"/>
        </w:rPr>
        <w:t xml:space="preserve">一式五份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承包人提供的文件的形式为：</w:t>
      </w:r>
      <w:r>
        <w:rPr>
          <w:rFonts w:hint="eastAsia" w:ascii="宋体" w:hAnsi="宋体"/>
          <w:bCs/>
          <w:color w:val="auto"/>
          <w:kern w:val="0"/>
          <w:sz w:val="22"/>
          <w:szCs w:val="22"/>
          <w:highlight w:val="none"/>
          <w:u w:val="single"/>
        </w:rPr>
        <w:t>书面文本和相应电子文档</w:t>
      </w:r>
      <w:r>
        <w:rPr>
          <w:rFonts w:ascii="宋体" w:hAnsi="宋体"/>
          <w:color w:val="auto"/>
          <w:sz w:val="22"/>
          <w:szCs w:val="22"/>
          <w:highlight w:val="none"/>
        </w:rPr>
        <w:t>；</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发包人</w:t>
      </w:r>
      <w:r>
        <w:rPr>
          <w:rFonts w:hint="eastAsia" w:ascii="宋体" w:hAnsi="宋体"/>
          <w:color w:val="auto"/>
          <w:sz w:val="22"/>
          <w:szCs w:val="22"/>
          <w:highlight w:val="none"/>
        </w:rPr>
        <w:t>审批</w:t>
      </w:r>
      <w:r>
        <w:rPr>
          <w:rFonts w:ascii="宋体" w:hAnsi="宋体"/>
          <w:color w:val="auto"/>
          <w:sz w:val="22"/>
          <w:szCs w:val="22"/>
          <w:highlight w:val="none"/>
        </w:rPr>
        <w:t>承包人文件的期限：</w:t>
      </w:r>
      <w:r>
        <w:rPr>
          <w:rFonts w:hint="eastAsia" w:ascii="宋体" w:hAnsi="宋体"/>
          <w:bCs/>
          <w:color w:val="auto"/>
          <w:kern w:val="0"/>
          <w:sz w:val="22"/>
          <w:szCs w:val="22"/>
          <w:highlight w:val="none"/>
          <w:u w:val="single"/>
        </w:rPr>
        <w:t>双方协商确定</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1.6.5 现场图纸准备</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关于现场图纸准备的约定：</w:t>
      </w:r>
      <w:r>
        <w:rPr>
          <w:rFonts w:hint="eastAsia" w:ascii="宋体" w:hAnsi="宋体"/>
          <w:bCs/>
          <w:color w:val="auto"/>
          <w:kern w:val="0"/>
          <w:sz w:val="22"/>
          <w:szCs w:val="22"/>
          <w:highlight w:val="none"/>
          <w:u w:val="single"/>
        </w:rPr>
        <w:t>按通用条款或双方协商</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1.7 联络</w:t>
      </w:r>
    </w:p>
    <w:p>
      <w:pPr>
        <w:adjustRightInd w:val="0"/>
        <w:spacing w:line="400" w:lineRule="exact"/>
        <w:ind w:firstLine="440" w:firstLineChars="200"/>
        <w:rPr>
          <w:rFonts w:hint="eastAsia" w:ascii="宋体" w:hAnsi="宋体"/>
          <w:color w:val="auto"/>
          <w:kern w:val="0"/>
          <w:sz w:val="22"/>
          <w:szCs w:val="22"/>
          <w:highlight w:val="none"/>
        </w:rPr>
      </w:pPr>
      <w:r>
        <w:rPr>
          <w:rFonts w:ascii="宋体" w:hAnsi="宋体"/>
          <w:color w:val="auto"/>
          <w:kern w:val="0"/>
          <w:sz w:val="22"/>
          <w:szCs w:val="22"/>
          <w:highlight w:val="none"/>
        </w:rPr>
        <w:t>1.7.1发包人和承包人应当在</w:t>
      </w:r>
      <w:r>
        <w:rPr>
          <w:rFonts w:hint="eastAsia" w:ascii="宋体" w:hAnsi="宋体"/>
          <w:bCs/>
          <w:color w:val="auto"/>
          <w:kern w:val="0"/>
          <w:sz w:val="22"/>
          <w:szCs w:val="22"/>
          <w:highlight w:val="none"/>
          <w:u w:val="single"/>
        </w:rPr>
        <w:t xml:space="preserve">7 </w:t>
      </w:r>
      <w:r>
        <w:rPr>
          <w:rFonts w:ascii="宋体" w:hAnsi="宋体"/>
          <w:color w:val="auto"/>
          <w:kern w:val="0"/>
          <w:sz w:val="22"/>
          <w:szCs w:val="22"/>
          <w:highlight w:val="none"/>
        </w:rPr>
        <w:t>天内将与合同有关的通知、批准、证明、证书、指示、指令、要求、请求、同意、意见、确定和决定等书面函件送达对方当事人</w:t>
      </w:r>
      <w:r>
        <w:rPr>
          <w:rFonts w:hint="eastAsia" w:ascii="宋体" w:hAnsi="宋体"/>
          <w:color w:val="auto"/>
          <w:kern w:val="0"/>
          <w:sz w:val="22"/>
          <w:szCs w:val="22"/>
          <w:highlight w:val="none"/>
        </w:rPr>
        <w:t>。</w:t>
      </w:r>
    </w:p>
    <w:p>
      <w:pPr>
        <w:adjustRightInd w:val="0"/>
        <w:spacing w:line="40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1.7.2 发包人接收文件的地点：</w:t>
      </w:r>
      <w:r>
        <w:rPr>
          <w:rFonts w:hint="eastAsia" w:ascii="宋体" w:hAnsi="宋体"/>
          <w:bCs/>
          <w:color w:val="auto"/>
          <w:kern w:val="0"/>
          <w:sz w:val="22"/>
          <w:szCs w:val="22"/>
          <w:highlight w:val="none"/>
          <w:u w:val="single"/>
        </w:rPr>
        <w:t xml:space="preserve">项目所在地发包人项目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发包人指定的接收人为：</w:t>
      </w:r>
      <w:r>
        <w:rPr>
          <w:rFonts w:hint="eastAsia" w:ascii="宋体" w:hAnsi="宋体" w:cs="宋体"/>
          <w:bCs/>
          <w:color w:val="auto"/>
          <w:kern w:val="0"/>
          <w:sz w:val="22"/>
          <w:szCs w:val="22"/>
          <w:highlight w:val="none"/>
          <w:u w:val="single"/>
        </w:rPr>
        <w:t>现场负责人</w:t>
      </w:r>
      <w:r>
        <w:rPr>
          <w:rFonts w:hint="eastAsia" w:ascii="宋体" w:hAnsi="宋体"/>
          <w:bCs/>
          <w:color w:val="auto"/>
          <w:kern w:val="0"/>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承包人接收文件的地点：</w:t>
      </w:r>
      <w:r>
        <w:rPr>
          <w:rFonts w:hint="eastAsia" w:ascii="宋体" w:hAnsi="宋体" w:cs="宋体"/>
          <w:bCs/>
          <w:color w:val="auto"/>
          <w:kern w:val="0"/>
          <w:sz w:val="22"/>
          <w:szCs w:val="22"/>
          <w:highlight w:val="none"/>
          <w:u w:val="single"/>
        </w:rPr>
        <w:t>项目所在地承包人项目部</w:t>
      </w:r>
      <w:r>
        <w:rPr>
          <w:rFonts w:hint="eastAsia" w:ascii="宋体" w:hAnsi="宋体"/>
          <w:bCs/>
          <w:color w:val="auto"/>
          <w:kern w:val="0"/>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kern w:val="0"/>
          <w:sz w:val="22"/>
          <w:szCs w:val="22"/>
          <w:highlight w:val="none"/>
        </w:rPr>
        <w:t>承包人指定的接收人为：</w:t>
      </w:r>
      <w:r>
        <w:rPr>
          <w:rFonts w:hint="eastAsia" w:ascii="宋体" w:hAnsi="宋体" w:cs="宋体"/>
          <w:bCs/>
          <w:color w:val="auto"/>
          <w:kern w:val="0"/>
          <w:sz w:val="22"/>
          <w:szCs w:val="22"/>
          <w:highlight w:val="none"/>
          <w:u w:val="single"/>
        </w:rPr>
        <w:t>承包方项目经理</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监理人接收文件的地点：</w:t>
      </w:r>
      <w:r>
        <w:rPr>
          <w:rFonts w:hint="eastAsia" w:ascii="宋体" w:hAnsi="宋体"/>
          <w:bCs/>
          <w:color w:val="auto"/>
          <w:kern w:val="0"/>
          <w:sz w:val="22"/>
          <w:szCs w:val="22"/>
          <w:highlight w:val="none"/>
          <w:u w:val="single"/>
        </w:rPr>
        <w:t xml:space="preserve">项目所在地监理人办公室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kern w:val="0"/>
          <w:sz w:val="22"/>
          <w:szCs w:val="22"/>
          <w:highlight w:val="none"/>
        </w:rPr>
        <w:t>监理人指定的接收人为：</w:t>
      </w:r>
      <w:r>
        <w:rPr>
          <w:rFonts w:hint="eastAsia" w:ascii="宋体" w:hAnsi="宋体" w:cs="宋体"/>
          <w:bCs/>
          <w:color w:val="auto"/>
          <w:kern w:val="0"/>
          <w:sz w:val="22"/>
          <w:szCs w:val="22"/>
          <w:highlight w:val="none"/>
          <w:u w:val="single"/>
        </w:rPr>
        <w:t>监理工程师</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1.10 交通运输</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bookmarkStart w:id="27" w:name="_Toc303539100"/>
      <w:bookmarkStart w:id="28" w:name="_Toc304295521"/>
      <w:bookmarkStart w:id="29" w:name="_Toc312677986"/>
      <w:bookmarkStart w:id="30" w:name="_Toc300934943"/>
      <w:bookmarkStart w:id="31" w:name="_Toc318581155"/>
      <w:r>
        <w:rPr>
          <w:rFonts w:ascii="宋体" w:hAnsi="宋体"/>
          <w:color w:val="auto"/>
          <w:sz w:val="22"/>
          <w:szCs w:val="22"/>
          <w:highlight w:val="none"/>
        </w:rPr>
        <w:t>.10.1 出入现场的权利</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ascii="宋体" w:hAnsi="宋体"/>
          <w:color w:val="auto"/>
          <w:sz w:val="22"/>
          <w:szCs w:val="22"/>
          <w:highlight w:val="none"/>
        </w:rPr>
        <w:t>关于出入现场的权利的约定：</w:t>
      </w:r>
      <w:r>
        <w:rPr>
          <w:rFonts w:hint="eastAsia" w:ascii="宋体" w:hAnsi="宋体"/>
          <w:bCs/>
          <w:color w:val="auto"/>
          <w:kern w:val="0"/>
          <w:sz w:val="22"/>
          <w:szCs w:val="22"/>
          <w:highlight w:val="none"/>
          <w:u w:val="single"/>
        </w:rPr>
        <w:t>（1）由承包人按发包人要求负责取得出入施工现场所需的批准手续和全部权利，以及取得因施工所需基础设施的权利，并承担相关手续费用和建设费用。</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（2）承包人负责实施现场封闭管理与出入现场管理，并实行出入口人车分流设置。</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（3）承包人负责实施出入口人、车准入制度，对不符合要求的人员、车辆限制出入。</w:t>
      </w:r>
    </w:p>
    <w:p>
      <w:pPr>
        <w:adjustRightInd w:val="0"/>
        <w:spacing w:line="400" w:lineRule="exact"/>
        <w:ind w:firstLine="440" w:firstLineChars="200"/>
        <w:rPr>
          <w:rFonts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（4）承包人必须无条件接受监理人关于现场封闭管理与出入现场管理的各类检查，对监理人提出的不合规情况进行及时、有效的整改；对于承包人的屡教不改现象，视为承包人违约。</w:t>
      </w:r>
    </w:p>
    <w:bookmarkEnd w:id="27"/>
    <w:bookmarkEnd w:id="28"/>
    <w:bookmarkEnd w:id="29"/>
    <w:bookmarkEnd w:id="30"/>
    <w:bookmarkEnd w:id="31"/>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w:t>
      </w:r>
      <w:bookmarkStart w:id="32" w:name="_Toc318581156"/>
      <w:bookmarkStart w:id="33" w:name="_Toc312677987"/>
      <w:bookmarkStart w:id="34" w:name="_Toc300934944"/>
      <w:bookmarkStart w:id="35" w:name="_Toc304295522"/>
      <w:bookmarkStart w:id="36" w:name="_Toc303539101"/>
      <w:r>
        <w:rPr>
          <w:rFonts w:ascii="宋体" w:hAnsi="宋体"/>
          <w:color w:val="auto"/>
          <w:sz w:val="22"/>
          <w:szCs w:val="22"/>
          <w:highlight w:val="none"/>
        </w:rPr>
        <w:t>.10.3 场内交通</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kern w:val="0"/>
          <w:sz w:val="22"/>
          <w:szCs w:val="22"/>
          <w:highlight w:val="none"/>
        </w:rPr>
        <w:t>关于场外交通和场内交通的边界的约定</w:t>
      </w:r>
      <w:r>
        <w:rPr>
          <w:rFonts w:ascii="宋体" w:hAnsi="宋体"/>
          <w:bCs/>
          <w:color w:val="auto"/>
          <w:kern w:val="0"/>
          <w:sz w:val="22"/>
          <w:szCs w:val="22"/>
          <w:highlight w:val="none"/>
          <w:u w:val="single"/>
        </w:rPr>
        <w:t>：</w:t>
      </w:r>
      <w:r>
        <w:rPr>
          <w:rFonts w:hint="eastAsia" w:ascii="宋体" w:hAnsi="宋体"/>
          <w:bCs/>
          <w:color w:val="auto"/>
          <w:kern w:val="0"/>
          <w:sz w:val="22"/>
          <w:szCs w:val="22"/>
          <w:highlight w:val="none"/>
          <w:u w:val="single"/>
        </w:rPr>
        <w:t>由发包人根据本合同工程所在立项工程用地范围、周边路网情况、有关部门管理要求等情况确定。</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关于发包人向承包人免费提供满足工程施工需要的场内道路和交通设施的约定：</w:t>
      </w:r>
    </w:p>
    <w:bookmarkEnd w:id="32"/>
    <w:bookmarkEnd w:id="33"/>
    <w:bookmarkEnd w:id="34"/>
    <w:bookmarkEnd w:id="35"/>
    <w:bookmarkEnd w:id="36"/>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（1）本合同工程所在立项工程用地范围原有道路及交通设施的使用由双方协商确定；</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（2）本合同工程所在立项工程用地范围由其他施工单位实施的新做道路及交通设施如本合同工程承包人需要使用的，其使用费由承包人自行与权属人协商，本合同工程的承包人必须无条件配合。</w:t>
      </w:r>
      <w:r>
        <w:rPr>
          <w:rFonts w:ascii="宋体" w:hAnsi="宋体"/>
          <w:bCs/>
          <w:color w:val="auto"/>
          <w:kern w:val="0"/>
          <w:sz w:val="22"/>
          <w:szCs w:val="22"/>
          <w:highlight w:val="none"/>
          <w:u w:val="single"/>
        </w:rPr>
        <w:t xml:space="preserve">  </w:t>
      </w:r>
      <w:bookmarkStart w:id="37" w:name="_Toc318581157"/>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1.10.4超大件和超重件的运输</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运输超大件或超重件所需的道路和桥梁临时加固改造费用和其他有关费用由</w:t>
      </w:r>
      <w:r>
        <w:rPr>
          <w:rFonts w:hint="eastAsia" w:ascii="宋体" w:hAnsi="宋体"/>
          <w:color w:val="auto"/>
          <w:sz w:val="22"/>
          <w:szCs w:val="22"/>
          <w:highlight w:val="none"/>
          <w:u w:val="single"/>
        </w:rPr>
        <w:t xml:space="preserve">  承包人</w:t>
      </w:r>
      <w:r>
        <w:rPr>
          <w:rFonts w:ascii="宋体" w:hAnsi="宋体"/>
          <w:color w:val="auto"/>
          <w:sz w:val="22"/>
          <w:szCs w:val="22"/>
          <w:highlight w:val="none"/>
          <w:u w:val="single"/>
        </w:rPr>
        <w:t xml:space="preserve">   </w:t>
      </w:r>
      <w:r>
        <w:rPr>
          <w:rFonts w:ascii="宋体" w:hAnsi="宋体"/>
          <w:color w:val="auto"/>
          <w:sz w:val="22"/>
          <w:szCs w:val="22"/>
          <w:highlight w:val="none"/>
        </w:rPr>
        <w:t>承担。</w:t>
      </w:r>
    </w:p>
    <w:bookmarkEnd w:id="37"/>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1.11 知识产权</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bCs/>
          <w:color w:val="auto"/>
          <w:kern w:val="0"/>
          <w:sz w:val="22"/>
          <w:szCs w:val="22"/>
          <w:highlight w:val="none"/>
          <w:u w:val="single"/>
        </w:rPr>
        <w:t>归属于</w:t>
      </w:r>
      <w:r>
        <w:rPr>
          <w:rFonts w:ascii="宋体" w:hAnsi="宋体"/>
          <w:bCs/>
          <w:color w:val="auto"/>
          <w:kern w:val="0"/>
          <w:sz w:val="22"/>
          <w:szCs w:val="22"/>
          <w:highlight w:val="none"/>
          <w:u w:val="single"/>
        </w:rPr>
        <w:t>发包</w:t>
      </w:r>
      <w:r>
        <w:rPr>
          <w:rFonts w:hint="eastAsia" w:ascii="宋体" w:hAnsi="宋体"/>
          <w:bCs/>
          <w:color w:val="auto"/>
          <w:kern w:val="0"/>
          <w:sz w:val="22"/>
          <w:szCs w:val="22"/>
          <w:highlight w:val="none"/>
          <w:u w:val="single"/>
        </w:rPr>
        <w:t>人</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关于发包人提供的上述文件的使用限制的要求：</w:t>
      </w:r>
      <w:r>
        <w:rPr>
          <w:rFonts w:hint="eastAsia" w:ascii="宋体" w:hAnsi="宋体"/>
          <w:bCs/>
          <w:color w:val="auto"/>
          <w:kern w:val="0"/>
          <w:sz w:val="22"/>
          <w:szCs w:val="22"/>
          <w:highlight w:val="none"/>
          <w:u w:val="single"/>
        </w:rPr>
        <w:t>仅限于本合同工程，承包人不得擅自移至其他地点、其他项目使用、套用或转作他用</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1.11.2 关于承包人为实施工程所编制文件的著作权的归属：</w:t>
      </w:r>
      <w:r>
        <w:rPr>
          <w:rFonts w:hint="eastAsia" w:ascii="宋体" w:hAnsi="宋体"/>
          <w:bCs/>
          <w:color w:val="auto"/>
          <w:kern w:val="0"/>
          <w:sz w:val="22"/>
          <w:szCs w:val="22"/>
          <w:highlight w:val="none"/>
          <w:u w:val="single"/>
        </w:rPr>
        <w:t>归属于承包人</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关于承包人提供的上述文件的使用限制的要求：</w:t>
      </w:r>
      <w:r>
        <w:rPr>
          <w:rFonts w:ascii="宋体" w:hAnsi="宋体"/>
          <w:bCs/>
          <w:color w:val="auto"/>
          <w:sz w:val="22"/>
          <w:szCs w:val="22"/>
          <w:highlight w:val="none"/>
        </w:rPr>
        <w:t> </w:t>
      </w:r>
      <w:r>
        <w:rPr>
          <w:rFonts w:ascii="宋体" w:hAnsi="宋体"/>
          <w:bCs/>
          <w:color w:val="auto"/>
          <w:kern w:val="0"/>
          <w:sz w:val="22"/>
          <w:szCs w:val="22"/>
          <w:highlight w:val="none"/>
          <w:u w:val="single"/>
        </w:rPr>
        <w:t>发包人</w:t>
      </w:r>
      <w:r>
        <w:rPr>
          <w:rFonts w:hint="eastAsia" w:ascii="宋体" w:hAnsi="宋体"/>
          <w:bCs/>
          <w:color w:val="auto"/>
          <w:kern w:val="0"/>
          <w:sz w:val="22"/>
          <w:szCs w:val="22"/>
          <w:highlight w:val="none"/>
          <w:u w:val="single"/>
        </w:rPr>
        <w:t>可以不通知承包人直接用于其他类似项目，但作为商业用途原则需经承包人同意</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1.11.4 承包人在施工过程中所采用的专利、专有技术、技术秘密的使用费的承担方式：</w:t>
      </w:r>
      <w:r>
        <w:rPr>
          <w:rFonts w:hint="eastAsia" w:ascii="宋体" w:hAnsi="宋体"/>
          <w:bCs/>
          <w:color w:val="auto"/>
          <w:kern w:val="0"/>
          <w:sz w:val="22"/>
          <w:szCs w:val="22"/>
          <w:highlight w:val="none"/>
          <w:u w:val="single"/>
        </w:rPr>
        <w:t>由承包人承担</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1.13工程量清单错误的修正</w:t>
      </w:r>
    </w:p>
    <w:p>
      <w:pPr>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出现工程量清单错误时，是否调整合同价格：</w:t>
      </w:r>
      <w:r>
        <w:rPr>
          <w:rFonts w:hint="eastAsia" w:ascii="宋体" w:hAnsi="宋体"/>
          <w:bCs/>
          <w:color w:val="auto"/>
          <w:kern w:val="0"/>
          <w:sz w:val="22"/>
          <w:szCs w:val="22"/>
          <w:highlight w:val="none"/>
          <w:u w:val="single"/>
        </w:rPr>
        <w:t>否</w:t>
      </w:r>
      <w:r>
        <w:rPr>
          <w:rFonts w:ascii="宋体" w:hAnsi="宋体"/>
          <w:color w:val="auto"/>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rPr>
          <w:rFonts w:hint="eastAsia" w:ascii="宋体" w:hAnsi="宋体"/>
          <w:color w:val="auto"/>
          <w:sz w:val="22"/>
          <w:szCs w:val="22"/>
          <w:highlight w:val="none"/>
          <w:u w:val="single"/>
        </w:rPr>
      </w:pPr>
      <w:r>
        <w:rPr>
          <w:rFonts w:ascii="宋体" w:hAnsi="宋体"/>
          <w:color w:val="auto"/>
          <w:sz w:val="22"/>
          <w:szCs w:val="22"/>
          <w:highlight w:val="none"/>
        </w:rPr>
        <w:t>允许调整合同价格的工程量偏差范围</w:t>
      </w:r>
      <w:r>
        <w:rPr>
          <w:rFonts w:ascii="宋体" w:hAnsi="宋体"/>
          <w:color w:val="auto"/>
          <w:sz w:val="22"/>
          <w:szCs w:val="22"/>
          <w:highlight w:val="none"/>
          <w:u w:val="single"/>
        </w:rPr>
        <w:t>：</w:t>
      </w:r>
      <w:r>
        <w:rPr>
          <w:rFonts w:hint="eastAsia" w:ascii="宋体" w:hAnsi="宋体"/>
          <w:bCs/>
          <w:color w:val="auto"/>
          <w:kern w:val="0"/>
          <w:sz w:val="22"/>
          <w:szCs w:val="22"/>
          <w:highlight w:val="none"/>
          <w:u w:val="single"/>
        </w:rPr>
        <w:t>无</w:t>
      </w:r>
    </w:p>
    <w:p>
      <w:pPr>
        <w:pStyle w:val="9"/>
        <w:rPr>
          <w:color w:val="auto"/>
          <w:highlight w:val="none"/>
        </w:rPr>
      </w:pPr>
      <w:bookmarkStart w:id="38" w:name="_Toc351203634"/>
      <w:r>
        <w:rPr>
          <w:color w:val="auto"/>
          <w:highlight w:val="none"/>
        </w:rPr>
        <w:t>2</w:t>
      </w:r>
      <w:bookmarkStart w:id="39" w:name="_Toc292559362"/>
      <w:bookmarkStart w:id="40" w:name="_Toc296944496"/>
      <w:bookmarkStart w:id="41" w:name="_Toc296891197"/>
      <w:bookmarkStart w:id="42" w:name="_Toc296346658"/>
      <w:bookmarkStart w:id="43" w:name="_Toc297120457"/>
      <w:bookmarkStart w:id="44" w:name="_Toc296890985"/>
      <w:bookmarkStart w:id="45" w:name="_Toc292559867"/>
      <w:bookmarkStart w:id="46" w:name="_Toc296347156"/>
      <w:bookmarkStart w:id="47" w:name="_Toc296503157"/>
      <w:bookmarkStart w:id="48" w:name="_Toc297048343"/>
      <w:r>
        <w:rPr>
          <w:color w:val="auto"/>
          <w:highlight w:val="none"/>
        </w:rPr>
        <w:t>. 发包人</w:t>
      </w:r>
      <w:bookmarkEnd w:id="38"/>
    </w:p>
    <w:bookmarkEnd w:id="39"/>
    <w:bookmarkEnd w:id="40"/>
    <w:bookmarkEnd w:id="41"/>
    <w:bookmarkEnd w:id="42"/>
    <w:bookmarkEnd w:id="43"/>
    <w:bookmarkEnd w:id="44"/>
    <w:bookmarkEnd w:id="45"/>
    <w:bookmarkEnd w:id="46"/>
    <w:bookmarkEnd w:id="47"/>
    <w:bookmarkEnd w:id="48"/>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2.2 发包人代表</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发包人代表：</w:t>
      </w:r>
    </w:p>
    <w:p>
      <w:pPr>
        <w:adjustRightInd w:val="0"/>
        <w:spacing w:line="400" w:lineRule="exact"/>
        <w:ind w:firstLine="440" w:firstLineChars="200"/>
        <w:rPr>
          <w:rFonts w:hint="eastAsia" w:ascii="宋体" w:hAnsi="宋体" w:cs="宋体"/>
          <w:color w:val="auto"/>
          <w:sz w:val="22"/>
          <w:szCs w:val="22"/>
          <w:highlight w:val="none"/>
          <w:u w:val="single"/>
        </w:rPr>
      </w:pPr>
      <w:r>
        <w:rPr>
          <w:rFonts w:ascii="宋体" w:hAnsi="宋体"/>
          <w:color w:val="auto"/>
          <w:sz w:val="22"/>
          <w:szCs w:val="22"/>
          <w:highlight w:val="none"/>
        </w:rPr>
        <w:t>姓    名：</w:t>
      </w:r>
      <w:r>
        <w:rPr>
          <w:rFonts w:hint="eastAsia" w:ascii="宋体" w:hAnsi="宋体" w:cs="宋体"/>
          <w:color w:val="auto"/>
          <w:sz w:val="22"/>
          <w:szCs w:val="22"/>
          <w:highlight w:val="none"/>
          <w:u w:val="single"/>
        </w:rPr>
        <w:t xml:space="preserve">                         ；</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职    务：</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hint="eastAsia" w:ascii="宋体" w:hAnsi="宋体"/>
          <w:bCs/>
          <w:color w:val="auto"/>
          <w:kern w:val="0"/>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发包人对发包人代表的授权范围如下：</w:t>
      </w:r>
      <w:r>
        <w:rPr>
          <w:rFonts w:hint="eastAsia" w:ascii="宋体" w:hAnsi="宋体"/>
          <w:bCs/>
          <w:color w:val="auto"/>
          <w:kern w:val="0"/>
          <w:sz w:val="22"/>
          <w:szCs w:val="22"/>
          <w:highlight w:val="none"/>
          <w:u w:val="single"/>
        </w:rPr>
        <w:t>全面负责本合同工程实施全过程的各类管理，包括但不限于工程安全文明生产、工程质量、工程进度、与本合同工程有关的内外协调、本合同工程工程款计划与拨付、本合同工程现场变更与签证的签发、本合同工程的维稳管理及督促农民工工资的支付、本合同工程中隐蔽工程的验收与计量、本合同工程各类检测与验收、本合同工程竣工验收后的移交、本合同工程竣工图与结算书的收集与限期审计、本合同工程审计审定报告的签署、本合同工程质保期的服务管理与尾款支付等。涉及重大变更、款项支付调整等重大事项是否需要发包人确认。</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2.4 施工现场、施工条件和基础资料的提供</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2.4.1 提供施工现场</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关于发包人移交施工现场的期限要求：</w:t>
      </w:r>
      <w:r>
        <w:rPr>
          <w:rFonts w:hint="eastAsia" w:ascii="宋体" w:hAnsi="宋体"/>
          <w:color w:val="auto"/>
          <w:sz w:val="22"/>
          <w:szCs w:val="22"/>
          <w:highlight w:val="none"/>
          <w:u w:val="single"/>
        </w:rPr>
        <w:t>开工前7天</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2.4.2 提供施工条件</w:t>
      </w:r>
    </w:p>
    <w:p>
      <w:pPr>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关于发包人应负责提供施工</w:t>
      </w:r>
      <w:r>
        <w:rPr>
          <w:rFonts w:hint="eastAsia" w:ascii="宋体" w:hAnsi="宋体"/>
          <w:color w:val="auto"/>
          <w:sz w:val="22"/>
          <w:szCs w:val="22"/>
          <w:highlight w:val="none"/>
        </w:rPr>
        <w:t>所需要的条件，</w:t>
      </w:r>
      <w:r>
        <w:rPr>
          <w:rFonts w:ascii="宋体" w:hAnsi="宋体"/>
          <w:color w:val="auto"/>
          <w:sz w:val="22"/>
          <w:szCs w:val="22"/>
          <w:highlight w:val="none"/>
        </w:rPr>
        <w:t>包括：</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(1) 施工场地具备施工条件的要求及完成的时间：满足相关规定并于开工前满足施工需求。</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 xml:space="preserve"> (2) 将施工所需的水、电、电讯线路接至施工场地的时间、地点和供应要求：满足相关规定并于开工前满足施工需求。</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 xml:space="preserve"> (3) 施工场地与公共道路的通道开通时间和要求：满足相关规定并于开工前满足施工需求。</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 xml:space="preserve"> (4) 工程地质和地下管线资料的提供时间：进场施工后由发包人召集有关管线单位现场交底，及时提供、保证承包人的施工需要。</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 xml:space="preserve"> (5) 由发包人办理的施工所需证件、批件的名称和完成时间：满足相关规定并于开工前满足施工需求。</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 xml:space="preserve"> (6) 水准点与座标控制点交验要求：进场施工后由发包人组织定位并书面向承包人交底。</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 xml:space="preserve"> (7) 图纸会审和设计交底时间：开工前3天，发包人组织设计、监理等相关单位对施工图纸进行初次会审和交底，以后根据需要组织进一步对施工图纸的会审和详细交底。</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 xml:space="preserve"> (8) 协调处理施工场地周围地下管线和邻近建筑物、构筑物（含文物保护建筑）、古树名木的保护工作：发包人将召集相关单位对地下管线及其他需保护物进行现场交底，并承担有关费用，交底后由承包人对地下管线及其他需保护物进行保护。</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 xml:space="preserve"> (9)发包人负责大三通和平整场地，由发包人组织各参建承包人按比例分摊。</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2.5 资金来源证明及支付担保</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发包人提供资金来源证明的期限要求：</w:t>
      </w:r>
      <w:r>
        <w:rPr>
          <w:rFonts w:hint="eastAsia" w:ascii="宋体" w:hAnsi="宋体"/>
          <w:bCs/>
          <w:color w:val="auto"/>
          <w:kern w:val="0"/>
          <w:sz w:val="22"/>
          <w:szCs w:val="22"/>
          <w:highlight w:val="none"/>
          <w:u w:val="single"/>
        </w:rPr>
        <w:t>无</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发包人是否提供支付担保：</w:t>
      </w:r>
      <w:r>
        <w:rPr>
          <w:rFonts w:hint="eastAsia" w:ascii="宋体" w:hAnsi="宋体"/>
          <w:bCs/>
          <w:color w:val="auto"/>
          <w:kern w:val="0"/>
          <w:sz w:val="22"/>
          <w:szCs w:val="22"/>
          <w:highlight w:val="none"/>
          <w:u w:val="single"/>
        </w:rPr>
        <w:t>无</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发包人提供支付担保的形式：</w:t>
      </w:r>
      <w:r>
        <w:rPr>
          <w:rFonts w:hint="eastAsia" w:ascii="宋体" w:hAnsi="宋体"/>
          <w:bCs/>
          <w:color w:val="auto"/>
          <w:kern w:val="0"/>
          <w:sz w:val="22"/>
          <w:szCs w:val="22"/>
          <w:highlight w:val="none"/>
          <w:u w:val="single"/>
        </w:rPr>
        <w:t>无</w:t>
      </w:r>
      <w:r>
        <w:rPr>
          <w:rFonts w:ascii="宋体" w:hAnsi="宋体"/>
          <w:color w:val="auto"/>
          <w:sz w:val="22"/>
          <w:szCs w:val="22"/>
          <w:highlight w:val="none"/>
        </w:rPr>
        <w:t>。</w:t>
      </w:r>
    </w:p>
    <w:p>
      <w:pPr>
        <w:pStyle w:val="9"/>
        <w:rPr>
          <w:color w:val="auto"/>
          <w:highlight w:val="none"/>
        </w:rPr>
      </w:pPr>
      <w:bookmarkStart w:id="49" w:name="_Toc351203635"/>
      <w:r>
        <w:rPr>
          <w:color w:val="auto"/>
          <w:highlight w:val="none"/>
        </w:rPr>
        <w:t>3</w:t>
      </w:r>
      <w:bookmarkStart w:id="50" w:name="_Toc296503158"/>
      <w:bookmarkStart w:id="51" w:name="_Toc296346659"/>
      <w:bookmarkStart w:id="52" w:name="_Toc296347157"/>
      <w:bookmarkStart w:id="53" w:name="_Toc296944497"/>
      <w:bookmarkStart w:id="54" w:name="_Toc297048344"/>
      <w:bookmarkStart w:id="55" w:name="_Toc297120458"/>
      <w:bookmarkStart w:id="56" w:name="_Toc296891198"/>
      <w:bookmarkStart w:id="57" w:name="_Toc292559868"/>
      <w:bookmarkStart w:id="58" w:name="_Toc296890986"/>
      <w:bookmarkStart w:id="59" w:name="_Toc292559363"/>
      <w:r>
        <w:rPr>
          <w:color w:val="auto"/>
          <w:highlight w:val="none"/>
        </w:rPr>
        <w:t>. 承包人</w:t>
      </w:r>
      <w:bookmarkEnd w:id="49"/>
    </w:p>
    <w:bookmarkEnd w:id="50"/>
    <w:bookmarkEnd w:id="51"/>
    <w:bookmarkEnd w:id="52"/>
    <w:bookmarkEnd w:id="53"/>
    <w:bookmarkEnd w:id="54"/>
    <w:bookmarkEnd w:id="55"/>
    <w:bookmarkEnd w:id="56"/>
    <w:bookmarkEnd w:id="57"/>
    <w:bookmarkEnd w:id="58"/>
    <w:bookmarkEnd w:id="59"/>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3.1 承包人的一般义务</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kern w:val="0"/>
          <w:sz w:val="22"/>
          <w:szCs w:val="22"/>
          <w:highlight w:val="none"/>
        </w:rPr>
        <w:t>（5）</w:t>
      </w:r>
      <w:r>
        <w:rPr>
          <w:rFonts w:ascii="宋体" w:hAnsi="宋体"/>
          <w:color w:val="auto"/>
          <w:sz w:val="22"/>
          <w:szCs w:val="22"/>
          <w:highlight w:val="none"/>
        </w:rPr>
        <w:t>承包人提交的竣工资料的内容：</w:t>
      </w:r>
      <w:r>
        <w:rPr>
          <w:rFonts w:hint="eastAsia" w:ascii="宋体" w:hAnsi="宋体"/>
          <w:bCs/>
          <w:color w:val="auto"/>
          <w:kern w:val="0"/>
          <w:sz w:val="22"/>
          <w:szCs w:val="22"/>
          <w:highlight w:val="none"/>
          <w:u w:val="single"/>
        </w:rPr>
        <w:t>提供符合无锡市建设工程档案归档规范要求及无锡市城建档案馆要求的竣工图纸及资料，包括但不限于竣工资料成套文本、竣工图、现场影像资料、完整的点位资料及编号、结算书 、各类检测报告、竣工验收报告。承包人还需要提交全建设周期内形象建设进程的影响资料电子版（含照片及视频），费用包含在合同总价内，版权归发包人、承包人共有。</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承包人需要提交的竣工资料套数：</w:t>
      </w:r>
      <w:r>
        <w:rPr>
          <w:rFonts w:hint="eastAsia" w:ascii="宋体" w:hAnsi="宋体"/>
          <w:bCs/>
          <w:color w:val="auto"/>
          <w:kern w:val="0"/>
          <w:sz w:val="22"/>
          <w:szCs w:val="22"/>
          <w:highlight w:val="none"/>
          <w:u w:val="single"/>
        </w:rPr>
        <w:t>伍套（ 每套各含刻录的电子版光盘壹张，其中竣工资料成套文本、各类检测报告、竣工验收报告为JPG图片格式；竣工图为CAD格式与PDF格式各一份；结算书为专业造价软件格式与转换的EXCEL格式各一份）</w:t>
      </w:r>
      <w:r>
        <w:rPr>
          <w:rFonts w:ascii="宋体" w:hAnsi="宋体"/>
          <w:bCs/>
          <w:color w:val="auto"/>
          <w:kern w:val="0"/>
          <w:sz w:val="22"/>
          <w:szCs w:val="22"/>
          <w:highlight w:val="none"/>
          <w:u w:val="single"/>
        </w:rPr>
        <w:t>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承包人提交的竣工资料的费用承担：</w:t>
      </w:r>
      <w:r>
        <w:rPr>
          <w:rFonts w:hint="eastAsia" w:ascii="宋体" w:hAnsi="宋体"/>
          <w:color w:val="auto"/>
          <w:sz w:val="22"/>
          <w:szCs w:val="22"/>
          <w:highlight w:val="none"/>
          <w:u w:val="single"/>
        </w:rPr>
        <w:t>由承包人承担</w:t>
      </w:r>
      <w:r>
        <w:rPr>
          <w:rFonts w:ascii="宋体" w:hAnsi="宋体"/>
          <w:color w:val="auto"/>
          <w:sz w:val="22"/>
          <w:szCs w:val="22"/>
          <w:highlight w:val="none"/>
        </w:rPr>
        <w:t>。</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承包人提交的竣工资料移交时间：</w:t>
      </w:r>
      <w:r>
        <w:rPr>
          <w:rFonts w:hint="eastAsia" w:ascii="宋体" w:hAnsi="宋体"/>
          <w:bCs/>
          <w:color w:val="auto"/>
          <w:kern w:val="0"/>
          <w:sz w:val="22"/>
          <w:szCs w:val="22"/>
          <w:highlight w:val="none"/>
          <w:u w:val="single"/>
        </w:rPr>
        <w:t>竣工验收合格之日起60天内</w:t>
      </w:r>
      <w:r>
        <w:rPr>
          <w:rFonts w:ascii="宋体" w:hAnsi="宋体"/>
          <w:bCs/>
          <w:color w:val="auto"/>
          <w:kern w:val="0"/>
          <w:sz w:val="22"/>
          <w:szCs w:val="22"/>
          <w:highlight w:val="none"/>
          <w:u w:val="single"/>
        </w:rPr>
        <w:t>。</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承包人提交的竣工资料形式要求：</w:t>
      </w:r>
      <w:r>
        <w:rPr>
          <w:rFonts w:hint="eastAsia" w:ascii="宋体" w:hAnsi="宋体"/>
          <w:bCs/>
          <w:color w:val="auto"/>
          <w:kern w:val="0"/>
          <w:sz w:val="22"/>
          <w:szCs w:val="22"/>
          <w:highlight w:val="none"/>
          <w:u w:val="single"/>
        </w:rPr>
        <w:t>书面（竣工图含电子版）</w:t>
      </w:r>
      <w:r>
        <w:rPr>
          <w:rFonts w:ascii="宋体" w:hAnsi="宋体"/>
          <w:bCs/>
          <w:color w:val="auto"/>
          <w:kern w:val="0"/>
          <w:sz w:val="22"/>
          <w:szCs w:val="22"/>
          <w:highlight w:val="none"/>
          <w:u w:val="single"/>
        </w:rPr>
        <w:t> 。</w:t>
      </w:r>
    </w:p>
    <w:p>
      <w:pPr>
        <w:adjustRightInd w:val="0"/>
        <w:spacing w:line="400" w:lineRule="exact"/>
        <w:ind w:firstLine="440" w:firstLineChars="200"/>
        <w:rPr>
          <w:rFonts w:hint="eastAsia" w:ascii="宋体" w:hAnsi="宋体"/>
          <w:color w:val="auto"/>
          <w:kern w:val="0"/>
          <w:sz w:val="22"/>
          <w:szCs w:val="22"/>
          <w:highlight w:val="none"/>
        </w:rPr>
      </w:pPr>
      <w:r>
        <w:rPr>
          <w:rFonts w:ascii="宋体" w:hAnsi="宋体"/>
          <w:color w:val="auto"/>
          <w:kern w:val="0"/>
          <w:sz w:val="22"/>
          <w:szCs w:val="22"/>
          <w:highlight w:val="none"/>
        </w:rPr>
        <w:t>（6）承包人应履行的其他义务：</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(1) 需由设计资质等级和业务范围允许的承包人完成的设计文件提交时间：无 。</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 应提供计划、报表的名称及完成时间：工程总进度计划按本专用条款第10条约定执行，月度已完工程量报表于每月25日提交工程师计量。</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(3) 承担施工安全保卫工作及非夜间施工照明的责任和要求：切实做好施工范围内的各项安全保卫工作及夜间施工的照明工作，如因承包人安全文明措施或非夜间施工照明措施不到位，造成施工无关人员进入施工范围并发生事故，所有责任由承包人承担。</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(4) 向发包人提供的办公和生活房屋及设施的要求：   /  。</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(5) 需承包人办理的有关施工场地交通、环卫和施工噪声管理等手续及费用：由承包人办理，发包人协办。</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(6) 已完工程成品保护的特殊要求及费用承担：按本合同通用条款9.1.6条办理，各专业分包人工作全面移交承包人后，承包人应对已完工程采取保护措施，并承担相关费用。由于承包人采取的措施或管理不当等原因造成损坏的，承包人自费予以修复，承包人不愿或无法进行修复的，发包人有权委托其他承包人完成此项工作并支付费用，其费用由发包人从承包人的合同价格中扣除。</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(7) 施工场地周围地下管线和邻近建筑物、构筑物（含文物保护）、古树名木的保护要求及费用承担：根据发包人的交底资料做好保护。属交底范围内的地下管线及其他需保护物损坏，属于承包人的责任，修理费用由承包人承担；若承包人对地下管线及其他需保护物有不负责任行为，除修复并承担修复费用外，视情节严重程度承担一定数额的违约金。</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工程施工过程中，承包人应合理地保持施工现场中不出现不必要的障碍，处置好承包人的设备及多余材料，保持现场整洁和道路畅通。</w:t>
      </w:r>
    </w:p>
    <w:p>
      <w:pPr>
        <w:numPr>
          <w:ilvl w:val="0"/>
          <w:numId w:val="8"/>
        </w:numPr>
        <w:adjustRightInd w:val="0"/>
        <w:spacing w:line="400" w:lineRule="exact"/>
        <w:ind w:firstLine="440" w:firstLineChars="200"/>
        <w:jc w:val="left"/>
        <w:rPr>
          <w:rFonts w:hint="default" w:ascii="宋体" w:hAnsi="宋体" w:eastAsia="宋体" w:cs="Times New Roman"/>
          <w:b w:val="0"/>
          <w:bCs/>
          <w:color w:val="auto"/>
          <w:kern w:val="0"/>
          <w:sz w:val="22"/>
          <w:szCs w:val="22"/>
          <w:highlight w:val="none"/>
          <w:u w:val="none"/>
          <w:lang w:val="en-US" w:eastAsia="zh-CN" w:bidi="ar-SA"/>
        </w:rPr>
      </w:pPr>
      <w:r>
        <w:rPr>
          <w:rFonts w:hint="eastAsia" w:ascii="宋体" w:hAnsi="宋体"/>
          <w:bCs/>
          <w:color w:val="auto"/>
          <w:kern w:val="0"/>
          <w:sz w:val="22"/>
          <w:szCs w:val="22"/>
          <w:highlight w:val="none"/>
          <w:u w:val="single"/>
        </w:rPr>
        <w:t>施工场地清洁卫生的要求：按照通用条款9.1.8条并符合江苏省有关施工现场的文明卫生要求。在颁发任何移交证书之前，承包人应从该移交证书所涉及的那部分现场，清除并运出承包人的全部施工设备、多余材料、垃圾和各种临时工程，并保持该部分现场和工程清洁整齐，达到使监理工程师和发包人满意的使用状态。工程施工期间的交通组织均由承包人自行解决。</w:t>
      </w:r>
    </w:p>
    <w:p>
      <w:pPr>
        <w:numPr>
          <w:ilvl w:val="0"/>
          <w:numId w:val="8"/>
        </w:num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eastAsia="宋体" w:cs="Times New Roman"/>
          <w:bCs/>
          <w:color w:val="auto"/>
          <w:kern w:val="0"/>
          <w:sz w:val="22"/>
          <w:szCs w:val="22"/>
          <w:highlight w:val="none"/>
          <w:u w:val="single"/>
          <w:lang w:val="en-US" w:eastAsia="zh-CN"/>
        </w:rPr>
        <w:t>如经</w:t>
      </w:r>
      <w:r>
        <w:rPr>
          <w:rFonts w:hint="default" w:ascii="宋体" w:hAnsi="宋体" w:eastAsia="宋体" w:cs="Times New Roman"/>
          <w:bCs/>
          <w:color w:val="auto"/>
          <w:kern w:val="0"/>
          <w:sz w:val="22"/>
          <w:szCs w:val="22"/>
          <w:highlight w:val="none"/>
          <w:u w:val="single"/>
          <w:lang w:val="en-US" w:eastAsia="zh-CN"/>
        </w:rPr>
        <w:t>审计</w:t>
      </w:r>
      <w:r>
        <w:rPr>
          <w:rFonts w:hint="eastAsia" w:ascii="宋体" w:hAnsi="宋体" w:eastAsia="宋体" w:cs="Times New Roman"/>
          <w:bCs/>
          <w:color w:val="auto"/>
          <w:kern w:val="0"/>
          <w:sz w:val="22"/>
          <w:szCs w:val="22"/>
          <w:highlight w:val="none"/>
          <w:u w:val="single"/>
          <w:lang w:val="en-US" w:eastAsia="zh-CN"/>
        </w:rPr>
        <w:t>后的审计</w:t>
      </w:r>
      <w:r>
        <w:rPr>
          <w:rFonts w:hint="default" w:ascii="宋体" w:hAnsi="宋体" w:eastAsia="宋体" w:cs="Times New Roman"/>
          <w:bCs/>
          <w:color w:val="auto"/>
          <w:kern w:val="0"/>
          <w:sz w:val="22"/>
          <w:szCs w:val="22"/>
          <w:highlight w:val="none"/>
          <w:u w:val="single"/>
          <w:lang w:val="en-US" w:eastAsia="zh-CN"/>
        </w:rPr>
        <w:t>核减率</w:t>
      </w:r>
      <w:r>
        <w:rPr>
          <w:rFonts w:hint="eastAsia" w:ascii="宋体" w:hAnsi="宋体" w:eastAsia="宋体" w:cs="Times New Roman"/>
          <w:bCs/>
          <w:color w:val="auto"/>
          <w:kern w:val="0"/>
          <w:sz w:val="22"/>
          <w:szCs w:val="22"/>
          <w:highlight w:val="none"/>
          <w:u w:val="single"/>
          <w:lang w:val="en-US" w:eastAsia="zh-CN"/>
        </w:rPr>
        <w:t>低于</w:t>
      </w:r>
      <w:r>
        <w:rPr>
          <w:rFonts w:hint="default" w:ascii="宋体" w:hAnsi="宋体" w:eastAsia="宋体" w:cs="Times New Roman"/>
          <w:bCs/>
          <w:color w:val="auto"/>
          <w:kern w:val="0"/>
          <w:sz w:val="22"/>
          <w:szCs w:val="22"/>
          <w:highlight w:val="none"/>
          <w:u w:val="single"/>
          <w:lang w:val="en-US" w:eastAsia="zh-CN"/>
        </w:rPr>
        <w:t>5%(含5%)，审计费由发包人承担。</w:t>
      </w:r>
      <w:r>
        <w:rPr>
          <w:rFonts w:hint="eastAsia" w:ascii="宋体" w:hAnsi="宋体" w:eastAsia="宋体" w:cs="Times New Roman"/>
          <w:bCs/>
          <w:color w:val="auto"/>
          <w:kern w:val="0"/>
          <w:sz w:val="22"/>
          <w:szCs w:val="22"/>
          <w:highlight w:val="none"/>
          <w:u w:val="single"/>
          <w:lang w:val="en-US" w:eastAsia="zh-CN"/>
        </w:rPr>
        <w:t>经</w:t>
      </w:r>
      <w:r>
        <w:rPr>
          <w:rFonts w:hint="default" w:ascii="宋体" w:hAnsi="宋体" w:eastAsia="宋体" w:cs="Times New Roman"/>
          <w:bCs/>
          <w:color w:val="auto"/>
          <w:kern w:val="0"/>
          <w:sz w:val="22"/>
          <w:szCs w:val="22"/>
          <w:highlight w:val="none"/>
          <w:u w:val="single"/>
          <w:lang w:val="en-US" w:eastAsia="zh-CN"/>
        </w:rPr>
        <w:t>审计</w:t>
      </w:r>
      <w:r>
        <w:rPr>
          <w:rFonts w:hint="eastAsia" w:ascii="宋体" w:hAnsi="宋体" w:eastAsia="宋体" w:cs="Times New Roman"/>
          <w:bCs/>
          <w:color w:val="auto"/>
          <w:kern w:val="0"/>
          <w:sz w:val="22"/>
          <w:szCs w:val="22"/>
          <w:highlight w:val="none"/>
          <w:u w:val="single"/>
          <w:lang w:val="en-US" w:eastAsia="zh-CN"/>
        </w:rPr>
        <w:t>后的审计</w:t>
      </w:r>
      <w:r>
        <w:rPr>
          <w:rFonts w:hint="default" w:ascii="宋体" w:hAnsi="宋体" w:eastAsia="宋体" w:cs="Times New Roman"/>
          <w:bCs/>
          <w:color w:val="auto"/>
          <w:kern w:val="0"/>
          <w:sz w:val="22"/>
          <w:szCs w:val="22"/>
          <w:highlight w:val="none"/>
          <w:u w:val="single"/>
          <w:lang w:val="en-US" w:eastAsia="zh-CN"/>
        </w:rPr>
        <w:t>核减率在5%～8%(含8%)之间，由承包人承担全部审计费用的50%；</w:t>
      </w:r>
      <w:r>
        <w:rPr>
          <w:rFonts w:hint="eastAsia" w:ascii="宋体" w:hAnsi="宋体" w:eastAsia="宋体" w:cs="Times New Roman"/>
          <w:bCs/>
          <w:color w:val="auto"/>
          <w:kern w:val="0"/>
          <w:sz w:val="22"/>
          <w:szCs w:val="22"/>
          <w:highlight w:val="none"/>
          <w:u w:val="single"/>
          <w:lang w:val="en-US" w:eastAsia="zh-CN"/>
        </w:rPr>
        <w:t>如果经审计后的审计</w:t>
      </w:r>
      <w:r>
        <w:rPr>
          <w:rFonts w:hint="default" w:ascii="宋体" w:hAnsi="宋体" w:eastAsia="宋体" w:cs="Times New Roman"/>
          <w:bCs/>
          <w:color w:val="auto"/>
          <w:kern w:val="0"/>
          <w:sz w:val="22"/>
          <w:szCs w:val="22"/>
          <w:highlight w:val="none"/>
          <w:u w:val="single"/>
          <w:lang w:val="en-US" w:eastAsia="zh-CN"/>
        </w:rPr>
        <w:t>核减率超过</w:t>
      </w:r>
      <w:r>
        <w:rPr>
          <w:rFonts w:hint="eastAsia" w:ascii="宋体" w:hAnsi="宋体" w:eastAsia="宋体" w:cs="Times New Roman"/>
          <w:bCs/>
          <w:color w:val="auto"/>
          <w:kern w:val="0"/>
          <w:sz w:val="22"/>
          <w:szCs w:val="22"/>
          <w:highlight w:val="none"/>
          <w:u w:val="single"/>
          <w:lang w:val="en-US" w:eastAsia="zh-CN"/>
        </w:rPr>
        <w:t>8</w:t>
      </w:r>
      <w:r>
        <w:rPr>
          <w:rFonts w:hint="default" w:ascii="宋体" w:hAnsi="宋体" w:eastAsia="宋体" w:cs="Times New Roman"/>
          <w:bCs/>
          <w:color w:val="auto"/>
          <w:kern w:val="0"/>
          <w:sz w:val="22"/>
          <w:szCs w:val="22"/>
          <w:highlight w:val="none"/>
          <w:u w:val="single"/>
          <w:lang w:val="en-US" w:eastAsia="zh-CN"/>
        </w:rPr>
        <w:t>%，</w:t>
      </w:r>
      <w:r>
        <w:rPr>
          <w:rFonts w:hint="eastAsia" w:ascii="宋体" w:hAnsi="宋体" w:eastAsia="宋体" w:cs="Times New Roman"/>
          <w:bCs/>
          <w:color w:val="auto"/>
          <w:kern w:val="0"/>
          <w:sz w:val="22"/>
          <w:szCs w:val="22"/>
          <w:highlight w:val="none"/>
          <w:u w:val="single"/>
          <w:lang w:val="en-US" w:eastAsia="zh-CN"/>
        </w:rPr>
        <w:t>则</w:t>
      </w:r>
      <w:r>
        <w:rPr>
          <w:rFonts w:hint="default" w:ascii="宋体" w:hAnsi="宋体" w:eastAsia="宋体" w:cs="Times New Roman"/>
          <w:bCs/>
          <w:color w:val="auto"/>
          <w:kern w:val="0"/>
          <w:sz w:val="22"/>
          <w:szCs w:val="22"/>
          <w:highlight w:val="none"/>
          <w:u w:val="single"/>
          <w:lang w:val="en-US" w:eastAsia="zh-CN"/>
        </w:rPr>
        <w:t>由承包人承担全部审计费用；上述须由承包人承担的审计费将直接在结算审定价中扣除。</w:t>
      </w:r>
    </w:p>
    <w:p>
      <w:pPr>
        <w:numPr>
          <w:ilvl w:val="0"/>
          <w:numId w:val="8"/>
        </w:num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双方约定承包人应做的其他工作：</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①承包人安排施工进度时，须统一考虑与其他专业承包工程的交叉施工周期，并配合发包人做好协调工作；</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②按时提交符合相关部门要求工程竣工资料，费用自理；</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③如有需要，双方另行协商确定。</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3.2 项目经理</w:t>
      </w:r>
    </w:p>
    <w:p>
      <w:pPr>
        <w:adjustRightInd w:val="0"/>
        <w:spacing w:line="400" w:lineRule="exact"/>
        <w:ind w:firstLine="440" w:firstLineChars="200"/>
        <w:rPr>
          <w:rFonts w:ascii="宋体" w:hAnsi="宋体"/>
          <w:color w:val="auto"/>
          <w:sz w:val="22"/>
          <w:szCs w:val="22"/>
          <w:highlight w:val="none"/>
        </w:rPr>
      </w:pPr>
      <w:r>
        <w:rPr>
          <w:rFonts w:ascii="宋体" w:hAnsi="宋体"/>
          <w:color w:val="auto"/>
          <w:kern w:val="0"/>
          <w:sz w:val="22"/>
          <w:szCs w:val="22"/>
          <w:highlight w:val="none"/>
        </w:rPr>
        <w:t xml:space="preserve">3.2.1 </w:t>
      </w:r>
      <w:r>
        <w:rPr>
          <w:rFonts w:ascii="宋体" w:hAnsi="宋体"/>
          <w:color w:val="auto"/>
          <w:sz w:val="22"/>
          <w:szCs w:val="22"/>
          <w:highlight w:val="none"/>
        </w:rPr>
        <w:t>项目经理：</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姓    名：</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hint="eastAsia" w:ascii="宋体" w:hAnsi="宋体" w:cs="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建造师执业资格等级：</w:t>
      </w:r>
      <w:r>
        <w:rPr>
          <w:rFonts w:hint="eastAsia" w:ascii="宋体" w:hAnsi="宋体" w:cs="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建造师注册证书号：</w:t>
      </w:r>
      <w:r>
        <w:rPr>
          <w:rFonts w:hint="eastAsia" w:ascii="宋体" w:hAnsi="宋体" w:cs="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建造师执业印章号：</w:t>
      </w:r>
      <w:r>
        <w:rPr>
          <w:rFonts w:hint="eastAsia" w:ascii="宋体" w:hAnsi="宋体" w:cs="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安全生产考核合格证书号：</w:t>
      </w:r>
      <w:r>
        <w:rPr>
          <w:rFonts w:hint="eastAsia" w:ascii="宋体" w:hAnsi="宋体" w:cs="宋体"/>
          <w:color w:val="auto"/>
          <w:sz w:val="22"/>
          <w:szCs w:val="22"/>
          <w:highlight w:val="none"/>
          <w:u w:val="single"/>
        </w:rPr>
        <w:t xml:space="preserve">        ；</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hint="eastAsia" w:ascii="宋体" w:hAnsi="宋体" w:cs="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hint="eastAsia" w:ascii="宋体" w:hAnsi="宋体" w:cs="宋体"/>
          <w:color w:val="auto"/>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hint="eastAsia" w:ascii="宋体" w:hAnsi="宋体" w:cs="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承包人对项目经理的授权范围如下：</w:t>
      </w:r>
      <w:r>
        <w:rPr>
          <w:rFonts w:hint="eastAsia" w:ascii="宋体" w:hAnsi="宋体" w:cs="宋体"/>
          <w:color w:val="auto"/>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关于项目经理每月在施工现场的时间要求：</w:t>
      </w:r>
      <w:r>
        <w:rPr>
          <w:rFonts w:hint="eastAsia" w:ascii="宋体" w:hAnsi="宋体"/>
          <w:bCs/>
          <w:color w:val="auto"/>
          <w:kern w:val="0"/>
          <w:sz w:val="22"/>
          <w:szCs w:val="22"/>
          <w:highlight w:val="none"/>
          <w:u w:val="single"/>
        </w:rPr>
        <w:t>每月不少于25天，每天不少于8小时；必须参加每周例会及有关专题会议，无故擅自缺席会议的处罚2000元/次。</w:t>
      </w:r>
    </w:p>
    <w:p>
      <w:pPr>
        <w:adjustRightInd w:val="0"/>
        <w:spacing w:line="400" w:lineRule="exact"/>
        <w:ind w:firstLine="440" w:firstLineChars="200"/>
        <w:rPr>
          <w:rFonts w:hint="eastAsia" w:ascii="宋体" w:hAnsi="宋体"/>
          <w:color w:val="auto"/>
          <w:kern w:val="0"/>
          <w:sz w:val="22"/>
          <w:szCs w:val="22"/>
          <w:highlight w:val="none"/>
        </w:rPr>
      </w:pPr>
      <w:r>
        <w:rPr>
          <w:rFonts w:ascii="宋体" w:hAnsi="宋体"/>
          <w:color w:val="auto"/>
          <w:kern w:val="0"/>
          <w:sz w:val="22"/>
          <w:szCs w:val="22"/>
          <w:highlight w:val="none"/>
        </w:rPr>
        <w:t>承包人未提交劳动合同，以及没有为项目经理缴纳社会保险证明的违约责任：</w:t>
      </w:r>
      <w:r>
        <w:rPr>
          <w:rFonts w:hint="eastAsia" w:ascii="宋体" w:hAnsi="宋体"/>
          <w:bCs/>
          <w:color w:val="auto"/>
          <w:kern w:val="0"/>
          <w:sz w:val="22"/>
          <w:szCs w:val="22"/>
          <w:highlight w:val="none"/>
          <w:u w:val="single"/>
        </w:rPr>
        <w:t>一经发现，承包人必须无条件放弃或退出本合同工程的承包权，自行承担已经发生的、用于承揽及实施本合同工程所有费用、利息及税金并不得以任何形式向甲方追讨；对于造成甲方重大经济损失的，承包人有责任配合甲方进行清算并承担甲方所发生的经济损失</w:t>
      </w:r>
    </w:p>
    <w:p>
      <w:pPr>
        <w:adjustRightInd w:val="0"/>
        <w:spacing w:line="400" w:lineRule="exact"/>
        <w:ind w:firstLine="440" w:firstLineChars="200"/>
        <w:rPr>
          <w:rFonts w:hint="eastAsia" w:ascii="宋体" w:hAnsi="宋体"/>
          <w:color w:val="auto"/>
          <w:kern w:val="0"/>
          <w:sz w:val="22"/>
          <w:szCs w:val="22"/>
          <w:highlight w:val="none"/>
        </w:rPr>
      </w:pPr>
      <w:r>
        <w:rPr>
          <w:rFonts w:ascii="宋体" w:hAnsi="宋体"/>
          <w:color w:val="auto"/>
          <w:kern w:val="0"/>
          <w:sz w:val="22"/>
          <w:szCs w:val="22"/>
          <w:highlight w:val="none"/>
        </w:rPr>
        <w:t>项目经理未经批准，擅自离开施工现场的违约责任：</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（1）发现第一次，由工程总监在工程例会上对项目经理作通报批评，并记入监理备忘。</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发现第二次，由监理单位记入监理备忘，并监理单位联合甲方书面通告承包人，由承包人作出处理方案，处理方案须经监理单位总监、甲方项目经理签章同意；承包人在收到书面通报后三天内一次性向监理单位直接缴纳项目经理擅离现场违约金壹万元整。</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3）发现第三次，由监理单位记入监理备忘，并监理单位联合甲方书面通告承包人；承包人必须无条件撤换项目经理，更换公司具有跟项目经理同等资质的生产副总或其他经监理单位、甲方认可的项目经理继续履行本合同工程约定的责任与义务；承包人在收到书面通报后三天内一次性向监理单位直接缴纳项目经理擅离现场违约金伍万元整。</w:t>
      </w:r>
    </w:p>
    <w:p>
      <w:pPr>
        <w:adjustRightInd w:val="0"/>
        <w:spacing w:line="400" w:lineRule="exact"/>
        <w:ind w:firstLine="440" w:firstLineChars="200"/>
        <w:rPr>
          <w:rFonts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（4）更换项目经理后的考勤责任约定及违约责任，按以上（1）、（2）、（3）条执行。</w:t>
      </w:r>
    </w:p>
    <w:p>
      <w:pPr>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3.2.3 承包人擅自更换项目经理的违约责任：</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（1）承包人不得擅自更换项目经理，擅自更换项目经理视为违约，按违约论责。</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（2）如承包人仍希望更换，但新换的项目经理经监理单位、甲方认可的，承包人必须无条件向甲方缴纳合同额的1%作为罚款（最高不超过壹万元）。</w:t>
      </w:r>
    </w:p>
    <w:p>
      <w:pPr>
        <w:adjustRightInd w:val="0"/>
        <w:spacing w:line="400" w:lineRule="exact"/>
        <w:ind w:firstLine="440" w:firstLineChars="200"/>
        <w:rPr>
          <w:rFonts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3）如承包人仍希望更换，但新换的项目经理未经监理单位、甲方认可的，甲方有权利单方面解除本合同，并通过律师函书面函告承包人。承包人从收到甲方律师函之刻起双方合同关系立即解除，并且承包人愿意以甲方财务已支付给承包人的金额作为本合同工程的清算金额，承包人愿意以本合同工程现场现状在收到甲方律师函之刻起立刻移交甲方。作为处罚，承包人自行承担已经发生的、用于承揽及实施本合同工程所有费用、利息及税金并不得以任何形式向甲方追讨；对于造成甲方重大经济损失的，承包人有责任配合甲方进行清算并承担甲方所发生的经济损失。</w:t>
      </w:r>
    </w:p>
    <w:p>
      <w:pPr>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3.2.4 承包人无正当理由拒绝更换项目经理的违约责任：</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（1）经发包人、监理人一致认定承包人项目经理不称职的，发包人有权要求承包人立即更换，承包人无正当理由而拒绝的，视为违约，按违约论责。</w:t>
      </w:r>
    </w:p>
    <w:p>
      <w:pPr>
        <w:adjustRightInd w:val="0"/>
        <w:spacing w:line="400" w:lineRule="exact"/>
        <w:ind w:firstLine="440" w:firstLineChars="200"/>
        <w:rPr>
          <w:rFonts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对于承包人无正当理由拒绝更换项目经理的违约行为，甲方有权利单方面解除本合同，并通过律师函书面函告承包人。承包人从收到甲方律师函之刻起双方合同关系立即解除，并且承包人愿意以甲方财务已支付给承包人的金额作为本合同工程的清算金额，承包人愿意以本合同工程现场现状在收到甲方律师函之刻起立刻移交甲方。作为处罚，承包人自行承担已经发生的、用于承揽及实施本合同工程所有费用、利息及税金并不得以任何形式向甲方追讨；对于造成甲方重大经济损失的，承包人有责任配合甲方进行清算并承担甲方所发生的经济损失。</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3.3 承包人人员</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ascii="宋体" w:hAnsi="宋体"/>
          <w:color w:val="auto"/>
          <w:sz w:val="22"/>
          <w:szCs w:val="22"/>
          <w:highlight w:val="none"/>
        </w:rPr>
        <w:t>3.3.1 承包人提交项目管理机构及施工现场管理人员安排报告的期限：</w:t>
      </w:r>
      <w:r>
        <w:rPr>
          <w:rFonts w:hint="eastAsia" w:ascii="宋体" w:hAnsi="宋体"/>
          <w:bCs/>
          <w:color w:val="auto"/>
          <w:kern w:val="0"/>
          <w:sz w:val="22"/>
          <w:szCs w:val="22"/>
          <w:highlight w:val="none"/>
          <w:u w:val="single"/>
        </w:rPr>
        <w:t>最迟为领取中标通知书之日后第七天。</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3.3.3 承包人无正当理由拒绝撤换主要施工管理人员的违约责任：</w:t>
      </w:r>
      <w:r>
        <w:rPr>
          <w:rFonts w:hint="eastAsia" w:ascii="宋体" w:hAnsi="宋体"/>
          <w:bCs/>
          <w:color w:val="auto"/>
          <w:kern w:val="0"/>
          <w:sz w:val="22"/>
          <w:szCs w:val="22"/>
          <w:highlight w:val="none"/>
          <w:u w:val="single"/>
        </w:rPr>
        <w:t>承包人必须无条件向甲方缴纳合同额的1%作为罚款（最高不超过贰万元）；另外对于造成甲方重大经济损失的，承包人有责任配合甲方进行清算并承担甲方所发生的经济损失。</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3.3.4 承包人主要施工管理人员离开施工现场的批准要求：</w:t>
      </w:r>
      <w:r>
        <w:rPr>
          <w:rFonts w:hint="eastAsia" w:ascii="宋体" w:hAnsi="宋体"/>
          <w:bCs/>
          <w:color w:val="auto"/>
          <w:kern w:val="0"/>
          <w:sz w:val="22"/>
          <w:szCs w:val="22"/>
          <w:highlight w:val="none"/>
          <w:u w:val="single"/>
        </w:rPr>
        <w:t>经承包人项目经理、甲方项目经理双方书面同意。</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ascii="宋体" w:hAnsi="宋体"/>
          <w:color w:val="auto"/>
          <w:sz w:val="22"/>
          <w:szCs w:val="22"/>
          <w:highlight w:val="none"/>
        </w:rPr>
        <w:t>3.3.5承包人擅自更换主要施工管理人员的违约责任：</w:t>
      </w:r>
      <w:r>
        <w:rPr>
          <w:rFonts w:hint="eastAsia" w:ascii="宋体" w:hAnsi="宋体"/>
          <w:bCs/>
          <w:color w:val="auto"/>
          <w:kern w:val="0"/>
          <w:sz w:val="22"/>
          <w:szCs w:val="22"/>
          <w:highlight w:val="none"/>
          <w:u w:val="single"/>
        </w:rPr>
        <w:t>承包人必须无条件向甲方缴纳合同额的1%作为罚款（最高不超过贰万元）。</w:t>
      </w:r>
    </w:p>
    <w:p>
      <w:pPr>
        <w:adjustRightInd w:val="0"/>
        <w:spacing w:line="400" w:lineRule="exact"/>
        <w:ind w:firstLine="440" w:firstLineChars="200"/>
        <w:rPr>
          <w:rFonts w:hint="eastAsia" w:ascii="宋体" w:hAnsi="宋体"/>
          <w:color w:val="auto"/>
          <w:sz w:val="22"/>
          <w:szCs w:val="22"/>
          <w:highlight w:val="none"/>
          <w:u w:val="single"/>
        </w:rPr>
      </w:pPr>
      <w:r>
        <w:rPr>
          <w:rFonts w:ascii="宋体" w:hAnsi="宋体"/>
          <w:color w:val="auto"/>
          <w:sz w:val="22"/>
          <w:szCs w:val="22"/>
          <w:highlight w:val="none"/>
        </w:rPr>
        <w:t>承包人主要施工管理人员擅自离开施工现场的违约责任：</w:t>
      </w:r>
      <w:r>
        <w:rPr>
          <w:rFonts w:hint="eastAsia" w:ascii="宋体" w:hAnsi="宋体"/>
          <w:color w:val="auto"/>
          <w:sz w:val="22"/>
          <w:szCs w:val="22"/>
          <w:highlight w:val="none"/>
          <w:u w:val="single"/>
        </w:rPr>
        <w:t>（1）发现第一次，由工程总监在工程例会上对主要施工管理人员作通报批评，并记入监理备忘。</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2）发现第二次，由监理单位记入监理备忘，并监理单位联合甲方书面通告承包人项目经理部，由承包人项目经理部作出处理方案，处理方案须经监理单位总监、甲方项目经理签章同意；承包人项目经理部在收到书面通报后三天内一次性向监理单位直接缴纳主要施工管理人员擅离现场违约金壹万元整。</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3）发现第三次，由监理单位记入监理备忘，并监理单位联合甲方书面通告承包人；承包人必须无条件撤换该主要施工管理人员，更换公司其他经监理单位、甲方认可的管理人员继续履行本合同工程约定的责任与义务；承包人在收到书面通报后三天内一次性向监理单位直接缴纳该主要施工管理人员擅离现场违约金伍万元整。</w:t>
      </w:r>
    </w:p>
    <w:p>
      <w:pPr>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rPr>
        <w:t>（4）更换该主要施工管理人员后的考勤责任约定及违约责任，按以上（1）、（2）、（3）条执行。</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bookmarkStart w:id="60" w:name="_Toc312677988"/>
      <w:bookmarkStart w:id="61" w:name="_Toc292559869"/>
      <w:bookmarkStart w:id="62" w:name="_Toc300934945"/>
      <w:bookmarkStart w:id="63" w:name="_Toc297120459"/>
      <w:bookmarkStart w:id="64" w:name="_Toc292559364"/>
      <w:bookmarkStart w:id="65" w:name="_Toc297123492"/>
      <w:bookmarkStart w:id="66" w:name="_Toc303539102"/>
      <w:bookmarkStart w:id="67" w:name="_Toc297216151"/>
      <w:bookmarkStart w:id="68" w:name="_Toc296503159"/>
      <w:bookmarkStart w:id="69" w:name="_Toc296890987"/>
      <w:bookmarkStart w:id="70" w:name="_Toc297048345"/>
      <w:bookmarkStart w:id="71" w:name="_Toc296891199"/>
      <w:bookmarkStart w:id="72" w:name="_Toc296346660"/>
      <w:bookmarkStart w:id="73" w:name="_Toc296944498"/>
      <w:bookmarkStart w:id="74" w:name="_Toc304295523"/>
      <w:bookmarkStart w:id="75" w:name="_Toc296347158"/>
      <w:r>
        <w:rPr>
          <w:rFonts w:ascii="宋体" w:hAnsi="宋体"/>
          <w:color w:val="auto"/>
          <w:sz w:val="22"/>
          <w:szCs w:val="22"/>
          <w:highlight w:val="none"/>
        </w:rPr>
        <w:t>.5 分包</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bookmarkStart w:id="76" w:name="_Toc296890988"/>
      <w:bookmarkStart w:id="77" w:name="_Toc297216152"/>
      <w:bookmarkStart w:id="78" w:name="_Toc292559870"/>
      <w:bookmarkStart w:id="79" w:name="_Toc297120460"/>
      <w:bookmarkStart w:id="80" w:name="_Toc292559365"/>
      <w:bookmarkStart w:id="81" w:name="_Toc296891200"/>
      <w:bookmarkStart w:id="82" w:name="_Toc296944499"/>
      <w:bookmarkStart w:id="83" w:name="_Toc304295524"/>
      <w:bookmarkStart w:id="84" w:name="_Toc296347159"/>
      <w:bookmarkStart w:id="85" w:name="_Toc297123493"/>
      <w:bookmarkStart w:id="86" w:name="_Toc296503160"/>
      <w:bookmarkStart w:id="87" w:name="_Toc303539103"/>
      <w:bookmarkStart w:id="88" w:name="_Toc297048346"/>
      <w:bookmarkStart w:id="89" w:name="_Toc296346661"/>
      <w:bookmarkStart w:id="90" w:name="_Toc300934946"/>
      <w:bookmarkStart w:id="91" w:name="_Toc318581158"/>
      <w:bookmarkStart w:id="92" w:name="_Toc312677989"/>
      <w:r>
        <w:rPr>
          <w:rFonts w:ascii="宋体" w:hAnsi="宋体"/>
          <w:color w:val="auto"/>
          <w:sz w:val="22"/>
          <w:szCs w:val="22"/>
          <w:highlight w:val="none"/>
        </w:rPr>
        <w:t>.5.1 分包的一般约定</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禁止分包的工程包括：</w:t>
      </w:r>
      <w:r>
        <w:rPr>
          <w:rFonts w:hint="eastAsia" w:ascii="宋体" w:hAnsi="宋体"/>
          <w:bCs/>
          <w:color w:val="auto"/>
          <w:kern w:val="0"/>
          <w:sz w:val="22"/>
          <w:szCs w:val="22"/>
          <w:highlight w:val="none"/>
          <w:u w:val="single"/>
        </w:rPr>
        <w:t>本合同工程全部禁止分包</w:t>
      </w:r>
      <w:r>
        <w:rPr>
          <w:rFonts w:ascii="宋体" w:hAnsi="宋体"/>
          <w:bCs/>
          <w:color w:val="auto"/>
          <w:kern w:val="0"/>
          <w:sz w:val="22"/>
          <w:szCs w:val="22"/>
          <w:highlight w:val="none"/>
          <w:u w:val="single"/>
        </w:rPr>
        <w:t>。</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主体结构、关键性工作的范围：</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Start w:id="93" w:name="_Toc296891201"/>
      <w:bookmarkStart w:id="94" w:name="_Toc300934947"/>
      <w:bookmarkStart w:id="95" w:name="_Toc296347160"/>
      <w:bookmarkStart w:id="96" w:name="_Toc304295525"/>
      <w:bookmarkStart w:id="97" w:name="_Toc296944500"/>
      <w:bookmarkStart w:id="98" w:name="_Toc303539104"/>
      <w:bookmarkStart w:id="99" w:name="_Toc297120461"/>
      <w:bookmarkStart w:id="100" w:name="_Toc296346662"/>
      <w:bookmarkStart w:id="101" w:name="_Toc297048347"/>
      <w:bookmarkStart w:id="102" w:name="_Toc297216153"/>
      <w:bookmarkStart w:id="103" w:name="_Toc297123494"/>
      <w:bookmarkStart w:id="104" w:name="_Toc296503161"/>
      <w:bookmarkStart w:id="105" w:name="_Toc296890989"/>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bookmarkStart w:id="106" w:name="_Toc312677990"/>
      <w:bookmarkStart w:id="107" w:name="_Toc318581159"/>
      <w:r>
        <w:rPr>
          <w:rFonts w:ascii="宋体" w:hAnsi="宋体"/>
          <w:color w:val="auto"/>
          <w:sz w:val="22"/>
          <w:szCs w:val="22"/>
          <w:highlight w:val="none"/>
        </w:rPr>
        <w:t>.5.2分包的确定</w:t>
      </w:r>
    </w:p>
    <w:p>
      <w:pPr>
        <w:adjustRightInd w:val="0"/>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允许分包的专业工程包括：</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其他关于分包的约定：</w:t>
      </w:r>
      <w:r>
        <w:rPr>
          <w:rFonts w:hint="eastAsia" w:ascii="宋体" w:hAnsi="宋体"/>
          <w:color w:val="auto"/>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3.5.4 分包合同价款</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关于分包合同价款支付的约定：</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bookmarkEnd w:id="106"/>
    <w:bookmarkEnd w:id="107"/>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3.6 工程照管与成品、半成品保护</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kern w:val="0"/>
          <w:sz w:val="22"/>
          <w:szCs w:val="22"/>
          <w:highlight w:val="none"/>
        </w:rPr>
        <w:t>承包人负责照管工程及工程相关的材料、工程设备的起始时间：</w:t>
      </w:r>
      <w:r>
        <w:rPr>
          <w:rFonts w:hint="eastAsia" w:ascii="宋体" w:hAnsi="宋体"/>
          <w:bCs/>
          <w:color w:val="auto"/>
          <w:kern w:val="0"/>
          <w:sz w:val="22"/>
          <w:szCs w:val="22"/>
          <w:highlight w:val="none"/>
          <w:u w:val="single"/>
        </w:rPr>
        <w:t>从人员、材料、设备之一进场之日始，至人员、材料、材料全部撤场并完成本合同工程移交使用之日止，并满足 发包人要求。</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由于承包人采取的措施或管理不当等原因造成破坏的，承包人自费予以修复。 本项目移交前，乙方承包范围内所有材料与场地看护、成品与半成品保护等工作由乙方承担，发生任何偷盗、损坏等由乙方承担，甲方不承担任何责任。施工期内乙方对其他承包方的材料、半成品、成品以及人员、设备损坏的，由乙方承担全额赔偿。</w:t>
      </w:r>
      <w:r>
        <w:rPr>
          <w:rFonts w:ascii="宋体" w:hAnsi="宋体"/>
          <w:bCs/>
          <w:color w:val="auto"/>
          <w:kern w:val="0"/>
          <w:sz w:val="22"/>
          <w:szCs w:val="22"/>
          <w:highlight w:val="none"/>
          <w:u w:val="single"/>
        </w:rPr>
        <w:t xml:space="preserve"> </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3.7 履约担保</w:t>
      </w:r>
    </w:p>
    <w:p>
      <w:pPr>
        <w:adjustRightInd w:val="0"/>
        <w:spacing w:line="40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承包人是否提供履约担保：</w:t>
      </w:r>
      <w:r>
        <w:rPr>
          <w:rFonts w:hint="eastAsia" w:ascii="宋体" w:hAnsi="宋体"/>
          <w:color w:val="auto"/>
          <w:sz w:val="22"/>
          <w:szCs w:val="22"/>
          <w:highlight w:val="none"/>
          <w:u w:val="single"/>
        </w:rPr>
        <w:t>必须提供</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承包人提供履约担保的形式</w:t>
      </w:r>
      <w:r>
        <w:rPr>
          <w:rFonts w:hint="eastAsia" w:ascii="宋体" w:hAnsi="宋体"/>
          <w:color w:val="auto"/>
          <w:sz w:val="22"/>
          <w:szCs w:val="22"/>
          <w:highlight w:val="none"/>
        </w:rPr>
        <w:t>、金额及期限的</w:t>
      </w:r>
      <w:r>
        <w:rPr>
          <w:rFonts w:ascii="宋体" w:hAnsi="宋体"/>
          <w:color w:val="auto"/>
          <w:sz w:val="22"/>
          <w:szCs w:val="22"/>
          <w:highlight w:val="none"/>
        </w:rPr>
        <w:t>：</w:t>
      </w:r>
      <w:r>
        <w:rPr>
          <w:rFonts w:hint="eastAsia" w:ascii="宋体" w:hAnsi="宋体"/>
          <w:bCs/>
          <w:color w:val="auto"/>
          <w:kern w:val="0"/>
          <w:sz w:val="22"/>
          <w:szCs w:val="22"/>
          <w:highlight w:val="none"/>
          <w:u w:val="single"/>
        </w:rPr>
        <w:t>形式，银行保函；金额，合同价款的10％；期限：领取中标通知书之后，签订施工合同之前</w:t>
      </w:r>
      <w:r>
        <w:rPr>
          <w:rFonts w:ascii="宋体" w:hAnsi="宋体"/>
          <w:bCs/>
          <w:color w:val="auto"/>
          <w:kern w:val="0"/>
          <w:sz w:val="22"/>
          <w:szCs w:val="22"/>
          <w:highlight w:val="none"/>
          <w:u w:val="single"/>
        </w:rPr>
        <w:t>。</w:t>
      </w:r>
    </w:p>
    <w:p>
      <w:pPr>
        <w:pStyle w:val="9"/>
        <w:rPr>
          <w:color w:val="auto"/>
          <w:highlight w:val="none"/>
        </w:rPr>
      </w:pPr>
      <w:bookmarkStart w:id="108" w:name="_Toc351203636"/>
      <w:r>
        <w:rPr>
          <w:color w:val="auto"/>
          <w:highlight w:val="none"/>
        </w:rPr>
        <w:t>4</w:t>
      </w:r>
      <w:bookmarkStart w:id="109" w:name="_Toc296347161"/>
      <w:bookmarkStart w:id="110" w:name="_Toc297120462"/>
      <w:bookmarkStart w:id="111" w:name="_Toc296944501"/>
      <w:bookmarkStart w:id="112" w:name="_Toc267251413"/>
      <w:bookmarkStart w:id="113" w:name="_Toc296346663"/>
      <w:bookmarkStart w:id="114" w:name="_Toc296503162"/>
      <w:bookmarkStart w:id="115" w:name="_Toc296891202"/>
      <w:bookmarkStart w:id="116" w:name="_Toc292559871"/>
      <w:bookmarkStart w:id="117" w:name="_Toc297048348"/>
      <w:bookmarkStart w:id="118" w:name="_Toc296890990"/>
      <w:bookmarkStart w:id="119" w:name="_Toc292559366"/>
      <w:r>
        <w:rPr>
          <w:color w:val="auto"/>
          <w:highlight w:val="none"/>
        </w:rPr>
        <w:t>. 监</w:t>
      </w:r>
      <w:bookmarkEnd w:id="109"/>
      <w:bookmarkEnd w:id="110"/>
      <w:bookmarkEnd w:id="111"/>
      <w:bookmarkEnd w:id="112"/>
      <w:bookmarkEnd w:id="113"/>
      <w:bookmarkEnd w:id="114"/>
      <w:bookmarkEnd w:id="115"/>
      <w:bookmarkEnd w:id="116"/>
      <w:bookmarkEnd w:id="117"/>
      <w:bookmarkEnd w:id="118"/>
      <w:bookmarkEnd w:id="119"/>
      <w:r>
        <w:rPr>
          <w:color w:val="auto"/>
          <w:highlight w:val="none"/>
        </w:rPr>
        <w:t>理人</w:t>
      </w:r>
      <w:bookmarkEnd w:id="108"/>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4.1监理人的一般规定</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关于监理人的监理内容：</w:t>
      </w:r>
      <w:r>
        <w:rPr>
          <w:rFonts w:hint="eastAsia" w:ascii="宋体" w:hAnsi="宋体"/>
          <w:color w:val="auto"/>
          <w:sz w:val="22"/>
          <w:szCs w:val="22"/>
          <w:highlight w:val="none"/>
          <w:u w:val="single"/>
        </w:rPr>
        <w:t>施工全过程及保修阶段监理</w:t>
      </w:r>
      <w:r>
        <w:rPr>
          <w:rFonts w:ascii="宋体" w:hAnsi="宋体"/>
          <w:color w:val="auto"/>
          <w:sz w:val="22"/>
          <w:szCs w:val="22"/>
          <w:highlight w:val="none"/>
        </w:rPr>
        <w:t>。</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关于监理人的监理权限：</w:t>
      </w:r>
      <w:r>
        <w:rPr>
          <w:rFonts w:hint="eastAsia" w:ascii="宋体" w:hAnsi="宋体"/>
          <w:bCs/>
          <w:color w:val="auto"/>
          <w:kern w:val="0"/>
          <w:sz w:val="22"/>
          <w:szCs w:val="22"/>
          <w:highlight w:val="none"/>
          <w:u w:val="single"/>
        </w:rPr>
        <w:t>（1）按照建设部颁布的建设工程监理规范（GB50319-2013）对工程质量、造价、进度、安全文明施工进行全面控制与管理（施工与保修阶段）；</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（2）在施工期间如遇紧急情况，监理工程师认为将造成人员伤亡或危及本工程或临近财产需立即采取措施时，监理工程师有权在未征得发包人同意的情况下，发布处理紧急情况所必需的指令。承包人应予执行。</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rPr>
        <w:t>需要取得发包人批准才能行使的职权：</w:t>
      </w:r>
      <w:r>
        <w:rPr>
          <w:rFonts w:hint="eastAsia" w:ascii="宋体" w:hAnsi="宋体"/>
          <w:bCs/>
          <w:color w:val="auto"/>
          <w:kern w:val="0"/>
          <w:sz w:val="22"/>
          <w:szCs w:val="22"/>
          <w:highlight w:val="none"/>
          <w:u w:val="single"/>
        </w:rPr>
        <w:t>a、同意分包工程或指定分包人；b、变更价款；c、发布停工令、复工令、工程延期；d、确认索赔额，审核工程延长；e、暂定金额和安全文明施工措施费的使用；f、因不可抗力的因素产生的费用；g、同时担任多个项目总监；h、调整批准的监理规划；i、调换总监代表或主要专业监理工程师；j、其他需要发包人批准行使的权力。</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ascii="宋体" w:hAnsi="宋体"/>
          <w:color w:val="auto"/>
          <w:sz w:val="22"/>
          <w:szCs w:val="22"/>
          <w:highlight w:val="none"/>
        </w:rPr>
        <w:t>关于监理人在施工现场的办公场所、生活场所的提供和费用承担的约定：</w:t>
      </w:r>
      <w:r>
        <w:rPr>
          <w:rFonts w:hint="eastAsia" w:ascii="宋体" w:hAnsi="宋体"/>
          <w:bCs/>
          <w:color w:val="auto"/>
          <w:kern w:val="0"/>
          <w:sz w:val="22"/>
          <w:szCs w:val="22"/>
          <w:highlight w:val="none"/>
          <w:u w:val="single"/>
        </w:rPr>
        <w:t>由承包人承担，包含在合同总价内。</w:t>
      </w:r>
      <w:r>
        <w:rPr>
          <w:rFonts w:ascii="宋体" w:hAnsi="宋体"/>
          <w:bCs/>
          <w:color w:val="auto"/>
          <w:kern w:val="0"/>
          <w:sz w:val="22"/>
          <w:szCs w:val="22"/>
          <w:highlight w:val="none"/>
          <w:u w:val="single"/>
        </w:rPr>
        <w:t xml:space="preserve"> </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4.2 监理人员</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总监理工程师：</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姓    名：</w:t>
      </w:r>
      <w:r>
        <w:rPr>
          <w:rFonts w:hint="eastAsia" w:ascii="宋体" w:hAnsi="宋体"/>
          <w:color w:val="auto"/>
          <w:sz w:val="22"/>
          <w:szCs w:val="22"/>
          <w:highlight w:val="none"/>
          <w:u w:val="single"/>
        </w:rPr>
        <w:t xml:space="preserve">                   /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职    务：</w:t>
      </w:r>
      <w:r>
        <w:rPr>
          <w:rFonts w:hint="eastAsia" w:ascii="宋体" w:hAnsi="宋体"/>
          <w:color w:val="auto"/>
          <w:sz w:val="22"/>
          <w:szCs w:val="22"/>
          <w:highlight w:val="none"/>
          <w:u w:val="single"/>
        </w:rPr>
        <w:t xml:space="preserve">              /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监理工程师执业资格证书号：</w:t>
      </w:r>
      <w:r>
        <w:rPr>
          <w:rFonts w:hint="eastAsia" w:ascii="宋体" w:hAnsi="宋体"/>
          <w:color w:val="auto"/>
          <w:sz w:val="22"/>
          <w:szCs w:val="22"/>
          <w:highlight w:val="none"/>
          <w:u w:val="single"/>
        </w:rPr>
        <w:t xml:space="preserve">      /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hint="eastAsia" w:ascii="宋体" w:hAnsi="宋体"/>
          <w:color w:val="auto"/>
          <w:sz w:val="22"/>
          <w:szCs w:val="22"/>
          <w:highlight w:val="none"/>
          <w:u w:val="single"/>
        </w:rPr>
        <w:t xml:space="preserve">        /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hint="eastAsia" w:ascii="宋体" w:hAnsi="宋体"/>
          <w:color w:val="auto"/>
          <w:sz w:val="22"/>
          <w:szCs w:val="22"/>
          <w:highlight w:val="none"/>
          <w:u w:val="single"/>
        </w:rPr>
        <w:t xml:space="preserve">         /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hint="eastAsia" w:ascii="宋体" w:hAnsi="宋体"/>
          <w:color w:val="auto"/>
          <w:sz w:val="22"/>
          <w:szCs w:val="22"/>
          <w:highlight w:val="none"/>
          <w:u w:val="single"/>
        </w:rPr>
        <w:t xml:space="preserve">             /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关于监理人的其他约定：</w:t>
      </w:r>
      <w:r>
        <w:rPr>
          <w:rFonts w:hint="eastAsia" w:ascii="宋体" w:hAnsi="宋体" w:cs="宋体"/>
          <w:color w:val="auto"/>
          <w:sz w:val="22"/>
          <w:szCs w:val="22"/>
          <w:highlight w:val="none"/>
          <w:u w:val="single"/>
        </w:rPr>
        <w:t xml:space="preserve"> /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4.4 商定或确定</w:t>
      </w:r>
    </w:p>
    <w:p>
      <w:pPr>
        <w:adjustRightInd w:val="0"/>
        <w:spacing w:line="400" w:lineRule="exact"/>
        <w:ind w:firstLine="440" w:firstLineChars="200"/>
        <w:rPr>
          <w:rFonts w:hint="eastAsia" w:ascii="宋体" w:hAnsi="宋体"/>
          <w:color w:val="auto"/>
          <w:sz w:val="22"/>
          <w:szCs w:val="22"/>
          <w:highlight w:val="none"/>
        </w:rPr>
      </w:pPr>
      <w:bookmarkStart w:id="120" w:name="_Toc267251418"/>
      <w:r>
        <w:rPr>
          <w:rFonts w:ascii="宋体" w:hAnsi="宋体"/>
          <w:color w:val="auto"/>
          <w:sz w:val="22"/>
          <w:szCs w:val="22"/>
          <w:highlight w:val="none"/>
        </w:rPr>
        <w:t>在发包人和承包人不能通过协商达成一致意见时，发包人授权监理人对以下事项进行确定：</w:t>
      </w:r>
      <w:r>
        <w:rPr>
          <w:rFonts w:hint="eastAsia" w:ascii="宋体" w:hAnsi="宋体"/>
          <w:bCs/>
          <w:color w:val="auto"/>
          <w:kern w:val="0"/>
          <w:sz w:val="22"/>
          <w:szCs w:val="22"/>
          <w:highlight w:val="none"/>
          <w:u w:val="single"/>
        </w:rPr>
        <w:t>无</w:t>
      </w:r>
    </w:p>
    <w:p>
      <w:pPr>
        <w:pStyle w:val="9"/>
        <w:rPr>
          <w:color w:val="auto"/>
          <w:highlight w:val="none"/>
        </w:rPr>
      </w:pPr>
      <w:bookmarkStart w:id="121" w:name="_Toc351203637"/>
      <w:r>
        <w:rPr>
          <w:color w:val="auto"/>
          <w:highlight w:val="none"/>
        </w:rPr>
        <w:t>5</w:t>
      </w:r>
      <w:bookmarkEnd w:id="120"/>
      <w:bookmarkStart w:id="122" w:name="_Toc296890991"/>
      <w:bookmarkStart w:id="123" w:name="_Toc292559367"/>
      <w:bookmarkStart w:id="124" w:name="_Toc296944502"/>
      <w:bookmarkStart w:id="125" w:name="_Toc296346664"/>
      <w:bookmarkStart w:id="126" w:name="_Toc296347162"/>
      <w:bookmarkStart w:id="127" w:name="_Toc297120463"/>
      <w:bookmarkStart w:id="128" w:name="_Toc296891203"/>
      <w:bookmarkStart w:id="129" w:name="_Toc292559872"/>
      <w:bookmarkStart w:id="130" w:name="_Toc297048349"/>
      <w:bookmarkStart w:id="131" w:name="_Toc296503163"/>
      <w:r>
        <w:rPr>
          <w:color w:val="auto"/>
          <w:highlight w:val="none"/>
        </w:rPr>
        <w:t>. 工程质量</w:t>
      </w:r>
      <w:bookmarkEnd w:id="121"/>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5.1 质量要求</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5</w:t>
      </w:r>
      <w:bookmarkStart w:id="132" w:name="_Toc297123496"/>
      <w:bookmarkStart w:id="133" w:name="_Toc300934949"/>
      <w:bookmarkStart w:id="134" w:name="_Toc297216155"/>
      <w:bookmarkStart w:id="135" w:name="_Toc304295527"/>
      <w:bookmarkStart w:id="136" w:name="_Toc303539106"/>
      <w:bookmarkStart w:id="137" w:name="_Toc312677997"/>
      <w:bookmarkStart w:id="138" w:name="_Toc318581164"/>
      <w:r>
        <w:rPr>
          <w:rFonts w:ascii="宋体" w:hAnsi="宋体"/>
          <w:color w:val="auto"/>
          <w:sz w:val="22"/>
          <w:szCs w:val="22"/>
          <w:highlight w:val="none"/>
        </w:rPr>
        <w:t>.1.1 特殊质量标准和要求：</w:t>
      </w:r>
      <w:r>
        <w:rPr>
          <w:rFonts w:hint="eastAsia" w:ascii="宋体" w:hAnsi="宋体"/>
          <w:bCs/>
          <w:color w:val="auto"/>
          <w:kern w:val="0"/>
          <w:sz w:val="22"/>
          <w:szCs w:val="22"/>
          <w:highlight w:val="none"/>
          <w:u w:val="single"/>
        </w:rPr>
        <w:t>一次性验收合格</w:t>
      </w:r>
      <w:r>
        <w:rPr>
          <w:rFonts w:ascii="宋体" w:hAnsi="宋体"/>
          <w:bCs/>
          <w:color w:val="auto"/>
          <w:kern w:val="0"/>
          <w:sz w:val="22"/>
          <w:szCs w:val="22"/>
          <w:highlight w:val="none"/>
          <w:u w:val="single"/>
        </w:rPr>
        <w:t>。</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ascii="宋体" w:hAnsi="宋体"/>
          <w:color w:val="auto"/>
          <w:sz w:val="22"/>
          <w:szCs w:val="22"/>
          <w:highlight w:val="none"/>
        </w:rPr>
        <w:t>关于工程奖项的约定：</w:t>
      </w:r>
      <w:r>
        <w:rPr>
          <w:rFonts w:hint="eastAsia" w:ascii="宋体" w:hAnsi="宋体"/>
          <w:bCs/>
          <w:color w:val="auto"/>
          <w:kern w:val="0"/>
          <w:sz w:val="22"/>
          <w:szCs w:val="22"/>
          <w:highlight w:val="none"/>
          <w:u w:val="single"/>
        </w:rPr>
        <w:t>（1）本合同工程不能一次性验收合格的，视为违约，承包人一次性直接赔付甲方合同额的5%作为违约金；</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（2）本合同工程承包人同时获取质量及安全文明两方面争创目标的，承包人才可以申请本合同工程的安全文明生产考评费，并视为工程奖励。</w:t>
      </w:r>
    </w:p>
    <w:p>
      <w:pPr>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5.3 隐蔽工程检查</w:t>
      </w:r>
    </w:p>
    <w:p>
      <w:pPr>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5.3.1隐蔽工程验收部位：</w:t>
      </w:r>
      <w:r>
        <w:rPr>
          <w:rFonts w:hint="eastAsia" w:ascii="宋体" w:hAnsi="宋体"/>
          <w:color w:val="auto"/>
          <w:sz w:val="22"/>
          <w:szCs w:val="22"/>
          <w:highlight w:val="none"/>
          <w:u w:val="single"/>
        </w:rPr>
        <w:t>所有隐蔽工程均须报发包人验收。</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ascii="宋体" w:hAnsi="宋体"/>
          <w:color w:val="auto"/>
          <w:sz w:val="22"/>
          <w:szCs w:val="22"/>
          <w:highlight w:val="none"/>
        </w:rPr>
        <w:t>5.3.2承包人提前通知监理人隐蔽工程检查的期限的约定：</w:t>
      </w:r>
      <w:r>
        <w:rPr>
          <w:rFonts w:hint="eastAsia" w:ascii="宋体" w:hAnsi="宋体"/>
          <w:bCs/>
          <w:color w:val="auto"/>
          <w:kern w:val="0"/>
          <w:sz w:val="22"/>
          <w:szCs w:val="22"/>
          <w:highlight w:val="none"/>
          <w:u w:val="single"/>
        </w:rPr>
        <w:t>（1）所有隐蔽工程在隐蔽前必须提请监理人组织验收与计量，由监理人组织发包人、审计人、承包人，必要时同时组织设计人、勘察人等一起验收与计量，验收过程必须留有有效的影像资料与计量资料，未经验收与计量的隐蔽工程不得进行隐蔽或进入下道工序。</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未经验收与计量的隐蔽工程擅自进行隐蔽或进入下道工序的，视为违约，承包人单次直接赔付发包人该隐蔽工程中标额的10%作为违约金，并无条件恢复至具备验收条件，承包人承担恢复至验收条件的所有费用、利息及税金。</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3）承包人拒不恢复的，由监理单位记入监理备忘，并监理单位联合甲方书面通告承包人，由承包人作出处理方案，处理方案须经监理单位总监、甲方项目经理签章同意后执行；承包人在收到书面通报后三天内单次直接赔付甲方合同额的2%作为违约金。</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监理人不能按时进行检查时，应提前</w:t>
      </w:r>
      <w:r>
        <w:rPr>
          <w:rFonts w:ascii="宋体" w:hAnsi="宋体"/>
          <w:bCs/>
          <w:color w:val="auto"/>
          <w:kern w:val="0"/>
          <w:sz w:val="22"/>
          <w:szCs w:val="22"/>
          <w:highlight w:val="none"/>
          <w:u w:val="single"/>
        </w:rPr>
        <w:t xml:space="preserve"> </w:t>
      </w:r>
      <w:r>
        <w:rPr>
          <w:rFonts w:hint="eastAsia" w:ascii="宋体" w:hAnsi="宋体"/>
          <w:bCs/>
          <w:color w:val="auto"/>
          <w:kern w:val="0"/>
          <w:sz w:val="22"/>
          <w:szCs w:val="22"/>
          <w:highlight w:val="none"/>
          <w:u w:val="single"/>
        </w:rPr>
        <w:t>8</w:t>
      </w:r>
      <w:r>
        <w:rPr>
          <w:rFonts w:ascii="宋体" w:hAnsi="宋体"/>
          <w:bCs/>
          <w:color w:val="auto"/>
          <w:kern w:val="0"/>
          <w:sz w:val="22"/>
          <w:szCs w:val="22"/>
          <w:highlight w:val="none"/>
          <w:u w:val="single"/>
        </w:rPr>
        <w:t xml:space="preserve"> 小</w:t>
      </w:r>
      <w:r>
        <w:rPr>
          <w:rFonts w:ascii="宋体" w:hAnsi="宋体"/>
          <w:color w:val="auto"/>
          <w:sz w:val="22"/>
          <w:szCs w:val="22"/>
          <w:highlight w:val="none"/>
        </w:rPr>
        <w:t>时提交书面延期要求。</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关于延期最长不得超过：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48</w:t>
      </w:r>
      <w:r>
        <w:rPr>
          <w:rFonts w:ascii="宋体" w:hAnsi="宋体"/>
          <w:color w:val="auto"/>
          <w:sz w:val="22"/>
          <w:szCs w:val="22"/>
          <w:highlight w:val="none"/>
          <w:u w:val="single"/>
        </w:rPr>
        <w:t xml:space="preserve"> </w:t>
      </w:r>
      <w:r>
        <w:rPr>
          <w:rFonts w:ascii="宋体" w:hAnsi="宋体"/>
          <w:color w:val="auto"/>
          <w:sz w:val="22"/>
          <w:szCs w:val="22"/>
          <w:highlight w:val="none"/>
        </w:rPr>
        <w:t>小时。</w:t>
      </w:r>
    </w:p>
    <w:p>
      <w:pPr>
        <w:pStyle w:val="9"/>
        <w:rPr>
          <w:color w:val="auto"/>
          <w:highlight w:val="none"/>
        </w:rPr>
      </w:pPr>
      <w:bookmarkStart w:id="139" w:name="_Toc351203638"/>
      <w:r>
        <w:rPr>
          <w:color w:val="auto"/>
          <w:highlight w:val="none"/>
        </w:rPr>
        <w:t>6. 安全文明施工与环境保护</w:t>
      </w:r>
      <w:bookmarkEnd w:id="139"/>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6.1安全文明施工</w:t>
      </w:r>
    </w:p>
    <w:p>
      <w:pPr>
        <w:adjustRightInd w:val="0"/>
        <w:spacing w:line="400" w:lineRule="exact"/>
        <w:ind w:firstLine="440" w:firstLineChars="200"/>
        <w:rPr>
          <w:rFonts w:ascii="宋体" w:hAnsi="宋体"/>
          <w:bCs/>
          <w:color w:val="auto"/>
          <w:kern w:val="0"/>
          <w:sz w:val="22"/>
          <w:szCs w:val="22"/>
          <w:highlight w:val="none"/>
          <w:u w:val="single"/>
        </w:rPr>
      </w:pPr>
      <w:r>
        <w:rPr>
          <w:rFonts w:ascii="宋体" w:hAnsi="宋体"/>
          <w:color w:val="auto"/>
          <w:sz w:val="22"/>
          <w:szCs w:val="22"/>
          <w:highlight w:val="none"/>
        </w:rPr>
        <w:t>6.1.1 项目安全生产的达标目标及相应事项的约定</w:t>
      </w:r>
      <w:r>
        <w:rPr>
          <w:rFonts w:ascii="宋体" w:hAnsi="宋体"/>
          <w:bCs/>
          <w:color w:val="auto"/>
          <w:kern w:val="0"/>
          <w:sz w:val="22"/>
          <w:szCs w:val="22"/>
          <w:highlight w:val="none"/>
          <w:u w:val="single"/>
        </w:rPr>
        <w:t>：</w:t>
      </w:r>
      <w:r>
        <w:rPr>
          <w:rFonts w:hint="eastAsia" w:ascii="宋体" w:hAnsi="宋体"/>
          <w:bCs/>
          <w:color w:val="auto"/>
          <w:kern w:val="0"/>
          <w:sz w:val="22"/>
          <w:szCs w:val="22"/>
          <w:highlight w:val="none"/>
          <w:u w:val="single"/>
        </w:rPr>
        <w:t>由承包人负责施工范围内的一切安全防护措施，并承担施工范围内一切安全责任。</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6.1.4 关于治安保卫的特别约定：</w:t>
      </w:r>
      <w:r>
        <w:rPr>
          <w:rFonts w:hint="eastAsia" w:ascii="宋体" w:hAnsi="宋体"/>
          <w:bCs/>
          <w:color w:val="auto"/>
          <w:kern w:val="0"/>
          <w:sz w:val="22"/>
          <w:szCs w:val="22"/>
          <w:highlight w:val="none"/>
          <w:u w:val="single"/>
        </w:rPr>
        <w:t>本合同工程的治安保卫工作全部由承包人负责</w:t>
      </w:r>
      <w:r>
        <w:rPr>
          <w:rFonts w:ascii="宋体" w:hAnsi="宋体"/>
          <w:bCs/>
          <w:color w:val="auto"/>
          <w:kern w:val="0"/>
          <w:sz w:val="22"/>
          <w:szCs w:val="22"/>
          <w:highlight w:val="none"/>
          <w:u w:val="single"/>
        </w:rPr>
        <w:t>。</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关于编制施工场地治安管理计划的约定：</w:t>
      </w:r>
      <w:r>
        <w:rPr>
          <w:rFonts w:hint="eastAsia" w:ascii="宋体" w:hAnsi="宋体"/>
          <w:bCs/>
          <w:color w:val="auto"/>
          <w:kern w:val="0"/>
          <w:sz w:val="22"/>
          <w:szCs w:val="22"/>
          <w:highlight w:val="none"/>
          <w:u w:val="single"/>
        </w:rPr>
        <w:t>本合同工程的治安保卫工作全部由承包人负责。</w:t>
      </w:r>
    </w:p>
    <w:p>
      <w:pPr>
        <w:adjustRightInd w:val="0"/>
        <w:spacing w:line="400"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6.1.5 文明施工</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color w:val="auto"/>
          <w:sz w:val="22"/>
          <w:szCs w:val="22"/>
          <w:highlight w:val="none"/>
        </w:rPr>
        <w:t>合同当事人对文明施工的要求：</w:t>
      </w:r>
      <w:r>
        <w:rPr>
          <w:rFonts w:hint="eastAsia" w:ascii="宋体" w:hAnsi="宋体"/>
          <w:bCs/>
          <w:color w:val="auto"/>
          <w:kern w:val="0"/>
          <w:sz w:val="22"/>
          <w:szCs w:val="22"/>
          <w:highlight w:val="none"/>
          <w:u w:val="single"/>
        </w:rPr>
        <w:t>（1）按锡建管办【2001】16号文——关于印发《无锡市建设工程文明施工标准化图集行为指南》的通知要求及《无锡市建设工程文明施工标准化图集行为指南》要求执行。由承包人负责按要求实施，监理人监督执行，安全事故由承包人承担一切责任与后果。</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（2）按环境保护按苏建招[2010]10 号文要求，承包人要执行切实可行的防止扬尘措施，并负责实施到位，如在施工期间发生扬尘事件由承包人承担一切后果。</w:t>
      </w:r>
    </w:p>
    <w:p>
      <w:pPr>
        <w:pStyle w:val="13"/>
        <w:spacing w:line="400" w:lineRule="exact"/>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6.1.6 关于安全文明施工费支付比例和支付期限的约定：</w:t>
      </w:r>
      <w:r>
        <w:rPr>
          <w:rFonts w:hint="eastAsia" w:ascii="宋体" w:hAnsi="宋体" w:eastAsia="宋体" w:cs="宋体"/>
          <w:bCs/>
          <w:color w:val="auto"/>
          <w:sz w:val="22"/>
          <w:szCs w:val="22"/>
          <w:highlight w:val="none"/>
          <w:u w:val="single"/>
        </w:rPr>
        <w:t>本合同工程的所有安全、文明施工费用均包含在本合同价款内，随工程进度款一起拨付。</w:t>
      </w:r>
    </w:p>
    <w:bookmarkEnd w:id="132"/>
    <w:bookmarkEnd w:id="133"/>
    <w:bookmarkEnd w:id="134"/>
    <w:bookmarkEnd w:id="135"/>
    <w:bookmarkEnd w:id="136"/>
    <w:bookmarkEnd w:id="137"/>
    <w:bookmarkEnd w:id="138"/>
    <w:p>
      <w:pPr>
        <w:pStyle w:val="9"/>
        <w:rPr>
          <w:color w:val="auto"/>
          <w:highlight w:val="none"/>
        </w:rPr>
      </w:pPr>
      <w:bookmarkStart w:id="140" w:name="_Toc351203639"/>
      <w:r>
        <w:rPr>
          <w:color w:val="auto"/>
          <w:highlight w:val="none"/>
        </w:rPr>
        <w:t>7. 工期和进度</w:t>
      </w:r>
      <w:bookmarkEnd w:id="140"/>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7.1 施工组织设计</w:t>
      </w:r>
    </w:p>
    <w:p>
      <w:pPr>
        <w:adjustRightInd w:val="0"/>
        <w:spacing w:line="400" w:lineRule="exact"/>
        <w:ind w:firstLine="440" w:firstLineChars="200"/>
        <w:rPr>
          <w:rFonts w:hint="eastAsia" w:ascii="宋体" w:hAnsi="宋体"/>
          <w:bCs/>
          <w:color w:val="auto"/>
          <w:kern w:val="0"/>
          <w:sz w:val="22"/>
          <w:szCs w:val="22"/>
          <w:highlight w:val="none"/>
          <w:u w:val="single"/>
        </w:rPr>
      </w:pPr>
      <w:r>
        <w:rPr>
          <w:rFonts w:ascii="宋体" w:hAnsi="宋体"/>
          <w:color w:val="auto"/>
          <w:sz w:val="22"/>
          <w:szCs w:val="22"/>
          <w:highlight w:val="none"/>
        </w:rPr>
        <w:t>7.1.</w:t>
      </w:r>
      <w:r>
        <w:rPr>
          <w:rFonts w:hint="eastAsia" w:ascii="宋体" w:hAnsi="宋体"/>
          <w:color w:val="auto"/>
          <w:sz w:val="22"/>
          <w:szCs w:val="22"/>
          <w:highlight w:val="none"/>
        </w:rPr>
        <w:t>1 合</w:t>
      </w:r>
      <w:r>
        <w:rPr>
          <w:rFonts w:hint="eastAsia" w:ascii="宋体" w:hAnsi="宋体"/>
          <w:color w:val="auto"/>
          <w:kern w:val="0"/>
          <w:sz w:val="22"/>
          <w:szCs w:val="22"/>
          <w:highlight w:val="none"/>
        </w:rPr>
        <w:t>同当事人约定的</w:t>
      </w:r>
      <w:r>
        <w:rPr>
          <w:rFonts w:ascii="宋体" w:hAnsi="宋体"/>
          <w:color w:val="auto"/>
          <w:kern w:val="0"/>
          <w:sz w:val="22"/>
          <w:szCs w:val="22"/>
          <w:highlight w:val="none"/>
        </w:rPr>
        <w:t>施工组织设计</w:t>
      </w:r>
      <w:r>
        <w:rPr>
          <w:rFonts w:hint="eastAsia" w:ascii="宋体" w:hAnsi="宋体"/>
          <w:color w:val="auto"/>
          <w:kern w:val="0"/>
          <w:sz w:val="22"/>
          <w:szCs w:val="22"/>
          <w:highlight w:val="none"/>
        </w:rPr>
        <w:t>应包括的其他内容</w:t>
      </w:r>
      <w:r>
        <w:rPr>
          <w:rFonts w:ascii="宋体" w:hAnsi="宋体"/>
          <w:color w:val="auto"/>
          <w:kern w:val="0"/>
          <w:sz w:val="22"/>
          <w:szCs w:val="22"/>
          <w:highlight w:val="none"/>
        </w:rPr>
        <w:t>：</w:t>
      </w:r>
      <w:r>
        <w:rPr>
          <w:rFonts w:hint="eastAsia" w:ascii="宋体" w:hAnsi="宋体"/>
          <w:bCs/>
          <w:color w:val="auto"/>
          <w:kern w:val="0"/>
          <w:sz w:val="22"/>
          <w:szCs w:val="22"/>
          <w:highlight w:val="none"/>
          <w:u w:val="single"/>
        </w:rPr>
        <w:t>包括但不限于承包人施工项目部组织构架管理、本合同工程的安全文明生产管理、质量管理、进度管理、资料管理、成本管理、材料管理、治安保卫管理、成品与半成品管理、不同单位间协作管理、各类应急预案管理、机具设备管理、农民工工资发放管理、农民工学校与教育管理、工程维稳管理等。</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 xml:space="preserve">7.1.2 </w:t>
      </w:r>
      <w:r>
        <w:rPr>
          <w:rFonts w:ascii="宋体" w:hAnsi="宋体"/>
          <w:color w:val="auto"/>
          <w:kern w:val="0"/>
          <w:sz w:val="22"/>
          <w:szCs w:val="22"/>
          <w:highlight w:val="none"/>
        </w:rPr>
        <w:t>施工组织设计的提交和修改</w:t>
      </w:r>
    </w:p>
    <w:p>
      <w:pPr>
        <w:adjustRightInd w:val="0"/>
        <w:spacing w:line="400" w:lineRule="exact"/>
        <w:ind w:firstLine="440" w:firstLineChars="200"/>
        <w:rPr>
          <w:rFonts w:hint="eastAsia" w:ascii="宋体" w:hAnsi="宋体"/>
          <w:color w:val="auto"/>
          <w:sz w:val="22"/>
          <w:szCs w:val="22"/>
          <w:highlight w:val="none"/>
          <w:u w:val="single"/>
        </w:rPr>
      </w:pPr>
      <w:r>
        <w:rPr>
          <w:rFonts w:ascii="宋体" w:hAnsi="宋体"/>
          <w:color w:val="auto"/>
          <w:kern w:val="0"/>
          <w:sz w:val="22"/>
          <w:szCs w:val="22"/>
          <w:highlight w:val="none"/>
        </w:rPr>
        <w:t>承包人提交详细施工组织设计的期限的约定：</w:t>
      </w:r>
      <w:r>
        <w:rPr>
          <w:rFonts w:hint="eastAsia" w:ascii="宋体" w:hAnsi="宋体"/>
          <w:bCs/>
          <w:color w:val="auto"/>
          <w:kern w:val="0"/>
          <w:sz w:val="22"/>
          <w:szCs w:val="22"/>
          <w:highlight w:val="none"/>
          <w:u w:val="single"/>
        </w:rPr>
        <w:t>领取中标通知书、施工图纸，并踏勘完现场后5天内。</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发包人和监理人在收到</w:t>
      </w:r>
      <w:r>
        <w:rPr>
          <w:rFonts w:hint="eastAsia" w:ascii="宋体" w:hAnsi="宋体"/>
          <w:color w:val="auto"/>
          <w:sz w:val="22"/>
          <w:szCs w:val="22"/>
          <w:highlight w:val="none"/>
        </w:rPr>
        <w:t>详细的施工组织设计</w:t>
      </w:r>
      <w:r>
        <w:rPr>
          <w:rFonts w:ascii="宋体" w:hAnsi="宋体"/>
          <w:color w:val="auto"/>
          <w:sz w:val="22"/>
          <w:szCs w:val="22"/>
          <w:highlight w:val="none"/>
        </w:rPr>
        <w:t>后确认或提出修改意见的期限：</w:t>
      </w:r>
      <w:r>
        <w:rPr>
          <w:rFonts w:hint="eastAsia" w:ascii="宋体" w:hAnsi="宋体"/>
          <w:bCs/>
          <w:color w:val="auto"/>
          <w:kern w:val="0"/>
          <w:sz w:val="22"/>
          <w:szCs w:val="22"/>
          <w:highlight w:val="none"/>
          <w:u w:val="single"/>
        </w:rPr>
        <w:t>5天内</w:t>
      </w:r>
      <w:r>
        <w:rPr>
          <w:rFonts w:ascii="宋体" w:hAnsi="宋体"/>
          <w:bCs/>
          <w:color w:val="auto"/>
          <w:kern w:val="0"/>
          <w:sz w:val="22"/>
          <w:szCs w:val="22"/>
          <w:highlight w:val="none"/>
          <w:u w:val="single"/>
        </w:rPr>
        <w:t>。</w:t>
      </w:r>
    </w:p>
    <w:p>
      <w:pPr>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7</w:t>
      </w:r>
      <w:bookmarkStart w:id="141" w:name="_Toc312678005"/>
      <w:bookmarkStart w:id="142" w:name="_Toc297216173"/>
      <w:bookmarkStart w:id="143" w:name="_Toc297123514"/>
      <w:bookmarkStart w:id="144" w:name="_Toc304295541"/>
      <w:bookmarkStart w:id="145" w:name="_Toc312677479"/>
      <w:bookmarkStart w:id="146" w:name="_Toc300934966"/>
      <w:bookmarkStart w:id="147" w:name="_Toc303539123"/>
      <w:r>
        <w:rPr>
          <w:rFonts w:ascii="宋体" w:hAnsi="宋体"/>
          <w:color w:val="auto"/>
          <w:sz w:val="22"/>
          <w:szCs w:val="22"/>
          <w:highlight w:val="none"/>
        </w:rPr>
        <w:t>.2 施工进度计划</w:t>
      </w:r>
    </w:p>
    <w:p>
      <w:pPr>
        <w:autoSpaceDE w:val="0"/>
        <w:autoSpaceDN w:val="0"/>
        <w:adjustRightInd w:val="0"/>
        <w:spacing w:line="400"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7.2.1</w:t>
      </w:r>
      <w:r>
        <w:rPr>
          <w:rFonts w:ascii="宋体" w:hAnsi="宋体"/>
          <w:color w:val="auto"/>
          <w:kern w:val="0"/>
          <w:sz w:val="22"/>
          <w:szCs w:val="22"/>
          <w:highlight w:val="none"/>
        </w:rPr>
        <w:t>承包人提交详细施工</w:t>
      </w:r>
      <w:r>
        <w:rPr>
          <w:rFonts w:hint="eastAsia" w:ascii="宋体" w:hAnsi="宋体"/>
          <w:color w:val="auto"/>
          <w:kern w:val="0"/>
          <w:sz w:val="22"/>
          <w:szCs w:val="22"/>
          <w:highlight w:val="none"/>
        </w:rPr>
        <w:t>进度计划</w:t>
      </w:r>
      <w:r>
        <w:rPr>
          <w:rFonts w:ascii="宋体" w:hAnsi="宋体"/>
          <w:color w:val="auto"/>
          <w:kern w:val="0"/>
          <w:sz w:val="22"/>
          <w:szCs w:val="22"/>
          <w:highlight w:val="none"/>
        </w:rPr>
        <w:t>的期限的约定：</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7.2.2 施工进度计划的修订</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发包人和监理人在收到修订的施工进度计划后确认或提出修改意见的期限：</w:t>
      </w:r>
      <w:r>
        <w:rPr>
          <w:rFonts w:hint="eastAsia" w:ascii="宋体" w:hAnsi="宋体"/>
          <w:bCs/>
          <w:color w:val="auto"/>
          <w:kern w:val="0"/>
          <w:sz w:val="22"/>
          <w:szCs w:val="22"/>
          <w:highlight w:val="none"/>
          <w:u w:val="single"/>
        </w:rPr>
        <w:t>5天内</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7.3 开工</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7.3.1 开工准备</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关于承包人提交</w:t>
      </w:r>
      <w:r>
        <w:rPr>
          <w:rFonts w:ascii="宋体" w:hAnsi="宋体"/>
          <w:color w:val="auto"/>
          <w:kern w:val="0"/>
          <w:sz w:val="22"/>
          <w:szCs w:val="22"/>
          <w:highlight w:val="none"/>
        </w:rPr>
        <w:t>工程开工报审表的期限：</w:t>
      </w:r>
      <w:r>
        <w:rPr>
          <w:rFonts w:hint="eastAsia" w:ascii="宋体" w:hAnsi="宋体"/>
          <w:bCs/>
          <w:color w:val="auto"/>
          <w:kern w:val="0"/>
          <w:sz w:val="22"/>
          <w:szCs w:val="22"/>
          <w:highlight w:val="none"/>
          <w:u w:val="single"/>
        </w:rPr>
        <w:t>/</w:t>
      </w:r>
      <w:r>
        <w:rPr>
          <w:rFonts w:ascii="宋体" w:hAnsi="宋体"/>
          <w:bCs/>
          <w:color w:val="auto"/>
          <w:kern w:val="0"/>
          <w:sz w:val="22"/>
          <w:szCs w:val="22"/>
          <w:highlight w:val="none"/>
          <w:u w:val="singl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关于发包人应完成的其他开工准备工作及期限：</w:t>
      </w:r>
      <w:r>
        <w:rPr>
          <w:rFonts w:hint="eastAsia" w:ascii="宋体" w:hAnsi="宋体"/>
          <w:bCs/>
          <w:color w:val="auto"/>
          <w:kern w:val="0"/>
          <w:sz w:val="22"/>
          <w:szCs w:val="22"/>
          <w:highlight w:val="none"/>
          <w:u w:val="single"/>
        </w:rPr>
        <w:t>/</w:t>
      </w:r>
      <w:r>
        <w:rPr>
          <w:rFonts w:ascii="宋体" w:hAnsi="宋体"/>
          <w:bCs/>
          <w:color w:val="auto"/>
          <w:kern w:val="0"/>
          <w:sz w:val="22"/>
          <w:szCs w:val="22"/>
          <w:highlight w:val="none"/>
          <w:u w:val="single"/>
        </w:rPr>
        <w:t>。</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关于承包人应完成的其他开工准备工作及期限：</w:t>
      </w:r>
      <w:r>
        <w:rPr>
          <w:rFonts w:hint="eastAsia" w:ascii="宋体" w:hAnsi="宋体"/>
          <w:bCs/>
          <w:color w:val="auto"/>
          <w:kern w:val="0"/>
          <w:sz w:val="22"/>
          <w:szCs w:val="22"/>
          <w:highlight w:val="none"/>
          <w:u w:val="singl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7.3.2开工通知</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因发包人原因造成监理人未能在计划开工日期之日起</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180</w:t>
      </w:r>
      <w:r>
        <w:rPr>
          <w:rFonts w:ascii="宋体" w:hAnsi="宋体"/>
          <w:color w:val="auto"/>
          <w:sz w:val="22"/>
          <w:szCs w:val="22"/>
          <w:highlight w:val="none"/>
          <w:u w:val="single"/>
        </w:rPr>
        <w:t xml:space="preserve"> </w:t>
      </w:r>
      <w:r>
        <w:rPr>
          <w:rFonts w:ascii="宋体" w:hAnsi="宋体"/>
          <w:color w:val="auto"/>
          <w:sz w:val="22"/>
          <w:szCs w:val="22"/>
          <w:highlight w:val="none"/>
        </w:rPr>
        <w:t>天内发出开工通知的，承包人有权提出价格调整要求，或者解除合同。</w:t>
      </w:r>
    </w:p>
    <w:bookmarkEnd w:id="141"/>
    <w:bookmarkEnd w:id="142"/>
    <w:bookmarkEnd w:id="143"/>
    <w:bookmarkEnd w:id="144"/>
    <w:bookmarkEnd w:id="145"/>
    <w:bookmarkEnd w:id="146"/>
    <w:bookmarkEnd w:id="147"/>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7.4 测量放线</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7.4.1发包人向承包人提供测量基准点、基准线和水准点及其书面资料的期限：</w:t>
      </w:r>
      <w:r>
        <w:rPr>
          <w:rFonts w:hint="eastAsia" w:ascii="宋体" w:hAnsi="宋体"/>
          <w:bCs/>
          <w:color w:val="auto"/>
          <w:kern w:val="0"/>
          <w:sz w:val="22"/>
          <w:szCs w:val="22"/>
          <w:highlight w:val="none"/>
          <w:u w:val="single"/>
        </w:rPr>
        <w:t>在正式开工前3天内。</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48" w:name="_Toc312677484"/>
      <w:bookmarkStart w:id="149" w:name="_Toc300934968"/>
      <w:bookmarkStart w:id="150" w:name="_Toc304295546"/>
      <w:bookmarkStart w:id="151" w:name="_Toc297123516"/>
      <w:bookmarkStart w:id="152" w:name="_Toc297216175"/>
      <w:bookmarkStart w:id="153" w:name="_Toc303539125"/>
      <w:bookmarkStart w:id="154" w:name="_Toc312678010"/>
      <w:r>
        <w:rPr>
          <w:rFonts w:ascii="宋体" w:hAnsi="宋体"/>
          <w:color w:val="auto"/>
          <w:sz w:val="22"/>
          <w:szCs w:val="22"/>
          <w:highlight w:val="none"/>
        </w:rPr>
        <w:t>.5 工期延误</w:t>
      </w:r>
    </w:p>
    <w:bookmarkEnd w:id="148"/>
    <w:bookmarkEnd w:id="149"/>
    <w:bookmarkEnd w:id="150"/>
    <w:bookmarkEnd w:id="151"/>
    <w:bookmarkEnd w:id="152"/>
    <w:bookmarkEnd w:id="153"/>
    <w:bookmarkEnd w:id="154"/>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7.5.1 因发包人原因导致工期延误</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（7）因发包人原因导致工期延误的其他情形：</w:t>
      </w:r>
      <w:r>
        <w:rPr>
          <w:rFonts w:hint="eastAsia" w:ascii="宋体" w:hAnsi="宋体"/>
          <w:bCs/>
          <w:color w:val="auto"/>
          <w:kern w:val="0"/>
          <w:sz w:val="22"/>
          <w:szCs w:val="22"/>
          <w:highlight w:val="none"/>
          <w:u w:val="single"/>
        </w:rPr>
        <w:t>按通用条款执行</w:t>
      </w:r>
      <w:r>
        <w:rPr>
          <w:rFonts w:ascii="宋体" w:hAnsi="宋体"/>
          <w:bCs/>
          <w:color w:val="auto"/>
          <w:kern w:val="0"/>
          <w:sz w:val="22"/>
          <w:szCs w:val="22"/>
          <w:highlight w:val="none"/>
          <w:u w:val="singl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w:t>
      </w:r>
      <w:bookmarkStart w:id="155" w:name="_Toc318581169"/>
      <w:bookmarkStart w:id="156" w:name="_Toc312678012"/>
      <w:bookmarkStart w:id="157" w:name="_Toc312677486"/>
      <w:bookmarkStart w:id="158" w:name="_Toc300934970"/>
      <w:bookmarkStart w:id="159" w:name="_Toc297216177"/>
      <w:bookmarkStart w:id="160" w:name="_Toc297123518"/>
      <w:bookmarkStart w:id="161" w:name="_Toc304295548"/>
      <w:bookmarkStart w:id="162" w:name="_Toc303539127"/>
      <w:r>
        <w:rPr>
          <w:rFonts w:ascii="宋体" w:hAnsi="宋体"/>
          <w:color w:val="auto"/>
          <w:sz w:val="22"/>
          <w:szCs w:val="22"/>
          <w:highlight w:val="none"/>
        </w:rPr>
        <w:t>.5.2 因承包人原因导致工期延误</w:t>
      </w:r>
    </w:p>
    <w:bookmarkEnd w:id="155"/>
    <w:bookmarkEnd w:id="156"/>
    <w:bookmarkEnd w:id="157"/>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因</w:t>
      </w:r>
      <w:bookmarkStart w:id="163" w:name="_Toc312678013"/>
      <w:bookmarkStart w:id="164" w:name="_Toc312677487"/>
      <w:bookmarkStart w:id="165" w:name="_Toc318581170"/>
      <w:r>
        <w:rPr>
          <w:rFonts w:ascii="宋体" w:hAnsi="宋体"/>
          <w:color w:val="auto"/>
          <w:sz w:val="22"/>
          <w:szCs w:val="22"/>
          <w:highlight w:val="none"/>
        </w:rPr>
        <w:t>承包人原因造成工期延误，逾期竣工违约金的计算方法为</w:t>
      </w:r>
      <w:r>
        <w:rPr>
          <w:rFonts w:ascii="宋体" w:hAnsi="宋体"/>
          <w:bCs/>
          <w:color w:val="auto"/>
          <w:kern w:val="0"/>
          <w:sz w:val="22"/>
          <w:szCs w:val="22"/>
          <w:highlight w:val="none"/>
          <w:u w:val="single"/>
        </w:rPr>
        <w:t>：</w:t>
      </w:r>
      <w:r>
        <w:rPr>
          <w:rFonts w:hint="eastAsia" w:ascii="宋体" w:hAnsi="宋体"/>
          <w:bCs/>
          <w:color w:val="auto"/>
          <w:kern w:val="0"/>
          <w:sz w:val="22"/>
          <w:szCs w:val="22"/>
          <w:highlight w:val="none"/>
          <w:u w:val="single"/>
        </w:rPr>
        <w:t>1000元/天。</w:t>
      </w:r>
      <w:bookmarkEnd w:id="158"/>
      <w:bookmarkEnd w:id="159"/>
      <w:bookmarkEnd w:id="160"/>
      <w:bookmarkEnd w:id="161"/>
      <w:bookmarkEnd w:id="162"/>
      <w:bookmarkEnd w:id="163"/>
      <w:bookmarkEnd w:id="164"/>
    </w:p>
    <w:bookmarkEnd w:id="165"/>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因承包人原因造成工期延误，逾</w:t>
      </w:r>
      <w:bookmarkStart w:id="166" w:name="_Toc312678014"/>
      <w:bookmarkStart w:id="167" w:name="_Toc318581171"/>
      <w:r>
        <w:rPr>
          <w:rFonts w:ascii="宋体" w:hAnsi="宋体"/>
          <w:color w:val="auto"/>
          <w:sz w:val="22"/>
          <w:szCs w:val="22"/>
          <w:highlight w:val="none"/>
        </w:rPr>
        <w:t>期竣工违约金的上限：</w:t>
      </w:r>
      <w:r>
        <w:rPr>
          <w:rFonts w:ascii="宋体" w:hAnsi="宋体"/>
          <w:bCs/>
          <w:color w:val="auto"/>
          <w:kern w:val="0"/>
          <w:sz w:val="22"/>
          <w:szCs w:val="22"/>
          <w:highlight w:val="none"/>
          <w:u w:val="single"/>
        </w:rPr>
        <w:t>逾期竣工违约金</w:t>
      </w:r>
      <w:r>
        <w:rPr>
          <w:rFonts w:hint="eastAsia" w:ascii="宋体" w:hAnsi="宋体"/>
          <w:bCs/>
          <w:color w:val="auto"/>
          <w:kern w:val="0"/>
          <w:sz w:val="22"/>
          <w:szCs w:val="22"/>
          <w:highlight w:val="none"/>
          <w:u w:val="single"/>
        </w:rPr>
        <w:t>不设上限</w:t>
      </w:r>
      <w:r>
        <w:rPr>
          <w:rFonts w:ascii="宋体" w:hAnsi="宋体"/>
          <w:bCs/>
          <w:color w:val="auto"/>
          <w:kern w:val="0"/>
          <w:sz w:val="22"/>
          <w:szCs w:val="22"/>
          <w:highlight w:val="none"/>
          <w:u w:val="single"/>
        </w:rPr>
        <w:t xml:space="preserve">  </w:t>
      </w:r>
      <w:r>
        <w:rPr>
          <w:rFonts w:hint="eastAsia" w:ascii="宋体" w:hAnsi="宋体"/>
          <w:bCs/>
          <w:color w:val="auto"/>
          <w:kern w:val="0"/>
          <w:sz w:val="22"/>
          <w:szCs w:val="22"/>
          <w:highlight w:val="none"/>
          <w:u w:val="single"/>
        </w:rPr>
        <w:t>。</w:t>
      </w:r>
    </w:p>
    <w:bookmarkEnd w:id="166"/>
    <w:bookmarkEnd w:id="167"/>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68" w:name="_Toc300934971"/>
      <w:bookmarkStart w:id="169" w:name="_Toc297216178"/>
      <w:bookmarkStart w:id="170" w:name="_Toc303539128"/>
      <w:bookmarkStart w:id="171" w:name="_Toc312678015"/>
      <w:bookmarkStart w:id="172" w:name="_Toc297123519"/>
      <w:bookmarkStart w:id="173" w:name="_Toc304295549"/>
      <w:r>
        <w:rPr>
          <w:rFonts w:ascii="宋体" w:hAnsi="宋体"/>
          <w:color w:val="auto"/>
          <w:sz w:val="22"/>
          <w:szCs w:val="22"/>
          <w:highlight w:val="none"/>
        </w:rPr>
        <w:t>.6 不</w:t>
      </w:r>
      <w:bookmarkEnd w:id="168"/>
      <w:bookmarkEnd w:id="169"/>
      <w:bookmarkEnd w:id="170"/>
      <w:bookmarkEnd w:id="171"/>
      <w:bookmarkEnd w:id="172"/>
      <w:bookmarkEnd w:id="173"/>
      <w:r>
        <w:rPr>
          <w:rFonts w:ascii="宋体" w:hAnsi="宋体"/>
          <w:color w:val="auto"/>
          <w:sz w:val="22"/>
          <w:szCs w:val="22"/>
          <w:highlight w:val="none"/>
        </w:rPr>
        <w:t>利物质条件</w:t>
      </w:r>
    </w:p>
    <w:p>
      <w:pPr>
        <w:adjustRightInd w:val="0"/>
        <w:spacing w:line="400" w:lineRule="exact"/>
        <w:ind w:firstLine="440" w:firstLineChars="200"/>
        <w:jc w:val="left"/>
        <w:rPr>
          <w:rFonts w:ascii="宋体" w:hAnsi="宋体"/>
          <w:bCs/>
          <w:color w:val="auto"/>
          <w:kern w:val="0"/>
          <w:sz w:val="22"/>
          <w:szCs w:val="22"/>
          <w:highlight w:val="none"/>
          <w:u w:val="single"/>
        </w:rPr>
      </w:pPr>
      <w:bookmarkStart w:id="174" w:name="_Toc300934972"/>
      <w:bookmarkStart w:id="175" w:name="_Toc312678016"/>
      <w:bookmarkStart w:id="176" w:name="_Toc297216179"/>
      <w:bookmarkStart w:id="177" w:name="_Toc318581172"/>
      <w:bookmarkStart w:id="178" w:name="_Toc303539129"/>
      <w:bookmarkStart w:id="179" w:name="_Toc297123520"/>
      <w:bookmarkStart w:id="180" w:name="_Toc304295550"/>
      <w:r>
        <w:rPr>
          <w:rFonts w:ascii="宋体" w:hAnsi="宋体"/>
          <w:color w:val="auto"/>
          <w:sz w:val="22"/>
          <w:szCs w:val="22"/>
          <w:highlight w:val="none"/>
        </w:rPr>
        <w:t>不利物质条件的其他情形和有关约定：</w:t>
      </w:r>
      <w:r>
        <w:rPr>
          <w:rFonts w:hint="eastAsia" w:ascii="宋体" w:hAnsi="宋体"/>
          <w:bCs/>
          <w:color w:val="auto"/>
          <w:kern w:val="0"/>
          <w:sz w:val="22"/>
          <w:szCs w:val="22"/>
          <w:highlight w:val="none"/>
          <w:u w:val="single"/>
        </w:rPr>
        <w:t>关于不利物质条件的界定：必须由承包人提出，经发包人确定后才可按不利物质条件界定，在必要情况下，发包人（有权组织设计人、勘察人、有关专家、有关部门专题会议确定后才可按不利物质条件界定。</w:t>
      </w:r>
      <w:r>
        <w:rPr>
          <w:rFonts w:ascii="宋体" w:hAnsi="宋体"/>
          <w:bCs/>
          <w:color w:val="auto"/>
          <w:kern w:val="0"/>
          <w:sz w:val="22"/>
          <w:szCs w:val="22"/>
          <w:highlight w:val="none"/>
          <w:u w:val="single"/>
        </w:rPr>
        <w:t xml:space="preserve">  。</w:t>
      </w:r>
    </w:p>
    <w:bookmarkEnd w:id="174"/>
    <w:bookmarkEnd w:id="175"/>
    <w:bookmarkEnd w:id="176"/>
    <w:bookmarkEnd w:id="177"/>
    <w:bookmarkEnd w:id="178"/>
    <w:bookmarkEnd w:id="179"/>
    <w:bookmarkEnd w:id="180"/>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81" w:name="_Toc304295551"/>
      <w:bookmarkStart w:id="182" w:name="_Toc312678017"/>
      <w:bookmarkStart w:id="183" w:name="_Toc297123521"/>
      <w:bookmarkStart w:id="184" w:name="_Toc300934973"/>
      <w:bookmarkStart w:id="185" w:name="_Toc303539130"/>
      <w:bookmarkStart w:id="186" w:name="_Toc297216180"/>
      <w:r>
        <w:rPr>
          <w:rFonts w:ascii="宋体" w:hAnsi="宋体"/>
          <w:color w:val="auto"/>
          <w:sz w:val="22"/>
          <w:szCs w:val="22"/>
          <w:highlight w:val="none"/>
        </w:rPr>
        <w:t>.7异常恶劣的气候条件</w:t>
      </w:r>
    </w:p>
    <w:bookmarkEnd w:id="181"/>
    <w:bookmarkEnd w:id="182"/>
    <w:bookmarkEnd w:id="183"/>
    <w:bookmarkEnd w:id="184"/>
    <w:bookmarkEnd w:id="185"/>
    <w:bookmarkEnd w:id="186"/>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发包人和承包人同意以下情形视为异常恶劣的气候条件：</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 xml:space="preserve">   </w:t>
      </w:r>
      <w:r>
        <w:rPr>
          <w:rFonts w:hint="eastAsia" w:ascii="宋体" w:hAnsi="宋体"/>
          <w:bCs/>
          <w:color w:val="auto"/>
          <w:kern w:val="0"/>
          <w:sz w:val="22"/>
          <w:szCs w:val="22"/>
          <w:highlight w:val="none"/>
          <w:u w:val="single"/>
        </w:rPr>
        <w:t>关于异常恶劣气候条件的界定：必须由承包人提出，发包人组织无锡气象部门、有关专家、其他有关部门专题会议确定后才可按异常恶劣气候条件的界定。</w:t>
      </w:r>
      <w:r>
        <w:rPr>
          <w:rFonts w:ascii="宋体" w:hAnsi="宋体"/>
          <w:bCs/>
          <w:color w:val="auto"/>
          <w:kern w:val="0"/>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（3）</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7.9 提前竣工的奖励</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7.9.2提前竣工的奖励：</w:t>
      </w:r>
      <w:r>
        <w:rPr>
          <w:rFonts w:ascii="宋体" w:hAnsi="宋体"/>
          <w:color w:val="auto"/>
          <w:sz w:val="22"/>
          <w:szCs w:val="22"/>
          <w:highlight w:val="none"/>
          <w:u w:val="single"/>
        </w:rPr>
        <w:t xml:space="preserve">  </w:t>
      </w:r>
      <w:r>
        <w:rPr>
          <w:rFonts w:hint="eastAsia" w:ascii="宋体" w:hAnsi="宋体"/>
          <w:bCs/>
          <w:color w:val="auto"/>
          <w:kern w:val="0"/>
          <w:sz w:val="22"/>
          <w:szCs w:val="22"/>
          <w:highlight w:val="none"/>
          <w:u w:val="single"/>
        </w:rPr>
        <w:t>本合同工程不设任何形式的提前竣工奖励</w:t>
      </w:r>
      <w:r>
        <w:rPr>
          <w:rFonts w:ascii="宋体" w:hAnsi="宋体"/>
          <w:bCs/>
          <w:color w:val="auto"/>
          <w:kern w:val="0"/>
          <w:sz w:val="22"/>
          <w:szCs w:val="22"/>
          <w:highlight w:val="none"/>
          <w:u w:val="single"/>
        </w:rPr>
        <w:t>。</w:t>
      </w:r>
    </w:p>
    <w:p>
      <w:pPr>
        <w:pStyle w:val="9"/>
        <w:rPr>
          <w:color w:val="auto"/>
          <w:highlight w:val="none"/>
        </w:rPr>
      </w:pPr>
      <w:bookmarkStart w:id="187" w:name="_Toc351203640"/>
      <w:r>
        <w:rPr>
          <w:color w:val="auto"/>
          <w:highlight w:val="none"/>
        </w:rPr>
        <w:t>8. 材料与设备</w:t>
      </w:r>
      <w:bookmarkEnd w:id="187"/>
    </w:p>
    <w:bookmarkEnd w:id="122"/>
    <w:bookmarkEnd w:id="123"/>
    <w:bookmarkEnd w:id="124"/>
    <w:bookmarkEnd w:id="125"/>
    <w:bookmarkEnd w:id="126"/>
    <w:bookmarkEnd w:id="127"/>
    <w:bookmarkEnd w:id="128"/>
    <w:bookmarkEnd w:id="129"/>
    <w:bookmarkEnd w:id="130"/>
    <w:bookmarkEnd w:id="131"/>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bookmarkStart w:id="188" w:name="_Toc304295556"/>
      <w:bookmarkStart w:id="189" w:name="_Toc297216186"/>
      <w:bookmarkStart w:id="190" w:name="_Toc312677493"/>
      <w:bookmarkStart w:id="191" w:name="_Toc292559372"/>
      <w:bookmarkStart w:id="192" w:name="_Toc296890995"/>
      <w:bookmarkStart w:id="193" w:name="_Toc292559877"/>
      <w:bookmarkStart w:id="194" w:name="_Toc296347166"/>
      <w:bookmarkStart w:id="195" w:name="_Toc303539136"/>
      <w:bookmarkStart w:id="196" w:name="_Toc297048353"/>
      <w:bookmarkStart w:id="197" w:name="_Toc297120467"/>
      <w:bookmarkStart w:id="198" w:name="_Toc300934979"/>
      <w:bookmarkStart w:id="199" w:name="_Toc296503167"/>
      <w:bookmarkStart w:id="200" w:name="_Toc296891207"/>
      <w:bookmarkStart w:id="201" w:name="_Toc312678019"/>
      <w:bookmarkStart w:id="202" w:name="_Toc297123527"/>
      <w:bookmarkStart w:id="203" w:name="_Toc296346668"/>
      <w:bookmarkStart w:id="204" w:name="_Toc280868654"/>
      <w:bookmarkStart w:id="205" w:name="_Toc296944506"/>
      <w:bookmarkStart w:id="206" w:name="_Toc267251424"/>
      <w:bookmarkStart w:id="207" w:name="_Toc280868655"/>
      <w:bookmarkStart w:id="208" w:name="_Toc280868656"/>
      <w:r>
        <w:rPr>
          <w:rFonts w:ascii="宋体" w:hAnsi="宋体"/>
          <w:color w:val="auto"/>
          <w:sz w:val="22"/>
          <w:szCs w:val="22"/>
          <w:highlight w:val="none"/>
        </w:rPr>
        <w:t>.4材料与工程设备的保管与使用</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8</w:t>
      </w:r>
      <w:bookmarkStart w:id="209" w:name="_Toc292559373"/>
      <w:bookmarkStart w:id="210" w:name="_Toc292559878"/>
      <w:bookmarkStart w:id="211" w:name="_Toc304295557"/>
      <w:bookmarkStart w:id="212" w:name="_Toc296503168"/>
      <w:bookmarkStart w:id="213" w:name="_Toc296890996"/>
      <w:bookmarkStart w:id="214" w:name="_Toc303539137"/>
      <w:bookmarkStart w:id="215" w:name="_Toc312678020"/>
      <w:bookmarkStart w:id="216" w:name="_Toc312677494"/>
      <w:bookmarkStart w:id="217" w:name="_Toc318581173"/>
      <w:bookmarkStart w:id="218" w:name="_Toc296347167"/>
      <w:bookmarkStart w:id="219" w:name="_Toc297120468"/>
      <w:bookmarkStart w:id="220" w:name="_Toc297123528"/>
      <w:bookmarkStart w:id="221" w:name="_Toc300934980"/>
      <w:bookmarkStart w:id="222" w:name="_Toc297216187"/>
      <w:bookmarkStart w:id="223" w:name="_Toc296944507"/>
      <w:bookmarkStart w:id="224" w:name="_Toc296891208"/>
      <w:bookmarkStart w:id="225" w:name="_Toc296346669"/>
      <w:bookmarkStart w:id="226" w:name="_Toc297048354"/>
      <w:r>
        <w:rPr>
          <w:rFonts w:ascii="宋体" w:hAnsi="宋体"/>
          <w:color w:val="auto"/>
          <w:sz w:val="22"/>
          <w:szCs w:val="22"/>
          <w:highlight w:val="none"/>
        </w:rPr>
        <w:t>.4.1发包人供应的材料设备的保管费用的承担：</w:t>
      </w:r>
      <w:r>
        <w:rPr>
          <w:rFonts w:hint="eastAsia" w:ascii="宋体" w:hAnsi="宋体"/>
          <w:color w:val="auto"/>
          <w:sz w:val="22"/>
          <w:szCs w:val="22"/>
          <w:highlight w:val="none"/>
          <w:u w:val="single"/>
        </w:rPr>
        <w:t>由承包人承担</w:t>
      </w:r>
      <w:r>
        <w:rPr>
          <w:rFonts w:ascii="宋体" w:hAnsi="宋体"/>
          <w:color w:val="auto"/>
          <w:sz w:val="22"/>
          <w:szCs w:val="22"/>
          <w:highlight w:val="none"/>
        </w:rPr>
        <w:t>。</w:t>
      </w:r>
      <w:bookmarkEnd w:id="209"/>
      <w:bookmarkEnd w:id="210"/>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8.6 样品</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8.6.1</w:t>
      </w:r>
      <w:r>
        <w:rPr>
          <w:rFonts w:ascii="宋体" w:hAnsi="宋体"/>
          <w:color w:val="auto"/>
          <w:kern w:val="0"/>
          <w:sz w:val="22"/>
          <w:szCs w:val="22"/>
          <w:highlight w:val="none"/>
        </w:rPr>
        <w:tab/>
      </w:r>
      <w:r>
        <w:rPr>
          <w:rFonts w:ascii="宋体" w:hAnsi="宋体"/>
          <w:color w:val="auto"/>
          <w:kern w:val="0"/>
          <w:sz w:val="22"/>
          <w:szCs w:val="22"/>
          <w:highlight w:val="none"/>
        </w:rPr>
        <w:t>样品的报送</w:t>
      </w:r>
      <w:r>
        <w:rPr>
          <w:rFonts w:hint="eastAsia" w:ascii="宋体" w:hAnsi="宋体"/>
          <w:color w:val="auto"/>
          <w:kern w:val="0"/>
          <w:sz w:val="22"/>
          <w:szCs w:val="22"/>
          <w:highlight w:val="none"/>
        </w:rPr>
        <w:t>与封存</w:t>
      </w:r>
    </w:p>
    <w:p>
      <w:pPr>
        <w:autoSpaceDE w:val="0"/>
        <w:autoSpaceDN w:val="0"/>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kern w:val="0"/>
          <w:sz w:val="22"/>
          <w:szCs w:val="22"/>
          <w:highlight w:val="none"/>
        </w:rPr>
        <w:t>需要承包人报送样品的材料或工程设备，样品的种类、名称、规格、数量要求：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p>
    <w:p>
      <w:pPr>
        <w:autoSpaceDE w:val="0"/>
        <w:autoSpaceDN w:val="0"/>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8.8 施工设备和临时设施</w:t>
      </w:r>
    </w:p>
    <w:p>
      <w:pPr>
        <w:autoSpaceDE w:val="0"/>
        <w:autoSpaceDN w:val="0"/>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8.8.1 承包人提供的施工设备和临时设施</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关于修建临时设施费用承担的约定：</w:t>
      </w:r>
      <w:r>
        <w:rPr>
          <w:rFonts w:hint="eastAsia" w:ascii="宋体" w:hAnsi="宋体"/>
          <w:bCs/>
          <w:color w:val="auto"/>
          <w:kern w:val="0"/>
          <w:sz w:val="22"/>
          <w:szCs w:val="22"/>
          <w:highlight w:val="none"/>
          <w:u w:val="single"/>
        </w:rPr>
        <w:t>由承包人承担临时设施的所有费用，包括但不限于建设装修费、排污费、道路清除污染费、扬尘管理控制费、治安管理费、清洁费、设施设备费、办公家具费等；如项目用地范围无临时建设区域，则由承包人自行考虑临时设施方案，方案要符合《无锡市建设工程文明施工标准化行为指南》的要求并承担所有费用。所有费用包含在合同总价内。</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承包人负责按发包人要求实施项目建设单位指挥部的建设，费用包括在合同总价内。如在承包人开工前为了满足政府项目的推进需要，由发包人提前建设的项目指挥部办公设施，经项目跟踪审计审核后，也列支在承包人的安全文明施工费内，由承包人承担。</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pStyle w:val="9"/>
        <w:rPr>
          <w:color w:val="auto"/>
          <w:highlight w:val="none"/>
        </w:rPr>
      </w:pPr>
      <w:bookmarkStart w:id="227" w:name="_Toc351203641"/>
      <w:r>
        <w:rPr>
          <w:color w:val="auto"/>
          <w:highlight w:val="none"/>
        </w:rPr>
        <w:t>9</w:t>
      </w:r>
      <w:bookmarkEnd w:id="206"/>
      <w:bookmarkEnd w:id="207"/>
      <w:bookmarkEnd w:id="208"/>
      <w:bookmarkStart w:id="228" w:name="_Toc304295559"/>
      <w:bookmarkStart w:id="229" w:name="_Toc303539139"/>
      <w:bookmarkStart w:id="230" w:name="_Toc312677495"/>
      <w:bookmarkStart w:id="231" w:name="_Toc297123533"/>
      <w:bookmarkStart w:id="232" w:name="_Toc300934982"/>
      <w:bookmarkStart w:id="233" w:name="_Toc312678021"/>
      <w:bookmarkStart w:id="234" w:name="_Toc297216192"/>
      <w:bookmarkStart w:id="235" w:name="_Toc296944512"/>
      <w:bookmarkStart w:id="236" w:name="_Toc292559378"/>
      <w:bookmarkStart w:id="237" w:name="_Toc292559883"/>
      <w:bookmarkStart w:id="238" w:name="_Toc297120473"/>
      <w:bookmarkStart w:id="239" w:name="_Toc267251427"/>
      <w:bookmarkStart w:id="240" w:name="_Toc267251428"/>
      <w:bookmarkStart w:id="241" w:name="_Toc296347172"/>
      <w:bookmarkStart w:id="242" w:name="_Toc296346674"/>
      <w:bookmarkStart w:id="243" w:name="_Toc296891001"/>
      <w:bookmarkStart w:id="244" w:name="_Toc296891213"/>
      <w:bookmarkStart w:id="245" w:name="_Toc296503173"/>
      <w:bookmarkStart w:id="246" w:name="_Toc297048359"/>
      <w:r>
        <w:rPr>
          <w:color w:val="auto"/>
          <w:highlight w:val="none"/>
        </w:rPr>
        <w:t>. 试验与检验</w:t>
      </w:r>
      <w:bookmarkEnd w:id="227"/>
    </w:p>
    <w:bookmarkEnd w:id="228"/>
    <w:bookmarkEnd w:id="229"/>
    <w:bookmarkEnd w:id="230"/>
    <w:bookmarkEnd w:id="231"/>
    <w:bookmarkEnd w:id="232"/>
    <w:bookmarkEnd w:id="233"/>
    <w:bookmarkEnd w:id="234"/>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9</w:t>
      </w:r>
      <w:bookmarkStart w:id="247" w:name="_Toc297123534"/>
      <w:bookmarkStart w:id="248" w:name="_Toc312677496"/>
      <w:bookmarkStart w:id="249" w:name="_Toc300934983"/>
      <w:bookmarkStart w:id="250" w:name="_Toc303539140"/>
      <w:bookmarkStart w:id="251" w:name="_Toc304295560"/>
      <w:bookmarkStart w:id="252" w:name="_Toc297216193"/>
      <w:bookmarkStart w:id="253" w:name="_Toc312678022"/>
      <w:r>
        <w:rPr>
          <w:rFonts w:ascii="宋体" w:hAnsi="宋体"/>
          <w:color w:val="auto"/>
          <w:sz w:val="22"/>
          <w:szCs w:val="22"/>
          <w:highlight w:val="none"/>
        </w:rPr>
        <w:t>.1试验设备与试验人员</w:t>
      </w:r>
    </w:p>
    <w:bookmarkEnd w:id="247"/>
    <w:bookmarkEnd w:id="248"/>
    <w:bookmarkEnd w:id="249"/>
    <w:bookmarkEnd w:id="250"/>
    <w:bookmarkEnd w:id="251"/>
    <w:bookmarkEnd w:id="252"/>
    <w:bookmarkEnd w:id="253"/>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9</w:t>
      </w:r>
      <w:bookmarkStart w:id="254" w:name="_Toc303539141"/>
      <w:bookmarkStart w:id="255" w:name="_Toc312677497"/>
      <w:bookmarkStart w:id="256" w:name="_Toc300934984"/>
      <w:bookmarkStart w:id="257" w:name="_Toc312678023"/>
      <w:bookmarkStart w:id="258" w:name="_Toc297216194"/>
      <w:bookmarkStart w:id="259" w:name="_Toc304295561"/>
      <w:bookmarkStart w:id="260" w:name="_Toc297123535"/>
      <w:bookmarkStart w:id="261" w:name="_Toc318581174"/>
      <w:r>
        <w:rPr>
          <w:rFonts w:ascii="宋体" w:hAnsi="宋体"/>
          <w:color w:val="auto"/>
          <w:sz w:val="22"/>
          <w:szCs w:val="22"/>
          <w:highlight w:val="none"/>
        </w:rPr>
        <w:t>.1.2 试验设备</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施工现场需要配置的试验场所：</w:t>
      </w:r>
      <w:bookmarkEnd w:id="254"/>
      <w:bookmarkEnd w:id="255"/>
      <w:bookmarkEnd w:id="256"/>
      <w:bookmarkEnd w:id="257"/>
      <w:bookmarkEnd w:id="258"/>
      <w:bookmarkEnd w:id="259"/>
      <w:bookmarkEnd w:id="260"/>
      <w:bookmarkStart w:id="262" w:name="_Toc297123536"/>
      <w:bookmarkStart w:id="263" w:name="_Toc304295562"/>
      <w:bookmarkStart w:id="264" w:name="_Toc300934985"/>
      <w:bookmarkStart w:id="265" w:name="_Toc303539142"/>
      <w:bookmarkStart w:id="266" w:name="_Toc312678024"/>
      <w:bookmarkStart w:id="267" w:name="_Toc312677498"/>
      <w:bookmarkStart w:id="268" w:name="_Toc297216195"/>
      <w:r>
        <w:rPr>
          <w:rFonts w:hint="eastAsia" w:ascii="宋体" w:hAnsi="宋体"/>
          <w:color w:val="auto"/>
          <w:sz w:val="22"/>
          <w:szCs w:val="22"/>
          <w:highlight w:val="none"/>
          <w:u w:val="single"/>
        </w:rPr>
        <w:t>/</w:t>
      </w:r>
      <w:r>
        <w:rPr>
          <w:rFonts w:ascii="宋体" w:hAnsi="宋体"/>
          <w:color w:val="auto"/>
          <w:sz w:val="22"/>
          <w:szCs w:val="22"/>
          <w:highlight w:val="none"/>
        </w:rPr>
        <w:t>。</w:t>
      </w:r>
      <w:r>
        <w:rPr>
          <w:rFonts w:hint="eastAsia" w:ascii="宋体" w:hAnsi="宋体"/>
          <w:color w:val="auto"/>
          <w:sz w:val="22"/>
          <w:szCs w:val="22"/>
          <w:highlight w:val="none"/>
        </w:rPr>
        <w:t xml:space="preserve">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施工现场需要配备的试验设备：</w:t>
      </w:r>
      <w:r>
        <w:rPr>
          <w:rFonts w:hint="eastAsia" w:ascii="宋体" w:hAnsi="宋体"/>
          <w:color w:val="auto"/>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施工现场需要具备的其他试验条件：</w:t>
      </w:r>
      <w:r>
        <w:rPr>
          <w:rFonts w:hint="eastAsia" w:ascii="宋体" w:hAnsi="宋体"/>
          <w:color w:val="auto"/>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9.4 现场工艺试验</w:t>
      </w:r>
      <w:r>
        <w:rPr>
          <w:rFonts w:hint="eastAsia" w:ascii="宋体" w:hAnsi="宋体"/>
          <w:color w:val="auto"/>
          <w:sz w:val="22"/>
          <w:szCs w:val="22"/>
          <w:highlight w:val="none"/>
        </w:rPr>
        <w:t xml:space="preserve"> </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现场工艺试验的有关约定：</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bookmarkEnd w:id="261"/>
    <w:bookmarkEnd w:id="262"/>
    <w:bookmarkEnd w:id="263"/>
    <w:bookmarkEnd w:id="264"/>
    <w:bookmarkEnd w:id="265"/>
    <w:bookmarkEnd w:id="266"/>
    <w:bookmarkEnd w:id="267"/>
    <w:bookmarkEnd w:id="268"/>
    <w:p>
      <w:pPr>
        <w:pStyle w:val="9"/>
        <w:rPr>
          <w:color w:val="auto"/>
          <w:highlight w:val="none"/>
        </w:rPr>
      </w:pPr>
      <w:bookmarkStart w:id="269" w:name="_Toc351203642"/>
      <w:r>
        <w:rPr>
          <w:color w:val="auto"/>
          <w:highlight w:val="none"/>
        </w:rPr>
        <w:t>1</w:t>
      </w:r>
      <w:bookmarkEnd w:id="235"/>
      <w:bookmarkEnd w:id="236"/>
      <w:bookmarkEnd w:id="237"/>
      <w:bookmarkEnd w:id="238"/>
      <w:bookmarkEnd w:id="239"/>
      <w:bookmarkEnd w:id="240"/>
      <w:bookmarkEnd w:id="241"/>
      <w:bookmarkEnd w:id="242"/>
      <w:bookmarkEnd w:id="243"/>
      <w:bookmarkEnd w:id="244"/>
      <w:bookmarkEnd w:id="245"/>
      <w:bookmarkEnd w:id="246"/>
      <w:bookmarkStart w:id="270" w:name="_Toc304295566"/>
      <w:bookmarkStart w:id="271" w:name="_Toc296891233"/>
      <w:bookmarkStart w:id="272" w:name="_Toc296347192"/>
      <w:bookmarkStart w:id="273" w:name="_Toc300934989"/>
      <w:bookmarkStart w:id="274" w:name="_Toc296944532"/>
      <w:bookmarkStart w:id="275" w:name="_Toc296346694"/>
      <w:bookmarkStart w:id="276" w:name="_Toc303539146"/>
      <w:bookmarkStart w:id="277" w:name="_Toc297123540"/>
      <w:bookmarkStart w:id="278" w:name="_Toc297120493"/>
      <w:bookmarkStart w:id="279" w:name="_Toc297216199"/>
      <w:bookmarkStart w:id="280" w:name="_Toc292559903"/>
      <w:bookmarkStart w:id="281" w:name="_Toc296503193"/>
      <w:bookmarkStart w:id="282" w:name="_Toc297048379"/>
      <w:bookmarkStart w:id="283" w:name="_Toc296891021"/>
      <w:bookmarkStart w:id="284" w:name="_Toc292559398"/>
      <w:bookmarkStart w:id="285" w:name="_Toc312678025"/>
      <w:bookmarkStart w:id="286" w:name="_Toc312677499"/>
      <w:bookmarkStart w:id="287" w:name="_Toc267251441"/>
      <w:bookmarkStart w:id="288" w:name="_Toc267251433"/>
      <w:bookmarkStart w:id="289" w:name="_Toc267251439"/>
      <w:bookmarkStart w:id="290" w:name="_Toc267251440"/>
      <w:bookmarkStart w:id="291" w:name="_Toc267251435"/>
      <w:bookmarkStart w:id="292" w:name="_Toc267251437"/>
      <w:bookmarkStart w:id="293" w:name="_Toc267251442"/>
      <w:r>
        <w:rPr>
          <w:color w:val="auto"/>
          <w:highlight w:val="none"/>
        </w:rPr>
        <w:t>0. 变更</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bookmarkEnd w:id="285"/>
    <w:bookmarkEnd w:id="286"/>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bookmarkStart w:id="294" w:name="_Toc296346695"/>
      <w:bookmarkStart w:id="295" w:name="_Toc297048380"/>
      <w:bookmarkStart w:id="296" w:name="_Toc296503194"/>
      <w:bookmarkStart w:id="297" w:name="_Toc292559399"/>
      <w:bookmarkStart w:id="298" w:name="_Toc300934990"/>
      <w:bookmarkStart w:id="299" w:name="_Toc296944533"/>
      <w:bookmarkStart w:id="300" w:name="_Toc296891022"/>
      <w:bookmarkStart w:id="301" w:name="_Toc304295567"/>
      <w:bookmarkStart w:id="302" w:name="_Toc297123541"/>
      <w:bookmarkStart w:id="303" w:name="_Toc297216200"/>
      <w:bookmarkStart w:id="304" w:name="_Toc292559904"/>
      <w:bookmarkStart w:id="305" w:name="_Toc312677500"/>
      <w:bookmarkStart w:id="306" w:name="_Toc296891234"/>
      <w:bookmarkStart w:id="307" w:name="_Toc303539147"/>
      <w:bookmarkStart w:id="308" w:name="_Toc312678026"/>
      <w:bookmarkStart w:id="309" w:name="_Toc296347193"/>
      <w:bookmarkStart w:id="310" w:name="_Toc297120494"/>
      <w:r>
        <w:rPr>
          <w:rFonts w:ascii="宋体" w:hAnsi="宋体"/>
          <w:color w:val="auto"/>
          <w:sz w:val="22"/>
          <w:szCs w:val="22"/>
          <w:highlight w:val="none"/>
        </w:rPr>
        <w:t>0.1变更的范围</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关于变更的范围的约定：</w:t>
      </w:r>
      <w:r>
        <w:rPr>
          <w:rFonts w:hint="eastAsia" w:ascii="宋体" w:hAnsi="宋体"/>
          <w:bCs/>
          <w:color w:val="auto"/>
          <w:kern w:val="0"/>
          <w:sz w:val="22"/>
          <w:szCs w:val="22"/>
          <w:highlight w:val="none"/>
          <w:u w:val="single"/>
        </w:rPr>
        <w:t>（1）发包人认为有必要进行变更的项目，发包人有权根据多方面原因，包括但不限于实际情况、使用功能、投资控制等，单方面提出的变更通知单是合同的组成部分，承包人必须无条件服从及执行并承担相应的成本、利润等风险，否则视为违约。</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hint="eastAsia" w:ascii="宋体" w:hAnsi="宋体"/>
          <w:bCs/>
          <w:color w:val="auto"/>
          <w:kern w:val="0"/>
          <w:sz w:val="22"/>
          <w:szCs w:val="22"/>
          <w:highlight w:val="none"/>
          <w:u w:val="single"/>
        </w:rPr>
        <w:t>（2）发生变更、施工条件变化等，要由监理人、审计人、发包人同时确认方为有效；由于设计变更、现场签证等引起的新的工程量清单项目增减，其综合单价由承包人提出，经发包人及跟踪审计确认后，作为竣工结算依据。</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10.4 变更估价</w:t>
      </w:r>
    </w:p>
    <w:p>
      <w:pPr>
        <w:adjustRightInd w:val="0"/>
        <w:spacing w:line="400"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10.4.1 变更估价原则</w:t>
      </w:r>
    </w:p>
    <w:p>
      <w:pPr>
        <w:adjustRightInd w:val="0"/>
        <w:spacing w:line="400" w:lineRule="exact"/>
        <w:ind w:firstLine="440" w:firstLineChars="200"/>
        <w:jc w:val="left"/>
        <w:rPr>
          <w:rFonts w:ascii="宋体" w:hAnsi="宋体"/>
          <w:bCs/>
          <w:color w:val="auto"/>
          <w:kern w:val="0"/>
          <w:sz w:val="22"/>
          <w:szCs w:val="22"/>
          <w:highlight w:val="none"/>
          <w:u w:val="single"/>
        </w:rPr>
      </w:pPr>
      <w:r>
        <w:rPr>
          <w:rFonts w:ascii="宋体" w:hAnsi="宋体"/>
          <w:color w:val="auto"/>
          <w:sz w:val="22"/>
          <w:szCs w:val="22"/>
          <w:highlight w:val="none"/>
        </w:rPr>
        <w:t xml:space="preserve">关于变更估价的约定: </w:t>
      </w:r>
      <w:r>
        <w:rPr>
          <w:rFonts w:hint="eastAsia" w:ascii="宋体" w:hAnsi="宋体"/>
          <w:bCs/>
          <w:color w:val="auto"/>
          <w:kern w:val="0"/>
          <w:sz w:val="22"/>
          <w:szCs w:val="22"/>
          <w:highlight w:val="none"/>
          <w:u w:val="single"/>
        </w:rPr>
        <w:t>按本合同有关条款执行</w:t>
      </w:r>
      <w:r>
        <w:rPr>
          <w:rFonts w:ascii="宋体" w:hAnsi="宋体"/>
          <w:bCs/>
          <w:color w:val="auto"/>
          <w:kern w:val="0"/>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1" w:name="_Toc297120497"/>
      <w:bookmarkStart w:id="312" w:name="_Toc296891025"/>
      <w:bookmarkStart w:id="313" w:name="_Toc296944536"/>
      <w:bookmarkStart w:id="314" w:name="_Toc297123544"/>
      <w:bookmarkStart w:id="315" w:name="_Toc297048383"/>
      <w:bookmarkStart w:id="316" w:name="_Toc297216203"/>
      <w:bookmarkStart w:id="317" w:name="_Toc296503197"/>
      <w:bookmarkStart w:id="318" w:name="_Toc303539150"/>
      <w:bookmarkStart w:id="319" w:name="_Toc296347196"/>
      <w:bookmarkStart w:id="320" w:name="_Toc292559402"/>
      <w:bookmarkStart w:id="321" w:name="_Toc292559907"/>
      <w:bookmarkStart w:id="322" w:name="_Toc300934993"/>
      <w:bookmarkStart w:id="323" w:name="_Toc296891237"/>
      <w:bookmarkStart w:id="324" w:name="_Toc296346698"/>
      <w:bookmarkStart w:id="325" w:name="_Toc304295570"/>
      <w:bookmarkStart w:id="326" w:name="_Toc312678029"/>
      <w:bookmarkStart w:id="327" w:name="_Toc312677503"/>
      <w:r>
        <w:rPr>
          <w:rFonts w:ascii="宋体" w:hAnsi="宋体"/>
          <w:color w:val="auto"/>
          <w:sz w:val="22"/>
          <w:szCs w:val="22"/>
          <w:highlight w:val="none"/>
        </w:rPr>
        <w:t>0.5承</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8" w:name="_Toc292559913"/>
      <w:bookmarkStart w:id="329" w:name="_Toc296503203"/>
      <w:bookmarkStart w:id="330" w:name="_Toc296347202"/>
      <w:bookmarkStart w:id="331" w:name="_Toc300934994"/>
      <w:bookmarkStart w:id="332" w:name="_Toc303539151"/>
      <w:bookmarkStart w:id="333" w:name="_Toc292559408"/>
      <w:bookmarkStart w:id="334" w:name="_Toc296944542"/>
      <w:bookmarkStart w:id="335" w:name="_Toc297216204"/>
      <w:bookmarkStart w:id="336" w:name="_Toc297120503"/>
      <w:bookmarkStart w:id="337" w:name="_Toc296891031"/>
      <w:bookmarkStart w:id="338" w:name="_Toc296346704"/>
      <w:bookmarkStart w:id="339" w:name="_Toc297048389"/>
      <w:bookmarkStart w:id="340" w:name="_Toc297123545"/>
      <w:bookmarkStart w:id="341" w:name="_Toc296891243"/>
      <w:r>
        <w:rPr>
          <w:rFonts w:ascii="宋体" w:hAnsi="宋体"/>
          <w:color w:val="auto"/>
          <w:sz w:val="22"/>
          <w:szCs w:val="22"/>
          <w:highlight w:val="none"/>
        </w:rPr>
        <w:t>包人的合理化建议</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监理人审查承包人合理化建议的期限：</w:t>
      </w:r>
      <w:r>
        <w:rPr>
          <w:rFonts w:hint="eastAsia" w:ascii="宋体" w:hAnsi="宋体"/>
          <w:bCs/>
          <w:color w:val="auto"/>
          <w:kern w:val="0"/>
          <w:sz w:val="22"/>
          <w:szCs w:val="22"/>
          <w:highlight w:val="none"/>
          <w:u w:val="single"/>
        </w:rPr>
        <w:t>合理期限范围内</w:t>
      </w:r>
      <w:r>
        <w:rPr>
          <w:rFonts w:ascii="宋体" w:hAnsi="宋体"/>
          <w:bCs/>
          <w:color w:val="auto"/>
          <w:kern w:val="0"/>
          <w:sz w:val="22"/>
          <w:szCs w:val="22"/>
          <w:highlight w:val="none"/>
          <w:u w:val="singl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发包人审批承包人合理化建议的期限：</w:t>
      </w:r>
      <w:r>
        <w:rPr>
          <w:rFonts w:hint="eastAsia" w:ascii="宋体" w:hAnsi="宋体"/>
          <w:bCs/>
          <w:color w:val="auto"/>
          <w:kern w:val="0"/>
          <w:sz w:val="22"/>
          <w:szCs w:val="22"/>
          <w:highlight w:val="none"/>
          <w:u w:val="single"/>
        </w:rPr>
        <w:t>合理期限范围内</w:t>
      </w:r>
      <w:r>
        <w:rPr>
          <w:rFonts w:ascii="宋体" w:hAnsi="宋体"/>
          <w:bCs/>
          <w:color w:val="auto"/>
          <w:kern w:val="0"/>
          <w:sz w:val="22"/>
          <w:szCs w:val="22"/>
          <w:highlight w:val="none"/>
          <w:u w:val="single"/>
        </w:rPr>
        <w:t>。</w:t>
      </w:r>
    </w:p>
    <w:p>
      <w:pPr>
        <w:adjustRightInd w:val="0"/>
        <w:spacing w:line="400" w:lineRule="exact"/>
        <w:ind w:firstLine="440" w:firstLineChars="200"/>
        <w:jc w:val="left"/>
        <w:rPr>
          <w:rFonts w:hint="eastAsia" w:ascii="宋体" w:hAnsi="宋体"/>
          <w:bCs/>
          <w:color w:val="auto"/>
          <w:kern w:val="0"/>
          <w:sz w:val="22"/>
          <w:szCs w:val="22"/>
          <w:highlight w:val="none"/>
          <w:u w:val="single"/>
        </w:rPr>
      </w:pPr>
      <w:r>
        <w:rPr>
          <w:rFonts w:ascii="宋体" w:hAnsi="宋体"/>
          <w:color w:val="auto"/>
          <w:sz w:val="22"/>
          <w:szCs w:val="22"/>
          <w:highlight w:val="none"/>
        </w:rPr>
        <w:t>承</w:t>
      </w:r>
      <w:bookmarkStart w:id="342" w:name="_Toc312677504"/>
      <w:bookmarkStart w:id="343" w:name="_Toc292559914"/>
      <w:bookmarkStart w:id="344" w:name="_Toc296944543"/>
      <w:bookmarkStart w:id="345" w:name="_Toc303539152"/>
      <w:bookmarkStart w:id="346" w:name="_Toc304295571"/>
      <w:bookmarkStart w:id="347" w:name="_Toc318581175"/>
      <w:bookmarkStart w:id="348" w:name="_Toc296891244"/>
      <w:bookmarkStart w:id="349" w:name="_Toc297216205"/>
      <w:bookmarkStart w:id="350" w:name="_Toc297123546"/>
      <w:bookmarkStart w:id="351" w:name="_Toc296891032"/>
      <w:bookmarkStart w:id="352" w:name="_Toc296346705"/>
      <w:bookmarkStart w:id="353" w:name="_Toc312678030"/>
      <w:bookmarkStart w:id="354" w:name="_Toc292559409"/>
      <w:bookmarkStart w:id="355" w:name="_Toc296347203"/>
      <w:bookmarkStart w:id="356" w:name="_Toc296503204"/>
      <w:bookmarkStart w:id="357" w:name="_Toc300934995"/>
      <w:bookmarkStart w:id="358" w:name="_Toc297048390"/>
      <w:bookmarkStart w:id="359" w:name="_Toc297120504"/>
      <w:r>
        <w:rPr>
          <w:rFonts w:ascii="宋体" w:hAnsi="宋体"/>
          <w:color w:val="auto"/>
          <w:sz w:val="22"/>
          <w:szCs w:val="22"/>
          <w:highlight w:val="none"/>
        </w:rPr>
        <w:t>包人提出的合理化建议降低了合同价格或者提高了工程经济效益的奖励的方法和金额为：</w:t>
      </w:r>
      <w:r>
        <w:rPr>
          <w:rFonts w:hint="eastAsia" w:ascii="宋体" w:hAnsi="宋体"/>
          <w:bCs/>
          <w:color w:val="auto"/>
          <w:kern w:val="0"/>
          <w:sz w:val="22"/>
          <w:szCs w:val="22"/>
          <w:highlight w:val="none"/>
          <w:u w:val="single"/>
        </w:rPr>
        <w:t>确实明显降低投资或显著提高工程经济效益的，经承包人提出后，由发包人、审计人、承包人及有关部门一起协商确定。</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bookmarkStart w:id="360" w:name="_Toc296503199"/>
      <w:bookmarkStart w:id="361" w:name="_Toc296944538"/>
      <w:bookmarkStart w:id="362" w:name="_Toc297216207"/>
      <w:bookmarkStart w:id="363" w:name="_Toc297120499"/>
      <w:bookmarkStart w:id="364" w:name="_Toc296346700"/>
      <w:bookmarkStart w:id="365" w:name="_Toc297123548"/>
      <w:bookmarkStart w:id="366" w:name="_Toc297048385"/>
      <w:bookmarkStart w:id="367" w:name="_Toc296891239"/>
      <w:bookmarkStart w:id="368" w:name="_Toc296347198"/>
      <w:bookmarkStart w:id="369" w:name="_Toc303539154"/>
      <w:bookmarkStart w:id="370" w:name="_Toc292559404"/>
      <w:bookmarkStart w:id="371" w:name="_Toc304295574"/>
      <w:bookmarkStart w:id="372" w:name="_Toc300934997"/>
      <w:bookmarkStart w:id="373" w:name="_Toc292559909"/>
      <w:bookmarkStart w:id="374" w:name="_Toc312677507"/>
      <w:bookmarkStart w:id="375" w:name="_Toc296891027"/>
      <w:bookmarkStart w:id="376" w:name="_Toc312678033"/>
      <w:r>
        <w:rPr>
          <w:rFonts w:ascii="宋体" w:hAnsi="宋体"/>
          <w:color w:val="auto"/>
          <w:sz w:val="22"/>
          <w:szCs w:val="22"/>
          <w:highlight w:val="none"/>
        </w:rPr>
        <w:t>0.7 暂估价</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暂</w:t>
      </w:r>
      <w:bookmarkStart w:id="377" w:name="_Toc318581176"/>
      <w:bookmarkStart w:id="378" w:name="_Toc312678034"/>
      <w:bookmarkStart w:id="379" w:name="_Toc312677508"/>
      <w:r>
        <w:rPr>
          <w:rFonts w:ascii="宋体" w:hAnsi="宋体"/>
          <w:color w:val="auto"/>
          <w:kern w:val="0"/>
          <w:sz w:val="22"/>
          <w:szCs w:val="22"/>
          <w:highlight w:val="none"/>
        </w:rPr>
        <w:t>估价材料和工程设备的明细详见附件</w:t>
      </w:r>
      <w:r>
        <w:rPr>
          <w:rFonts w:hint="eastAsia" w:ascii="宋体" w:hAnsi="宋体"/>
          <w:color w:val="auto"/>
          <w:kern w:val="0"/>
          <w:sz w:val="22"/>
          <w:szCs w:val="22"/>
          <w:highlight w:val="none"/>
        </w:rPr>
        <w:t>11：《</w:t>
      </w:r>
      <w:r>
        <w:rPr>
          <w:rFonts w:ascii="宋体" w:hAnsi="宋体"/>
          <w:color w:val="auto"/>
          <w:sz w:val="22"/>
          <w:szCs w:val="22"/>
          <w:highlight w:val="none"/>
        </w:rPr>
        <w:t>暂估价一览表</w:t>
      </w:r>
      <w:r>
        <w:rPr>
          <w:rFonts w:hint="eastAsia" w:ascii="宋体" w:hAnsi="宋体"/>
          <w:color w:val="auto"/>
          <w:sz w:val="22"/>
          <w:szCs w:val="22"/>
          <w:highlight w:val="none"/>
        </w:rPr>
        <w:t>》</w:t>
      </w:r>
      <w:r>
        <w:rPr>
          <w:rFonts w:hint="eastAsia" w:ascii="宋体" w:hAnsi="宋体"/>
          <w:color w:val="auto"/>
          <w:kern w:val="0"/>
          <w:sz w:val="22"/>
          <w:szCs w:val="22"/>
          <w:highlight w:val="none"/>
        </w:rPr>
        <w:t>。</w:t>
      </w:r>
    </w:p>
    <w:bookmarkEnd w:id="377"/>
    <w:bookmarkEnd w:id="378"/>
    <w:bookmarkEnd w:id="379"/>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w:t>
      </w:r>
      <w:bookmarkStart w:id="380" w:name="_Toc318581177"/>
      <w:bookmarkStart w:id="381" w:name="_Toc312678035"/>
      <w:bookmarkStart w:id="382" w:name="_Toc312677509"/>
      <w:r>
        <w:rPr>
          <w:rFonts w:ascii="宋体" w:hAnsi="宋体"/>
          <w:color w:val="auto"/>
          <w:sz w:val="22"/>
          <w:szCs w:val="22"/>
          <w:highlight w:val="none"/>
        </w:rPr>
        <w:t>0.7.1 依法必须招标的暂估价项目</w:t>
      </w:r>
    </w:p>
    <w:bookmarkEnd w:id="380"/>
    <w:bookmarkEnd w:id="381"/>
    <w:bookmarkEnd w:id="382"/>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对于依法必须招标的暂估价项目的确认和批准采取第</w:t>
      </w:r>
      <w:r>
        <w:rPr>
          <w:rFonts w:ascii="宋体" w:hAnsi="宋体"/>
          <w:color w:val="auto"/>
          <w:sz w:val="22"/>
          <w:szCs w:val="22"/>
          <w:highlight w:val="none"/>
          <w:u w:val="single"/>
        </w:rPr>
        <w:t xml:space="preserve"> </w:t>
      </w:r>
      <w:r>
        <w:rPr>
          <w:rFonts w:ascii="宋体" w:hAnsi="宋体"/>
          <w:bCs/>
          <w:color w:val="auto"/>
          <w:kern w:val="0"/>
          <w:sz w:val="22"/>
          <w:szCs w:val="22"/>
          <w:highlight w:val="none"/>
          <w:u w:val="single"/>
        </w:rPr>
        <w:t xml:space="preserve"> </w:t>
      </w:r>
      <w:r>
        <w:rPr>
          <w:rFonts w:hint="eastAsia" w:ascii="宋体" w:hAnsi="宋体"/>
          <w:bCs/>
          <w:color w:val="auto"/>
          <w:kern w:val="0"/>
          <w:sz w:val="22"/>
          <w:szCs w:val="22"/>
          <w:highlight w:val="none"/>
          <w:u w:val="single"/>
        </w:rPr>
        <w:t>2</w:t>
      </w:r>
      <w:r>
        <w:rPr>
          <w:rFonts w:ascii="宋体" w:hAnsi="宋体"/>
          <w:bCs/>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种方式确定。</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10.7.2 不属于依法必须招标的暂估价项目</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对于不属于依法必须招标的暂估价项目的确认和批准采取第</w:t>
      </w:r>
      <w:r>
        <w:rPr>
          <w:rFonts w:ascii="宋体" w:hAnsi="宋体"/>
          <w:bCs/>
          <w:color w:val="auto"/>
          <w:kern w:val="0"/>
          <w:sz w:val="22"/>
          <w:szCs w:val="22"/>
          <w:highlight w:val="none"/>
          <w:u w:val="single"/>
        </w:rPr>
        <w:t xml:space="preserve"> </w:t>
      </w:r>
      <w:r>
        <w:rPr>
          <w:rFonts w:hint="eastAsia" w:ascii="宋体" w:hAnsi="宋体"/>
          <w:bCs/>
          <w:color w:val="auto"/>
          <w:kern w:val="0"/>
          <w:sz w:val="22"/>
          <w:szCs w:val="22"/>
          <w:highlight w:val="none"/>
          <w:u w:val="single"/>
        </w:rPr>
        <w:t>1</w:t>
      </w:r>
      <w:r>
        <w:rPr>
          <w:rFonts w:ascii="宋体" w:hAnsi="宋体"/>
          <w:bCs/>
          <w:color w:val="auto"/>
          <w:kern w:val="0"/>
          <w:sz w:val="22"/>
          <w:szCs w:val="22"/>
          <w:highlight w:val="none"/>
          <w:u w:val="single"/>
        </w:rPr>
        <w:t xml:space="preserve"> </w:t>
      </w:r>
      <w:r>
        <w:rPr>
          <w:rFonts w:ascii="宋体" w:hAnsi="宋体"/>
          <w:color w:val="auto"/>
          <w:sz w:val="22"/>
          <w:szCs w:val="22"/>
          <w:highlight w:val="none"/>
        </w:rPr>
        <w:t xml:space="preserve"> 种方式确定。</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第3种方式：</w:t>
      </w:r>
      <w:r>
        <w:rPr>
          <w:rFonts w:ascii="宋体" w:hAnsi="宋体"/>
          <w:color w:val="auto"/>
          <w:kern w:val="0"/>
          <w:sz w:val="22"/>
          <w:szCs w:val="22"/>
          <w:highlight w:val="none"/>
        </w:rPr>
        <w:t>承包人直接实施的暂估价项目</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承包人直接实施的暂估价项目的约定：</w:t>
      </w:r>
      <w:r>
        <w:rPr>
          <w:rFonts w:hint="eastAsia" w:ascii="宋体" w:hAnsi="宋体"/>
          <w:color w:val="auto"/>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10.8 暂列金额</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hint="eastAsia" w:ascii="宋体" w:hAnsi="宋体"/>
          <w:color w:val="auto"/>
          <w:kern w:val="0"/>
          <w:sz w:val="22"/>
          <w:szCs w:val="22"/>
          <w:highlight w:val="none"/>
        </w:rPr>
        <w:t>合同当事人关于暂列金额使用的约定：</w:t>
      </w:r>
      <w:r>
        <w:rPr>
          <w:rFonts w:hint="eastAsia" w:ascii="宋体" w:hAnsi="宋体"/>
          <w:color w:val="auto"/>
          <w:sz w:val="22"/>
          <w:szCs w:val="22"/>
          <w:highlight w:val="none"/>
          <w:u w:val="single"/>
        </w:rPr>
        <w:t>经发包人同意</w:t>
      </w:r>
      <w:r>
        <w:rPr>
          <w:rFonts w:hint="eastAsia" w:ascii="宋体" w:hAnsi="宋体"/>
          <w:color w:val="auto"/>
          <w:kern w:val="0"/>
          <w:sz w:val="22"/>
          <w:szCs w:val="22"/>
          <w:highlight w:val="none"/>
        </w:rPr>
        <w:t>。</w:t>
      </w:r>
    </w:p>
    <w:p>
      <w:pPr>
        <w:pStyle w:val="9"/>
        <w:rPr>
          <w:color w:val="auto"/>
          <w:highlight w:val="none"/>
        </w:rPr>
      </w:pPr>
      <w:bookmarkStart w:id="383" w:name="_Toc351203643"/>
      <w:r>
        <w:rPr>
          <w:color w:val="auto"/>
          <w:highlight w:val="none"/>
        </w:rPr>
        <w:t>11. 价格调整</w:t>
      </w:r>
      <w:bookmarkEnd w:id="383"/>
    </w:p>
    <w:p>
      <w:pPr>
        <w:adjustRightInd w:val="0"/>
        <w:spacing w:line="400" w:lineRule="exact"/>
        <w:ind w:firstLine="440" w:firstLineChars="200"/>
        <w:rPr>
          <w:rFonts w:ascii="宋体" w:hAnsi="宋体"/>
          <w:color w:val="auto"/>
          <w:sz w:val="22"/>
          <w:szCs w:val="22"/>
          <w:highlight w:val="none"/>
        </w:rPr>
      </w:pPr>
      <w:bookmarkStart w:id="384" w:name="_Toc297123550"/>
      <w:bookmarkStart w:id="385" w:name="_Toc303539157"/>
      <w:bookmarkStart w:id="386" w:name="_Toc297120501"/>
      <w:bookmarkStart w:id="387" w:name="_Toc296891029"/>
      <w:bookmarkStart w:id="388" w:name="_Toc297216209"/>
      <w:bookmarkStart w:id="389" w:name="_Toc296891241"/>
      <w:bookmarkStart w:id="390" w:name="_Toc292559911"/>
      <w:bookmarkStart w:id="391" w:name="_Toc296346702"/>
      <w:bookmarkStart w:id="392" w:name="_Toc300935000"/>
      <w:bookmarkStart w:id="393" w:name="_Toc292559406"/>
      <w:bookmarkStart w:id="394" w:name="_Toc312678039"/>
      <w:bookmarkStart w:id="395" w:name="_Toc296503201"/>
      <w:bookmarkStart w:id="396" w:name="_Toc296944540"/>
      <w:bookmarkStart w:id="397" w:name="_Toc304295577"/>
      <w:bookmarkStart w:id="398" w:name="_Toc296347200"/>
      <w:bookmarkStart w:id="399" w:name="_Toc297048387"/>
      <w:r>
        <w:rPr>
          <w:rFonts w:ascii="宋体" w:hAnsi="宋体"/>
          <w:color w:val="auto"/>
          <w:sz w:val="22"/>
          <w:szCs w:val="22"/>
          <w:highlight w:val="none"/>
        </w:rPr>
        <w:t>11.1 市场价格波动引起的调整</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市场价格波动是否调整合同价格的约定</w:t>
      </w:r>
      <w:r>
        <w:rPr>
          <w:rFonts w:hint="eastAsia" w:ascii="宋体" w:hAnsi="宋体"/>
          <w:color w:val="auto"/>
          <w:kern w:val="0"/>
          <w:sz w:val="22"/>
          <w:szCs w:val="22"/>
          <w:highlight w:val="none"/>
          <w:u w:val="single"/>
        </w:rPr>
        <w:t xml:space="preserve">  </w:t>
      </w:r>
      <w:r>
        <w:rPr>
          <w:rFonts w:hint="eastAsia" w:ascii="宋体" w:hAnsi="宋体"/>
          <w:color w:val="auto"/>
          <w:sz w:val="22"/>
          <w:szCs w:val="22"/>
          <w:highlight w:val="none"/>
          <w:u w:val="single"/>
        </w:rPr>
        <w:t>是</w:t>
      </w:r>
      <w:r>
        <w:rPr>
          <w:rFonts w:ascii="宋体" w:hAnsi="宋体"/>
          <w:color w:val="auto"/>
          <w:sz w:val="22"/>
          <w:szCs w:val="22"/>
          <w:highlight w:val="none"/>
          <w:u w:val="singl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因市场价格波动调整合同价格，采用以下第</w:t>
      </w:r>
      <w:r>
        <w:rPr>
          <w:rFonts w:hint="eastAsia" w:ascii="宋体" w:hAnsi="宋体"/>
          <w:color w:val="auto"/>
          <w:sz w:val="22"/>
          <w:szCs w:val="22"/>
          <w:highlight w:val="none"/>
          <w:u w:val="single"/>
        </w:rPr>
        <w:t xml:space="preserve">   2   </w:t>
      </w:r>
      <w:r>
        <w:rPr>
          <w:rFonts w:ascii="宋体" w:hAnsi="宋体"/>
          <w:color w:val="auto"/>
          <w:sz w:val="22"/>
          <w:szCs w:val="22"/>
          <w:highlight w:val="none"/>
        </w:rPr>
        <w:t>种方式对合同价格进行调整：</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第1种方式：采用价格指数</w:t>
      </w:r>
      <w:r>
        <w:rPr>
          <w:rFonts w:hint="eastAsia" w:ascii="宋体" w:hAnsi="宋体"/>
          <w:color w:val="auto"/>
          <w:sz w:val="22"/>
          <w:szCs w:val="22"/>
          <w:highlight w:val="none"/>
        </w:rPr>
        <w:t>进行价格</w:t>
      </w:r>
      <w:r>
        <w:rPr>
          <w:rFonts w:ascii="宋体" w:hAnsi="宋体"/>
          <w:color w:val="auto"/>
          <w:sz w:val="22"/>
          <w:szCs w:val="22"/>
          <w:highlight w:val="none"/>
        </w:rPr>
        <w:t>调整。</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关于各可调因子、定值和变值权重，以及基本价格指数及其来源的约定：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第2种方式：采用造价信息</w:t>
      </w:r>
      <w:r>
        <w:rPr>
          <w:rFonts w:hint="eastAsia" w:ascii="宋体" w:hAnsi="宋体"/>
          <w:color w:val="auto"/>
          <w:sz w:val="22"/>
          <w:szCs w:val="22"/>
          <w:highlight w:val="none"/>
        </w:rPr>
        <w:t>进行价格</w:t>
      </w:r>
      <w:r>
        <w:rPr>
          <w:rFonts w:ascii="宋体" w:hAnsi="宋体"/>
          <w:color w:val="auto"/>
          <w:sz w:val="22"/>
          <w:szCs w:val="22"/>
          <w:highlight w:val="none"/>
        </w:rPr>
        <w:t>调整。</w:t>
      </w:r>
    </w:p>
    <w:p>
      <w:pPr>
        <w:widowControl/>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（1）当施工期主要材料上涨或下跌幅度超过5%，材料价格进行调整。 主要材料包括：钢材、商品砼、沥青砼、砌块、水泥、砂、碎石、电线、电缆。</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（2）关于基准价格的约定：</w:t>
      </w:r>
      <w:r>
        <w:rPr>
          <w:rFonts w:hint="eastAsia" w:ascii="宋体" w:hAnsi="宋体"/>
          <w:color w:val="auto"/>
          <w:sz w:val="22"/>
          <w:szCs w:val="22"/>
          <w:highlight w:val="none"/>
          <w:u w:val="single"/>
        </w:rPr>
        <w:t>投标截止时间前28天《无锡工程造价信息》发布的材料指导价</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专用合同条款</w:t>
      </w:r>
      <w:r>
        <w:rPr>
          <w:rFonts w:hint="eastAsia" w:ascii="宋体" w:hAnsi="宋体" w:cs="宋体"/>
          <w:color w:val="auto"/>
          <w:sz w:val="22"/>
          <w:szCs w:val="22"/>
          <w:highlight w:val="none"/>
        </w:rPr>
        <w:t>①</w:t>
      </w:r>
      <w:r>
        <w:rPr>
          <w:rFonts w:ascii="宋体" w:hAnsi="宋体"/>
          <w:color w:val="auto"/>
          <w:sz w:val="22"/>
          <w:szCs w:val="22"/>
          <w:highlight w:val="none"/>
        </w:rPr>
        <w:t>承包人在已标价工程量清单或预算书中载明的材料单价低于基准价格的：专用合同条款合同履行期间材料单价涨幅以基准价格为基础超过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5</w:t>
      </w:r>
      <w:r>
        <w:rPr>
          <w:rFonts w:ascii="宋体" w:hAnsi="宋体"/>
          <w:color w:val="auto"/>
          <w:sz w:val="22"/>
          <w:szCs w:val="22"/>
          <w:highlight w:val="none"/>
          <w:u w:val="single"/>
        </w:rPr>
        <w:t xml:space="preserve"> </w:t>
      </w:r>
      <w:r>
        <w:rPr>
          <w:rFonts w:ascii="宋体" w:hAnsi="宋体"/>
          <w:color w:val="auto"/>
          <w:sz w:val="22"/>
          <w:szCs w:val="22"/>
          <w:highlight w:val="none"/>
        </w:rPr>
        <w:t>%时，或材料单价跌幅以已标价工程量清单或预算书中载明材料单价为基础超过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5</w:t>
      </w:r>
      <w:r>
        <w:rPr>
          <w:rFonts w:ascii="宋体" w:hAnsi="宋体"/>
          <w:color w:val="auto"/>
          <w:sz w:val="22"/>
          <w:szCs w:val="22"/>
          <w:highlight w:val="none"/>
          <w:u w:val="single"/>
        </w:rPr>
        <w:t xml:space="preserve"> </w:t>
      </w:r>
      <w:r>
        <w:rPr>
          <w:rFonts w:ascii="宋体" w:hAnsi="宋体"/>
          <w:color w:val="auto"/>
          <w:sz w:val="22"/>
          <w:szCs w:val="22"/>
          <w:highlight w:val="none"/>
        </w:rPr>
        <w:t>%时，其超过部分据实调整。</w:t>
      </w:r>
    </w:p>
    <w:p>
      <w:pPr>
        <w:adjustRightInd w:val="0"/>
        <w:spacing w:line="400" w:lineRule="exact"/>
        <w:ind w:firstLine="440" w:firstLineChars="200"/>
        <w:jc w:val="left"/>
        <w:rPr>
          <w:rFonts w:ascii="宋体" w:hAnsi="宋体"/>
          <w:color w:val="auto"/>
          <w:sz w:val="22"/>
          <w:szCs w:val="22"/>
          <w:highlight w:val="none"/>
        </w:rPr>
      </w:pPr>
      <w:r>
        <w:rPr>
          <w:rFonts w:hint="eastAsia" w:ascii="宋体" w:hAnsi="宋体" w:cs="宋体"/>
          <w:color w:val="auto"/>
          <w:sz w:val="22"/>
          <w:szCs w:val="22"/>
          <w:highlight w:val="none"/>
        </w:rPr>
        <w:t>②</w:t>
      </w:r>
      <w:r>
        <w:rPr>
          <w:rFonts w:ascii="宋体" w:hAnsi="宋体"/>
          <w:color w:val="auto"/>
          <w:sz w:val="22"/>
          <w:szCs w:val="22"/>
          <w:highlight w:val="none"/>
        </w:rPr>
        <w:t>承包人在已标价工程量清单或预算书中载明的材料单价高于基准价格的：专用合同条款合同履行期间材料单价跌幅以基准价格为基础超过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5</w:t>
      </w:r>
      <w:r>
        <w:rPr>
          <w:rFonts w:ascii="宋体" w:hAnsi="宋体"/>
          <w:color w:val="auto"/>
          <w:sz w:val="22"/>
          <w:szCs w:val="22"/>
          <w:highlight w:val="none"/>
          <w:u w:val="single"/>
        </w:rPr>
        <w:t xml:space="preserve"> </w:t>
      </w:r>
      <w:r>
        <w:rPr>
          <w:rFonts w:ascii="宋体" w:hAnsi="宋体"/>
          <w:color w:val="auto"/>
          <w:sz w:val="22"/>
          <w:szCs w:val="22"/>
          <w:highlight w:val="none"/>
        </w:rPr>
        <w:t>%时，材料单价涨幅以已标价工程量清单或预算书中载明材料单价为基础超过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5</w:t>
      </w:r>
      <w:r>
        <w:rPr>
          <w:rFonts w:ascii="宋体" w:hAnsi="宋体"/>
          <w:color w:val="auto"/>
          <w:sz w:val="22"/>
          <w:szCs w:val="22"/>
          <w:highlight w:val="none"/>
          <w:u w:val="single"/>
        </w:rPr>
        <w:t xml:space="preserve"> </w:t>
      </w:r>
      <w:r>
        <w:rPr>
          <w:rFonts w:ascii="宋体" w:hAnsi="宋体"/>
          <w:color w:val="auto"/>
          <w:sz w:val="22"/>
          <w:szCs w:val="22"/>
          <w:highlight w:val="none"/>
        </w:rPr>
        <w:t>%时，其超过部分据实调整。</w:t>
      </w:r>
    </w:p>
    <w:p>
      <w:pPr>
        <w:adjustRightInd w:val="0"/>
        <w:spacing w:line="400" w:lineRule="exact"/>
        <w:ind w:firstLine="440" w:firstLineChars="200"/>
        <w:jc w:val="left"/>
        <w:rPr>
          <w:rFonts w:ascii="宋体" w:hAnsi="宋体"/>
          <w:color w:val="auto"/>
          <w:sz w:val="22"/>
          <w:szCs w:val="22"/>
          <w:highlight w:val="none"/>
        </w:rPr>
      </w:pPr>
      <w:r>
        <w:rPr>
          <w:rFonts w:hint="eastAsia" w:ascii="宋体" w:hAnsi="宋体" w:cs="宋体"/>
          <w:color w:val="auto"/>
          <w:sz w:val="22"/>
          <w:szCs w:val="22"/>
          <w:highlight w:val="none"/>
        </w:rPr>
        <w:t>③</w:t>
      </w:r>
      <w:r>
        <w:rPr>
          <w:rFonts w:ascii="宋体" w:hAnsi="宋体"/>
          <w:color w:val="auto"/>
          <w:sz w:val="22"/>
          <w:szCs w:val="22"/>
          <w:highlight w:val="none"/>
        </w:rPr>
        <w:t>承包人在已标价工程量清单或预算书中载明的材料单价等于基准单价的：专用合同条款合同履行期间材料单价涨跌幅以基准单价为基础超过±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5</w:t>
      </w:r>
      <w:r>
        <w:rPr>
          <w:rFonts w:ascii="宋体" w:hAnsi="宋体"/>
          <w:color w:val="auto"/>
          <w:sz w:val="22"/>
          <w:szCs w:val="22"/>
          <w:highlight w:val="none"/>
          <w:u w:val="single"/>
        </w:rPr>
        <w:t xml:space="preserve"> </w:t>
      </w:r>
      <w:r>
        <w:rPr>
          <w:rFonts w:ascii="宋体" w:hAnsi="宋体"/>
          <w:color w:val="auto"/>
          <w:sz w:val="22"/>
          <w:szCs w:val="22"/>
          <w:highlight w:val="none"/>
        </w:rPr>
        <w:t>%时，其超过部分据实调整。</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第3种方式：其他价格调整方式：</w:t>
      </w:r>
      <w:r>
        <w:rPr>
          <w:rFonts w:hint="eastAsia" w:ascii="宋体" w:hAnsi="宋体"/>
          <w:color w:val="auto"/>
          <w:sz w:val="22"/>
          <w:szCs w:val="22"/>
          <w:highlight w:val="none"/>
          <w:u w:val="single"/>
        </w:rPr>
        <w:t>/</w:t>
      </w:r>
    </w:p>
    <w:bookmarkEnd w:id="287"/>
    <w:bookmarkEnd w:id="288"/>
    <w:bookmarkEnd w:id="289"/>
    <w:bookmarkEnd w:id="290"/>
    <w:bookmarkEnd w:id="291"/>
    <w:bookmarkEnd w:id="292"/>
    <w:p>
      <w:pPr>
        <w:pStyle w:val="9"/>
        <w:rPr>
          <w:color w:val="auto"/>
          <w:highlight w:val="none"/>
        </w:rPr>
      </w:pPr>
      <w:bookmarkStart w:id="400" w:name="_Toc296346706"/>
      <w:bookmarkStart w:id="401" w:name="_Toc292559915"/>
      <w:bookmarkStart w:id="402" w:name="_Toc296944544"/>
      <w:bookmarkStart w:id="403" w:name="_Toc297048391"/>
      <w:bookmarkStart w:id="404" w:name="_Toc296347204"/>
      <w:bookmarkStart w:id="405" w:name="_Toc296891033"/>
      <w:bookmarkStart w:id="406" w:name="_Toc292559410"/>
      <w:bookmarkStart w:id="407" w:name="_Toc297120505"/>
      <w:bookmarkStart w:id="408" w:name="_Toc296891245"/>
      <w:bookmarkStart w:id="409" w:name="_Toc296503205"/>
      <w:bookmarkStart w:id="410" w:name="_Toc351203644"/>
      <w:bookmarkStart w:id="411" w:name="_Toc297216211"/>
      <w:bookmarkStart w:id="412" w:name="_Toc303539159"/>
      <w:bookmarkStart w:id="413" w:name="_Toc312678040"/>
      <w:bookmarkStart w:id="414" w:name="_Toc297123552"/>
      <w:bookmarkStart w:id="415" w:name="_Toc304295579"/>
      <w:bookmarkStart w:id="416" w:name="_Toc300935002"/>
      <w:r>
        <w:rPr>
          <w:color w:val="auto"/>
          <w:highlight w:val="none"/>
        </w:rPr>
        <w:t xml:space="preserve">12. </w:t>
      </w:r>
      <w:bookmarkEnd w:id="400"/>
      <w:bookmarkEnd w:id="401"/>
      <w:bookmarkEnd w:id="402"/>
      <w:bookmarkEnd w:id="403"/>
      <w:bookmarkEnd w:id="404"/>
      <w:bookmarkEnd w:id="405"/>
      <w:bookmarkEnd w:id="406"/>
      <w:bookmarkEnd w:id="407"/>
      <w:bookmarkEnd w:id="408"/>
      <w:bookmarkEnd w:id="409"/>
      <w:r>
        <w:rPr>
          <w:color w:val="auto"/>
          <w:highlight w:val="none"/>
        </w:rPr>
        <w:t>合同价格、计量与支付</w:t>
      </w:r>
      <w:bookmarkEnd w:id="410"/>
    </w:p>
    <w:bookmarkEnd w:id="411"/>
    <w:bookmarkEnd w:id="412"/>
    <w:bookmarkEnd w:id="413"/>
    <w:bookmarkEnd w:id="414"/>
    <w:bookmarkEnd w:id="415"/>
    <w:bookmarkEnd w:id="416"/>
    <w:p>
      <w:pPr>
        <w:adjustRightInd w:val="0"/>
        <w:spacing w:line="400" w:lineRule="exact"/>
        <w:ind w:firstLine="440" w:firstLineChars="200"/>
        <w:rPr>
          <w:rFonts w:ascii="宋体" w:hAnsi="宋体"/>
          <w:color w:val="auto"/>
          <w:sz w:val="22"/>
          <w:szCs w:val="22"/>
          <w:highlight w:val="none"/>
        </w:rPr>
      </w:pPr>
      <w:bookmarkStart w:id="417" w:name="_Toc292559411"/>
      <w:bookmarkStart w:id="418" w:name="_Toc267251461"/>
      <w:bookmarkStart w:id="419" w:name="_Toc292559916"/>
      <w:bookmarkStart w:id="420" w:name="_Toc296944545"/>
      <w:bookmarkStart w:id="421" w:name="_Toc296891034"/>
      <w:bookmarkStart w:id="422" w:name="_Toc297120506"/>
      <w:bookmarkStart w:id="423" w:name="_Toc296891246"/>
      <w:bookmarkStart w:id="424" w:name="_Toc296503206"/>
      <w:bookmarkStart w:id="425" w:name="_Toc297048392"/>
      <w:bookmarkStart w:id="426" w:name="_Toc296347205"/>
      <w:bookmarkStart w:id="427" w:name="_Toc296346707"/>
      <w:bookmarkStart w:id="428" w:name="_Toc312678041"/>
      <w:bookmarkStart w:id="429" w:name="_Toc297216212"/>
      <w:bookmarkStart w:id="430" w:name="_Toc297123553"/>
      <w:bookmarkStart w:id="431" w:name="_Toc300935003"/>
      <w:bookmarkStart w:id="432" w:name="_Toc304295580"/>
      <w:bookmarkStart w:id="433" w:name="_Toc303539160"/>
      <w:r>
        <w:rPr>
          <w:rFonts w:ascii="宋体" w:hAnsi="宋体"/>
          <w:color w:val="auto"/>
          <w:sz w:val="22"/>
          <w:szCs w:val="22"/>
          <w:highlight w:val="none"/>
        </w:rPr>
        <w:t>12.1 合</w:t>
      </w:r>
      <w:bookmarkEnd w:id="417"/>
      <w:bookmarkEnd w:id="418"/>
      <w:bookmarkEnd w:id="419"/>
      <w:r>
        <w:rPr>
          <w:rFonts w:ascii="宋体" w:hAnsi="宋体"/>
          <w:color w:val="auto"/>
          <w:sz w:val="22"/>
          <w:szCs w:val="22"/>
          <w:highlight w:val="none"/>
        </w:rPr>
        <w:t>同价</w:t>
      </w:r>
      <w:bookmarkEnd w:id="420"/>
      <w:bookmarkEnd w:id="421"/>
      <w:bookmarkEnd w:id="422"/>
      <w:bookmarkEnd w:id="423"/>
      <w:bookmarkEnd w:id="424"/>
      <w:bookmarkEnd w:id="425"/>
      <w:bookmarkEnd w:id="426"/>
      <w:bookmarkEnd w:id="427"/>
      <w:r>
        <w:rPr>
          <w:rFonts w:ascii="宋体" w:hAnsi="宋体"/>
          <w:color w:val="auto"/>
          <w:sz w:val="22"/>
          <w:szCs w:val="22"/>
          <w:highlight w:val="none"/>
        </w:rPr>
        <w:t>格形式</w:t>
      </w:r>
    </w:p>
    <w:bookmarkEnd w:id="428"/>
    <w:bookmarkEnd w:id="429"/>
    <w:bookmarkEnd w:id="430"/>
    <w:bookmarkEnd w:id="431"/>
    <w:bookmarkEnd w:id="432"/>
    <w:bookmarkEnd w:id="433"/>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1、单价合同</w:t>
      </w:r>
      <w:r>
        <w:rPr>
          <w:rFonts w:hint="eastAsia" w:ascii="宋体" w:hAnsi="宋体"/>
          <w:color w:val="auto"/>
          <w:sz w:val="22"/>
          <w:szCs w:val="22"/>
          <w:highlight w:val="none"/>
        </w:rPr>
        <w:t>：</w:t>
      </w:r>
      <w:r>
        <w:rPr>
          <w:rFonts w:hint="eastAsia" w:ascii="宋体" w:hAnsi="宋体"/>
          <w:color w:val="auto"/>
          <w:sz w:val="22"/>
          <w:szCs w:val="22"/>
          <w:highlight w:val="none"/>
          <w:u w:val="single"/>
        </w:rPr>
        <w:t>本项目采用固定单价合同</w:t>
      </w:r>
      <w:r>
        <w:rPr>
          <w:rFonts w:ascii="宋体" w:hAnsi="宋体"/>
          <w:color w:val="auto"/>
          <w:sz w:val="22"/>
          <w:szCs w:val="22"/>
          <w:highlight w:val="none"/>
          <w:u w:val="single"/>
        </w:rPr>
        <w:t>。</w:t>
      </w:r>
    </w:p>
    <w:p>
      <w:pPr>
        <w:tabs>
          <w:tab w:val="left" w:pos="9000"/>
        </w:tabs>
        <w:adjustRightInd w:val="0"/>
        <w:spacing w:line="400" w:lineRule="exact"/>
        <w:ind w:firstLine="440" w:firstLineChars="200"/>
        <w:rPr>
          <w:rFonts w:hint="eastAsia" w:ascii="宋体" w:hAnsi="宋体"/>
          <w:color w:val="auto"/>
          <w:kern w:val="0"/>
          <w:sz w:val="22"/>
          <w:szCs w:val="22"/>
          <w:highlight w:val="none"/>
          <w:u w:val="single"/>
        </w:rPr>
      </w:pPr>
      <w:r>
        <w:rPr>
          <w:rFonts w:ascii="宋体" w:hAnsi="宋体"/>
          <w:color w:val="auto"/>
          <w:sz w:val="22"/>
          <w:szCs w:val="22"/>
          <w:highlight w:val="none"/>
        </w:rPr>
        <w:t>综合单价包含的风险范围：</w:t>
      </w:r>
      <w:r>
        <w:rPr>
          <w:rFonts w:hint="eastAsia" w:ascii="宋体" w:hAnsi="宋体"/>
          <w:color w:val="auto"/>
          <w:sz w:val="22"/>
          <w:szCs w:val="22"/>
          <w:highlight w:val="none"/>
          <w:u w:val="single"/>
        </w:rPr>
        <w:t>材料价格上涨或下跌幅度</w:t>
      </w:r>
      <w:r>
        <w:rPr>
          <w:rFonts w:hint="eastAsia" w:ascii="宋体" w:hAnsi="宋体"/>
          <w:color w:val="auto"/>
          <w:kern w:val="0"/>
          <w:sz w:val="22"/>
          <w:szCs w:val="22"/>
          <w:highlight w:val="none"/>
          <w:u w:val="single"/>
        </w:rPr>
        <w:t>±5%以内不调整，超过±5%按合同条款11.1执行。</w:t>
      </w:r>
    </w:p>
    <w:p>
      <w:pPr>
        <w:adjustRightInd w:val="0"/>
        <w:spacing w:line="400" w:lineRule="exact"/>
        <w:ind w:firstLine="440" w:firstLineChars="200"/>
        <w:jc w:val="left"/>
        <w:rPr>
          <w:rFonts w:hint="eastAsia" w:ascii="宋体" w:hAnsi="宋体"/>
          <w:color w:val="auto"/>
          <w:kern w:val="0"/>
          <w:sz w:val="22"/>
          <w:szCs w:val="22"/>
          <w:highlight w:val="none"/>
          <w:u w:val="single"/>
        </w:rPr>
      </w:pPr>
      <w:r>
        <w:rPr>
          <w:rFonts w:ascii="宋体" w:hAnsi="宋体"/>
          <w:color w:val="auto"/>
          <w:sz w:val="22"/>
          <w:szCs w:val="22"/>
          <w:highlight w:val="none"/>
        </w:rPr>
        <w:t>风险费用的计算方法：</w:t>
      </w:r>
      <w:r>
        <w:rPr>
          <w:rFonts w:hint="eastAsia" w:ascii="宋体" w:hAnsi="宋体"/>
          <w:color w:val="auto"/>
          <w:kern w:val="0"/>
          <w:sz w:val="22"/>
          <w:szCs w:val="22"/>
          <w:highlight w:val="none"/>
          <w:u w:val="single"/>
        </w:rPr>
        <w:t>按合同条款11.1执行。</w:t>
      </w:r>
    </w:p>
    <w:p>
      <w:pPr>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风险范围以外合同价格的调整方法</w:t>
      </w:r>
      <w:r>
        <w:rPr>
          <w:rFonts w:ascii="宋体" w:hAnsi="宋体"/>
          <w:color w:val="auto"/>
          <w:sz w:val="22"/>
          <w:szCs w:val="22"/>
          <w:highlight w:val="none"/>
          <w:u w:val="single"/>
        </w:rPr>
        <w:t>：</w:t>
      </w:r>
      <w:r>
        <w:rPr>
          <w:rFonts w:hint="eastAsia" w:ascii="宋体" w:hAnsi="宋体"/>
          <w:color w:val="auto"/>
          <w:sz w:val="22"/>
          <w:szCs w:val="22"/>
          <w:highlight w:val="none"/>
          <w:u w:val="single"/>
        </w:rPr>
        <w:t>1）只有发包人指令和发包人同意的设计变更才能产生造价变更。施工期间如有设计变更，而工程量清单中的综合单价、工程量清单漏项、发包人指令或经发包人同意的设计变更引起新的工程量清单项目，其相应综合单价由承包人按以下规定提出，经发包人确认后作为结算依据：</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①已定规格、型号、厂家、品牌的材料如材料品种发生更换的，则只调整材料价差，其它都不变。</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②因采取新工艺、新方法施工组织有变动引起造价调整的，须经监理、发包人同意后才可调整，否则不予调整。</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③因设计变更、施工条件引起变更引起的减少的工程子目，报价中有综合单价的按报价中的综合单价执行；无综合单价的套用2014《江苏省建筑与装饰工程计价定额》、2014《江苏省安装工程计价定额》及配套费用定额和无锡地区相关规定，材料按照施工同期无锡市造价管理部分公布的信息价，审核后综合单价再乘以让利系数（让利系数按中标价/最高限价）执行，没有信息价的由承、发包双方共同看样定货定价。</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2）招标文件中设定的暂估价和暂列金额应当符合市场价格水平。以暂估价形式包括在承包范围内的工程、货物属于依法必须进行招标的项目范围且达到规定的规模标准的，应当依法进行招标。暂估价项目的招标主体、招标方式、招标组织方式应当在招标文件中明确。</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3）施工中发生的检验试验费执行苏建定（2004）414号文。</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4）人工单价按省住建厅发布的无锡市人工工资指导价进行调整，调整方法：按照施工期间对应的人工工资指导价进行调整，并扣除原投标报价相对于基准日人工工资指导价的让利部分。</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5）承包人应无条件接受财政或上级部门组织的复审，复审结果作为竣工结算最终依据。</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6）因发包人需要最终审计，因此最终价格以最终审计价格为准。</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2、总价合同。</w:t>
      </w:r>
    </w:p>
    <w:p>
      <w:pPr>
        <w:tabs>
          <w:tab w:val="left" w:pos="9000"/>
        </w:tabs>
        <w:adjustRightInd w:val="0"/>
        <w:spacing w:line="400" w:lineRule="exact"/>
        <w:ind w:firstLine="440" w:firstLineChars="200"/>
        <w:rPr>
          <w:rFonts w:hint="eastAsia" w:ascii="宋体" w:hAnsi="宋体"/>
          <w:color w:val="auto"/>
          <w:kern w:val="0"/>
          <w:sz w:val="22"/>
          <w:szCs w:val="22"/>
          <w:highlight w:val="none"/>
          <w:u w:val="single"/>
        </w:rPr>
      </w:pPr>
      <w:r>
        <w:rPr>
          <w:rFonts w:ascii="宋体" w:hAnsi="宋体"/>
          <w:color w:val="auto"/>
          <w:sz w:val="22"/>
          <w:szCs w:val="22"/>
          <w:highlight w:val="none"/>
        </w:rPr>
        <w:t>总价包含的风险范围：</w:t>
      </w:r>
      <w:r>
        <w:rPr>
          <w:rFonts w:hint="eastAsia" w:ascii="宋体" w:hAnsi="宋体"/>
          <w:color w:val="auto"/>
          <w:kern w:val="0"/>
          <w:sz w:val="22"/>
          <w:szCs w:val="22"/>
          <w:highlight w:val="none"/>
          <w:u w:val="single"/>
        </w:rPr>
        <w:t>/。</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风险费用的计算方法：</w:t>
      </w:r>
      <w:r>
        <w:rPr>
          <w:rFonts w:hint="eastAsia" w:ascii="宋体" w:hAnsi="宋体"/>
          <w:color w:val="auto"/>
          <w:kern w:val="0"/>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风险范围以外合同价格的调整方法：</w:t>
      </w:r>
      <w:r>
        <w:rPr>
          <w:rFonts w:hint="eastAsia" w:ascii="宋体" w:hAnsi="宋体"/>
          <w:color w:val="auto"/>
          <w:kern w:val="0"/>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3、其他价格方式：</w:t>
      </w:r>
      <w:bookmarkStart w:id="434" w:name="_Toc312678042"/>
      <w:bookmarkStart w:id="435" w:name="_Toc297216213"/>
      <w:bookmarkStart w:id="436" w:name="_Toc300935004"/>
      <w:bookmarkStart w:id="437" w:name="_Toc297123554"/>
      <w:bookmarkStart w:id="438" w:name="_Toc303539161"/>
      <w:bookmarkStart w:id="439" w:name="_Toc304295581"/>
      <w:bookmarkStart w:id="440" w:name="_Toc296891035"/>
      <w:bookmarkStart w:id="441" w:name="_Toc297048393"/>
      <w:bookmarkStart w:id="442" w:name="_Toc296346708"/>
      <w:bookmarkStart w:id="443" w:name="_Toc292559917"/>
      <w:bookmarkStart w:id="444" w:name="_Toc296347206"/>
      <w:bookmarkStart w:id="445" w:name="_Toc297120507"/>
      <w:bookmarkStart w:id="446" w:name="_Toc296944546"/>
      <w:bookmarkStart w:id="447" w:name="_Toc296891247"/>
      <w:bookmarkStart w:id="448" w:name="_Toc296503207"/>
      <w:bookmarkStart w:id="449" w:name="_Toc292559412"/>
      <w:r>
        <w:rPr>
          <w:rFonts w:hint="eastAsia" w:ascii="宋体" w:hAnsi="宋体"/>
          <w:color w:val="auto"/>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12.2 预付款</w:t>
      </w:r>
    </w:p>
    <w:bookmarkEnd w:id="434"/>
    <w:bookmarkEnd w:id="435"/>
    <w:bookmarkEnd w:id="436"/>
    <w:bookmarkEnd w:id="437"/>
    <w:bookmarkEnd w:id="438"/>
    <w:bookmarkEnd w:id="439"/>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12.2.1 预付款的支付</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预付款支付比例或金额：</w:t>
      </w:r>
      <w:r>
        <w:rPr>
          <w:rFonts w:hint="eastAsia" w:ascii="宋体" w:hAnsi="宋体"/>
          <w:color w:val="auto"/>
          <w:sz w:val="22"/>
          <w:szCs w:val="22"/>
          <w:highlight w:val="none"/>
          <w:u w:val="single"/>
        </w:rPr>
        <w:t>合同价的10%</w:t>
      </w:r>
      <w:r>
        <w:rPr>
          <w:rFonts w:ascii="宋体" w:hAnsi="宋体"/>
          <w:color w:val="auto"/>
          <w:sz w:val="22"/>
          <w:szCs w:val="22"/>
          <w:highlight w:val="none"/>
          <w:u w:val="single"/>
        </w:rPr>
        <w:t xml:space="preserve"> </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预付款支付期限：</w:t>
      </w:r>
      <w:r>
        <w:rPr>
          <w:rFonts w:hint="eastAsia" w:ascii="宋体" w:hAnsi="宋体"/>
          <w:color w:val="auto"/>
          <w:sz w:val="22"/>
          <w:szCs w:val="22"/>
          <w:highlight w:val="none"/>
          <w:u w:val="single"/>
        </w:rPr>
        <w:t>合同签订后支付至合同价的10%</w:t>
      </w:r>
      <w:r>
        <w:rPr>
          <w:rFonts w:ascii="宋体" w:hAnsi="宋体"/>
          <w:color w:val="auto"/>
          <w:sz w:val="22"/>
          <w:szCs w:val="22"/>
          <w:highlight w:val="none"/>
          <w:u w:val="single"/>
        </w:rPr>
        <w:t xml:space="preserve">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预付款扣回的方式：</w:t>
      </w:r>
      <w:r>
        <w:rPr>
          <w:rFonts w:hint="eastAsia" w:ascii="宋体" w:hAnsi="宋体"/>
          <w:color w:val="auto"/>
          <w:sz w:val="22"/>
          <w:szCs w:val="22"/>
          <w:highlight w:val="none"/>
          <w:u w:val="singl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12.2.2 预付款担保</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承包人提交预付款担保的期限：</w:t>
      </w:r>
      <w:r>
        <w:rPr>
          <w:rFonts w:hint="eastAsia" w:ascii="宋体" w:hAnsi="宋体"/>
          <w:color w:val="auto"/>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预付款担保的形式为：</w:t>
      </w:r>
      <w:r>
        <w:rPr>
          <w:rFonts w:hint="eastAsia" w:ascii="宋体" w:hAnsi="宋体"/>
          <w:color w:val="auto"/>
          <w:sz w:val="22"/>
          <w:szCs w:val="22"/>
          <w:highlight w:val="none"/>
          <w:u w:val="single"/>
        </w:rPr>
        <w:t>/</w:t>
      </w:r>
      <w:r>
        <w:rPr>
          <w:rFonts w:ascii="宋体" w:hAnsi="宋体"/>
          <w:color w:val="auto"/>
          <w:sz w:val="22"/>
          <w:szCs w:val="22"/>
          <w:highlight w:val="none"/>
        </w:rPr>
        <w:t>。</w:t>
      </w:r>
    </w:p>
    <w:bookmarkEnd w:id="440"/>
    <w:bookmarkEnd w:id="441"/>
    <w:bookmarkEnd w:id="442"/>
    <w:bookmarkEnd w:id="443"/>
    <w:bookmarkEnd w:id="444"/>
    <w:bookmarkEnd w:id="445"/>
    <w:bookmarkEnd w:id="446"/>
    <w:bookmarkEnd w:id="447"/>
    <w:bookmarkEnd w:id="448"/>
    <w:bookmarkEnd w:id="449"/>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12.3 计量</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12.3.1 计量原则</w:t>
      </w:r>
    </w:p>
    <w:p>
      <w:pPr>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工程量计算规则</w:t>
      </w:r>
      <w:r>
        <w:rPr>
          <w:rFonts w:ascii="宋体" w:hAnsi="宋体"/>
          <w:color w:val="auto"/>
          <w:sz w:val="22"/>
          <w:szCs w:val="22"/>
          <w:highlight w:val="none"/>
          <w:u w:val="single"/>
        </w:rPr>
        <w:t>：</w:t>
      </w:r>
      <w:r>
        <w:rPr>
          <w:rFonts w:hint="eastAsia" w:ascii="宋体" w:hAnsi="宋体"/>
          <w:color w:val="auto"/>
          <w:sz w:val="22"/>
          <w:szCs w:val="22"/>
          <w:highlight w:val="none"/>
          <w:u w:val="single"/>
        </w:rPr>
        <w:t>《建设工程工程量清单计价规范》（GB50500—2013）、《房屋建筑与装饰工程工程量计算规范》（GB50854-2013）、《市政工程工程量计算规范》（ GB 50857-2013）、《江苏省建筑与装饰工程计价定额》（2014版）、《江苏省安装工程计价定额》（2014版）、《江苏省市政工程计价定额》（2014版）、《建筑工程建筑面积计算规范》（GB/T 50353 -2013）</w:t>
      </w:r>
    </w:p>
    <w:p>
      <w:pPr>
        <w:adjustRightInd w:val="0"/>
        <w:spacing w:line="400" w:lineRule="exact"/>
        <w:ind w:firstLine="440" w:firstLineChars="200"/>
        <w:jc w:val="left"/>
        <w:rPr>
          <w:rFonts w:ascii="宋体" w:hAnsi="宋体"/>
          <w:color w:val="auto"/>
          <w:sz w:val="22"/>
          <w:szCs w:val="22"/>
          <w:highlight w:val="none"/>
          <w:u w:val="single"/>
        </w:rPr>
      </w:pPr>
      <w:r>
        <w:rPr>
          <w:rFonts w:hint="eastAsia" w:ascii="宋体" w:hAnsi="宋体"/>
          <w:color w:val="auto"/>
          <w:sz w:val="22"/>
          <w:szCs w:val="22"/>
          <w:highlight w:val="none"/>
        </w:rPr>
        <w:t>承包人向工程师提交已完工程量报告的时间：</w:t>
      </w:r>
      <w:r>
        <w:rPr>
          <w:rFonts w:hint="eastAsia" w:ascii="宋体" w:hAnsi="宋体"/>
          <w:color w:val="auto"/>
          <w:sz w:val="22"/>
          <w:szCs w:val="22"/>
          <w:highlight w:val="none"/>
          <w:u w:val="single"/>
        </w:rPr>
        <w:t>承包人每月20日前提交工程量计量报告，由监理工程师代表审核后，25日向跟踪审计单位提交月进度报表。</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12.3.2 计量周期</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关于计量周期的约定：</w:t>
      </w:r>
      <w:r>
        <w:rPr>
          <w:rFonts w:hint="eastAsia" w:ascii="宋体" w:hAnsi="宋体"/>
          <w:color w:val="auto"/>
          <w:sz w:val="22"/>
          <w:szCs w:val="22"/>
          <w:highlight w:val="none"/>
          <w:u w:val="single"/>
        </w:rPr>
        <w:t>按月进行</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12.3.3 单价合同的计量</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关于单价合同计量的约定：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12.3.4 总价合同的计量</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关于总价合同计量的约定：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12.3.5总价合同采用支付分解表计量支付的，是否适用第</w:t>
      </w:r>
      <w:r>
        <w:rPr>
          <w:rFonts w:ascii="宋体" w:hAnsi="宋体"/>
          <w:color w:val="auto"/>
          <w:kern w:val="0"/>
          <w:sz w:val="22"/>
          <w:szCs w:val="22"/>
          <w:highlight w:val="none"/>
        </w:rPr>
        <w:t xml:space="preserve">12.3.4 </w:t>
      </w:r>
      <w:r>
        <w:rPr>
          <w:rFonts w:ascii="宋体" w:hAnsi="宋体"/>
          <w:color w:val="auto"/>
          <w:sz w:val="22"/>
          <w:szCs w:val="22"/>
          <w:highlight w:val="none"/>
        </w:rPr>
        <w:t>项</w:t>
      </w:r>
      <w:r>
        <w:rPr>
          <w:rFonts w:hint="eastAsia" w:ascii="宋体" w:hAnsi="宋体"/>
          <w:color w:val="auto"/>
          <w:kern w:val="0"/>
          <w:sz w:val="22"/>
          <w:szCs w:val="22"/>
          <w:highlight w:val="none"/>
        </w:rPr>
        <w:t>〔</w:t>
      </w:r>
      <w:r>
        <w:rPr>
          <w:rFonts w:ascii="宋体" w:hAnsi="宋体"/>
          <w:color w:val="auto"/>
          <w:kern w:val="0"/>
          <w:sz w:val="22"/>
          <w:szCs w:val="22"/>
          <w:highlight w:val="none"/>
        </w:rPr>
        <w:t>总价合同的计量</w:t>
      </w:r>
      <w:r>
        <w:rPr>
          <w:rFonts w:hint="eastAsia" w:ascii="宋体" w:hAnsi="宋体"/>
          <w:color w:val="auto"/>
          <w:kern w:val="0"/>
          <w:sz w:val="22"/>
          <w:szCs w:val="22"/>
          <w:highlight w:val="none"/>
        </w:rPr>
        <w:t>〕</w:t>
      </w:r>
      <w:r>
        <w:rPr>
          <w:rFonts w:ascii="宋体" w:hAnsi="宋体"/>
          <w:color w:val="auto"/>
          <w:sz w:val="22"/>
          <w:szCs w:val="22"/>
          <w:highlight w:val="none"/>
        </w:rPr>
        <w:t>约定</w:t>
      </w:r>
      <w:r>
        <w:rPr>
          <w:rFonts w:hint="eastAsia" w:ascii="宋体" w:hAnsi="宋体"/>
          <w:color w:val="auto"/>
          <w:sz w:val="22"/>
          <w:szCs w:val="22"/>
          <w:highlight w:val="none"/>
        </w:rPr>
        <w:t>进行计量：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12.3.6 其他价格形式合同的计量</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其他价格形式的计量方式和程序：</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12.4 工程进度款支付</w:t>
      </w:r>
    </w:p>
    <w:p>
      <w:pPr>
        <w:adjustRightInd w:val="0"/>
        <w:spacing w:line="400" w:lineRule="exact"/>
        <w:ind w:firstLine="440" w:firstLineChars="200"/>
        <w:jc w:val="left"/>
        <w:rPr>
          <w:rFonts w:ascii="宋体" w:hAnsi="宋体"/>
          <w:color w:val="auto"/>
          <w:sz w:val="22"/>
          <w:szCs w:val="22"/>
          <w:highlight w:val="none"/>
        </w:rPr>
      </w:pPr>
      <w:bookmarkStart w:id="450" w:name="_Toc303539163"/>
      <w:bookmarkStart w:id="451" w:name="_Toc296347210"/>
      <w:bookmarkStart w:id="452" w:name="_Toc296891039"/>
      <w:bookmarkStart w:id="453" w:name="_Toc297123556"/>
      <w:bookmarkStart w:id="454" w:name="_Toc297120511"/>
      <w:bookmarkStart w:id="455" w:name="_Toc300935006"/>
      <w:bookmarkStart w:id="456" w:name="_Toc296944550"/>
      <w:bookmarkStart w:id="457" w:name="_Toc296503211"/>
      <w:bookmarkStart w:id="458" w:name="_Toc297048397"/>
      <w:bookmarkStart w:id="459" w:name="_Toc296891251"/>
      <w:bookmarkStart w:id="460" w:name="_Toc297216215"/>
      <w:bookmarkStart w:id="461" w:name="_Toc296346712"/>
      <w:bookmarkStart w:id="462" w:name="_Toc292559416"/>
      <w:bookmarkStart w:id="463" w:name="_Toc292559921"/>
      <w:r>
        <w:rPr>
          <w:rFonts w:ascii="宋体" w:hAnsi="宋体"/>
          <w:color w:val="auto"/>
          <w:sz w:val="22"/>
          <w:szCs w:val="22"/>
          <w:highlight w:val="none"/>
        </w:rPr>
        <w:t>12.4.1 付款周期</w:t>
      </w:r>
    </w:p>
    <w:p>
      <w:pPr>
        <w:adjustRightInd w:val="0"/>
        <w:spacing w:line="400" w:lineRule="exact"/>
        <w:ind w:firstLine="440" w:firstLineChars="200"/>
        <w:jc w:val="left"/>
        <w:rPr>
          <w:rFonts w:hint="eastAsia" w:ascii="宋体" w:hAnsi="宋体" w:eastAsia="宋体"/>
          <w:color w:val="auto"/>
          <w:sz w:val="22"/>
          <w:szCs w:val="22"/>
          <w:highlight w:val="none"/>
          <w:u w:val="single"/>
          <w:lang w:eastAsia="zh-CN"/>
        </w:rPr>
      </w:pPr>
      <w:r>
        <w:rPr>
          <w:rFonts w:ascii="宋体" w:hAnsi="宋体"/>
          <w:color w:val="auto"/>
          <w:sz w:val="22"/>
          <w:szCs w:val="22"/>
          <w:highlight w:val="none"/>
        </w:rPr>
        <w:t>关于付款周期的约定：</w:t>
      </w:r>
      <w:r>
        <w:rPr>
          <w:rFonts w:hint="eastAsia" w:ascii="宋体" w:hAnsi="宋体"/>
          <w:color w:val="auto"/>
          <w:sz w:val="22"/>
          <w:szCs w:val="22"/>
          <w:highlight w:val="none"/>
        </w:rPr>
        <w:t>合同签订后支付至合同价的10%，</w:t>
      </w:r>
      <w:r>
        <w:rPr>
          <w:rFonts w:hint="eastAsia" w:ascii="宋体" w:hAnsi="宋体"/>
          <w:color w:val="auto"/>
          <w:sz w:val="22"/>
          <w:szCs w:val="22"/>
          <w:highlight w:val="none"/>
          <w:lang w:val="en-US" w:eastAsia="zh-CN"/>
        </w:rPr>
        <w:t>工程建设完工并通过竣工验收后，付至合同价的60%，建设工程项目竣工验收结算审计结束后，可支付至工程审定价的90%。</w:t>
      </w:r>
      <w:r>
        <w:rPr>
          <w:rFonts w:hint="eastAsia" w:ascii="宋体" w:hAnsi="宋体"/>
          <w:color w:val="auto"/>
          <w:sz w:val="22"/>
          <w:szCs w:val="22"/>
          <w:highlight w:val="none"/>
        </w:rPr>
        <w:t>付款时承包人应出具无锡市税金发票。（剩余工程款</w:t>
      </w:r>
      <w:r>
        <w:rPr>
          <w:rFonts w:hint="eastAsia" w:ascii="宋体" w:hAnsi="宋体"/>
          <w:color w:val="auto"/>
          <w:sz w:val="22"/>
          <w:szCs w:val="22"/>
          <w:highlight w:val="none"/>
          <w:lang w:val="en-US" w:eastAsia="zh-CN"/>
        </w:rPr>
        <w:t>作为质保金</w:t>
      </w:r>
      <w:r>
        <w:rPr>
          <w:rFonts w:hint="eastAsia" w:ascii="宋体" w:hAnsi="宋体"/>
          <w:color w:val="auto"/>
          <w:sz w:val="22"/>
          <w:szCs w:val="22"/>
          <w:highlight w:val="none"/>
        </w:rPr>
        <w:t>，待保修期（两年）满后且无质量问题，发包人</w:t>
      </w:r>
      <w:r>
        <w:rPr>
          <w:rFonts w:hint="eastAsia" w:ascii="宋体" w:hAnsi="宋体"/>
          <w:color w:val="auto"/>
          <w:sz w:val="22"/>
          <w:szCs w:val="22"/>
          <w:highlight w:val="none"/>
          <w:lang w:val="en-US" w:eastAsia="zh-CN"/>
        </w:rPr>
        <w:t>结算剩余工程款</w:t>
      </w:r>
      <w:r>
        <w:rPr>
          <w:rFonts w:hint="eastAsia" w:ascii="宋体" w:hAnsi="宋体"/>
          <w:color w:val="auto"/>
          <w:sz w:val="22"/>
          <w:szCs w:val="22"/>
          <w:highlight w:val="none"/>
        </w:rPr>
        <w:t>。</w:t>
      </w:r>
      <w:r>
        <w:rPr>
          <w:rFonts w:hint="eastAsia" w:ascii="宋体" w:hAnsi="宋体"/>
          <w:color w:val="auto"/>
          <w:sz w:val="22"/>
          <w:szCs w:val="22"/>
          <w:highlight w:val="none"/>
          <w:lang w:eastAsia="zh-CN"/>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12.4.2 进度付款申请单的编制</w:t>
      </w:r>
    </w:p>
    <w:p>
      <w:pPr>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关于进度付款申请单编制的约定：</w:t>
      </w:r>
      <w:r>
        <w:rPr>
          <w:rFonts w:hint="eastAsia" w:ascii="宋体" w:hAnsi="宋体"/>
          <w:color w:val="auto"/>
          <w:sz w:val="22"/>
          <w:szCs w:val="22"/>
          <w:highlight w:val="none"/>
          <w:u w:val="single"/>
        </w:rPr>
        <w:t>承包人提交申请单，跟踪审计批准，发包人支付。</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ascii="宋体" w:hAnsi="宋体"/>
          <w:color w:val="auto"/>
          <w:sz w:val="22"/>
          <w:szCs w:val="22"/>
          <w:highlight w:val="none"/>
        </w:rPr>
        <w:t>2.4.3 进度付款申请单的提交</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（1）单价合同进度付款申请单提交的约定</w:t>
      </w:r>
      <w:r>
        <w:rPr>
          <w:rFonts w:hint="eastAsia" w:ascii="宋体" w:hAnsi="宋体"/>
          <w:color w:val="auto"/>
          <w:sz w:val="22"/>
          <w:szCs w:val="22"/>
          <w:highlight w:val="none"/>
          <w:u w:val="single"/>
        </w:rPr>
        <w:t>：由承包人每月18日前提交。</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（2）总价合同进度付款申请单提交的约定</w:t>
      </w:r>
      <w:r>
        <w:rPr>
          <w:rFonts w:hint="eastAsia"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（3）其他价格形式合同进度付款申请单提交的约定：</w:t>
      </w:r>
      <w:r>
        <w:rPr>
          <w:rFonts w:hint="eastAsia" w:ascii="宋体" w:hAnsi="宋体"/>
          <w:color w:val="auto"/>
          <w:sz w:val="22"/>
          <w:szCs w:val="22"/>
          <w:highlight w:val="none"/>
          <w:u w:val="single"/>
        </w:rPr>
        <w:t>无</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12.4.4 进度款审核和支付</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（1）监理人审查并报送发包人的期限：</w:t>
      </w:r>
      <w:r>
        <w:rPr>
          <w:rFonts w:hint="eastAsia" w:ascii="宋体" w:hAnsi="宋体"/>
          <w:color w:val="auto"/>
          <w:sz w:val="22"/>
          <w:szCs w:val="22"/>
          <w:highlight w:val="none"/>
          <w:u w:val="single"/>
        </w:rPr>
        <w:t>/</w:t>
      </w:r>
      <w:r>
        <w:rPr>
          <w:rFonts w:ascii="宋体" w:hAnsi="宋体"/>
          <w:color w:val="auto"/>
          <w:sz w:val="22"/>
          <w:szCs w:val="22"/>
          <w:highlight w:val="none"/>
          <w:u w:val="single"/>
        </w:rPr>
        <w:t>。</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发包人完成审批并签发进度款支付证书的期限：</w:t>
      </w:r>
      <w:r>
        <w:rPr>
          <w:rFonts w:hint="eastAsia" w:ascii="宋体" w:hAnsi="宋体"/>
          <w:color w:val="auto"/>
          <w:sz w:val="22"/>
          <w:szCs w:val="22"/>
          <w:highlight w:val="none"/>
          <w:u w:val="single"/>
        </w:rPr>
        <w:t xml:space="preserve">发包人及发包人委托的审计人认为承包人报送的工程计量月报符合审核要求后合理审核时间内。 </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（2）发包人支付进度款的期限：</w:t>
      </w:r>
      <w:r>
        <w:rPr>
          <w:rFonts w:hint="eastAsia" w:ascii="宋体" w:hAnsi="宋体"/>
          <w:color w:val="auto"/>
          <w:sz w:val="22"/>
          <w:szCs w:val="22"/>
          <w:highlight w:val="none"/>
          <w:u w:val="single"/>
        </w:rPr>
        <w:t>按本合同有关条款</w:t>
      </w:r>
      <w:r>
        <w:rPr>
          <w:rFonts w:ascii="宋体" w:hAnsi="宋体"/>
          <w:color w:val="auto"/>
          <w:sz w:val="22"/>
          <w:szCs w:val="22"/>
          <w:highlight w:val="none"/>
          <w:u w:val="single"/>
        </w:rPr>
        <w:t>。</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发包人逾期支付进度款的违约金的计算方式：</w:t>
      </w:r>
      <w:r>
        <w:rPr>
          <w:rFonts w:hint="eastAsia" w:ascii="宋体" w:hAnsi="宋体"/>
          <w:color w:val="auto"/>
          <w:sz w:val="22"/>
          <w:szCs w:val="22"/>
          <w:highlight w:val="none"/>
          <w:u w:val="single"/>
        </w:rPr>
        <w:t>无</w:t>
      </w:r>
      <w:r>
        <w:rPr>
          <w:rFonts w:ascii="宋体" w:hAnsi="宋体"/>
          <w:color w:val="auto"/>
          <w:sz w:val="22"/>
          <w:szCs w:val="22"/>
          <w:highlight w:val="none"/>
        </w:rPr>
        <w:t>。</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12.4.6 支付分解表的编制</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2、总价合同支付分解表的编制与审批：</w:t>
      </w:r>
      <w:r>
        <w:rPr>
          <w:rFonts w:hint="eastAsia" w:ascii="宋体" w:hAnsi="宋体"/>
          <w:color w:val="auto"/>
          <w:sz w:val="22"/>
          <w:szCs w:val="22"/>
          <w:highlight w:val="none"/>
          <w:u w:val="single"/>
        </w:rPr>
        <w:t>无</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3、单价合同的总价项目支付分解表的编制与审批：</w:t>
      </w:r>
      <w:r>
        <w:rPr>
          <w:rFonts w:hint="eastAsia" w:ascii="宋体" w:hAnsi="宋体"/>
          <w:color w:val="auto"/>
          <w:sz w:val="22"/>
          <w:szCs w:val="22"/>
          <w:highlight w:val="none"/>
          <w:u w:val="single"/>
        </w:rPr>
        <w:t>无</w:t>
      </w:r>
      <w:r>
        <w:rPr>
          <w:rFonts w:ascii="宋体" w:hAnsi="宋体"/>
          <w:color w:val="auto"/>
          <w:sz w:val="22"/>
          <w:szCs w:val="22"/>
          <w:highlight w:val="none"/>
        </w:rPr>
        <w:t>。</w:t>
      </w:r>
    </w:p>
    <w:bookmarkEnd w:id="293"/>
    <w:p>
      <w:pPr>
        <w:pStyle w:val="9"/>
        <w:rPr>
          <w:color w:val="auto"/>
          <w:highlight w:val="none"/>
        </w:rPr>
      </w:pPr>
      <w:bookmarkStart w:id="464" w:name="_Toc351203645"/>
      <w:bookmarkStart w:id="465" w:name="_Toc296347218"/>
      <w:bookmarkStart w:id="466" w:name="_Toc297216223"/>
      <w:bookmarkStart w:id="467" w:name="_Toc296944558"/>
      <w:bookmarkStart w:id="468" w:name="_Toc312678053"/>
      <w:bookmarkStart w:id="469" w:name="_Toc297123564"/>
      <w:bookmarkStart w:id="470" w:name="_Toc296503219"/>
      <w:bookmarkStart w:id="471" w:name="_Toc304295593"/>
      <w:bookmarkStart w:id="472" w:name="_Toc297120519"/>
      <w:bookmarkStart w:id="473" w:name="_Toc300935015"/>
      <w:bookmarkStart w:id="474" w:name="_Toc296346720"/>
      <w:bookmarkStart w:id="475" w:name="_Toc303539172"/>
      <w:bookmarkStart w:id="476" w:name="_Toc296891259"/>
      <w:bookmarkStart w:id="477" w:name="_Toc297048405"/>
      <w:bookmarkStart w:id="478" w:name="_Toc292559424"/>
      <w:bookmarkStart w:id="479" w:name="_Toc296891047"/>
      <w:bookmarkStart w:id="480" w:name="_Toc292559929"/>
      <w:r>
        <w:rPr>
          <w:color w:val="auto"/>
          <w:highlight w:val="none"/>
        </w:rPr>
        <w:t>13.</w:t>
      </w:r>
      <w:r>
        <w:rPr>
          <w:rFonts w:hint="eastAsia"/>
          <w:color w:val="auto"/>
          <w:highlight w:val="none"/>
        </w:rPr>
        <w:t xml:space="preserve"> </w:t>
      </w:r>
      <w:r>
        <w:rPr>
          <w:color w:val="auto"/>
          <w:highlight w:val="none"/>
        </w:rPr>
        <w:t>验收和工程试车</w:t>
      </w:r>
      <w:bookmarkEnd w:id="464"/>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13.1 分部分项工程验收</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13.1.2监理人不能按时进行验收时，应提前</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24</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小时提交书面延期要求。</w:t>
      </w:r>
    </w:p>
    <w:p>
      <w:pPr>
        <w:adjustRightInd w:val="0"/>
        <w:spacing w:line="400" w:lineRule="exact"/>
        <w:ind w:firstLine="440" w:firstLineChars="200"/>
        <w:jc w:val="left"/>
        <w:rPr>
          <w:rFonts w:ascii="宋体" w:hAnsi="宋体"/>
          <w:b/>
          <w:color w:val="auto"/>
          <w:sz w:val="22"/>
          <w:szCs w:val="22"/>
          <w:highlight w:val="none"/>
        </w:rPr>
      </w:pPr>
      <w:r>
        <w:rPr>
          <w:rFonts w:ascii="宋体" w:hAnsi="宋体"/>
          <w:color w:val="auto"/>
          <w:sz w:val="22"/>
          <w:szCs w:val="22"/>
          <w:highlight w:val="none"/>
        </w:rPr>
        <w:t>关于延期最长不得超过：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48 </w:t>
      </w:r>
      <w:r>
        <w:rPr>
          <w:rFonts w:ascii="宋体" w:hAnsi="宋体"/>
          <w:color w:val="auto"/>
          <w:sz w:val="22"/>
          <w:szCs w:val="22"/>
          <w:highlight w:val="none"/>
          <w:u w:val="single"/>
        </w:rPr>
        <w:t xml:space="preserve"> </w:t>
      </w:r>
      <w:r>
        <w:rPr>
          <w:rFonts w:ascii="宋体" w:hAnsi="宋体"/>
          <w:color w:val="auto"/>
          <w:sz w:val="22"/>
          <w:szCs w:val="22"/>
          <w:highlight w:val="none"/>
        </w:rPr>
        <w:t>小时。</w:t>
      </w:r>
    </w:p>
    <w:p>
      <w:pPr>
        <w:adjustRightInd w:val="0"/>
        <w:spacing w:line="400" w:lineRule="exact"/>
        <w:ind w:firstLine="440" w:firstLineChars="200"/>
        <w:rPr>
          <w:rFonts w:ascii="宋体" w:hAnsi="宋体"/>
          <w:color w:val="auto"/>
          <w:sz w:val="22"/>
          <w:szCs w:val="22"/>
          <w:highlight w:val="none"/>
        </w:rPr>
      </w:pPr>
      <w:bookmarkStart w:id="481" w:name="_Toc300935016"/>
      <w:bookmarkStart w:id="482" w:name="_Toc297048409"/>
      <w:bookmarkStart w:id="483" w:name="_Toc303539173"/>
      <w:bookmarkStart w:id="484" w:name="_Toc312678056"/>
      <w:bookmarkStart w:id="485" w:name="_Toc296503223"/>
      <w:bookmarkStart w:id="486" w:name="_Toc297120523"/>
      <w:bookmarkStart w:id="487" w:name="_Toc296891051"/>
      <w:bookmarkStart w:id="488" w:name="_Toc304295596"/>
      <w:bookmarkStart w:id="489" w:name="_Toc297123565"/>
      <w:bookmarkStart w:id="490" w:name="_Toc296346724"/>
      <w:bookmarkStart w:id="491" w:name="_Toc297216224"/>
      <w:bookmarkStart w:id="492" w:name="_Toc296944562"/>
      <w:bookmarkStart w:id="493" w:name="_Toc292559933"/>
      <w:bookmarkStart w:id="494" w:name="_Toc296891263"/>
      <w:bookmarkStart w:id="495" w:name="_Toc292559428"/>
      <w:bookmarkStart w:id="496" w:name="_Toc296347222"/>
      <w:r>
        <w:rPr>
          <w:rFonts w:ascii="宋体" w:hAnsi="宋体"/>
          <w:color w:val="auto"/>
          <w:sz w:val="22"/>
          <w:szCs w:val="22"/>
          <w:highlight w:val="none"/>
        </w:rPr>
        <w:t>13.2 竣工验收</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Pr>
        <w:adjustRightInd w:val="0"/>
        <w:spacing w:line="400" w:lineRule="exact"/>
        <w:ind w:firstLine="440" w:firstLineChars="200"/>
        <w:jc w:val="left"/>
        <w:rPr>
          <w:rFonts w:ascii="宋体" w:hAnsi="宋体"/>
          <w:color w:val="auto"/>
          <w:sz w:val="22"/>
          <w:szCs w:val="22"/>
          <w:highlight w:val="none"/>
        </w:rPr>
      </w:pPr>
      <w:bookmarkStart w:id="497" w:name="_Toc280868704"/>
      <w:bookmarkStart w:id="498" w:name="_Toc280868705"/>
      <w:bookmarkStart w:id="499" w:name="_Toc280868706"/>
      <w:bookmarkStart w:id="500" w:name="_Toc280868707"/>
      <w:bookmarkStart w:id="501" w:name="_Toc280868708"/>
      <w:r>
        <w:rPr>
          <w:rFonts w:ascii="宋体" w:hAnsi="宋体"/>
          <w:color w:val="auto"/>
          <w:sz w:val="22"/>
          <w:szCs w:val="22"/>
          <w:highlight w:val="none"/>
        </w:rPr>
        <w:t>13.2.2竣工验收程序</w:t>
      </w:r>
    </w:p>
    <w:bookmarkEnd w:id="497"/>
    <w:p>
      <w:pPr>
        <w:adjustRightInd w:val="0"/>
        <w:spacing w:line="400"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关于竣工验收程序的约定：</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发包人在承包人提交了交付使用验收报告和符合第32.1条款要求的交工资料后，会同相关单位进行交付使用验收，只有通过交付验收，承包人的交付使用报告才被认可。承包人应即着手交付竣工验收的各项准备，对施工质量缺陷进行整改完善至合格以上要求，并向发包人提出竣工验收的申请。发包人收到承包人提交的竣工验收申请报告和竣工文件后，30天内将对申请单位递交的材料进行审查，对不符合竣工验收条件的，应及时退回并告知理由，对符合条件的，应在收到申请文件之日起2个月内组织竣工验收。竣工验收由发包人会同上级主管部门主持，由发包人、质监、设计、监理、管养等有关部门代表（专家）组成竣工验收委员会，按设计图纸规定的标准、及其他相关规定，对项目的建设管理、设计、施工、监理等方面做出综合评价。工程通过交付使用验收后，承包人应在2个月内上报本合同工程结算报告，发包人（在收到结算报告书后初审并报上级主管部门审批。</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rPr>
        <w:t>发包人不按照本项约定组织竣工验收、颁发工程接收证书的违约金的计算方法：</w:t>
      </w:r>
      <w:r>
        <w:rPr>
          <w:rFonts w:hint="eastAsia" w:ascii="宋体" w:hAnsi="宋体"/>
          <w:color w:val="auto"/>
          <w:sz w:val="22"/>
          <w:szCs w:val="22"/>
          <w:highlight w:val="none"/>
          <w:u w:val="single"/>
        </w:rPr>
        <w:t>按通用条款执行</w:t>
      </w:r>
    </w:p>
    <w:bookmarkEnd w:id="498"/>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13.2.5移交、接收全部与部分工程</w:t>
      </w:r>
    </w:p>
    <w:bookmarkEnd w:id="499"/>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kern w:val="0"/>
          <w:sz w:val="22"/>
          <w:szCs w:val="22"/>
          <w:highlight w:val="none"/>
        </w:rPr>
        <w:t>承包人向发包人移交工程的期限</w:t>
      </w:r>
      <w:r>
        <w:rPr>
          <w:rFonts w:hint="eastAsia" w:ascii="宋体" w:hAnsi="宋体"/>
          <w:color w:val="auto"/>
          <w:sz w:val="22"/>
          <w:szCs w:val="22"/>
          <w:highlight w:val="none"/>
          <w:u w:val="single"/>
        </w:rPr>
        <w:t>：完成交竣工验收后14天内或双方协商。</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kern w:val="0"/>
          <w:sz w:val="22"/>
          <w:szCs w:val="22"/>
          <w:highlight w:val="none"/>
        </w:rPr>
        <w:t>发包人未按本合同约定接收全部或部分工程的，违约金的计算方法为：</w:t>
      </w:r>
      <w:r>
        <w:rPr>
          <w:rFonts w:hint="eastAsia" w:ascii="宋体" w:hAnsi="宋体"/>
          <w:color w:val="auto"/>
          <w:sz w:val="22"/>
          <w:szCs w:val="22"/>
          <w:highlight w:val="none"/>
          <w:u w:val="single"/>
        </w:rPr>
        <w:t>/</w:t>
      </w:r>
      <w:r>
        <w:rPr>
          <w:rFonts w:ascii="宋体" w:hAnsi="宋体"/>
          <w:color w:val="auto"/>
          <w:sz w:val="22"/>
          <w:szCs w:val="22"/>
          <w:highlight w:val="none"/>
        </w:rPr>
        <w:t>。</w:t>
      </w:r>
    </w:p>
    <w:bookmarkEnd w:id="500"/>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承包人未按时移交工程的，违约金的计算方法为：</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rPr>
        <w:t>000元/天</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13.3 工程试车</w:t>
      </w:r>
    </w:p>
    <w:bookmarkEnd w:id="501"/>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13.3.1 试车程序</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工程试车内容：</w:t>
      </w:r>
      <w:r>
        <w:rPr>
          <w:rFonts w:hint="eastAsia" w:ascii="宋体" w:hAnsi="宋体"/>
          <w:color w:val="auto"/>
          <w:sz w:val="22"/>
          <w:szCs w:val="22"/>
          <w:highlight w:val="none"/>
          <w:u w:val="single"/>
        </w:rPr>
        <w:t>无</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（1）单机无负荷试车费用由</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kern w:val="0"/>
          <w:sz w:val="22"/>
          <w:szCs w:val="22"/>
          <w:highlight w:val="none"/>
        </w:rPr>
        <w:t>承担；</w:t>
      </w:r>
    </w:p>
    <w:p>
      <w:pPr>
        <w:adjustRightInd w:val="0"/>
        <w:spacing w:line="400"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（2）无负荷联动试车费用由</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kern w:val="0"/>
          <w:sz w:val="22"/>
          <w:szCs w:val="22"/>
          <w:highlight w:val="none"/>
        </w:rPr>
        <w:t>承担。</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13.3.3 投料试车</w:t>
      </w:r>
    </w:p>
    <w:p>
      <w:pPr>
        <w:adjustRightInd w:val="0"/>
        <w:spacing w:line="400" w:lineRule="exact"/>
        <w:ind w:firstLine="440" w:firstLineChars="200"/>
        <w:jc w:val="left"/>
        <w:rPr>
          <w:rFonts w:ascii="宋体" w:hAnsi="宋体"/>
          <w:color w:val="auto"/>
          <w:kern w:val="0"/>
          <w:sz w:val="22"/>
          <w:szCs w:val="22"/>
          <w:highlight w:val="none"/>
        </w:rPr>
      </w:pPr>
      <w:r>
        <w:rPr>
          <w:rFonts w:hint="eastAsia" w:ascii="宋体" w:hAnsi="宋体"/>
          <w:color w:val="auto"/>
          <w:kern w:val="0"/>
          <w:sz w:val="22"/>
          <w:szCs w:val="22"/>
          <w:highlight w:val="none"/>
        </w:rPr>
        <w:t>关于投料试车相关事项的约定：</w:t>
      </w:r>
      <w:r>
        <w:rPr>
          <w:rFonts w:hint="eastAsia" w:ascii="宋体" w:hAnsi="宋体"/>
          <w:color w:val="auto"/>
          <w:sz w:val="22"/>
          <w:szCs w:val="22"/>
          <w:highlight w:val="none"/>
          <w:u w:val="single"/>
        </w:rPr>
        <w:t>无</w:t>
      </w:r>
      <w:r>
        <w:rPr>
          <w:rFonts w:ascii="宋体" w:hAnsi="宋体"/>
          <w:color w:val="auto"/>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13.6 竣工退场</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13.6.1 竣工退场</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kern w:val="0"/>
          <w:sz w:val="22"/>
          <w:szCs w:val="22"/>
          <w:highlight w:val="none"/>
        </w:rPr>
        <w:t>承包人完成竣工退场的期限：</w:t>
      </w:r>
      <w:r>
        <w:rPr>
          <w:rFonts w:hint="eastAsia" w:ascii="宋体" w:hAnsi="宋体"/>
          <w:color w:val="auto"/>
          <w:sz w:val="22"/>
          <w:szCs w:val="22"/>
          <w:highlight w:val="none"/>
          <w:u w:val="single"/>
        </w:rPr>
        <w:t>竣工验收合格后14天内</w:t>
      </w:r>
      <w:r>
        <w:rPr>
          <w:rFonts w:ascii="宋体" w:hAnsi="宋体"/>
          <w:color w:val="auto"/>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14.1 竣工付款申请</w:t>
      </w:r>
    </w:p>
    <w:p>
      <w:pPr>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承包人提交竣工付款申请单的期限：</w:t>
      </w:r>
      <w:r>
        <w:rPr>
          <w:rFonts w:hint="eastAsia" w:ascii="宋体" w:hAnsi="宋体"/>
          <w:color w:val="auto"/>
          <w:sz w:val="22"/>
          <w:szCs w:val="22"/>
          <w:highlight w:val="none"/>
          <w:u w:val="single"/>
        </w:rPr>
        <w:t>承包人应在通过工程交（竣）工验收 60天内将完整的结算资料送交给发包人，逾期由发包人向承包按 1000 元/天的标准收取违约金。竣工付款申请单应包括的内容：（1）竣工结算合同价格；（2）发包人,已支付承包人的款项；（3）应扣留的质量保证金；（4）发包人应支付承包人的合同价款。</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rPr>
        <w:t>竣工结算申请单应包括的内容：</w:t>
      </w:r>
      <w:r>
        <w:rPr>
          <w:rFonts w:hint="eastAsia" w:ascii="宋体" w:hAnsi="宋体"/>
          <w:color w:val="auto"/>
          <w:sz w:val="22"/>
          <w:szCs w:val="22"/>
          <w:highlight w:val="none"/>
          <w:u w:val="single"/>
        </w:rPr>
        <w:t>（1）竣工结算合同价格；（2）发包人已支付承包人的款项；（3）发包人应支付承包人的合同价款</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14.2 竣工结算审核</w:t>
      </w:r>
    </w:p>
    <w:p>
      <w:pPr>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发包人</w:t>
      </w:r>
      <w:r>
        <w:rPr>
          <w:rFonts w:hint="eastAsia" w:ascii="宋体" w:hAnsi="宋体"/>
          <w:color w:val="auto"/>
          <w:sz w:val="22"/>
          <w:szCs w:val="22"/>
          <w:highlight w:val="none"/>
        </w:rPr>
        <w:t>审批</w:t>
      </w:r>
      <w:r>
        <w:rPr>
          <w:rFonts w:ascii="宋体" w:hAnsi="宋体"/>
          <w:color w:val="auto"/>
          <w:sz w:val="22"/>
          <w:szCs w:val="22"/>
          <w:highlight w:val="none"/>
        </w:rPr>
        <w:t>竣工付款申请单的期限：</w:t>
      </w:r>
      <w:r>
        <w:rPr>
          <w:rFonts w:hint="eastAsia" w:ascii="宋体" w:hAnsi="宋体"/>
          <w:color w:val="auto"/>
          <w:sz w:val="22"/>
          <w:szCs w:val="22"/>
          <w:highlight w:val="none"/>
          <w:u w:val="single"/>
        </w:rPr>
        <w:t>无</w:t>
      </w:r>
    </w:p>
    <w:p>
      <w:pPr>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发包人完成竣工付款的期限：</w:t>
      </w:r>
      <w:r>
        <w:rPr>
          <w:rFonts w:hint="eastAsia" w:ascii="宋体" w:hAnsi="宋体"/>
          <w:color w:val="auto"/>
          <w:sz w:val="22"/>
          <w:szCs w:val="22"/>
          <w:highlight w:val="none"/>
          <w:u w:val="single"/>
        </w:rPr>
        <w:t>无。</w:t>
      </w:r>
    </w:p>
    <w:p>
      <w:pPr>
        <w:adjustRightInd w:val="0"/>
        <w:spacing w:line="400" w:lineRule="exact"/>
        <w:ind w:firstLine="440" w:firstLineChars="200"/>
        <w:jc w:val="left"/>
        <w:rPr>
          <w:rFonts w:ascii="宋体" w:hAnsi="宋体"/>
          <w:color w:val="auto"/>
          <w:sz w:val="22"/>
          <w:szCs w:val="22"/>
          <w:highlight w:val="none"/>
          <w:u w:val="single"/>
        </w:rPr>
      </w:pPr>
      <w:r>
        <w:rPr>
          <w:rFonts w:hint="eastAsia" w:ascii="宋体" w:hAnsi="宋体"/>
          <w:color w:val="auto"/>
          <w:sz w:val="22"/>
          <w:szCs w:val="22"/>
          <w:highlight w:val="none"/>
        </w:rPr>
        <w:t>关于竣工付款证书异议部分复核的方式和程序</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14.4 最终结清</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14.4.1 最终结清申请单</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承包人提交最终结清申请单的份数</w:t>
      </w:r>
      <w:r>
        <w:rPr>
          <w:rFonts w:ascii="宋体" w:hAnsi="宋体"/>
          <w:color w:val="auto"/>
          <w:sz w:val="22"/>
          <w:szCs w:val="22"/>
          <w:highlight w:val="none"/>
          <w:u w:val="single"/>
        </w:rPr>
        <w:t>：</w:t>
      </w:r>
      <w:r>
        <w:rPr>
          <w:rFonts w:hint="eastAsia" w:ascii="宋体" w:hAnsi="宋体"/>
          <w:color w:val="auto"/>
          <w:sz w:val="22"/>
          <w:szCs w:val="22"/>
          <w:highlight w:val="none"/>
          <w:u w:val="single"/>
        </w:rPr>
        <w:t>6份</w:t>
      </w:r>
      <w:r>
        <w:rPr>
          <w:rFonts w:ascii="宋体" w:hAnsi="宋体"/>
          <w:color w:val="auto"/>
          <w:sz w:val="22"/>
          <w:szCs w:val="22"/>
          <w:highlight w:val="none"/>
          <w:u w:val="single"/>
        </w:rPr>
        <w:t>。</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kern w:val="0"/>
          <w:sz w:val="22"/>
          <w:szCs w:val="22"/>
          <w:highlight w:val="none"/>
        </w:rPr>
        <w:t>承包人提交最终结算申请单的期限：</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 xml:space="preserve">。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14.4.2 最终结清证书和支付</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（1）发包人完成最终结清申请单的</w:t>
      </w:r>
      <w:r>
        <w:rPr>
          <w:rFonts w:hint="eastAsia" w:ascii="宋体" w:hAnsi="宋体"/>
          <w:color w:val="auto"/>
          <w:sz w:val="22"/>
          <w:szCs w:val="22"/>
          <w:highlight w:val="none"/>
        </w:rPr>
        <w:t>审批</w:t>
      </w:r>
      <w:r>
        <w:rPr>
          <w:rFonts w:ascii="宋体" w:hAnsi="宋体"/>
          <w:color w:val="auto"/>
          <w:sz w:val="22"/>
          <w:szCs w:val="22"/>
          <w:highlight w:val="none"/>
        </w:rPr>
        <w:t>并颁发最终结清证书的期限：</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（2）发包人完成支付的期限：</w:t>
      </w:r>
      <w:r>
        <w:rPr>
          <w:rFonts w:hint="eastAsia" w:ascii="宋体" w:hAnsi="宋体"/>
          <w:color w:val="auto"/>
          <w:sz w:val="22"/>
          <w:szCs w:val="22"/>
          <w:highlight w:val="none"/>
          <w:u w:val="single"/>
        </w:rPr>
        <w:t>按本合同有关条款执行</w:t>
      </w:r>
      <w:r>
        <w:rPr>
          <w:rFonts w:ascii="宋体" w:hAnsi="宋体"/>
          <w:color w:val="auto"/>
          <w:sz w:val="22"/>
          <w:szCs w:val="22"/>
          <w:highlight w:val="none"/>
          <w:u w:val="single"/>
        </w:rPr>
        <w:t>。</w:t>
      </w:r>
    </w:p>
    <w:p>
      <w:pPr>
        <w:pStyle w:val="9"/>
        <w:rPr>
          <w:color w:val="auto"/>
          <w:highlight w:val="none"/>
        </w:rPr>
      </w:pPr>
      <w:r>
        <w:rPr>
          <w:color w:val="auto"/>
          <w:highlight w:val="none"/>
        </w:rPr>
        <w:t>15. 缺陷责任期与保修</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15.2缺陷责任期</w:t>
      </w:r>
    </w:p>
    <w:p>
      <w:pPr>
        <w:adjustRightInd w:val="0"/>
        <w:spacing w:line="400" w:lineRule="exact"/>
        <w:ind w:firstLine="440" w:firstLineChars="200"/>
        <w:jc w:val="left"/>
        <w:rPr>
          <w:rFonts w:hint="default" w:ascii="宋体" w:hAnsi="宋体" w:eastAsia="宋体"/>
          <w:color w:val="auto"/>
          <w:sz w:val="22"/>
          <w:szCs w:val="22"/>
          <w:highlight w:val="none"/>
          <w:u w:val="single"/>
          <w:lang w:val="en-US" w:eastAsia="zh-CN"/>
        </w:rPr>
      </w:pPr>
      <w:r>
        <w:rPr>
          <w:rFonts w:ascii="宋体" w:hAnsi="宋体"/>
          <w:color w:val="auto"/>
          <w:sz w:val="22"/>
          <w:szCs w:val="22"/>
          <w:highlight w:val="none"/>
        </w:rPr>
        <w:t>缺陷责任期的具体期限：</w:t>
      </w:r>
      <w:r>
        <w:rPr>
          <w:rFonts w:hint="eastAsia" w:ascii="宋体" w:hAnsi="宋体"/>
          <w:color w:val="auto"/>
          <w:sz w:val="22"/>
          <w:szCs w:val="22"/>
          <w:highlight w:val="none"/>
          <w:u w:val="single"/>
          <w:lang w:val="en-US" w:eastAsia="zh-CN"/>
        </w:rPr>
        <w:t xml:space="preserve"> 24个月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15.3 质量保证金</w:t>
      </w:r>
    </w:p>
    <w:p>
      <w:pPr>
        <w:adjustRightInd w:val="0"/>
        <w:spacing w:line="400" w:lineRule="exact"/>
        <w:ind w:firstLine="440" w:firstLineChars="200"/>
        <w:jc w:val="left"/>
        <w:rPr>
          <w:rFonts w:hint="eastAsia" w:ascii="宋体" w:hAnsi="宋体"/>
          <w:color w:val="auto"/>
          <w:sz w:val="22"/>
          <w:szCs w:val="22"/>
          <w:highlight w:val="none"/>
          <w:u w:val="single"/>
        </w:rPr>
      </w:pPr>
      <w:r>
        <w:rPr>
          <w:rFonts w:hint="eastAsia" w:ascii="宋体" w:hAnsi="宋体"/>
          <w:color w:val="auto"/>
          <w:sz w:val="22"/>
          <w:szCs w:val="22"/>
          <w:highlight w:val="none"/>
        </w:rPr>
        <w:t>关于是否扣留质量保证金的约定：</w:t>
      </w:r>
      <w:r>
        <w:rPr>
          <w:rFonts w:hint="eastAsia" w:ascii="宋体" w:hAnsi="宋体"/>
          <w:color w:val="auto"/>
          <w:sz w:val="22"/>
          <w:szCs w:val="22"/>
          <w:highlight w:val="none"/>
          <w:u w:val="single"/>
        </w:rPr>
        <w:t>是。</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15.3.1 </w:t>
      </w:r>
      <w:r>
        <w:rPr>
          <w:rFonts w:hint="eastAsia" w:ascii="宋体" w:hAnsi="宋体"/>
          <w:color w:val="auto"/>
          <w:sz w:val="22"/>
          <w:szCs w:val="22"/>
          <w:highlight w:val="none"/>
        </w:rPr>
        <w:t>承包人提供</w:t>
      </w:r>
      <w:r>
        <w:rPr>
          <w:rFonts w:ascii="宋体" w:hAnsi="宋体"/>
          <w:color w:val="auto"/>
          <w:sz w:val="22"/>
          <w:szCs w:val="22"/>
          <w:highlight w:val="none"/>
        </w:rPr>
        <w:t>质量保证金的</w:t>
      </w:r>
      <w:r>
        <w:rPr>
          <w:rFonts w:hint="eastAsia" w:ascii="宋体" w:hAnsi="宋体"/>
          <w:color w:val="auto"/>
          <w:sz w:val="22"/>
          <w:szCs w:val="22"/>
          <w:highlight w:val="none"/>
        </w:rPr>
        <w:t>方</w:t>
      </w:r>
      <w:r>
        <w:rPr>
          <w:rFonts w:ascii="宋体" w:hAnsi="宋体"/>
          <w:color w:val="auto"/>
          <w:sz w:val="22"/>
          <w:szCs w:val="22"/>
          <w:highlight w:val="none"/>
        </w:rPr>
        <w:t>式</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质量保证金采用以下第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w:t>
      </w:r>
      <w:r>
        <w:rPr>
          <w:rFonts w:ascii="宋体" w:hAnsi="宋体"/>
          <w:color w:val="auto"/>
          <w:sz w:val="22"/>
          <w:szCs w:val="22"/>
          <w:highlight w:val="none"/>
          <w:u w:val="single"/>
        </w:rPr>
        <w:t xml:space="preserve"> </w:t>
      </w:r>
      <w:r>
        <w:rPr>
          <w:rFonts w:ascii="宋体" w:hAnsi="宋体"/>
          <w:color w:val="auto"/>
          <w:sz w:val="22"/>
          <w:szCs w:val="22"/>
          <w:highlight w:val="none"/>
        </w:rPr>
        <w:t>种方式：</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（1）质量保证金保函，保证金额为：</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w:t>
      </w:r>
      <w:r>
        <w:rPr>
          <w:rFonts w:ascii="宋体" w:hAnsi="宋体"/>
          <w:color w:val="auto"/>
          <w:kern w:val="0"/>
          <w:sz w:val="22"/>
          <w:szCs w:val="22"/>
          <w:highlight w:val="none"/>
        </w:rPr>
        <w:t xml:space="preserve">； </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hint="eastAsia" w:ascii="宋体" w:hAnsi="宋体"/>
          <w:color w:val="auto"/>
          <w:sz w:val="22"/>
          <w:szCs w:val="22"/>
          <w:highlight w:val="none"/>
          <w:u w:val="single"/>
          <w:lang w:val="en-US" w:eastAsia="zh-CN"/>
        </w:rPr>
        <w:t>10</w:t>
      </w:r>
      <w:r>
        <w:rPr>
          <w:rFonts w:hint="eastAsia" w:ascii="宋体" w:hAnsi="宋体"/>
          <w:color w:val="auto"/>
          <w:sz w:val="22"/>
          <w:szCs w:val="22"/>
          <w:highlight w:val="none"/>
          <w:u w:val="single"/>
        </w:rPr>
        <w:t xml:space="preserve">% </w:t>
      </w:r>
      <w:r>
        <w:rPr>
          <w:rFonts w:ascii="宋体" w:hAnsi="宋体"/>
          <w:color w:val="auto"/>
          <w:kern w:val="0"/>
          <w:sz w:val="22"/>
          <w:szCs w:val="22"/>
          <w:highlight w:val="none"/>
        </w:rPr>
        <w:t>的工程款；</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（3）其他</w:t>
      </w:r>
      <w:r>
        <w:rPr>
          <w:rFonts w:hint="eastAsia" w:ascii="宋体" w:hAnsi="宋体"/>
          <w:color w:val="auto"/>
          <w:kern w:val="0"/>
          <w:sz w:val="22"/>
          <w:szCs w:val="22"/>
          <w:highlight w:val="none"/>
        </w:rPr>
        <w:t>方</w:t>
      </w:r>
      <w:r>
        <w:rPr>
          <w:rFonts w:ascii="宋体" w:hAnsi="宋体"/>
          <w:color w:val="auto"/>
          <w:kern w:val="0"/>
          <w:sz w:val="22"/>
          <w:szCs w:val="22"/>
          <w:highlight w:val="none"/>
        </w:rPr>
        <w:t>式:</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15.3.2 质量保证金的扣留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质量保证金的扣留采取以下第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种方式：</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（1）在支付工程进度款时逐次扣留，在此情形下，质量保证金的计算基数不包括预付款的支付、扣回以及价格调整的金额；</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（2）工程竣工结算时一次性扣留质量保证金；</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（3）其他扣留方式:</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关于质量保证金的补充约定：</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15.4保修</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15.4.1 保修责任</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工程保修期为：</w:t>
      </w:r>
      <w:r>
        <w:rPr>
          <w:rFonts w:ascii="宋体" w:hAnsi="宋体"/>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s="宋体"/>
          <w:color w:val="auto"/>
          <w:kern w:val="0"/>
          <w:highlight w:val="none"/>
          <w:u w:val="single"/>
          <w:lang w:bidi="ar"/>
        </w:rPr>
        <w:t>详见合同附件《工程质量保修书》</w:t>
      </w:r>
      <w:r>
        <w:rPr>
          <w:rFonts w:ascii="宋体" w:hAnsi="宋体"/>
          <w:color w:val="auto"/>
          <w:sz w:val="22"/>
          <w:szCs w:val="22"/>
          <w:highlight w:val="none"/>
          <w:u w:val="single"/>
        </w:rPr>
        <w:t xml:space="preserve">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15.4.3 修复通知</w:t>
      </w:r>
    </w:p>
    <w:p>
      <w:pPr>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kern w:val="0"/>
          <w:sz w:val="22"/>
          <w:szCs w:val="22"/>
          <w:highlight w:val="none"/>
        </w:rPr>
        <w:t>承包人收到保修通知并到达工程现场的合理时间：</w:t>
      </w:r>
      <w:r>
        <w:rPr>
          <w:rFonts w:hint="eastAsia" w:ascii="宋体" w:hAnsi="宋体"/>
          <w:color w:val="auto"/>
          <w:sz w:val="22"/>
          <w:szCs w:val="22"/>
          <w:highlight w:val="none"/>
          <w:u w:val="single"/>
        </w:rPr>
        <w:t>普通维修为收到电话通知后24小时内；紧急维修为收到电话通知后2小时内。</w:t>
      </w:r>
    </w:p>
    <w:p>
      <w:pPr>
        <w:pStyle w:val="9"/>
        <w:rPr>
          <w:color w:val="auto"/>
          <w:highlight w:val="none"/>
        </w:rPr>
      </w:pPr>
      <w:r>
        <w:rPr>
          <w:color w:val="auto"/>
          <w:highlight w:val="none"/>
        </w:rPr>
        <w:t>16. 违约</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16.1 发包人违约</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16.1.1发包人违约的情形</w:t>
      </w:r>
    </w:p>
    <w:p>
      <w:pPr>
        <w:adjustRightInd w:val="0"/>
        <w:spacing w:line="400"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发包人违约的其他情形</w:t>
      </w:r>
      <w:r>
        <w:rPr>
          <w:rFonts w:ascii="宋体" w:hAnsi="宋体"/>
          <w:color w:val="auto"/>
          <w:sz w:val="22"/>
          <w:szCs w:val="22"/>
          <w:highlight w:val="none"/>
          <w:u w:val="single"/>
        </w:rPr>
        <w:t>：</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16.1.2 发包人违约的责任</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发包人违约责任的承担方式和计算方法：</w:t>
      </w:r>
    </w:p>
    <w:p>
      <w:pPr>
        <w:adjustRightInd w:val="0"/>
        <w:spacing w:line="400" w:lineRule="exact"/>
        <w:ind w:firstLine="440" w:firstLineChars="200"/>
        <w:jc w:val="left"/>
        <w:rPr>
          <w:rFonts w:ascii="宋体" w:hAnsi="宋体"/>
          <w:color w:val="auto"/>
          <w:kern w:val="0"/>
          <w:sz w:val="22"/>
          <w:szCs w:val="22"/>
          <w:highlight w:val="none"/>
          <w:u w:val="single"/>
        </w:rPr>
      </w:pPr>
      <w:r>
        <w:rPr>
          <w:rFonts w:ascii="宋体" w:hAnsi="宋体"/>
          <w:color w:val="auto"/>
          <w:kern w:val="0"/>
          <w:sz w:val="22"/>
          <w:szCs w:val="22"/>
          <w:highlight w:val="none"/>
        </w:rPr>
        <w:t>（1）因发包人原因未能在计划开工日期前7天内下达开工通知的违约责任：。</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（2）因发包人原因未能按合同约定支付合同价款的违约责任：</w:t>
      </w:r>
      <w:r>
        <w:rPr>
          <w:rFonts w:ascii="宋体" w:hAnsi="宋体"/>
          <w:color w:val="auto"/>
          <w:kern w:val="0"/>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（3）发包人违反第10.1款</w:t>
      </w:r>
      <w:r>
        <w:rPr>
          <w:rFonts w:hint="eastAsia" w:ascii="宋体" w:hAnsi="宋体"/>
          <w:color w:val="auto"/>
          <w:kern w:val="0"/>
          <w:sz w:val="22"/>
          <w:szCs w:val="22"/>
          <w:highlight w:val="none"/>
        </w:rPr>
        <w:t>〔</w:t>
      </w:r>
      <w:r>
        <w:rPr>
          <w:rFonts w:ascii="宋体" w:hAnsi="宋体"/>
          <w:color w:val="auto"/>
          <w:kern w:val="0"/>
          <w:sz w:val="22"/>
          <w:szCs w:val="22"/>
          <w:highlight w:val="none"/>
        </w:rPr>
        <w:t>变更的范围</w:t>
      </w:r>
      <w:r>
        <w:rPr>
          <w:rFonts w:hint="eastAsia" w:ascii="宋体" w:hAnsi="宋体"/>
          <w:color w:val="auto"/>
          <w:kern w:val="0"/>
          <w:sz w:val="22"/>
          <w:szCs w:val="22"/>
          <w:highlight w:val="none"/>
        </w:rPr>
        <w:t>〕</w:t>
      </w:r>
      <w:r>
        <w:rPr>
          <w:rFonts w:ascii="宋体" w:hAnsi="宋体"/>
          <w:color w:val="auto"/>
          <w:kern w:val="0"/>
          <w:sz w:val="22"/>
          <w:szCs w:val="22"/>
          <w:highlight w:val="none"/>
        </w:rPr>
        <w:t>第（2）项约定，自行实施被取消的工作或转由他人实施的违约责任：</w:t>
      </w:r>
      <w:r>
        <w:rPr>
          <w:rFonts w:hint="eastAsia" w:ascii="宋体" w:hAnsi="宋体"/>
          <w:color w:val="auto"/>
          <w:sz w:val="22"/>
          <w:szCs w:val="22"/>
          <w:highlight w:val="none"/>
          <w:u w:val="single"/>
        </w:rPr>
        <w:t>无</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color w:val="auto"/>
          <w:sz w:val="22"/>
          <w:szCs w:val="22"/>
          <w:highlight w:val="none"/>
          <w:u w:val="single"/>
        </w:rPr>
        <w:t>无</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（5）因发包人违反合同约定造成暂停施工的违约责任：</w:t>
      </w:r>
      <w:r>
        <w:rPr>
          <w:rFonts w:hint="eastAsia" w:ascii="宋体" w:hAnsi="宋体"/>
          <w:color w:val="auto"/>
          <w:sz w:val="22"/>
          <w:szCs w:val="22"/>
          <w:highlight w:val="none"/>
          <w:u w:val="single"/>
        </w:rPr>
        <w:t>无</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（6）发包人无正当理由没有在约定期限内发出复工指示，导致承包人无法复工的违约责任：。</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（7）</w:t>
      </w:r>
      <w:r>
        <w:rPr>
          <w:rFonts w:hint="eastAsia" w:ascii="宋体" w:hAnsi="宋体"/>
          <w:color w:val="auto"/>
          <w:kern w:val="0"/>
          <w:sz w:val="22"/>
          <w:szCs w:val="22"/>
          <w:highlight w:val="none"/>
        </w:rPr>
        <w:t>其他：</w:t>
      </w:r>
      <w:r>
        <w:rPr>
          <w:rFonts w:ascii="宋体" w:hAnsi="宋体"/>
          <w:color w:val="auto"/>
          <w:kern w:val="0"/>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16.1.3 因发包人违约解除合同</w:t>
      </w:r>
    </w:p>
    <w:p>
      <w:pPr>
        <w:autoSpaceDE w:val="0"/>
        <w:autoSpaceDN w:val="0"/>
        <w:adjustRightInd w:val="0"/>
        <w:spacing w:line="400"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承包人按16.1.1项</w:t>
      </w:r>
      <w:r>
        <w:rPr>
          <w:rFonts w:hint="eastAsia" w:ascii="宋体" w:hAnsi="宋体"/>
          <w:color w:val="auto"/>
          <w:kern w:val="0"/>
          <w:sz w:val="22"/>
          <w:szCs w:val="22"/>
          <w:highlight w:val="none"/>
        </w:rPr>
        <w:t>〔</w:t>
      </w:r>
      <w:r>
        <w:rPr>
          <w:rFonts w:ascii="宋体" w:hAnsi="宋体"/>
          <w:color w:val="auto"/>
          <w:kern w:val="0"/>
          <w:sz w:val="22"/>
          <w:szCs w:val="22"/>
          <w:highlight w:val="none"/>
        </w:rPr>
        <w:t>发包人违约的情形</w:t>
      </w:r>
      <w:r>
        <w:rPr>
          <w:rFonts w:hint="eastAsia" w:ascii="宋体" w:hAnsi="宋体"/>
          <w:color w:val="auto"/>
          <w:kern w:val="0"/>
          <w:sz w:val="22"/>
          <w:szCs w:val="22"/>
          <w:highlight w:val="none"/>
        </w:rPr>
        <w:t>〕</w:t>
      </w:r>
      <w:r>
        <w:rPr>
          <w:rFonts w:ascii="宋体" w:hAnsi="宋体"/>
          <w:color w:val="auto"/>
          <w:kern w:val="0"/>
          <w:sz w:val="22"/>
          <w:szCs w:val="22"/>
          <w:highlight w:val="none"/>
        </w:rPr>
        <w:t>约定暂停施工满</w:t>
      </w:r>
      <w:r>
        <w:rPr>
          <w:rFonts w:hint="eastAsia" w:ascii="宋体" w:hAnsi="宋体"/>
          <w:color w:val="auto"/>
          <w:sz w:val="22"/>
          <w:szCs w:val="22"/>
          <w:highlight w:val="none"/>
          <w:u w:val="single"/>
        </w:rPr>
        <w:t>无</w:t>
      </w:r>
      <w:r>
        <w:rPr>
          <w:rFonts w:ascii="宋体" w:hAnsi="宋体"/>
          <w:color w:val="auto"/>
          <w:kern w:val="0"/>
          <w:sz w:val="22"/>
          <w:szCs w:val="22"/>
          <w:highlight w:val="none"/>
        </w:rPr>
        <w:t>天后发包人仍不纠正其违约行为并致使合同目的不能实现的，承包人有权解除合同。</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16.2 承包人违约</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16.2.1 承包人违约的情形</w:t>
      </w:r>
    </w:p>
    <w:p>
      <w:pPr>
        <w:adjustRightInd w:val="0"/>
        <w:spacing w:line="400" w:lineRule="exact"/>
        <w:ind w:firstLine="440" w:firstLineChars="200"/>
        <w:rPr>
          <w:rFonts w:hint="eastAsia" w:ascii="宋体" w:hAnsi="宋体"/>
          <w:color w:val="auto"/>
          <w:sz w:val="22"/>
          <w:szCs w:val="22"/>
          <w:highlight w:val="none"/>
          <w:u w:val="single"/>
        </w:rPr>
      </w:pPr>
      <w:r>
        <w:rPr>
          <w:rFonts w:ascii="宋体" w:hAnsi="宋体"/>
          <w:color w:val="auto"/>
          <w:kern w:val="0"/>
          <w:sz w:val="22"/>
          <w:szCs w:val="22"/>
          <w:highlight w:val="none"/>
        </w:rPr>
        <w:t>承包人违约的其他情形：</w:t>
      </w:r>
      <w:r>
        <w:rPr>
          <w:rFonts w:hint="eastAsia" w:ascii="宋体" w:hAnsi="宋体"/>
          <w:color w:val="auto"/>
          <w:sz w:val="22"/>
          <w:szCs w:val="22"/>
          <w:highlight w:val="none"/>
          <w:u w:val="single"/>
        </w:rPr>
        <w:t>(1)本工程确保合格。如验收达不到标准，则承包人必须返修整改达到标准为止，才能交付发包人，其返修费用均由承包人自行承担。返修工期计入总工期考核，并按照单位工程总造价的3％向发包人支付质量违约金。</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(2) 本工程竣工验收通过后，承包人在28天内提供全部结算资料，工程结算审计过程中，不再增加任何结算资料，送审的结算书中若有遗漏项目均作为让利给发包人，不作增加调整。由发包人委托有资质的中介机构进行结算审核，审计结果由发包人和承包人确认后作为结算依据。承包人提供的结算核减额≤5%</w:t>
      </w:r>
      <w:r>
        <w:rPr>
          <w:rFonts w:hint="eastAsia" w:ascii="宋体" w:hAnsi="宋体"/>
          <w:color w:val="auto"/>
          <w:sz w:val="22"/>
          <w:szCs w:val="22"/>
          <w:highlight w:val="none"/>
          <w:u w:val="single"/>
          <w:lang w:val="en-US" w:eastAsia="zh-CN"/>
        </w:rPr>
        <w:t>时，</w:t>
      </w:r>
      <w:r>
        <w:rPr>
          <w:rFonts w:hint="eastAsia" w:ascii="宋体" w:hAnsi="宋体"/>
          <w:color w:val="auto"/>
          <w:sz w:val="22"/>
          <w:szCs w:val="22"/>
          <w:highlight w:val="none"/>
          <w:u w:val="single"/>
        </w:rPr>
        <w:t>审计费由发包人承担；核减额＞5%时，审计费由承包人承担。(3)涉及到工程价款的签证，应有监理、跟踪审计审核，发包人确认作为结算依据。所有签证承包人必须在事件发生后7天内报出签证申请，逾期作为让利。工程施工内容一旦发生变更，不论变更价格是否核定，承包人必须按变更通知单先行施工，否则发包人可给予一定的处罚。</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(4)根据招标文件“投标须知13”中相关条款，承包人及其分包人任何车辆上路运输，应事先取得道路管理部门的同意，并承担因损坏所通行的道路或桥梁（包括村镇道路）而发生的修复、加固等费用，这些费用和由此引起的一切索赔、赔偿、诉讼和其它开支，发包人概不承担。</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(5)严格施工安全，承包人应对施工人员进行安全教育，不发生人身伤亡事故和火灾事故，并应参加建筑、安装工程保险，施工中发生的质量、安全事故及责任和经济损失均由承包人负责，并按相关管理部门论定的责任相应处理。</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(6) 承包人应按投标承诺委派具有足够经验、认真负责和精干的人员组成管理机构，并保证投标的主要管理机构成员（包括项目负责人、技术负责人、合同或商务负责人、现场经理、质量员、安全员等）及时到位并常驻现场，未经发包人批准，不应无故不到位或被替换，若确实无法到位或需替换的，应安排同等资历的人员且经发包人批准。若承包人擅自更换管理机构成员则视为违约，发包人有权扣除中标价2%的违约金直至终止合同并没收履约保证金。如果监理工程师或发包人认为委派的管理机构成员的工作能力、业务水平不称职，承包人在接到通知后，应尽快撤回上述人员，同时委派经发包人同意的、新的管理机构成员，否则将视为违约，发包人有权扣除中标价2%的违约金直至终止施工合同并没收履约保证金。尽管承包人已按投标承诺派遣了各类人员，如果发包人认为这些人员仍不足适应现场施工需要且无法保证工程质量时，发包人有权要求承包人增派人员，承包人在接到通知后应立即执行，不得无故拖延。本工程承包人的现场项目管理机构的人员不得同时兼任其它工程项目的工作。并接受发包方项目部的现场管理和考核，项目经理按时参加项目部例会。施工期内，承包人还须确保项目负责人每周一至周六常驻工地现场，承包方项目经理及现场管理机构主要人员（施工员、技术员、质量员、安全员等）未经发包人同意擅自离岗，项目经理按1000元/小时、其他人员按500元/小时接受发包方罚款；监理工程师或发包方指定的参加会议人员，若不参加项目例会，按1000元/次罚款，迟到按200元/次罚款 。工程中所有的罚款均在当期付款中扣除。</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(7)除通用条款约定的不可抗力外，另要约定的不可抗力由发包人、承包人及监理视事件情况共同论定。</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(8)承包人宗旨：保证与发包人密切配合，服从统一指挥、统一安排，严格遵守发包方的相关管理制度，高标准、严要求、优质、快速地完成该合同工程的施工建设，确保发包人满意。</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(9)承包人采购或发包人供应的建筑材料，必须符合现行国家质量标准的要求。材料进场时必须附有出厂合格证，并按规定会同发包人（监理）工地代表共同抽样，送质检部门认可有效的检测单位复验，当发包人或质检部门按高于规范和规定的要求另行要求检验试验所发生的复验费以及新材料、新工艺、新设备的试验费，其费用按江苏省物价局、江苏省建设厅苏价物（2001）113号关于核定《江苏省建设工程质量检测和建筑材料试验收费标准》的通知规定由发包人承担费用；其余根据有关国家标准或验收规范要求的检验项目的试验费用由承包人承担。经复验合格后的材料，并对该进场后的复验材料进行实物检查，与复验结果相符的才能使用。遵循谁采购谁负责的原则，不合格或不符合设计、规范要求的的材料、设备由材料来源的采购方组织处理、并在监理工程师要求的时间内清出现场，并承担由此产生的费用，施工工期不予顺延。发包人和监理工程师对承包人采购材料的批准或认可并不解除承包人应负的质量、工期的责任，也不解除承包人对材料设备应负的责任。</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(10)对施工过程中的质量控制的主要要求：施工方法、施工顺序承包人必须严格按发包人（监理）工地代表批准的施工组织设计（施工方案）组织施工，并由发包人（监理）工地代表监督实施。</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(11)工程竣工后一个月内承包人提交合同范围内的工程竣工结算，逾期提交发包人可相应延期支付承包人的工程款。</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 xml:space="preserve"> (12)施工期间，乙方要做到文明施工，并符合市创建卫生城市的要求，以及上级部门下发的有关文明施工（包括施工区和生活区）的规定和做法。材料堆放整齐，做好工地文明创建工作，在施工过程中如受到有关部门的通报批评，则每次按该标段总建筑面积1元／M2扣款，夜间施工必须按照无锡市行政主管部门有关规定执行。</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 xml:space="preserve"> (13)水、电线路在开工前由发包人接至施工现场并装表，其余由承包人自行解决。水电费由承包人支付。</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(14)发包人提供的水、电设施，工程竣工验收后，承包人应完好交还给发包人。</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 xml:space="preserve"> (15)承包人提供的履约保函待工程竣工验收证书发出后一个月内退还承包人。</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(16)本合同履行过程中,若因承包人原因造成的工程质量问题引起纠纷或争议,或承包人未妥善处理员工、民工、材料商的相关问题而发生纠纷或争议，由承包人按以下约定承担责任：</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① 因上述情况影响了发包人及相关部门正常工作的,出现第一次,由承包人向发包人支付惩罚性违约金2万元，并承担相应的损失。</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② 因上述情况导致员工、民工、材料商到发包人办公场地等闹事，或导致民工、材料商爬塔吊等的, 出现第一次,由承包人向发包人支付惩罚性违约金2万元，并承担相应的损失。</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③ 因上述情况导致员工、民工、材料商到公共场所阻碍交通、游行等事件的, 出现第一次,由承包人向发包人支付惩罚性违约金10万元，并承担相应的损失。</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若上述事件出现二次以上（含二次）, 每增加一次，上述惩罚性违约金数额也相应增加一倍,以此类推，累计计算。</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(18)承包人不得以任何理由拖欠员工、民工工资，承包人应在交付工地前付清所欠员工、民工工资。在交付前，承包人应将本工程所涉及的员工、民工工资应付情况和支付时间在工地现场和周围张贴公布，承包人未付清员工、民工工资前，发包人有权暂停支付工程款。如因承包人拖欠员工、民工工资出现上述47.1条18款情况的，则按上述条款约定承担责任。</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(18)若因为承包人没有在深化的施工组织设计的相关内容中提出发包人在场地提供、图纸提交、甲供材料设备供应、付款或其它必要手续方面的时间、内容和要求，所引起的工期延误和其它损失由承包人自己承担。</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(20)承包人应对施工技术方案的完备、稳定和安全负全部责任。监理工程师对于施工技术方案的批准不排除承包人对施工技术方案的完备、稳定和安全应负的全部责任。</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(21)承包人应针对现场实际情况及合同的要求，自行判断是否需要安排场外临时设施用地或施工用地。由次产生的费用承包人已综合考虑列入合同价格中。必要时，发包人可给予承包人必要的协助。</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22）所有施工、检测设备必须按投标承诺要求配备进场，任何施工机械设备离场必须经发包人书面同意，如进场施工、检测设备低于承诺要求或施工机械设备离场未经发包人书面同意，均视为违约，发包人有权扣除中标价2%的违约金直至终止施工合同并没收履约保证金。</w:t>
      </w:r>
    </w:p>
    <w:p>
      <w:p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 xml:space="preserve">发包人继续使用承包人在施工现场的材料、设备、临时工程、承包人文件和由承包人或以其名义编制的其他文件的费用承担方式：发包人无偿使用，承包人义务承担。   </w:t>
      </w:r>
    </w:p>
    <w:p>
      <w:pPr>
        <w:numPr>
          <w:ilvl w:val="0"/>
          <w:numId w:val="9"/>
        </w:num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在承包人违反本协议约定时，发包人有权在工程价款中直接予以扣除，包括但不限于违约金、罚款。</w:t>
      </w:r>
    </w:p>
    <w:p>
      <w:pPr>
        <w:numPr>
          <w:ilvl w:val="0"/>
          <w:numId w:val="9"/>
        </w:numPr>
        <w:adjustRightInd w:val="0"/>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承包人在实施本工程中的一切施工作业，应做到绿色施工、环保施工、文明施工。应不影响邻近建筑物、构筑物、构作物的安全与正常使用，不干扰群众的生产、生活和通行方便，如果发生上述情况，由此导致的索赔、赔偿、诉讼费用和其它开支，由承包人承担一切责任及费用。</w:t>
      </w:r>
    </w:p>
    <w:p>
      <w:pPr>
        <w:adjustRightInd w:val="0"/>
        <w:spacing w:line="40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16.2.2</w:t>
      </w:r>
      <w:r>
        <w:rPr>
          <w:rFonts w:hint="eastAsia" w:ascii="宋体" w:hAnsi="宋体"/>
          <w:color w:val="auto"/>
          <w:kern w:val="0"/>
          <w:sz w:val="22"/>
          <w:szCs w:val="22"/>
          <w:highlight w:val="none"/>
        </w:rPr>
        <w:tab/>
      </w:r>
      <w:r>
        <w:rPr>
          <w:rFonts w:hint="eastAsia" w:ascii="宋体" w:hAnsi="宋体"/>
          <w:color w:val="auto"/>
          <w:kern w:val="0"/>
          <w:sz w:val="22"/>
          <w:szCs w:val="22"/>
          <w:highlight w:val="none"/>
        </w:rPr>
        <w:t>承包人违约的责任</w:t>
      </w:r>
    </w:p>
    <w:p>
      <w:pPr>
        <w:adjustRightInd w:val="0"/>
        <w:spacing w:line="400" w:lineRule="exact"/>
        <w:rPr>
          <w:rFonts w:hint="eastAsia" w:ascii="宋体" w:hAnsi="宋体"/>
          <w:color w:val="auto"/>
          <w:kern w:val="0"/>
          <w:sz w:val="22"/>
          <w:szCs w:val="22"/>
          <w:highlight w:val="none"/>
          <w:u w:val="single"/>
        </w:rPr>
      </w:pPr>
      <w:r>
        <w:rPr>
          <w:rFonts w:hint="eastAsia" w:ascii="宋体" w:hAnsi="宋体"/>
          <w:color w:val="auto"/>
          <w:kern w:val="0"/>
          <w:sz w:val="22"/>
          <w:szCs w:val="22"/>
          <w:highlight w:val="none"/>
        </w:rPr>
        <w:t>承包人违约责任的承担方式和计算方法：</w:t>
      </w:r>
      <w:r>
        <w:rPr>
          <w:rFonts w:hint="eastAsia" w:ascii="宋体" w:hAnsi="宋体"/>
          <w:color w:val="auto"/>
          <w:kern w:val="0"/>
          <w:sz w:val="22"/>
          <w:szCs w:val="22"/>
          <w:highlight w:val="none"/>
          <w:u w:val="single"/>
        </w:rPr>
        <w:t>总工期及节点工期均不得延误。如承包人不能在承诺工期内完成，每拖延一天，承包人须按1000元向发包人支付违约金。质量违约金：若竣工验收综合工程质量达不到合格或不能通过业主及有关管理部门的验收，由承包人负责对不合格工程进行整改或返工，直至验收合格，承担一切费用，并按不低于合同价的3％支付发包人违约金</w:t>
      </w:r>
    </w:p>
    <w:p>
      <w:pPr>
        <w:adjustRightInd w:val="0"/>
        <w:spacing w:line="40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16.2.3</w:t>
      </w:r>
      <w:r>
        <w:rPr>
          <w:rFonts w:hint="eastAsia" w:ascii="宋体" w:hAnsi="宋体"/>
          <w:color w:val="auto"/>
          <w:kern w:val="0"/>
          <w:sz w:val="22"/>
          <w:szCs w:val="22"/>
          <w:highlight w:val="none"/>
        </w:rPr>
        <w:tab/>
      </w:r>
      <w:r>
        <w:rPr>
          <w:rFonts w:hint="eastAsia" w:ascii="宋体" w:hAnsi="宋体"/>
          <w:color w:val="auto"/>
          <w:kern w:val="0"/>
          <w:sz w:val="22"/>
          <w:szCs w:val="22"/>
          <w:highlight w:val="none"/>
        </w:rPr>
        <w:t>因承包人违约解除合同</w:t>
      </w:r>
    </w:p>
    <w:p>
      <w:pPr>
        <w:adjustRightInd w:val="0"/>
        <w:spacing w:line="400" w:lineRule="exact"/>
        <w:rPr>
          <w:rFonts w:hint="eastAsia" w:ascii="宋体" w:hAnsi="宋体"/>
          <w:color w:val="auto"/>
          <w:kern w:val="0"/>
          <w:sz w:val="22"/>
          <w:szCs w:val="22"/>
          <w:highlight w:val="none"/>
          <w:u w:val="single"/>
        </w:rPr>
      </w:pPr>
      <w:r>
        <w:rPr>
          <w:rFonts w:hint="eastAsia" w:ascii="宋体" w:hAnsi="宋体"/>
          <w:color w:val="auto"/>
          <w:kern w:val="0"/>
          <w:sz w:val="22"/>
          <w:szCs w:val="22"/>
          <w:highlight w:val="none"/>
        </w:rPr>
        <w:t>关于承包人违约解除合同的特别约定：</w:t>
      </w:r>
      <w:r>
        <w:rPr>
          <w:rFonts w:hint="eastAsia" w:ascii="宋体" w:hAnsi="宋体"/>
          <w:color w:val="auto"/>
          <w:kern w:val="0"/>
          <w:sz w:val="22"/>
          <w:szCs w:val="22"/>
          <w:highlight w:val="none"/>
          <w:u w:val="single"/>
        </w:rPr>
        <w:t>按通用条款执行</w:t>
      </w:r>
    </w:p>
    <w:p>
      <w:pPr>
        <w:adjustRightInd w:val="0"/>
        <w:spacing w:line="400" w:lineRule="exact"/>
        <w:rPr>
          <w:rFonts w:hint="eastAsia" w:ascii="宋体" w:hAnsi="宋体"/>
          <w:color w:val="auto"/>
          <w:kern w:val="0"/>
          <w:sz w:val="22"/>
          <w:szCs w:val="22"/>
          <w:highlight w:val="none"/>
        </w:rPr>
      </w:pPr>
      <w:r>
        <w:rPr>
          <w:rFonts w:hint="eastAsia" w:ascii="宋体" w:hAnsi="宋体"/>
          <w:color w:val="auto"/>
          <w:kern w:val="0"/>
          <w:sz w:val="22"/>
          <w:szCs w:val="22"/>
          <w:highlight w:val="none"/>
        </w:rPr>
        <w:t>发包人继续使用承包人在施工现场的材料、设备、临时工程、承包人文件和由承包人或以其名义编制的其他文件的费用承担方式：</w:t>
      </w:r>
      <w:r>
        <w:rPr>
          <w:rFonts w:hint="eastAsia" w:ascii="宋体" w:hAnsi="宋体"/>
          <w:color w:val="auto"/>
          <w:kern w:val="0"/>
          <w:sz w:val="22"/>
          <w:szCs w:val="22"/>
          <w:highlight w:val="none"/>
          <w:u w:val="single"/>
        </w:rPr>
        <w:t>承包人承担</w:t>
      </w:r>
    </w:p>
    <w:p>
      <w:pPr>
        <w:pStyle w:val="9"/>
        <w:rPr>
          <w:color w:val="auto"/>
          <w:highlight w:val="none"/>
        </w:rPr>
      </w:pPr>
      <w:r>
        <w:rPr>
          <w:color w:val="auto"/>
          <w:highlight w:val="none"/>
        </w:rPr>
        <w:t xml:space="preserve">17. 不可抗力 </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17.1 不可抗力的确认</w:t>
      </w:r>
    </w:p>
    <w:p>
      <w:pPr>
        <w:adjustRightInd w:val="0"/>
        <w:spacing w:line="400" w:lineRule="exact"/>
        <w:ind w:firstLine="440" w:firstLineChars="200"/>
        <w:jc w:val="left"/>
        <w:rPr>
          <w:rFonts w:ascii="宋体" w:hAnsi="宋体"/>
          <w:color w:val="auto"/>
          <w:kern w:val="0"/>
          <w:sz w:val="22"/>
          <w:szCs w:val="22"/>
          <w:highlight w:val="none"/>
          <w:u w:val="single"/>
        </w:rPr>
      </w:pPr>
      <w:r>
        <w:rPr>
          <w:rFonts w:ascii="宋体" w:hAnsi="宋体"/>
          <w:color w:val="auto"/>
          <w:sz w:val="22"/>
          <w:szCs w:val="22"/>
          <w:highlight w:val="none"/>
        </w:rPr>
        <w:t xml:space="preserve">除通用合同条款约定的不可抗力事件之外，视为不可抗力的其他情形：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按保险合同解释</w:t>
      </w:r>
      <w:r>
        <w:rPr>
          <w:rFonts w:ascii="宋体" w:hAnsi="宋体"/>
          <w:color w:val="auto"/>
          <w:kern w:val="0"/>
          <w:sz w:val="22"/>
          <w:szCs w:val="22"/>
          <w:highlight w:val="non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17.4 因不可抗力解除合同</w:t>
      </w:r>
    </w:p>
    <w:p>
      <w:pPr>
        <w:adjustRightInd w:val="0"/>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合同解除后，发包人应在商定或确定发包人应支付款项后</w:t>
      </w:r>
      <w:r>
        <w:rPr>
          <w:rFonts w:hint="eastAsia" w:ascii="宋体" w:hAnsi="宋体"/>
          <w:color w:val="auto"/>
          <w:sz w:val="22"/>
          <w:szCs w:val="22"/>
          <w:highlight w:val="none"/>
          <w:u w:val="single"/>
        </w:rPr>
        <w:t>60</w:t>
      </w:r>
      <w:r>
        <w:rPr>
          <w:rFonts w:ascii="宋体" w:hAnsi="宋体"/>
          <w:color w:val="auto"/>
          <w:sz w:val="22"/>
          <w:szCs w:val="22"/>
          <w:highlight w:val="none"/>
        </w:rPr>
        <w:t>天内完成款项的支付。</w:t>
      </w:r>
    </w:p>
    <w:p>
      <w:pPr>
        <w:pStyle w:val="9"/>
        <w:rPr>
          <w:color w:val="auto"/>
          <w:highlight w:val="none"/>
        </w:rPr>
      </w:pPr>
      <w:r>
        <w:rPr>
          <w:color w:val="auto"/>
          <w:highlight w:val="none"/>
        </w:rPr>
        <w:t>18. 保险</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18.1 工程保险</w:t>
      </w:r>
    </w:p>
    <w:p>
      <w:pPr>
        <w:adjustRightInd w:val="0"/>
        <w:spacing w:line="400"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关于工程保险的特别约定：</w:t>
      </w:r>
      <w:r>
        <w:rPr>
          <w:rFonts w:hint="eastAsia" w:ascii="宋体" w:hAnsi="宋体"/>
          <w:color w:val="auto"/>
          <w:sz w:val="22"/>
          <w:szCs w:val="22"/>
          <w:highlight w:val="none"/>
          <w:u w:val="single"/>
        </w:rPr>
        <w:t>承包人必须为从事危险作业的人员办理意外伤害保险，并为施工场地内自有人员生命财产和施工机械设备办理保险。</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18.3 其他保险</w:t>
      </w:r>
    </w:p>
    <w:p>
      <w:pPr>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关于其他保险的约定：</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承包人是否应为其施工设备等办理财产保险：</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要办理</w:t>
      </w:r>
      <w:r>
        <w:rPr>
          <w:rFonts w:ascii="宋体" w:hAnsi="宋体"/>
          <w:color w:val="auto"/>
          <w:sz w:val="22"/>
          <w:szCs w:val="22"/>
          <w:highlight w:val="none"/>
          <w:u w:val="single"/>
        </w:rPr>
        <w:t>。</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18.7 通知义务</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关于变更保险合同时的通知义务的约定：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pStyle w:val="9"/>
        <w:rPr>
          <w:color w:val="auto"/>
          <w:highlight w:val="none"/>
        </w:rPr>
      </w:pPr>
      <w:r>
        <w:rPr>
          <w:color w:val="auto"/>
          <w:highlight w:val="none"/>
        </w:rPr>
        <w:t>20. 争议解决</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20.3 争议评审</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合同当事人是否同意将工程争议提交争议评审小组决</w:t>
      </w:r>
      <w:r>
        <w:rPr>
          <w:rFonts w:hint="eastAsia" w:ascii="宋体" w:hAnsi="宋体"/>
          <w:color w:val="auto"/>
          <w:sz w:val="22"/>
          <w:szCs w:val="22"/>
          <w:highlight w:val="none"/>
        </w:rPr>
        <w:t>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 xml:space="preserve">。  </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20.3.1 争议评审小组的确定</w:t>
      </w:r>
    </w:p>
    <w:p>
      <w:pPr>
        <w:adjustRightInd w:val="0"/>
        <w:spacing w:line="400"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争议评审小组成员的确定：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选定争议评审员的期限：</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争议评审小组成员的报酬承担方式：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其他事项的约定：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utoSpaceDE w:val="0"/>
        <w:autoSpaceDN w:val="0"/>
        <w:adjustRightInd w:val="0"/>
        <w:spacing w:line="400"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20.3.2 争议评审小组的决定</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合同当事人关于本项的约定：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pPr>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20.4仲裁或诉讼</w:t>
      </w:r>
    </w:p>
    <w:p>
      <w:pPr>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因合同及合同有关事项发生的争议，按下列第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w:t>
      </w:r>
      <w:r>
        <w:rPr>
          <w:rFonts w:ascii="宋体" w:hAnsi="宋体"/>
          <w:color w:val="auto"/>
          <w:sz w:val="22"/>
          <w:szCs w:val="22"/>
          <w:highlight w:val="none"/>
          <w:u w:val="single"/>
        </w:rPr>
        <w:t xml:space="preserve">  </w:t>
      </w:r>
      <w:r>
        <w:rPr>
          <w:rFonts w:ascii="宋体" w:hAnsi="宋体"/>
          <w:color w:val="auto"/>
          <w:sz w:val="22"/>
          <w:szCs w:val="22"/>
          <w:highlight w:val="none"/>
        </w:rPr>
        <w:t>种方式</w:t>
      </w:r>
      <w:r>
        <w:rPr>
          <w:rFonts w:hint="eastAsia" w:ascii="宋体" w:hAnsi="宋体"/>
          <w:color w:val="auto"/>
          <w:sz w:val="22"/>
          <w:szCs w:val="22"/>
          <w:highlight w:val="none"/>
        </w:rPr>
        <w:t>解</w:t>
      </w:r>
      <w:r>
        <w:rPr>
          <w:rFonts w:ascii="宋体" w:hAnsi="宋体"/>
          <w:color w:val="auto"/>
          <w:sz w:val="22"/>
          <w:szCs w:val="22"/>
          <w:highlight w:val="none"/>
        </w:rPr>
        <w:t>决：</w:t>
      </w:r>
    </w:p>
    <w:p>
      <w:pPr>
        <w:adjustRightInd w:val="0"/>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（1）向</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无锡市 </w:t>
      </w:r>
      <w:r>
        <w:rPr>
          <w:rFonts w:ascii="宋体" w:hAnsi="宋体"/>
          <w:color w:val="auto"/>
          <w:sz w:val="22"/>
          <w:szCs w:val="22"/>
          <w:highlight w:val="none"/>
        </w:rPr>
        <w:t>仲裁委员会申请仲裁；</w:t>
      </w:r>
    </w:p>
    <w:p>
      <w:pPr>
        <w:tabs>
          <w:tab w:val="left" w:pos="8280"/>
        </w:tabs>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（2）向</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无锡市梁溪区</w:t>
      </w:r>
      <w:r>
        <w:rPr>
          <w:rFonts w:ascii="宋体" w:hAnsi="宋体"/>
          <w:color w:val="auto"/>
          <w:sz w:val="22"/>
          <w:szCs w:val="22"/>
          <w:highlight w:val="none"/>
        </w:rPr>
        <w:t>人民法院起诉</w:t>
      </w:r>
      <w:r>
        <w:rPr>
          <w:rFonts w:hint="eastAsia" w:ascii="宋体" w:hAnsi="宋体"/>
          <w:color w:val="auto"/>
          <w:sz w:val="22"/>
          <w:szCs w:val="22"/>
          <w:highlight w:val="none"/>
        </w:rPr>
        <w:t>。</w:t>
      </w:r>
    </w:p>
    <w:p>
      <w:pPr>
        <w:pStyle w:val="12"/>
        <w:spacing w:line="428" w:lineRule="exact"/>
        <w:rPr>
          <w:rFonts w:hint="eastAsia" w:hAnsi="宋体"/>
          <w:color w:val="auto"/>
          <w:sz w:val="24"/>
          <w:highlight w:val="none"/>
        </w:rPr>
      </w:pPr>
      <w:r>
        <w:rPr>
          <w:rFonts w:hAnsi="宋体"/>
          <w:color w:val="auto"/>
          <w:sz w:val="24"/>
          <w:highlight w:val="none"/>
        </w:rPr>
        <w:t>21.补充条款</w:t>
      </w: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附</w:t>
      </w:r>
      <w:bookmarkStart w:id="502" w:name="_Toc296346727"/>
      <w:bookmarkStart w:id="503" w:name="_Toc267261693"/>
      <w:bookmarkStart w:id="504" w:name="_Toc296347225"/>
      <w:bookmarkStart w:id="505" w:name="_Toc296944565"/>
      <w:bookmarkStart w:id="506" w:name="_Toc296891266"/>
      <w:bookmarkStart w:id="507" w:name="_Toc296503226"/>
      <w:bookmarkStart w:id="508" w:name="_Toc296891054"/>
      <w:r>
        <w:rPr>
          <w:rFonts w:hint="eastAsia" w:ascii="宋体" w:hAnsi="宋体" w:cs="宋体"/>
          <w:color w:val="auto"/>
          <w:sz w:val="24"/>
          <w:highlight w:val="none"/>
        </w:rPr>
        <w:t>件</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bookmarkEnd w:id="502"/>
      <w:bookmarkEnd w:id="503"/>
      <w:bookmarkEnd w:id="504"/>
      <w:bookmarkEnd w:id="505"/>
      <w:bookmarkEnd w:id="506"/>
      <w:bookmarkEnd w:id="507"/>
      <w:bookmarkEnd w:id="508"/>
      <w:r>
        <w:rPr>
          <w:rFonts w:hint="eastAsia" w:ascii="宋体" w:hAnsi="宋体" w:cs="宋体"/>
          <w:color w:val="auto"/>
          <w:sz w:val="24"/>
          <w:highlight w:val="none"/>
        </w:rPr>
        <w:t xml:space="preserve">    </w:t>
      </w:r>
    </w:p>
    <w:p>
      <w:pPr>
        <w:spacing w:before="156" w:beforeLines="50"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工程质量保修书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发包人（全称）：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承包人（全称）：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40" w:lineRule="exact"/>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发包人和承包人根据《中华人民共和国建筑法》和《建设工程质量管理条例》，经协商一致就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（工程全称）签订工程质量保修书。</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　　一、工程质量保修范围和内容</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承包人在质量保修期内，按照有关法律规定和合同约定，承担工程质量保修责任。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outlineLvl w:val="0"/>
        <w:rPr>
          <w:rFonts w:hint="eastAsia" w:ascii="宋体" w:hAnsi="宋体" w:cs="宋体"/>
          <w:color w:val="auto"/>
          <w:sz w:val="24"/>
          <w:highlight w:val="none"/>
        </w:rPr>
      </w:pPr>
      <w:r>
        <w:rPr>
          <w:rFonts w:hint="eastAsia" w:ascii="宋体" w:hAnsi="宋体" w:cs="宋体"/>
          <w:b/>
          <w:color w:val="auto"/>
          <w:sz w:val="24"/>
          <w:highlight w:val="none"/>
        </w:rPr>
        <w:t>　　</w:t>
      </w:r>
      <w:r>
        <w:rPr>
          <w:rFonts w:hint="eastAsia" w:ascii="宋体" w:hAnsi="宋体" w:cs="宋体"/>
          <w:color w:val="auto"/>
          <w:sz w:val="24"/>
          <w:highlight w:val="none"/>
        </w:rPr>
        <w:t>二、质量保修期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1．地基基础工程和主体结构工程为设计文件规定的工程合理使用年限；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3．装修工程为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4．电气管线、给排水管道、设备安装工程为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5．供热与供冷系统为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个采暖期、供冷期；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6．住宅小区内的给排水设施、道路等配套工程为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7．其他项目保修期限约定如下：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质量保修期自工程竣工验收合格之日起计算。</w:t>
      </w:r>
    </w:p>
    <w:p>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三、缺陷责任期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缺陷责任期终止后，发包人应退还剩余的质量保证金。</w:t>
      </w:r>
    </w:p>
    <w:p>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四、质量保修责任</w:t>
      </w:r>
    </w:p>
    <w:p>
      <w:pPr>
        <w:spacing w:line="360" w:lineRule="auto"/>
        <w:ind w:left="105" w:leftChars="50" w:firstLine="480" w:firstLineChars="200"/>
        <w:rPr>
          <w:rFonts w:hint="eastAsia"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1．属于保修范围、内容的项目，承包人应当在接到保修通知之日起7天内派人保修。承包人不在约定期限内派人保修的，发包人可以委托他人修理。</w:t>
      </w:r>
    </w:p>
    <w:p>
      <w:pPr>
        <w:spacing w:line="360" w:lineRule="auto"/>
        <w:ind w:left="105" w:leftChars="50" w:firstLine="480" w:firstLineChars="200"/>
        <w:rPr>
          <w:rFonts w:hint="eastAsia"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pPr>
        <w:spacing w:line="360" w:lineRule="auto"/>
        <w:ind w:left="105" w:leftChars="50"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4．质量保修完成后，由发包人组织验收。</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　　五、保修费用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保修费用由造成质量缺陷的责任方承担。</w:t>
      </w:r>
    </w:p>
    <w:p>
      <w:pPr>
        <w:spacing w:line="360" w:lineRule="auto"/>
        <w:ind w:firstLine="472" w:firstLineChars="196"/>
        <w:jc w:val="left"/>
        <w:outlineLvl w:val="0"/>
        <w:rPr>
          <w:rFonts w:hint="eastAsia" w:ascii="宋体" w:hAnsi="宋体" w:cs="宋体"/>
          <w:color w:val="auto"/>
          <w:sz w:val="24"/>
          <w:highlight w:val="none"/>
          <w:u w:val="single"/>
        </w:rPr>
      </w:pPr>
      <w:r>
        <w:rPr>
          <w:rFonts w:hint="eastAsia" w:ascii="宋体" w:hAnsi="宋体" w:cs="宋体"/>
          <w:b/>
          <w:color w:val="auto"/>
          <w:sz w:val="24"/>
          <w:highlight w:val="none"/>
        </w:rPr>
        <w:t>六</w:t>
      </w:r>
      <w:r>
        <w:rPr>
          <w:rFonts w:hint="eastAsia" w:ascii="宋体" w:hAnsi="宋体" w:cs="宋体"/>
          <w:color w:val="auto"/>
          <w:sz w:val="24"/>
          <w:highlight w:val="none"/>
        </w:rPr>
        <w:t>、双方约定的其他工程质量保修事项：</w:t>
      </w:r>
      <w:r>
        <w:rPr>
          <w:rFonts w:hint="eastAsia" w:ascii="宋体" w:hAnsi="宋体" w:cs="宋体"/>
          <w:color w:val="auto"/>
          <w:sz w:val="24"/>
          <w:highlight w:val="none"/>
          <w:u w:val="single"/>
        </w:rPr>
        <w:t xml:space="preserve">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56" w:firstLineChars="190"/>
        <w:rPr>
          <w:rFonts w:hint="eastAsia" w:ascii="宋体" w:hAnsi="宋体" w:cs="宋体"/>
          <w:color w:val="auto"/>
          <w:sz w:val="24"/>
          <w:highlight w:val="none"/>
        </w:rPr>
      </w:pPr>
      <w:r>
        <w:rPr>
          <w:rFonts w:hint="eastAsia" w:ascii="宋体" w:hAnsi="宋体" w:cs="宋体"/>
          <w:color w:val="auto"/>
          <w:sz w:val="24"/>
          <w:highlight w:val="none"/>
        </w:rPr>
        <w:t>工程质量保修书由发包人、承包人在工程竣工验收前共同签署，作为施工合同附件，其有效期限至保修期满。</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发包人(公章)：</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 xml:space="preserve">            承包人(公章)：</w:t>
      </w:r>
      <w:r>
        <w:rPr>
          <w:rFonts w:hint="eastAsia" w:ascii="宋体" w:hAnsi="宋体" w:cs="宋体"/>
          <w:color w:val="auto"/>
          <w:sz w:val="24"/>
          <w:highlight w:val="none"/>
          <w:u w:val="single"/>
        </w:rPr>
        <w:t xml:space="preserve">          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委托代理人(签字)：</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Arial" w:hAnsi="Arial" w:eastAsia="宋体"/>
          <w:b/>
          <w:bCs/>
          <w:color w:val="auto"/>
          <w:sz w:val="36"/>
          <w:szCs w:val="36"/>
          <w:highlight w:val="none"/>
          <w:lang w:eastAsia="zh-CN"/>
        </w:rPr>
      </w:pPr>
      <w:r>
        <w:rPr>
          <w:rFonts w:hint="eastAsia" w:ascii="宋体" w:hAnsi="宋体" w:cs="宋体"/>
          <w:b/>
          <w:color w:val="auto"/>
          <w:sz w:val="32"/>
          <w:szCs w:val="32"/>
          <w:highlight w:val="none"/>
          <w:lang w:eastAsia="zh-CN"/>
        </w:rPr>
        <w:t>2021年度上马墩街道背街小巷整治改造工程</w:t>
      </w:r>
    </w:p>
    <w:p>
      <w:pPr>
        <w:spacing w:line="360" w:lineRule="auto"/>
        <w:jc w:val="center"/>
        <w:rPr>
          <w:rFonts w:ascii="Arial" w:hAnsi="Arial"/>
          <w:b/>
          <w:bCs/>
          <w:color w:val="auto"/>
          <w:sz w:val="36"/>
          <w:szCs w:val="36"/>
          <w:highlight w:val="none"/>
        </w:rPr>
      </w:pPr>
    </w:p>
    <w:p>
      <w:pPr>
        <w:spacing w:line="360" w:lineRule="auto"/>
        <w:jc w:val="center"/>
        <w:rPr>
          <w:rFonts w:ascii="Arial" w:hAnsi="Arial"/>
          <w:b/>
          <w:bCs/>
          <w:color w:val="auto"/>
          <w:sz w:val="36"/>
          <w:szCs w:val="36"/>
          <w:highlight w:val="none"/>
        </w:rPr>
      </w:pPr>
    </w:p>
    <w:p>
      <w:pPr>
        <w:spacing w:line="360" w:lineRule="auto"/>
        <w:jc w:val="center"/>
        <w:rPr>
          <w:rFonts w:ascii="Arial" w:hAnsi="Arial"/>
          <w:b/>
          <w:bCs/>
          <w:color w:val="auto"/>
          <w:sz w:val="36"/>
          <w:szCs w:val="36"/>
          <w:highlight w:val="none"/>
        </w:rPr>
      </w:pPr>
    </w:p>
    <w:p>
      <w:pPr>
        <w:spacing w:line="360" w:lineRule="auto"/>
        <w:jc w:val="center"/>
        <w:rPr>
          <w:rFonts w:ascii="Arial" w:hAnsi="Arial"/>
          <w:b/>
          <w:bCs/>
          <w:color w:val="auto"/>
          <w:spacing w:val="100"/>
          <w:sz w:val="36"/>
          <w:szCs w:val="36"/>
          <w:highlight w:val="none"/>
        </w:rPr>
      </w:pPr>
      <w:r>
        <w:rPr>
          <w:rFonts w:hint="eastAsia" w:ascii="Arial" w:hAnsi="Arial"/>
          <w:b/>
          <w:bCs/>
          <w:color w:val="auto"/>
          <w:spacing w:val="100"/>
          <w:sz w:val="36"/>
          <w:szCs w:val="36"/>
          <w:highlight w:val="none"/>
        </w:rPr>
        <w:t>廉政合同书</w:t>
      </w:r>
    </w:p>
    <w:p>
      <w:pPr>
        <w:spacing w:line="360" w:lineRule="auto"/>
        <w:ind w:left="323" w:leftChars="154" w:firstLine="901"/>
        <w:rPr>
          <w:rFonts w:ascii="Arial" w:hAnsi="Arial"/>
          <w:b/>
          <w:bCs/>
          <w:color w:val="auto"/>
          <w:sz w:val="36"/>
          <w:szCs w:val="36"/>
          <w:highlight w:val="none"/>
        </w:rPr>
      </w:pPr>
    </w:p>
    <w:p>
      <w:pPr>
        <w:spacing w:line="360" w:lineRule="auto"/>
        <w:ind w:left="323" w:leftChars="154" w:firstLine="901"/>
        <w:rPr>
          <w:rFonts w:ascii="Arial" w:hAnsi="Arial"/>
          <w:b/>
          <w:bCs/>
          <w:color w:val="auto"/>
          <w:sz w:val="36"/>
          <w:szCs w:val="36"/>
          <w:highlight w:val="none"/>
        </w:rPr>
      </w:pPr>
    </w:p>
    <w:p>
      <w:pPr>
        <w:spacing w:line="360" w:lineRule="auto"/>
        <w:ind w:left="323" w:leftChars="154" w:firstLine="901"/>
        <w:rPr>
          <w:rFonts w:ascii="Arial" w:hAnsi="Arial"/>
          <w:b/>
          <w:bCs/>
          <w:color w:val="auto"/>
          <w:sz w:val="36"/>
          <w:szCs w:val="36"/>
          <w:highlight w:val="none"/>
        </w:rPr>
      </w:pPr>
    </w:p>
    <w:p>
      <w:pPr>
        <w:spacing w:line="360" w:lineRule="auto"/>
        <w:rPr>
          <w:rFonts w:ascii="Arial" w:hAnsi="Arial"/>
          <w:b/>
          <w:bCs/>
          <w:color w:val="auto"/>
          <w:sz w:val="30"/>
          <w:szCs w:val="30"/>
          <w:highlight w:val="none"/>
        </w:rPr>
      </w:pPr>
    </w:p>
    <w:p>
      <w:pPr>
        <w:spacing w:line="360" w:lineRule="auto"/>
        <w:ind w:firstLine="630" w:firstLineChars="196"/>
        <w:rPr>
          <w:rFonts w:ascii="Arial" w:hAnsi="宋体"/>
          <w:b/>
          <w:bCs/>
          <w:color w:val="auto"/>
          <w:sz w:val="32"/>
          <w:szCs w:val="32"/>
          <w:highlight w:val="none"/>
        </w:rPr>
      </w:pPr>
      <w:r>
        <w:rPr>
          <w:rFonts w:hint="eastAsia" w:ascii="Arial" w:hAnsi="宋体"/>
          <w:b/>
          <w:bCs/>
          <w:color w:val="auto"/>
          <w:sz w:val="32"/>
          <w:szCs w:val="32"/>
          <w:highlight w:val="none"/>
        </w:rPr>
        <w:t>采购人：</w:t>
      </w:r>
    </w:p>
    <w:p>
      <w:pPr>
        <w:spacing w:line="360" w:lineRule="auto"/>
        <w:ind w:firstLine="630" w:firstLineChars="196"/>
        <w:rPr>
          <w:rFonts w:ascii="Arial" w:hAnsi="宋体"/>
          <w:b/>
          <w:bCs/>
          <w:color w:val="auto"/>
          <w:sz w:val="32"/>
          <w:szCs w:val="32"/>
          <w:highlight w:val="none"/>
        </w:rPr>
      </w:pPr>
    </w:p>
    <w:p>
      <w:pPr>
        <w:spacing w:line="360" w:lineRule="auto"/>
        <w:ind w:firstLine="630" w:firstLineChars="196"/>
        <w:rPr>
          <w:rFonts w:ascii="Arial" w:hAnsi="宋体"/>
          <w:b/>
          <w:color w:val="auto"/>
          <w:sz w:val="32"/>
          <w:szCs w:val="32"/>
          <w:highlight w:val="none"/>
        </w:rPr>
      </w:pPr>
    </w:p>
    <w:p>
      <w:pPr>
        <w:spacing w:line="360" w:lineRule="auto"/>
        <w:ind w:firstLine="630" w:firstLineChars="196"/>
        <w:rPr>
          <w:rFonts w:ascii="Arial" w:hAnsi="宋体"/>
          <w:b/>
          <w:color w:val="auto"/>
          <w:sz w:val="32"/>
          <w:szCs w:val="32"/>
          <w:highlight w:val="none"/>
          <w:u w:val="single"/>
        </w:rPr>
      </w:pPr>
      <w:r>
        <w:rPr>
          <w:rFonts w:hint="eastAsia" w:ascii="Arial" w:hAnsi="宋体"/>
          <w:b/>
          <w:color w:val="auto"/>
          <w:sz w:val="32"/>
          <w:szCs w:val="32"/>
          <w:highlight w:val="none"/>
        </w:rPr>
        <w:t>施工单位：</w:t>
      </w:r>
    </w:p>
    <w:p>
      <w:pPr>
        <w:spacing w:line="360" w:lineRule="auto"/>
        <w:rPr>
          <w:rFonts w:ascii="Calibri" w:hAnsi="Calibri"/>
          <w:color w:val="auto"/>
          <w:sz w:val="24"/>
          <w:highlight w:val="none"/>
        </w:rPr>
      </w:pPr>
    </w:p>
    <w:p>
      <w:pPr>
        <w:spacing w:line="360" w:lineRule="auto"/>
        <w:rPr>
          <w:rFonts w:ascii="Calibri" w:hAnsi="Calibri"/>
          <w:color w:val="auto"/>
          <w:sz w:val="24"/>
          <w:highlight w:val="none"/>
        </w:rPr>
      </w:pPr>
    </w:p>
    <w:p>
      <w:pPr>
        <w:spacing w:line="360" w:lineRule="auto"/>
        <w:rPr>
          <w:rFonts w:ascii="Calibri" w:hAnsi="Calibri"/>
          <w:color w:val="auto"/>
          <w:sz w:val="24"/>
          <w:highlight w:val="none"/>
        </w:rPr>
      </w:pPr>
    </w:p>
    <w:p>
      <w:pPr>
        <w:spacing w:line="360" w:lineRule="auto"/>
        <w:rPr>
          <w:rFonts w:ascii="Calibri" w:hAnsi="Calibri"/>
          <w:color w:val="auto"/>
          <w:sz w:val="24"/>
          <w:highlight w:val="none"/>
        </w:rPr>
      </w:pPr>
    </w:p>
    <w:p>
      <w:pPr>
        <w:spacing w:line="360" w:lineRule="auto"/>
        <w:rPr>
          <w:rFonts w:ascii="Calibri" w:hAnsi="Calibri"/>
          <w:color w:val="auto"/>
          <w:sz w:val="24"/>
          <w:highlight w:val="none"/>
        </w:rPr>
      </w:pPr>
    </w:p>
    <w:p>
      <w:pPr>
        <w:pStyle w:val="20"/>
        <w:ind w:firstLine="0" w:firstLineChars="0"/>
        <w:rPr>
          <w:rFonts w:ascii="宋体" w:hAnsi="宋体"/>
          <w:color w:val="auto"/>
          <w:sz w:val="24"/>
          <w:szCs w:val="24"/>
          <w:highlight w:val="none"/>
        </w:rPr>
        <w:sectPr>
          <w:footerReference r:id="rId6" w:type="default"/>
          <w:pgSz w:w="11906" w:h="16838"/>
          <w:pgMar w:top="1417" w:right="1531" w:bottom="1417" w:left="1531" w:header="851" w:footer="992" w:gutter="0"/>
          <w:pgNumType w:fmt="numberInDash"/>
          <w:cols w:space="720" w:num="1"/>
          <w:docGrid w:type="lines" w:linePitch="312" w:charSpace="0"/>
        </w:sectPr>
      </w:pPr>
    </w:p>
    <w:p>
      <w:pPr>
        <w:adjustRightInd w:val="0"/>
        <w:snapToGrid w:val="0"/>
        <w:spacing w:line="360" w:lineRule="auto"/>
        <w:jc w:val="center"/>
        <w:rPr>
          <w:rFonts w:ascii="黑体" w:hAnsi="Calibri" w:eastAsia="黑体"/>
          <w:color w:val="auto"/>
          <w:sz w:val="36"/>
          <w:highlight w:val="none"/>
        </w:rPr>
      </w:pPr>
      <w:r>
        <w:rPr>
          <w:rFonts w:hint="eastAsia" w:ascii="黑体" w:hAnsi="Calibri" w:eastAsia="黑体"/>
          <w:color w:val="auto"/>
          <w:sz w:val="36"/>
          <w:highlight w:val="none"/>
        </w:rPr>
        <w:t>工程建设廉政合同书</w:t>
      </w:r>
    </w:p>
    <w:p>
      <w:pPr>
        <w:spacing w:line="360" w:lineRule="auto"/>
        <w:ind w:firstLine="829" w:firstLineChars="295"/>
        <w:rPr>
          <w:rFonts w:ascii="宋体" w:hAnsi="Calibri"/>
          <w:bCs/>
          <w:color w:val="auto"/>
          <w:sz w:val="24"/>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4"/>
          <w:highlight w:val="none"/>
          <w:u w:val="single"/>
        </w:rPr>
        <w:t>项目</w:t>
      </w:r>
      <w:r>
        <w:rPr>
          <w:rFonts w:hint="eastAsia" w:ascii="宋体" w:hAnsi="宋体"/>
          <w:color w:val="auto"/>
          <w:sz w:val="24"/>
          <w:highlight w:val="none"/>
        </w:rPr>
        <w:t>（合同定价人民币（大写）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b/>
          <w:color w:val="auto"/>
          <w:sz w:val="24"/>
          <w:highlight w:val="none"/>
        </w:rPr>
        <w:t>万元（</w:t>
      </w:r>
      <w:r>
        <w:rPr>
          <w:rFonts w:hint="eastAsia" w:ascii="宋体" w:hAnsi="Calibri"/>
          <w:b/>
          <w:color w:val="auto"/>
          <w:sz w:val="24"/>
          <w:highlight w:val="none"/>
          <w:u w:val="single"/>
        </w:rPr>
        <w:t>¥</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b/>
          <w:color w:val="auto"/>
          <w:sz w:val="24"/>
          <w:highlight w:val="none"/>
        </w:rPr>
        <w:t>元）。</w:t>
      </w:r>
      <w:r>
        <w:rPr>
          <w:rFonts w:hint="eastAsia" w:ascii="宋体" w:hAnsi="宋体"/>
          <w:color w:val="auto"/>
          <w:sz w:val="24"/>
          <w:highlight w:val="none"/>
        </w:rPr>
        <w:t>由建设单位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负责建设，经招标，确定由施工单位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（以下简称乙方）承担</w:t>
      </w:r>
      <w:r>
        <w:rPr>
          <w:rFonts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任务。根据党和国家关于工程建设领域党风廉政建设和反腐败工作的有关要求，为避免和杜绝各种不廉洁现象的发生，维护好国家、集体的合法权益，确保工程建设高效、优质，特订立如下工程建设廉政合同书，供双方共同遵守执行：</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1</w:t>
      </w:r>
      <w:r>
        <w:rPr>
          <w:rFonts w:hint="eastAsia" w:ascii="宋体" w:hAnsi="宋体"/>
          <w:color w:val="auto"/>
          <w:sz w:val="24"/>
          <w:highlight w:val="none"/>
        </w:rPr>
        <w:t>、双方人员应认真学习和严格遵守中央、省、市有关廉政建设和反腐败工作的一系列规定，不断增强廉洁自律意识和自觉性。</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2</w:t>
      </w:r>
      <w:r>
        <w:rPr>
          <w:rFonts w:hint="eastAsia" w:ascii="宋体" w:hAnsi="宋体"/>
          <w:color w:val="auto"/>
          <w:sz w:val="24"/>
          <w:highlight w:val="none"/>
        </w:rPr>
        <w:t>、双方应建立健全各项廉政制度，开展廉政教育，设立廉政告示牌，公布举报电话和电子邮箱。</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3</w:t>
      </w:r>
      <w:r>
        <w:rPr>
          <w:rFonts w:hint="eastAsia" w:ascii="宋体" w:hAnsi="宋体"/>
          <w:color w:val="auto"/>
          <w:sz w:val="24"/>
          <w:highlight w:val="none"/>
        </w:rPr>
        <w:t>、在工程建设中，双方人员应以推动工程建设为中心，与拆迁、施工、设计等相关业务单位密切合作，相互协调，发现对方在业务活动中有违规、违纪、违法行为，应及时提醒，并及时向其上级主管部门和纪检监察部门、司法机关等有关部门举报。</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4</w:t>
      </w:r>
      <w:r>
        <w:rPr>
          <w:rFonts w:hint="eastAsia" w:ascii="宋体" w:hAnsi="宋体"/>
          <w:color w:val="auto"/>
          <w:sz w:val="24"/>
          <w:highlight w:val="none"/>
        </w:rPr>
        <w:t>、甲方人员不准暗示、索要或接受乙方单位任何形式的回扣、礼金、有价证券、支付凭证、股票、股权、贵重物品和好处费、感谢费、各种奖励和赞助等。</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5</w:t>
      </w:r>
      <w:r>
        <w:rPr>
          <w:rFonts w:hint="eastAsia" w:ascii="宋体" w:hAnsi="宋体"/>
          <w:color w:val="auto"/>
          <w:sz w:val="24"/>
          <w:highlight w:val="none"/>
        </w:rPr>
        <w:t>、甲方人员不准以任何理由向乙方单位介绍推荐其配偶、子女、亲属、熟人等参与本合同有关的经济活动。</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6</w:t>
      </w:r>
      <w:r>
        <w:rPr>
          <w:rFonts w:hint="eastAsia" w:ascii="宋体" w:hAnsi="宋体"/>
          <w:color w:val="auto"/>
          <w:sz w:val="24"/>
          <w:highlight w:val="none"/>
        </w:rPr>
        <w:t>、甲方人员不准在乙方单位报销任何应由个人支付的费用。</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7</w:t>
      </w:r>
      <w:r>
        <w:rPr>
          <w:rFonts w:hint="eastAsia" w:ascii="宋体" w:hAnsi="宋体"/>
          <w:color w:val="auto"/>
          <w:sz w:val="24"/>
          <w:highlight w:val="none"/>
        </w:rPr>
        <w:t>、甲方人员不准参加有可能影响其公正执行公务的乙方单位的宴请和健身、娱乐、观光旅游等活动。</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8</w:t>
      </w:r>
      <w:r>
        <w:rPr>
          <w:rFonts w:hint="eastAsia" w:ascii="宋体" w:hAnsi="宋体"/>
          <w:color w:val="auto"/>
          <w:sz w:val="24"/>
          <w:highlight w:val="none"/>
        </w:rPr>
        <w:t>、乙方人员不准以任何形式向甲方人员馈赠回扣、礼金、有价证券、支付凭证、股票、股权、贵重物品和好处费、感谢费等；不准向甲方人员发放任何形式奖励和提供任何形式赞助。</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9</w:t>
      </w:r>
      <w:r>
        <w:rPr>
          <w:rFonts w:hint="eastAsia" w:ascii="宋体" w:hAnsi="宋体"/>
          <w:color w:val="auto"/>
          <w:sz w:val="24"/>
          <w:highlight w:val="none"/>
        </w:rPr>
        <w:t>、乙方人员不准以任何理由接受甲方人员配偶、子女、亲属、熟人等参与本合同有关的经济活动。</w:t>
      </w:r>
    </w:p>
    <w:p>
      <w:pPr>
        <w:adjustRightInd w:val="0"/>
        <w:snapToGrid w:val="0"/>
        <w:spacing w:line="360" w:lineRule="auto"/>
        <w:ind w:firstLine="480" w:firstLineChars="200"/>
        <w:rPr>
          <w:rFonts w:ascii="宋体" w:hAnsi="Calibri"/>
          <w:color w:val="auto"/>
          <w:sz w:val="24"/>
          <w:highlight w:val="none"/>
        </w:rPr>
      </w:pPr>
      <w:r>
        <w:rPr>
          <w:rFonts w:ascii="宋体" w:hAnsi="宋体"/>
          <w:color w:val="auto"/>
          <w:sz w:val="24"/>
          <w:highlight w:val="none"/>
        </w:rPr>
        <w:t>10</w:t>
      </w:r>
      <w:r>
        <w:rPr>
          <w:rFonts w:hint="eastAsia" w:ascii="宋体" w:hAnsi="宋体"/>
          <w:color w:val="auto"/>
          <w:sz w:val="24"/>
          <w:highlight w:val="none"/>
        </w:rPr>
        <w:t>、乙方人员不准报销任何应由甲方人员个人支付的费用。</w:t>
      </w:r>
    </w:p>
    <w:p>
      <w:pPr>
        <w:adjustRightInd w:val="0"/>
        <w:snapToGrid w:val="0"/>
        <w:spacing w:line="360" w:lineRule="auto"/>
        <w:ind w:firstLine="480" w:firstLineChars="200"/>
        <w:rPr>
          <w:rFonts w:ascii="宋体" w:hAnsi="Calibri"/>
          <w:color w:val="auto"/>
          <w:sz w:val="24"/>
          <w:highlight w:val="none"/>
        </w:rPr>
      </w:pPr>
      <w:r>
        <w:rPr>
          <w:rFonts w:ascii="宋体" w:hAnsi="宋体"/>
          <w:color w:val="auto"/>
          <w:sz w:val="24"/>
          <w:highlight w:val="none"/>
        </w:rPr>
        <w:t>11</w:t>
      </w:r>
      <w:r>
        <w:rPr>
          <w:rFonts w:hint="eastAsia" w:ascii="宋体" w:hAnsi="宋体"/>
          <w:color w:val="auto"/>
          <w:sz w:val="24"/>
          <w:highlight w:val="none"/>
        </w:rPr>
        <w:t>、乙方人员不准邀请甲方人员参加有可能影响其公正执行公务的宴请和健身、娱乐、观光旅游等活动。</w:t>
      </w:r>
    </w:p>
    <w:p>
      <w:pPr>
        <w:adjustRightInd w:val="0"/>
        <w:snapToGrid w:val="0"/>
        <w:spacing w:line="360" w:lineRule="auto"/>
        <w:ind w:firstLine="480" w:firstLineChars="200"/>
        <w:rPr>
          <w:rFonts w:ascii="宋体" w:hAnsi="Calibri"/>
          <w:color w:val="auto"/>
          <w:sz w:val="24"/>
          <w:highlight w:val="none"/>
        </w:rPr>
      </w:pPr>
      <w:r>
        <w:rPr>
          <w:rFonts w:ascii="宋体" w:hAnsi="宋体"/>
          <w:color w:val="auto"/>
          <w:sz w:val="24"/>
          <w:highlight w:val="none"/>
        </w:rPr>
        <w:t>12</w:t>
      </w:r>
      <w:r>
        <w:rPr>
          <w:rFonts w:hint="eastAsia" w:ascii="宋体" w:hAnsi="宋体"/>
          <w:color w:val="auto"/>
          <w:sz w:val="24"/>
          <w:highlight w:val="none"/>
        </w:rPr>
        <w:t>、甲乙双方应对廉政合同的落实情况进行动态管理</w:t>
      </w:r>
      <w:r>
        <w:rPr>
          <w:rFonts w:ascii="宋体" w:hAnsi="Calibri"/>
          <w:color w:val="auto"/>
          <w:sz w:val="24"/>
          <w:highlight w:val="none"/>
        </w:rPr>
        <w:t>,</w:t>
      </w:r>
      <w:r>
        <w:rPr>
          <w:rFonts w:hint="eastAsia" w:ascii="宋体" w:hAnsi="宋体"/>
          <w:color w:val="auto"/>
          <w:sz w:val="24"/>
          <w:highlight w:val="none"/>
        </w:rPr>
        <w:t>由双方上级纪检监察机关负责监督。发生违反党风廉政建设和反腐败工作有关规定，以及公开、公平、公正、诚信等有关原则的，双方单位要依据有关法规对其行为进行严肃查处，触犯党纪政纪的，要给予党纪政纪处分，触犯刑律的，要移交司法机关处理。</w:t>
      </w:r>
    </w:p>
    <w:p>
      <w:pPr>
        <w:adjustRightInd w:val="0"/>
        <w:snapToGrid w:val="0"/>
        <w:spacing w:line="360" w:lineRule="auto"/>
        <w:ind w:firstLine="480" w:firstLineChars="200"/>
        <w:rPr>
          <w:rFonts w:ascii="宋体" w:hAnsi="Calibri"/>
          <w:color w:val="auto"/>
          <w:sz w:val="24"/>
          <w:highlight w:val="none"/>
        </w:rPr>
      </w:pPr>
      <w:r>
        <w:rPr>
          <w:rFonts w:ascii="宋体" w:hAnsi="宋体"/>
          <w:color w:val="auto"/>
          <w:sz w:val="24"/>
          <w:highlight w:val="none"/>
        </w:rPr>
        <w:t>13</w:t>
      </w:r>
      <w:r>
        <w:rPr>
          <w:rFonts w:hint="eastAsia" w:ascii="宋体" w:hAnsi="宋体"/>
          <w:color w:val="auto"/>
          <w:sz w:val="24"/>
          <w:highlight w:val="none"/>
        </w:rPr>
        <w:t>、本合同作为施工（检测）合同的附件，与施工（检测）合同同时签订，具有同等法律效力，经双方签字盖章后生效。本合同有效期同该工程建设时间。</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、本合同一式多份，供甲乙双方留存，并报双方上级主管部门和纪检监察部门备案。</w:t>
      </w:r>
    </w:p>
    <w:p>
      <w:pPr>
        <w:pStyle w:val="20"/>
        <w:ind w:firstLine="240"/>
        <w:rPr>
          <w:rFonts w:ascii="宋体" w:hAnsi="宋体"/>
          <w:color w:val="auto"/>
          <w:sz w:val="24"/>
          <w:highlight w:val="none"/>
        </w:rPr>
      </w:pPr>
    </w:p>
    <w:p>
      <w:pPr>
        <w:pStyle w:val="20"/>
        <w:ind w:firstLine="240"/>
        <w:rPr>
          <w:rFonts w:ascii="宋体" w:hAnsi="宋体"/>
          <w:color w:val="auto"/>
          <w:sz w:val="24"/>
          <w:highlight w:val="none"/>
        </w:rPr>
      </w:pPr>
    </w:p>
    <w:p>
      <w:pPr>
        <w:pStyle w:val="20"/>
        <w:ind w:firstLine="240"/>
        <w:rPr>
          <w:rFonts w:ascii="宋体" w:hAnsi="宋体"/>
          <w:color w:val="auto"/>
          <w:sz w:val="24"/>
          <w:highlight w:val="none"/>
        </w:rPr>
      </w:pPr>
    </w:p>
    <w:p>
      <w:pPr>
        <w:pStyle w:val="20"/>
        <w:ind w:firstLine="240"/>
        <w:rPr>
          <w:rFonts w:ascii="宋体" w:hAnsi="宋体"/>
          <w:color w:val="auto"/>
          <w:sz w:val="24"/>
          <w:highlight w:val="none"/>
        </w:rPr>
      </w:pPr>
    </w:p>
    <w:p>
      <w:pPr>
        <w:adjustRightInd w:val="0"/>
        <w:snapToGrid w:val="0"/>
        <w:spacing w:line="480" w:lineRule="auto"/>
        <w:rPr>
          <w:rFonts w:ascii="宋体" w:hAnsi="Calibri"/>
          <w:color w:val="auto"/>
          <w:sz w:val="24"/>
          <w:highlight w:val="none"/>
        </w:rPr>
      </w:pPr>
    </w:p>
    <w:p>
      <w:pPr>
        <w:adjustRightInd w:val="0"/>
        <w:snapToGrid w:val="0"/>
        <w:spacing w:line="480" w:lineRule="auto"/>
        <w:ind w:firstLine="480" w:firstLineChars="200"/>
        <w:rPr>
          <w:rFonts w:ascii="宋体" w:hAnsi="Calibri"/>
          <w:color w:val="auto"/>
          <w:sz w:val="24"/>
          <w:highlight w:val="none"/>
        </w:rPr>
      </w:pPr>
      <w:r>
        <w:rPr>
          <w:rFonts w:hint="eastAsia" w:ascii="宋体" w:hAnsi="宋体"/>
          <w:color w:val="auto"/>
          <w:sz w:val="24"/>
          <w:highlight w:val="none"/>
        </w:rPr>
        <w:t>甲方单位：</w:t>
      </w:r>
      <w:r>
        <w:rPr>
          <w:rFonts w:ascii="宋体" w:hAnsi="宋体"/>
          <w:color w:val="auto"/>
          <w:sz w:val="24"/>
          <w:highlight w:val="none"/>
        </w:rPr>
        <w:t xml:space="preserve">  </w:t>
      </w:r>
      <w:r>
        <w:rPr>
          <w:rFonts w:hint="eastAsia" w:ascii="宋体" w:hAnsi="宋体"/>
          <w:color w:val="auto"/>
          <w:sz w:val="24"/>
          <w:highlight w:val="none"/>
        </w:rPr>
        <w:t>（盖章）</w:t>
      </w:r>
      <w:r>
        <w:rPr>
          <w:rFonts w:ascii="宋体" w:hAnsi="宋体"/>
          <w:color w:val="auto"/>
          <w:sz w:val="24"/>
          <w:highlight w:val="none"/>
        </w:rPr>
        <w:t xml:space="preserve">                </w:t>
      </w:r>
      <w:r>
        <w:rPr>
          <w:rFonts w:hint="eastAsia" w:ascii="宋体" w:hAnsi="宋体"/>
          <w:color w:val="auto"/>
          <w:sz w:val="24"/>
          <w:highlight w:val="none"/>
        </w:rPr>
        <w:t>乙方单位：</w:t>
      </w:r>
      <w:r>
        <w:rPr>
          <w:rFonts w:ascii="宋体" w:hAnsi="宋体"/>
          <w:color w:val="auto"/>
          <w:sz w:val="24"/>
          <w:highlight w:val="none"/>
        </w:rPr>
        <w:t xml:space="preserve">  </w:t>
      </w:r>
      <w:r>
        <w:rPr>
          <w:rFonts w:hint="eastAsia" w:ascii="宋体" w:hAnsi="宋体"/>
          <w:color w:val="auto"/>
          <w:sz w:val="24"/>
          <w:highlight w:val="none"/>
        </w:rPr>
        <w:t>（盖章）</w:t>
      </w:r>
      <w:r>
        <w:rPr>
          <w:rFonts w:ascii="宋体" w:hAnsi="宋体"/>
          <w:color w:val="auto"/>
          <w:sz w:val="24"/>
          <w:highlight w:val="none"/>
        </w:rPr>
        <w:t xml:space="preserve">                 </w:t>
      </w:r>
    </w:p>
    <w:p>
      <w:pPr>
        <w:adjustRightInd w:val="0"/>
        <w:snapToGrid w:val="0"/>
        <w:spacing w:line="480" w:lineRule="auto"/>
        <w:rPr>
          <w:rFonts w:ascii="宋体" w:hAnsi="Calibri"/>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法定代表人</w:t>
      </w:r>
      <w:r>
        <w:rPr>
          <w:rFonts w:ascii="宋体" w:hAnsi="宋体"/>
          <w:color w:val="auto"/>
          <w:sz w:val="24"/>
          <w:highlight w:val="none"/>
        </w:rPr>
        <w:t xml:space="preserve">                    </w:t>
      </w:r>
      <w:r>
        <w:rPr>
          <w:rFonts w:hint="eastAsia" w:ascii="宋体" w:hAnsi="宋体"/>
          <w:color w:val="auto"/>
          <w:sz w:val="24"/>
          <w:highlight w:val="none"/>
        </w:rPr>
        <w:t xml:space="preserve">      法定代表人</w:t>
      </w:r>
    </w:p>
    <w:p>
      <w:pPr>
        <w:adjustRightInd w:val="0"/>
        <w:snapToGrid w:val="0"/>
        <w:spacing w:line="480" w:lineRule="auto"/>
        <w:ind w:firstLine="480" w:firstLineChars="200"/>
        <w:rPr>
          <w:rFonts w:ascii="宋体" w:hAnsi="Calibri"/>
          <w:color w:val="auto"/>
          <w:sz w:val="24"/>
          <w:highlight w:val="none"/>
        </w:rPr>
      </w:pPr>
      <w:r>
        <w:rPr>
          <w:rFonts w:hint="eastAsia" w:ascii="宋体" w:hAnsi="宋体"/>
          <w:color w:val="auto"/>
          <w:sz w:val="24"/>
          <w:highlight w:val="none"/>
        </w:rPr>
        <w:t>或授权代理人：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或授权代理人：</w:t>
      </w:r>
    </w:p>
    <w:p>
      <w:pPr>
        <w:adjustRightInd w:val="0"/>
        <w:snapToGrid w:val="0"/>
        <w:spacing w:line="480" w:lineRule="auto"/>
        <w:ind w:firstLine="2880" w:firstLineChars="1200"/>
        <w:rPr>
          <w:rFonts w:ascii="宋体" w:hAnsi="Calibri"/>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廉政建设负责人：</w:t>
      </w:r>
    </w:p>
    <w:p>
      <w:pPr>
        <w:adjustRightInd w:val="0"/>
        <w:snapToGrid w:val="0"/>
        <w:spacing w:line="480" w:lineRule="auto"/>
        <w:rPr>
          <w:rFonts w:ascii="宋体" w:hAnsi="Calibri"/>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联系电话：</w:t>
      </w:r>
      <w:r>
        <w:rPr>
          <w:rFonts w:ascii="宋体" w:hAnsi="宋体"/>
          <w:color w:val="auto"/>
          <w:sz w:val="24"/>
          <w:highlight w:val="none"/>
        </w:rPr>
        <w:t xml:space="preserve">            </w:t>
      </w:r>
    </w:p>
    <w:p>
      <w:pPr>
        <w:spacing w:line="480" w:lineRule="auto"/>
        <w:rPr>
          <w:rFonts w:ascii="宋体" w:hAnsi="宋体" w:cs="宋体"/>
          <w:b/>
          <w:color w:val="auto"/>
          <w:spacing w:val="-4"/>
          <w:kern w:val="0"/>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 xml:space="preserve">日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日</w:t>
      </w:r>
      <w:r>
        <w:rPr>
          <w:rFonts w:ascii="Calibri" w:hAnsi="Calibri"/>
          <w:color w:val="auto"/>
          <w:sz w:val="24"/>
          <w:highlight w:val="none"/>
        </w:rPr>
        <w:t xml:space="preserve">  </w:t>
      </w: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sectPr>
          <w:headerReference r:id="rId7" w:type="default"/>
          <w:footerReference r:id="rId8" w:type="default"/>
          <w:footerReference r:id="rId9" w:type="even"/>
          <w:pgSz w:w="11906" w:h="16838"/>
          <w:pgMar w:top="600" w:right="1287" w:bottom="1440" w:left="1440" w:header="851" w:footer="992" w:gutter="0"/>
          <w:cols w:space="720" w:num="1"/>
          <w:docGrid w:type="lines" w:linePitch="312" w:charSpace="0"/>
        </w:sectPr>
      </w:pPr>
    </w:p>
    <w:p>
      <w:pPr>
        <w:widowControl/>
        <w:spacing w:line="384" w:lineRule="auto"/>
        <w:jc w:val="center"/>
        <w:rPr>
          <w:rFonts w:ascii="黑体" w:hAnsi="黑体" w:eastAsia="黑体" w:cs="宋体"/>
          <w:b/>
          <w:color w:val="auto"/>
          <w:kern w:val="0"/>
          <w:sz w:val="36"/>
          <w:szCs w:val="36"/>
          <w:highlight w:val="none"/>
        </w:rPr>
      </w:pPr>
      <w:r>
        <w:rPr>
          <w:rFonts w:hint="eastAsia" w:ascii="黑体" w:hAnsi="黑体" w:eastAsia="黑体" w:cs="宋体"/>
          <w:b/>
          <w:color w:val="auto"/>
          <w:spacing w:val="-4"/>
          <w:kern w:val="0"/>
          <w:sz w:val="36"/>
          <w:szCs w:val="36"/>
          <w:highlight w:val="none"/>
        </w:rPr>
        <w:t>安全生产协议</w:t>
      </w:r>
    </w:p>
    <w:p>
      <w:pPr>
        <w:widowControl/>
        <w:spacing w:line="460" w:lineRule="exact"/>
        <w:ind w:firstLine="480" w:firstLineChars="200"/>
        <w:rPr>
          <w:rFonts w:ascii="宋体" w:hAnsi="宋体" w:cs="宋体"/>
          <w:color w:val="auto"/>
          <w:kern w:val="0"/>
          <w:sz w:val="24"/>
          <w:highlight w:val="none"/>
        </w:rPr>
      </w:pPr>
    </w:p>
    <w:p>
      <w:pPr>
        <w:widowControl/>
        <w:spacing w:line="360" w:lineRule="auto"/>
        <w:ind w:firstLine="480" w:firstLineChars="200"/>
        <w:rPr>
          <w:rFonts w:ascii="宋体" w:hAnsi="宋体"/>
          <w:color w:val="auto"/>
          <w:sz w:val="24"/>
          <w:highlight w:val="none"/>
          <w:u w:val="single"/>
        </w:rPr>
      </w:pPr>
      <w:r>
        <w:rPr>
          <w:rFonts w:hint="eastAsia" w:ascii="宋体" w:hAnsi="宋体" w:cs="宋体"/>
          <w:color w:val="auto"/>
          <w:kern w:val="0"/>
          <w:sz w:val="24"/>
          <w:highlight w:val="none"/>
        </w:rPr>
        <w:t>采购人（全称）：</w:t>
      </w:r>
      <w:r>
        <w:rPr>
          <w:rFonts w:hint="eastAsia" w:ascii="宋体" w:hAnsi="宋体"/>
          <w:color w:val="auto"/>
          <w:sz w:val="24"/>
          <w:highlight w:val="none"/>
          <w:u w:val="single"/>
        </w:rPr>
        <w:t xml:space="preserve">                             </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承包人（全称）：</w:t>
      </w:r>
      <w:r>
        <w:rPr>
          <w:rFonts w:hint="eastAsia" w:ascii="宋体" w:hAnsi="宋体" w:cs="宋体"/>
          <w:color w:val="auto"/>
          <w:kern w:val="0"/>
          <w:sz w:val="24"/>
          <w:highlight w:val="none"/>
          <w:u w:val="single"/>
        </w:rPr>
        <w:t xml:space="preserve">                             </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为认真贯彻“安全第一，预防为主”的方针，加强建设工程施工现场安全生产管理，确保不发生伤亡事故及双方的利益不受损害，依照《中华人民共和国安全法》、《中华人民共和国劳动法》、《建设工程安全生产管理条例》、《江苏省建设工程施工现场管理办法》等有关规定，双方本着平等、自愿的原则，在</w:t>
      </w:r>
      <w:r>
        <w:rPr>
          <w:rFonts w:hint="eastAsia" w:ascii="宋体" w:hAnsi="宋体" w:cs="宋体"/>
          <w:color w:val="auto"/>
          <w:kern w:val="0"/>
          <w:sz w:val="24"/>
          <w:highlight w:val="none"/>
          <w:lang w:val="en-US" w:eastAsia="zh-CN"/>
        </w:rPr>
        <w:t>梁溪区</w:t>
      </w:r>
      <w:r>
        <w:rPr>
          <w:rFonts w:hint="eastAsia" w:ascii="宋体" w:hAnsi="宋体" w:cs="宋体"/>
          <w:color w:val="auto"/>
          <w:kern w:val="0"/>
          <w:sz w:val="24"/>
          <w:highlight w:val="none"/>
        </w:rPr>
        <w:t>安全生产委员会的指导下，签订本协议。</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一、目标和任务</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坚决杜绝较大以上安全事故，不发生死亡事故，有效减少一般安全事故。</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二、采购人权利义务</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（一）采购人有权审查承包人施工资质、安全生产资质及安全生产信誉度。</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采购人有权对承包人进行随时和不定期的安全生产监督检查，对发现的问题和存在的隐患有权要求承包人限期整改和消除隐患；对逾期不整改或整改不到位不彻底的，采购人有权责令承包人停止一切施工并限期整改到位。对拒不履行整改意见或再次逾期整改的，采购人有权单方面终止与承包人的工程合同，一切责任均由承包人自负。</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（三）采购人有义务对承包人进行安全生产职责告知。</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（四）采购人设立安全生产管理办公室，负责公司安全生产日常事务。</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三、承包人权利义务</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（一）严格遵守国家安全生产的法律法规，贯彻执行国家相关方针政策及采购人各项安全管理制度，依法履行本建设工程安全生产主体责任。</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切实加强安全管理，建立健全以安全生产责任制为中心的各项安全生产管理制度和安全操作规程，严格执行有关安全生产的国家标准和行业标准，完善安全生产条件，自觉接受并配合有关部门的监督管理，确保安全生产。</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（三）加强安全生产管理机构和队伍建设，定期召开安全生产会议，及时解决安全生产的重大问题，加强施工现场安全生产管理。</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（四）承包人有义务在入场一周前上报该工程项目劳务人员花名册及其管理人员分工情况。</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（五）承包人指派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为现场安全员，负责本工程安全生产的现场管理工作。</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单位主要负责人、分管安全的负责人和安全管理人员必须依法通过相关有资质单位组织的安全生产知识和管理能力的培训考核后方可任职。加强对从业人员的安全生产教育和培训，保证其具备并掌握必要的安全生产知识和安全操作技能。特种作业人员必须经专门培训，取得岗位操作证书后方能上岗作业。对进入施工现场所有施工单位工作人员，做好安全教育、安全技术交底。</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（七）保证对安全生产的有效投入，积极推广和应用安全生产先进技术，不使用国家明令淘汰、禁止使用的危及安全生产的工艺、设备，提高安全生产水平。</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（八）建立应急救援体系，定期组织演练。切实加强重大危险源监测预警，进行定期检测、评估、监控。</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九）加强工作场所以及发包项目的安全生产管理，凡安全措施不到位，员工对岗位安全知识不熟知的，不准进行生产或进行相应的施工作业。对涉及安全生产必须取得行政许可的有关事项，必须依法取得行政许可。</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（十）健全并落实安全生产检查制度，定期组织安全生产检查活动，对发现的事故隐患，及时组织并落实整改，确保安全生产。</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（十一）落实安全生产工作定期履职报告制度，每季度填写由单位主要负责人签名后于下季度第一个月2日前报送采购人安全生产管理办公室。</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二）接到有关安全生产事故报告后，项目负责人应及时赶到事故现场，组织事故抢救和善后处理，防止事故扩大，并按照《生产安全事故报告和调查处理条例》（国务院第493号令）的有关规定，如实报告，同时负责事故现场的保护。</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（十二）承包人负责施工的工程项目及设施在施工期发生对第三方或采购人的人身财产损害的，由承包人承担一切赔偿责任。</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三）承包人承建的项目，禁止再行转包。非主体工程需要分包的，必须报采购人工程项目主管部门批准。承包人必须对分包方进行安全管理与监督，分包工程发生安全事故时，承包人与分包单位承担全部责任（包括连带责任）。</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四）承包人根据安全生产管理目标，制定安全管理计划和安全施工方案，并在采购人安全生产管理办公室同意后实施。承包人在工人进场一周内，要填写三级教育卡，不得缺人漏人，三级教育卡由承包人保存并备查，经常教育由承包人负责。</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（十五）承包人须建立安全生产管理台账，接受采购人及上级有关部门检查。</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（十六）做好安全生产法律法规规定的其他工作。</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四、安全施工保证金</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承包人应向采购人缴纳工程投资额的4%（不少于5万元）作为施工安全保证金，由采购人在工程预付款中提取，安全施工保证金扣除办法如下：</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（一）发生人身死亡事故、设备事故，扣除全部保证金。</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（二）发生人身重伤事故，扣除50%保证金。</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（三）发生人身轻伤或严重未遂事故，扣除30%保证金。</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（四）现场违章指挥、违章作业，或擅自调换人员，又未经安全教育的，每人次扣除1%-10%保证金。</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若发生以上事故，承包人按上诉条款执行后，仍追究其他责任。</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五、对本协议所确定安全生产职责双方均应严格遵守和履行，对发生在各自职责范围内的安全生产事故由责任方承担全部责任，因此而给对方造成损失的，由责任方负责赔偿。</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六、本协议作为工程合同的附件，与主合同具有同等的法律效力。</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七、本协议有效期为双方签署之日起至该工程项目全部结算完毕时止。</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本协议一式</w:t>
      </w:r>
      <w:r>
        <w:rPr>
          <w:rFonts w:hint="eastAsia" w:ascii="宋体" w:hAnsi="宋体" w:cs="宋体"/>
          <w:color w:val="auto"/>
          <w:kern w:val="0"/>
          <w:sz w:val="24"/>
          <w:highlight w:val="none"/>
          <w:lang w:val="en-US" w:eastAsia="zh-CN"/>
        </w:rPr>
        <w:t>贰</w:t>
      </w:r>
      <w:r>
        <w:rPr>
          <w:rFonts w:hint="eastAsia" w:ascii="宋体" w:hAnsi="宋体" w:cs="宋体"/>
          <w:color w:val="auto"/>
          <w:kern w:val="0"/>
          <w:sz w:val="24"/>
          <w:highlight w:val="none"/>
        </w:rPr>
        <w:t>份，甲乙方各执</w:t>
      </w:r>
      <w:r>
        <w:rPr>
          <w:rFonts w:hint="eastAsia" w:ascii="宋体" w:hAnsi="宋体" w:cs="宋体"/>
          <w:color w:val="auto"/>
          <w:kern w:val="0"/>
          <w:sz w:val="24"/>
          <w:highlight w:val="none"/>
          <w:lang w:val="en-US" w:eastAsia="zh-CN"/>
        </w:rPr>
        <w:t>壹</w:t>
      </w:r>
      <w:r>
        <w:rPr>
          <w:rFonts w:hint="eastAsia" w:ascii="宋体" w:hAnsi="宋体" w:cs="宋体"/>
          <w:color w:val="auto"/>
          <w:kern w:val="0"/>
          <w:sz w:val="24"/>
          <w:highlight w:val="none"/>
        </w:rPr>
        <w:t>份。</w:t>
      </w:r>
    </w:p>
    <w:p>
      <w:pPr>
        <w:pStyle w:val="20"/>
        <w:ind w:firstLine="240"/>
        <w:rPr>
          <w:rFonts w:ascii="宋体" w:hAnsi="宋体" w:cs="宋体"/>
          <w:color w:val="auto"/>
          <w:sz w:val="24"/>
          <w:highlight w:val="none"/>
        </w:rPr>
      </w:pPr>
    </w:p>
    <w:p>
      <w:pPr>
        <w:pStyle w:val="20"/>
        <w:ind w:firstLine="240"/>
        <w:rPr>
          <w:rFonts w:ascii="宋体" w:hAnsi="宋体" w:cs="宋体"/>
          <w:color w:val="auto"/>
          <w:sz w:val="24"/>
          <w:highlight w:val="none"/>
        </w:rPr>
      </w:pPr>
    </w:p>
    <w:p>
      <w:pPr>
        <w:pStyle w:val="20"/>
        <w:ind w:firstLine="240"/>
        <w:rPr>
          <w:rFonts w:ascii="宋体" w:hAnsi="宋体" w:cs="宋体"/>
          <w:color w:val="auto"/>
          <w:sz w:val="24"/>
          <w:highlight w:val="none"/>
        </w:rPr>
      </w:pP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采购人单位：（盖章）                   承包人单位：（盖章）</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（或授权委托人）                    （或授权委托人）</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地址：                                 地址：</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电话：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电话：</w:t>
      </w:r>
    </w:p>
    <w:p>
      <w:pPr>
        <w:ind w:firstLine="960" w:firstLineChars="400"/>
        <w:jc w:val="both"/>
        <w:rPr>
          <w:rFonts w:ascii="宋体" w:hAnsi="宋体" w:cs="宋体"/>
          <w:b/>
          <w:color w:val="auto"/>
          <w:sz w:val="52"/>
          <w:szCs w:val="52"/>
          <w:highlight w:val="none"/>
        </w:rPr>
      </w:pPr>
      <w:r>
        <w:rPr>
          <w:rFonts w:hint="eastAsia" w:ascii="宋体" w:hAnsi="宋体" w:cs="宋体"/>
          <w:color w:val="auto"/>
          <w:kern w:val="0"/>
          <w:sz w:val="24"/>
          <w:highlight w:val="none"/>
        </w:rPr>
        <w:t>年  月   日                            年   月   日</w:t>
      </w:r>
    </w:p>
    <w:p>
      <w:pPr>
        <w:rPr>
          <w:rFonts w:ascii="宋体" w:hAnsi="宋体" w:cs="宋体"/>
          <w:color w:val="auto"/>
          <w:sz w:val="18"/>
          <w:szCs w:val="18"/>
          <w:highlight w:val="none"/>
        </w:rPr>
      </w:pPr>
    </w:p>
    <w:p>
      <w:pPr>
        <w:ind w:firstLine="440" w:firstLineChars="100"/>
        <w:jc w:val="center"/>
        <w:rPr>
          <w:rFonts w:ascii="宋体" w:hAnsi="宋体" w:cs="宋体"/>
          <w:bCs/>
          <w:color w:val="auto"/>
          <w:sz w:val="44"/>
          <w:szCs w:val="44"/>
          <w:highlight w:val="none"/>
        </w:rPr>
        <w:sectPr>
          <w:pgSz w:w="11906" w:h="16838"/>
          <w:pgMar w:top="600" w:right="1287" w:bottom="1440" w:left="1440" w:header="851" w:footer="992" w:gutter="0"/>
          <w:cols w:space="720" w:num="1"/>
          <w:docGrid w:type="lines" w:linePitch="312" w:charSpace="0"/>
        </w:sectPr>
      </w:pPr>
    </w:p>
    <w:p>
      <w:pPr>
        <w:ind w:firstLine="440" w:firstLineChars="100"/>
        <w:jc w:val="center"/>
        <w:rPr>
          <w:rFonts w:ascii="宋体" w:hAnsi="宋体" w:cs="宋体"/>
          <w:bCs/>
          <w:color w:val="auto"/>
          <w:sz w:val="44"/>
          <w:szCs w:val="44"/>
          <w:highlight w:val="none"/>
        </w:rPr>
      </w:pPr>
      <w:r>
        <w:rPr>
          <w:rFonts w:hint="eastAsia" w:ascii="宋体" w:hAnsi="宋体" w:cs="宋体"/>
          <w:bCs/>
          <w:color w:val="auto"/>
          <w:sz w:val="44"/>
          <w:szCs w:val="44"/>
          <w:highlight w:val="none"/>
        </w:rPr>
        <w:t>第五部分. 附件（响应文件格式）</w:t>
      </w:r>
    </w:p>
    <w:p>
      <w:pPr>
        <w:rPr>
          <w:rFonts w:ascii="宋体" w:hAnsi="宋体" w:cs="宋体"/>
          <w:b/>
          <w:bCs/>
          <w:color w:val="auto"/>
          <w:sz w:val="24"/>
          <w:highlight w:val="none"/>
        </w:rPr>
      </w:pPr>
    </w:p>
    <w:p>
      <w:pPr>
        <w:spacing w:line="360" w:lineRule="auto"/>
        <w:jc w:val="center"/>
        <w:rPr>
          <w:rFonts w:ascii="宋体" w:hAnsi="宋体" w:cs="宋体"/>
          <w:b/>
          <w:color w:val="auto"/>
          <w:sz w:val="48"/>
          <w:szCs w:val="20"/>
          <w:highlight w:val="none"/>
        </w:rPr>
      </w:pPr>
      <w:r>
        <w:rPr>
          <w:rFonts w:hint="eastAsia" w:ascii="宋体" w:hAnsi="宋体" w:cs="宋体"/>
          <w:b/>
          <w:color w:val="auto"/>
          <w:sz w:val="48"/>
          <w:szCs w:val="20"/>
          <w:highlight w:val="none"/>
          <w:u w:val="single"/>
        </w:rPr>
        <w:t xml:space="preserve">                </w:t>
      </w:r>
      <w:r>
        <w:rPr>
          <w:rFonts w:hint="eastAsia" w:ascii="宋体" w:hAnsi="宋体" w:cs="宋体"/>
          <w:b/>
          <w:color w:val="auto"/>
          <w:sz w:val="48"/>
          <w:szCs w:val="20"/>
          <w:highlight w:val="none"/>
        </w:rPr>
        <w:t>项目竞争性磋商</w:t>
      </w:r>
    </w:p>
    <w:p>
      <w:pPr>
        <w:spacing w:line="360" w:lineRule="auto"/>
        <w:jc w:val="center"/>
        <w:rPr>
          <w:rFonts w:ascii="宋体" w:hAnsi="宋体" w:cs="宋体"/>
          <w:b/>
          <w:color w:val="auto"/>
          <w:sz w:val="72"/>
          <w:szCs w:val="20"/>
          <w:highlight w:val="none"/>
        </w:rPr>
      </w:pPr>
      <w:r>
        <w:rPr>
          <w:rFonts w:hint="eastAsia" w:ascii="宋体" w:hAnsi="宋体" w:cs="宋体"/>
          <w:b/>
          <w:color w:val="auto"/>
          <w:sz w:val="72"/>
          <w:szCs w:val="20"/>
          <w:highlight w:val="none"/>
        </w:rPr>
        <w:t>响应文件</w:t>
      </w: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napToGrid w:val="0"/>
        <w:spacing w:line="360" w:lineRule="auto"/>
        <w:rPr>
          <w:rFonts w:ascii="宋体" w:hAnsi="宋体" w:cs="宋体"/>
          <w:b/>
          <w:color w:val="auto"/>
          <w:sz w:val="28"/>
          <w:szCs w:val="20"/>
          <w:highlight w:val="none"/>
          <w:u w:val="single"/>
        </w:rPr>
      </w:pPr>
      <w:r>
        <w:rPr>
          <w:rFonts w:hint="eastAsia" w:ascii="宋体" w:hAnsi="宋体" w:cs="宋体"/>
          <w:b/>
          <w:color w:val="auto"/>
          <w:sz w:val="28"/>
          <w:szCs w:val="20"/>
          <w:highlight w:val="none"/>
        </w:rPr>
        <w:t>采购编号：</w:t>
      </w:r>
      <w:r>
        <w:rPr>
          <w:rFonts w:hint="eastAsia" w:ascii="宋体" w:hAnsi="宋体" w:cs="宋体"/>
          <w:b/>
          <w:color w:val="auto"/>
          <w:sz w:val="28"/>
          <w:szCs w:val="20"/>
          <w:highlight w:val="none"/>
          <w:u w:val="single"/>
        </w:rPr>
        <w:t xml:space="preserve">                                              </w:t>
      </w:r>
    </w:p>
    <w:p>
      <w:pPr>
        <w:snapToGrid w:val="0"/>
        <w:spacing w:line="360" w:lineRule="auto"/>
        <w:rPr>
          <w:rFonts w:ascii="宋体" w:hAnsi="宋体" w:cs="宋体"/>
          <w:b/>
          <w:color w:val="auto"/>
          <w:sz w:val="30"/>
          <w:szCs w:val="20"/>
          <w:highlight w:val="none"/>
          <w:u w:val="single"/>
        </w:rPr>
      </w:pPr>
      <w:r>
        <w:rPr>
          <w:rFonts w:hint="eastAsia" w:ascii="宋体" w:hAnsi="宋体" w:cs="宋体"/>
          <w:b/>
          <w:color w:val="auto"/>
          <w:sz w:val="28"/>
          <w:szCs w:val="20"/>
          <w:highlight w:val="none"/>
        </w:rPr>
        <w:t>项目</w:t>
      </w:r>
      <w:r>
        <w:rPr>
          <w:rFonts w:hint="eastAsia" w:ascii="宋体" w:hAnsi="宋体" w:cs="宋体"/>
          <w:b/>
          <w:color w:val="auto"/>
          <w:sz w:val="30"/>
          <w:szCs w:val="20"/>
          <w:highlight w:val="none"/>
        </w:rPr>
        <w:t>名称：</w:t>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u w:val="single"/>
          <w:lang w:val="en-US" w:eastAsia="zh-CN"/>
        </w:rPr>
        <w:t xml:space="preserve">  </w:t>
      </w:r>
      <w:r>
        <w:rPr>
          <w:rFonts w:hint="eastAsia" w:ascii="宋体" w:hAnsi="宋体" w:cs="宋体"/>
          <w:b/>
          <w:color w:val="auto"/>
          <w:sz w:val="30"/>
          <w:szCs w:val="20"/>
          <w:highlight w:val="none"/>
          <w:u w:val="single"/>
        </w:rPr>
        <w:t xml:space="preserve">               </w:t>
      </w:r>
    </w:p>
    <w:p>
      <w:pPr>
        <w:snapToGrid w:val="0"/>
        <w:spacing w:line="360" w:lineRule="auto"/>
        <w:rPr>
          <w:rFonts w:ascii="宋体" w:hAnsi="宋体" w:cs="宋体"/>
          <w:b/>
          <w:bCs/>
          <w:color w:val="auto"/>
          <w:sz w:val="30"/>
          <w:szCs w:val="30"/>
          <w:highlight w:val="none"/>
          <w:u w:val="single"/>
        </w:rPr>
      </w:pPr>
    </w:p>
    <w:p>
      <w:pPr>
        <w:snapToGrid w:val="0"/>
        <w:spacing w:line="360" w:lineRule="auto"/>
        <w:rPr>
          <w:rFonts w:ascii="宋体" w:hAnsi="宋体" w:cs="宋体"/>
          <w:b/>
          <w:color w:val="auto"/>
          <w:sz w:val="30"/>
          <w:szCs w:val="30"/>
          <w:highlight w:val="none"/>
        </w:rPr>
      </w:pP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月</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日</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时</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分</w:t>
      </w:r>
      <w:r>
        <w:rPr>
          <w:rFonts w:hint="eastAsia" w:ascii="宋体" w:hAnsi="宋体" w:cs="宋体"/>
          <w:color w:val="auto"/>
          <w:sz w:val="30"/>
          <w:szCs w:val="30"/>
          <w:highlight w:val="none"/>
        </w:rPr>
        <w:t>开标，此时间以前不得开封；</w:t>
      </w:r>
    </w:p>
    <w:p>
      <w:pPr>
        <w:snapToGrid w:val="0"/>
        <w:spacing w:line="360" w:lineRule="auto"/>
        <w:rPr>
          <w:rFonts w:ascii="宋体" w:hAnsi="宋体" w:cs="宋体"/>
          <w:b/>
          <w:color w:val="auto"/>
          <w:sz w:val="30"/>
          <w:szCs w:val="20"/>
          <w:highlight w:val="none"/>
        </w:rPr>
      </w:pPr>
    </w:p>
    <w:p>
      <w:pPr>
        <w:snapToGrid w:val="0"/>
        <w:spacing w:line="360" w:lineRule="auto"/>
        <w:rPr>
          <w:rFonts w:ascii="宋体" w:hAnsi="宋体" w:cs="宋体"/>
          <w:b/>
          <w:color w:val="auto"/>
          <w:sz w:val="30"/>
          <w:szCs w:val="20"/>
          <w:highlight w:val="none"/>
          <w:u w:val="single"/>
        </w:rPr>
      </w:pPr>
      <w:r>
        <w:rPr>
          <w:rFonts w:hint="eastAsia" w:ascii="宋体" w:hAnsi="宋体" w:cs="宋体"/>
          <w:b/>
          <w:color w:val="auto"/>
          <w:sz w:val="30"/>
          <w:szCs w:val="20"/>
          <w:highlight w:val="none"/>
        </w:rPr>
        <w:t>供应商：</w:t>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 xml:space="preserve">                   （盖公章）</w:t>
      </w:r>
    </w:p>
    <w:p>
      <w:pPr>
        <w:snapToGrid w:val="0"/>
        <w:spacing w:line="360" w:lineRule="auto"/>
        <w:rPr>
          <w:rFonts w:ascii="宋体" w:hAnsi="宋体" w:cs="宋体"/>
          <w:b/>
          <w:color w:val="auto"/>
          <w:sz w:val="30"/>
          <w:szCs w:val="20"/>
          <w:highlight w:val="none"/>
        </w:rPr>
      </w:pPr>
      <w:r>
        <w:rPr>
          <w:rFonts w:hint="eastAsia" w:ascii="宋体" w:hAnsi="宋体" w:cs="宋体"/>
          <w:b/>
          <w:color w:val="auto"/>
          <w:sz w:val="30"/>
          <w:szCs w:val="20"/>
          <w:highlight w:val="none"/>
        </w:rPr>
        <w:t>法定代表人或</w:t>
      </w:r>
    </w:p>
    <w:p>
      <w:pPr>
        <w:snapToGrid w:val="0"/>
        <w:spacing w:line="360" w:lineRule="auto"/>
        <w:rPr>
          <w:rFonts w:ascii="宋体" w:hAnsi="宋体" w:cs="宋体"/>
          <w:b/>
          <w:color w:val="auto"/>
          <w:sz w:val="30"/>
          <w:szCs w:val="20"/>
          <w:highlight w:val="none"/>
          <w:u w:val="single"/>
        </w:rPr>
      </w:pPr>
      <w:r>
        <w:rPr>
          <w:rFonts w:hint="eastAsia" w:ascii="宋体" w:hAnsi="宋体" w:cs="宋体"/>
          <w:b/>
          <w:color w:val="auto"/>
          <w:sz w:val="30"/>
          <w:szCs w:val="20"/>
          <w:highlight w:val="none"/>
        </w:rPr>
        <w:t>其委托代理人：</w:t>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u w:val="single"/>
          <w:lang w:val="en-US" w:eastAsia="zh-CN"/>
        </w:rPr>
        <w:t xml:space="preserve">  </w:t>
      </w:r>
      <w:r>
        <w:rPr>
          <w:rFonts w:hint="eastAsia" w:ascii="宋体" w:hAnsi="宋体" w:cs="宋体"/>
          <w:b/>
          <w:color w:val="auto"/>
          <w:sz w:val="30"/>
          <w:szCs w:val="20"/>
          <w:highlight w:val="none"/>
          <w:u w:val="single"/>
        </w:rPr>
        <w:t xml:space="preserve">       （签字或盖章）</w:t>
      </w:r>
    </w:p>
    <w:p>
      <w:pPr>
        <w:snapToGrid w:val="0"/>
        <w:spacing w:line="360" w:lineRule="auto"/>
        <w:rPr>
          <w:rFonts w:ascii="宋体" w:hAnsi="宋体" w:cs="宋体"/>
          <w:b/>
          <w:color w:val="auto"/>
          <w:sz w:val="30"/>
          <w:szCs w:val="20"/>
          <w:highlight w:val="none"/>
        </w:rPr>
      </w:pPr>
    </w:p>
    <w:p>
      <w:pPr>
        <w:snapToGrid w:val="0"/>
        <w:spacing w:line="360" w:lineRule="auto"/>
        <w:rPr>
          <w:rFonts w:ascii="宋体" w:hAnsi="宋体" w:cs="宋体"/>
          <w:b/>
          <w:color w:val="auto"/>
          <w:sz w:val="30"/>
          <w:szCs w:val="20"/>
          <w:highlight w:val="none"/>
        </w:rPr>
      </w:pPr>
      <w:r>
        <w:rPr>
          <w:rFonts w:hint="eastAsia" w:ascii="宋体" w:hAnsi="宋体" w:cs="宋体"/>
          <w:b/>
          <w:color w:val="auto"/>
          <w:sz w:val="30"/>
          <w:szCs w:val="20"/>
          <w:highlight w:val="none"/>
        </w:rPr>
        <w:t>日  期：</w:t>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rPr>
        <w:t xml:space="preserve"> 年</w:t>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rPr>
        <w:t xml:space="preserve"> 月</w:t>
      </w:r>
      <w:r>
        <w:rPr>
          <w:rFonts w:hint="eastAsia" w:ascii="宋体" w:hAnsi="宋体" w:cs="宋体"/>
          <w:b/>
          <w:color w:val="auto"/>
          <w:sz w:val="30"/>
          <w:szCs w:val="20"/>
          <w:highlight w:val="none"/>
          <w:u w:val="single"/>
        </w:rPr>
        <w:t xml:space="preserve">           </w:t>
      </w:r>
      <w:r>
        <w:rPr>
          <w:rFonts w:hint="eastAsia" w:ascii="宋体" w:hAnsi="宋体" w:cs="宋体"/>
          <w:b/>
          <w:color w:val="auto"/>
          <w:sz w:val="30"/>
          <w:szCs w:val="20"/>
          <w:highlight w:val="none"/>
        </w:rPr>
        <w:t>日</w:t>
      </w:r>
    </w:p>
    <w:p>
      <w:pPr>
        <w:ind w:firstLine="420" w:firstLineChars="175"/>
        <w:jc w:val="center"/>
        <w:outlineLvl w:val="0"/>
        <w:rPr>
          <w:rFonts w:ascii="宋体" w:hAnsi="宋体" w:cs="宋体"/>
          <w:bCs/>
          <w:color w:val="auto"/>
          <w:sz w:val="24"/>
          <w:highlight w:val="none"/>
        </w:rPr>
      </w:pPr>
    </w:p>
    <w:p>
      <w:pPr>
        <w:ind w:firstLine="420" w:firstLineChars="175"/>
        <w:jc w:val="center"/>
        <w:outlineLvl w:val="0"/>
        <w:rPr>
          <w:rFonts w:ascii="宋体" w:hAnsi="宋体" w:cs="宋体"/>
          <w:bCs/>
          <w:color w:val="auto"/>
          <w:sz w:val="24"/>
          <w:highlight w:val="none"/>
        </w:rPr>
      </w:pPr>
    </w:p>
    <w:p>
      <w:pPr>
        <w:ind w:firstLine="420" w:firstLineChars="175"/>
        <w:jc w:val="center"/>
        <w:outlineLvl w:val="0"/>
        <w:rPr>
          <w:rFonts w:ascii="宋体" w:hAnsi="宋体" w:cs="宋体"/>
          <w:bCs/>
          <w:color w:val="auto"/>
          <w:sz w:val="24"/>
          <w:highlight w:val="none"/>
        </w:rPr>
        <w:sectPr>
          <w:pgSz w:w="11906" w:h="16838"/>
          <w:pgMar w:top="600" w:right="1287" w:bottom="1440" w:left="1440" w:header="851" w:footer="992" w:gutter="0"/>
          <w:cols w:space="720" w:num="1"/>
          <w:docGrid w:type="lines" w:linePitch="312" w:charSpace="0"/>
        </w:sectPr>
      </w:pPr>
    </w:p>
    <w:p>
      <w:pPr>
        <w:ind w:firstLine="420" w:firstLineChars="175"/>
        <w:jc w:val="center"/>
        <w:outlineLvl w:val="0"/>
        <w:rPr>
          <w:rFonts w:ascii="宋体" w:hAnsi="宋体" w:cs="宋体"/>
          <w:bCs/>
          <w:color w:val="auto"/>
          <w:sz w:val="24"/>
          <w:highlight w:val="none"/>
        </w:rPr>
      </w:pPr>
      <w:r>
        <w:rPr>
          <w:rFonts w:hint="eastAsia" w:ascii="宋体" w:hAnsi="宋体" w:cs="宋体"/>
          <w:bCs/>
          <w:color w:val="auto"/>
          <w:sz w:val="24"/>
          <w:highlight w:val="none"/>
        </w:rPr>
        <w:t>（一）响应函（格式）：</w:t>
      </w:r>
    </w:p>
    <w:p>
      <w:pPr>
        <w:spacing w:line="360" w:lineRule="auto"/>
        <w:jc w:val="center"/>
        <w:rPr>
          <w:rFonts w:ascii="宋体" w:hAnsi="宋体" w:cs="宋体"/>
          <w:bCs/>
          <w:color w:val="auto"/>
          <w:sz w:val="24"/>
          <w:highlight w:val="none"/>
        </w:rPr>
      </w:pPr>
      <w:r>
        <w:rPr>
          <w:rFonts w:hint="eastAsia" w:ascii="宋体" w:hAnsi="宋体" w:cs="宋体"/>
          <w:bCs/>
          <w:color w:val="auto"/>
          <w:sz w:val="28"/>
          <w:szCs w:val="28"/>
          <w:highlight w:val="none"/>
        </w:rPr>
        <w:t>响应函</w:t>
      </w:r>
    </w:p>
    <w:p>
      <w:pPr>
        <w:widowControl/>
        <w:topLinePunct/>
        <w:spacing w:before="4"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一、根据已收到的项目编号为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b/>
          <w:color w:val="auto"/>
          <w:sz w:val="24"/>
          <w:highlight w:val="none"/>
          <w:u w:val="single"/>
        </w:rPr>
        <w:t xml:space="preserve">    （采购项目名称 ）   </w:t>
      </w:r>
      <w:r>
        <w:rPr>
          <w:rFonts w:hint="eastAsia" w:ascii="宋体" w:hAnsi="宋体" w:cs="宋体"/>
          <w:color w:val="auto"/>
          <w:sz w:val="24"/>
          <w:highlight w:val="none"/>
        </w:rPr>
        <w:t>的竞争性磋商文件，遵照国家法律、法规和规章的有关规定，我方经过踏勘现场和对磋商文件等所有文件的研究后，我方愿以</w:t>
      </w:r>
      <w:r>
        <w:rPr>
          <w:rFonts w:hint="eastAsia" w:ascii="宋体" w:hAnsi="宋体" w:cs="宋体"/>
          <w:color w:val="auto"/>
          <w:sz w:val="24"/>
          <w:highlight w:val="none"/>
          <w:u w:val="single"/>
        </w:rPr>
        <w:t xml:space="preserve">大写金额：        ，小写金额：￥       </w:t>
      </w:r>
      <w:r>
        <w:rPr>
          <w:rFonts w:hint="eastAsia" w:ascii="宋体" w:hAnsi="宋体" w:cs="宋体"/>
          <w:color w:val="auto"/>
          <w:sz w:val="24"/>
          <w:highlight w:val="none"/>
        </w:rPr>
        <w:t>的价格，按磋商文件中的要求承包本项目。</w:t>
      </w:r>
    </w:p>
    <w:p>
      <w:pPr>
        <w:topLinePunct/>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我公司拟投入的项目负责人为：</w:t>
      </w:r>
      <w:r>
        <w:rPr>
          <w:rFonts w:hint="eastAsia" w:ascii="宋体" w:hAnsi="宋体" w:cs="宋体"/>
          <w:b/>
          <w:color w:val="auto"/>
          <w:sz w:val="24"/>
          <w:highlight w:val="none"/>
          <w:u w:val="single"/>
        </w:rPr>
        <w:t xml:space="preserve">        ，</w:t>
      </w:r>
      <w:r>
        <w:rPr>
          <w:rFonts w:hint="eastAsia" w:ascii="宋体" w:hAnsi="宋体"/>
          <w:b/>
          <w:color w:val="auto"/>
          <w:sz w:val="24"/>
          <w:highlight w:val="none"/>
        </w:rPr>
        <w:t>资质及职称情况：</w:t>
      </w:r>
      <w:r>
        <w:rPr>
          <w:rFonts w:hint="eastAsia" w:ascii="宋体" w:hAnsi="宋体"/>
          <w:b/>
          <w:color w:val="auto"/>
          <w:sz w:val="24"/>
          <w:highlight w:val="none"/>
          <w:u w:val="single"/>
        </w:rPr>
        <w:t xml:space="preserve">        </w:t>
      </w:r>
      <w:r>
        <w:rPr>
          <w:rFonts w:hint="eastAsia" w:ascii="宋体" w:hAnsi="宋体" w:cs="宋体"/>
          <w:b/>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bCs/>
          <w:color w:val="auto"/>
          <w:sz w:val="24"/>
          <w:highlight w:val="none"/>
        </w:rPr>
        <w:t>二、我们愿意提供</w:t>
      </w:r>
      <w:r>
        <w:rPr>
          <w:rFonts w:hint="eastAsia" w:ascii="宋体" w:hAnsi="宋体" w:cs="宋体"/>
          <w:bCs/>
          <w:color w:val="auto"/>
          <w:sz w:val="24"/>
          <w:highlight w:val="none"/>
          <w:lang w:eastAsia="zh-CN"/>
        </w:rPr>
        <w:t>江苏德诺工程项目管理有限公司</w:t>
      </w:r>
      <w:r>
        <w:rPr>
          <w:rFonts w:hint="eastAsia" w:ascii="宋体" w:hAnsi="宋体" w:cs="宋体"/>
          <w:bCs/>
          <w:color w:val="auto"/>
          <w:sz w:val="24"/>
          <w:highlight w:val="none"/>
        </w:rPr>
        <w:t>在磋商文件中要求的文件、资料</w:t>
      </w:r>
      <w:r>
        <w:rPr>
          <w:rStyle w:val="25"/>
          <w:rFonts w:hint="eastAsia"/>
          <w:color w:val="auto"/>
          <w:highlight w:val="none"/>
        </w:rPr>
        <w:t>。</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 xml:space="preserve">            </w:t>
      </w:r>
    </w:p>
    <w:p>
      <w:pPr>
        <w:keepNext w:val="0"/>
        <w:keepLines w:val="0"/>
        <w:pageBreakBefore w:val="0"/>
        <w:widowControl w:val="0"/>
        <w:tabs>
          <w:tab w:val="left" w:pos="525"/>
          <w:tab w:val="left" w:pos="552"/>
          <w:tab w:val="left" w:pos="630"/>
          <w:tab w:val="left" w:pos="945"/>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highlight w:val="none"/>
        </w:rPr>
      </w:pPr>
      <w:r>
        <w:rPr>
          <w:rFonts w:hint="eastAsia" w:ascii="宋体" w:hAnsi="宋体" w:cs="宋体"/>
          <w:color w:val="auto"/>
          <w:kern w:val="0"/>
          <w:sz w:val="24"/>
          <w:highlight w:val="none"/>
        </w:rPr>
        <w:t>三、我们同意按磋商文件中的规定，本响应文件投标的有效期限为磋商截止</w:t>
      </w:r>
      <w:r>
        <w:rPr>
          <w:rFonts w:hint="eastAsia" w:ascii="宋体" w:hAnsi="宋体" w:cs="宋体"/>
          <w:bCs/>
          <w:color w:val="auto"/>
          <w:sz w:val="24"/>
          <w:highlight w:val="none"/>
        </w:rPr>
        <w:t>之日起90天。</w:t>
      </w:r>
    </w:p>
    <w:p>
      <w:pPr>
        <w:keepNext w:val="0"/>
        <w:keepLines w:val="0"/>
        <w:pageBreakBefore w:val="0"/>
        <w:widowControl w:val="0"/>
        <w:tabs>
          <w:tab w:val="left" w:pos="525"/>
          <w:tab w:val="left" w:pos="552"/>
          <w:tab w:val="left" w:pos="630"/>
          <w:tab w:val="left" w:pos="945"/>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highlight w:val="none"/>
        </w:rPr>
      </w:pPr>
      <w:r>
        <w:rPr>
          <w:rFonts w:hint="eastAsia" w:ascii="宋体" w:hAnsi="宋体" w:cs="宋体"/>
          <w:color w:val="auto"/>
          <w:kern w:val="0"/>
          <w:sz w:val="24"/>
          <w:highlight w:val="none"/>
        </w:rPr>
        <w:t>四、我方同意按磋商文件中的规定期限内完成全部工作。</w:t>
      </w:r>
    </w:p>
    <w:p>
      <w:pPr>
        <w:keepNext w:val="0"/>
        <w:keepLines w:val="0"/>
        <w:pageBreakBefore w:val="0"/>
        <w:widowControl w:val="0"/>
        <w:tabs>
          <w:tab w:val="left" w:pos="525"/>
          <w:tab w:val="left" w:pos="552"/>
          <w:tab w:val="left" w:pos="945"/>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五、如果我们的响应文件被接受，我们将履行磋商文件中规定的每一项要求，按期、按质、按量，完成任务。</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六、我们认为你们有权决定成交供应商。</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七、我方愿意遵守《中华人民共和国政府采购法》，并按《中华人民共和国民法典》和合同条款履行自己的全部责任。在合同履行过程中，双方如有争议，同意双方协调解决，并按相关法规和有关文件规定处理。</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八、我们认可并保证遵守磋商文件的所有规定，放弃对磋商文件提出质疑的权利。</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九、如果我方被确定为成交供应商且我方如无不可抗力，又未履行磋商文件、响应文件和合同条款的，一经查实，我方愿意赔偿由此而造成的一切损失，并同意接受按磋商文件的相关要求对我方进行的处理。</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供应商（盖章）：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法定代表人或法定代表人授权代表签字或盖章：</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电话：                              传真：</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地址：                              邮编：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开户名称：                          开户银行：     开户账号：</w:t>
      </w:r>
    </w:p>
    <w:p>
      <w:pPr>
        <w:ind w:firstLine="420" w:firstLineChars="175"/>
        <w:jc w:val="center"/>
        <w:outlineLvl w:val="0"/>
        <w:rPr>
          <w:rFonts w:ascii="宋体" w:hAnsi="宋体" w:cs="宋体"/>
          <w:b/>
          <w:color w:val="auto"/>
          <w:sz w:val="30"/>
          <w:szCs w:val="30"/>
          <w:highlight w:val="none"/>
        </w:rPr>
      </w:pPr>
      <w:bookmarkStart w:id="509" w:name="校园网系统报价和服务承诺表（格式）"/>
      <w:bookmarkEnd w:id="509"/>
      <w:bookmarkStart w:id="510" w:name="（报价人）法定代表人授权书（格式）"/>
      <w:bookmarkEnd w:id="510"/>
      <w:r>
        <w:rPr>
          <w:rFonts w:hint="eastAsia" w:ascii="宋体" w:hAnsi="宋体" w:cs="宋体"/>
          <w:bCs/>
          <w:color w:val="auto"/>
          <w:sz w:val="24"/>
          <w:highlight w:val="none"/>
        </w:rPr>
        <w:br w:type="page"/>
      </w:r>
      <w:r>
        <w:rPr>
          <w:rFonts w:hint="eastAsia" w:ascii="宋体" w:hAnsi="宋体" w:cs="宋体"/>
          <w:b/>
          <w:color w:val="auto"/>
          <w:sz w:val="30"/>
          <w:szCs w:val="30"/>
          <w:highlight w:val="none"/>
        </w:rPr>
        <w:t>（二）开标一览表（格式）</w:t>
      </w:r>
    </w:p>
    <w:p>
      <w:pPr>
        <w:adjustRightInd w:val="0"/>
        <w:snapToGrid w:val="0"/>
        <w:spacing w:line="300" w:lineRule="auto"/>
        <w:jc w:val="center"/>
        <w:rPr>
          <w:rFonts w:ascii="宋体" w:hAnsi="宋体" w:cs="宋体"/>
          <w:b/>
          <w:bCs/>
          <w:color w:val="auto"/>
          <w:sz w:val="36"/>
          <w:szCs w:val="36"/>
          <w:highlight w:val="none"/>
        </w:rPr>
      </w:pPr>
    </w:p>
    <w:p>
      <w:pPr>
        <w:adjustRightInd w:val="0"/>
        <w:snapToGrid w:val="0"/>
        <w:spacing w:line="300" w:lineRule="auto"/>
        <w:rPr>
          <w:rFonts w:ascii="宋体" w:hAnsi="宋体" w:cs="宋体"/>
          <w:color w:val="auto"/>
          <w:highlight w:val="none"/>
        </w:rPr>
      </w:pPr>
      <w:r>
        <w:rPr>
          <w:rFonts w:hint="eastAsia" w:ascii="宋体" w:hAnsi="宋体" w:cs="宋体"/>
          <w:color w:val="auto"/>
          <w:sz w:val="24"/>
          <w:highlight w:val="none"/>
        </w:rPr>
        <w:t xml:space="preserve">报价供应商全称（加盖公章）：  </w:t>
      </w:r>
      <w:r>
        <w:rPr>
          <w:rFonts w:hint="eastAsia" w:ascii="宋体" w:hAnsi="宋体" w:cs="宋体"/>
          <w:color w:val="auto"/>
          <w:sz w:val="24"/>
          <w:szCs w:val="28"/>
          <w:highlight w:val="none"/>
        </w:rPr>
        <w:t xml:space="preserve">                      </w:t>
      </w:r>
      <w:r>
        <w:rPr>
          <w:rFonts w:hint="eastAsia" w:ascii="宋体" w:hAnsi="宋体" w:cs="宋体"/>
          <w:color w:val="auto"/>
          <w:sz w:val="24"/>
          <w:highlight w:val="none"/>
        </w:rPr>
        <w:t>采购编号：</w:t>
      </w:r>
      <w:r>
        <w:rPr>
          <w:rFonts w:hint="eastAsia" w:ascii="宋体" w:hAnsi="宋体" w:cs="宋体"/>
          <w:color w:val="auto"/>
          <w:highlight w:val="none"/>
        </w:rPr>
        <w:t xml:space="preserve"> </w:t>
      </w:r>
    </w:p>
    <w:tbl>
      <w:tblPr>
        <w:tblStyle w:val="22"/>
        <w:tblW w:w="89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338" w:type="dxa"/>
            <w:vAlign w:val="center"/>
          </w:tcPr>
          <w:p>
            <w:pPr>
              <w:pStyle w:val="12"/>
              <w:snapToGrid w:val="0"/>
              <w:spacing w:line="30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项目总报价</w:t>
            </w:r>
          </w:p>
          <w:p>
            <w:pPr>
              <w:pStyle w:val="12"/>
              <w:snapToGrid w:val="0"/>
              <w:spacing w:line="30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（人民币）</w:t>
            </w:r>
          </w:p>
        </w:tc>
        <w:tc>
          <w:tcPr>
            <w:tcW w:w="6613" w:type="dxa"/>
            <w:vAlign w:val="center"/>
          </w:tcPr>
          <w:p>
            <w:pPr>
              <w:pStyle w:val="12"/>
              <w:snapToGrid w:val="0"/>
              <w:spacing w:line="300" w:lineRule="auto"/>
              <w:rPr>
                <w:rFonts w:ascii="宋体" w:hAnsi="宋体" w:eastAsia="宋体" w:cs="宋体"/>
                <w:color w:val="auto"/>
                <w:sz w:val="24"/>
                <w:highlight w:val="none"/>
              </w:rPr>
            </w:pPr>
            <w:r>
              <w:rPr>
                <w:rFonts w:hint="eastAsia" w:ascii="宋体" w:hAnsi="宋体" w:eastAsia="宋体" w:cs="宋体"/>
                <w:color w:val="auto"/>
                <w:sz w:val="24"/>
                <w:highlight w:val="none"/>
              </w:rPr>
              <w:t>大写：</w:t>
            </w:r>
          </w:p>
          <w:p>
            <w:pPr>
              <w:pStyle w:val="12"/>
              <w:snapToGrid w:val="0"/>
              <w:spacing w:line="30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338" w:type="dxa"/>
            <w:vAlign w:val="center"/>
          </w:tcPr>
          <w:p>
            <w:pPr>
              <w:pStyle w:val="12"/>
              <w:snapToGrid w:val="0"/>
              <w:spacing w:line="30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工期</w:t>
            </w:r>
          </w:p>
        </w:tc>
        <w:tc>
          <w:tcPr>
            <w:tcW w:w="6613" w:type="dxa"/>
            <w:vAlign w:val="center"/>
          </w:tcPr>
          <w:p>
            <w:pPr>
              <w:pStyle w:val="12"/>
              <w:snapToGrid w:val="0"/>
              <w:spacing w:line="30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误期违约金</w:t>
            </w:r>
          </w:p>
        </w:tc>
        <w:tc>
          <w:tcPr>
            <w:tcW w:w="6613" w:type="dxa"/>
            <w:vAlign w:val="center"/>
          </w:tcPr>
          <w:p>
            <w:pPr>
              <w:adjustRightInd w:val="0"/>
              <w:snapToGrid w:val="0"/>
              <w:spacing w:line="300" w:lineRule="auto"/>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hint="eastAsia"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质量标准</w:t>
            </w:r>
          </w:p>
        </w:tc>
        <w:tc>
          <w:tcPr>
            <w:tcW w:w="6613" w:type="dxa"/>
            <w:vAlign w:val="center"/>
          </w:tcPr>
          <w:p>
            <w:pPr>
              <w:adjustRightInd w:val="0"/>
              <w:snapToGrid w:val="0"/>
              <w:spacing w:line="300" w:lineRule="auto"/>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hint="default"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质量标准违约金</w:t>
            </w:r>
          </w:p>
        </w:tc>
        <w:tc>
          <w:tcPr>
            <w:tcW w:w="6613" w:type="dxa"/>
            <w:vAlign w:val="center"/>
          </w:tcPr>
          <w:p>
            <w:pPr>
              <w:adjustRightInd w:val="0"/>
              <w:snapToGrid w:val="0"/>
              <w:spacing w:line="300" w:lineRule="auto"/>
              <w:rPr>
                <w:rFonts w:ascii="宋体" w:hAnsi="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项目负责人</w:t>
            </w:r>
          </w:p>
        </w:tc>
        <w:tc>
          <w:tcPr>
            <w:tcW w:w="6613" w:type="dxa"/>
            <w:vAlign w:val="center"/>
          </w:tcPr>
          <w:p>
            <w:pPr>
              <w:adjustRightInd w:val="0"/>
              <w:snapToGrid w:val="0"/>
              <w:spacing w:line="300" w:lineRule="auto"/>
              <w:rPr>
                <w:rFonts w:ascii="宋体" w:hAnsi="宋体" w:cs="宋体"/>
                <w:color w:val="auto"/>
                <w:sz w:val="24"/>
                <w:szCs w:val="28"/>
                <w:highlight w:val="none"/>
              </w:rPr>
            </w:pPr>
          </w:p>
        </w:tc>
      </w:tr>
    </w:tbl>
    <w:p>
      <w:pPr>
        <w:adjustRightInd w:val="0"/>
        <w:snapToGrid w:val="0"/>
        <w:spacing w:line="300" w:lineRule="auto"/>
        <w:rPr>
          <w:rFonts w:ascii="宋体" w:hAnsi="宋体" w:cs="宋体"/>
          <w:color w:val="auto"/>
          <w:sz w:val="24"/>
          <w:highlight w:val="none"/>
        </w:rPr>
      </w:pPr>
    </w:p>
    <w:p>
      <w:pPr>
        <w:adjustRightInd w:val="0"/>
        <w:snapToGrid w:val="0"/>
        <w:spacing w:line="300" w:lineRule="auto"/>
        <w:rPr>
          <w:rFonts w:ascii="宋体" w:hAnsi="宋体" w:cs="宋体"/>
          <w:color w:val="auto"/>
          <w:sz w:val="24"/>
          <w:highlight w:val="none"/>
        </w:rPr>
      </w:pPr>
    </w:p>
    <w:p>
      <w:pPr>
        <w:adjustRightInd w:val="0"/>
        <w:snapToGrid w:val="0"/>
        <w:spacing w:line="300" w:lineRule="auto"/>
        <w:ind w:firstLine="480" w:firstLineChars="200"/>
        <w:rPr>
          <w:rFonts w:ascii="宋体" w:hAnsi="宋体" w:cs="宋体"/>
          <w:color w:val="auto"/>
          <w:sz w:val="24"/>
          <w:szCs w:val="28"/>
          <w:highlight w:val="none"/>
        </w:rPr>
      </w:pPr>
    </w:p>
    <w:p>
      <w:pPr>
        <w:overflowPunct w:val="0"/>
        <w:rPr>
          <w:rFonts w:ascii="宋体" w:hAnsi="宋体" w:cs="宋体"/>
          <w:color w:val="auto"/>
          <w:sz w:val="24"/>
          <w:highlight w:val="none"/>
        </w:rPr>
      </w:pPr>
      <w:r>
        <w:rPr>
          <w:rFonts w:hint="eastAsia" w:ascii="宋体" w:hAnsi="宋体" w:cs="宋体"/>
          <w:color w:val="auto"/>
          <w:sz w:val="24"/>
          <w:highlight w:val="none"/>
        </w:rPr>
        <w:t>法定代表人或授权代表签字：                          日期：   年   月   日</w:t>
      </w:r>
    </w:p>
    <w:p>
      <w:pPr>
        <w:overflowPunct w:val="0"/>
        <w:rPr>
          <w:rFonts w:ascii="宋体" w:hAnsi="宋体" w:cs="宋体"/>
          <w:color w:val="auto"/>
          <w:sz w:val="24"/>
          <w:highlight w:val="none"/>
        </w:rPr>
      </w:pPr>
      <w:r>
        <w:rPr>
          <w:rFonts w:hint="eastAsia" w:ascii="宋体" w:hAnsi="宋体" w:cs="宋体"/>
          <w:color w:val="auto"/>
          <w:sz w:val="24"/>
          <w:highlight w:val="none"/>
        </w:rPr>
        <w:t>填写说明：</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1、开标一览表中的内容应与响应函内容一致，否则评标时一律按开标一览表中内容为准，开标一览表中必须盖章或签字。</w:t>
      </w:r>
    </w:p>
    <w:p>
      <w:pPr>
        <w:widowControl/>
        <w:topLinePunct/>
        <w:spacing w:before="4" w:line="360" w:lineRule="auto"/>
        <w:ind w:left="5280" w:hanging="5280" w:hangingChars="2200"/>
        <w:rPr>
          <w:rFonts w:ascii="宋体" w:hAnsi="宋体" w:cs="宋体"/>
          <w:color w:val="auto"/>
          <w:sz w:val="24"/>
          <w:highlight w:val="none"/>
        </w:rPr>
      </w:pPr>
    </w:p>
    <w:p>
      <w:pPr>
        <w:widowControl/>
        <w:topLinePunct/>
        <w:spacing w:before="4" w:line="360" w:lineRule="auto"/>
        <w:ind w:left="5280" w:hanging="5280" w:hangingChars="2200"/>
        <w:rPr>
          <w:rFonts w:ascii="宋体" w:hAnsi="宋体" w:cs="宋体"/>
          <w:color w:val="auto"/>
          <w:sz w:val="24"/>
          <w:highlight w:val="none"/>
        </w:rPr>
      </w:pPr>
      <w:r>
        <w:rPr>
          <w:rFonts w:hint="eastAsia" w:ascii="宋体" w:hAnsi="宋体" w:cs="宋体"/>
          <w:color w:val="auto"/>
          <w:sz w:val="24"/>
          <w:highlight w:val="none"/>
        </w:rPr>
        <w:t xml:space="preserve">                               </w:t>
      </w:r>
    </w:p>
    <w:p>
      <w:pPr>
        <w:tabs>
          <w:tab w:val="left" w:pos="200"/>
        </w:tabs>
        <w:topLinePunct/>
        <w:snapToGrid w:val="0"/>
        <w:spacing w:line="360" w:lineRule="auto"/>
        <w:ind w:firstLine="240" w:firstLineChars="100"/>
        <w:rPr>
          <w:rFonts w:ascii="宋体" w:hAnsi="宋体" w:cs="宋体"/>
          <w:color w:val="auto"/>
          <w:sz w:val="24"/>
          <w:highlight w:val="none"/>
        </w:rPr>
      </w:pPr>
    </w:p>
    <w:p>
      <w:pPr>
        <w:spacing w:line="360" w:lineRule="auto"/>
        <w:jc w:val="center"/>
        <w:rPr>
          <w:rFonts w:ascii="宋体" w:hAnsi="宋体" w:cs="宋体"/>
          <w:b/>
          <w:color w:val="auto"/>
          <w:sz w:val="30"/>
          <w:szCs w:val="30"/>
          <w:highlight w:val="none"/>
        </w:rPr>
      </w:pPr>
      <w:r>
        <w:rPr>
          <w:rFonts w:hint="eastAsia" w:ascii="宋体" w:hAnsi="宋体" w:cs="宋体"/>
          <w:color w:val="auto"/>
          <w:sz w:val="24"/>
          <w:highlight w:val="none"/>
        </w:rPr>
        <w:br w:type="page"/>
      </w:r>
      <w:r>
        <w:rPr>
          <w:rFonts w:hint="eastAsia" w:ascii="宋体" w:hAnsi="宋体" w:cs="宋体"/>
          <w:b/>
          <w:color w:val="auto"/>
          <w:sz w:val="30"/>
          <w:szCs w:val="30"/>
          <w:highlight w:val="none"/>
        </w:rPr>
        <w:t xml:space="preserve"> （三）承诺书一（格式）</w:t>
      </w: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           </w:t>
      </w:r>
    </w:p>
    <w:p>
      <w:pPr>
        <w:spacing w:before="240" w:line="360" w:lineRule="auto"/>
        <w:ind w:firstLine="480"/>
        <w:rPr>
          <w:rFonts w:ascii="宋体" w:hAnsi="宋体" w:cs="宋体"/>
          <w:color w:val="auto"/>
          <w:sz w:val="24"/>
          <w:highlight w:val="none"/>
        </w:rPr>
      </w:pPr>
      <w:r>
        <w:rPr>
          <w:rFonts w:hint="eastAsia" w:ascii="宋体" w:hAnsi="宋体" w:cs="宋体"/>
          <w:color w:val="auto"/>
          <w:sz w:val="24"/>
          <w:highlight w:val="none"/>
        </w:rPr>
        <w:t>我公司自愿参加贵单位（公司）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项目的投标，并接受对我公司的资格审查，我公司承诺：我公司未处于被责令停业、投标资格被取消或者财产被接管、冻结和破产状态，</w:t>
      </w:r>
      <w:r>
        <w:rPr>
          <w:rFonts w:hint="eastAsia" w:ascii="宋体" w:hAnsi="宋体" w:cs="宋体"/>
          <w:color w:val="auto"/>
          <w:sz w:val="24"/>
          <w:highlight w:val="none"/>
          <w:lang w:val="zh-CN"/>
        </w:rPr>
        <w:t xml:space="preserve"> 201</w:t>
      </w:r>
      <w:r>
        <w:rPr>
          <w:rFonts w:hint="eastAsia" w:ascii="宋体" w:hAnsi="宋体" w:cs="宋体"/>
          <w:color w:val="auto"/>
          <w:sz w:val="24"/>
          <w:highlight w:val="none"/>
        </w:rPr>
        <w:t>7</w:t>
      </w:r>
      <w:r>
        <w:rPr>
          <w:rFonts w:hint="eastAsia" w:ascii="宋体" w:hAnsi="宋体" w:cs="宋体"/>
          <w:color w:val="auto"/>
          <w:sz w:val="24"/>
          <w:highlight w:val="none"/>
          <w:lang w:val="zh-CN"/>
        </w:rPr>
        <w:t>年1月以来</w:t>
      </w:r>
      <w:r>
        <w:rPr>
          <w:rFonts w:hint="eastAsia" w:ascii="宋体" w:hAnsi="宋体" w:cs="宋体"/>
          <w:b/>
          <w:color w:val="auto"/>
          <w:sz w:val="24"/>
          <w:highlight w:val="none"/>
        </w:rPr>
        <w:t>企业没有因骗取中标或者严重违约以及发生重大工程质量事故、</w:t>
      </w:r>
      <w:r>
        <w:rPr>
          <w:rFonts w:hint="eastAsia" w:ascii="宋体" w:hAnsi="宋体" w:cs="宋体"/>
          <w:b/>
          <w:color w:val="auto"/>
          <w:sz w:val="24"/>
          <w:highlight w:val="none"/>
          <w:lang w:val="zh-CN"/>
        </w:rPr>
        <w:t>安全事故、文明施工市级不良记录</w:t>
      </w:r>
      <w:r>
        <w:rPr>
          <w:rFonts w:hint="eastAsia" w:ascii="宋体" w:hAnsi="宋体" w:cs="宋体"/>
          <w:b/>
          <w:color w:val="auto"/>
          <w:sz w:val="24"/>
          <w:highlight w:val="none"/>
        </w:rPr>
        <w:t>等问题，</w:t>
      </w:r>
      <w:r>
        <w:rPr>
          <w:rFonts w:hint="eastAsia" w:ascii="宋体" w:hAnsi="宋体" w:cs="宋体"/>
          <w:color w:val="auto"/>
          <w:sz w:val="24"/>
          <w:highlight w:val="none"/>
        </w:rPr>
        <w:t>被有关部门暂停投标资格并在暂停期内的。根据贵单位（公司）提出的磋商文件要求，本公司递交的</w:t>
      </w:r>
      <w:r>
        <w:rPr>
          <w:rFonts w:hint="eastAsia" w:ascii="宋体" w:hAnsi="宋体" w:cs="宋体"/>
          <w:color w:val="auto"/>
          <w:sz w:val="24"/>
          <w:highlight w:val="none"/>
          <w:lang w:val="zh-CN"/>
        </w:rPr>
        <w:t>响应文件</w:t>
      </w:r>
      <w:r>
        <w:rPr>
          <w:rFonts w:hint="eastAsia" w:ascii="宋体" w:hAnsi="宋体" w:cs="宋体"/>
          <w:color w:val="auto"/>
          <w:sz w:val="24"/>
          <w:highlight w:val="none"/>
        </w:rPr>
        <w:t>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before="240" w:line="360" w:lineRule="auto"/>
        <w:ind w:firstLine="480"/>
        <w:rPr>
          <w:rFonts w:ascii="宋体" w:hAnsi="宋体" w:cs="宋体"/>
          <w:color w:val="auto"/>
          <w:sz w:val="24"/>
          <w:highlight w:val="none"/>
        </w:rPr>
      </w:pPr>
    </w:p>
    <w:p>
      <w:pPr>
        <w:spacing w:before="240" w:line="360" w:lineRule="auto"/>
        <w:ind w:firstLine="480"/>
        <w:rPr>
          <w:rFonts w:ascii="宋体" w:hAnsi="宋体" w:cs="宋体"/>
          <w:color w:val="auto"/>
          <w:sz w:val="24"/>
          <w:highlight w:val="none"/>
        </w:rPr>
      </w:pPr>
    </w:p>
    <w:p>
      <w:pPr>
        <w:spacing w:before="240" w:line="360" w:lineRule="auto"/>
        <w:ind w:firstLine="480"/>
        <w:rPr>
          <w:rFonts w:ascii="宋体" w:hAnsi="宋体" w:cs="宋体"/>
          <w:color w:val="auto"/>
          <w:sz w:val="24"/>
          <w:highlight w:val="none"/>
        </w:rPr>
      </w:pPr>
    </w:p>
    <w:p>
      <w:pPr>
        <w:wordWrap w:val="0"/>
        <w:spacing w:before="240" w:line="360" w:lineRule="auto"/>
        <w:ind w:right="480" w:firstLine="480"/>
        <w:jc w:val="center"/>
        <w:rPr>
          <w:rFonts w:ascii="宋体" w:hAnsi="宋体" w:cs="宋体"/>
          <w:color w:val="auto"/>
          <w:sz w:val="24"/>
          <w:highlight w:val="none"/>
        </w:rPr>
      </w:pPr>
      <w:r>
        <w:rPr>
          <w:rFonts w:hint="eastAsia" w:ascii="宋体" w:hAnsi="宋体" w:cs="宋体"/>
          <w:color w:val="auto"/>
          <w:sz w:val="24"/>
          <w:highlight w:val="none"/>
        </w:rPr>
        <w:t xml:space="preserve">                                     报价供应商：（盖章）          </w:t>
      </w:r>
    </w:p>
    <w:p>
      <w:pPr>
        <w:wordWrap w:val="0"/>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法定代表人签名或盖章：            </w:t>
      </w:r>
    </w:p>
    <w:p>
      <w:pPr>
        <w:wordWrap w:val="0"/>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年    月    日</w:t>
      </w:r>
    </w:p>
    <w:p>
      <w:pPr>
        <w:spacing w:before="240" w:line="360" w:lineRule="auto"/>
        <w:ind w:firstLine="480"/>
        <w:jc w:val="right"/>
        <w:rPr>
          <w:rFonts w:ascii="宋体" w:hAnsi="宋体" w:cs="宋体"/>
          <w:color w:val="auto"/>
          <w:sz w:val="24"/>
          <w:highlight w:val="none"/>
        </w:rPr>
      </w:pPr>
    </w:p>
    <w:p>
      <w:pPr>
        <w:spacing w:before="240" w:line="360" w:lineRule="auto"/>
        <w:ind w:firstLine="480"/>
        <w:jc w:val="right"/>
        <w:rPr>
          <w:rFonts w:ascii="宋体" w:hAnsi="宋体" w:cs="宋体"/>
          <w:color w:val="auto"/>
          <w:sz w:val="24"/>
          <w:highlight w:val="none"/>
        </w:rPr>
      </w:pPr>
    </w:p>
    <w:p>
      <w:pPr>
        <w:spacing w:before="240" w:line="360" w:lineRule="auto"/>
        <w:ind w:firstLine="480"/>
        <w:jc w:val="right"/>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pStyle w:val="6"/>
        <w:jc w:val="center"/>
        <w:rPr>
          <w:rFonts w:ascii="宋体" w:hAnsi="宋体" w:eastAsia="宋体" w:cs="宋体"/>
          <w:bCs w:val="0"/>
          <w:color w:val="auto"/>
          <w:highlight w:val="none"/>
        </w:rPr>
      </w:pPr>
      <w:r>
        <w:rPr>
          <w:rFonts w:hint="eastAsia" w:ascii="宋体" w:hAnsi="宋体" w:eastAsia="宋体" w:cs="宋体"/>
          <w:bCs w:val="0"/>
          <w:color w:val="auto"/>
          <w:highlight w:val="none"/>
        </w:rPr>
        <w:t>承诺书二（格式）</w:t>
      </w:r>
    </w:p>
    <w:p>
      <w:pPr>
        <w:spacing w:before="240" w:line="360" w:lineRule="auto"/>
        <w:ind w:firstLine="480"/>
        <w:rPr>
          <w:rFonts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w:t>
      </w:r>
    </w:p>
    <w:p>
      <w:pPr>
        <w:spacing w:before="240" w:line="360" w:lineRule="auto"/>
        <w:ind w:firstLine="480"/>
        <w:rPr>
          <w:rFonts w:ascii="宋体" w:hAnsi="宋体" w:cs="宋体"/>
          <w:color w:val="auto"/>
          <w:sz w:val="24"/>
          <w:highlight w:val="none"/>
        </w:rPr>
      </w:pPr>
      <w:r>
        <w:rPr>
          <w:rFonts w:hint="eastAsia" w:ascii="宋体" w:hAnsi="宋体" w:cs="宋体"/>
          <w:color w:val="auto"/>
          <w:sz w:val="24"/>
          <w:highlight w:val="none"/>
        </w:rPr>
        <w:t>我公司保证参与</w:t>
      </w:r>
      <w:r>
        <w:rPr>
          <w:rFonts w:hint="eastAsia" w:ascii="宋体" w:hAnsi="宋体" w:cs="宋体"/>
          <w:color w:val="auto"/>
          <w:sz w:val="24"/>
          <w:highlight w:val="none"/>
          <w:u w:val="single"/>
        </w:rPr>
        <w:t>（拟招标项目名称）</w:t>
      </w:r>
      <w:r>
        <w:rPr>
          <w:rFonts w:hint="eastAsia" w:ascii="宋体" w:hAnsi="宋体" w:cs="宋体"/>
          <w:color w:val="auto"/>
          <w:sz w:val="24"/>
          <w:highlight w:val="none"/>
        </w:rPr>
        <w:t>投标的拟任项目负责人无任何在建工程项目，提交的项目负责人的注册建造师注册证书原件是真实的，以上承诺如有不实，采购人可取消我方投标资格，如中标采购人可取消本公司的中标资格，我公司承担一切由此造成的法律后果。</w:t>
      </w:r>
    </w:p>
    <w:p>
      <w:pPr>
        <w:spacing w:before="240" w:line="360" w:lineRule="auto"/>
        <w:ind w:firstLine="480"/>
        <w:rPr>
          <w:rFonts w:ascii="宋体" w:hAnsi="宋体" w:cs="宋体"/>
          <w:color w:val="auto"/>
          <w:sz w:val="24"/>
          <w:highlight w:val="none"/>
        </w:rPr>
      </w:pPr>
      <w:r>
        <w:rPr>
          <w:rFonts w:hint="eastAsia" w:ascii="宋体" w:hAnsi="宋体" w:cs="宋体"/>
          <w:color w:val="auto"/>
          <w:sz w:val="24"/>
          <w:highlight w:val="none"/>
        </w:rPr>
        <w:t>  </w:t>
      </w:r>
    </w:p>
    <w:p>
      <w:pPr>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报价供应商：                   （公章）</w:t>
      </w:r>
    </w:p>
    <w:p>
      <w:pPr>
        <w:wordWrap w:val="0"/>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法定代表人签名或盖章：            </w:t>
      </w:r>
    </w:p>
    <w:p>
      <w:pPr>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年    月    日   </w:t>
      </w:r>
    </w:p>
    <w:p>
      <w:pPr>
        <w:spacing w:before="240" w:line="360" w:lineRule="auto"/>
        <w:ind w:firstLine="480"/>
        <w:jc w:val="right"/>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pStyle w:val="6"/>
        <w:jc w:val="center"/>
        <w:rPr>
          <w:rFonts w:ascii="宋体" w:hAnsi="宋体" w:eastAsia="宋体" w:cs="宋体"/>
          <w:bCs w:val="0"/>
          <w:color w:val="auto"/>
          <w:highlight w:val="none"/>
        </w:rPr>
      </w:pPr>
      <w:r>
        <w:rPr>
          <w:rFonts w:hint="eastAsia" w:ascii="宋体" w:hAnsi="宋体" w:eastAsia="宋体" w:cs="宋体"/>
          <w:bCs w:val="0"/>
          <w:color w:val="auto"/>
          <w:highlight w:val="none"/>
        </w:rPr>
        <w:t>承诺书三   不拖欠农民工工资承诺书（格式）</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    </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为保护农民工的合法权益，不拖欠农民工工资，本签名人郑重承诺：</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本企业如果中标承建</w:t>
      </w:r>
      <w:r>
        <w:rPr>
          <w:rFonts w:hint="eastAsia" w:ascii="宋体" w:hAnsi="宋体" w:cs="宋体"/>
          <w:color w:val="auto"/>
          <w:sz w:val="24"/>
          <w:highlight w:val="none"/>
          <w:u w:val="single"/>
        </w:rPr>
        <w:t xml:space="preserve">                       工程</w:t>
      </w:r>
      <w:r>
        <w:rPr>
          <w:rFonts w:hint="eastAsia" w:ascii="宋体" w:hAnsi="宋体" w:cs="宋体"/>
          <w:color w:val="auto"/>
          <w:sz w:val="24"/>
          <w:highlight w:val="none"/>
        </w:rPr>
        <w:t>项目，需要使用农民工时，将保证做到：</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1、按照《劳动法》规定雇佣和使用农民工，工资将直接发放给农民工本人，严禁发放给“包工头”。</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3、如果发生违反规定拖欠或克扣农民工工资行为，造成农民工上访，本公司愿意接受业主暂停我公司1年期间参加业主招标项目投标资格的处罚，同时愿意接受交通行政主管部门依照有关规定作出的其他处罚决定。</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4、本公司同意：在合同执行期间由业主按规定每月扣留工程计量款的1%作为农民工工资保障金：工程结束后，业主代表视承包人对农民工工资支付情况，据实结算返还剩余的保障金。</w:t>
      </w:r>
    </w:p>
    <w:p>
      <w:pPr>
        <w:adjustRightInd w:val="0"/>
        <w:snapToGrid w:val="0"/>
        <w:spacing w:line="360" w:lineRule="auto"/>
        <w:ind w:firstLine="513" w:firstLineChars="214"/>
        <w:rPr>
          <w:rFonts w:ascii="宋体" w:hAnsi="宋体" w:cs="宋体"/>
          <w:color w:val="auto"/>
          <w:sz w:val="24"/>
          <w:highlight w:val="none"/>
        </w:rPr>
      </w:pPr>
    </w:p>
    <w:p>
      <w:pPr>
        <w:adjustRightInd w:val="0"/>
        <w:snapToGrid w:val="0"/>
        <w:spacing w:line="360" w:lineRule="auto"/>
        <w:ind w:firstLine="513" w:firstLineChars="214"/>
        <w:rPr>
          <w:rFonts w:ascii="宋体" w:hAnsi="宋体" w:cs="宋体"/>
          <w:color w:val="auto"/>
          <w:sz w:val="24"/>
          <w:highlight w:val="none"/>
        </w:rPr>
      </w:pP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报价供应商：   （盖章）         </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法定代表人签名或盖章：</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pStyle w:val="6"/>
        <w:jc w:val="center"/>
        <w:rPr>
          <w:rFonts w:ascii="宋体" w:hAnsi="宋体" w:eastAsia="宋体" w:cs="宋体"/>
          <w:bCs w:val="0"/>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bCs w:val="0"/>
          <w:color w:val="auto"/>
          <w:highlight w:val="none"/>
        </w:rPr>
        <w:t xml:space="preserve">承诺书四 </w:t>
      </w:r>
      <w:r>
        <w:rPr>
          <w:rFonts w:ascii="宋体" w:hAnsi="宋体" w:eastAsia="宋体" w:cs="宋体"/>
          <w:bCs w:val="0"/>
          <w:color w:val="auto"/>
          <w:highlight w:val="none"/>
        </w:rPr>
        <w:t xml:space="preserve"> </w:t>
      </w:r>
      <w:r>
        <w:rPr>
          <w:rFonts w:hint="eastAsia" w:ascii="宋体" w:hAnsi="宋体" w:eastAsia="宋体" w:cs="宋体"/>
          <w:bCs w:val="0"/>
          <w:color w:val="auto"/>
          <w:highlight w:val="none"/>
        </w:rPr>
        <w:t>报价供应商廉洁承诺书（格式）</w:t>
      </w:r>
    </w:p>
    <w:p>
      <w:pPr>
        <w:jc w:val="center"/>
        <w:rPr>
          <w:rFonts w:ascii="宋体" w:hAnsi="宋体" w:cs="宋体"/>
          <w:b/>
          <w:bCs/>
          <w:color w:val="auto"/>
          <w:sz w:val="36"/>
          <w:szCs w:val="36"/>
          <w:highlight w:val="none"/>
        </w:rPr>
      </w:pP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积极配合贵单位为平台的采购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1、自觉遵守国家法律法规及有关廉政建设制度。</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2、主动了解贵单位招投标纪律，积极配合贵单位执行招投标廉政建设的有关规定。</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3、不使用不正当手段妨碍、排挤其他报价供应商或串通投标。</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4、按照磋商文件规定的方式进行投标，不隐瞒本单位投标资质的真实情况，投标资质符合规定。</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6、不向设计招标的单位及个人购置或提供通讯工具、交通工具和高档办公用品等。</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7、不向涉及招标的单位及个人的配偶、子女、亲属分包此次招标项目。</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8、不向涉及招标的单位及个人支付好处费、介绍费。</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9、一旦发现相关人员在招标过程中有索要财物等不廉洁行为，坚决予以抵制，并及时向贵局纪检监察室举报。</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我们若违反上述承诺，愿接收取消投标资格及其他任何形式的处理。</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w:t>
      </w:r>
    </w:p>
    <w:p>
      <w:pPr>
        <w:adjustRightInd w:val="0"/>
        <w:snapToGrid w:val="0"/>
        <w:spacing w:line="360" w:lineRule="auto"/>
        <w:ind w:firstLine="513" w:firstLineChars="214"/>
        <w:rPr>
          <w:rFonts w:ascii="宋体" w:hAnsi="宋体" w:cs="宋体"/>
          <w:color w:val="auto"/>
          <w:sz w:val="24"/>
          <w:highlight w:val="none"/>
        </w:rPr>
      </w:pPr>
    </w:p>
    <w:p>
      <w:pPr>
        <w:adjustRightInd w:val="0"/>
        <w:snapToGrid w:val="0"/>
        <w:spacing w:line="360" w:lineRule="auto"/>
        <w:ind w:firstLine="5073" w:firstLineChars="2114"/>
        <w:rPr>
          <w:rFonts w:ascii="宋体" w:hAnsi="宋体" w:cs="宋体"/>
          <w:color w:val="auto"/>
          <w:sz w:val="24"/>
          <w:highlight w:val="none"/>
        </w:rPr>
      </w:pPr>
      <w:r>
        <w:rPr>
          <w:rFonts w:hint="eastAsia" w:ascii="宋体" w:hAnsi="宋体" w:cs="宋体"/>
          <w:color w:val="auto"/>
          <w:sz w:val="24"/>
          <w:highlight w:val="none"/>
        </w:rPr>
        <w:t xml:space="preserve">报价供应商：   （盖章）         </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法定代表人签名或盖章：</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autoSpaceDE w:val="0"/>
        <w:autoSpaceDN w:val="0"/>
        <w:rPr>
          <w:rFonts w:ascii="宋体" w:hAnsi="宋体" w:cs="宋体"/>
          <w:b/>
          <w:color w:val="auto"/>
          <w:sz w:val="30"/>
          <w:szCs w:val="30"/>
          <w:highlight w:val="none"/>
        </w:rPr>
      </w:pPr>
    </w:p>
    <w:p>
      <w:pPr>
        <w:pStyle w:val="7"/>
        <w:rPr>
          <w:color w:val="auto"/>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承诺书（五）</w:t>
      </w:r>
    </w:p>
    <w:p>
      <w:pPr>
        <w:jc w:val="center"/>
        <w:rPr>
          <w:rFonts w:ascii="黑体" w:hAnsi="宋体" w:eastAsia="黑体"/>
          <w:color w:val="auto"/>
          <w:sz w:val="44"/>
          <w:szCs w:val="4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（采购人名称）：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我公司理解并支持采购人关于</w:t>
      </w:r>
      <w:r>
        <w:rPr>
          <w:rFonts w:hint="eastAsia" w:ascii="宋体" w:hAnsi="宋体"/>
          <w:color w:val="auto"/>
          <w:sz w:val="24"/>
          <w:highlight w:val="none"/>
          <w:u w:val="single"/>
        </w:rPr>
        <w:t>_____________</w:t>
      </w:r>
      <w:r>
        <w:rPr>
          <w:rFonts w:hint="eastAsia" w:ascii="宋体" w:hAnsi="宋体"/>
          <w:color w:val="auto"/>
          <w:sz w:val="24"/>
          <w:highlight w:val="none"/>
        </w:rPr>
        <w:t>（项目名称） （以下简称“本工程”）加强监管的初衷和做法。郑重承诺：在本工程中标后，严格执行采购人关于质量、安全、文明施工、进度工期、工程款支付、结算审计等规章制度。不更换投标项目经理且项目组成员悉数到场参与项目管理。不违法转包、分包。如若在本工程建设过程中，有违反上述的情况或被行政主管部门通报的，则立即清退出场。工程完工后，如若因质量、工期、文明施工方面的问题被主管部门督办或举报、投诉，则接受罚款、暂缓支付工程款等处罚，并承担一切因上述引发的后果。</w:t>
      </w:r>
    </w:p>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p>
    <w:p>
      <w:pPr>
        <w:spacing w:line="520" w:lineRule="exact"/>
        <w:ind w:firstLine="480" w:firstLineChars="200"/>
        <w:jc w:val="right"/>
        <w:rPr>
          <w:rFonts w:ascii="宋体" w:hAnsi="宋体"/>
          <w:color w:val="auto"/>
          <w:sz w:val="24"/>
          <w:highlight w:val="none"/>
        </w:rPr>
      </w:pPr>
      <w:r>
        <w:rPr>
          <w:rFonts w:hint="eastAsia" w:ascii="宋体" w:hAnsi="宋体"/>
          <w:color w:val="auto"/>
          <w:sz w:val="24"/>
          <w:highlight w:val="none"/>
        </w:rPr>
        <w:t>申请人：（盖单位章）</w:t>
      </w:r>
    </w:p>
    <w:p>
      <w:pPr>
        <w:spacing w:line="520" w:lineRule="exact"/>
        <w:ind w:firstLine="480" w:firstLineChars="200"/>
        <w:jc w:val="right"/>
        <w:rPr>
          <w:rFonts w:ascii="宋体" w:hAnsi="宋体"/>
          <w:color w:val="auto"/>
          <w:sz w:val="24"/>
          <w:highlight w:val="none"/>
        </w:rPr>
      </w:pPr>
      <w:r>
        <w:rPr>
          <w:rFonts w:hint="eastAsia" w:ascii="宋体" w:hAnsi="宋体"/>
          <w:color w:val="auto"/>
          <w:sz w:val="24"/>
          <w:highlight w:val="none"/>
        </w:rPr>
        <w:t>法定代表人或其委托代理人：（签字）</w:t>
      </w:r>
    </w:p>
    <w:p>
      <w:pPr>
        <w:spacing w:line="520" w:lineRule="exact"/>
        <w:ind w:firstLine="480" w:firstLineChars="200"/>
        <w:jc w:val="right"/>
        <w:rPr>
          <w:rFonts w:ascii="宋体" w:hAnsi="宋体"/>
          <w:color w:val="auto"/>
          <w:sz w:val="24"/>
          <w:highlight w:val="none"/>
        </w:rPr>
      </w:pPr>
      <w:r>
        <w:rPr>
          <w:rFonts w:hint="eastAsia" w:ascii="宋体" w:hAnsi="宋体"/>
          <w:color w:val="auto"/>
          <w:sz w:val="24"/>
          <w:highlight w:val="none"/>
        </w:rPr>
        <w:t xml:space="preserve">     年    月    日  </w:t>
      </w:r>
    </w:p>
    <w:p>
      <w:pPr>
        <w:autoSpaceDE w:val="0"/>
        <w:autoSpaceDN w:val="0"/>
        <w:jc w:val="center"/>
        <w:rPr>
          <w:rFonts w:ascii="宋体" w:hAnsi="宋体" w:cs="宋体"/>
          <w:b/>
          <w:color w:val="auto"/>
          <w:sz w:val="30"/>
          <w:szCs w:val="30"/>
          <w:highlight w:val="none"/>
        </w:rPr>
      </w:pPr>
    </w:p>
    <w:p>
      <w:pPr>
        <w:pStyle w:val="7"/>
        <w:rPr>
          <w:rFonts w:ascii="宋体" w:hAnsi="宋体" w:eastAsia="宋体" w:cs="宋体"/>
          <w:color w:val="auto"/>
          <w:sz w:val="30"/>
          <w:szCs w:val="30"/>
          <w:highlight w:val="none"/>
        </w:rPr>
      </w:pPr>
    </w:p>
    <w:p>
      <w:pPr>
        <w:rPr>
          <w:rFonts w:ascii="宋体" w:hAnsi="宋体" w:cs="宋体"/>
          <w:b/>
          <w:color w:val="auto"/>
          <w:sz w:val="30"/>
          <w:szCs w:val="30"/>
          <w:highlight w:val="none"/>
        </w:rPr>
      </w:pPr>
    </w:p>
    <w:p>
      <w:pPr>
        <w:pStyle w:val="7"/>
        <w:rPr>
          <w:rFonts w:ascii="宋体" w:hAnsi="宋体" w:eastAsia="宋体" w:cs="宋体"/>
          <w:color w:val="auto"/>
          <w:sz w:val="30"/>
          <w:szCs w:val="30"/>
          <w:highlight w:val="none"/>
        </w:rPr>
      </w:pPr>
    </w:p>
    <w:p>
      <w:pPr>
        <w:rPr>
          <w:rFonts w:ascii="宋体" w:hAnsi="宋体" w:cs="宋体"/>
          <w:b/>
          <w:color w:val="auto"/>
          <w:sz w:val="30"/>
          <w:szCs w:val="30"/>
          <w:highlight w:val="none"/>
        </w:rPr>
      </w:pPr>
    </w:p>
    <w:p>
      <w:pPr>
        <w:pStyle w:val="7"/>
        <w:rPr>
          <w:color w:val="auto"/>
          <w:highlight w:val="none"/>
        </w:rPr>
      </w:pPr>
    </w:p>
    <w:p>
      <w:pPr>
        <w:autoSpaceDE w:val="0"/>
        <w:autoSpaceDN w:val="0"/>
        <w:jc w:val="center"/>
        <w:rPr>
          <w:rFonts w:ascii="宋体" w:hAnsi="宋体" w:cs="宋体"/>
          <w:b/>
          <w:color w:val="auto"/>
          <w:sz w:val="30"/>
          <w:szCs w:val="30"/>
          <w:highlight w:val="none"/>
        </w:rPr>
      </w:pPr>
    </w:p>
    <w:p>
      <w:pPr>
        <w:autoSpaceDE w:val="0"/>
        <w:autoSpaceDN w:val="0"/>
        <w:jc w:val="center"/>
        <w:rPr>
          <w:rFonts w:ascii="宋体" w:hAnsi="宋体" w:cs="宋体"/>
          <w:b/>
          <w:color w:val="auto"/>
          <w:sz w:val="30"/>
          <w:szCs w:val="30"/>
          <w:highlight w:val="none"/>
        </w:rPr>
      </w:pPr>
    </w:p>
    <w:p>
      <w:pPr>
        <w:autoSpaceDE w:val="0"/>
        <w:autoSpaceDN w:val="0"/>
        <w:jc w:val="center"/>
        <w:rPr>
          <w:rFonts w:ascii="宋体" w:hAnsi="宋体" w:cs="宋体"/>
          <w:color w:val="auto"/>
          <w:sz w:val="44"/>
          <w:szCs w:val="44"/>
          <w:highlight w:val="none"/>
          <w:lang w:val="zh-CN"/>
        </w:rPr>
      </w:pPr>
      <w:r>
        <w:rPr>
          <w:rFonts w:hint="eastAsia" w:ascii="宋体" w:hAnsi="宋体" w:cs="宋体"/>
          <w:b/>
          <w:color w:val="auto"/>
          <w:sz w:val="30"/>
          <w:szCs w:val="30"/>
          <w:highlight w:val="none"/>
        </w:rPr>
        <w:t>（四）报价文件格式</w:t>
      </w:r>
    </w:p>
    <w:tbl>
      <w:tblPr>
        <w:tblStyle w:val="22"/>
        <w:tblW w:w="10373" w:type="dxa"/>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9"/>
        <w:gridCol w:w="1691"/>
        <w:gridCol w:w="329"/>
        <w:gridCol w:w="3052"/>
        <w:gridCol w:w="4743"/>
        <w:gridCol w:w="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exact"/>
        </w:trPr>
        <w:tc>
          <w:tcPr>
            <w:tcW w:w="10373" w:type="dxa"/>
            <w:gridSpan w:val="6"/>
            <w:shd w:val="clear" w:color="auto" w:fill="FFFFFF"/>
            <w:vAlign w:val="center"/>
          </w:tcPr>
          <w:p>
            <w:pPr>
              <w:widowControl/>
              <w:spacing w:line="232" w:lineRule="auto"/>
              <w:jc w:val="center"/>
              <w:rPr>
                <w:rFonts w:ascii="宋体" w:hAnsi="宋体" w:cs="宋体"/>
                <w:b/>
                <w:color w:val="auto"/>
                <w:spacing w:val="-2"/>
                <w:sz w:val="42"/>
                <w:szCs w:val="22"/>
                <w:highlight w:val="none"/>
              </w:rPr>
            </w:pPr>
            <w:r>
              <w:rPr>
                <w:rFonts w:ascii="宋体" w:hAnsi="宋体" w:cs="宋体"/>
                <w:b/>
                <w:color w:val="auto"/>
                <w:spacing w:val="-2"/>
                <w:sz w:val="42"/>
                <w:szCs w:val="22"/>
                <w:highlight w:val="none"/>
              </w:rPr>
              <w:t>投  标  总  价</w:t>
            </w:r>
          </w:p>
          <w:p>
            <w:pPr>
              <w:widowControl/>
              <w:spacing w:line="232" w:lineRule="auto"/>
              <w:jc w:val="center"/>
              <w:rPr>
                <w:rFonts w:ascii="宋体" w:hAnsi="宋体" w:cs="宋体"/>
                <w:color w:val="auto"/>
                <w:spacing w:val="-2"/>
                <w:highlight w:val="none"/>
              </w:rPr>
            </w:pPr>
            <w:r>
              <w:rPr>
                <w:rFonts w:hint="eastAsia" w:ascii="宋体" w:hAnsi="宋体" w:cs="宋体"/>
                <w:b/>
                <w:color w:val="auto"/>
                <w:spacing w:val="-2"/>
                <w:sz w:val="42"/>
                <w:szCs w:val="22"/>
                <w:highlight w:val="none"/>
              </w:rPr>
              <w:t xml:space="preserve">                                    </w:t>
            </w:r>
            <w:r>
              <w:rPr>
                <w:rFonts w:hint="eastAsia" w:ascii="宋体" w:hAnsi="宋体" w:cs="宋体"/>
                <w:color w:val="auto"/>
                <w:spacing w:val="-2"/>
                <w:highlight w:val="none"/>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exact"/>
        </w:trPr>
        <w:tc>
          <w:tcPr>
            <w:tcW w:w="10373" w:type="dxa"/>
            <w:gridSpan w:val="6"/>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229" w:type="dxa"/>
            <w:shd w:val="clear" w:color="auto" w:fill="auto"/>
            <w:vAlign w:val="top"/>
          </w:tcPr>
          <w:p>
            <w:pPr>
              <w:widowControl/>
              <w:jc w:val="left"/>
              <w:rPr>
                <w:rFonts w:ascii="Calibri" w:hAnsi="Calibri"/>
                <w:color w:val="auto"/>
                <w:sz w:val="2"/>
                <w:szCs w:val="22"/>
                <w:highlight w:val="none"/>
              </w:rPr>
            </w:pPr>
          </w:p>
        </w:tc>
        <w:tc>
          <w:tcPr>
            <w:tcW w:w="2020" w:type="dxa"/>
            <w:gridSpan w:val="2"/>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招    标    人：</w:t>
            </w:r>
          </w:p>
        </w:tc>
        <w:tc>
          <w:tcPr>
            <w:tcW w:w="7795" w:type="dxa"/>
            <w:gridSpan w:val="2"/>
            <w:tcBorders>
              <w:bottom w:val="single" w:color="000000" w:sz="4" w:space="0"/>
            </w:tcBorders>
            <w:shd w:val="clear" w:color="auto" w:fill="FFFFFF"/>
            <w:vAlign w:val="bottom"/>
          </w:tcPr>
          <w:p>
            <w:pPr>
              <w:widowControl/>
              <w:spacing w:line="232" w:lineRule="auto"/>
              <w:rPr>
                <w:rFonts w:ascii="宋体" w:hAnsi="宋体" w:cs="宋体"/>
                <w:color w:val="auto"/>
                <w:spacing w:val="-2"/>
                <w:szCs w:val="22"/>
                <w:highlight w:val="none"/>
              </w:rPr>
            </w:pP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229" w:type="dxa"/>
            <w:shd w:val="clear" w:color="auto" w:fill="auto"/>
            <w:vAlign w:val="top"/>
          </w:tcPr>
          <w:p>
            <w:pPr>
              <w:widowControl/>
              <w:jc w:val="left"/>
              <w:rPr>
                <w:rFonts w:ascii="Calibri" w:hAnsi="Calibri"/>
                <w:color w:val="auto"/>
                <w:sz w:val="2"/>
                <w:szCs w:val="22"/>
                <w:highlight w:val="none"/>
              </w:rPr>
            </w:pPr>
          </w:p>
        </w:tc>
        <w:tc>
          <w:tcPr>
            <w:tcW w:w="2020" w:type="dxa"/>
            <w:gridSpan w:val="2"/>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工  程  名  称：</w:t>
            </w:r>
          </w:p>
        </w:tc>
        <w:tc>
          <w:tcPr>
            <w:tcW w:w="7795" w:type="dxa"/>
            <w:gridSpan w:val="2"/>
            <w:tcBorders>
              <w:top w:val="single" w:color="000000" w:sz="4" w:space="0"/>
              <w:bottom w:val="single" w:color="000000" w:sz="4" w:space="0"/>
            </w:tcBorders>
            <w:shd w:val="clear" w:color="auto" w:fill="FFFFFF"/>
            <w:vAlign w:val="bottom"/>
          </w:tcPr>
          <w:p>
            <w:pPr>
              <w:widowControl/>
              <w:spacing w:line="232" w:lineRule="auto"/>
              <w:rPr>
                <w:rFonts w:ascii="宋体" w:hAnsi="宋体" w:cs="宋体"/>
                <w:color w:val="auto"/>
                <w:spacing w:val="-2"/>
                <w:szCs w:val="22"/>
                <w:highlight w:val="none"/>
              </w:rPr>
            </w:pP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exact"/>
        </w:trPr>
        <w:tc>
          <w:tcPr>
            <w:tcW w:w="229" w:type="dxa"/>
            <w:shd w:val="clear" w:color="auto" w:fill="auto"/>
            <w:vAlign w:val="top"/>
          </w:tcPr>
          <w:p>
            <w:pPr>
              <w:widowControl/>
              <w:jc w:val="left"/>
              <w:rPr>
                <w:rFonts w:ascii="Calibri" w:hAnsi="Calibri"/>
                <w:color w:val="auto"/>
                <w:sz w:val="2"/>
                <w:szCs w:val="22"/>
                <w:highlight w:val="none"/>
              </w:rPr>
            </w:pPr>
          </w:p>
        </w:tc>
        <w:tc>
          <w:tcPr>
            <w:tcW w:w="2020" w:type="dxa"/>
            <w:gridSpan w:val="2"/>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投标总价</w:t>
            </w:r>
          </w:p>
          <w:p>
            <w:pPr>
              <w:widowControl/>
              <w:spacing w:line="232" w:lineRule="auto"/>
              <w:ind w:firstLine="721" w:firstLineChars="350"/>
              <w:jc w:val="left"/>
              <w:rPr>
                <w:rFonts w:ascii="宋体" w:hAnsi="宋体" w:cs="宋体"/>
                <w:color w:val="auto"/>
                <w:spacing w:val="-2"/>
                <w:szCs w:val="22"/>
                <w:highlight w:val="none"/>
              </w:rPr>
            </w:pPr>
            <w:r>
              <w:rPr>
                <w:rFonts w:ascii="宋体" w:hAnsi="宋体" w:cs="宋体"/>
                <w:color w:val="auto"/>
                <w:spacing w:val="-2"/>
                <w:szCs w:val="22"/>
                <w:highlight w:val="none"/>
              </w:rPr>
              <w:t>（</w:t>
            </w:r>
            <w:r>
              <w:rPr>
                <w:rFonts w:hint="eastAsia" w:ascii="宋体" w:hAnsi="宋体" w:cs="宋体"/>
                <w:color w:val="auto"/>
                <w:spacing w:val="-2"/>
                <w:szCs w:val="22"/>
                <w:highlight w:val="none"/>
              </w:rPr>
              <w:t>小</w:t>
            </w:r>
            <w:r>
              <w:rPr>
                <w:rFonts w:ascii="宋体" w:hAnsi="宋体" w:cs="宋体"/>
                <w:color w:val="auto"/>
                <w:spacing w:val="-2"/>
                <w:szCs w:val="22"/>
                <w:highlight w:val="none"/>
              </w:rPr>
              <w:t>写）：</w:t>
            </w:r>
            <w:r>
              <w:rPr>
                <w:rFonts w:hint="eastAsia" w:ascii="宋体" w:hAnsi="宋体" w:cs="宋体"/>
                <w:color w:val="auto"/>
                <w:spacing w:val="-2"/>
                <w:szCs w:val="22"/>
                <w:highlight w:val="none"/>
              </w:rPr>
              <w:t xml:space="preserve"> </w:t>
            </w:r>
          </w:p>
        </w:tc>
        <w:tc>
          <w:tcPr>
            <w:tcW w:w="7795" w:type="dxa"/>
            <w:gridSpan w:val="2"/>
            <w:tcBorders>
              <w:top w:val="single" w:color="000000" w:sz="4" w:space="0"/>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exact"/>
        </w:trPr>
        <w:tc>
          <w:tcPr>
            <w:tcW w:w="229" w:type="dxa"/>
            <w:shd w:val="clear" w:color="auto" w:fill="auto"/>
            <w:vAlign w:val="top"/>
          </w:tcPr>
          <w:p>
            <w:pPr>
              <w:widowControl/>
              <w:jc w:val="left"/>
              <w:rPr>
                <w:rFonts w:ascii="Calibri" w:hAnsi="Calibri"/>
                <w:color w:val="auto"/>
                <w:sz w:val="2"/>
                <w:szCs w:val="22"/>
                <w:highlight w:val="none"/>
              </w:rPr>
            </w:pPr>
          </w:p>
        </w:tc>
        <w:tc>
          <w:tcPr>
            <w:tcW w:w="2020" w:type="dxa"/>
            <w:gridSpan w:val="2"/>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 xml:space="preserve">        （大写）：</w:t>
            </w:r>
          </w:p>
        </w:tc>
        <w:tc>
          <w:tcPr>
            <w:tcW w:w="7795" w:type="dxa"/>
            <w:gridSpan w:val="2"/>
            <w:tcBorders>
              <w:top w:val="single" w:color="000000" w:sz="4" w:space="0"/>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6" w:hRule="exact"/>
        </w:trPr>
        <w:tc>
          <w:tcPr>
            <w:tcW w:w="2249" w:type="dxa"/>
            <w:gridSpan w:val="3"/>
            <w:vAlign w:val="top"/>
          </w:tcPr>
          <w:p>
            <w:pPr>
              <w:widowControl/>
              <w:jc w:val="left"/>
              <w:rPr>
                <w:rFonts w:ascii="Calibri" w:hAnsi="Calibri"/>
                <w:color w:val="auto"/>
                <w:sz w:val="2"/>
                <w:szCs w:val="22"/>
                <w:highlight w:val="none"/>
              </w:rPr>
            </w:pPr>
          </w:p>
        </w:tc>
        <w:tc>
          <w:tcPr>
            <w:tcW w:w="7795" w:type="dxa"/>
            <w:gridSpan w:val="2"/>
            <w:tcBorders>
              <w:top w:val="single" w:color="000000" w:sz="4" w:space="0"/>
            </w:tcBorders>
            <w:vAlign w:val="top"/>
          </w:tcPr>
          <w:p>
            <w:pPr>
              <w:widowControl/>
              <w:jc w:val="left"/>
              <w:rPr>
                <w:rFonts w:ascii="Calibri" w:hAnsi="Calibri"/>
                <w:color w:val="auto"/>
                <w:sz w:val="2"/>
                <w:szCs w:val="22"/>
                <w:highlight w:val="none"/>
              </w:rPr>
            </w:pP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exact"/>
        </w:trPr>
        <w:tc>
          <w:tcPr>
            <w:tcW w:w="229" w:type="dxa"/>
            <w:shd w:val="clear" w:color="auto" w:fill="auto"/>
            <w:vAlign w:val="top"/>
          </w:tcPr>
          <w:p>
            <w:pPr>
              <w:widowControl/>
              <w:jc w:val="left"/>
              <w:rPr>
                <w:rFonts w:ascii="Calibri" w:hAnsi="Calibri"/>
                <w:color w:val="auto"/>
                <w:sz w:val="2"/>
                <w:szCs w:val="22"/>
                <w:highlight w:val="none"/>
              </w:rPr>
            </w:pPr>
          </w:p>
        </w:tc>
        <w:tc>
          <w:tcPr>
            <w:tcW w:w="1691" w:type="dxa"/>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投  标  人：</w:t>
            </w:r>
          </w:p>
        </w:tc>
        <w:tc>
          <w:tcPr>
            <w:tcW w:w="8124" w:type="dxa"/>
            <w:gridSpan w:val="3"/>
            <w:tcBorders>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trPr>
        <w:tc>
          <w:tcPr>
            <w:tcW w:w="1920" w:type="dxa"/>
            <w:gridSpan w:val="2"/>
            <w:shd w:val="clear" w:color="auto" w:fill="auto"/>
            <w:vAlign w:val="top"/>
          </w:tcPr>
          <w:p>
            <w:pPr>
              <w:widowControl/>
              <w:jc w:val="left"/>
              <w:rPr>
                <w:rFonts w:ascii="Calibri" w:hAnsi="Calibri"/>
                <w:color w:val="auto"/>
                <w:sz w:val="2"/>
                <w:szCs w:val="22"/>
                <w:highlight w:val="none"/>
              </w:rPr>
            </w:pPr>
          </w:p>
        </w:tc>
        <w:tc>
          <w:tcPr>
            <w:tcW w:w="8124" w:type="dxa"/>
            <w:gridSpan w:val="3"/>
            <w:tcBorders>
              <w:top w:val="single" w:color="000000" w:sz="4" w:space="0"/>
            </w:tcBorders>
            <w:shd w:val="clear" w:color="auto" w:fill="FFFFFF"/>
            <w:vAlign w:val="center"/>
          </w:tcPr>
          <w:p>
            <w:pPr>
              <w:widowControl/>
              <w:spacing w:line="232" w:lineRule="auto"/>
              <w:jc w:val="center"/>
              <w:rPr>
                <w:rFonts w:ascii="宋体" w:hAnsi="宋体" w:cs="宋体"/>
                <w:color w:val="auto"/>
                <w:spacing w:val="-2"/>
                <w:sz w:val="20"/>
                <w:szCs w:val="22"/>
                <w:highlight w:val="none"/>
              </w:rPr>
            </w:pPr>
            <w:r>
              <w:rPr>
                <w:rFonts w:ascii="宋体" w:hAnsi="宋体" w:cs="宋体"/>
                <w:color w:val="auto"/>
                <w:spacing w:val="-2"/>
                <w:sz w:val="20"/>
                <w:szCs w:val="22"/>
                <w:highlight w:val="none"/>
              </w:rPr>
              <w:t>（单位盖章）</w:t>
            </w: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exact"/>
        </w:trPr>
        <w:tc>
          <w:tcPr>
            <w:tcW w:w="10373" w:type="dxa"/>
            <w:gridSpan w:val="6"/>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exact"/>
        </w:trPr>
        <w:tc>
          <w:tcPr>
            <w:tcW w:w="229" w:type="dxa"/>
            <w:shd w:val="clear" w:color="auto" w:fill="auto"/>
            <w:vAlign w:val="top"/>
          </w:tcPr>
          <w:p>
            <w:pPr>
              <w:widowControl/>
              <w:jc w:val="left"/>
              <w:rPr>
                <w:rFonts w:ascii="Calibri" w:hAnsi="Calibri"/>
                <w:color w:val="auto"/>
                <w:sz w:val="2"/>
                <w:szCs w:val="22"/>
                <w:highlight w:val="none"/>
              </w:rPr>
            </w:pPr>
          </w:p>
        </w:tc>
        <w:tc>
          <w:tcPr>
            <w:tcW w:w="1691" w:type="dxa"/>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法定代表人</w:t>
            </w:r>
          </w:p>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或其授权人：</w:t>
            </w:r>
          </w:p>
        </w:tc>
        <w:tc>
          <w:tcPr>
            <w:tcW w:w="8124" w:type="dxa"/>
            <w:gridSpan w:val="3"/>
            <w:tcBorders>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exact"/>
        </w:trPr>
        <w:tc>
          <w:tcPr>
            <w:tcW w:w="1920" w:type="dxa"/>
            <w:gridSpan w:val="2"/>
            <w:shd w:val="clear" w:color="auto" w:fill="auto"/>
            <w:vAlign w:val="top"/>
          </w:tcPr>
          <w:p>
            <w:pPr>
              <w:widowControl/>
              <w:jc w:val="left"/>
              <w:rPr>
                <w:rFonts w:ascii="Calibri" w:hAnsi="Calibri"/>
                <w:color w:val="auto"/>
                <w:sz w:val="2"/>
                <w:szCs w:val="22"/>
                <w:highlight w:val="none"/>
              </w:rPr>
            </w:pPr>
          </w:p>
        </w:tc>
        <w:tc>
          <w:tcPr>
            <w:tcW w:w="8124" w:type="dxa"/>
            <w:gridSpan w:val="3"/>
            <w:tcBorders>
              <w:top w:val="single" w:color="000000" w:sz="4" w:space="0"/>
            </w:tcBorders>
            <w:shd w:val="clear" w:color="auto" w:fill="FFFFFF"/>
            <w:vAlign w:val="center"/>
          </w:tcPr>
          <w:p>
            <w:pPr>
              <w:widowControl/>
              <w:spacing w:line="232" w:lineRule="auto"/>
              <w:jc w:val="center"/>
              <w:rPr>
                <w:rFonts w:ascii="宋体" w:hAnsi="宋体" w:cs="宋体"/>
                <w:color w:val="auto"/>
                <w:spacing w:val="-2"/>
                <w:sz w:val="20"/>
                <w:szCs w:val="22"/>
                <w:highlight w:val="none"/>
              </w:rPr>
            </w:pPr>
            <w:r>
              <w:rPr>
                <w:rFonts w:ascii="宋体" w:hAnsi="宋体" w:cs="宋体"/>
                <w:color w:val="auto"/>
                <w:spacing w:val="-2"/>
                <w:sz w:val="20"/>
                <w:szCs w:val="22"/>
                <w:highlight w:val="none"/>
              </w:rPr>
              <w:t>（签字或盖章）</w:t>
            </w: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8" w:hRule="exact"/>
        </w:trPr>
        <w:tc>
          <w:tcPr>
            <w:tcW w:w="10373" w:type="dxa"/>
            <w:gridSpan w:val="6"/>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exact"/>
        </w:trPr>
        <w:tc>
          <w:tcPr>
            <w:tcW w:w="229" w:type="dxa"/>
            <w:shd w:val="clear" w:color="auto" w:fill="auto"/>
            <w:vAlign w:val="top"/>
          </w:tcPr>
          <w:p>
            <w:pPr>
              <w:widowControl/>
              <w:jc w:val="left"/>
              <w:rPr>
                <w:rFonts w:ascii="Calibri" w:hAnsi="Calibri"/>
                <w:color w:val="auto"/>
                <w:sz w:val="2"/>
                <w:szCs w:val="22"/>
                <w:highlight w:val="none"/>
              </w:rPr>
            </w:pPr>
          </w:p>
        </w:tc>
        <w:tc>
          <w:tcPr>
            <w:tcW w:w="1691" w:type="dxa"/>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编  制  人：</w:t>
            </w:r>
          </w:p>
        </w:tc>
        <w:tc>
          <w:tcPr>
            <w:tcW w:w="8124" w:type="dxa"/>
            <w:gridSpan w:val="3"/>
            <w:tcBorders>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trPr>
        <w:tc>
          <w:tcPr>
            <w:tcW w:w="1920" w:type="dxa"/>
            <w:gridSpan w:val="2"/>
            <w:shd w:val="clear" w:color="auto" w:fill="auto"/>
            <w:vAlign w:val="top"/>
          </w:tcPr>
          <w:p>
            <w:pPr>
              <w:widowControl/>
              <w:jc w:val="left"/>
              <w:rPr>
                <w:rFonts w:ascii="Calibri" w:hAnsi="Calibri"/>
                <w:color w:val="auto"/>
                <w:sz w:val="2"/>
                <w:szCs w:val="22"/>
                <w:highlight w:val="none"/>
              </w:rPr>
            </w:pPr>
          </w:p>
        </w:tc>
        <w:tc>
          <w:tcPr>
            <w:tcW w:w="8124" w:type="dxa"/>
            <w:gridSpan w:val="3"/>
            <w:tcBorders>
              <w:top w:val="single" w:color="000000" w:sz="4" w:space="0"/>
            </w:tcBorders>
            <w:shd w:val="clear" w:color="auto" w:fill="FFFFFF"/>
            <w:vAlign w:val="center"/>
          </w:tcPr>
          <w:p>
            <w:pPr>
              <w:widowControl/>
              <w:spacing w:line="232" w:lineRule="auto"/>
              <w:jc w:val="center"/>
              <w:rPr>
                <w:rFonts w:ascii="宋体" w:hAnsi="宋体" w:cs="宋体"/>
                <w:color w:val="auto"/>
                <w:spacing w:val="-2"/>
                <w:sz w:val="20"/>
                <w:szCs w:val="22"/>
                <w:highlight w:val="none"/>
              </w:rPr>
            </w:pPr>
            <w:r>
              <w:rPr>
                <w:rFonts w:ascii="宋体" w:hAnsi="宋体" w:cs="宋体"/>
                <w:color w:val="auto"/>
                <w:spacing w:val="-2"/>
                <w:sz w:val="20"/>
                <w:szCs w:val="22"/>
                <w:highlight w:val="none"/>
              </w:rPr>
              <w:t>（造价人员签字盖专用章）</w:t>
            </w:r>
          </w:p>
        </w:tc>
        <w:tc>
          <w:tcPr>
            <w:tcW w:w="329"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10373" w:type="dxa"/>
            <w:gridSpan w:val="6"/>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exact"/>
        </w:trPr>
        <w:tc>
          <w:tcPr>
            <w:tcW w:w="229" w:type="dxa"/>
            <w:shd w:val="clear" w:color="auto" w:fill="auto"/>
            <w:vAlign w:val="top"/>
          </w:tcPr>
          <w:p>
            <w:pPr>
              <w:widowControl/>
              <w:jc w:val="left"/>
              <w:rPr>
                <w:rFonts w:ascii="Calibri" w:hAnsi="Calibri"/>
                <w:color w:val="auto"/>
                <w:sz w:val="2"/>
                <w:szCs w:val="22"/>
                <w:highlight w:val="none"/>
              </w:rPr>
            </w:pPr>
          </w:p>
        </w:tc>
        <w:tc>
          <w:tcPr>
            <w:tcW w:w="1691" w:type="dxa"/>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时      间：</w:t>
            </w:r>
          </w:p>
        </w:tc>
        <w:tc>
          <w:tcPr>
            <w:tcW w:w="3381" w:type="dxa"/>
            <w:gridSpan w:val="2"/>
            <w:shd w:val="clear" w:color="auto" w:fill="FFFFFF"/>
            <w:vAlign w:val="bottom"/>
          </w:tcPr>
          <w:p>
            <w:pPr>
              <w:widowControl/>
              <w:spacing w:line="232" w:lineRule="auto"/>
              <w:jc w:val="center"/>
              <w:rPr>
                <w:rFonts w:ascii="宋体" w:hAnsi="宋体" w:cs="宋体"/>
                <w:color w:val="auto"/>
                <w:spacing w:val="-2"/>
                <w:szCs w:val="22"/>
                <w:highlight w:val="none"/>
              </w:rPr>
            </w:pPr>
            <w:r>
              <w:rPr>
                <w:rFonts w:hint="eastAsia" w:ascii="宋体" w:hAnsi="宋体" w:cs="宋体"/>
                <w:color w:val="auto"/>
                <w:spacing w:val="-2"/>
                <w:szCs w:val="22"/>
                <w:highlight w:val="none"/>
              </w:rPr>
              <w:t xml:space="preserve">  </w:t>
            </w:r>
            <w:r>
              <w:rPr>
                <w:rFonts w:ascii="宋体" w:hAnsi="宋体" w:cs="宋体"/>
                <w:color w:val="auto"/>
                <w:spacing w:val="-2"/>
                <w:szCs w:val="22"/>
                <w:highlight w:val="none"/>
              </w:rPr>
              <w:t>年</w:t>
            </w:r>
            <w:r>
              <w:rPr>
                <w:rFonts w:hint="eastAsia" w:ascii="宋体" w:hAnsi="宋体" w:cs="宋体"/>
                <w:color w:val="auto"/>
                <w:spacing w:val="-2"/>
                <w:szCs w:val="22"/>
                <w:highlight w:val="none"/>
              </w:rPr>
              <w:t xml:space="preserve">  </w:t>
            </w:r>
            <w:r>
              <w:rPr>
                <w:rFonts w:ascii="宋体" w:hAnsi="宋体" w:cs="宋体"/>
                <w:color w:val="auto"/>
                <w:spacing w:val="-2"/>
                <w:szCs w:val="22"/>
                <w:highlight w:val="none"/>
              </w:rPr>
              <w:t>月</w:t>
            </w:r>
            <w:r>
              <w:rPr>
                <w:rFonts w:hint="eastAsia" w:ascii="宋体" w:hAnsi="宋体" w:cs="宋体"/>
                <w:color w:val="auto"/>
                <w:spacing w:val="-2"/>
                <w:szCs w:val="22"/>
                <w:highlight w:val="none"/>
              </w:rPr>
              <w:t xml:space="preserve">  </w:t>
            </w:r>
            <w:r>
              <w:rPr>
                <w:rFonts w:ascii="宋体" w:hAnsi="宋体" w:cs="宋体"/>
                <w:color w:val="auto"/>
                <w:spacing w:val="-2"/>
                <w:szCs w:val="22"/>
                <w:highlight w:val="none"/>
              </w:rPr>
              <w:t>日</w:t>
            </w:r>
          </w:p>
        </w:tc>
        <w:tc>
          <w:tcPr>
            <w:tcW w:w="5072" w:type="dxa"/>
            <w:gridSpan w:val="2"/>
            <w:vAlign w:val="top"/>
          </w:tcPr>
          <w:p>
            <w:pPr>
              <w:widowControl/>
              <w:jc w:val="left"/>
              <w:rPr>
                <w:rFonts w:ascii="Calibri" w:hAnsi="Calibri"/>
                <w:color w:val="auto"/>
                <w:sz w:val="2"/>
                <w:szCs w:val="22"/>
                <w:highlight w:val="none"/>
              </w:rPr>
            </w:pPr>
          </w:p>
        </w:tc>
      </w:tr>
    </w:tbl>
    <w:p>
      <w:pPr>
        <w:pStyle w:val="21"/>
        <w:ind w:left="0" w:leftChars="0" w:firstLine="0" w:firstLineChars="0"/>
        <w:rPr>
          <w:color w:val="auto"/>
          <w:highlight w:val="none"/>
        </w:rPr>
      </w:pPr>
    </w:p>
    <w:tbl>
      <w:tblPr>
        <w:tblStyle w:val="22"/>
        <w:tblW w:w="10431" w:type="dxa"/>
        <w:tblInd w:w="-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6"/>
        <w:gridCol w:w="3238"/>
        <w:gridCol w:w="2078"/>
        <w:gridCol w:w="945"/>
        <w:gridCol w:w="416"/>
        <w:gridCol w:w="1347"/>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exact"/>
        </w:trPr>
        <w:tc>
          <w:tcPr>
            <w:tcW w:w="10431" w:type="dxa"/>
            <w:gridSpan w:val="7"/>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建设项目投标报价汇总表</w:t>
            </w:r>
          </w:p>
          <w:p>
            <w:pPr>
              <w:widowControl/>
              <w:spacing w:line="232" w:lineRule="auto"/>
              <w:jc w:val="center"/>
              <w:rPr>
                <w:rFonts w:ascii="宋体" w:hAnsi="宋体" w:cs="宋体"/>
                <w:b/>
                <w:color w:val="auto"/>
                <w:spacing w:val="-2"/>
                <w:sz w:val="32"/>
                <w:szCs w:val="22"/>
                <w:highlight w:val="none"/>
              </w:rPr>
            </w:pPr>
          </w:p>
          <w:p>
            <w:pPr>
              <w:widowControl/>
              <w:spacing w:line="232" w:lineRule="auto"/>
              <w:jc w:val="center"/>
              <w:rPr>
                <w:rFonts w:ascii="宋体" w:hAnsi="宋体" w:cs="宋体"/>
                <w:b/>
                <w:color w:val="auto"/>
                <w:spacing w:val="-2"/>
                <w:sz w:val="32"/>
                <w:szCs w:val="22"/>
                <w:highlight w:val="none"/>
              </w:rPr>
            </w:pPr>
          </w:p>
          <w:p>
            <w:pPr>
              <w:widowControl/>
              <w:spacing w:line="232" w:lineRule="auto"/>
              <w:jc w:val="center"/>
              <w:rPr>
                <w:rFonts w:ascii="宋体" w:hAnsi="宋体" w:cs="宋体"/>
                <w:b/>
                <w:color w:val="auto"/>
                <w:spacing w:val="-2"/>
                <w:sz w:val="3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307" w:type="dxa"/>
            <w:gridSpan w:val="4"/>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r>
              <w:rPr>
                <w:rFonts w:hint="eastAsia" w:ascii="黑体" w:hAnsi="黑体" w:eastAsia="黑体" w:cs="黑体"/>
                <w:color w:val="auto"/>
                <w:spacing w:val="-2"/>
                <w:szCs w:val="22"/>
                <w:highlight w:val="none"/>
              </w:rPr>
              <w:t xml:space="preserve"> </w:t>
            </w:r>
          </w:p>
        </w:tc>
        <w:tc>
          <w:tcPr>
            <w:tcW w:w="3124" w:type="dxa"/>
            <w:gridSpan w:val="3"/>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trPr>
        <w:tc>
          <w:tcPr>
            <w:tcW w:w="1046" w:type="dxa"/>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3238"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单项工程名称</w:t>
            </w:r>
          </w:p>
        </w:tc>
        <w:tc>
          <w:tcPr>
            <w:tcW w:w="2078"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c>
          <w:tcPr>
            <w:tcW w:w="4069" w:type="dxa"/>
            <w:gridSpan w:val="4"/>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trPr>
        <w:tc>
          <w:tcPr>
            <w:tcW w:w="1046" w:type="dxa"/>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3238"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2078"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暂估价</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安全文明</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施工费</w:t>
            </w: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exact"/>
        </w:trPr>
        <w:tc>
          <w:tcPr>
            <w:tcW w:w="4284" w:type="dxa"/>
            <w:gridSpan w:val="2"/>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2078" w:type="dxa"/>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61"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47" w:type="dxa"/>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61" w:type="dxa"/>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bl>
    <w:p>
      <w:pPr>
        <w:spacing w:line="540" w:lineRule="exact"/>
        <w:rPr>
          <w:rFonts w:ascii="宋体" w:hAnsi="宋体"/>
          <w:color w:val="auto"/>
          <w:sz w:val="28"/>
          <w:highlight w:val="none"/>
        </w:rPr>
      </w:pPr>
    </w:p>
    <w:tbl>
      <w:tblPr>
        <w:tblStyle w:val="22"/>
        <w:tblW w:w="10593" w:type="dxa"/>
        <w:tblInd w:w="-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0"/>
        <w:gridCol w:w="376"/>
        <w:gridCol w:w="168"/>
        <w:gridCol w:w="502"/>
        <w:gridCol w:w="939"/>
        <w:gridCol w:w="1417"/>
        <w:gridCol w:w="212"/>
        <w:gridCol w:w="1348"/>
        <w:gridCol w:w="283"/>
        <w:gridCol w:w="447"/>
        <w:gridCol w:w="129"/>
        <w:gridCol w:w="133"/>
        <w:gridCol w:w="307"/>
        <w:gridCol w:w="376"/>
        <w:gridCol w:w="26"/>
        <w:gridCol w:w="390"/>
        <w:gridCol w:w="254"/>
        <w:gridCol w:w="206"/>
        <w:gridCol w:w="142"/>
        <w:gridCol w:w="745"/>
        <w:gridCol w:w="247"/>
        <w:gridCol w:w="992"/>
        <w:gridCol w:w="122"/>
        <w:gridCol w:w="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673" w:hRule="exact"/>
        </w:trPr>
        <w:tc>
          <w:tcPr>
            <w:tcW w:w="10431" w:type="dxa"/>
            <w:gridSpan w:val="23"/>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单项工程投标报价汇总表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44" w:hRule="exact"/>
        </w:trPr>
        <w:tc>
          <w:tcPr>
            <w:tcW w:w="7307" w:type="dxa"/>
            <w:gridSpan w:val="14"/>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工程名称：</w:t>
            </w:r>
          </w:p>
        </w:tc>
        <w:tc>
          <w:tcPr>
            <w:tcW w:w="3124" w:type="dxa"/>
            <w:gridSpan w:val="9"/>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444" w:hRule="exact"/>
        </w:trPr>
        <w:tc>
          <w:tcPr>
            <w:tcW w:w="1046" w:type="dxa"/>
            <w:gridSpan w:val="2"/>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序号</w:t>
            </w:r>
          </w:p>
        </w:tc>
        <w:tc>
          <w:tcPr>
            <w:tcW w:w="3238" w:type="dxa"/>
            <w:gridSpan w:val="5"/>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单位工程名称</w:t>
            </w:r>
          </w:p>
        </w:tc>
        <w:tc>
          <w:tcPr>
            <w:tcW w:w="2078"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金额(元)</w:t>
            </w:r>
          </w:p>
        </w:tc>
        <w:tc>
          <w:tcPr>
            <w:tcW w:w="4069" w:type="dxa"/>
            <w:gridSpan w:val="13"/>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684" w:hRule="exact"/>
        </w:trPr>
        <w:tc>
          <w:tcPr>
            <w:tcW w:w="1046" w:type="dxa"/>
            <w:gridSpan w:val="2"/>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rPr>
                <w:color w:val="auto"/>
                <w:highlight w:val="none"/>
              </w:rPr>
            </w:pPr>
          </w:p>
        </w:tc>
        <w:tc>
          <w:tcPr>
            <w:tcW w:w="3238" w:type="dxa"/>
            <w:gridSpan w:val="5"/>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rPr>
                <w:color w:val="auto"/>
                <w:highlight w:val="none"/>
              </w:rPr>
            </w:pPr>
          </w:p>
        </w:tc>
        <w:tc>
          <w:tcPr>
            <w:tcW w:w="2078"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rPr>
                <w:color w:val="auto"/>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暂估价</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安全文明</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施工费</w:t>
            </w: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right"/>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right"/>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30"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458" w:hRule="exact"/>
        </w:trPr>
        <w:tc>
          <w:tcPr>
            <w:tcW w:w="4284" w:type="dxa"/>
            <w:gridSpan w:val="7"/>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合  计</w:t>
            </w:r>
          </w:p>
        </w:tc>
        <w:tc>
          <w:tcPr>
            <w:tcW w:w="2078" w:type="dxa"/>
            <w:gridSpan w:val="3"/>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6"/>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47"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spacing w:line="232" w:lineRule="auto"/>
              <w:jc w:val="right"/>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458" w:hRule="exact"/>
        </w:trPr>
        <w:tc>
          <w:tcPr>
            <w:tcW w:w="4284" w:type="dxa"/>
            <w:gridSpan w:val="7"/>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2078" w:type="dxa"/>
            <w:gridSpan w:val="3"/>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6"/>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47"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spacing w:line="232" w:lineRule="auto"/>
              <w:jc w:val="right"/>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115" w:hRule="exact"/>
        </w:trPr>
        <w:tc>
          <w:tcPr>
            <w:tcW w:w="10431" w:type="dxa"/>
            <w:gridSpan w:val="23"/>
            <w:tcBorders>
              <w:top w:val="single" w:color="000000" w:sz="10" w:space="0"/>
            </w:tcBorders>
            <w:vAlign w:val="top"/>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2" w:type="dxa"/>
          <w:trHeight w:val="458" w:hRule="exact"/>
        </w:trPr>
        <w:tc>
          <w:tcPr>
            <w:tcW w:w="6491" w:type="dxa"/>
            <w:gridSpan w:val="11"/>
            <w:shd w:val="clear" w:color="auto" w:fill="auto"/>
            <w:vAlign w:val="top"/>
          </w:tcPr>
          <w:p>
            <w:pPr>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tc>
        <w:tc>
          <w:tcPr>
            <w:tcW w:w="3940" w:type="dxa"/>
            <w:gridSpan w:val="12"/>
            <w:shd w:val="clear" w:color="auto" w:fill="FFFFFF"/>
            <w:vAlign w:val="top"/>
          </w:tcPr>
          <w:p>
            <w:pPr>
              <w:spacing w:line="232" w:lineRule="auto"/>
              <w:jc w:val="right"/>
              <w:rPr>
                <w:rFonts w:ascii="宋体" w:hAnsi="宋体" w:cs="宋体"/>
                <w:b/>
                <w:color w:val="auto"/>
                <w:spacing w:val="-2"/>
                <w:sz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673" w:hRule="exact"/>
        </w:trPr>
        <w:tc>
          <w:tcPr>
            <w:tcW w:w="9639" w:type="dxa"/>
            <w:gridSpan w:val="21"/>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5245" w:type="dxa"/>
            <w:gridSpan w:val="8"/>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r>
              <w:rPr>
                <w:rFonts w:hint="eastAsia" w:ascii="黑体" w:hAnsi="黑体" w:eastAsia="黑体" w:cs="黑体"/>
                <w:color w:val="auto"/>
                <w:spacing w:val="-2"/>
                <w:szCs w:val="22"/>
                <w:highlight w:val="none"/>
              </w:rPr>
              <w:t xml:space="preserve"> </w:t>
            </w:r>
          </w:p>
        </w:tc>
        <w:tc>
          <w:tcPr>
            <w:tcW w:w="2062" w:type="dxa"/>
            <w:gridSpan w:val="8"/>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5"/>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674" w:hRule="exact"/>
        </w:trPr>
        <w:tc>
          <w:tcPr>
            <w:tcW w:w="1046" w:type="dxa"/>
            <w:gridSpan w:val="3"/>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4199"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汇总内容</w:t>
            </w:r>
          </w:p>
        </w:tc>
        <w:tc>
          <w:tcPr>
            <w:tcW w:w="2268" w:type="dxa"/>
            <w:gridSpan w:val="9"/>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c>
          <w:tcPr>
            <w:tcW w:w="2126" w:type="dxa"/>
            <w:gridSpan w:val="4"/>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分部分项工程费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人工费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1.2</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材料费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1.3</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施工机具使用费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1.4</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企业管理费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1.5</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利润</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30"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措施项目费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单价措施项目费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2.2</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总价措施项目费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2.2.1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其中：安全文明施工措施费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其他项目费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其中：暂列金额</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3.2</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其中：专业工程暂估</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3.3</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其中：计日工</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30"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3.4</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其中：总承包服务费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4</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规费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5</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税金</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30"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459" w:hRule="exact"/>
        </w:trPr>
        <w:tc>
          <w:tcPr>
            <w:tcW w:w="5245" w:type="dxa"/>
            <w:gridSpan w:val="8"/>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投标报价合计=1+2+3+4+5</w:t>
            </w:r>
          </w:p>
        </w:tc>
        <w:tc>
          <w:tcPr>
            <w:tcW w:w="2268" w:type="dxa"/>
            <w:gridSpan w:val="9"/>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43" w:hRule="exact"/>
        </w:trPr>
        <w:tc>
          <w:tcPr>
            <w:tcW w:w="9639" w:type="dxa"/>
            <w:gridSpan w:val="21"/>
            <w:tcBorders>
              <w:top w:val="single" w:color="000000" w:sz="10" w:space="0"/>
            </w:tcBorders>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670" w:type="dxa"/>
          <w:wAfter w:w="284" w:type="dxa"/>
          <w:trHeight w:val="43" w:hRule="exact"/>
        </w:trPr>
        <w:tc>
          <w:tcPr>
            <w:tcW w:w="9639" w:type="dxa"/>
            <w:gridSpan w:val="21"/>
            <w:tcBorders>
              <w:top w:val="single" w:color="000000" w:sz="10" w:space="0"/>
            </w:tcBorders>
            <w:shd w:val="clear" w:color="auto" w:fill="FFFFFF"/>
            <w:vAlign w:val="top"/>
          </w:tcPr>
          <w:p>
            <w:pPr>
              <w:widowControl/>
              <w:jc w:val="left"/>
              <w:rPr>
                <w:rFonts w:ascii="Calibri" w:hAnsi="Calibri"/>
                <w:color w:val="auto"/>
                <w:sz w:val="2"/>
                <w:szCs w:val="22"/>
                <w:highlight w:val="none"/>
              </w:rPr>
            </w:pPr>
            <w:r>
              <w:rPr>
                <w:rFonts w:ascii="Calibri" w:hAnsi="Calibri"/>
                <w:color w:val="auto"/>
                <w:sz w:val="2"/>
                <w:szCs w:val="22"/>
                <w:highlight w:val="none"/>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674" w:hRule="exact"/>
        </w:trPr>
        <w:tc>
          <w:tcPr>
            <w:tcW w:w="9923" w:type="dxa"/>
            <w:gridSpan w:val="23"/>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4" w:hRule="exact"/>
        </w:trPr>
        <w:tc>
          <w:tcPr>
            <w:tcW w:w="6261"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4"/>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616" w:type="dxa"/>
            <w:gridSpan w:val="7"/>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00" w:hRule="exact"/>
        </w:trPr>
        <w:tc>
          <w:tcPr>
            <w:tcW w:w="544" w:type="dxa"/>
            <w:gridSpan w:val="2"/>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441"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项目编码</w:t>
            </w:r>
          </w:p>
        </w:tc>
        <w:tc>
          <w:tcPr>
            <w:tcW w:w="1417"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560"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项目特征描述</w:t>
            </w:r>
          </w:p>
        </w:tc>
        <w:tc>
          <w:tcPr>
            <w:tcW w:w="992" w:type="dxa"/>
            <w:gridSpan w:val="4"/>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计量</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单位</w:t>
            </w:r>
          </w:p>
        </w:tc>
        <w:tc>
          <w:tcPr>
            <w:tcW w:w="709"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工程量</w:t>
            </w:r>
          </w:p>
        </w:tc>
        <w:tc>
          <w:tcPr>
            <w:tcW w:w="3260" w:type="dxa"/>
            <w:gridSpan w:val="9"/>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01" w:hRule="exact"/>
        </w:trPr>
        <w:tc>
          <w:tcPr>
            <w:tcW w:w="544" w:type="dxa"/>
            <w:gridSpan w:val="2"/>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41"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17"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560"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9"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综合单价</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w:t>
            </w: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287" w:hRule="exact"/>
        </w:trPr>
        <w:tc>
          <w:tcPr>
            <w:tcW w:w="544" w:type="dxa"/>
            <w:gridSpan w:val="2"/>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41"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17"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560"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9"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30"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分部分项合计</w:t>
            </w: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29"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29"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29"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30"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单价措施合计</w:t>
            </w: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3"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30"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444" w:hRule="exact"/>
        </w:trPr>
        <w:tc>
          <w:tcPr>
            <w:tcW w:w="7655"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本页小计</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670" w:type="dxa"/>
          <w:trHeight w:val="458" w:hRule="exact"/>
        </w:trPr>
        <w:tc>
          <w:tcPr>
            <w:tcW w:w="7655" w:type="dxa"/>
            <w:gridSpan w:val="18"/>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992"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bl>
    <w:p>
      <w:pPr>
        <w:jc w:val="center"/>
        <w:rPr>
          <w:rFonts w:ascii="黑体" w:eastAsia="黑体" w:cs="宋体"/>
          <w:b/>
          <w:color w:val="auto"/>
          <w:kern w:val="0"/>
          <w:sz w:val="32"/>
          <w:szCs w:val="32"/>
          <w:highlight w:val="none"/>
        </w:rPr>
      </w:pPr>
    </w:p>
    <w:tbl>
      <w:tblPr>
        <w:tblStyle w:val="22"/>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3"/>
        <w:gridCol w:w="344"/>
        <w:gridCol w:w="1110"/>
        <w:gridCol w:w="237"/>
        <w:gridCol w:w="330"/>
        <w:gridCol w:w="708"/>
        <w:gridCol w:w="209"/>
        <w:gridCol w:w="673"/>
        <w:gridCol w:w="673"/>
        <w:gridCol w:w="115"/>
        <w:gridCol w:w="573"/>
        <w:gridCol w:w="330"/>
        <w:gridCol w:w="344"/>
        <w:gridCol w:w="485"/>
        <w:gridCol w:w="188"/>
        <w:gridCol w:w="521"/>
        <w:gridCol w:w="152"/>
        <w:gridCol w:w="115"/>
        <w:gridCol w:w="115"/>
        <w:gridCol w:w="327"/>
        <w:gridCol w:w="461"/>
        <w:gridCol w:w="248"/>
        <w:gridCol w:w="540"/>
        <w:gridCol w:w="27"/>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exact"/>
          <w:jc w:val="center"/>
        </w:trPr>
        <w:tc>
          <w:tcPr>
            <w:tcW w:w="10065" w:type="dxa"/>
            <w:gridSpan w:val="25"/>
            <w:shd w:val="clear" w:color="auto" w:fill="FFFFFF"/>
            <w:vAlign w:val="center"/>
          </w:tcPr>
          <w:p>
            <w:pPr>
              <w:widowControl/>
              <w:spacing w:line="232" w:lineRule="auto"/>
              <w:jc w:val="center"/>
              <w:rPr>
                <w:rFonts w:ascii="宋体" w:hAnsi="宋体" w:cs="宋体"/>
                <w:b/>
                <w:color w:val="auto"/>
                <w:spacing w:val="-2"/>
                <w:sz w:val="31"/>
                <w:szCs w:val="22"/>
                <w:highlight w:val="none"/>
              </w:rPr>
            </w:pPr>
            <w:r>
              <w:rPr>
                <w:rFonts w:ascii="宋体" w:hAnsi="宋体" w:cs="宋体"/>
                <w:b/>
                <w:color w:val="auto"/>
                <w:spacing w:val="-2"/>
                <w:sz w:val="31"/>
                <w:szCs w:val="22"/>
                <w:highlight w:val="none"/>
              </w:rPr>
              <w:t>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jc w:val="center"/>
        </w:trPr>
        <w:tc>
          <w:tcPr>
            <w:tcW w:w="5975"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690"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400" w:type="dxa"/>
            <w:gridSpan w:val="8"/>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1017"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项目编码</w:t>
            </w:r>
          </w:p>
        </w:tc>
        <w:tc>
          <w:tcPr>
            <w:tcW w:w="1347"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1247"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项目名称</w:t>
            </w:r>
          </w:p>
        </w:tc>
        <w:tc>
          <w:tcPr>
            <w:tcW w:w="3381" w:type="dxa"/>
            <w:gridSpan w:val="8"/>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903"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计量单位</w:t>
            </w:r>
          </w:p>
        </w:tc>
        <w:tc>
          <w:tcPr>
            <w:tcW w:w="788"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788"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工程量</w:t>
            </w:r>
          </w:p>
        </w:tc>
        <w:tc>
          <w:tcPr>
            <w:tcW w:w="594" w:type="dxa"/>
            <w:gridSpan w:val="2"/>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exact"/>
          <w:jc w:val="center"/>
        </w:trPr>
        <w:tc>
          <w:tcPr>
            <w:tcW w:w="10065" w:type="dxa"/>
            <w:gridSpan w:val="25"/>
            <w:tcBorders>
              <w:top w:val="single" w:color="000000" w:sz="4" w:space="0"/>
              <w:left w:val="single" w:color="000000" w:sz="10"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清单综合单价组成明细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restart"/>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定额</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编号</w:t>
            </w:r>
          </w:p>
        </w:tc>
        <w:tc>
          <w:tcPr>
            <w:tcW w:w="14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定额项目名称</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定额</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数量</w:t>
            </w:r>
          </w:p>
        </w:tc>
        <w:tc>
          <w:tcPr>
            <w:tcW w:w="340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单价</w:t>
            </w:r>
          </w:p>
        </w:tc>
        <w:tc>
          <w:tcPr>
            <w:tcW w:w="3261" w:type="dxa"/>
            <w:gridSpan w:val="11"/>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jc w:val="center"/>
        </w:trPr>
        <w:tc>
          <w:tcPr>
            <w:tcW w:w="673" w:type="dxa"/>
            <w:vMerge w:val="continue"/>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人工费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材料费</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机械费</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管理费</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利润</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人工费</w:t>
            </w:r>
          </w:p>
        </w:tc>
        <w:tc>
          <w:tcPr>
            <w:tcW w:w="7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材料费</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机械费</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管理费</w:t>
            </w:r>
          </w:p>
        </w:tc>
        <w:tc>
          <w:tcPr>
            <w:tcW w:w="567"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jc w:val="center"/>
        </w:trPr>
        <w:tc>
          <w:tcPr>
            <w:tcW w:w="673"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jc w:val="center"/>
        </w:trPr>
        <w:tc>
          <w:tcPr>
            <w:tcW w:w="673"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2127"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综合人工工日</w:t>
            </w:r>
          </w:p>
        </w:tc>
        <w:tc>
          <w:tcPr>
            <w:tcW w:w="467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小计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jc w:val="center"/>
        </w:trPr>
        <w:tc>
          <w:tcPr>
            <w:tcW w:w="2127"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467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未计价材料费</w:t>
            </w:r>
          </w:p>
        </w:tc>
        <w:tc>
          <w:tcPr>
            <w:tcW w:w="3261" w:type="dxa"/>
            <w:gridSpan w:val="11"/>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804" w:type="dxa"/>
            <w:gridSpan w:val="14"/>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清单项目综合单价</w:t>
            </w:r>
          </w:p>
        </w:tc>
        <w:tc>
          <w:tcPr>
            <w:tcW w:w="3261" w:type="dxa"/>
            <w:gridSpan w:val="11"/>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exact"/>
          <w:jc w:val="center"/>
        </w:trPr>
        <w:tc>
          <w:tcPr>
            <w:tcW w:w="673" w:type="dxa"/>
            <w:vMerge w:val="restart"/>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材</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料</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费</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明</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细</w:t>
            </w: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主要材料名称、规格、型号</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单位</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数量</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单价</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（元）</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合价</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（元）</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暂估</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单价</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（元）</w:t>
            </w: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暂估</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合价</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613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其他材料费</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jc w:val="center"/>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6131" w:type="dxa"/>
            <w:gridSpan w:val="13"/>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材料费小计</w:t>
            </w:r>
          </w:p>
        </w:tc>
        <w:tc>
          <w:tcPr>
            <w:tcW w:w="976"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bl>
    <w:p>
      <w:pPr>
        <w:jc w:val="center"/>
        <w:rPr>
          <w:rFonts w:ascii="黑体" w:eastAsia="黑体" w:cs="宋体"/>
          <w:b/>
          <w:color w:val="auto"/>
          <w:kern w:val="0"/>
          <w:sz w:val="32"/>
          <w:szCs w:val="32"/>
          <w:highlight w:val="none"/>
        </w:rPr>
      </w:pPr>
    </w:p>
    <w:tbl>
      <w:tblPr>
        <w:tblStyle w:val="22"/>
        <w:tblW w:w="9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373"/>
        <w:gridCol w:w="1031"/>
        <w:gridCol w:w="1361"/>
        <w:gridCol w:w="101"/>
        <w:gridCol w:w="387"/>
        <w:gridCol w:w="1232"/>
        <w:gridCol w:w="358"/>
        <w:gridCol w:w="495"/>
        <w:gridCol w:w="307"/>
        <w:gridCol w:w="230"/>
        <w:gridCol w:w="455"/>
        <w:gridCol w:w="284"/>
        <w:gridCol w:w="77"/>
        <w:gridCol w:w="631"/>
        <w:gridCol w:w="993"/>
        <w:gridCol w:w="850"/>
        <w:gridCol w:w="91"/>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673" w:hRule="exact"/>
        </w:trPr>
        <w:tc>
          <w:tcPr>
            <w:tcW w:w="9781" w:type="dxa"/>
            <w:gridSpan w:val="17"/>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6261" w:type="dxa"/>
            <w:gridSpan w:val="10"/>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r>
              <w:rPr>
                <w:rFonts w:hint="eastAsia" w:ascii="黑体" w:hAnsi="黑体" w:eastAsia="黑体" w:cs="黑体"/>
                <w:color w:val="auto"/>
                <w:spacing w:val="-2"/>
                <w:szCs w:val="22"/>
                <w:highlight w:val="none"/>
              </w:rPr>
              <w:t xml:space="preserve"> </w:t>
            </w:r>
          </w:p>
        </w:tc>
        <w:tc>
          <w:tcPr>
            <w:tcW w:w="685" w:type="dxa"/>
            <w:gridSpan w:val="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835" w:type="dxa"/>
            <w:gridSpan w:val="5"/>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674" w:hRule="exact"/>
        </w:trPr>
        <w:tc>
          <w:tcPr>
            <w:tcW w:w="616" w:type="dxa"/>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404"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项目编码</w:t>
            </w:r>
          </w:p>
        </w:tc>
        <w:tc>
          <w:tcPr>
            <w:tcW w:w="1849"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232"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计算基础</w:t>
            </w:r>
          </w:p>
        </w:tc>
        <w:tc>
          <w:tcPr>
            <w:tcW w:w="853"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费率（%）</w:t>
            </w:r>
          </w:p>
        </w:tc>
        <w:tc>
          <w:tcPr>
            <w:tcW w:w="992"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c>
          <w:tcPr>
            <w:tcW w:w="992"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调整</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费率（%）</w:t>
            </w:r>
          </w:p>
        </w:tc>
        <w:tc>
          <w:tcPr>
            <w:tcW w:w="993"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调整后</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c>
          <w:tcPr>
            <w:tcW w:w="850" w:type="dxa"/>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安全文明施工费</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32"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1.1</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基本费</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79"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1.2</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增加费</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82"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夜间施工</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72"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非夜间施工照明</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76"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4</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二次搬运</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67"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5</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冬雨季施工</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8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6</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地上、地下设施、建筑物的临时保护设施</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7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7</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已完工程及设备保护</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420"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8</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临时设施</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88"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9</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赶工措施</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78"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10</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工程按质论价</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82"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11</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住宅分户验收</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1288"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jc w:val="center"/>
              <w:rPr>
                <w:color w:val="auto"/>
                <w:highlight w:val="none"/>
              </w:rPr>
            </w:pPr>
            <w:r>
              <w:rPr>
                <w:rFonts w:hint="eastAsia"/>
                <w:color w:val="auto"/>
                <w:highlight w:val="none"/>
              </w:rPr>
              <w:t>12</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auto"/>
                <w:spacing w:val="-2"/>
                <w:szCs w:val="22"/>
                <w:highlight w:val="none"/>
              </w:rPr>
            </w:pPr>
            <w:r>
              <w:rPr>
                <w:rFonts w:hint="eastAsia" w:ascii="宋体" w:hAnsi="宋体" w:cs="宋体"/>
                <w:color w:val="auto"/>
                <w:spacing w:val="-2"/>
                <w:szCs w:val="22"/>
                <w:highlight w:val="none"/>
              </w:rPr>
              <w:t>特殊条件下施工增加费</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top"/>
          </w:tcPr>
          <w:p>
            <w:pPr>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30"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5954" w:type="dxa"/>
            <w:gridSpan w:val="9"/>
            <w:tcBorders>
              <w:top w:val="single" w:color="000000" w:sz="4" w:space="0"/>
              <w:left w:val="single" w:color="000000" w:sz="10" w:space="0"/>
              <w:bottom w:val="single" w:color="000000" w:sz="10" w:space="0"/>
              <w:right w:val="single" w:color="000000" w:sz="4" w:space="0"/>
            </w:tcBorders>
            <w:shd w:val="clear" w:color="auto" w:fill="FFFFFF"/>
            <w:vAlign w:val="top"/>
          </w:tcPr>
          <w:p>
            <w:pPr>
              <w:widowControl/>
              <w:spacing w:line="232" w:lineRule="auto"/>
              <w:jc w:val="center"/>
              <w:rPr>
                <w:rFonts w:ascii="Arial" w:hAnsi="Arial" w:cs="Arial"/>
                <w:color w:val="auto"/>
                <w:spacing w:val="-2"/>
                <w:szCs w:val="21"/>
                <w:highlight w:val="none"/>
              </w:rPr>
            </w:pPr>
            <w:r>
              <w:rPr>
                <w:rFonts w:hint="eastAsia" w:ascii="Arial" w:hAnsi="Arial" w:cs="Arial"/>
                <w:color w:val="auto"/>
                <w:spacing w:val="-2"/>
                <w:szCs w:val="21"/>
                <w:highlight w:val="none"/>
              </w:rPr>
              <w:t>合计</w:t>
            </w:r>
          </w:p>
        </w:tc>
        <w:tc>
          <w:tcPr>
            <w:tcW w:w="992" w:type="dxa"/>
            <w:gridSpan w:val="3"/>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3" w:type="dxa"/>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10"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243" w:hRule="exact"/>
        </w:trPr>
        <w:tc>
          <w:tcPr>
            <w:tcW w:w="9781" w:type="dxa"/>
            <w:gridSpan w:val="17"/>
            <w:tcBorders>
              <w:top w:val="single" w:color="000000" w:sz="10" w:space="0"/>
            </w:tcBorders>
            <w:shd w:val="clear" w:color="auto" w:fill="FFFFFF"/>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3381" w:type="dxa"/>
            <w:gridSpan w:val="4"/>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编制人（造价人员）：</w:t>
            </w:r>
          </w:p>
        </w:tc>
        <w:tc>
          <w:tcPr>
            <w:tcW w:w="3110" w:type="dxa"/>
            <w:gridSpan w:val="7"/>
            <w:shd w:val="clear" w:color="auto" w:fill="auto"/>
            <w:vAlign w:val="top"/>
          </w:tcPr>
          <w:p>
            <w:pPr>
              <w:widowControl/>
              <w:jc w:val="left"/>
              <w:rPr>
                <w:rFonts w:ascii="Calibri" w:hAnsi="Calibri"/>
                <w:color w:val="auto"/>
                <w:sz w:val="2"/>
                <w:szCs w:val="22"/>
                <w:highlight w:val="none"/>
              </w:rPr>
            </w:pPr>
          </w:p>
        </w:tc>
        <w:tc>
          <w:tcPr>
            <w:tcW w:w="3381" w:type="dxa"/>
            <w:gridSpan w:val="7"/>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复核人（造价工程师）：</w:t>
            </w:r>
          </w:p>
        </w:tc>
        <w:tc>
          <w:tcPr>
            <w:tcW w:w="20"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673" w:hRule="exact"/>
        </w:trPr>
        <w:tc>
          <w:tcPr>
            <w:tcW w:w="9781" w:type="dxa"/>
            <w:gridSpan w:val="17"/>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6261" w:type="dxa"/>
            <w:gridSpan w:val="10"/>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工程名称：</w:t>
            </w:r>
            <w:r>
              <w:rPr>
                <w:rFonts w:hint="eastAsia" w:ascii="黑体" w:hAnsi="黑体" w:eastAsia="黑体" w:cs="黑体"/>
                <w:color w:val="auto"/>
                <w:spacing w:val="-2"/>
                <w:highlight w:val="none"/>
              </w:rPr>
              <w:t xml:space="preserve"> </w:t>
            </w:r>
          </w:p>
        </w:tc>
        <w:tc>
          <w:tcPr>
            <w:tcW w:w="1046" w:type="dxa"/>
            <w:gridSpan w:val="4"/>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标段：</w:t>
            </w:r>
          </w:p>
        </w:tc>
        <w:tc>
          <w:tcPr>
            <w:tcW w:w="2474" w:type="dxa"/>
            <w:gridSpan w:val="3"/>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674" w:hRule="exact"/>
        </w:trPr>
        <w:tc>
          <w:tcPr>
            <w:tcW w:w="989"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序号</w:t>
            </w:r>
          </w:p>
        </w:tc>
        <w:tc>
          <w:tcPr>
            <w:tcW w:w="2493"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项目名称</w:t>
            </w:r>
          </w:p>
        </w:tc>
        <w:tc>
          <w:tcPr>
            <w:tcW w:w="1977"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金额(元)</w:t>
            </w:r>
          </w:p>
        </w:tc>
        <w:tc>
          <w:tcPr>
            <w:tcW w:w="1771"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结算金额(元)</w:t>
            </w:r>
          </w:p>
        </w:tc>
        <w:tc>
          <w:tcPr>
            <w:tcW w:w="2551" w:type="dxa"/>
            <w:gridSpan w:val="4"/>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1</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暂列金额</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29"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2</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暂估价</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r>
              <w:rPr>
                <w:rFonts w:ascii="宋体" w:hAnsi="宋体" w:cs="宋体"/>
                <w:color w:val="auto"/>
                <w:spacing w:val="-2"/>
                <w:highlight w:val="none"/>
              </w:rPr>
              <w:t xml:space="preserve"> </w:t>
            </w: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2.1</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材料暂估价</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r>
              <w:rPr>
                <w:rFonts w:ascii="宋体" w:hAnsi="宋体" w:cs="宋体"/>
                <w:color w:val="auto"/>
                <w:spacing w:val="-2"/>
                <w:highlight w:val="none"/>
              </w:rPr>
              <w:t xml:space="preserve"> </w:t>
            </w: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2.2</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专业工程暂估价</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r>
              <w:rPr>
                <w:rFonts w:ascii="宋体" w:hAnsi="宋体" w:cs="宋体"/>
                <w:color w:val="auto"/>
                <w:spacing w:val="-2"/>
                <w:highlight w:val="none"/>
              </w:rPr>
              <w:t xml:space="preserve"> </w:t>
            </w: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29"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3</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计日工</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r>
              <w:rPr>
                <w:rFonts w:ascii="宋体" w:hAnsi="宋体" w:cs="宋体"/>
                <w:color w:val="auto"/>
                <w:spacing w:val="-2"/>
                <w:highlight w:val="none"/>
              </w:rPr>
              <w:t xml:space="preserve"> </w:t>
            </w: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4</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总承包服务费</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r>
              <w:rPr>
                <w:rFonts w:ascii="宋体" w:hAnsi="宋体" w:cs="宋体"/>
                <w:color w:val="auto"/>
                <w:spacing w:val="-2"/>
                <w:highlight w:val="none"/>
              </w:rPr>
              <w:t xml:space="preserve"> </w:t>
            </w: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30"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459" w:hRule="exact"/>
        </w:trPr>
        <w:tc>
          <w:tcPr>
            <w:tcW w:w="3482" w:type="dxa"/>
            <w:gridSpan w:val="5"/>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合  计</w:t>
            </w:r>
          </w:p>
        </w:tc>
        <w:tc>
          <w:tcPr>
            <w:tcW w:w="1977" w:type="dxa"/>
            <w:gridSpan w:val="3"/>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10" w:space="0"/>
              <w:right w:val="single" w:color="000000" w:sz="10" w:space="0"/>
            </w:tcBorders>
            <w:shd w:val="clear" w:color="auto" w:fill="FFFFFF"/>
            <w:vAlign w:val="top"/>
          </w:tcPr>
          <w:p>
            <w:pPr>
              <w:spacing w:line="232" w:lineRule="auto"/>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43" w:hRule="exact"/>
        </w:trPr>
        <w:tc>
          <w:tcPr>
            <w:tcW w:w="9781" w:type="dxa"/>
            <w:gridSpan w:val="17"/>
            <w:tcBorders>
              <w:top w:val="single" w:color="000000" w:sz="10" w:space="0"/>
            </w:tcBorders>
            <w:vAlign w:val="top"/>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458" w:hRule="exact"/>
        </w:trPr>
        <w:tc>
          <w:tcPr>
            <w:tcW w:w="6491" w:type="dxa"/>
            <w:gridSpan w:val="11"/>
            <w:shd w:val="clear" w:color="auto" w:fill="auto"/>
            <w:vAlign w:val="top"/>
          </w:tcPr>
          <w:p>
            <w:pPr>
              <w:rPr>
                <w:color w:val="auto"/>
                <w:highlight w:val="none"/>
              </w:rPr>
            </w:pPr>
          </w:p>
        </w:tc>
        <w:tc>
          <w:tcPr>
            <w:tcW w:w="3290" w:type="dxa"/>
            <w:gridSpan w:val="6"/>
            <w:shd w:val="clear" w:color="auto" w:fill="FFFFFF"/>
            <w:vAlign w:val="top"/>
          </w:tcPr>
          <w:p>
            <w:pPr>
              <w:spacing w:line="232" w:lineRule="auto"/>
              <w:jc w:val="right"/>
              <w:rPr>
                <w:rFonts w:ascii="宋体" w:hAnsi="宋体" w:cs="宋体"/>
                <w:b/>
                <w:color w:val="auto"/>
                <w:spacing w:val="-2"/>
                <w:sz w:val="18"/>
                <w:highlight w:val="none"/>
              </w:rPr>
            </w:pPr>
          </w:p>
        </w:tc>
      </w:tr>
    </w:tbl>
    <w:p>
      <w:pPr>
        <w:rPr>
          <w:rFonts w:ascii="黑体" w:eastAsia="黑体" w:cs="宋体"/>
          <w:b/>
          <w:color w:val="auto"/>
          <w:kern w:val="0"/>
          <w:sz w:val="32"/>
          <w:szCs w:val="32"/>
          <w:highlight w:val="none"/>
        </w:rPr>
      </w:pPr>
    </w:p>
    <w:tbl>
      <w:tblPr>
        <w:tblStyle w:val="22"/>
        <w:tblW w:w="9639"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
        <w:gridCol w:w="559"/>
        <w:gridCol w:w="487"/>
        <w:gridCol w:w="1161"/>
        <w:gridCol w:w="567"/>
        <w:gridCol w:w="708"/>
        <w:gridCol w:w="709"/>
        <w:gridCol w:w="22"/>
        <w:gridCol w:w="687"/>
        <w:gridCol w:w="709"/>
        <w:gridCol w:w="165"/>
        <w:gridCol w:w="543"/>
        <w:gridCol w:w="503"/>
        <w:gridCol w:w="348"/>
        <w:gridCol w:w="283"/>
        <w:gridCol w:w="426"/>
        <w:gridCol w:w="567"/>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9639" w:type="dxa"/>
            <w:gridSpan w:val="18"/>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6261" w:type="dxa"/>
            <w:gridSpan w:val="11"/>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5"/>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exact"/>
        </w:trPr>
        <w:tc>
          <w:tcPr>
            <w:tcW w:w="1046"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3654" w:type="dxa"/>
            <w:gridSpan w:val="6"/>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561"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计量单位</w:t>
            </w:r>
          </w:p>
        </w:tc>
        <w:tc>
          <w:tcPr>
            <w:tcW w:w="1677"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暂定金额(元)</w:t>
            </w:r>
          </w:p>
        </w:tc>
        <w:tc>
          <w:tcPr>
            <w:tcW w:w="1701" w:type="dxa"/>
            <w:gridSpan w:val="3"/>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6261" w:type="dxa"/>
            <w:gridSpan w:val="11"/>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677"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701" w:type="dxa"/>
            <w:gridSpan w:val="3"/>
            <w:tcBorders>
              <w:top w:val="single" w:color="000000" w:sz="4" w:space="0"/>
              <w:left w:val="single" w:color="000000" w:sz="4" w:space="0"/>
              <w:bottom w:val="single" w:color="000000" w:sz="10" w:space="0"/>
              <w:right w:val="single" w:color="000000" w:sz="10" w:space="0"/>
            </w:tcBorders>
            <w:shd w:val="clear" w:color="auto" w:fill="FFFFFF"/>
            <w:vAlign w:val="top"/>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9639" w:type="dxa"/>
            <w:gridSpan w:val="18"/>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材料（工程设备）暂估单价及调整表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6261" w:type="dxa"/>
            <w:gridSpan w:val="11"/>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5"/>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exact"/>
        </w:trPr>
        <w:tc>
          <w:tcPr>
            <w:tcW w:w="487" w:type="dxa"/>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046"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材料编码</w:t>
            </w:r>
          </w:p>
        </w:tc>
        <w:tc>
          <w:tcPr>
            <w:tcW w:w="1161"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材料(工程设备)名称、规格、型号</w:t>
            </w:r>
          </w:p>
        </w:tc>
        <w:tc>
          <w:tcPr>
            <w:tcW w:w="567"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计量单位</w:t>
            </w:r>
          </w:p>
        </w:tc>
        <w:tc>
          <w:tcPr>
            <w:tcW w:w="1417"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数量</w:t>
            </w:r>
          </w:p>
        </w:tc>
        <w:tc>
          <w:tcPr>
            <w:tcW w:w="1418"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暂估（元）</w:t>
            </w:r>
          </w:p>
        </w:tc>
        <w:tc>
          <w:tcPr>
            <w:tcW w:w="1559"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确认（元）</w:t>
            </w:r>
          </w:p>
        </w:tc>
        <w:tc>
          <w:tcPr>
            <w:tcW w:w="1276"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差额±(元)</w:t>
            </w:r>
          </w:p>
        </w:tc>
        <w:tc>
          <w:tcPr>
            <w:tcW w:w="708" w:type="dxa"/>
            <w:vMerge w:val="restart"/>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exact"/>
        </w:trPr>
        <w:tc>
          <w:tcPr>
            <w:tcW w:w="487" w:type="dxa"/>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046"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161"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567"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投标</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确认</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单价</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单价</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w:t>
            </w:r>
          </w:p>
        </w:tc>
        <w:tc>
          <w:tcPr>
            <w:tcW w:w="708" w:type="dxa"/>
            <w:vMerge w:val="continue"/>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3261" w:type="dxa"/>
            <w:gridSpan w:val="5"/>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合计</w:t>
            </w:r>
          </w:p>
        </w:tc>
        <w:tc>
          <w:tcPr>
            <w:tcW w:w="708" w:type="dxa"/>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709" w:type="dxa"/>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709"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709" w:type="dxa"/>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708"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851"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709"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567" w:type="dxa"/>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708" w:type="dxa"/>
            <w:tcBorders>
              <w:top w:val="single" w:color="000000" w:sz="4" w:space="0"/>
              <w:left w:val="single" w:color="000000" w:sz="4" w:space="0"/>
              <w:bottom w:val="single" w:color="000000" w:sz="10" w:space="0"/>
              <w:right w:val="single" w:color="000000" w:sz="10" w:space="0"/>
            </w:tcBorders>
            <w:shd w:val="clear" w:color="auto" w:fill="FFFFFF"/>
            <w:vAlign w:val="top"/>
          </w:tcPr>
          <w:p>
            <w:pPr>
              <w:widowControl/>
              <w:spacing w:line="232" w:lineRule="auto"/>
              <w:jc w:val="left"/>
              <w:rPr>
                <w:rFonts w:ascii="宋体" w:hAnsi="宋体" w:cs="宋体"/>
                <w:color w:val="auto"/>
                <w:spacing w:val="-2"/>
                <w:szCs w:val="22"/>
                <w:highlight w:val="none"/>
              </w:rPr>
            </w:pPr>
          </w:p>
        </w:tc>
      </w:tr>
    </w:tbl>
    <w:p>
      <w:pPr>
        <w:jc w:val="center"/>
        <w:rPr>
          <w:rFonts w:ascii="黑体" w:eastAsia="黑体" w:cs="宋体"/>
          <w:b/>
          <w:color w:val="auto"/>
          <w:kern w:val="0"/>
          <w:sz w:val="32"/>
          <w:szCs w:val="32"/>
          <w:highlight w:val="none"/>
        </w:rPr>
      </w:pPr>
    </w:p>
    <w:tbl>
      <w:tblPr>
        <w:tblStyle w:val="22"/>
        <w:tblW w:w="9639"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9"/>
        <w:gridCol w:w="1793"/>
        <w:gridCol w:w="1559"/>
        <w:gridCol w:w="1418"/>
        <w:gridCol w:w="732"/>
        <w:gridCol w:w="969"/>
        <w:gridCol w:w="77"/>
        <w:gridCol w:w="1340"/>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9639" w:type="dxa"/>
            <w:gridSpan w:val="9"/>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专业工程暂估价及结算价表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6261"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r>
              <w:rPr>
                <w:rFonts w:hint="eastAsia" w:ascii="黑体" w:hAnsi="黑体" w:eastAsia="黑体" w:cs="黑体"/>
                <w:color w:val="auto"/>
                <w:spacing w:val="-2"/>
                <w:szCs w:val="22"/>
                <w:highlight w:val="none"/>
              </w:rPr>
              <w:t xml:space="preserve"> </w:t>
            </w:r>
          </w:p>
        </w:tc>
        <w:tc>
          <w:tcPr>
            <w:tcW w:w="1046" w:type="dxa"/>
            <w:gridSpan w:val="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2"/>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exact"/>
        </w:trPr>
        <w:tc>
          <w:tcPr>
            <w:tcW w:w="759" w:type="dxa"/>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793"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p>
        </w:tc>
        <w:tc>
          <w:tcPr>
            <w:tcW w:w="1559"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工程内容</w:t>
            </w:r>
          </w:p>
        </w:tc>
        <w:tc>
          <w:tcPr>
            <w:tcW w:w="1418"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暂估金额(元)</w:t>
            </w:r>
          </w:p>
        </w:tc>
        <w:tc>
          <w:tcPr>
            <w:tcW w:w="1701"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结算金额(元)</w:t>
            </w:r>
          </w:p>
        </w:tc>
        <w:tc>
          <w:tcPr>
            <w:tcW w:w="1417"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差额±(元)</w:t>
            </w:r>
          </w:p>
        </w:tc>
        <w:tc>
          <w:tcPr>
            <w:tcW w:w="992" w:type="dxa"/>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4111" w:type="dxa"/>
            <w:gridSpan w:val="3"/>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418" w:type="dxa"/>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701"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1417"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992" w:type="dxa"/>
            <w:tcBorders>
              <w:top w:val="single" w:color="000000" w:sz="4" w:space="0"/>
              <w:left w:val="single" w:color="000000" w:sz="4" w:space="0"/>
              <w:bottom w:val="single" w:color="000000" w:sz="10" w:space="0"/>
              <w:right w:val="single" w:color="000000" w:sz="10" w:space="0"/>
            </w:tcBorders>
            <w:shd w:val="clear" w:color="auto" w:fill="FFFFFF"/>
            <w:vAlign w:val="top"/>
          </w:tcPr>
          <w:p>
            <w:pPr>
              <w:widowControl/>
              <w:spacing w:line="232" w:lineRule="auto"/>
              <w:jc w:val="left"/>
              <w:rPr>
                <w:rFonts w:ascii="宋体" w:hAnsi="宋体" w:cs="宋体"/>
                <w:color w:val="auto"/>
                <w:spacing w:val="-2"/>
                <w:szCs w:val="22"/>
                <w:highlight w:val="none"/>
              </w:rPr>
            </w:pPr>
          </w:p>
        </w:tc>
      </w:tr>
    </w:tbl>
    <w:p>
      <w:pPr>
        <w:jc w:val="center"/>
        <w:rPr>
          <w:rFonts w:ascii="黑体" w:eastAsia="黑体" w:cs="宋体"/>
          <w:b/>
          <w:color w:val="auto"/>
          <w:kern w:val="0"/>
          <w:sz w:val="32"/>
          <w:szCs w:val="32"/>
          <w:highlight w:val="none"/>
        </w:rPr>
      </w:pPr>
    </w:p>
    <w:tbl>
      <w:tblPr>
        <w:tblStyle w:val="22"/>
        <w:tblW w:w="9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7"/>
        <w:gridCol w:w="215"/>
        <w:gridCol w:w="29"/>
        <w:gridCol w:w="1977"/>
        <w:gridCol w:w="169"/>
        <w:gridCol w:w="189"/>
        <w:gridCol w:w="215"/>
        <w:gridCol w:w="588"/>
        <w:gridCol w:w="284"/>
        <w:gridCol w:w="992"/>
        <w:gridCol w:w="425"/>
        <w:gridCol w:w="591"/>
        <w:gridCol w:w="118"/>
        <w:gridCol w:w="112"/>
        <w:gridCol w:w="14"/>
        <w:gridCol w:w="725"/>
        <w:gridCol w:w="77"/>
        <w:gridCol w:w="206"/>
        <w:gridCol w:w="284"/>
        <w:gridCol w:w="425"/>
        <w:gridCol w:w="142"/>
        <w:gridCol w:w="283"/>
        <w:gridCol w:w="142"/>
        <w:gridCol w:w="850"/>
        <w:gridCol w:w="233"/>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673" w:hRule="exact"/>
        </w:trPr>
        <w:tc>
          <w:tcPr>
            <w:tcW w:w="9639" w:type="dxa"/>
            <w:gridSpan w:val="24"/>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计日工表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6261"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r>
              <w:rPr>
                <w:rFonts w:hint="eastAsia" w:ascii="黑体" w:hAnsi="黑体" w:eastAsia="黑体" w:cs="黑体"/>
                <w:color w:val="auto"/>
                <w:spacing w:val="-2"/>
                <w:szCs w:val="22"/>
                <w:highlight w:val="none"/>
              </w:rPr>
              <w:t xml:space="preserve"> </w:t>
            </w:r>
          </w:p>
        </w:tc>
        <w:tc>
          <w:tcPr>
            <w:tcW w:w="1046"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7"/>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30" w:hRule="exact"/>
        </w:trPr>
        <w:tc>
          <w:tcPr>
            <w:tcW w:w="587" w:type="dxa"/>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编号</w:t>
            </w:r>
          </w:p>
        </w:tc>
        <w:tc>
          <w:tcPr>
            <w:tcW w:w="2390" w:type="dxa"/>
            <w:gridSpan w:val="4"/>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992"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单位</w:t>
            </w:r>
          </w:p>
        </w:tc>
        <w:tc>
          <w:tcPr>
            <w:tcW w:w="1276"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暂定数量</w:t>
            </w:r>
          </w:p>
        </w:tc>
        <w:tc>
          <w:tcPr>
            <w:tcW w:w="1134"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实际数量</w:t>
            </w:r>
          </w:p>
        </w:tc>
        <w:tc>
          <w:tcPr>
            <w:tcW w:w="1134" w:type="dxa"/>
            <w:gridSpan w:val="5"/>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综合单价</w:t>
            </w:r>
          </w:p>
        </w:tc>
        <w:tc>
          <w:tcPr>
            <w:tcW w:w="2126" w:type="dxa"/>
            <w:gridSpan w:val="6"/>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587" w:type="dxa"/>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2390"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276"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134"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134" w:type="dxa"/>
            <w:gridSpan w:val="5"/>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暂定</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一</w:t>
            </w: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人工</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29" w:hRule="exact"/>
        </w:trPr>
        <w:tc>
          <w:tcPr>
            <w:tcW w:w="7513"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人工小计</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二</w:t>
            </w: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材料</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44" w:hRule="exact"/>
        </w:trPr>
        <w:tc>
          <w:tcPr>
            <w:tcW w:w="7513"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材料小计</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29"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三</w:t>
            </w: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施工机械</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7513"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机械小计</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30" w:hRule="exact"/>
        </w:trPr>
        <w:tc>
          <w:tcPr>
            <w:tcW w:w="7513"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四、企业管理费和利润</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29"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459" w:hRule="exact"/>
        </w:trPr>
        <w:tc>
          <w:tcPr>
            <w:tcW w:w="7513" w:type="dxa"/>
            <w:gridSpan w:val="18"/>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总     计</w:t>
            </w:r>
          </w:p>
        </w:tc>
        <w:tc>
          <w:tcPr>
            <w:tcW w:w="1134"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992" w:type="dxa"/>
            <w:gridSpan w:val="2"/>
            <w:tcBorders>
              <w:top w:val="single" w:color="000000" w:sz="4" w:space="0"/>
              <w:left w:val="single" w:color="000000" w:sz="4" w:space="0"/>
              <w:bottom w:val="single" w:color="000000" w:sz="10" w:space="0"/>
              <w:right w:val="single" w:color="000000" w:sz="10" w:space="0"/>
            </w:tcBorders>
            <w:shd w:val="clear" w:color="auto" w:fill="FFFFFF"/>
            <w:vAlign w:val="top"/>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673" w:hRule="exact"/>
        </w:trPr>
        <w:tc>
          <w:tcPr>
            <w:tcW w:w="9639" w:type="dxa"/>
            <w:gridSpan w:val="24"/>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总承包服务费计价表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6261"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7"/>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674" w:hRule="exact"/>
        </w:trPr>
        <w:tc>
          <w:tcPr>
            <w:tcW w:w="802"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2006"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445"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项目价值(元)</w:t>
            </w:r>
          </w:p>
        </w:tc>
        <w:tc>
          <w:tcPr>
            <w:tcW w:w="1417"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服务内容</w:t>
            </w:r>
          </w:p>
        </w:tc>
        <w:tc>
          <w:tcPr>
            <w:tcW w:w="1560"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计算基础</w:t>
            </w:r>
          </w:p>
        </w:tc>
        <w:tc>
          <w:tcPr>
            <w:tcW w:w="1134"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费率(％)</w:t>
            </w:r>
          </w:p>
        </w:tc>
        <w:tc>
          <w:tcPr>
            <w:tcW w:w="1275" w:type="dxa"/>
            <w:gridSpan w:val="3"/>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发包人发包专业工程</w:t>
            </w: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项目价值</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29"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发包人供应材料</w:t>
            </w: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项目价值</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29"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29"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459" w:hRule="exact"/>
        </w:trPr>
        <w:tc>
          <w:tcPr>
            <w:tcW w:w="802" w:type="dxa"/>
            <w:gridSpan w:val="2"/>
            <w:tcBorders>
              <w:top w:val="single" w:color="000000" w:sz="4" w:space="0"/>
              <w:left w:val="single" w:color="000000" w:sz="10"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2006"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445" w:type="dxa"/>
            <w:gridSpan w:val="5"/>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1417"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1560" w:type="dxa"/>
            <w:gridSpan w:val="5"/>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1134" w:type="dxa"/>
            <w:gridSpan w:val="5"/>
            <w:tcBorders>
              <w:top w:val="single" w:color="000000" w:sz="4" w:space="0"/>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1275"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r>
              <w:rPr>
                <w:rFonts w:ascii="宋体" w:hAnsi="宋体" w:cs="宋体"/>
                <w:color w:val="auto"/>
                <w:spacing w:val="-2"/>
                <w:szCs w:val="2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673" w:hRule="exact"/>
        </w:trPr>
        <w:tc>
          <w:tcPr>
            <w:tcW w:w="9639" w:type="dxa"/>
            <w:gridSpan w:val="24"/>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6261"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7"/>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674" w:hRule="exact"/>
        </w:trPr>
        <w:tc>
          <w:tcPr>
            <w:tcW w:w="831" w:type="dxa"/>
            <w:gridSpan w:val="3"/>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2335"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3339" w:type="dxa"/>
            <w:gridSpan w:val="9"/>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计算基础</w:t>
            </w:r>
          </w:p>
        </w:tc>
        <w:tc>
          <w:tcPr>
            <w:tcW w:w="1292"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计算基数(元)</w:t>
            </w:r>
          </w:p>
        </w:tc>
        <w:tc>
          <w:tcPr>
            <w:tcW w:w="992"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计算费率(％)</w:t>
            </w:r>
          </w:p>
        </w:tc>
        <w:tc>
          <w:tcPr>
            <w:tcW w:w="850" w:type="dxa"/>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41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规费</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703"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1.1</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社会保险费</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699"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1.2</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住房公积金</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709"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1.3</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工程排污费</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1003"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税金</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4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34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4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4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329"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15" w:hRule="exact"/>
        </w:trPr>
        <w:tc>
          <w:tcPr>
            <w:tcW w:w="9639" w:type="dxa"/>
            <w:gridSpan w:val="24"/>
            <w:tcBorders>
              <w:top w:val="single" w:color="000000" w:sz="4" w:space="0"/>
            </w:tcBorders>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53" w:type="dxa"/>
          <w:trHeight w:val="444" w:hRule="exact"/>
        </w:trPr>
        <w:tc>
          <w:tcPr>
            <w:tcW w:w="8222" w:type="dxa"/>
            <w:gridSpan w:val="20"/>
            <w:tcBorders>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417" w:type="dxa"/>
            <w:gridSpan w:val="4"/>
            <w:tcBorders>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53" w:type="dxa"/>
          <w:trHeight w:val="229" w:hRule="exact"/>
        </w:trPr>
        <w:tc>
          <w:tcPr>
            <w:tcW w:w="9639" w:type="dxa"/>
            <w:gridSpan w:val="24"/>
            <w:tcBorders>
              <w:top w:val="single" w:color="000000" w:sz="10" w:space="0"/>
            </w:tcBorders>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3381" w:type="dxa"/>
            <w:gridSpan w:val="7"/>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编制人（造价人员）：</w:t>
            </w:r>
          </w:p>
        </w:tc>
        <w:tc>
          <w:tcPr>
            <w:tcW w:w="3110" w:type="dxa"/>
            <w:gridSpan w:val="7"/>
            <w:shd w:val="clear" w:color="auto" w:fill="auto"/>
            <w:vAlign w:val="top"/>
          </w:tcPr>
          <w:p>
            <w:pPr>
              <w:widowControl/>
              <w:jc w:val="left"/>
              <w:rPr>
                <w:rFonts w:ascii="Calibri" w:hAnsi="Calibri"/>
                <w:color w:val="auto"/>
                <w:sz w:val="2"/>
                <w:szCs w:val="22"/>
                <w:highlight w:val="none"/>
              </w:rPr>
            </w:pPr>
          </w:p>
        </w:tc>
        <w:tc>
          <w:tcPr>
            <w:tcW w:w="3381" w:type="dxa"/>
            <w:gridSpan w:val="11"/>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复核人（造价工程师）：</w:t>
            </w:r>
          </w:p>
        </w:tc>
        <w:tc>
          <w:tcPr>
            <w:tcW w:w="20" w:type="dxa"/>
            <w:vAlign w:val="top"/>
          </w:tcPr>
          <w:p>
            <w:pPr>
              <w:widowControl/>
              <w:jc w:val="left"/>
              <w:rPr>
                <w:rFonts w:ascii="Calibri" w:hAnsi="Calibri"/>
                <w:color w:val="auto"/>
                <w:sz w:val="2"/>
                <w:szCs w:val="22"/>
                <w:highlight w:val="none"/>
              </w:rPr>
            </w:pPr>
          </w:p>
        </w:tc>
      </w:tr>
    </w:tbl>
    <w:p>
      <w:pPr>
        <w:jc w:val="center"/>
        <w:rPr>
          <w:rFonts w:ascii="黑体" w:eastAsia="黑体" w:cs="宋体"/>
          <w:b/>
          <w:color w:val="auto"/>
          <w:kern w:val="0"/>
          <w:sz w:val="32"/>
          <w:szCs w:val="32"/>
          <w:highlight w:val="none"/>
        </w:rPr>
      </w:pPr>
    </w:p>
    <w:tbl>
      <w:tblPr>
        <w:tblStyle w:val="22"/>
        <w:tblW w:w="9892"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215"/>
        <w:gridCol w:w="845"/>
        <w:gridCol w:w="1018"/>
        <w:gridCol w:w="567"/>
        <w:gridCol w:w="120"/>
        <w:gridCol w:w="447"/>
        <w:gridCol w:w="283"/>
        <w:gridCol w:w="709"/>
        <w:gridCol w:w="283"/>
        <w:gridCol w:w="709"/>
        <w:gridCol w:w="284"/>
        <w:gridCol w:w="165"/>
        <w:gridCol w:w="230"/>
        <w:gridCol w:w="172"/>
        <w:gridCol w:w="567"/>
        <w:gridCol w:w="77"/>
        <w:gridCol w:w="490"/>
        <w:gridCol w:w="283"/>
        <w:gridCol w:w="709"/>
        <w:gridCol w:w="142"/>
        <w:gridCol w:w="708"/>
        <w:gridCol w:w="142"/>
        <w:gridCol w:w="91"/>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673" w:hRule="exact"/>
        </w:trPr>
        <w:tc>
          <w:tcPr>
            <w:tcW w:w="9639" w:type="dxa"/>
            <w:gridSpan w:val="22"/>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总价项目进度款支付分解表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5812" w:type="dxa"/>
            <w:gridSpan w:val="11"/>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851" w:type="dxa"/>
            <w:gridSpan w:val="4"/>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976" w:type="dxa"/>
            <w:gridSpan w:val="7"/>
            <w:tcBorders>
              <w:bottom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单位：元</w:t>
            </w:r>
            <w:r>
              <w:rPr>
                <w:rFonts w:hint="eastAsia" w:ascii="黑体" w:hAnsi="黑体" w:eastAsia="黑体" w:cs="黑体"/>
                <w:color w:val="auto"/>
                <w:spacing w:val="-2"/>
                <w:szCs w:val="22"/>
                <w:highlight w:val="none"/>
              </w:rPr>
              <w:t xml:space="preserve">        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674" w:hRule="exact"/>
        </w:trPr>
        <w:tc>
          <w:tcPr>
            <w:tcW w:w="831"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863"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134"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总价</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首次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二次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851"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三次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1134"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四次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五次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850" w:type="dxa"/>
            <w:gridSpan w:val="2"/>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安全文明施工费</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临时设施</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社会保险费</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4</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住房公积金</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30"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30"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widowControl/>
              <w:spacing w:line="232" w:lineRule="auto"/>
              <w:jc w:val="left"/>
              <w:rPr>
                <w:rFonts w:ascii="Arial" w:hAnsi="Arial" w:eastAsia="Arial" w:cs="Arial"/>
                <w:color w:val="auto"/>
                <w:spacing w:val="-2"/>
                <w:sz w:val="16"/>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15" w:hRule="exact"/>
        </w:trPr>
        <w:tc>
          <w:tcPr>
            <w:tcW w:w="9639" w:type="dxa"/>
            <w:gridSpan w:val="22"/>
            <w:tcBorders>
              <w:top w:val="single" w:color="000000" w:sz="4" w:space="0"/>
            </w:tcBorders>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444" w:hRule="exact"/>
        </w:trPr>
        <w:tc>
          <w:tcPr>
            <w:tcW w:w="2694" w:type="dxa"/>
            <w:gridSpan w:val="4"/>
            <w:tcBorders>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134" w:type="dxa"/>
            <w:gridSpan w:val="3"/>
            <w:tcBorders>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992" w:type="dxa"/>
            <w:gridSpan w:val="2"/>
            <w:tcBorders>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851" w:type="dxa"/>
            <w:gridSpan w:val="4"/>
            <w:tcBorders>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1134" w:type="dxa"/>
            <w:gridSpan w:val="3"/>
            <w:tcBorders>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992" w:type="dxa"/>
            <w:gridSpan w:val="2"/>
            <w:tcBorders>
              <w:left w:val="single" w:color="000000" w:sz="4" w:space="0"/>
              <w:bottom w:val="single" w:color="000000" w:sz="10" w:space="0"/>
              <w:right w:val="single" w:color="000000" w:sz="4" w:space="0"/>
            </w:tcBorders>
            <w:shd w:val="clear" w:color="auto" w:fill="FFFFFF"/>
            <w:vAlign w:val="top"/>
          </w:tcPr>
          <w:p>
            <w:pPr>
              <w:widowControl/>
              <w:spacing w:line="232" w:lineRule="auto"/>
              <w:jc w:val="left"/>
              <w:rPr>
                <w:rFonts w:ascii="宋体" w:hAnsi="宋体" w:cs="宋体"/>
                <w:color w:val="auto"/>
                <w:spacing w:val="-2"/>
                <w:szCs w:val="22"/>
                <w:highlight w:val="none"/>
              </w:rPr>
            </w:pPr>
          </w:p>
        </w:tc>
        <w:tc>
          <w:tcPr>
            <w:tcW w:w="850" w:type="dxa"/>
            <w:gridSpan w:val="2"/>
            <w:tcBorders>
              <w:left w:val="single" w:color="000000" w:sz="4" w:space="0"/>
              <w:bottom w:val="single" w:color="000000" w:sz="10" w:space="0"/>
              <w:right w:val="single" w:color="000000" w:sz="10" w:space="0"/>
            </w:tcBorders>
            <w:shd w:val="clear" w:color="auto" w:fill="FFFFFF"/>
            <w:vAlign w:val="top"/>
          </w:tcPr>
          <w:p>
            <w:pPr>
              <w:widowControl/>
              <w:spacing w:line="232" w:lineRule="auto"/>
              <w:jc w:val="left"/>
              <w:rPr>
                <w:rFonts w:ascii="宋体" w:hAnsi="宋体" w:cs="宋体"/>
                <w:color w:val="auto"/>
                <w:spacing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53" w:type="dxa"/>
          <w:trHeight w:val="57" w:hRule="exact"/>
        </w:trPr>
        <w:tc>
          <w:tcPr>
            <w:tcW w:w="9639" w:type="dxa"/>
            <w:gridSpan w:val="22"/>
            <w:tcBorders>
              <w:top w:val="single" w:color="000000" w:sz="10" w:space="0"/>
            </w:tcBorders>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3381" w:type="dxa"/>
            <w:gridSpan w:val="6"/>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编制人（造价人员）：</w:t>
            </w:r>
          </w:p>
        </w:tc>
        <w:tc>
          <w:tcPr>
            <w:tcW w:w="3110" w:type="dxa"/>
            <w:gridSpan w:val="8"/>
            <w:shd w:val="clear" w:color="auto" w:fill="auto"/>
            <w:vAlign w:val="top"/>
          </w:tcPr>
          <w:p>
            <w:pPr>
              <w:widowControl/>
              <w:jc w:val="left"/>
              <w:rPr>
                <w:rFonts w:ascii="Calibri" w:hAnsi="Calibri"/>
                <w:color w:val="auto"/>
                <w:sz w:val="2"/>
                <w:szCs w:val="22"/>
                <w:highlight w:val="none"/>
              </w:rPr>
            </w:pPr>
          </w:p>
        </w:tc>
        <w:tc>
          <w:tcPr>
            <w:tcW w:w="3381" w:type="dxa"/>
            <w:gridSpan w:val="10"/>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复核人（造价工程师）：</w:t>
            </w:r>
          </w:p>
        </w:tc>
        <w:tc>
          <w:tcPr>
            <w:tcW w:w="20" w:type="dxa"/>
            <w:vAlign w:val="top"/>
          </w:tcPr>
          <w:p>
            <w:pPr>
              <w:widowControl/>
              <w:jc w:val="left"/>
              <w:rPr>
                <w:rFonts w:ascii="Calibri" w:hAnsi="Calibri"/>
                <w:color w:val="auto"/>
                <w:sz w:val="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673" w:hRule="exact"/>
        </w:trPr>
        <w:tc>
          <w:tcPr>
            <w:tcW w:w="9781" w:type="dxa"/>
            <w:gridSpan w:val="23"/>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发包人提供材料和工程设备一览表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6261" w:type="dxa"/>
            <w:gridSpan w:val="13"/>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 xml:space="preserve">工程名称： </w:t>
            </w:r>
          </w:p>
        </w:tc>
        <w:tc>
          <w:tcPr>
            <w:tcW w:w="1046" w:type="dxa"/>
            <w:gridSpan w:val="4"/>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标段：</w:t>
            </w:r>
          </w:p>
        </w:tc>
        <w:tc>
          <w:tcPr>
            <w:tcW w:w="2474" w:type="dxa"/>
            <w:gridSpan w:val="6"/>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674" w:hRule="exact"/>
        </w:trPr>
        <w:tc>
          <w:tcPr>
            <w:tcW w:w="616" w:type="dxa"/>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序号</w:t>
            </w:r>
          </w:p>
        </w:tc>
        <w:tc>
          <w:tcPr>
            <w:tcW w:w="1060"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材料编码</w:t>
            </w:r>
          </w:p>
        </w:tc>
        <w:tc>
          <w:tcPr>
            <w:tcW w:w="1585"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材料(工程设备)名称、规格、型号</w:t>
            </w:r>
          </w:p>
        </w:tc>
        <w:tc>
          <w:tcPr>
            <w:tcW w:w="850"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单位</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数量</w:t>
            </w:r>
          </w:p>
        </w:tc>
        <w:tc>
          <w:tcPr>
            <w:tcW w:w="993"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单价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1134"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合价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850"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交货</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方式</w:t>
            </w:r>
          </w:p>
        </w:tc>
        <w:tc>
          <w:tcPr>
            <w:tcW w:w="851"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送达</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地点</w:t>
            </w:r>
          </w:p>
        </w:tc>
        <w:tc>
          <w:tcPr>
            <w:tcW w:w="850" w:type="dxa"/>
            <w:gridSpan w:val="2"/>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29"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329"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11" w:type="dxa"/>
          <w:trHeight w:val="459" w:hRule="exact"/>
        </w:trPr>
        <w:tc>
          <w:tcPr>
            <w:tcW w:w="4111" w:type="dxa"/>
            <w:gridSpan w:val="8"/>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合 计</w:t>
            </w:r>
          </w:p>
        </w:tc>
        <w:tc>
          <w:tcPr>
            <w:tcW w:w="992"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宋体" w:hAnsi="宋体" w:cs="宋体"/>
                <w:color w:val="auto"/>
                <w:spacing w:val="-2"/>
                <w:highlight w:val="none"/>
              </w:rPr>
            </w:pPr>
          </w:p>
        </w:tc>
        <w:tc>
          <w:tcPr>
            <w:tcW w:w="993"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宋体" w:hAnsi="宋体" w:cs="宋体"/>
                <w:color w:val="auto"/>
                <w:spacing w:val="-2"/>
                <w:highlight w:val="none"/>
              </w:rPr>
            </w:pPr>
          </w:p>
        </w:tc>
        <w:tc>
          <w:tcPr>
            <w:tcW w:w="1134"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r>
              <w:rPr>
                <w:rFonts w:ascii="宋体" w:hAnsi="宋体" w:cs="宋体"/>
                <w:color w:val="auto"/>
                <w:spacing w:val="-2"/>
                <w:highlight w:val="none"/>
              </w:rPr>
              <w:t xml:space="preserve"> </w:t>
            </w:r>
          </w:p>
        </w:tc>
        <w:tc>
          <w:tcPr>
            <w:tcW w:w="850" w:type="dxa"/>
            <w:gridSpan w:val="3"/>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宋体" w:hAnsi="宋体" w:cs="宋体"/>
                <w:color w:val="auto"/>
                <w:spacing w:val="-2"/>
                <w:highlight w:val="none"/>
              </w:rPr>
            </w:pPr>
          </w:p>
        </w:tc>
        <w:tc>
          <w:tcPr>
            <w:tcW w:w="851"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宋体" w:hAnsi="宋体" w:cs="宋体"/>
                <w:color w:val="auto"/>
                <w:spacing w:val="-2"/>
                <w:highlight w:val="none"/>
              </w:rPr>
            </w:pPr>
          </w:p>
        </w:tc>
        <w:tc>
          <w:tcPr>
            <w:tcW w:w="850" w:type="dxa"/>
            <w:gridSpan w:val="2"/>
            <w:tcBorders>
              <w:top w:val="single" w:color="000000" w:sz="4" w:space="0"/>
              <w:left w:val="single" w:color="000000" w:sz="4" w:space="0"/>
              <w:bottom w:val="single" w:color="000000" w:sz="10" w:space="0"/>
              <w:right w:val="single" w:color="000000" w:sz="10" w:space="0"/>
            </w:tcBorders>
            <w:shd w:val="clear" w:color="auto" w:fill="FFFFFF"/>
            <w:vAlign w:val="top"/>
          </w:tcPr>
          <w:p>
            <w:pPr>
              <w:spacing w:line="232" w:lineRule="auto"/>
              <w:rPr>
                <w:rFonts w:ascii="宋体" w:hAnsi="宋体" w:cs="宋体"/>
                <w:color w:val="auto"/>
                <w:spacing w:val="-2"/>
                <w:highlight w:val="none"/>
              </w:rPr>
            </w:pPr>
          </w:p>
        </w:tc>
      </w:tr>
    </w:tbl>
    <w:p>
      <w:pPr>
        <w:rPr>
          <w:vanish/>
          <w:color w:val="auto"/>
          <w:highlight w:val="none"/>
        </w:rPr>
      </w:pPr>
    </w:p>
    <w:tbl>
      <w:tblPr>
        <w:tblStyle w:val="22"/>
        <w:tblpPr w:leftFromText="180" w:rightFromText="180" w:vertAnchor="text" w:horzAnchor="page" w:tblpX="1110" w:tblpY="18"/>
        <w:tblOverlap w:val="never"/>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4"/>
        <w:gridCol w:w="359"/>
        <w:gridCol w:w="716"/>
        <w:gridCol w:w="2164"/>
        <w:gridCol w:w="186"/>
        <w:gridCol w:w="530"/>
        <w:gridCol w:w="746"/>
        <w:gridCol w:w="959"/>
        <w:gridCol w:w="33"/>
        <w:gridCol w:w="24"/>
        <w:gridCol w:w="543"/>
        <w:gridCol w:w="426"/>
        <w:gridCol w:w="77"/>
        <w:gridCol w:w="773"/>
        <w:gridCol w:w="567"/>
        <w:gridCol w:w="425"/>
        <w:gridCol w:w="567"/>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2" w:type="dxa"/>
          <w:trHeight w:val="1276" w:hRule="exact"/>
        </w:trPr>
        <w:tc>
          <w:tcPr>
            <w:tcW w:w="9639" w:type="dxa"/>
            <w:gridSpan w:val="17"/>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承包人提供主要材料和工程设备一览表</w:t>
            </w:r>
          </w:p>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（适用造价信息差额调整法）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2" w:type="dxa"/>
          <w:trHeight w:val="1077" w:hRule="exact"/>
        </w:trPr>
        <w:tc>
          <w:tcPr>
            <w:tcW w:w="6261" w:type="dxa"/>
            <w:gridSpan w:val="10"/>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 xml:space="preserve">工程名称： </w:t>
            </w:r>
          </w:p>
        </w:tc>
        <w:tc>
          <w:tcPr>
            <w:tcW w:w="1046" w:type="dxa"/>
            <w:gridSpan w:val="3"/>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标段：</w:t>
            </w:r>
          </w:p>
        </w:tc>
        <w:tc>
          <w:tcPr>
            <w:tcW w:w="2332" w:type="dxa"/>
            <w:gridSpan w:val="4"/>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exact"/>
        </w:trPr>
        <w:tc>
          <w:tcPr>
            <w:tcW w:w="544" w:type="dxa"/>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号</w:t>
            </w:r>
          </w:p>
        </w:tc>
        <w:tc>
          <w:tcPr>
            <w:tcW w:w="1075"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材料编码</w:t>
            </w:r>
          </w:p>
        </w:tc>
        <w:tc>
          <w:tcPr>
            <w:tcW w:w="2164" w:type="dxa"/>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名称、规格、型号</w:t>
            </w:r>
          </w:p>
        </w:tc>
        <w:tc>
          <w:tcPr>
            <w:tcW w:w="716"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单位</w:t>
            </w:r>
          </w:p>
        </w:tc>
        <w:tc>
          <w:tcPr>
            <w:tcW w:w="746" w:type="dxa"/>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数量</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风险系数</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w:t>
            </w:r>
          </w:p>
        </w:tc>
        <w:tc>
          <w:tcPr>
            <w:tcW w:w="993"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基准单价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850"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投标单价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发承包人</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确认单价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709" w:type="dxa"/>
            <w:gridSpan w:val="2"/>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exact"/>
        </w:trPr>
        <w:tc>
          <w:tcPr>
            <w:tcW w:w="544" w:type="dxa"/>
            <w:tcBorders>
              <w:top w:val="single" w:color="000000" w:sz="4" w:space="0"/>
              <w:left w:val="single" w:color="000000" w:sz="10"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10" w:space="0"/>
              <w:right w:val="single" w:color="000000" w:sz="4" w:space="0"/>
            </w:tcBorders>
            <w:shd w:val="clear" w:color="auto" w:fill="FFFFFF"/>
            <w:vAlign w:val="top"/>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10" w:space="0"/>
              <w:right w:val="single" w:color="000000" w:sz="10" w:space="0"/>
            </w:tcBorders>
            <w:shd w:val="clear" w:color="auto" w:fill="FFFFFF"/>
            <w:vAlign w:val="top"/>
          </w:tcPr>
          <w:p>
            <w:pPr>
              <w:spacing w:line="232" w:lineRule="auto"/>
              <w:rPr>
                <w:rFonts w:ascii="Arial" w:hAnsi="Arial" w:eastAsia="Arial" w:cs="Arial"/>
                <w:color w:val="auto"/>
                <w:spacing w:val="-2"/>
                <w:sz w:val="16"/>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9" w:hRule="exact"/>
        </w:trPr>
        <w:tc>
          <w:tcPr>
            <w:tcW w:w="9781" w:type="dxa"/>
            <w:gridSpan w:val="18"/>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承包人提供主要材料和工程设备一览表</w:t>
            </w:r>
          </w:p>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（适用于价格指数差额调整法）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6204" w:type="dxa"/>
            <w:gridSpan w:val="8"/>
            <w:tcBorders>
              <w:bottom w:val="single" w:color="000000" w:sz="10" w:space="0"/>
            </w:tcBorders>
            <w:shd w:val="clear" w:color="auto" w:fill="FFFFFF"/>
            <w:vAlign w:val="center"/>
          </w:tcPr>
          <w:p>
            <w:pPr>
              <w:spacing w:line="232" w:lineRule="auto"/>
              <w:rPr>
                <w:rFonts w:ascii="黑体" w:hAnsi="黑体" w:eastAsia="黑体" w:cs="黑体"/>
                <w:color w:val="auto"/>
                <w:spacing w:val="-2"/>
                <w:sz w:val="20"/>
                <w:highlight w:val="none"/>
              </w:rPr>
            </w:pPr>
            <w:r>
              <w:rPr>
                <w:rFonts w:ascii="黑体" w:hAnsi="黑体" w:eastAsia="黑体" w:cs="黑体"/>
                <w:color w:val="auto"/>
                <w:spacing w:val="-2"/>
                <w:sz w:val="20"/>
                <w:highlight w:val="none"/>
              </w:rPr>
              <w:t xml:space="preserve">工程名称： </w:t>
            </w:r>
          </w:p>
        </w:tc>
        <w:tc>
          <w:tcPr>
            <w:tcW w:w="600" w:type="dxa"/>
            <w:gridSpan w:val="3"/>
            <w:tcBorders>
              <w:bottom w:val="single" w:color="000000" w:sz="10" w:space="0"/>
            </w:tcBorders>
            <w:shd w:val="clear" w:color="auto" w:fill="FFFFFF"/>
            <w:vAlign w:val="center"/>
          </w:tcPr>
          <w:p>
            <w:pPr>
              <w:spacing w:line="232" w:lineRule="auto"/>
              <w:rPr>
                <w:rFonts w:ascii="黑体" w:hAnsi="黑体" w:eastAsia="黑体" w:cs="黑体"/>
                <w:color w:val="auto"/>
                <w:spacing w:val="-2"/>
                <w:sz w:val="20"/>
                <w:highlight w:val="none"/>
              </w:rPr>
            </w:pPr>
            <w:r>
              <w:rPr>
                <w:rFonts w:ascii="黑体" w:hAnsi="黑体" w:eastAsia="黑体" w:cs="黑体"/>
                <w:color w:val="auto"/>
                <w:spacing w:val="-2"/>
                <w:sz w:val="20"/>
                <w:highlight w:val="none"/>
              </w:rPr>
              <w:t>标段：</w:t>
            </w:r>
          </w:p>
        </w:tc>
        <w:tc>
          <w:tcPr>
            <w:tcW w:w="2977" w:type="dxa"/>
            <w:gridSpan w:val="7"/>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sz w:val="20"/>
                <w:highlight w:val="none"/>
              </w:rPr>
            </w:pPr>
            <w:r>
              <w:rPr>
                <w:rFonts w:hint="eastAsia" w:ascii="黑体" w:hAnsi="黑体" w:eastAsia="黑体" w:cs="黑体"/>
                <w:color w:val="auto"/>
                <w:spacing w:val="-2"/>
                <w:sz w:val="20"/>
                <w:highlight w:val="none"/>
              </w:rPr>
              <w:t>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903"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序号</w:t>
            </w:r>
          </w:p>
        </w:tc>
        <w:tc>
          <w:tcPr>
            <w:tcW w:w="3066"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名称、规格、型号</w:t>
            </w:r>
          </w:p>
        </w:tc>
        <w:tc>
          <w:tcPr>
            <w:tcW w:w="1276"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变值权重</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B</w:t>
            </w:r>
          </w:p>
        </w:tc>
        <w:tc>
          <w:tcPr>
            <w:tcW w:w="1559"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基本价格</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指数F0</w:t>
            </w:r>
          </w:p>
        </w:tc>
        <w:tc>
          <w:tcPr>
            <w:tcW w:w="1843"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现行价格</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指数Ft</w:t>
            </w:r>
          </w:p>
        </w:tc>
        <w:tc>
          <w:tcPr>
            <w:tcW w:w="1134" w:type="dxa"/>
            <w:gridSpan w:val="3"/>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r>
              <w:rPr>
                <w:rFonts w:ascii="宋体" w:hAnsi="宋体" w:cs="宋体"/>
                <w:color w:val="auto"/>
                <w:spacing w:val="-2"/>
                <w:sz w:val="20"/>
                <w:highlight w:val="none"/>
              </w:rPr>
              <w:t>定值权重A</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exact"/>
        </w:trPr>
        <w:tc>
          <w:tcPr>
            <w:tcW w:w="3969" w:type="dxa"/>
            <w:gridSpan w:val="5"/>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r>
              <w:rPr>
                <w:rFonts w:ascii="宋体" w:hAnsi="宋体" w:cs="宋体"/>
                <w:color w:val="auto"/>
                <w:spacing w:val="-2"/>
                <w:sz w:val="20"/>
                <w:highlight w:val="none"/>
              </w:rPr>
              <w:t>合    计</w:t>
            </w:r>
          </w:p>
        </w:tc>
        <w:tc>
          <w:tcPr>
            <w:tcW w:w="1276"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bl>
    <w:p>
      <w:pPr>
        <w:pStyle w:val="6"/>
        <w:jc w:val="center"/>
        <w:rPr>
          <w:rFonts w:ascii="宋体" w:hAnsi="宋体" w:eastAsia="宋体" w:cs="宋体"/>
          <w:color w:val="auto"/>
          <w:highlight w:val="none"/>
        </w:rPr>
        <w:sectPr>
          <w:pgSz w:w="11906" w:h="16838"/>
          <w:pgMar w:top="1440" w:right="1287" w:bottom="1440" w:left="1440" w:header="851" w:footer="992" w:gutter="0"/>
          <w:cols w:space="720" w:num="1"/>
          <w:docGrid w:type="lines" w:linePitch="312" w:charSpace="0"/>
        </w:sectPr>
      </w:pPr>
    </w:p>
    <w:p>
      <w:pPr>
        <w:pStyle w:val="6"/>
        <w:jc w:val="center"/>
        <w:rPr>
          <w:rFonts w:ascii="宋体" w:hAnsi="宋体" w:eastAsia="宋体" w:cs="宋体"/>
          <w:color w:val="auto"/>
          <w:highlight w:val="none"/>
        </w:rPr>
      </w:pPr>
      <w:r>
        <w:rPr>
          <w:rFonts w:hint="eastAsia" w:ascii="宋体" w:hAnsi="宋体" w:eastAsia="宋体" w:cs="宋体"/>
          <w:color w:val="auto"/>
          <w:highlight w:val="none"/>
        </w:rPr>
        <w:t>（五）中小企业声明函（格式）：</w:t>
      </w:r>
    </w:p>
    <w:p>
      <w:pPr>
        <w:rPr>
          <w:rFonts w:ascii="宋体" w:hAnsi="宋体" w:cs="宋体"/>
          <w:color w:val="auto"/>
          <w:highlight w:val="none"/>
        </w:rPr>
      </w:pP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本公司（联合体）郑重声明，根据《政府采购促进中小企业发展管理办法》（财库﹝2020﹞46 号）的规定，本公司（联合体）参加</w:t>
      </w:r>
      <w:r>
        <w:rPr>
          <w:rFonts w:hint="eastAsia" w:ascii="宋体" w:hAnsi="宋体" w:cs="宋体"/>
          <w:i/>
          <w:color w:val="auto"/>
          <w:kern w:val="0"/>
          <w:sz w:val="28"/>
          <w:szCs w:val="28"/>
          <w:highlight w:val="none"/>
          <w:u w:val="single"/>
        </w:rPr>
        <w:t>（</w:t>
      </w:r>
      <w:r>
        <w:rPr>
          <w:rFonts w:hint="eastAsia" w:ascii="宋体" w:hAnsi="宋体" w:cs="宋体"/>
          <w:color w:val="auto"/>
          <w:kern w:val="0"/>
          <w:sz w:val="28"/>
          <w:szCs w:val="28"/>
          <w:highlight w:val="none"/>
          <w:u w:val="single"/>
        </w:rPr>
        <w:t>单位名称）</w:t>
      </w:r>
      <w:r>
        <w:rPr>
          <w:rFonts w:hint="eastAsia" w:ascii="宋体" w:hAnsi="宋体" w:cs="宋体"/>
          <w:color w:val="auto"/>
          <w:kern w:val="0"/>
          <w:sz w:val="28"/>
          <w:szCs w:val="28"/>
          <w:highlight w:val="none"/>
        </w:rPr>
        <w:t>的</w:t>
      </w:r>
      <w:r>
        <w:rPr>
          <w:rFonts w:hint="eastAsia" w:ascii="宋体" w:hAnsi="宋体" w:cs="宋体"/>
          <w:color w:val="auto"/>
          <w:kern w:val="0"/>
          <w:sz w:val="28"/>
          <w:szCs w:val="28"/>
          <w:highlight w:val="none"/>
          <w:u w:val="single"/>
        </w:rPr>
        <w:t>（项目名称）</w:t>
      </w:r>
      <w:r>
        <w:rPr>
          <w:rFonts w:hint="eastAsia" w:ascii="宋体" w:hAnsi="宋体" w:cs="宋体"/>
          <w:color w:val="auto"/>
          <w:kern w:val="0"/>
          <w:sz w:val="28"/>
          <w:szCs w:val="28"/>
          <w:highlight w:val="none"/>
        </w:rPr>
        <w:t xml:space="preserve">采购活动，工程的施工单位全部为符合政策要求的中小企业（或者：服务全部由符合政策要求的中小企业承接）。相关企业 （含联合体中的中小企业、签订分包意向协议的中小企业）的具体情况如下： </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1.</w:t>
      </w:r>
      <w:r>
        <w:rPr>
          <w:rFonts w:hint="eastAsia" w:ascii="宋体" w:hAnsi="宋体" w:cs="宋体"/>
          <w:color w:val="auto"/>
          <w:kern w:val="0"/>
          <w:sz w:val="28"/>
          <w:szCs w:val="28"/>
          <w:highlight w:val="none"/>
          <w:u w:val="single"/>
        </w:rPr>
        <w:t xml:space="preserve"> </w:t>
      </w:r>
      <w:r>
        <w:rPr>
          <w:rFonts w:hint="eastAsia" w:ascii="宋体" w:hAnsi="宋体" w:cs="宋体"/>
          <w:i/>
          <w:color w:val="auto"/>
          <w:kern w:val="0"/>
          <w:sz w:val="28"/>
          <w:szCs w:val="28"/>
          <w:highlight w:val="none"/>
          <w:u w:val="single"/>
        </w:rPr>
        <w:t xml:space="preserve">（标的名称） </w:t>
      </w:r>
      <w:r>
        <w:rPr>
          <w:rFonts w:hint="eastAsia" w:ascii="宋体" w:hAnsi="宋体" w:cs="宋体"/>
          <w:color w:val="auto"/>
          <w:kern w:val="0"/>
          <w:sz w:val="28"/>
          <w:szCs w:val="28"/>
          <w:highlight w:val="none"/>
        </w:rPr>
        <w:t>，属于</w:t>
      </w:r>
      <w:r>
        <w:rPr>
          <w:rFonts w:hint="eastAsia" w:ascii="宋体" w:hAnsi="宋体" w:cs="宋体"/>
          <w:i/>
          <w:color w:val="auto"/>
          <w:kern w:val="0"/>
          <w:sz w:val="28"/>
          <w:szCs w:val="28"/>
          <w:highlight w:val="none"/>
          <w:u w:val="single"/>
        </w:rPr>
        <w:t>（采购文件中明确的所属行业）</w:t>
      </w:r>
      <w:r>
        <w:rPr>
          <w:rFonts w:hint="eastAsia" w:ascii="宋体" w:hAnsi="宋体" w:cs="宋体"/>
          <w:i/>
          <w:color w:val="auto"/>
          <w:kern w:val="0"/>
          <w:sz w:val="28"/>
          <w:szCs w:val="28"/>
          <w:highlight w:val="none"/>
        </w:rPr>
        <w:t>行业</w:t>
      </w:r>
      <w:r>
        <w:rPr>
          <w:rFonts w:hint="eastAsia" w:ascii="宋体" w:hAnsi="宋体" w:cs="宋体"/>
          <w:color w:val="auto"/>
          <w:kern w:val="0"/>
          <w:sz w:val="28"/>
          <w:szCs w:val="28"/>
          <w:highlight w:val="none"/>
        </w:rPr>
        <w:t>；承建（承接）企业为</w:t>
      </w:r>
      <w:r>
        <w:rPr>
          <w:rFonts w:hint="eastAsia" w:ascii="宋体" w:hAnsi="宋体" w:cs="宋体"/>
          <w:i/>
          <w:color w:val="auto"/>
          <w:kern w:val="0"/>
          <w:sz w:val="28"/>
          <w:szCs w:val="28"/>
          <w:highlight w:val="none"/>
          <w:u w:val="single"/>
        </w:rPr>
        <w:t>（企业名称）</w:t>
      </w:r>
      <w:r>
        <w:rPr>
          <w:rFonts w:hint="eastAsia" w:ascii="宋体" w:hAnsi="宋体" w:cs="宋体"/>
          <w:color w:val="auto"/>
          <w:kern w:val="0"/>
          <w:sz w:val="28"/>
          <w:szCs w:val="28"/>
          <w:highlight w:val="none"/>
        </w:rPr>
        <w:t>，从业人员</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人，营业收入为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万元，资产总额为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万元，属于</w:t>
      </w:r>
      <w:r>
        <w:rPr>
          <w:rFonts w:hint="eastAsia" w:ascii="宋体" w:hAnsi="宋体" w:cs="宋体"/>
          <w:i/>
          <w:color w:val="auto"/>
          <w:kern w:val="0"/>
          <w:sz w:val="28"/>
          <w:szCs w:val="28"/>
          <w:highlight w:val="none"/>
          <w:u w:val="single"/>
        </w:rPr>
        <w:t>（中型企业、小型企业、微型企业）</w:t>
      </w:r>
      <w:r>
        <w:rPr>
          <w:rFonts w:hint="eastAsia" w:ascii="宋体" w:hAnsi="宋体" w:cs="宋体"/>
          <w:color w:val="auto"/>
          <w:kern w:val="0"/>
          <w:sz w:val="28"/>
          <w:szCs w:val="28"/>
          <w:highlight w:val="none"/>
        </w:rPr>
        <w:t xml:space="preserve">； </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2. </w:t>
      </w:r>
      <w:r>
        <w:rPr>
          <w:rFonts w:hint="eastAsia" w:ascii="宋体" w:hAnsi="宋体" w:cs="宋体"/>
          <w:color w:val="auto"/>
          <w:kern w:val="0"/>
          <w:sz w:val="28"/>
          <w:szCs w:val="28"/>
          <w:highlight w:val="none"/>
          <w:u w:val="single"/>
        </w:rPr>
        <w:t xml:space="preserve"> </w:t>
      </w:r>
      <w:r>
        <w:rPr>
          <w:rFonts w:hint="eastAsia" w:ascii="宋体" w:hAnsi="宋体" w:cs="宋体"/>
          <w:i/>
          <w:color w:val="auto"/>
          <w:kern w:val="0"/>
          <w:sz w:val="28"/>
          <w:szCs w:val="28"/>
          <w:highlight w:val="none"/>
          <w:u w:val="single"/>
        </w:rPr>
        <w:t xml:space="preserve">（标的名称） </w:t>
      </w:r>
      <w:r>
        <w:rPr>
          <w:rFonts w:hint="eastAsia" w:ascii="宋体" w:hAnsi="宋体" w:cs="宋体"/>
          <w:color w:val="auto"/>
          <w:kern w:val="0"/>
          <w:sz w:val="28"/>
          <w:szCs w:val="28"/>
          <w:highlight w:val="none"/>
        </w:rPr>
        <w:t>，属于</w:t>
      </w:r>
      <w:r>
        <w:rPr>
          <w:rFonts w:hint="eastAsia" w:ascii="宋体" w:hAnsi="宋体" w:cs="宋体"/>
          <w:i/>
          <w:color w:val="auto"/>
          <w:kern w:val="0"/>
          <w:sz w:val="28"/>
          <w:szCs w:val="28"/>
          <w:highlight w:val="none"/>
          <w:u w:val="single"/>
        </w:rPr>
        <w:t>（采购文件中明确的所属行业）</w:t>
      </w:r>
      <w:r>
        <w:rPr>
          <w:rFonts w:hint="eastAsia" w:ascii="宋体" w:hAnsi="宋体" w:cs="宋体"/>
          <w:i/>
          <w:color w:val="auto"/>
          <w:kern w:val="0"/>
          <w:sz w:val="28"/>
          <w:szCs w:val="28"/>
          <w:highlight w:val="none"/>
        </w:rPr>
        <w:t>行业</w:t>
      </w:r>
      <w:r>
        <w:rPr>
          <w:rFonts w:hint="eastAsia" w:ascii="宋体" w:hAnsi="宋体" w:cs="宋体"/>
          <w:color w:val="auto"/>
          <w:kern w:val="0"/>
          <w:sz w:val="28"/>
          <w:szCs w:val="28"/>
          <w:highlight w:val="none"/>
        </w:rPr>
        <w:t>；承建（承接）企业为</w:t>
      </w:r>
      <w:r>
        <w:rPr>
          <w:rFonts w:hint="eastAsia" w:ascii="宋体" w:hAnsi="宋体" w:cs="宋体"/>
          <w:i/>
          <w:color w:val="auto"/>
          <w:kern w:val="0"/>
          <w:sz w:val="28"/>
          <w:szCs w:val="28"/>
          <w:highlight w:val="none"/>
          <w:u w:val="single"/>
        </w:rPr>
        <w:t>（企业名称）</w:t>
      </w:r>
      <w:r>
        <w:rPr>
          <w:rFonts w:hint="eastAsia" w:ascii="宋体" w:hAnsi="宋体" w:cs="宋体"/>
          <w:color w:val="auto"/>
          <w:kern w:val="0"/>
          <w:sz w:val="28"/>
          <w:szCs w:val="28"/>
          <w:highlight w:val="none"/>
        </w:rPr>
        <w:t>，从业人员</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人，营业收入为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万元，资产总额为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万元，属于</w:t>
      </w:r>
      <w:r>
        <w:rPr>
          <w:rFonts w:hint="eastAsia" w:ascii="宋体" w:hAnsi="宋体" w:cs="宋体"/>
          <w:i/>
          <w:color w:val="auto"/>
          <w:kern w:val="0"/>
          <w:sz w:val="28"/>
          <w:szCs w:val="28"/>
          <w:highlight w:val="none"/>
          <w:u w:val="single"/>
        </w:rPr>
        <w:t>（中型企业、小型企业、微型企业）</w:t>
      </w:r>
      <w:r>
        <w:rPr>
          <w:rFonts w:hint="eastAsia" w:ascii="宋体" w:hAnsi="宋体" w:cs="宋体"/>
          <w:color w:val="auto"/>
          <w:kern w:val="0"/>
          <w:sz w:val="28"/>
          <w:szCs w:val="28"/>
          <w:highlight w:val="none"/>
        </w:rPr>
        <w:t xml:space="preserve">； </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以上企业，不属于大企业的分支机构，不存在控股股东为大企业的情形，也不存在与大企业的负责人为同一人的情形。</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本企业对上述声明内容的真实性负责。如有虚假，将依法承担相应责任。 </w:t>
      </w:r>
    </w:p>
    <w:p>
      <w:pPr>
        <w:widowControl/>
        <w:snapToGrid w:val="0"/>
        <w:spacing w:line="360" w:lineRule="auto"/>
        <w:ind w:firstLine="560" w:firstLineChars="200"/>
        <w:jc w:val="righ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企业名称（盖章）： </w:t>
      </w:r>
    </w:p>
    <w:p>
      <w:pPr>
        <w:jc w:val="right"/>
        <w:rPr>
          <w:rFonts w:ascii="宋体" w:hAnsi="宋体" w:cs="宋体"/>
          <w:b/>
          <w:color w:val="auto"/>
          <w:sz w:val="32"/>
          <w:szCs w:val="32"/>
          <w:highlight w:val="none"/>
        </w:rPr>
      </w:pPr>
      <w:r>
        <w:rPr>
          <w:rFonts w:hint="eastAsia" w:ascii="宋体" w:hAnsi="宋体" w:cs="宋体"/>
          <w:color w:val="auto"/>
          <w:kern w:val="0"/>
          <w:sz w:val="28"/>
          <w:szCs w:val="28"/>
          <w:highlight w:val="none"/>
        </w:rPr>
        <w:t>日 期：</w:t>
      </w:r>
    </w:p>
    <w:p>
      <w:pPr>
        <w:spacing w:line="348" w:lineRule="auto"/>
        <w:ind w:left="106" w:right="111" w:firstLine="170"/>
        <w:rPr>
          <w:rFonts w:ascii="宋体" w:hAnsi="宋体" w:cs="宋体"/>
          <w:color w:val="auto"/>
          <w:szCs w:val="21"/>
          <w:highlight w:val="none"/>
        </w:rPr>
      </w:pPr>
      <w:r>
        <w:rPr>
          <w:rFonts w:ascii="宋体" w:hAnsi="宋体" w:cs="宋体"/>
          <w:b/>
          <w:bCs/>
          <w:color w:val="auto"/>
          <w:spacing w:val="-2"/>
          <w:szCs w:val="21"/>
          <w:highlight w:val="none"/>
        </w:rPr>
        <w:t>注：</w:t>
      </w:r>
      <w:r>
        <w:rPr>
          <w:rFonts w:hint="eastAsia" w:ascii="宋体" w:hAnsi="宋体" w:cs="宋体"/>
          <w:color w:val="auto"/>
          <w:szCs w:val="21"/>
          <w:highlight w:val="none"/>
        </w:rPr>
        <w:t>1.从业人员、营业收入、资产总额填报上一年度数据，无上一年度数据的新成立企业可不填报。</w:t>
      </w:r>
    </w:p>
    <w:p>
      <w:pPr>
        <w:spacing w:line="360" w:lineRule="auto"/>
        <w:ind w:firstLine="630" w:firstLineChars="300"/>
        <w:rPr>
          <w:rFonts w:ascii="宋体" w:hAnsi="宋体" w:cs="宋体"/>
          <w:color w:val="auto"/>
          <w:highlight w:val="none"/>
        </w:rPr>
      </w:pPr>
      <w:r>
        <w:rPr>
          <w:rFonts w:hint="eastAsia" w:ascii="宋体" w:hAnsi="宋体" w:cs="宋体"/>
          <w:color w:val="auto"/>
          <w:szCs w:val="21"/>
          <w:highlight w:val="none"/>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spacing w:before="7"/>
        <w:jc w:val="center"/>
        <w:rPr>
          <w:rFonts w:ascii="宋体" w:hAnsi="宋体" w:cs="宋体"/>
          <w:b/>
          <w:bCs/>
          <w:color w:val="auto"/>
          <w:spacing w:val="-9"/>
          <w:sz w:val="30"/>
          <w:szCs w:val="30"/>
          <w:highlight w:val="none"/>
        </w:rPr>
      </w:pPr>
      <w:r>
        <w:rPr>
          <w:rFonts w:hint="eastAsia" w:ascii="宋体" w:hAnsi="宋体" w:cs="宋体"/>
          <w:b/>
          <w:bCs/>
          <w:color w:val="auto"/>
          <w:spacing w:val="-9"/>
          <w:sz w:val="30"/>
          <w:szCs w:val="30"/>
          <w:highlight w:val="none"/>
        </w:rPr>
        <w:t>（六） 残疾人福利性单位声明函（格式）</w:t>
      </w:r>
    </w:p>
    <w:p>
      <w:pPr>
        <w:spacing w:before="7"/>
        <w:ind w:left="2512"/>
        <w:jc w:val="left"/>
        <w:rPr>
          <w:rFonts w:ascii="宋体" w:hAnsi="宋体" w:cs="宋体"/>
          <w:b/>
          <w:bCs/>
          <w:color w:val="auto"/>
          <w:spacing w:val="-9"/>
          <w:sz w:val="30"/>
          <w:szCs w:val="30"/>
          <w:highlight w:val="none"/>
        </w:rPr>
      </w:pPr>
    </w:p>
    <w:p>
      <w:pPr>
        <w:pStyle w:val="12"/>
        <w:spacing w:line="367" w:lineRule="auto"/>
        <w:ind w:right="116"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pacing w:val="119"/>
          <w:sz w:val="24"/>
          <w:szCs w:val="24"/>
          <w:highlight w:val="none"/>
          <w:u w:val="single"/>
        </w:rPr>
        <w:t xml:space="preserve">      </w:t>
      </w:r>
      <w:r>
        <w:rPr>
          <w:rFonts w:hint="eastAsia" w:ascii="宋体" w:hAnsi="宋体" w:eastAsia="宋体" w:cs="宋体"/>
          <w:color w:val="auto"/>
          <w:sz w:val="24"/>
          <w:szCs w:val="24"/>
          <w:highlight w:val="none"/>
        </w:rPr>
        <w:t>项目采购活动提</w:t>
      </w:r>
      <w:r>
        <w:rPr>
          <w:rFonts w:hint="eastAsia" w:ascii="宋体" w:hAnsi="宋体" w:eastAsia="宋体" w:cs="宋体"/>
          <w:color w:val="auto"/>
          <w:spacing w:val="-2"/>
          <w:sz w:val="24"/>
          <w:szCs w:val="24"/>
          <w:highlight w:val="none"/>
        </w:rPr>
        <w:t>供本单位制造的货物（由本单位承担工程/提供服务），或者提供其他残疾人福利性单位</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z w:val="24"/>
          <w:szCs w:val="24"/>
          <w:highlight w:val="none"/>
        </w:rPr>
        <w:t xml:space="preserve">制造的货物（不包括使用非残疾人福利性单位注册商标的货物）。 </w:t>
      </w:r>
    </w:p>
    <w:p>
      <w:pPr>
        <w:pStyle w:val="12"/>
        <w:spacing w:before="39"/>
        <w:ind w:left="526"/>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本单位对上述声明的真实性负责。如有虚假，将依法承担相应责任。 </w:t>
      </w:r>
    </w:p>
    <w:p>
      <w:pPr>
        <w:spacing w:line="360" w:lineRule="auto"/>
        <w:ind w:firstLine="4800" w:firstLineChars="2000"/>
        <w:rPr>
          <w:rFonts w:ascii="宋体" w:hAnsi="宋体" w:cs="宋体"/>
          <w:bCs/>
          <w:color w:val="auto"/>
          <w:sz w:val="24"/>
          <w:highlight w:val="none"/>
        </w:rPr>
      </w:pPr>
    </w:p>
    <w:p>
      <w:pPr>
        <w:spacing w:line="360" w:lineRule="auto"/>
        <w:ind w:firstLine="4800" w:firstLineChars="2000"/>
        <w:rPr>
          <w:rFonts w:ascii="宋体" w:hAnsi="宋体" w:cs="宋体"/>
          <w:bCs/>
          <w:color w:val="auto"/>
          <w:sz w:val="24"/>
          <w:highlight w:val="none"/>
        </w:rPr>
      </w:pPr>
    </w:p>
    <w:p>
      <w:pPr>
        <w:spacing w:line="360" w:lineRule="auto"/>
        <w:ind w:firstLine="4800" w:firstLineChars="2000"/>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rPr>
          <w:rFonts w:ascii="宋体" w:hAnsi="宋体" w:cs="宋体"/>
          <w:bCs/>
          <w:color w:val="auto"/>
          <w:sz w:val="24"/>
          <w:highlight w:val="none"/>
        </w:rPr>
      </w:pPr>
    </w:p>
    <w:p>
      <w:pPr>
        <w:spacing w:line="360" w:lineRule="auto"/>
        <w:ind w:firstLine="4800" w:firstLineChars="2000"/>
        <w:rPr>
          <w:rFonts w:ascii="宋体" w:hAnsi="宋体" w:cs="宋体"/>
          <w:color w:val="auto"/>
          <w:highlight w:val="none"/>
        </w:rPr>
      </w:pPr>
      <w:r>
        <w:rPr>
          <w:rFonts w:hint="eastAsia" w:ascii="宋体" w:hAnsi="宋体" w:cs="宋体"/>
          <w:bCs/>
          <w:color w:val="auto"/>
          <w:sz w:val="24"/>
          <w:highlight w:val="none"/>
        </w:rPr>
        <w:t>日　　　　　　期：</w:t>
      </w:r>
    </w:p>
    <w:p>
      <w:pPr>
        <w:pStyle w:val="6"/>
        <w:jc w:val="center"/>
        <w:rPr>
          <w:rFonts w:ascii="宋体" w:hAnsi="宋体" w:eastAsia="宋体" w:cs="宋体"/>
          <w:color w:val="auto"/>
          <w:highlight w:val="none"/>
        </w:rPr>
      </w:pPr>
    </w:p>
    <w:p>
      <w:pPr>
        <w:pStyle w:val="6"/>
        <w:jc w:val="center"/>
        <w:rPr>
          <w:rFonts w:ascii="宋体" w:hAnsi="宋体" w:eastAsia="宋体" w:cs="宋体"/>
          <w:color w:val="auto"/>
          <w:highlight w:val="none"/>
        </w:rPr>
      </w:pPr>
    </w:p>
    <w:p>
      <w:pPr>
        <w:pStyle w:val="6"/>
        <w:jc w:val="center"/>
        <w:rPr>
          <w:rFonts w:ascii="宋体" w:hAnsi="宋体" w:eastAsia="宋体" w:cs="宋体"/>
          <w:color w:val="auto"/>
          <w:highlight w:val="none"/>
        </w:rPr>
      </w:pPr>
    </w:p>
    <w:p>
      <w:pPr>
        <w:pStyle w:val="6"/>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（七）法定代表人授权委托书（格式）</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采购编号：</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p>
      <w:pPr>
        <w:topLinePunct/>
        <w:snapToGrid w:val="0"/>
        <w:spacing w:line="360" w:lineRule="auto"/>
        <w:jc w:val="center"/>
        <w:rPr>
          <w:rFonts w:ascii="宋体" w:hAnsi="宋体" w:cs="宋体"/>
          <w:color w:val="auto"/>
          <w:sz w:val="24"/>
          <w:highlight w:val="none"/>
        </w:rPr>
      </w:pPr>
    </w:p>
    <w:p>
      <w:pPr>
        <w:topLinePunct/>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江苏德诺工程项目管理有限公司</w:t>
      </w:r>
      <w:r>
        <w:rPr>
          <w:rFonts w:hint="eastAsia" w:ascii="宋体" w:hAnsi="宋体" w:cs="宋体"/>
          <w:color w:val="auto"/>
          <w:sz w:val="24"/>
          <w:highlight w:val="none"/>
          <w:u w:val="single"/>
        </w:rPr>
        <w:t xml:space="preserve">：  </w:t>
      </w:r>
    </w:p>
    <w:p>
      <w:pPr>
        <w:topLinePunct/>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系中华人民共和国合法企业</w:t>
      </w:r>
    </w:p>
    <w:p>
      <w:pPr>
        <w:topLinePunct/>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法定地址：                      特授权      代表我公司（单位）全权办理针对本项目（采购编号：          ）的报价等具体工作，并签署全部有关文件、协议及合同。</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我公司（单位）对被授权人的签名负全部责任。</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在撤销授权的书面通知送达你处以前，本授权书一直有效，被授权人签署的所有文件（在授权书有效期内签署的）不因授权的撤销而失效。被授权人有（无）转委托权。</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被授权人情况：</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姓名：          性别：         年龄：          职务：</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身份证号码：                   电话：</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通讯地址：</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被授权人签名：                  单位名称（盖章）：</w:t>
      </w:r>
    </w:p>
    <w:p>
      <w:pPr>
        <w:topLinePunct/>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法定代表人（签字或盖章）：</w:t>
      </w:r>
    </w:p>
    <w:tbl>
      <w:tblPr>
        <w:tblStyle w:val="22"/>
        <w:tblpPr w:leftFromText="180" w:rightFromText="180" w:vertAnchor="text" w:horzAnchor="page" w:tblpX="1226" w:tblpY="455"/>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vAlign w:val="top"/>
          </w:tcPr>
          <w:p>
            <w:pPr>
              <w:widowControl/>
              <w:topLinePunct/>
              <w:spacing w:before="4" w:line="360" w:lineRule="auto"/>
              <w:rPr>
                <w:rFonts w:ascii="宋体" w:hAnsi="宋体" w:cs="宋体"/>
                <w:color w:val="auto"/>
                <w:sz w:val="24"/>
                <w:highlight w:val="none"/>
              </w:rPr>
            </w:pPr>
          </w:p>
          <w:p>
            <w:pPr>
              <w:widowControl/>
              <w:topLinePunct/>
              <w:spacing w:before="4" w:line="360" w:lineRule="auto"/>
              <w:rPr>
                <w:rFonts w:ascii="宋体" w:hAnsi="宋体" w:cs="宋体"/>
                <w:color w:val="auto"/>
                <w:sz w:val="24"/>
                <w:highlight w:val="none"/>
              </w:rPr>
            </w:pPr>
          </w:p>
          <w:p>
            <w:pPr>
              <w:widowControl/>
              <w:topLinePunct/>
              <w:spacing w:before="4"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法定代表人身份证复印件</w:t>
            </w:r>
          </w:p>
        </w:tc>
        <w:tc>
          <w:tcPr>
            <w:tcW w:w="720" w:type="dxa"/>
            <w:tcBorders>
              <w:top w:val="nil"/>
              <w:bottom w:val="nil"/>
            </w:tcBorders>
            <w:vAlign w:val="top"/>
          </w:tcPr>
          <w:p>
            <w:pPr>
              <w:widowControl/>
              <w:jc w:val="left"/>
              <w:rPr>
                <w:rFonts w:ascii="宋体" w:hAnsi="宋体" w:cs="宋体"/>
                <w:color w:val="auto"/>
                <w:sz w:val="24"/>
                <w:highlight w:val="none"/>
              </w:rPr>
            </w:pPr>
          </w:p>
        </w:tc>
        <w:tc>
          <w:tcPr>
            <w:tcW w:w="5040" w:type="dxa"/>
            <w:vAlign w:val="top"/>
          </w:tcPr>
          <w:p>
            <w:pPr>
              <w:widowControl/>
              <w:topLinePunct/>
              <w:spacing w:before="4" w:line="360" w:lineRule="auto"/>
              <w:rPr>
                <w:rFonts w:ascii="宋体" w:hAnsi="宋体" w:cs="宋体"/>
                <w:color w:val="auto"/>
                <w:sz w:val="24"/>
                <w:highlight w:val="none"/>
              </w:rPr>
            </w:pPr>
          </w:p>
          <w:p>
            <w:pPr>
              <w:widowControl/>
              <w:topLinePunct/>
              <w:spacing w:before="4" w:line="360" w:lineRule="auto"/>
              <w:rPr>
                <w:rFonts w:ascii="宋体" w:hAnsi="宋体" w:cs="宋体"/>
                <w:color w:val="auto"/>
                <w:sz w:val="24"/>
                <w:highlight w:val="none"/>
              </w:rPr>
            </w:pPr>
          </w:p>
          <w:p>
            <w:pPr>
              <w:widowControl/>
              <w:topLinePunct/>
              <w:spacing w:before="4" w:line="360" w:lineRule="auto"/>
              <w:jc w:val="center"/>
              <w:rPr>
                <w:rFonts w:ascii="宋体" w:hAnsi="宋体" w:cs="宋体"/>
                <w:color w:val="auto"/>
                <w:sz w:val="24"/>
                <w:highlight w:val="none"/>
              </w:rPr>
            </w:pPr>
            <w:r>
              <w:rPr>
                <w:rFonts w:hint="eastAsia" w:ascii="宋体" w:hAnsi="宋体" w:cs="宋体"/>
                <w:color w:val="auto"/>
                <w:sz w:val="24"/>
                <w:highlight w:val="none"/>
              </w:rPr>
              <w:t>授权代表身份证复印件</w:t>
            </w:r>
          </w:p>
        </w:tc>
      </w:tr>
    </w:tbl>
    <w:p>
      <w:pPr>
        <w:topLinePunct/>
        <w:snapToGrid w:val="0"/>
        <w:spacing w:line="360" w:lineRule="auto"/>
        <w:ind w:firstLine="5760" w:firstLineChars="2400"/>
        <w:rPr>
          <w:rFonts w:ascii="宋体" w:hAnsi="宋体" w:cs="宋体"/>
          <w:color w:val="auto"/>
          <w:sz w:val="24"/>
          <w:highlight w:val="none"/>
        </w:rPr>
      </w:pPr>
      <w:r>
        <w:rPr>
          <w:rFonts w:hint="eastAsia" w:ascii="宋体" w:hAnsi="宋体" w:cs="宋体"/>
          <w:color w:val="auto"/>
          <w:sz w:val="24"/>
          <w:highlight w:val="none"/>
        </w:rPr>
        <w:t>年     月     日</w:t>
      </w:r>
    </w:p>
    <w:p>
      <w:pPr>
        <w:pStyle w:val="6"/>
        <w:jc w:val="center"/>
        <w:rPr>
          <w:rFonts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highlight w:val="none"/>
        </w:rPr>
        <w:t xml:space="preserve"> （八）关于资格的声明函（格式）</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采购编号：</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p>
      <w:pPr>
        <w:jc w:val="center"/>
        <w:rPr>
          <w:rFonts w:ascii="宋体" w:hAnsi="宋体" w:cs="宋体"/>
          <w:color w:val="auto"/>
          <w:highlight w:val="none"/>
        </w:rPr>
      </w:pPr>
    </w:p>
    <w:p>
      <w:pPr>
        <w:topLinePunct/>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p>
    <w:p>
      <w:pPr>
        <w:spacing w:line="480" w:lineRule="auto"/>
        <w:rPr>
          <w:rFonts w:ascii="宋体" w:hAnsi="宋体" w:cs="宋体"/>
          <w:color w:val="auto"/>
          <w:highlight w:val="none"/>
        </w:rPr>
      </w:pPr>
      <w:r>
        <w:rPr>
          <w:rFonts w:hint="eastAsia" w:ascii="宋体" w:hAnsi="宋体" w:cs="宋体"/>
          <w:bCs/>
          <w:color w:val="auto"/>
          <w:sz w:val="24"/>
          <w:highlight w:val="none"/>
        </w:rPr>
        <w:t xml:space="preserve">   我公司（单位）参加政府采购活动前三年内，在经营活动中没有重大违法记录。</w:t>
      </w:r>
    </w:p>
    <w:p>
      <w:pPr>
        <w:pStyle w:val="14"/>
        <w:spacing w:line="360" w:lineRule="auto"/>
        <w:ind w:left="0" w:right="34" w:firstLine="403"/>
        <w:rPr>
          <w:rFonts w:ascii="宋体" w:hAnsi="宋体" w:cs="宋体"/>
          <w:color w:val="auto"/>
          <w:szCs w:val="24"/>
          <w:highlight w:val="none"/>
        </w:rPr>
      </w:pPr>
      <w:r>
        <w:rPr>
          <w:rFonts w:hint="eastAsia" w:ascii="宋体" w:hAnsi="宋体" w:cs="宋体"/>
          <w:color w:val="auto"/>
          <w:szCs w:val="24"/>
          <w:highlight w:val="none"/>
        </w:rPr>
        <w:t>我公司（单位）愿针对本项目（采购编号：　　　　）进行磋商，</w:t>
      </w:r>
      <w:r>
        <w:rPr>
          <w:rFonts w:hint="eastAsia" w:ascii="宋体" w:hAnsi="宋体" w:cs="宋体"/>
          <w:color w:val="auto"/>
          <w:highlight w:val="none"/>
          <w:lang w:val="zh-CN"/>
        </w:rPr>
        <w:t>响应文件</w:t>
      </w:r>
      <w:r>
        <w:rPr>
          <w:rFonts w:hint="eastAsia" w:ascii="宋体" w:hAnsi="宋体" w:cs="宋体"/>
          <w:color w:val="auto"/>
          <w:szCs w:val="24"/>
          <w:highlight w:val="none"/>
        </w:rPr>
        <w:t>中所有关于磋商资格的文件、证明、陈述均是真实的、准确的。若有违背，我公司（单位）        愿意承担由此而产生的一切后果。</w:t>
      </w:r>
    </w:p>
    <w:p>
      <w:pPr>
        <w:pStyle w:val="14"/>
        <w:spacing w:line="360" w:lineRule="auto"/>
        <w:ind w:left="0" w:right="34" w:firstLine="403"/>
        <w:rPr>
          <w:rFonts w:ascii="宋体" w:hAnsi="宋体" w:cs="宋体"/>
          <w:color w:val="auto"/>
          <w:szCs w:val="24"/>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供应商（盖章）：</w:t>
      </w:r>
    </w:p>
    <w:p>
      <w:pPr>
        <w:pStyle w:val="14"/>
        <w:spacing w:line="360" w:lineRule="auto"/>
        <w:ind w:left="0" w:right="34" w:firstLine="403"/>
        <w:rPr>
          <w:rFonts w:ascii="宋体" w:hAnsi="宋体" w:cs="宋体"/>
          <w:color w:val="auto"/>
          <w:sz w:val="21"/>
          <w:highlight w:val="none"/>
        </w:rPr>
      </w:pPr>
      <w:r>
        <w:rPr>
          <w:rFonts w:hint="eastAsia" w:ascii="宋体" w:hAnsi="宋体" w:cs="宋体"/>
          <w:color w:val="auto"/>
          <w:highlight w:val="none"/>
        </w:rPr>
        <w:t>　　　　　　　　　　　   法定代表人或法定代表人授权代表签字或盖章：</w:t>
      </w: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14"/>
        <w:spacing w:line="360" w:lineRule="auto"/>
        <w:ind w:left="0" w:right="34" w:firstLine="403"/>
        <w:rPr>
          <w:rFonts w:ascii="宋体" w:hAnsi="宋体" w:cs="宋体"/>
          <w:color w:val="auto"/>
          <w:sz w:val="21"/>
          <w:highlight w:val="none"/>
        </w:rPr>
      </w:pPr>
    </w:p>
    <w:p>
      <w:pPr>
        <w:pStyle w:val="6"/>
        <w:jc w:val="center"/>
        <w:rPr>
          <w:rFonts w:ascii="宋体" w:hAnsi="宋体" w:eastAsia="宋体" w:cs="宋体"/>
          <w:color w:val="auto"/>
          <w:highlight w:val="none"/>
        </w:rPr>
      </w:pPr>
      <w:r>
        <w:rPr>
          <w:rFonts w:hint="eastAsia" w:ascii="宋体" w:hAnsi="宋体" w:eastAsia="宋体" w:cs="宋体"/>
          <w:color w:val="auto"/>
          <w:highlight w:val="none"/>
        </w:rPr>
        <w:t>（九）项目管理机构配备情况（格式）</w:t>
      </w:r>
    </w:p>
    <w:p>
      <w:pPr>
        <w:tabs>
          <w:tab w:val="left" w:pos="0"/>
        </w:tabs>
        <w:spacing w:line="360" w:lineRule="auto"/>
        <w:ind w:right="-210"/>
        <w:rPr>
          <w:rFonts w:ascii="宋体" w:hAnsi="宋体" w:cs="宋体"/>
          <w:color w:val="auto"/>
          <w:sz w:val="24"/>
          <w:highlight w:val="none"/>
        </w:rPr>
      </w:pPr>
      <w:r>
        <w:rPr>
          <w:rFonts w:hint="eastAsia" w:ascii="宋体" w:hAnsi="宋体" w:cs="宋体"/>
          <w:color w:val="auto"/>
          <w:sz w:val="24"/>
          <w:highlight w:val="none"/>
        </w:rPr>
        <w:t>（1）项目管理机构配备情况表               表1</w:t>
      </w:r>
    </w:p>
    <w:p>
      <w:pPr>
        <w:tabs>
          <w:tab w:val="left" w:pos="0"/>
        </w:tabs>
        <w:spacing w:line="360" w:lineRule="auto"/>
        <w:ind w:right="-212"/>
        <w:rPr>
          <w:rFonts w:ascii="宋体" w:hAnsi="宋体" w:cs="宋体"/>
          <w:color w:val="auto"/>
          <w:sz w:val="24"/>
          <w:highlight w:val="none"/>
        </w:rPr>
      </w:pPr>
      <w:r>
        <w:rPr>
          <w:rFonts w:hint="eastAsia" w:ascii="宋体" w:hAnsi="宋体" w:cs="宋体"/>
          <w:color w:val="auto"/>
          <w:sz w:val="24"/>
          <w:highlight w:val="none"/>
        </w:rPr>
        <w:t>（2）项目负责人简历表                     表2</w:t>
      </w:r>
    </w:p>
    <w:p>
      <w:pPr>
        <w:tabs>
          <w:tab w:val="left" w:pos="0"/>
        </w:tabs>
        <w:spacing w:line="360" w:lineRule="auto"/>
        <w:ind w:right="-212"/>
        <w:rPr>
          <w:rFonts w:ascii="宋体" w:hAnsi="宋体" w:cs="宋体"/>
          <w:color w:val="auto"/>
          <w:sz w:val="24"/>
          <w:highlight w:val="none"/>
        </w:rPr>
      </w:pPr>
      <w:r>
        <w:rPr>
          <w:rFonts w:hint="eastAsia" w:ascii="宋体" w:hAnsi="宋体" w:cs="宋体"/>
          <w:color w:val="auto"/>
          <w:sz w:val="24"/>
          <w:highlight w:val="none"/>
        </w:rPr>
        <w:t>（3）项目技术负责人简历表                 表3</w:t>
      </w:r>
    </w:p>
    <w:p>
      <w:pPr>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rPr>
        <w:t>（4）项目管理机构配备情况辅助说明资料     表4</w:t>
      </w:r>
    </w:p>
    <w:p>
      <w:pPr>
        <w:pStyle w:val="6"/>
        <w:rPr>
          <w:rFonts w:ascii="宋体" w:hAnsi="宋体" w:eastAsia="宋体" w:cs="宋体"/>
          <w:color w:val="auto"/>
          <w:highlight w:val="none"/>
        </w:rPr>
      </w:pPr>
      <w:r>
        <w:rPr>
          <w:rFonts w:hint="eastAsia" w:ascii="宋体" w:hAnsi="宋体" w:eastAsia="宋体" w:cs="宋体"/>
          <w:color w:val="auto"/>
          <w:highlight w:val="none"/>
        </w:rPr>
        <w:t>（1）项目管理机构配备情况表</w:t>
      </w:r>
    </w:p>
    <w:p>
      <w:pPr>
        <w:spacing w:line="360" w:lineRule="auto"/>
        <w:jc w:val="right"/>
        <w:rPr>
          <w:rFonts w:ascii="宋体" w:hAnsi="宋体" w:cs="宋体"/>
          <w:color w:val="auto"/>
          <w:highlight w:val="none"/>
        </w:rPr>
      </w:pPr>
    </w:p>
    <w:p>
      <w:pPr>
        <w:spacing w:after="120" w:line="360" w:lineRule="auto"/>
        <w:ind w:left="240" w:hanging="240" w:hangingChars="1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highlight w:val="none"/>
        </w:rPr>
        <w:t>表1</w:t>
      </w:r>
    </w:p>
    <w:tbl>
      <w:tblPr>
        <w:tblStyle w:val="22"/>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808"/>
        <w:gridCol w:w="738"/>
        <w:gridCol w:w="773"/>
        <w:gridCol w:w="735"/>
        <w:gridCol w:w="820"/>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90"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686"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686"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5081" w:type="dxa"/>
            <w:gridSpan w:val="6"/>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执业或职业资格证明</w:t>
            </w:r>
          </w:p>
        </w:tc>
        <w:tc>
          <w:tcPr>
            <w:tcW w:w="231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已承担在建</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90" w:type="dxa"/>
            <w:vMerge w:val="continue"/>
            <w:vAlign w:val="top"/>
          </w:tcPr>
          <w:p>
            <w:pPr>
              <w:spacing w:line="360" w:lineRule="auto"/>
              <w:rPr>
                <w:rFonts w:ascii="宋体" w:hAnsi="宋体" w:cs="宋体"/>
                <w:color w:val="auto"/>
                <w:sz w:val="24"/>
                <w:highlight w:val="none"/>
              </w:rPr>
            </w:pPr>
          </w:p>
        </w:tc>
        <w:tc>
          <w:tcPr>
            <w:tcW w:w="686" w:type="dxa"/>
            <w:vMerge w:val="continue"/>
            <w:vAlign w:val="top"/>
          </w:tcPr>
          <w:p>
            <w:pPr>
              <w:spacing w:line="360" w:lineRule="auto"/>
              <w:rPr>
                <w:rFonts w:ascii="宋体" w:hAnsi="宋体" w:cs="宋体"/>
                <w:color w:val="auto"/>
                <w:sz w:val="24"/>
                <w:highlight w:val="none"/>
              </w:rPr>
            </w:pPr>
          </w:p>
        </w:tc>
        <w:tc>
          <w:tcPr>
            <w:tcW w:w="686" w:type="dxa"/>
            <w:vMerge w:val="continue"/>
            <w:vAlign w:val="top"/>
          </w:tcPr>
          <w:p>
            <w:pPr>
              <w:spacing w:line="360" w:lineRule="auto"/>
              <w:rPr>
                <w:rFonts w:ascii="宋体" w:hAnsi="宋体" w:cs="宋体"/>
                <w:color w:val="auto"/>
                <w:sz w:val="24"/>
                <w:highlight w:val="none"/>
              </w:rPr>
            </w:pPr>
          </w:p>
        </w:tc>
        <w:tc>
          <w:tcPr>
            <w:tcW w:w="120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80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级别</w:t>
            </w:r>
          </w:p>
        </w:tc>
        <w:tc>
          <w:tcPr>
            <w:tcW w:w="7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证号</w:t>
            </w:r>
          </w:p>
        </w:tc>
        <w:tc>
          <w:tcPr>
            <w:tcW w:w="7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8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原服务单位</w:t>
            </w:r>
          </w:p>
        </w:tc>
        <w:tc>
          <w:tcPr>
            <w:tcW w:w="106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项目数</w:t>
            </w:r>
          </w:p>
        </w:tc>
        <w:tc>
          <w:tcPr>
            <w:tcW w:w="12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1207" w:type="dxa"/>
            <w:vAlign w:val="top"/>
          </w:tcPr>
          <w:p>
            <w:pPr>
              <w:spacing w:line="360" w:lineRule="auto"/>
              <w:rPr>
                <w:rFonts w:ascii="宋体" w:hAnsi="宋体" w:cs="宋体"/>
                <w:color w:val="auto"/>
                <w:sz w:val="24"/>
                <w:highlight w:val="none"/>
              </w:rPr>
            </w:pPr>
          </w:p>
        </w:tc>
        <w:tc>
          <w:tcPr>
            <w:tcW w:w="808" w:type="dxa"/>
            <w:vAlign w:val="top"/>
          </w:tcPr>
          <w:p>
            <w:pPr>
              <w:spacing w:line="360" w:lineRule="auto"/>
              <w:rPr>
                <w:rFonts w:ascii="宋体" w:hAnsi="宋体" w:cs="宋体"/>
                <w:color w:val="auto"/>
                <w:sz w:val="24"/>
                <w:highlight w:val="none"/>
              </w:rPr>
            </w:pPr>
          </w:p>
        </w:tc>
        <w:tc>
          <w:tcPr>
            <w:tcW w:w="738" w:type="dxa"/>
            <w:vAlign w:val="top"/>
          </w:tcPr>
          <w:p>
            <w:pPr>
              <w:spacing w:line="360" w:lineRule="auto"/>
              <w:rPr>
                <w:rFonts w:ascii="宋体" w:hAnsi="宋体" w:cs="宋体"/>
                <w:color w:val="auto"/>
                <w:sz w:val="24"/>
                <w:highlight w:val="none"/>
              </w:rPr>
            </w:pPr>
          </w:p>
        </w:tc>
        <w:tc>
          <w:tcPr>
            <w:tcW w:w="773" w:type="dxa"/>
            <w:vAlign w:val="top"/>
          </w:tcPr>
          <w:p>
            <w:pPr>
              <w:spacing w:line="360" w:lineRule="auto"/>
              <w:rPr>
                <w:rFonts w:ascii="宋体" w:hAnsi="宋体" w:cs="宋体"/>
                <w:color w:val="auto"/>
                <w:sz w:val="24"/>
                <w:highlight w:val="none"/>
              </w:rPr>
            </w:pPr>
          </w:p>
        </w:tc>
        <w:tc>
          <w:tcPr>
            <w:tcW w:w="735" w:type="dxa"/>
            <w:vAlign w:val="top"/>
          </w:tcPr>
          <w:p>
            <w:pPr>
              <w:spacing w:line="360" w:lineRule="auto"/>
              <w:rPr>
                <w:rFonts w:ascii="宋体" w:hAnsi="宋体" w:cs="宋体"/>
                <w:color w:val="auto"/>
                <w:sz w:val="24"/>
                <w:highlight w:val="none"/>
              </w:rPr>
            </w:pPr>
          </w:p>
        </w:tc>
        <w:tc>
          <w:tcPr>
            <w:tcW w:w="820" w:type="dxa"/>
            <w:vAlign w:val="top"/>
          </w:tcPr>
          <w:p>
            <w:pPr>
              <w:spacing w:line="360" w:lineRule="auto"/>
              <w:rPr>
                <w:rFonts w:ascii="宋体" w:hAnsi="宋体" w:cs="宋体"/>
                <w:color w:val="auto"/>
                <w:sz w:val="24"/>
                <w:highlight w:val="none"/>
              </w:rPr>
            </w:pPr>
          </w:p>
        </w:tc>
        <w:tc>
          <w:tcPr>
            <w:tcW w:w="1065" w:type="dxa"/>
            <w:vAlign w:val="top"/>
          </w:tcPr>
          <w:p>
            <w:pPr>
              <w:spacing w:line="360" w:lineRule="auto"/>
              <w:rPr>
                <w:rFonts w:ascii="宋体" w:hAnsi="宋体" w:cs="宋体"/>
                <w:color w:val="auto"/>
                <w:sz w:val="24"/>
                <w:highlight w:val="none"/>
              </w:rPr>
            </w:pPr>
          </w:p>
        </w:tc>
        <w:tc>
          <w:tcPr>
            <w:tcW w:w="1245" w:type="dxa"/>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1207" w:type="dxa"/>
            <w:vAlign w:val="top"/>
          </w:tcPr>
          <w:p>
            <w:pPr>
              <w:spacing w:line="360" w:lineRule="auto"/>
              <w:rPr>
                <w:rFonts w:ascii="宋体" w:hAnsi="宋体" w:cs="宋体"/>
                <w:color w:val="auto"/>
                <w:sz w:val="24"/>
                <w:highlight w:val="none"/>
              </w:rPr>
            </w:pPr>
          </w:p>
        </w:tc>
        <w:tc>
          <w:tcPr>
            <w:tcW w:w="808" w:type="dxa"/>
            <w:vAlign w:val="top"/>
          </w:tcPr>
          <w:p>
            <w:pPr>
              <w:spacing w:line="360" w:lineRule="auto"/>
              <w:rPr>
                <w:rFonts w:ascii="宋体" w:hAnsi="宋体" w:cs="宋体"/>
                <w:color w:val="auto"/>
                <w:sz w:val="24"/>
                <w:highlight w:val="none"/>
              </w:rPr>
            </w:pPr>
          </w:p>
        </w:tc>
        <w:tc>
          <w:tcPr>
            <w:tcW w:w="738" w:type="dxa"/>
            <w:vAlign w:val="top"/>
          </w:tcPr>
          <w:p>
            <w:pPr>
              <w:spacing w:line="360" w:lineRule="auto"/>
              <w:rPr>
                <w:rFonts w:ascii="宋体" w:hAnsi="宋体" w:cs="宋体"/>
                <w:color w:val="auto"/>
                <w:sz w:val="24"/>
                <w:highlight w:val="none"/>
              </w:rPr>
            </w:pPr>
          </w:p>
        </w:tc>
        <w:tc>
          <w:tcPr>
            <w:tcW w:w="773" w:type="dxa"/>
            <w:vAlign w:val="top"/>
          </w:tcPr>
          <w:p>
            <w:pPr>
              <w:spacing w:line="360" w:lineRule="auto"/>
              <w:rPr>
                <w:rFonts w:ascii="宋体" w:hAnsi="宋体" w:cs="宋体"/>
                <w:color w:val="auto"/>
                <w:sz w:val="24"/>
                <w:highlight w:val="none"/>
              </w:rPr>
            </w:pPr>
          </w:p>
        </w:tc>
        <w:tc>
          <w:tcPr>
            <w:tcW w:w="735" w:type="dxa"/>
            <w:vAlign w:val="top"/>
          </w:tcPr>
          <w:p>
            <w:pPr>
              <w:spacing w:line="360" w:lineRule="auto"/>
              <w:rPr>
                <w:rFonts w:ascii="宋体" w:hAnsi="宋体" w:cs="宋体"/>
                <w:color w:val="auto"/>
                <w:sz w:val="24"/>
                <w:highlight w:val="none"/>
              </w:rPr>
            </w:pPr>
          </w:p>
        </w:tc>
        <w:tc>
          <w:tcPr>
            <w:tcW w:w="820" w:type="dxa"/>
            <w:vAlign w:val="top"/>
          </w:tcPr>
          <w:p>
            <w:pPr>
              <w:spacing w:line="360" w:lineRule="auto"/>
              <w:rPr>
                <w:rFonts w:ascii="宋体" w:hAnsi="宋体" w:cs="宋体"/>
                <w:color w:val="auto"/>
                <w:sz w:val="24"/>
                <w:highlight w:val="none"/>
              </w:rPr>
            </w:pPr>
          </w:p>
        </w:tc>
        <w:tc>
          <w:tcPr>
            <w:tcW w:w="1065" w:type="dxa"/>
            <w:vAlign w:val="top"/>
          </w:tcPr>
          <w:p>
            <w:pPr>
              <w:spacing w:line="360" w:lineRule="auto"/>
              <w:rPr>
                <w:rFonts w:ascii="宋体" w:hAnsi="宋体" w:cs="宋体"/>
                <w:color w:val="auto"/>
                <w:sz w:val="24"/>
                <w:highlight w:val="none"/>
              </w:rPr>
            </w:pPr>
          </w:p>
        </w:tc>
        <w:tc>
          <w:tcPr>
            <w:tcW w:w="1245" w:type="dxa"/>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1207" w:type="dxa"/>
            <w:vAlign w:val="top"/>
          </w:tcPr>
          <w:p>
            <w:pPr>
              <w:spacing w:line="360" w:lineRule="auto"/>
              <w:rPr>
                <w:rFonts w:ascii="宋体" w:hAnsi="宋体" w:cs="宋体"/>
                <w:color w:val="auto"/>
                <w:sz w:val="24"/>
                <w:highlight w:val="none"/>
              </w:rPr>
            </w:pPr>
          </w:p>
        </w:tc>
        <w:tc>
          <w:tcPr>
            <w:tcW w:w="808" w:type="dxa"/>
            <w:vAlign w:val="top"/>
          </w:tcPr>
          <w:p>
            <w:pPr>
              <w:spacing w:line="360" w:lineRule="auto"/>
              <w:rPr>
                <w:rFonts w:ascii="宋体" w:hAnsi="宋体" w:cs="宋体"/>
                <w:color w:val="auto"/>
                <w:sz w:val="24"/>
                <w:highlight w:val="none"/>
              </w:rPr>
            </w:pPr>
          </w:p>
        </w:tc>
        <w:tc>
          <w:tcPr>
            <w:tcW w:w="738" w:type="dxa"/>
            <w:vAlign w:val="top"/>
          </w:tcPr>
          <w:p>
            <w:pPr>
              <w:spacing w:line="360" w:lineRule="auto"/>
              <w:rPr>
                <w:rFonts w:ascii="宋体" w:hAnsi="宋体" w:cs="宋体"/>
                <w:color w:val="auto"/>
                <w:sz w:val="24"/>
                <w:highlight w:val="none"/>
              </w:rPr>
            </w:pPr>
          </w:p>
        </w:tc>
        <w:tc>
          <w:tcPr>
            <w:tcW w:w="773" w:type="dxa"/>
            <w:vAlign w:val="top"/>
          </w:tcPr>
          <w:p>
            <w:pPr>
              <w:spacing w:line="360" w:lineRule="auto"/>
              <w:rPr>
                <w:rFonts w:ascii="宋体" w:hAnsi="宋体" w:cs="宋体"/>
                <w:color w:val="auto"/>
                <w:sz w:val="24"/>
                <w:highlight w:val="none"/>
              </w:rPr>
            </w:pPr>
          </w:p>
        </w:tc>
        <w:tc>
          <w:tcPr>
            <w:tcW w:w="735" w:type="dxa"/>
            <w:vAlign w:val="top"/>
          </w:tcPr>
          <w:p>
            <w:pPr>
              <w:spacing w:line="360" w:lineRule="auto"/>
              <w:rPr>
                <w:rFonts w:ascii="宋体" w:hAnsi="宋体" w:cs="宋体"/>
                <w:color w:val="auto"/>
                <w:sz w:val="24"/>
                <w:highlight w:val="none"/>
              </w:rPr>
            </w:pPr>
          </w:p>
        </w:tc>
        <w:tc>
          <w:tcPr>
            <w:tcW w:w="820" w:type="dxa"/>
            <w:vAlign w:val="top"/>
          </w:tcPr>
          <w:p>
            <w:pPr>
              <w:spacing w:line="360" w:lineRule="auto"/>
              <w:rPr>
                <w:rFonts w:ascii="宋体" w:hAnsi="宋体" w:cs="宋体"/>
                <w:color w:val="auto"/>
                <w:sz w:val="24"/>
                <w:highlight w:val="none"/>
              </w:rPr>
            </w:pPr>
          </w:p>
        </w:tc>
        <w:tc>
          <w:tcPr>
            <w:tcW w:w="1065" w:type="dxa"/>
            <w:vAlign w:val="top"/>
          </w:tcPr>
          <w:p>
            <w:pPr>
              <w:spacing w:line="360" w:lineRule="auto"/>
              <w:rPr>
                <w:rFonts w:ascii="宋体" w:hAnsi="宋体" w:cs="宋体"/>
                <w:color w:val="auto"/>
                <w:sz w:val="24"/>
                <w:highlight w:val="none"/>
              </w:rPr>
            </w:pPr>
          </w:p>
        </w:tc>
        <w:tc>
          <w:tcPr>
            <w:tcW w:w="1245" w:type="dxa"/>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1207" w:type="dxa"/>
            <w:vAlign w:val="top"/>
          </w:tcPr>
          <w:p>
            <w:pPr>
              <w:spacing w:line="360" w:lineRule="auto"/>
              <w:rPr>
                <w:rFonts w:ascii="宋体" w:hAnsi="宋体" w:cs="宋体"/>
                <w:color w:val="auto"/>
                <w:sz w:val="24"/>
                <w:highlight w:val="none"/>
              </w:rPr>
            </w:pPr>
          </w:p>
        </w:tc>
        <w:tc>
          <w:tcPr>
            <w:tcW w:w="808" w:type="dxa"/>
            <w:vAlign w:val="top"/>
          </w:tcPr>
          <w:p>
            <w:pPr>
              <w:spacing w:line="360" w:lineRule="auto"/>
              <w:rPr>
                <w:rFonts w:ascii="宋体" w:hAnsi="宋体" w:cs="宋体"/>
                <w:color w:val="auto"/>
                <w:sz w:val="24"/>
                <w:highlight w:val="none"/>
              </w:rPr>
            </w:pPr>
          </w:p>
        </w:tc>
        <w:tc>
          <w:tcPr>
            <w:tcW w:w="738" w:type="dxa"/>
            <w:vAlign w:val="top"/>
          </w:tcPr>
          <w:p>
            <w:pPr>
              <w:spacing w:line="360" w:lineRule="auto"/>
              <w:rPr>
                <w:rFonts w:ascii="宋体" w:hAnsi="宋体" w:cs="宋体"/>
                <w:color w:val="auto"/>
                <w:sz w:val="24"/>
                <w:highlight w:val="none"/>
              </w:rPr>
            </w:pPr>
          </w:p>
        </w:tc>
        <w:tc>
          <w:tcPr>
            <w:tcW w:w="773" w:type="dxa"/>
            <w:vAlign w:val="top"/>
          </w:tcPr>
          <w:p>
            <w:pPr>
              <w:spacing w:line="360" w:lineRule="auto"/>
              <w:rPr>
                <w:rFonts w:ascii="宋体" w:hAnsi="宋体" w:cs="宋体"/>
                <w:color w:val="auto"/>
                <w:sz w:val="24"/>
                <w:highlight w:val="none"/>
              </w:rPr>
            </w:pPr>
          </w:p>
        </w:tc>
        <w:tc>
          <w:tcPr>
            <w:tcW w:w="735" w:type="dxa"/>
            <w:vAlign w:val="top"/>
          </w:tcPr>
          <w:p>
            <w:pPr>
              <w:spacing w:line="360" w:lineRule="auto"/>
              <w:rPr>
                <w:rFonts w:ascii="宋体" w:hAnsi="宋体" w:cs="宋体"/>
                <w:color w:val="auto"/>
                <w:sz w:val="24"/>
                <w:highlight w:val="none"/>
              </w:rPr>
            </w:pPr>
          </w:p>
        </w:tc>
        <w:tc>
          <w:tcPr>
            <w:tcW w:w="820" w:type="dxa"/>
            <w:vAlign w:val="top"/>
          </w:tcPr>
          <w:p>
            <w:pPr>
              <w:spacing w:line="360" w:lineRule="auto"/>
              <w:rPr>
                <w:rFonts w:ascii="宋体" w:hAnsi="宋体" w:cs="宋体"/>
                <w:color w:val="auto"/>
                <w:sz w:val="24"/>
                <w:highlight w:val="none"/>
              </w:rPr>
            </w:pPr>
          </w:p>
        </w:tc>
        <w:tc>
          <w:tcPr>
            <w:tcW w:w="1065" w:type="dxa"/>
            <w:vAlign w:val="top"/>
          </w:tcPr>
          <w:p>
            <w:pPr>
              <w:spacing w:line="360" w:lineRule="auto"/>
              <w:rPr>
                <w:rFonts w:ascii="宋体" w:hAnsi="宋体" w:cs="宋体"/>
                <w:color w:val="auto"/>
                <w:sz w:val="24"/>
                <w:highlight w:val="none"/>
              </w:rPr>
            </w:pPr>
          </w:p>
        </w:tc>
        <w:tc>
          <w:tcPr>
            <w:tcW w:w="1245" w:type="dxa"/>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1207" w:type="dxa"/>
            <w:vAlign w:val="top"/>
          </w:tcPr>
          <w:p>
            <w:pPr>
              <w:spacing w:line="360" w:lineRule="auto"/>
              <w:rPr>
                <w:rFonts w:ascii="宋体" w:hAnsi="宋体" w:cs="宋体"/>
                <w:color w:val="auto"/>
                <w:sz w:val="24"/>
                <w:highlight w:val="none"/>
              </w:rPr>
            </w:pPr>
          </w:p>
        </w:tc>
        <w:tc>
          <w:tcPr>
            <w:tcW w:w="808" w:type="dxa"/>
            <w:vAlign w:val="top"/>
          </w:tcPr>
          <w:p>
            <w:pPr>
              <w:spacing w:line="360" w:lineRule="auto"/>
              <w:rPr>
                <w:rFonts w:ascii="宋体" w:hAnsi="宋体" w:cs="宋体"/>
                <w:color w:val="auto"/>
                <w:sz w:val="24"/>
                <w:highlight w:val="none"/>
              </w:rPr>
            </w:pPr>
          </w:p>
        </w:tc>
        <w:tc>
          <w:tcPr>
            <w:tcW w:w="738" w:type="dxa"/>
            <w:vAlign w:val="top"/>
          </w:tcPr>
          <w:p>
            <w:pPr>
              <w:spacing w:line="360" w:lineRule="auto"/>
              <w:rPr>
                <w:rFonts w:ascii="宋体" w:hAnsi="宋体" w:cs="宋体"/>
                <w:color w:val="auto"/>
                <w:sz w:val="24"/>
                <w:highlight w:val="none"/>
              </w:rPr>
            </w:pPr>
          </w:p>
        </w:tc>
        <w:tc>
          <w:tcPr>
            <w:tcW w:w="773" w:type="dxa"/>
            <w:vAlign w:val="top"/>
          </w:tcPr>
          <w:p>
            <w:pPr>
              <w:spacing w:line="360" w:lineRule="auto"/>
              <w:rPr>
                <w:rFonts w:ascii="宋体" w:hAnsi="宋体" w:cs="宋体"/>
                <w:color w:val="auto"/>
                <w:sz w:val="24"/>
                <w:highlight w:val="none"/>
              </w:rPr>
            </w:pPr>
          </w:p>
        </w:tc>
        <w:tc>
          <w:tcPr>
            <w:tcW w:w="735" w:type="dxa"/>
            <w:vAlign w:val="top"/>
          </w:tcPr>
          <w:p>
            <w:pPr>
              <w:spacing w:line="360" w:lineRule="auto"/>
              <w:rPr>
                <w:rFonts w:ascii="宋体" w:hAnsi="宋体" w:cs="宋体"/>
                <w:color w:val="auto"/>
                <w:sz w:val="24"/>
                <w:highlight w:val="none"/>
              </w:rPr>
            </w:pPr>
          </w:p>
        </w:tc>
        <w:tc>
          <w:tcPr>
            <w:tcW w:w="820" w:type="dxa"/>
            <w:vAlign w:val="top"/>
          </w:tcPr>
          <w:p>
            <w:pPr>
              <w:spacing w:line="360" w:lineRule="auto"/>
              <w:rPr>
                <w:rFonts w:ascii="宋体" w:hAnsi="宋体" w:cs="宋体"/>
                <w:color w:val="auto"/>
                <w:sz w:val="24"/>
                <w:highlight w:val="none"/>
              </w:rPr>
            </w:pPr>
          </w:p>
        </w:tc>
        <w:tc>
          <w:tcPr>
            <w:tcW w:w="1065" w:type="dxa"/>
            <w:vAlign w:val="top"/>
          </w:tcPr>
          <w:p>
            <w:pPr>
              <w:spacing w:line="360" w:lineRule="auto"/>
              <w:rPr>
                <w:rFonts w:ascii="宋体" w:hAnsi="宋体" w:cs="宋体"/>
                <w:color w:val="auto"/>
                <w:sz w:val="24"/>
                <w:highlight w:val="none"/>
              </w:rPr>
            </w:pPr>
          </w:p>
        </w:tc>
        <w:tc>
          <w:tcPr>
            <w:tcW w:w="1245" w:type="dxa"/>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686" w:type="dxa"/>
            <w:vAlign w:val="top"/>
          </w:tcPr>
          <w:p>
            <w:pPr>
              <w:spacing w:line="360" w:lineRule="auto"/>
              <w:rPr>
                <w:rFonts w:ascii="宋体" w:hAnsi="宋体" w:cs="宋体"/>
                <w:color w:val="auto"/>
                <w:sz w:val="24"/>
                <w:highlight w:val="none"/>
              </w:rPr>
            </w:pPr>
          </w:p>
        </w:tc>
        <w:tc>
          <w:tcPr>
            <w:tcW w:w="1207" w:type="dxa"/>
            <w:vAlign w:val="top"/>
          </w:tcPr>
          <w:p>
            <w:pPr>
              <w:spacing w:line="360" w:lineRule="auto"/>
              <w:rPr>
                <w:rFonts w:ascii="宋体" w:hAnsi="宋体" w:cs="宋体"/>
                <w:color w:val="auto"/>
                <w:sz w:val="24"/>
                <w:highlight w:val="none"/>
              </w:rPr>
            </w:pPr>
          </w:p>
        </w:tc>
        <w:tc>
          <w:tcPr>
            <w:tcW w:w="808" w:type="dxa"/>
            <w:vAlign w:val="top"/>
          </w:tcPr>
          <w:p>
            <w:pPr>
              <w:spacing w:line="360" w:lineRule="auto"/>
              <w:rPr>
                <w:rFonts w:ascii="宋体" w:hAnsi="宋体" w:cs="宋体"/>
                <w:color w:val="auto"/>
                <w:sz w:val="24"/>
                <w:highlight w:val="none"/>
              </w:rPr>
            </w:pPr>
          </w:p>
        </w:tc>
        <w:tc>
          <w:tcPr>
            <w:tcW w:w="738" w:type="dxa"/>
            <w:vAlign w:val="top"/>
          </w:tcPr>
          <w:p>
            <w:pPr>
              <w:spacing w:line="360" w:lineRule="auto"/>
              <w:rPr>
                <w:rFonts w:ascii="宋体" w:hAnsi="宋体" w:cs="宋体"/>
                <w:color w:val="auto"/>
                <w:sz w:val="24"/>
                <w:highlight w:val="none"/>
              </w:rPr>
            </w:pPr>
          </w:p>
        </w:tc>
        <w:tc>
          <w:tcPr>
            <w:tcW w:w="773" w:type="dxa"/>
            <w:vAlign w:val="top"/>
          </w:tcPr>
          <w:p>
            <w:pPr>
              <w:spacing w:line="360" w:lineRule="auto"/>
              <w:rPr>
                <w:rFonts w:ascii="宋体" w:hAnsi="宋体" w:cs="宋体"/>
                <w:color w:val="auto"/>
                <w:sz w:val="24"/>
                <w:highlight w:val="none"/>
              </w:rPr>
            </w:pPr>
          </w:p>
        </w:tc>
        <w:tc>
          <w:tcPr>
            <w:tcW w:w="735" w:type="dxa"/>
            <w:vAlign w:val="top"/>
          </w:tcPr>
          <w:p>
            <w:pPr>
              <w:spacing w:line="360" w:lineRule="auto"/>
              <w:rPr>
                <w:rFonts w:ascii="宋体" w:hAnsi="宋体" w:cs="宋体"/>
                <w:color w:val="auto"/>
                <w:sz w:val="24"/>
                <w:highlight w:val="none"/>
              </w:rPr>
            </w:pPr>
          </w:p>
        </w:tc>
        <w:tc>
          <w:tcPr>
            <w:tcW w:w="820" w:type="dxa"/>
            <w:vAlign w:val="top"/>
          </w:tcPr>
          <w:p>
            <w:pPr>
              <w:spacing w:line="360" w:lineRule="auto"/>
              <w:rPr>
                <w:rFonts w:ascii="宋体" w:hAnsi="宋体" w:cs="宋体"/>
                <w:color w:val="auto"/>
                <w:sz w:val="24"/>
                <w:highlight w:val="none"/>
              </w:rPr>
            </w:pPr>
          </w:p>
        </w:tc>
        <w:tc>
          <w:tcPr>
            <w:tcW w:w="1065" w:type="dxa"/>
            <w:vAlign w:val="top"/>
          </w:tcPr>
          <w:p>
            <w:pPr>
              <w:spacing w:line="360" w:lineRule="auto"/>
              <w:rPr>
                <w:rFonts w:ascii="宋体" w:hAnsi="宋体" w:cs="宋体"/>
                <w:color w:val="auto"/>
                <w:sz w:val="24"/>
                <w:highlight w:val="none"/>
              </w:rPr>
            </w:pPr>
          </w:p>
        </w:tc>
        <w:tc>
          <w:tcPr>
            <w:tcW w:w="1245" w:type="dxa"/>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453" w:type="dxa"/>
            <w:gridSpan w:val="11"/>
            <w:vAlign w:val="top"/>
          </w:tcPr>
          <w:p>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一旦我单位中标，将实行项目负责人负责制，我方保证并配备上述项目管理机构。上述填报内容真实，若不真实，愿按有关规定接受处理。项目管理班子机构设置、职责分工等情况另附资料说明。</w:t>
            </w:r>
            <w:r>
              <w:rPr>
                <w:rFonts w:hint="eastAsia" w:ascii="宋体" w:hAnsi="宋体" w:cs="宋体"/>
                <w:color w:val="auto"/>
                <w:sz w:val="24"/>
                <w:highlight w:val="none"/>
                <w:lang w:val="en-US" w:eastAsia="zh-CN"/>
              </w:rPr>
              <w:t>安全员必须填入。</w:t>
            </w:r>
            <w:r>
              <w:rPr>
                <w:rFonts w:hint="eastAsia" w:ascii="宋体" w:hAnsi="宋体" w:cs="宋体"/>
                <w:color w:val="auto"/>
                <w:sz w:val="24"/>
                <w:highlight w:val="none"/>
              </w:rPr>
              <w:t xml:space="preserve">          </w:t>
            </w:r>
          </w:p>
        </w:tc>
      </w:tr>
    </w:tbl>
    <w:p>
      <w:pPr>
        <w:pStyle w:val="6"/>
        <w:rPr>
          <w:rFonts w:ascii="宋体" w:hAnsi="宋体" w:eastAsia="宋体" w:cs="宋体"/>
          <w:color w:val="auto"/>
          <w:highlight w:val="none"/>
        </w:rPr>
      </w:pPr>
      <w:r>
        <w:rPr>
          <w:rFonts w:hint="eastAsia" w:ascii="宋体" w:hAnsi="宋体" w:eastAsia="宋体" w:cs="宋体"/>
          <w:color w:val="auto"/>
          <w:highlight w:val="none"/>
        </w:rPr>
        <w:t>（2）项目负责人简历表</w:t>
      </w:r>
    </w:p>
    <w:p>
      <w:pPr>
        <w:pStyle w:val="6"/>
        <w:ind w:left="420"/>
        <w:rPr>
          <w:rFonts w:ascii="宋体" w:hAnsi="宋体" w:eastAsia="宋体" w:cs="宋体"/>
          <w:b w:val="0"/>
          <w:bCs w:val="0"/>
          <w:color w:val="auto"/>
          <w:sz w:val="21"/>
          <w:highlight w:val="none"/>
        </w:rPr>
      </w:pP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工</w:t>
      </w:r>
      <w:r>
        <w:rPr>
          <w:rFonts w:hint="eastAsia" w:ascii="宋体" w:hAnsi="宋体" w:eastAsia="宋体" w:cs="宋体"/>
          <w:b w:val="0"/>
          <w:bCs w:val="0"/>
          <w:color w:val="auto"/>
          <w:sz w:val="24"/>
          <w:highlight w:val="none"/>
        </w:rPr>
        <w:t xml:space="preserve">程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b w:val="0"/>
          <w:bCs w:val="0"/>
          <w:color w:val="auto"/>
          <w:sz w:val="21"/>
          <w:highlight w:val="none"/>
        </w:rPr>
        <w:t xml:space="preserve">表2  </w:t>
      </w:r>
      <w:r>
        <w:rPr>
          <w:rFonts w:hint="eastAsia" w:ascii="宋体" w:hAnsi="宋体" w:eastAsia="宋体" w:cs="宋体"/>
          <w:color w:val="auto"/>
          <w:highlight w:val="none"/>
        </w:rPr>
        <w:t xml:space="preserve">                                                                                      </w:t>
      </w:r>
    </w:p>
    <w:tbl>
      <w:tblPr>
        <w:tblStyle w:val="2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680" w:type="dxa"/>
            <w:gridSpan w:val="3"/>
            <w:vAlign w:val="center"/>
          </w:tcPr>
          <w:p>
            <w:pPr>
              <w:spacing w:line="360" w:lineRule="auto"/>
              <w:jc w:val="center"/>
              <w:rPr>
                <w:rFonts w:ascii="宋体" w:hAnsi="宋体" w:cs="宋体"/>
                <w:color w:val="auto"/>
                <w:sz w:val="24"/>
                <w:highlight w:val="none"/>
              </w:rPr>
            </w:pPr>
          </w:p>
        </w:tc>
        <w:tc>
          <w:tcPr>
            <w:tcW w:w="10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800"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680" w:type="dxa"/>
            <w:gridSpan w:val="3"/>
            <w:vAlign w:val="center"/>
          </w:tcPr>
          <w:p>
            <w:pPr>
              <w:spacing w:line="360" w:lineRule="auto"/>
              <w:jc w:val="center"/>
              <w:rPr>
                <w:rFonts w:ascii="宋体" w:hAnsi="宋体" w:cs="宋体"/>
                <w:color w:val="auto"/>
                <w:sz w:val="24"/>
                <w:highlight w:val="none"/>
              </w:rPr>
            </w:pPr>
          </w:p>
        </w:tc>
        <w:tc>
          <w:tcPr>
            <w:tcW w:w="10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800"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1890" w:type="dxa"/>
            <w:gridSpan w:val="4"/>
            <w:vAlign w:val="center"/>
          </w:tcPr>
          <w:p>
            <w:pPr>
              <w:spacing w:line="360" w:lineRule="auto"/>
              <w:jc w:val="center"/>
              <w:rPr>
                <w:rFonts w:ascii="宋体" w:hAnsi="宋体" w:cs="宋体"/>
                <w:color w:val="auto"/>
                <w:sz w:val="24"/>
                <w:highlight w:val="none"/>
              </w:rPr>
            </w:pPr>
          </w:p>
        </w:tc>
        <w:tc>
          <w:tcPr>
            <w:tcW w:w="2625" w:type="dxa"/>
            <w:gridSpan w:val="5"/>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担任项目负责人年限</w:t>
            </w:r>
          </w:p>
        </w:tc>
        <w:tc>
          <w:tcPr>
            <w:tcW w:w="139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83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注册建造师注册编号</w:t>
            </w:r>
          </w:p>
        </w:tc>
        <w:tc>
          <w:tcPr>
            <w:tcW w:w="5910" w:type="dxa"/>
            <w:gridSpan w:val="1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建设单位</w:t>
            </w:r>
          </w:p>
        </w:tc>
        <w:tc>
          <w:tcPr>
            <w:tcW w:w="16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580" w:type="dxa"/>
            <w:gridSpan w:val="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建设规模</w:t>
            </w:r>
          </w:p>
        </w:tc>
        <w:tc>
          <w:tcPr>
            <w:tcW w:w="156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开、竣工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tc>
        <w:tc>
          <w:tcPr>
            <w:tcW w:w="105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在建或已 完</w:t>
            </w:r>
          </w:p>
        </w:tc>
        <w:tc>
          <w:tcPr>
            <w:tcW w:w="13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050" w:type="dxa"/>
            <w:gridSpan w:val="2"/>
            <w:vAlign w:val="center"/>
          </w:tcPr>
          <w:p>
            <w:pPr>
              <w:spacing w:line="360" w:lineRule="auto"/>
              <w:jc w:val="center"/>
              <w:rPr>
                <w:rFonts w:ascii="宋体" w:hAnsi="宋体" w:cs="宋体"/>
                <w:color w:val="auto"/>
                <w:sz w:val="24"/>
                <w:highlight w:val="none"/>
              </w:rPr>
            </w:pPr>
          </w:p>
        </w:tc>
        <w:tc>
          <w:tcPr>
            <w:tcW w:w="139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050" w:type="dxa"/>
            <w:gridSpan w:val="2"/>
            <w:vAlign w:val="center"/>
          </w:tcPr>
          <w:p>
            <w:pPr>
              <w:spacing w:line="360" w:lineRule="auto"/>
              <w:jc w:val="center"/>
              <w:rPr>
                <w:rFonts w:ascii="宋体" w:hAnsi="宋体" w:cs="宋体"/>
                <w:color w:val="auto"/>
                <w:sz w:val="24"/>
                <w:highlight w:val="none"/>
              </w:rPr>
            </w:pPr>
          </w:p>
        </w:tc>
        <w:tc>
          <w:tcPr>
            <w:tcW w:w="1395" w:type="dxa"/>
            <w:vAlign w:val="center"/>
          </w:tcPr>
          <w:p>
            <w:pPr>
              <w:spacing w:line="360" w:lineRule="auto"/>
              <w:jc w:val="center"/>
              <w:rPr>
                <w:rFonts w:ascii="宋体" w:hAnsi="宋体" w:cs="宋体"/>
                <w:color w:val="auto"/>
                <w:sz w:val="24"/>
                <w:highlight w:val="none"/>
              </w:rPr>
            </w:pPr>
          </w:p>
        </w:tc>
      </w:tr>
    </w:tbl>
    <w:p>
      <w:pPr>
        <w:pStyle w:val="6"/>
        <w:rPr>
          <w:rFonts w:ascii="宋体" w:hAnsi="宋体" w:eastAsia="宋体" w:cs="宋体"/>
          <w:color w:val="auto"/>
          <w:highlight w:val="none"/>
        </w:rPr>
      </w:pPr>
      <w:r>
        <w:rPr>
          <w:rFonts w:hint="eastAsia" w:ascii="宋体" w:hAnsi="宋体" w:eastAsia="宋体" w:cs="宋体"/>
          <w:color w:val="auto"/>
          <w:highlight w:val="none"/>
        </w:rPr>
        <w:t>（3）项目技术负责人简历表</w:t>
      </w:r>
    </w:p>
    <w:p>
      <w:pPr>
        <w:wordWrap w:val="0"/>
        <w:spacing w:line="360" w:lineRule="auto"/>
        <w:jc w:val="right"/>
        <w:rPr>
          <w:rFonts w:ascii="宋体" w:hAnsi="宋体" w:cs="宋体"/>
          <w:color w:val="auto"/>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工程  </w:t>
      </w:r>
      <w:r>
        <w:rPr>
          <w:rFonts w:hint="eastAsia" w:ascii="宋体" w:hAnsi="宋体" w:cs="宋体"/>
          <w:color w:val="auto"/>
          <w:highlight w:val="none"/>
        </w:rPr>
        <w:t xml:space="preserve">                                     表</w:t>
      </w:r>
      <w:r>
        <w:rPr>
          <w:rFonts w:hint="eastAsia" w:ascii="宋体" w:hAnsi="宋体" w:cs="宋体"/>
          <w:color w:val="auto"/>
          <w:highlight w:val="none"/>
          <w:lang w:val="en-US" w:eastAsia="zh-CN"/>
        </w:rPr>
        <w:t>3</w:t>
      </w:r>
      <w:r>
        <w:rPr>
          <w:rFonts w:hint="eastAsia" w:ascii="宋体" w:hAnsi="宋体" w:cs="宋体"/>
          <w:color w:val="auto"/>
          <w:highlight w:val="none"/>
        </w:rPr>
        <w:t xml:space="preserve">         </w:t>
      </w:r>
    </w:p>
    <w:tbl>
      <w:tblPr>
        <w:tblStyle w:val="22"/>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2040" w:type="dxa"/>
            <w:gridSpan w:val="3"/>
            <w:vAlign w:val="center"/>
          </w:tcPr>
          <w:p>
            <w:pPr>
              <w:spacing w:line="360" w:lineRule="auto"/>
              <w:jc w:val="center"/>
              <w:rPr>
                <w:rFonts w:ascii="宋体" w:hAnsi="宋体" w:cs="宋体"/>
                <w:color w:val="auto"/>
                <w:sz w:val="24"/>
                <w:highlight w:val="none"/>
              </w:rPr>
            </w:pPr>
          </w:p>
        </w:tc>
        <w:tc>
          <w:tcPr>
            <w:tcW w:w="90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2430"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2040" w:type="dxa"/>
            <w:gridSpan w:val="3"/>
            <w:vAlign w:val="center"/>
          </w:tcPr>
          <w:p>
            <w:pPr>
              <w:spacing w:line="360" w:lineRule="auto"/>
              <w:jc w:val="center"/>
              <w:rPr>
                <w:rFonts w:ascii="宋体" w:hAnsi="宋体" w:cs="宋体"/>
                <w:color w:val="auto"/>
                <w:sz w:val="24"/>
                <w:highlight w:val="none"/>
              </w:rPr>
            </w:pPr>
          </w:p>
        </w:tc>
        <w:tc>
          <w:tcPr>
            <w:tcW w:w="90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430"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1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2310" w:type="dxa"/>
            <w:gridSpan w:val="4"/>
            <w:vAlign w:val="center"/>
          </w:tcPr>
          <w:p>
            <w:pPr>
              <w:spacing w:line="360" w:lineRule="auto"/>
              <w:jc w:val="center"/>
              <w:rPr>
                <w:rFonts w:ascii="宋体" w:hAnsi="宋体" w:cs="宋体"/>
                <w:color w:val="auto"/>
                <w:sz w:val="24"/>
                <w:highlight w:val="none"/>
              </w:rPr>
            </w:pPr>
          </w:p>
        </w:tc>
        <w:tc>
          <w:tcPr>
            <w:tcW w:w="2625" w:type="dxa"/>
            <w:gridSpan w:val="5"/>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担任技术负责人年限</w:t>
            </w:r>
          </w:p>
        </w:tc>
        <w:tc>
          <w:tcPr>
            <w:tcW w:w="2205"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55" w:type="dxa"/>
            <w:gridSpan w:val="1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建设单位</w:t>
            </w:r>
          </w:p>
        </w:tc>
        <w:tc>
          <w:tcPr>
            <w:tcW w:w="16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580" w:type="dxa"/>
            <w:gridSpan w:val="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建设规模</w:t>
            </w:r>
          </w:p>
        </w:tc>
        <w:tc>
          <w:tcPr>
            <w:tcW w:w="156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开、竣工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tc>
        <w:tc>
          <w:tcPr>
            <w:tcW w:w="136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在建或</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已 完</w:t>
            </w:r>
          </w:p>
        </w:tc>
        <w:tc>
          <w:tcPr>
            <w:tcW w:w="189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365" w:type="dxa"/>
            <w:gridSpan w:val="3"/>
            <w:vAlign w:val="center"/>
          </w:tcPr>
          <w:p>
            <w:pPr>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365" w:type="dxa"/>
            <w:gridSpan w:val="3"/>
            <w:vAlign w:val="center"/>
          </w:tcPr>
          <w:p>
            <w:pPr>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r>
    </w:tbl>
    <w:p>
      <w:pPr>
        <w:pStyle w:val="6"/>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项目安全员</w:t>
      </w:r>
      <w:r>
        <w:rPr>
          <w:rFonts w:hint="eastAsia" w:ascii="宋体" w:hAnsi="宋体" w:eastAsia="宋体" w:cs="宋体"/>
          <w:color w:val="auto"/>
          <w:highlight w:val="none"/>
        </w:rPr>
        <w:t>简历表</w:t>
      </w:r>
    </w:p>
    <w:p>
      <w:pPr>
        <w:wordWrap w:val="0"/>
        <w:spacing w:line="360" w:lineRule="auto"/>
        <w:jc w:val="right"/>
        <w:rPr>
          <w:rFonts w:ascii="宋体" w:hAnsi="宋体" w:cs="宋体"/>
          <w:color w:val="auto"/>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工程  </w:t>
      </w:r>
      <w:r>
        <w:rPr>
          <w:rFonts w:hint="eastAsia" w:ascii="宋体" w:hAnsi="宋体" w:cs="宋体"/>
          <w:color w:val="auto"/>
          <w:highlight w:val="none"/>
        </w:rPr>
        <w:t xml:space="preserve">                                     表2         </w:t>
      </w:r>
    </w:p>
    <w:tbl>
      <w:tblPr>
        <w:tblStyle w:val="22"/>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2040" w:type="dxa"/>
            <w:gridSpan w:val="3"/>
            <w:vAlign w:val="center"/>
          </w:tcPr>
          <w:p>
            <w:pPr>
              <w:spacing w:line="360" w:lineRule="auto"/>
              <w:jc w:val="center"/>
              <w:rPr>
                <w:rFonts w:ascii="宋体" w:hAnsi="宋体" w:cs="宋体"/>
                <w:color w:val="auto"/>
                <w:sz w:val="24"/>
                <w:highlight w:val="none"/>
              </w:rPr>
            </w:pPr>
          </w:p>
        </w:tc>
        <w:tc>
          <w:tcPr>
            <w:tcW w:w="90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2430"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2040" w:type="dxa"/>
            <w:gridSpan w:val="3"/>
            <w:vAlign w:val="center"/>
          </w:tcPr>
          <w:p>
            <w:pPr>
              <w:spacing w:line="360" w:lineRule="auto"/>
              <w:jc w:val="center"/>
              <w:rPr>
                <w:rFonts w:ascii="宋体" w:hAnsi="宋体" w:cs="宋体"/>
                <w:color w:val="auto"/>
                <w:sz w:val="24"/>
                <w:highlight w:val="none"/>
              </w:rPr>
            </w:pPr>
          </w:p>
        </w:tc>
        <w:tc>
          <w:tcPr>
            <w:tcW w:w="90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430"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1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2310" w:type="dxa"/>
            <w:gridSpan w:val="4"/>
            <w:vAlign w:val="center"/>
          </w:tcPr>
          <w:p>
            <w:pPr>
              <w:spacing w:line="360" w:lineRule="auto"/>
              <w:jc w:val="center"/>
              <w:rPr>
                <w:rFonts w:ascii="宋体" w:hAnsi="宋体" w:cs="宋体"/>
                <w:color w:val="auto"/>
                <w:sz w:val="24"/>
                <w:highlight w:val="none"/>
              </w:rPr>
            </w:pPr>
          </w:p>
        </w:tc>
        <w:tc>
          <w:tcPr>
            <w:tcW w:w="2625" w:type="dxa"/>
            <w:gridSpan w:val="5"/>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担任技术负责人年限</w:t>
            </w:r>
          </w:p>
        </w:tc>
        <w:tc>
          <w:tcPr>
            <w:tcW w:w="2205"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55" w:type="dxa"/>
            <w:gridSpan w:val="1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建设单位</w:t>
            </w:r>
          </w:p>
        </w:tc>
        <w:tc>
          <w:tcPr>
            <w:tcW w:w="16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580" w:type="dxa"/>
            <w:gridSpan w:val="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建设规模</w:t>
            </w:r>
          </w:p>
        </w:tc>
        <w:tc>
          <w:tcPr>
            <w:tcW w:w="156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开、竣工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tc>
        <w:tc>
          <w:tcPr>
            <w:tcW w:w="136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在建或</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已 完</w:t>
            </w:r>
          </w:p>
        </w:tc>
        <w:tc>
          <w:tcPr>
            <w:tcW w:w="189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365" w:type="dxa"/>
            <w:gridSpan w:val="3"/>
            <w:vAlign w:val="center"/>
          </w:tcPr>
          <w:p>
            <w:pPr>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365" w:type="dxa"/>
            <w:gridSpan w:val="3"/>
            <w:vAlign w:val="center"/>
          </w:tcPr>
          <w:p>
            <w:pPr>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r>
    </w:tbl>
    <w:p>
      <w:pPr>
        <w:pStyle w:val="6"/>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项目管理机构配备情况辅助说明资料</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程                                            </w:t>
      </w:r>
      <w:r>
        <w:rPr>
          <w:rFonts w:hint="eastAsia" w:ascii="宋体" w:hAnsi="宋体" w:cs="宋体"/>
          <w:color w:val="auto"/>
          <w:szCs w:val="21"/>
          <w:highlight w:val="none"/>
        </w:rPr>
        <w:t xml:space="preserve"> 表3</w:t>
      </w:r>
    </w:p>
    <w:tbl>
      <w:tblPr>
        <w:tblStyle w:val="2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jc w:val="center"/>
        </w:trPr>
        <w:tc>
          <w:tcPr>
            <w:tcW w:w="9558" w:type="dxa"/>
            <w:vAlign w:val="top"/>
          </w:tcPr>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rPr>
                <w:rFonts w:ascii="宋体" w:hAnsi="宋体" w:cs="宋体"/>
                <w:color w:val="auto"/>
                <w:highlight w:val="none"/>
              </w:rPr>
            </w:pPr>
          </w:p>
        </w:tc>
      </w:tr>
    </w:tbl>
    <w:p>
      <w:pPr>
        <w:pStyle w:val="14"/>
        <w:spacing w:before="120" w:line="360" w:lineRule="auto"/>
        <w:ind w:left="0" w:leftChars="0" w:right="-314" w:rightChars="0" w:firstLine="0" w:firstLineChars="0"/>
        <w:rPr>
          <w:rFonts w:hint="eastAsia" w:ascii="宋体" w:hAnsi="宋体" w:cs="宋体"/>
          <w:color w:val="auto"/>
          <w:sz w:val="21"/>
          <w:highlight w:val="none"/>
        </w:rPr>
      </w:pPr>
      <w:r>
        <w:rPr>
          <w:rFonts w:hint="eastAsia" w:ascii="宋体" w:hAnsi="宋体" w:cs="宋体"/>
          <w:color w:val="auto"/>
          <w:sz w:val="21"/>
          <w:highlight w:val="none"/>
        </w:rPr>
        <w:t>注：1.辅助说明资料主要包括管理机构的机构设置、职责分工、有关复印证明资料以及报价供应商认为有必要提供的资料。辅助说明资料格式不做统一规定，由报价供应商自行设计。</w:t>
      </w:r>
    </w:p>
    <w:p>
      <w:pPr>
        <w:pStyle w:val="14"/>
        <w:spacing w:before="120" w:line="360" w:lineRule="auto"/>
        <w:ind w:left="0" w:leftChars="0" w:right="34" w:firstLine="0" w:firstLineChars="0"/>
        <w:rPr>
          <w:rFonts w:hint="eastAsia" w:ascii="宋体" w:hAnsi="宋体" w:cs="宋体"/>
          <w:color w:val="auto"/>
          <w:sz w:val="21"/>
          <w:highlight w:val="none"/>
        </w:rPr>
      </w:pPr>
      <w:r>
        <w:rPr>
          <w:rFonts w:hint="eastAsia" w:ascii="宋体" w:hAnsi="宋体" w:cs="宋体"/>
          <w:color w:val="auto"/>
          <w:sz w:val="21"/>
          <w:highlight w:val="none"/>
          <w:lang w:val="en-US" w:eastAsia="zh-CN"/>
        </w:rPr>
        <w:t>2.</w:t>
      </w:r>
      <w:r>
        <w:rPr>
          <w:rFonts w:hint="eastAsia" w:ascii="宋体" w:hAnsi="宋体" w:cs="宋体"/>
          <w:color w:val="auto"/>
          <w:sz w:val="21"/>
          <w:highlight w:val="none"/>
        </w:rPr>
        <w:t>项目管理班子配备情况辅助说明资料另附（与本</w:t>
      </w:r>
      <w:r>
        <w:rPr>
          <w:rFonts w:hint="eastAsia" w:ascii="宋体" w:hAnsi="宋体" w:cs="宋体"/>
          <w:color w:val="auto"/>
          <w:sz w:val="21"/>
          <w:highlight w:val="none"/>
          <w:lang w:val="zh-CN"/>
        </w:rPr>
        <w:t>响应文件</w:t>
      </w:r>
      <w:r>
        <w:rPr>
          <w:rFonts w:hint="eastAsia" w:ascii="宋体" w:hAnsi="宋体" w:cs="宋体"/>
          <w:color w:val="auto"/>
          <w:sz w:val="21"/>
          <w:highlight w:val="none"/>
        </w:rPr>
        <w:t>一起装订）。</w:t>
      </w:r>
    </w:p>
    <w:p>
      <w:pPr>
        <w:spacing w:line="360" w:lineRule="auto"/>
        <w:jc w:val="right"/>
        <w:rPr>
          <w:rFonts w:hint="eastAsia" w:ascii="黑体" w:eastAsia="黑体" w:cs="宋体"/>
          <w:b w:val="0"/>
          <w:bCs/>
          <w:color w:val="auto"/>
          <w:sz w:val="32"/>
          <w:szCs w:val="32"/>
          <w:highlight w:val="none"/>
          <w:lang w:val="en-US" w:eastAsia="zh-CN"/>
        </w:rPr>
      </w:pPr>
      <w:r>
        <w:rPr>
          <w:rFonts w:hint="eastAsia" w:ascii="宋体" w:hAnsi="宋体" w:eastAsia="宋体" w:cs="宋体"/>
          <w:b w:val="0"/>
          <w:bCs/>
          <w:color w:val="auto"/>
          <w:sz w:val="48"/>
          <w:szCs w:val="48"/>
          <w:highlight w:val="none"/>
          <w:lang w:val="en-US" w:eastAsia="zh-CN"/>
        </w:rPr>
        <w:t>正/副本</w:t>
      </w:r>
    </w:p>
    <w:p>
      <w:pPr>
        <w:spacing w:line="360" w:lineRule="auto"/>
        <w:jc w:val="center"/>
        <w:rPr>
          <w:rFonts w:hint="eastAsia" w:ascii="宋体" w:hAnsi="宋体"/>
          <w:b/>
          <w:bCs/>
          <w:color w:val="auto"/>
          <w:sz w:val="52"/>
          <w:highlight w:val="none"/>
          <w:lang w:eastAsia="zh-CN"/>
        </w:rPr>
      </w:pPr>
    </w:p>
    <w:p>
      <w:pPr>
        <w:spacing w:line="360" w:lineRule="auto"/>
        <w:jc w:val="center"/>
        <w:rPr>
          <w:rFonts w:hint="eastAsia" w:ascii="宋体" w:hAnsi="宋体"/>
          <w:b/>
          <w:bCs/>
          <w:color w:val="auto"/>
          <w:sz w:val="44"/>
          <w:szCs w:val="44"/>
          <w:highlight w:val="none"/>
          <w:lang w:eastAsia="zh-CN"/>
        </w:rPr>
      </w:pPr>
    </w:p>
    <w:p>
      <w:pPr>
        <w:spacing w:line="360" w:lineRule="auto"/>
        <w:jc w:val="center"/>
        <w:rPr>
          <w:rFonts w:hint="eastAsia" w:ascii="宋体" w:hAnsi="宋体"/>
          <w:b w:val="0"/>
          <w:bCs w:val="0"/>
          <w:color w:val="auto"/>
          <w:sz w:val="44"/>
          <w:szCs w:val="44"/>
          <w:highlight w:val="none"/>
          <w:lang w:eastAsia="zh-CN"/>
        </w:rPr>
      </w:pPr>
    </w:p>
    <w:p>
      <w:pPr>
        <w:spacing w:line="360" w:lineRule="auto"/>
        <w:jc w:val="center"/>
        <w:rPr>
          <w:rFonts w:hint="eastAsia" w:ascii="宋体" w:hAnsi="宋体"/>
          <w:b w:val="0"/>
          <w:bCs w:val="0"/>
          <w:color w:val="auto"/>
          <w:sz w:val="44"/>
          <w:szCs w:val="44"/>
          <w:highlight w:val="none"/>
        </w:rPr>
      </w:pPr>
      <w:r>
        <w:rPr>
          <w:rFonts w:hint="eastAsia" w:ascii="宋体" w:hAnsi="宋体"/>
          <w:b w:val="0"/>
          <w:bCs w:val="0"/>
          <w:color w:val="auto"/>
          <w:sz w:val="44"/>
          <w:szCs w:val="44"/>
          <w:highlight w:val="none"/>
          <w:lang w:eastAsia="zh-CN"/>
        </w:rPr>
        <w:t>2021年度上马墩街道背街小巷整治改造工程</w:t>
      </w:r>
    </w:p>
    <w:p>
      <w:pPr>
        <w:spacing w:line="360" w:lineRule="auto"/>
        <w:jc w:val="center"/>
        <w:rPr>
          <w:rFonts w:hint="eastAsia" w:ascii="宋体" w:hAnsi="宋体"/>
          <w:b/>
          <w:bCs/>
          <w:color w:val="auto"/>
          <w:sz w:val="52"/>
          <w:highlight w:val="none"/>
          <w:lang w:val="en-US" w:eastAsia="zh-CN"/>
        </w:rPr>
      </w:pPr>
    </w:p>
    <w:p>
      <w:pPr>
        <w:spacing w:line="360" w:lineRule="auto"/>
        <w:jc w:val="center"/>
        <w:rPr>
          <w:rFonts w:hint="eastAsia" w:ascii="宋体" w:hAnsi="宋体"/>
          <w:b/>
          <w:bCs/>
          <w:color w:val="auto"/>
          <w:sz w:val="52"/>
          <w:highlight w:val="none"/>
          <w:lang w:val="en-US" w:eastAsia="zh-CN"/>
        </w:rPr>
      </w:pPr>
    </w:p>
    <w:p>
      <w:pPr>
        <w:spacing w:line="360" w:lineRule="auto"/>
        <w:jc w:val="center"/>
        <w:rPr>
          <w:rFonts w:hint="eastAsia" w:ascii="宋体" w:hAnsi="宋体"/>
          <w:b/>
          <w:bCs/>
          <w:color w:val="auto"/>
          <w:sz w:val="52"/>
          <w:highlight w:val="none"/>
          <w:lang w:val="en-US" w:eastAsia="zh-CN"/>
        </w:rPr>
      </w:pPr>
    </w:p>
    <w:p>
      <w:pPr>
        <w:spacing w:line="360" w:lineRule="auto"/>
        <w:jc w:val="center"/>
        <w:rPr>
          <w:rFonts w:hint="eastAsia" w:ascii="宋体" w:hAnsi="宋体"/>
          <w:b/>
          <w:bCs/>
          <w:color w:val="auto"/>
          <w:sz w:val="52"/>
          <w:highlight w:val="none"/>
          <w:lang w:val="en-US" w:eastAsia="zh-CN"/>
        </w:rPr>
      </w:pPr>
    </w:p>
    <w:p>
      <w:pPr>
        <w:spacing w:line="360" w:lineRule="auto"/>
        <w:jc w:val="center"/>
        <w:rPr>
          <w:rFonts w:hint="eastAsia" w:ascii="宋体" w:hAnsi="宋体" w:eastAsia="宋体" w:cs="宋体"/>
          <w:b w:val="0"/>
          <w:bCs w:val="0"/>
          <w:color w:val="auto"/>
          <w:sz w:val="72"/>
          <w:szCs w:val="72"/>
          <w:highlight w:val="none"/>
          <w:lang w:val="en-US" w:eastAsia="zh-CN"/>
        </w:rPr>
      </w:pPr>
      <w:r>
        <w:rPr>
          <w:rFonts w:hint="eastAsia" w:ascii="宋体" w:hAnsi="宋体" w:eastAsia="宋体" w:cs="宋体"/>
          <w:b w:val="0"/>
          <w:bCs w:val="0"/>
          <w:color w:val="auto"/>
          <w:sz w:val="72"/>
          <w:szCs w:val="72"/>
          <w:highlight w:val="none"/>
          <w:lang w:val="en-US" w:eastAsia="zh-CN"/>
        </w:rPr>
        <w:t>响应文件技术标</w:t>
      </w:r>
    </w:p>
    <w:p>
      <w:pPr>
        <w:pStyle w:val="7"/>
        <w:rPr>
          <w:rFonts w:hint="eastAsia" w:ascii="宋体" w:hAnsi="宋体" w:eastAsia="宋体" w:cs="宋体"/>
          <w:b w:val="0"/>
          <w:bCs w:val="0"/>
          <w:color w:val="auto"/>
          <w:sz w:val="72"/>
          <w:szCs w:val="72"/>
          <w:highlight w:val="none"/>
          <w:lang w:val="en-US" w:eastAsia="zh-CN"/>
        </w:rPr>
      </w:pPr>
      <w:r>
        <w:rPr>
          <w:rFonts w:hint="eastAsia" w:ascii="宋体" w:hAnsi="宋体" w:eastAsia="宋体" w:cs="宋体"/>
          <w:b w:val="0"/>
          <w:bCs w:val="0"/>
          <w:color w:val="auto"/>
          <w:sz w:val="72"/>
          <w:szCs w:val="72"/>
          <w:highlight w:val="none"/>
          <w:lang w:val="en-US" w:eastAsia="zh-CN"/>
        </w:rPr>
        <w:t>（暗标）</w:t>
      </w:r>
    </w:p>
    <w:p>
      <w:pPr>
        <w:spacing w:line="360" w:lineRule="auto"/>
        <w:jc w:val="center"/>
        <w:rPr>
          <w:rFonts w:hint="eastAsia" w:ascii="宋体" w:hAnsi="宋体"/>
          <w:b/>
          <w:bCs/>
          <w:color w:val="auto"/>
          <w:sz w:val="52"/>
          <w:highlight w:val="none"/>
        </w:rPr>
      </w:pPr>
    </w:p>
    <w:p>
      <w:pPr>
        <w:spacing w:line="360" w:lineRule="auto"/>
        <w:jc w:val="center"/>
        <w:rPr>
          <w:rFonts w:hint="eastAsia" w:ascii="宋体" w:hAnsi="宋体"/>
          <w:b/>
          <w:bCs/>
          <w:color w:val="auto"/>
          <w:sz w:val="52"/>
          <w:highlight w:val="none"/>
        </w:rPr>
      </w:pPr>
    </w:p>
    <w:p>
      <w:pPr>
        <w:spacing w:line="360" w:lineRule="auto"/>
        <w:jc w:val="center"/>
        <w:rPr>
          <w:rFonts w:hint="eastAsia" w:ascii="宋体" w:hAnsi="宋体"/>
          <w:b/>
          <w:bCs/>
          <w:color w:val="auto"/>
          <w:sz w:val="52"/>
          <w:highlight w:val="none"/>
        </w:rPr>
      </w:pPr>
    </w:p>
    <w:p>
      <w:pPr>
        <w:pStyle w:val="7"/>
        <w:rPr>
          <w:rFonts w:hint="eastAsia"/>
          <w:color w:val="auto"/>
          <w:highlight w:val="none"/>
        </w:rPr>
      </w:pPr>
    </w:p>
    <w:p>
      <w:pPr>
        <w:spacing w:line="360" w:lineRule="auto"/>
        <w:rPr>
          <w:rFonts w:ascii="宋体" w:hAnsi="宋体"/>
          <w:color w:val="auto"/>
          <w:highlight w:val="none"/>
        </w:rPr>
      </w:pPr>
      <w:bookmarkStart w:id="511" w:name="报价方关于资格的声明函（格式）"/>
      <w:bookmarkEnd w:id="511"/>
    </w:p>
    <w:p>
      <w:pPr>
        <w:pStyle w:val="7"/>
        <w:rPr>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widowControl/>
        <w:tabs>
          <w:tab w:val="left" w:pos="630"/>
        </w:tabs>
        <w:adjustRightInd w:val="0"/>
        <w:spacing w:line="470" w:lineRule="exact"/>
        <w:jc w:val="center"/>
        <w:rPr>
          <w:rFonts w:hint="eastAsia" w:ascii="宋体" w:hAnsi="宋体" w:cs="宋体"/>
          <w:b/>
          <w:bCs/>
          <w:color w:val="auto"/>
          <w:sz w:val="44"/>
          <w:szCs w:val="52"/>
          <w:highlight w:val="none"/>
        </w:rPr>
      </w:pPr>
      <w:r>
        <w:rPr>
          <w:rFonts w:hint="eastAsia" w:ascii="宋体" w:hAnsi="宋体" w:cs="宋体"/>
          <w:b/>
          <w:bCs/>
          <w:color w:val="auto"/>
          <w:sz w:val="44"/>
          <w:szCs w:val="52"/>
          <w:highlight w:val="none"/>
        </w:rPr>
        <w:t>目  录</w:t>
      </w:r>
    </w:p>
    <w:p>
      <w:pPr>
        <w:widowControl/>
        <w:tabs>
          <w:tab w:val="left" w:pos="630"/>
        </w:tabs>
        <w:adjustRightInd w:val="0"/>
        <w:spacing w:line="470" w:lineRule="exact"/>
        <w:ind w:left="567" w:leftChars="270"/>
        <w:jc w:val="left"/>
        <w:rPr>
          <w:rFonts w:hint="eastAsia" w:ascii="宋体" w:hAnsi="宋体" w:cs="宋体"/>
          <w:b/>
          <w:color w:val="auto"/>
          <w:sz w:val="24"/>
          <w:highlight w:val="none"/>
        </w:rPr>
      </w:pPr>
    </w:p>
    <w:p>
      <w:pPr>
        <w:pStyle w:val="7"/>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（1）总体概述：施工组织总体设想、方案针对性及施工段划分； </w:t>
      </w:r>
    </w:p>
    <w:p>
      <w:pPr>
        <w:pStyle w:val="7"/>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（2）施工现场平面布置和临时设施、临时道路布置；  </w:t>
      </w:r>
    </w:p>
    <w:p>
      <w:pPr>
        <w:pStyle w:val="7"/>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（3）施工进度计划和各阶段进度的保证措施；  </w:t>
      </w:r>
    </w:p>
    <w:p>
      <w:pPr>
        <w:pStyle w:val="7"/>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（4）各分部分项工程的施工方案及质量保证措施； </w:t>
      </w:r>
    </w:p>
    <w:p>
      <w:pPr>
        <w:pStyle w:val="7"/>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（5）安全文明施工及环境保护</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降尘降噪</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措施；</w:t>
      </w:r>
    </w:p>
    <w:p>
      <w:pPr>
        <w:pStyle w:val="7"/>
        <w:jc w:val="left"/>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（6）劳动力、机械设备和材料投入计划</w:t>
      </w:r>
      <w:r>
        <w:rPr>
          <w:rFonts w:hint="eastAsia" w:ascii="宋体" w:hAnsi="宋体" w:eastAsia="宋体" w:cs="宋体"/>
          <w:b w:val="0"/>
          <w:bCs w:val="0"/>
          <w:color w:val="auto"/>
          <w:sz w:val="28"/>
          <w:szCs w:val="28"/>
          <w:highlight w:val="none"/>
          <w:lang w:eastAsia="zh-CN"/>
        </w:rPr>
        <w:t>。</w:t>
      </w:r>
    </w:p>
    <w:p>
      <w:pPr>
        <w:widowControl/>
        <w:tabs>
          <w:tab w:val="left" w:pos="630"/>
        </w:tabs>
        <w:adjustRightInd w:val="0"/>
        <w:spacing w:line="470" w:lineRule="exact"/>
        <w:jc w:val="left"/>
        <w:rPr>
          <w:rFonts w:hint="eastAsia" w:hAnsi="宋体" w:cs="宋体"/>
          <w:color w:val="auto"/>
          <w:sz w:val="24"/>
          <w:highlight w:val="none"/>
        </w:rPr>
      </w:pPr>
      <w:r>
        <w:rPr>
          <w:rFonts w:ascii="宋体" w:hAnsi="宋体" w:cs="宋体"/>
          <w:color w:val="auto"/>
          <w:sz w:val="24"/>
          <w:highlight w:val="none"/>
        </w:rPr>
        <w:t xml:space="preserve"> </w:t>
      </w:r>
      <w:r>
        <w:rPr>
          <w:rFonts w:ascii="ˎ̥" w:hAnsi="ˎ̥" w:cs="宋体"/>
          <w:color w:val="auto"/>
          <w:sz w:val="24"/>
          <w:highlight w:val="none"/>
        </w:rPr>
        <w:t xml:space="preserve">                </w:t>
      </w:r>
      <w:r>
        <w:rPr>
          <w:rFonts w:hint="eastAsia" w:ascii="ˎ̥" w:hAnsi="ˎ̥" w:cs="宋体"/>
          <w:color w:val="auto"/>
          <w:sz w:val="24"/>
          <w:highlight w:val="none"/>
        </w:rPr>
        <w:t xml:space="preserve"> </w:t>
      </w: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outlineLvl w:val="0"/>
        <w:rPr>
          <w:rFonts w:hint="eastAsia" w:ascii="黑体" w:hAnsi="宋体" w:eastAsia="黑体"/>
          <w:color w:val="auto"/>
          <w:sz w:val="24"/>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spacing w:line="360" w:lineRule="auto"/>
        <w:outlineLvl w:val="0"/>
        <w:rPr>
          <w:rFonts w:hint="eastAsia" w:ascii="宋体" w:hAnsi="宋体"/>
          <w:color w:val="auto"/>
          <w:highlight w:val="none"/>
        </w:rPr>
      </w:pPr>
    </w:p>
    <w:p>
      <w:pPr>
        <w:keepNext w:val="0"/>
        <w:keepLines w:val="0"/>
        <w:widowControl/>
        <w:suppressLineNumbers w:val="0"/>
        <w:jc w:val="center"/>
        <w:rPr>
          <w:color w:val="auto"/>
          <w:highlight w:val="none"/>
        </w:rPr>
      </w:pPr>
      <w:r>
        <w:rPr>
          <w:rFonts w:hint="eastAsia" w:ascii="宋体" w:hAnsi="宋体" w:eastAsia="宋体" w:cs="宋体"/>
          <w:color w:val="auto"/>
          <w:kern w:val="0"/>
          <w:sz w:val="84"/>
          <w:szCs w:val="84"/>
          <w:highlight w:val="none"/>
          <w:lang w:val="en-US" w:eastAsia="zh-CN" w:bidi="ar"/>
        </w:rPr>
        <w:t>封底</w:t>
      </w:r>
    </w:p>
    <w:p>
      <w:pPr>
        <w:keepNext w:val="0"/>
        <w:keepLines w:val="0"/>
        <w:widowControl/>
        <w:suppressLineNumbers w:val="0"/>
        <w:jc w:val="center"/>
        <w:rPr>
          <w:color w:val="auto"/>
          <w:highlight w:val="none"/>
        </w:rPr>
      </w:pPr>
      <w:r>
        <w:rPr>
          <w:rFonts w:hint="eastAsia" w:ascii="宋体" w:hAnsi="宋体" w:eastAsia="宋体" w:cs="宋体"/>
          <w:color w:val="auto"/>
          <w:kern w:val="0"/>
          <w:sz w:val="72"/>
          <w:szCs w:val="72"/>
          <w:highlight w:val="none"/>
          <w:lang w:val="en-US" w:eastAsia="zh-CN" w:bidi="ar"/>
        </w:rPr>
        <w:t>（此面朝上）</w:t>
      </w:r>
    </w:p>
    <w:p>
      <w:pPr>
        <w:spacing w:line="360" w:lineRule="auto"/>
        <w:ind w:firstLine="4800" w:firstLineChars="2000"/>
        <w:jc w:val="center"/>
        <w:rPr>
          <w:rFonts w:hint="eastAsia" w:ascii="宋体" w:hAnsi="宋体"/>
          <w:bCs/>
          <w:color w:val="auto"/>
          <w:sz w:val="24"/>
          <w:highlight w:val="none"/>
        </w:rPr>
      </w:pPr>
    </w:p>
    <w:p>
      <w:pPr>
        <w:spacing w:line="400" w:lineRule="exact"/>
        <w:jc w:val="center"/>
        <w:rPr>
          <w:rFonts w:hint="eastAsia"/>
          <w:color w:val="auto"/>
          <w:sz w:val="24"/>
          <w:highlight w:val="none"/>
        </w:rPr>
      </w:pPr>
    </w:p>
    <w:p>
      <w:pPr>
        <w:spacing w:line="360" w:lineRule="auto"/>
        <w:jc w:val="center"/>
        <w:rPr>
          <w:rFonts w:hint="eastAsia" w:ascii="宋体" w:hAnsi="宋体"/>
          <w:color w:val="auto"/>
          <w:highlight w:val="none"/>
        </w:rPr>
      </w:pPr>
    </w:p>
    <w:p>
      <w:pPr>
        <w:outlineLvl w:val="0"/>
        <w:rPr>
          <w:rFonts w:hint="eastAsia" w:ascii="黑体" w:hAnsi="宋体" w:eastAsia="黑体"/>
          <w:color w:val="auto"/>
          <w:sz w:val="24"/>
          <w:highlight w:val="none"/>
        </w:rPr>
      </w:pPr>
    </w:p>
    <w:p>
      <w:pPr>
        <w:jc w:val="center"/>
        <w:rPr>
          <w:rFonts w:hint="eastAsia"/>
          <w:color w:val="auto"/>
          <w:sz w:val="24"/>
          <w:highlight w:val="none"/>
        </w:rPr>
      </w:pPr>
    </w:p>
    <w:p>
      <w:pPr>
        <w:spacing w:line="360" w:lineRule="auto"/>
        <w:jc w:val="center"/>
        <w:rPr>
          <w:rFonts w:hint="eastAsia" w:ascii="宋体" w:hAnsi="宋体"/>
          <w:b/>
          <w:color w:val="auto"/>
          <w:sz w:val="30"/>
          <w:szCs w:val="30"/>
          <w:highlight w:val="none"/>
        </w:rPr>
      </w:pPr>
    </w:p>
    <w:p>
      <w:pPr>
        <w:spacing w:line="360" w:lineRule="auto"/>
        <w:rPr>
          <w:rFonts w:hint="eastAsia" w:ascii="黑体" w:eastAsia="黑体" w:cs="宋体"/>
          <w:b/>
          <w:color w:val="auto"/>
          <w:sz w:val="32"/>
          <w:szCs w:val="32"/>
          <w:highlight w:val="none"/>
        </w:rPr>
      </w:pPr>
    </w:p>
    <w:p>
      <w:pPr>
        <w:spacing w:line="360" w:lineRule="auto"/>
        <w:rPr>
          <w:rFonts w:hint="eastAsia" w:ascii="黑体" w:eastAsia="黑体" w:cs="宋体"/>
          <w:b/>
          <w:color w:val="auto"/>
          <w:sz w:val="32"/>
          <w:szCs w:val="32"/>
          <w:highlight w:val="none"/>
        </w:rPr>
      </w:pPr>
    </w:p>
    <w:p>
      <w:pPr>
        <w:spacing w:line="400" w:lineRule="exact"/>
        <w:rPr>
          <w:rFonts w:hint="eastAsia"/>
          <w:color w:val="auto"/>
          <w:sz w:val="24"/>
          <w:highlight w:val="none"/>
        </w:rPr>
      </w:pPr>
    </w:p>
    <w:p>
      <w:pPr>
        <w:pStyle w:val="14"/>
        <w:numPr>
          <w:ilvl w:val="0"/>
          <w:numId w:val="0"/>
        </w:numPr>
        <w:spacing w:line="360" w:lineRule="auto"/>
        <w:ind w:right="34" w:rightChars="0"/>
        <w:rPr>
          <w:rFonts w:hint="eastAsia" w:ascii="宋体" w:hAnsi="宋体" w:cs="宋体"/>
          <w:color w:val="auto"/>
          <w:sz w:val="21"/>
          <w:highlight w:val="none"/>
        </w:rPr>
      </w:pPr>
    </w:p>
    <w:sectPr>
      <w:headerReference r:id="rId10" w:type="default"/>
      <w:footerReference r:id="rId11" w:type="default"/>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_HKSCS">
    <w:altName w:val="Microsoft JhengHei UI"/>
    <w:panose1 w:val="02020500000000000000"/>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24"/>
      </w:rPr>
      <w:instrText xml:space="preserve"> PAGE </w:instrText>
    </w:r>
    <w:r>
      <w:fldChar w:fldCharType="separate"/>
    </w:r>
    <w:r>
      <w:rPr>
        <w:rStyle w:val="24"/>
      </w:rP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3"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4"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5" o:spid="_x0000_s4100"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fldChar w:fldCharType="begin"/>
                </w:r>
                <w:r>
                  <w:instrText xml:space="preserve"> PAGE  \* MERGEFORMAT </w:instrText>
                </w:r>
                <w:r>
                  <w:fldChar w:fldCharType="separate"/>
                </w:r>
                <w:r>
                  <w:t>58</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4"/>
      </w:rPr>
    </w:pPr>
    <w:r>
      <w:rPr>
        <w:rStyle w:val="24"/>
      </w:rPr>
      <w:t>GE  51</w:t>
    </w:r>
  </w:p>
  <w:p>
    <w:pPr>
      <w:pStyle w:val="2"/>
    </w:pPr>
  </w:p>
  <w:p>
    <w:r>
      <w:rPr>
        <w:rStyle w:val="24"/>
        <w:sz w:val="18"/>
        <w:szCs w:val="18"/>
      </w:rPr>
      <w:t>28</w:t>
    </w:r>
  </w:p>
  <w:p>
    <w:r>
      <w:rPr>
        <w:rStyle w:val="24"/>
        <w:kern w:val="0"/>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6" o:spid="_x0000_s4101"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fldChar w:fldCharType="begin"/>
                </w:r>
                <w:r>
                  <w:instrText xml:space="preserve"> PAGE  \* MERGEFORMAT </w:instrText>
                </w:r>
                <w:r>
                  <w:fldChar w:fldCharType="separate"/>
                </w:r>
                <w:r>
                  <w:t>96</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2340" w:firstLineChars="1300"/>
      <w:jc w:val="left"/>
      <w:rPr>
        <w:rFonts w:ascii="宋体" w:hAnsi="宋体"/>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36774"/>
    <w:multiLevelType w:val="singleLevel"/>
    <w:tmpl w:val="C8A36774"/>
    <w:lvl w:ilvl="0" w:tentative="0">
      <w:start w:val="3"/>
      <w:numFmt w:val="chineseCounting"/>
      <w:suff w:val="nothing"/>
      <w:lvlText w:val="%1、"/>
      <w:lvlJc w:val="left"/>
      <w:rPr>
        <w:rFonts w:hint="eastAsia"/>
      </w:rPr>
    </w:lvl>
  </w:abstractNum>
  <w:abstractNum w:abstractNumId="1">
    <w:nsid w:val="0000000F"/>
    <w:multiLevelType w:val="singleLevel"/>
    <w:tmpl w:val="0000000F"/>
    <w:lvl w:ilvl="0" w:tentative="0">
      <w:start w:val="1"/>
      <w:numFmt w:val="decimal"/>
      <w:lvlText w:val="%1．"/>
      <w:lvlJc w:val="left"/>
      <w:pPr>
        <w:tabs>
          <w:tab w:val="left" w:pos="570"/>
        </w:tabs>
        <w:ind w:left="570" w:hanging="420"/>
      </w:pPr>
      <w:rPr>
        <w:rFonts w:hint="eastAsia"/>
      </w:rPr>
    </w:lvl>
  </w:abstractNum>
  <w:abstractNum w:abstractNumId="2">
    <w:nsid w:val="00000011"/>
    <w:multiLevelType w:val="multilevel"/>
    <w:tmpl w:val="00000011"/>
    <w:lvl w:ilvl="0" w:tentative="0">
      <w:start w:val="1"/>
      <w:numFmt w:val="decimal"/>
      <w:lvlText w:val="%1."/>
      <w:lvlJc w:val="left"/>
      <w:pPr>
        <w:tabs>
          <w:tab w:val="left" w:pos="900"/>
        </w:tabs>
        <w:ind w:left="900" w:hanging="420"/>
      </w:pPr>
      <w:rPr>
        <w:rFonts w:hint="default" w:ascii="Times New Roman"/>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3">
    <w:nsid w:val="2FF91D0A"/>
    <w:multiLevelType w:val="multilevel"/>
    <w:tmpl w:val="2FF91D0A"/>
    <w:lvl w:ilvl="0" w:tentative="0">
      <w:start w:val="1"/>
      <w:numFmt w:val="chineseCountingThousand"/>
      <w:pStyle w:val="4"/>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5A62159"/>
    <w:multiLevelType w:val="singleLevel"/>
    <w:tmpl w:val="45A62159"/>
    <w:lvl w:ilvl="0" w:tentative="0">
      <w:start w:val="8"/>
      <w:numFmt w:val="decimal"/>
      <w:suff w:val="space"/>
      <w:lvlText w:val="(%1)"/>
      <w:lvlJc w:val="left"/>
    </w:lvl>
  </w:abstractNum>
  <w:abstractNum w:abstractNumId="5">
    <w:nsid w:val="4859B5CC"/>
    <w:multiLevelType w:val="singleLevel"/>
    <w:tmpl w:val="4859B5CC"/>
    <w:lvl w:ilvl="0" w:tentative="0">
      <w:start w:val="23"/>
      <w:numFmt w:val="decimal"/>
      <w:suff w:val="nothing"/>
      <w:lvlText w:val="（%1）"/>
      <w:lvlJc w:val="left"/>
    </w:lvl>
  </w:abstractNum>
  <w:abstractNum w:abstractNumId="6">
    <w:nsid w:val="4D216634"/>
    <w:multiLevelType w:val="singleLevel"/>
    <w:tmpl w:val="4D216634"/>
    <w:lvl w:ilvl="0" w:tentative="0">
      <w:start w:val="3"/>
      <w:numFmt w:val="chineseCounting"/>
      <w:suff w:val="nothing"/>
      <w:lvlText w:val="第%1部分．"/>
      <w:lvlJc w:val="left"/>
      <w:rPr>
        <w:rFonts w:hint="eastAsia"/>
      </w:rPr>
    </w:lvl>
  </w:abstractNum>
  <w:abstractNum w:abstractNumId="7">
    <w:nsid w:val="630C1BC3"/>
    <w:multiLevelType w:val="multilevel"/>
    <w:tmpl w:val="630C1BC3"/>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129"/>
        </w:tabs>
        <w:ind w:left="1129" w:hanging="420"/>
      </w:pPr>
      <w:rPr>
        <w:rFonts w:hint="eastAsia"/>
        <w:b/>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8">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num w:numId="1">
    <w:abstractNumId w:val="3"/>
  </w:num>
  <w:num w:numId="2">
    <w:abstractNumId w:val="2"/>
  </w:num>
  <w:num w:numId="3">
    <w:abstractNumId w:val="7"/>
  </w:num>
  <w:num w:numId="4">
    <w:abstractNumId w:val="8"/>
  </w:num>
  <w:num w:numId="5">
    <w:abstractNumId w:val="6"/>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945E00"/>
    <w:rsid w:val="00041BE0"/>
    <w:rsid w:val="00114603"/>
    <w:rsid w:val="00135348"/>
    <w:rsid w:val="001437F8"/>
    <w:rsid w:val="001D7610"/>
    <w:rsid w:val="001E5DD0"/>
    <w:rsid w:val="00211940"/>
    <w:rsid w:val="00215036"/>
    <w:rsid w:val="002571F5"/>
    <w:rsid w:val="002B7EB5"/>
    <w:rsid w:val="003737EE"/>
    <w:rsid w:val="00387F1B"/>
    <w:rsid w:val="003B03CF"/>
    <w:rsid w:val="004C7718"/>
    <w:rsid w:val="004E4A30"/>
    <w:rsid w:val="00516A57"/>
    <w:rsid w:val="00566BA6"/>
    <w:rsid w:val="005739CF"/>
    <w:rsid w:val="00585018"/>
    <w:rsid w:val="005C2EDA"/>
    <w:rsid w:val="005D5E89"/>
    <w:rsid w:val="005F2D9D"/>
    <w:rsid w:val="00676148"/>
    <w:rsid w:val="00687737"/>
    <w:rsid w:val="00727540"/>
    <w:rsid w:val="007A4881"/>
    <w:rsid w:val="007C63F9"/>
    <w:rsid w:val="007D0CBB"/>
    <w:rsid w:val="0084293A"/>
    <w:rsid w:val="008C0C03"/>
    <w:rsid w:val="008D2D02"/>
    <w:rsid w:val="009170E8"/>
    <w:rsid w:val="00920BA3"/>
    <w:rsid w:val="00945E00"/>
    <w:rsid w:val="009764C4"/>
    <w:rsid w:val="009A433C"/>
    <w:rsid w:val="009D443E"/>
    <w:rsid w:val="00A3648E"/>
    <w:rsid w:val="00A70D0D"/>
    <w:rsid w:val="00A75F0E"/>
    <w:rsid w:val="00A81D4A"/>
    <w:rsid w:val="00B0411B"/>
    <w:rsid w:val="00B20061"/>
    <w:rsid w:val="00B44DBE"/>
    <w:rsid w:val="00B47144"/>
    <w:rsid w:val="00B50711"/>
    <w:rsid w:val="00BA2577"/>
    <w:rsid w:val="00CB364B"/>
    <w:rsid w:val="00CD43E4"/>
    <w:rsid w:val="00D12ED4"/>
    <w:rsid w:val="00D16BD0"/>
    <w:rsid w:val="00D47F8A"/>
    <w:rsid w:val="00D57AB7"/>
    <w:rsid w:val="00E2712D"/>
    <w:rsid w:val="00E46DF9"/>
    <w:rsid w:val="00E57F1C"/>
    <w:rsid w:val="00EE2CF6"/>
    <w:rsid w:val="00F3157D"/>
    <w:rsid w:val="00F43034"/>
    <w:rsid w:val="00FB1361"/>
    <w:rsid w:val="00FC0F82"/>
    <w:rsid w:val="01451462"/>
    <w:rsid w:val="01A30F8B"/>
    <w:rsid w:val="01E10EE0"/>
    <w:rsid w:val="022A0B11"/>
    <w:rsid w:val="022D22A5"/>
    <w:rsid w:val="023016D3"/>
    <w:rsid w:val="029F2973"/>
    <w:rsid w:val="02A93F99"/>
    <w:rsid w:val="02C036A0"/>
    <w:rsid w:val="02EB3F7E"/>
    <w:rsid w:val="03165E07"/>
    <w:rsid w:val="032156E0"/>
    <w:rsid w:val="03917927"/>
    <w:rsid w:val="03BD3E4B"/>
    <w:rsid w:val="03F83D1D"/>
    <w:rsid w:val="0423023A"/>
    <w:rsid w:val="043A4E4A"/>
    <w:rsid w:val="047053A5"/>
    <w:rsid w:val="048155F3"/>
    <w:rsid w:val="04916EE2"/>
    <w:rsid w:val="04D13EF5"/>
    <w:rsid w:val="04F02D1E"/>
    <w:rsid w:val="053417CF"/>
    <w:rsid w:val="05AF43C9"/>
    <w:rsid w:val="05B3093C"/>
    <w:rsid w:val="06285753"/>
    <w:rsid w:val="063518B9"/>
    <w:rsid w:val="06A240B6"/>
    <w:rsid w:val="06A80F27"/>
    <w:rsid w:val="06EA4E75"/>
    <w:rsid w:val="070C2922"/>
    <w:rsid w:val="074A5C7B"/>
    <w:rsid w:val="07933109"/>
    <w:rsid w:val="08043D48"/>
    <w:rsid w:val="08243390"/>
    <w:rsid w:val="083D31E5"/>
    <w:rsid w:val="0846083C"/>
    <w:rsid w:val="086C21A4"/>
    <w:rsid w:val="08AD565E"/>
    <w:rsid w:val="08C86078"/>
    <w:rsid w:val="08E1767A"/>
    <w:rsid w:val="08EF215E"/>
    <w:rsid w:val="0917797E"/>
    <w:rsid w:val="09195000"/>
    <w:rsid w:val="094B166C"/>
    <w:rsid w:val="09AA3034"/>
    <w:rsid w:val="0A452A04"/>
    <w:rsid w:val="0AD77FC7"/>
    <w:rsid w:val="0AD81F4A"/>
    <w:rsid w:val="0AFE7193"/>
    <w:rsid w:val="0B0B2913"/>
    <w:rsid w:val="0BA03736"/>
    <w:rsid w:val="0BD32702"/>
    <w:rsid w:val="0BEB4379"/>
    <w:rsid w:val="0BF06ACE"/>
    <w:rsid w:val="0BFA1F87"/>
    <w:rsid w:val="0C0A4AD0"/>
    <w:rsid w:val="0C620FD4"/>
    <w:rsid w:val="0CAF6947"/>
    <w:rsid w:val="0CC742E4"/>
    <w:rsid w:val="0CDA3719"/>
    <w:rsid w:val="0CDC507B"/>
    <w:rsid w:val="0D0276BA"/>
    <w:rsid w:val="0D4A4AD6"/>
    <w:rsid w:val="0D6B14E7"/>
    <w:rsid w:val="0DCB28DE"/>
    <w:rsid w:val="0DF33007"/>
    <w:rsid w:val="0E0940C0"/>
    <w:rsid w:val="0E4371C8"/>
    <w:rsid w:val="0EBD0239"/>
    <w:rsid w:val="0EDD589E"/>
    <w:rsid w:val="0EFD4696"/>
    <w:rsid w:val="0F69251E"/>
    <w:rsid w:val="0FC851A8"/>
    <w:rsid w:val="0FF247F1"/>
    <w:rsid w:val="10375CDB"/>
    <w:rsid w:val="10655FED"/>
    <w:rsid w:val="10A754D5"/>
    <w:rsid w:val="10BD24BA"/>
    <w:rsid w:val="10CA0188"/>
    <w:rsid w:val="10DB16CE"/>
    <w:rsid w:val="10E042CE"/>
    <w:rsid w:val="10F27880"/>
    <w:rsid w:val="10F97D18"/>
    <w:rsid w:val="11103CE3"/>
    <w:rsid w:val="11555FA3"/>
    <w:rsid w:val="11646AD3"/>
    <w:rsid w:val="11756A97"/>
    <w:rsid w:val="11ED33C8"/>
    <w:rsid w:val="11F42B64"/>
    <w:rsid w:val="12191B92"/>
    <w:rsid w:val="124649D6"/>
    <w:rsid w:val="12BD7AA9"/>
    <w:rsid w:val="12FA6CFA"/>
    <w:rsid w:val="13025D19"/>
    <w:rsid w:val="13865424"/>
    <w:rsid w:val="138B5EF4"/>
    <w:rsid w:val="13972693"/>
    <w:rsid w:val="13B97921"/>
    <w:rsid w:val="13E433E8"/>
    <w:rsid w:val="14074D45"/>
    <w:rsid w:val="141E1590"/>
    <w:rsid w:val="14B04422"/>
    <w:rsid w:val="14BB5F78"/>
    <w:rsid w:val="14DC0DE2"/>
    <w:rsid w:val="158A291A"/>
    <w:rsid w:val="15A43A8B"/>
    <w:rsid w:val="15BD2BAF"/>
    <w:rsid w:val="16707427"/>
    <w:rsid w:val="167A3908"/>
    <w:rsid w:val="170F1199"/>
    <w:rsid w:val="171D04B0"/>
    <w:rsid w:val="17343664"/>
    <w:rsid w:val="17433D0C"/>
    <w:rsid w:val="17BD63AC"/>
    <w:rsid w:val="17D12DD1"/>
    <w:rsid w:val="180B2DE7"/>
    <w:rsid w:val="181D10DE"/>
    <w:rsid w:val="18360BCF"/>
    <w:rsid w:val="189564DB"/>
    <w:rsid w:val="1990462B"/>
    <w:rsid w:val="19B52C50"/>
    <w:rsid w:val="19BD1541"/>
    <w:rsid w:val="1A0C2501"/>
    <w:rsid w:val="1A1145D2"/>
    <w:rsid w:val="1AD85EB7"/>
    <w:rsid w:val="1AD87682"/>
    <w:rsid w:val="1B255D47"/>
    <w:rsid w:val="1B934EB6"/>
    <w:rsid w:val="1BF14F24"/>
    <w:rsid w:val="1BFA3E4F"/>
    <w:rsid w:val="1C4B2CB7"/>
    <w:rsid w:val="1C9D4CED"/>
    <w:rsid w:val="1CBF07C0"/>
    <w:rsid w:val="1D804F78"/>
    <w:rsid w:val="1D845CB1"/>
    <w:rsid w:val="1E1D5933"/>
    <w:rsid w:val="1E2A328E"/>
    <w:rsid w:val="1ECD077D"/>
    <w:rsid w:val="1F536FE0"/>
    <w:rsid w:val="1F570EB6"/>
    <w:rsid w:val="1F643580"/>
    <w:rsid w:val="1FB60B61"/>
    <w:rsid w:val="1FFF541C"/>
    <w:rsid w:val="204C1291"/>
    <w:rsid w:val="205A0E7F"/>
    <w:rsid w:val="20623839"/>
    <w:rsid w:val="20655B13"/>
    <w:rsid w:val="20713812"/>
    <w:rsid w:val="20B60D46"/>
    <w:rsid w:val="212D59C8"/>
    <w:rsid w:val="215B782D"/>
    <w:rsid w:val="216D7E24"/>
    <w:rsid w:val="21917AE9"/>
    <w:rsid w:val="21D22B8C"/>
    <w:rsid w:val="21F5200F"/>
    <w:rsid w:val="225F489B"/>
    <w:rsid w:val="22A02DAF"/>
    <w:rsid w:val="231D0680"/>
    <w:rsid w:val="2344471D"/>
    <w:rsid w:val="23951B56"/>
    <w:rsid w:val="254D42D9"/>
    <w:rsid w:val="25D12EEF"/>
    <w:rsid w:val="25E663C9"/>
    <w:rsid w:val="25F735D4"/>
    <w:rsid w:val="260C157F"/>
    <w:rsid w:val="26246F06"/>
    <w:rsid w:val="262F055F"/>
    <w:rsid w:val="26DF3436"/>
    <w:rsid w:val="270E24D3"/>
    <w:rsid w:val="272E415F"/>
    <w:rsid w:val="274F30A5"/>
    <w:rsid w:val="27DC7AFD"/>
    <w:rsid w:val="280A49A8"/>
    <w:rsid w:val="28201E80"/>
    <w:rsid w:val="28353284"/>
    <w:rsid w:val="285F0BCD"/>
    <w:rsid w:val="2895767D"/>
    <w:rsid w:val="294E31CE"/>
    <w:rsid w:val="296E070C"/>
    <w:rsid w:val="29A43A30"/>
    <w:rsid w:val="29BD0E7D"/>
    <w:rsid w:val="29ED5003"/>
    <w:rsid w:val="2A3969A0"/>
    <w:rsid w:val="2A582958"/>
    <w:rsid w:val="2A7A2715"/>
    <w:rsid w:val="2ACE1311"/>
    <w:rsid w:val="2B370CA5"/>
    <w:rsid w:val="2B646204"/>
    <w:rsid w:val="2C021D71"/>
    <w:rsid w:val="2C62381D"/>
    <w:rsid w:val="2C7C582A"/>
    <w:rsid w:val="2C933E08"/>
    <w:rsid w:val="2CC2115D"/>
    <w:rsid w:val="2D5748C4"/>
    <w:rsid w:val="2DAB3F3B"/>
    <w:rsid w:val="2DC305C0"/>
    <w:rsid w:val="2DC720FD"/>
    <w:rsid w:val="2E692D08"/>
    <w:rsid w:val="2E8F588E"/>
    <w:rsid w:val="2EE04A98"/>
    <w:rsid w:val="2F124DF2"/>
    <w:rsid w:val="2F505E32"/>
    <w:rsid w:val="2FCB2252"/>
    <w:rsid w:val="2FEE79C6"/>
    <w:rsid w:val="302A0D1B"/>
    <w:rsid w:val="303276B4"/>
    <w:rsid w:val="30720474"/>
    <w:rsid w:val="30767051"/>
    <w:rsid w:val="30A3667A"/>
    <w:rsid w:val="30C90C39"/>
    <w:rsid w:val="310077E6"/>
    <w:rsid w:val="31246B91"/>
    <w:rsid w:val="322B5D5B"/>
    <w:rsid w:val="326946A3"/>
    <w:rsid w:val="329752A2"/>
    <w:rsid w:val="334F0EA1"/>
    <w:rsid w:val="33AD5319"/>
    <w:rsid w:val="33B800FC"/>
    <w:rsid w:val="33DC5F51"/>
    <w:rsid w:val="340713E5"/>
    <w:rsid w:val="3427622E"/>
    <w:rsid w:val="343357D4"/>
    <w:rsid w:val="344174D5"/>
    <w:rsid w:val="34567909"/>
    <w:rsid w:val="34662D91"/>
    <w:rsid w:val="34784650"/>
    <w:rsid w:val="34951E4B"/>
    <w:rsid w:val="349D129C"/>
    <w:rsid w:val="34B74310"/>
    <w:rsid w:val="34F42757"/>
    <w:rsid w:val="35511CF1"/>
    <w:rsid w:val="35802EFF"/>
    <w:rsid w:val="35B7345C"/>
    <w:rsid w:val="362223E9"/>
    <w:rsid w:val="367D305A"/>
    <w:rsid w:val="371A2F94"/>
    <w:rsid w:val="374176F5"/>
    <w:rsid w:val="374E2F5C"/>
    <w:rsid w:val="37731A7E"/>
    <w:rsid w:val="37C438BF"/>
    <w:rsid w:val="380324DE"/>
    <w:rsid w:val="38130B6F"/>
    <w:rsid w:val="38486703"/>
    <w:rsid w:val="38626CB6"/>
    <w:rsid w:val="389E377A"/>
    <w:rsid w:val="38A24881"/>
    <w:rsid w:val="393F09DD"/>
    <w:rsid w:val="395F3A6F"/>
    <w:rsid w:val="39FB11A1"/>
    <w:rsid w:val="3A1F25A4"/>
    <w:rsid w:val="3A3A4E13"/>
    <w:rsid w:val="3A456D32"/>
    <w:rsid w:val="3A7F32A3"/>
    <w:rsid w:val="3AA061EA"/>
    <w:rsid w:val="3AFA25F7"/>
    <w:rsid w:val="3B9058D6"/>
    <w:rsid w:val="3BFA308A"/>
    <w:rsid w:val="3C097D4D"/>
    <w:rsid w:val="3C2D4C87"/>
    <w:rsid w:val="3C680A7D"/>
    <w:rsid w:val="3C682285"/>
    <w:rsid w:val="3C74103A"/>
    <w:rsid w:val="3CC73BFA"/>
    <w:rsid w:val="3D8245B2"/>
    <w:rsid w:val="3E197FE6"/>
    <w:rsid w:val="3E422289"/>
    <w:rsid w:val="3EA40536"/>
    <w:rsid w:val="3EDC4BC5"/>
    <w:rsid w:val="3EED513D"/>
    <w:rsid w:val="3F35701E"/>
    <w:rsid w:val="3F3A2F74"/>
    <w:rsid w:val="3F5D6578"/>
    <w:rsid w:val="3F780E9F"/>
    <w:rsid w:val="40157D8D"/>
    <w:rsid w:val="40707F85"/>
    <w:rsid w:val="40942B01"/>
    <w:rsid w:val="40E819CA"/>
    <w:rsid w:val="410B43E0"/>
    <w:rsid w:val="425631B1"/>
    <w:rsid w:val="42A058AE"/>
    <w:rsid w:val="42C7094B"/>
    <w:rsid w:val="430D1A9F"/>
    <w:rsid w:val="43A84C7F"/>
    <w:rsid w:val="441E4B9F"/>
    <w:rsid w:val="44BF7E0C"/>
    <w:rsid w:val="44F80EA5"/>
    <w:rsid w:val="454B7F98"/>
    <w:rsid w:val="45D75DA4"/>
    <w:rsid w:val="463514FD"/>
    <w:rsid w:val="463B59B8"/>
    <w:rsid w:val="466D2986"/>
    <w:rsid w:val="46711BEA"/>
    <w:rsid w:val="468C5315"/>
    <w:rsid w:val="46A473E1"/>
    <w:rsid w:val="47001A4C"/>
    <w:rsid w:val="47020E71"/>
    <w:rsid w:val="475E5A08"/>
    <w:rsid w:val="47AA32ED"/>
    <w:rsid w:val="4811574D"/>
    <w:rsid w:val="483E52A7"/>
    <w:rsid w:val="485C4CBC"/>
    <w:rsid w:val="485D424A"/>
    <w:rsid w:val="48BD488F"/>
    <w:rsid w:val="491C0684"/>
    <w:rsid w:val="496F6FA8"/>
    <w:rsid w:val="49CD693F"/>
    <w:rsid w:val="49D80BE7"/>
    <w:rsid w:val="4AA45AB0"/>
    <w:rsid w:val="4B4719A3"/>
    <w:rsid w:val="4B520BAC"/>
    <w:rsid w:val="4BCD03CB"/>
    <w:rsid w:val="4BCD0CDF"/>
    <w:rsid w:val="4BD20F34"/>
    <w:rsid w:val="4C0D115A"/>
    <w:rsid w:val="4C3D725F"/>
    <w:rsid w:val="4C4357FD"/>
    <w:rsid w:val="4D27053C"/>
    <w:rsid w:val="4D416E78"/>
    <w:rsid w:val="4D462C14"/>
    <w:rsid w:val="4D5F6370"/>
    <w:rsid w:val="4D984D60"/>
    <w:rsid w:val="4DB64C64"/>
    <w:rsid w:val="4DD876FF"/>
    <w:rsid w:val="4E307907"/>
    <w:rsid w:val="4E823485"/>
    <w:rsid w:val="4E834AFB"/>
    <w:rsid w:val="4E9605D1"/>
    <w:rsid w:val="4F062F4D"/>
    <w:rsid w:val="4F9F0460"/>
    <w:rsid w:val="4FB14AD7"/>
    <w:rsid w:val="4FC7329A"/>
    <w:rsid w:val="50180BD8"/>
    <w:rsid w:val="502375F6"/>
    <w:rsid w:val="50805F66"/>
    <w:rsid w:val="50845D4C"/>
    <w:rsid w:val="511E37E1"/>
    <w:rsid w:val="515926B1"/>
    <w:rsid w:val="51FB6F70"/>
    <w:rsid w:val="52071277"/>
    <w:rsid w:val="525234C4"/>
    <w:rsid w:val="525A7750"/>
    <w:rsid w:val="528703D4"/>
    <w:rsid w:val="532E5220"/>
    <w:rsid w:val="533E482E"/>
    <w:rsid w:val="53B53152"/>
    <w:rsid w:val="540671DF"/>
    <w:rsid w:val="54942C8A"/>
    <w:rsid w:val="54BC3AA7"/>
    <w:rsid w:val="54FE7874"/>
    <w:rsid w:val="555724BA"/>
    <w:rsid w:val="55680C9B"/>
    <w:rsid w:val="56114992"/>
    <w:rsid w:val="566F09DB"/>
    <w:rsid w:val="56F032BC"/>
    <w:rsid w:val="57134058"/>
    <w:rsid w:val="576F740B"/>
    <w:rsid w:val="57C63ACC"/>
    <w:rsid w:val="586374E4"/>
    <w:rsid w:val="59227BDF"/>
    <w:rsid w:val="592C5D7D"/>
    <w:rsid w:val="593F2900"/>
    <w:rsid w:val="598339FC"/>
    <w:rsid w:val="59936374"/>
    <w:rsid w:val="59BC4632"/>
    <w:rsid w:val="59FB633D"/>
    <w:rsid w:val="5A9D7FED"/>
    <w:rsid w:val="5A9E0A3E"/>
    <w:rsid w:val="5B2C5FB6"/>
    <w:rsid w:val="5B760068"/>
    <w:rsid w:val="5B8B72A6"/>
    <w:rsid w:val="5B9F28CF"/>
    <w:rsid w:val="5BD75F4F"/>
    <w:rsid w:val="5BF95C8D"/>
    <w:rsid w:val="5C116431"/>
    <w:rsid w:val="5C7B5C7C"/>
    <w:rsid w:val="5CB20A8C"/>
    <w:rsid w:val="5D1573F3"/>
    <w:rsid w:val="5D1805D0"/>
    <w:rsid w:val="5D266A28"/>
    <w:rsid w:val="5D3329F9"/>
    <w:rsid w:val="5D4B7201"/>
    <w:rsid w:val="5D9463AA"/>
    <w:rsid w:val="5DD64DC8"/>
    <w:rsid w:val="5E0519CE"/>
    <w:rsid w:val="5E333F42"/>
    <w:rsid w:val="5E4C49D7"/>
    <w:rsid w:val="5EBC4153"/>
    <w:rsid w:val="5EC01F62"/>
    <w:rsid w:val="5FAB0CFD"/>
    <w:rsid w:val="5FC7515B"/>
    <w:rsid w:val="5FDE5648"/>
    <w:rsid w:val="602E1750"/>
    <w:rsid w:val="60672FDE"/>
    <w:rsid w:val="606E267B"/>
    <w:rsid w:val="60AA734B"/>
    <w:rsid w:val="60EA7EF0"/>
    <w:rsid w:val="60F80EAF"/>
    <w:rsid w:val="615518C6"/>
    <w:rsid w:val="61BE4177"/>
    <w:rsid w:val="61F7185B"/>
    <w:rsid w:val="62124CB4"/>
    <w:rsid w:val="6246355F"/>
    <w:rsid w:val="62E61F19"/>
    <w:rsid w:val="63667E19"/>
    <w:rsid w:val="643525AF"/>
    <w:rsid w:val="64872E36"/>
    <w:rsid w:val="648A320E"/>
    <w:rsid w:val="6494235B"/>
    <w:rsid w:val="650900B4"/>
    <w:rsid w:val="650950F0"/>
    <w:rsid w:val="656F0894"/>
    <w:rsid w:val="65C83896"/>
    <w:rsid w:val="65E425E0"/>
    <w:rsid w:val="65FA04DC"/>
    <w:rsid w:val="661206B4"/>
    <w:rsid w:val="6688672E"/>
    <w:rsid w:val="66A675F6"/>
    <w:rsid w:val="66C43B3A"/>
    <w:rsid w:val="66FC1942"/>
    <w:rsid w:val="67185D1F"/>
    <w:rsid w:val="67222B61"/>
    <w:rsid w:val="6745173B"/>
    <w:rsid w:val="6760522F"/>
    <w:rsid w:val="677B1148"/>
    <w:rsid w:val="67C01642"/>
    <w:rsid w:val="67DB2001"/>
    <w:rsid w:val="67F455AA"/>
    <w:rsid w:val="68833D30"/>
    <w:rsid w:val="68EF059C"/>
    <w:rsid w:val="69076BC7"/>
    <w:rsid w:val="69346211"/>
    <w:rsid w:val="695533E2"/>
    <w:rsid w:val="6A3B7EEA"/>
    <w:rsid w:val="6A771B82"/>
    <w:rsid w:val="6AAE1A29"/>
    <w:rsid w:val="6AC576F2"/>
    <w:rsid w:val="6B1F112B"/>
    <w:rsid w:val="6B335442"/>
    <w:rsid w:val="6B3B2526"/>
    <w:rsid w:val="6BC579D9"/>
    <w:rsid w:val="6BCA10AB"/>
    <w:rsid w:val="6C25694B"/>
    <w:rsid w:val="6C587B47"/>
    <w:rsid w:val="6C7F6F74"/>
    <w:rsid w:val="6D2007FA"/>
    <w:rsid w:val="6D353DAE"/>
    <w:rsid w:val="6D8B4D23"/>
    <w:rsid w:val="6DEC5A17"/>
    <w:rsid w:val="6DF273EC"/>
    <w:rsid w:val="6E5C4A53"/>
    <w:rsid w:val="6E951515"/>
    <w:rsid w:val="6EA73A2A"/>
    <w:rsid w:val="6EC658E8"/>
    <w:rsid w:val="6EE81AA0"/>
    <w:rsid w:val="6EF22B8F"/>
    <w:rsid w:val="6F5C2A24"/>
    <w:rsid w:val="6F9C7C44"/>
    <w:rsid w:val="6FB70109"/>
    <w:rsid w:val="6FC966B3"/>
    <w:rsid w:val="6FD8670D"/>
    <w:rsid w:val="6FE24F8F"/>
    <w:rsid w:val="7006170E"/>
    <w:rsid w:val="70124EA7"/>
    <w:rsid w:val="701A5314"/>
    <w:rsid w:val="707F3791"/>
    <w:rsid w:val="7090420D"/>
    <w:rsid w:val="70A53F28"/>
    <w:rsid w:val="71113B23"/>
    <w:rsid w:val="712F6F19"/>
    <w:rsid w:val="714B14A8"/>
    <w:rsid w:val="72911736"/>
    <w:rsid w:val="72F84583"/>
    <w:rsid w:val="73191795"/>
    <w:rsid w:val="735F1F6B"/>
    <w:rsid w:val="73953958"/>
    <w:rsid w:val="73B05B70"/>
    <w:rsid w:val="73E3649D"/>
    <w:rsid w:val="74091EFF"/>
    <w:rsid w:val="74304655"/>
    <w:rsid w:val="745446E2"/>
    <w:rsid w:val="74610B5A"/>
    <w:rsid w:val="74B41EBF"/>
    <w:rsid w:val="756A29EC"/>
    <w:rsid w:val="759379D3"/>
    <w:rsid w:val="76A500D6"/>
    <w:rsid w:val="7747694E"/>
    <w:rsid w:val="779A3703"/>
    <w:rsid w:val="77B2277C"/>
    <w:rsid w:val="78040F1F"/>
    <w:rsid w:val="78061E2C"/>
    <w:rsid w:val="781D6A7B"/>
    <w:rsid w:val="783365CE"/>
    <w:rsid w:val="786131B5"/>
    <w:rsid w:val="79204B24"/>
    <w:rsid w:val="79544BE6"/>
    <w:rsid w:val="79792A18"/>
    <w:rsid w:val="79884866"/>
    <w:rsid w:val="79D5678E"/>
    <w:rsid w:val="7A785ED3"/>
    <w:rsid w:val="7A85162E"/>
    <w:rsid w:val="7B2820C3"/>
    <w:rsid w:val="7B39053F"/>
    <w:rsid w:val="7BC55940"/>
    <w:rsid w:val="7BE02134"/>
    <w:rsid w:val="7BF830AB"/>
    <w:rsid w:val="7C211B31"/>
    <w:rsid w:val="7C3034AA"/>
    <w:rsid w:val="7C4077AD"/>
    <w:rsid w:val="7CB31E49"/>
    <w:rsid w:val="7CCD01F7"/>
    <w:rsid w:val="7D06583E"/>
    <w:rsid w:val="7D5D58D4"/>
    <w:rsid w:val="7D6703A7"/>
    <w:rsid w:val="7DC72596"/>
    <w:rsid w:val="7DE06538"/>
    <w:rsid w:val="7E136FC0"/>
    <w:rsid w:val="7E413908"/>
    <w:rsid w:val="7E4D59F7"/>
    <w:rsid w:val="7E4D7852"/>
    <w:rsid w:val="7E5D2278"/>
    <w:rsid w:val="7ED650A9"/>
    <w:rsid w:val="7F79394C"/>
    <w:rsid w:val="7FB92589"/>
    <w:rsid w:val="7FE213AA"/>
    <w:rsid w:val="7FE51991"/>
    <w:rsid w:val="7FFE2E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5">
    <w:name w:val="heading 2"/>
    <w:basedOn w:val="1"/>
    <w:next w:val="1"/>
    <w:qFormat/>
    <w:uiPriority w:val="1"/>
    <w:pPr>
      <w:spacing w:before="98"/>
      <w:ind w:left="276"/>
      <w:jc w:val="center"/>
      <w:outlineLvl w:val="1"/>
    </w:pPr>
    <w:rPr>
      <w:rFonts w:ascii="黑体" w:hAnsi="黑体" w:eastAsia="黑体" w:cs="黑体"/>
      <w:b/>
      <w:bCs/>
      <w:sz w:val="32"/>
      <w:szCs w:val="32"/>
      <w:lang w:val="zh-CN" w:bidi="zh-CN"/>
    </w:rPr>
  </w:style>
  <w:style w:type="paragraph" w:styleId="6">
    <w:name w:val="heading 3"/>
    <w:basedOn w:val="1"/>
    <w:next w:val="1"/>
    <w:qFormat/>
    <w:uiPriority w:val="0"/>
    <w:pPr>
      <w:keepNext/>
      <w:keepLines/>
      <w:spacing w:before="260" w:after="260" w:line="416" w:lineRule="auto"/>
      <w:outlineLvl w:val="2"/>
    </w:pPr>
    <w:rPr>
      <w:rFonts w:ascii="黑体" w:eastAsia="黑体"/>
      <w:b/>
      <w:bCs/>
      <w:sz w:val="32"/>
      <w:szCs w:val="32"/>
    </w:rPr>
  </w:style>
  <w:style w:type="paragraph" w:styleId="7">
    <w:name w:val="heading 4"/>
    <w:basedOn w:val="1"/>
    <w:next w:val="1"/>
    <w:qFormat/>
    <w:uiPriority w:val="0"/>
    <w:pPr>
      <w:keepNext/>
      <w:jc w:val="center"/>
      <w:outlineLvl w:val="3"/>
    </w:pPr>
    <w:rPr>
      <w:rFonts w:eastAsia="楷体_GB2312"/>
      <w:b/>
      <w:bCs/>
      <w:sz w:val="13"/>
    </w:rPr>
  </w:style>
  <w:style w:type="paragraph" w:styleId="8">
    <w:name w:val="heading 5"/>
    <w:basedOn w:val="1"/>
    <w:next w:val="1"/>
    <w:qFormat/>
    <w:uiPriority w:val="1"/>
    <w:pPr>
      <w:ind w:left="722" w:hanging="422"/>
      <w:outlineLvl w:val="4"/>
    </w:pPr>
    <w:rPr>
      <w:rFonts w:ascii="宋体" w:hAnsi="宋体" w:cs="宋体"/>
      <w:b/>
      <w:bCs/>
      <w:szCs w:val="21"/>
      <w:lang w:val="zh-CN" w:bidi="zh-CN"/>
    </w:rPr>
  </w:style>
  <w:style w:type="paragraph" w:styleId="9">
    <w:name w:val="heading 6"/>
    <w:basedOn w:val="1"/>
    <w:next w:val="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rPr>
  </w:style>
  <w:style w:type="paragraph" w:styleId="10">
    <w:name w:val="heading 9"/>
    <w:basedOn w:val="1"/>
    <w:next w:val="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TOC Heading1"/>
    <w:next w:val="1"/>
    <w:qFormat/>
    <w:uiPriority w:val="0"/>
    <w:pPr>
      <w:wordWrap w:val="0"/>
    </w:pPr>
    <w:rPr>
      <w:rFonts w:ascii="Times New Roman" w:hAnsi="Times New Roman" w:eastAsia="宋体" w:cs="Times New Roman"/>
      <w:sz w:val="32"/>
      <w:lang w:val="en-US" w:eastAsia="zh-CN" w:bidi="ar-SA"/>
    </w:rPr>
  </w:style>
  <w:style w:type="paragraph" w:styleId="11">
    <w:name w:val="annotation text"/>
    <w:basedOn w:val="1"/>
    <w:qFormat/>
    <w:uiPriority w:val="0"/>
    <w:pPr>
      <w:jc w:val="left"/>
    </w:pPr>
  </w:style>
  <w:style w:type="paragraph" w:styleId="12">
    <w:name w:val="Body Text"/>
    <w:basedOn w:val="1"/>
    <w:next w:val="1"/>
    <w:qFormat/>
    <w:uiPriority w:val="0"/>
    <w:pPr>
      <w:autoSpaceDE w:val="0"/>
      <w:autoSpaceDN w:val="0"/>
      <w:adjustRightInd w:val="0"/>
    </w:pPr>
    <w:rPr>
      <w:rFonts w:ascii="仿宋_GB2312" w:eastAsia="仿宋_GB2312"/>
      <w:kern w:val="0"/>
      <w:sz w:val="28"/>
      <w:szCs w:val="20"/>
    </w:rPr>
  </w:style>
  <w:style w:type="paragraph" w:styleId="13">
    <w:name w:val="Body Text Indent"/>
    <w:basedOn w:val="1"/>
    <w:link w:val="31"/>
    <w:qFormat/>
    <w:uiPriority w:val="0"/>
    <w:pPr>
      <w:spacing w:after="120"/>
      <w:ind w:left="420" w:leftChars="200"/>
    </w:p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envelope return"/>
    <w:basedOn w:val="1"/>
    <w:qFormat/>
    <w:uiPriority w:val="0"/>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rPr>
  </w:style>
  <w:style w:type="paragraph" w:styleId="18">
    <w:name w:val="Normal (Web)"/>
    <w:basedOn w:val="1"/>
    <w:qFormat/>
    <w:uiPriority w:val="0"/>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paragraph" w:styleId="19">
    <w:name w:val="Title"/>
    <w:basedOn w:val="1"/>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20">
    <w:name w:val="Body Text First Indent"/>
    <w:basedOn w:val="12"/>
    <w:qFormat/>
    <w:uiPriority w:val="0"/>
    <w:pPr>
      <w:spacing w:after="120"/>
      <w:ind w:firstLine="420" w:firstLineChars="100"/>
    </w:pPr>
    <w:rPr>
      <w:rFonts w:ascii="Times New Roman" w:eastAsia="宋体"/>
      <w:sz w:val="21"/>
    </w:rPr>
  </w:style>
  <w:style w:type="paragraph" w:styleId="21">
    <w:name w:val="Body Text First Indent 2"/>
    <w:basedOn w:val="13"/>
    <w:link w:val="32"/>
    <w:qFormat/>
    <w:uiPriority w:val="0"/>
    <w:pPr>
      <w:ind w:firstLine="420" w:firstLineChars="200"/>
    </w:pPr>
  </w:style>
  <w:style w:type="character" w:styleId="24">
    <w:name w:val="page number"/>
    <w:basedOn w:val="23"/>
    <w:qFormat/>
    <w:uiPriority w:val="0"/>
  </w:style>
  <w:style w:type="character" w:styleId="25">
    <w:name w:val="HTML Typewriter"/>
    <w:qFormat/>
    <w:uiPriority w:val="0"/>
    <w:rPr>
      <w:rFonts w:ascii="宋体" w:hAnsi="宋体" w:eastAsia="宋体" w:cs="宋体"/>
      <w:sz w:val="24"/>
      <w:szCs w:val="24"/>
    </w:rPr>
  </w:style>
  <w:style w:type="paragraph" w:customStyle="1" w:styleId="2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List Paragraph"/>
    <w:basedOn w:val="1"/>
    <w:link w:val="30"/>
    <w:qFormat/>
    <w:uiPriority w:val="1"/>
    <w:pPr>
      <w:ind w:left="300" w:firstLine="420"/>
    </w:pPr>
    <w:rPr>
      <w:rFonts w:ascii="宋体" w:hAnsi="宋体" w:cs="宋体"/>
      <w:lang w:val="zh-CN" w:bidi="zh-CN"/>
    </w:rPr>
  </w:style>
  <w:style w:type="paragraph" w:customStyle="1" w:styleId="28">
    <w:name w:val="Table Paragraph"/>
    <w:basedOn w:val="1"/>
    <w:qFormat/>
    <w:uiPriority w:val="1"/>
    <w:rPr>
      <w:rFonts w:ascii="宋体" w:hAnsi="宋体" w:cs="宋体"/>
      <w:lang w:val="zh-CN" w:bidi="zh-CN"/>
    </w:rPr>
  </w:style>
  <w:style w:type="paragraph" w:customStyle="1" w:styleId="29">
    <w:name w:val="_Style 6"/>
    <w:basedOn w:val="4"/>
    <w:next w:val="1"/>
    <w:qFormat/>
    <w:uiPriority w:val="0"/>
    <w:pPr>
      <w:jc w:val="both"/>
      <w:outlineLvl w:val="9"/>
    </w:pPr>
    <w:rPr>
      <w:rFonts w:ascii="Cambria" w:hAnsi="Cambria" w:eastAsia="华文细黑" w:cs="Cambria"/>
    </w:rPr>
  </w:style>
  <w:style w:type="character" w:customStyle="1" w:styleId="30">
    <w:name w:val="列表段落 字符"/>
    <w:link w:val="27"/>
    <w:qFormat/>
    <w:uiPriority w:val="1"/>
    <w:rPr>
      <w:rFonts w:ascii="宋体" w:hAnsi="宋体" w:eastAsia="宋体" w:cs="宋体"/>
      <w:lang w:val="zh-CN" w:eastAsia="zh-CN" w:bidi="zh-CN"/>
    </w:rPr>
  </w:style>
  <w:style w:type="character" w:customStyle="1" w:styleId="31">
    <w:name w:val="正文文本缩进 字符"/>
    <w:basedOn w:val="23"/>
    <w:link w:val="13"/>
    <w:qFormat/>
    <w:uiPriority w:val="0"/>
    <w:rPr>
      <w:kern w:val="2"/>
      <w:sz w:val="21"/>
      <w:szCs w:val="24"/>
    </w:rPr>
  </w:style>
  <w:style w:type="character" w:customStyle="1" w:styleId="32">
    <w:name w:val="正文文本首行缩进 2 字符"/>
    <w:basedOn w:val="31"/>
    <w:link w:val="21"/>
    <w:qFormat/>
    <w:uiPriority w:val="0"/>
    <w:rPr>
      <w:kern w:val="2"/>
      <w:sz w:val="21"/>
      <w:szCs w:val="24"/>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10061</Words>
  <Characters>57350</Characters>
  <Lines>477</Lines>
  <Paragraphs>134</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2021-10-12T03:16:00Z</cp:lastPrinted>
  <dcterms:modified xsi:type="dcterms:W3CDTF">2021-10-21T07:34:52Z</dcterms:modified>
  <dc:title>无锡市政府采购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E556CEC4C67745FBA7977A8D8CF23A36</vt:lpwstr>
  </property>
</Properties>
</file>