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000000" w:themeColor="text1"/>
          <w:sz w:val="30"/>
          <w14:textFill>
            <w14:solidFill>
              <w14:schemeClr w14:val="tx1"/>
            </w14:solidFill>
          </w14:textFill>
        </w:rPr>
      </w:pPr>
    </w:p>
    <w:p>
      <w:pPr>
        <w:ind w:left="660"/>
        <w:rPr>
          <w:rFonts w:ascii="楷体_GB2312" w:eastAsia="楷体_GB2312"/>
          <w:bCs/>
          <w:color w:val="000000" w:themeColor="text1"/>
          <w:sz w:val="30"/>
          <w14:textFill>
            <w14:solidFill>
              <w14:schemeClr w14:val="tx1"/>
            </w14:solidFill>
          </w14:textFill>
        </w:rPr>
      </w:pPr>
    </w:p>
    <w:p>
      <w:pPr>
        <w:jc w:val="center"/>
        <w:rPr>
          <w:rFonts w:ascii="黑体" w:hAnsi="华文中宋" w:eastAsia="黑体"/>
          <w:bCs/>
          <w:color w:val="000000" w:themeColor="text1"/>
          <w:spacing w:val="20"/>
          <w:sz w:val="72"/>
          <w:szCs w:val="72"/>
          <w14:textFill>
            <w14:solidFill>
              <w14:schemeClr w14:val="tx1"/>
            </w14:solidFill>
          </w14:textFill>
        </w:rPr>
      </w:pPr>
      <w:r>
        <w:rPr>
          <w:rFonts w:hint="eastAsia" w:ascii="黑体" w:hAnsi="华文中宋" w:eastAsia="黑体"/>
          <w:bCs/>
          <w:color w:val="000000" w:themeColor="text1"/>
          <w:spacing w:val="20"/>
          <w:sz w:val="72"/>
          <w:szCs w:val="72"/>
          <w14:textFill>
            <w14:solidFill>
              <w14:schemeClr w14:val="tx1"/>
            </w14:solidFill>
          </w14:textFill>
        </w:rPr>
        <w:t>无锡市梁溪区政府采购</w:t>
      </w: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pacing w:val="20"/>
          <w:w w:val="90"/>
          <w:sz w:val="48"/>
          <w:szCs w:val="48"/>
          <w14:textFill>
            <w14:solidFill>
              <w14:schemeClr w14:val="tx1"/>
            </w14:solidFill>
          </w14:textFill>
        </w:rPr>
      </w:pPr>
      <w:r>
        <w:rPr>
          <w:rFonts w:hint="eastAsia" w:ascii="黑体" w:hAnsi="华文中宋" w:eastAsia="黑体"/>
          <w:bCs/>
          <w:color w:val="000000" w:themeColor="text1"/>
          <w:spacing w:val="20"/>
          <w:w w:val="90"/>
          <w:sz w:val="48"/>
          <w:szCs w:val="48"/>
          <w14:textFill>
            <w14:solidFill>
              <w14:schemeClr w14:val="tx1"/>
            </w14:solidFill>
          </w14:textFill>
        </w:rPr>
        <w:t>公</w:t>
      </w:r>
      <w:r>
        <w:rPr>
          <w:rFonts w:ascii="黑体" w:hAnsi="华文中宋" w:eastAsia="黑体"/>
          <w:bCs/>
          <w:color w:val="000000" w:themeColor="text1"/>
          <w:spacing w:val="20"/>
          <w:w w:val="90"/>
          <w:sz w:val="48"/>
          <w:szCs w:val="48"/>
          <w14:textFill>
            <w14:solidFill>
              <w14:schemeClr w14:val="tx1"/>
            </w14:solidFill>
          </w14:textFill>
        </w:rPr>
        <w:t xml:space="preserve">   </w:t>
      </w:r>
      <w:r>
        <w:rPr>
          <w:rFonts w:hint="eastAsia" w:ascii="黑体" w:hAnsi="华文中宋" w:eastAsia="黑体"/>
          <w:bCs/>
          <w:color w:val="000000" w:themeColor="text1"/>
          <w:spacing w:val="20"/>
          <w:w w:val="90"/>
          <w:sz w:val="48"/>
          <w:szCs w:val="48"/>
          <w14:textFill>
            <w14:solidFill>
              <w14:schemeClr w14:val="tx1"/>
            </w14:solidFill>
          </w14:textFill>
        </w:rPr>
        <w:t>开</w:t>
      </w:r>
    </w:p>
    <w:p>
      <w:pPr>
        <w:jc w:val="center"/>
        <w:rPr>
          <w:rFonts w:ascii="黑体" w:hAnsi="华文中宋" w:eastAsia="黑体"/>
          <w:bCs/>
          <w:color w:val="000000" w:themeColor="text1"/>
          <w:spacing w:val="20"/>
          <w:sz w:val="52"/>
          <w:szCs w:val="5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9525" t="7620" r="9525" b="1143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v:fill on="f" focussize="0,0"/>
                <v:stroke color="#000000" joinstyle="round"/>
                <v:imagedata o:title=""/>
                <o:lock v:ext="edit" aspectratio="f"/>
              </v:line>
            </w:pict>
          </mc:Fallback>
        </mc:AlternateContent>
      </w:r>
      <w:r>
        <w:rPr>
          <w:rFonts w:hint="eastAsia" w:ascii="黑体" w:hAnsi="华文中宋" w:eastAsia="黑体"/>
          <w:bCs/>
          <w:color w:val="000000" w:themeColor="text1"/>
          <w:spacing w:val="20"/>
          <w:sz w:val="52"/>
          <w:szCs w:val="52"/>
          <w14:textFill>
            <w14:solidFill>
              <w14:schemeClr w14:val="tx1"/>
            </w14:solidFill>
          </w14:textFill>
        </w:rPr>
        <w:t>招</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件</w:t>
      </w:r>
    </w:p>
    <w:p>
      <w:pPr>
        <w:tabs>
          <w:tab w:val="left" w:pos="9921"/>
        </w:tabs>
        <w:jc w:val="center"/>
        <w:rPr>
          <w:rFonts w:ascii="华文中宋" w:hAnsi="华文中宋" w:eastAsia="华文中宋"/>
          <w:bCs/>
          <w:color w:val="000000"/>
          <w:sz w:val="30"/>
        </w:rPr>
      </w:pPr>
      <w:r>
        <w:rPr>
          <w:rFonts w:hint="eastAsia" w:ascii="华文中宋" w:hAnsi="华文中宋" w:eastAsia="华文中宋"/>
          <w:bCs/>
          <w:color w:val="000000"/>
          <w:sz w:val="30"/>
        </w:rPr>
        <w:t>（全流程电子化）</w:t>
      </w:r>
    </w:p>
    <w:p>
      <w:pPr>
        <w:rPr>
          <w:rFonts w:ascii="华文中宋" w:hAnsi="华文中宋" w:eastAsia="华文中宋"/>
          <w:bCs/>
          <w:color w:val="000000" w:themeColor="text1"/>
          <w:sz w:val="30"/>
          <w14:textFill>
            <w14:solidFill>
              <w14:schemeClr w14:val="tx1"/>
            </w14:solidFill>
          </w14:textFill>
        </w:rPr>
      </w:pPr>
    </w:p>
    <w:p>
      <w:pPr>
        <w:tabs>
          <w:tab w:val="left" w:pos="9921"/>
        </w:tabs>
        <w:jc w:val="center"/>
        <w:rPr>
          <w:rFonts w:ascii="华文中宋" w:hAnsi="华文中宋" w:eastAsia="华文中宋"/>
          <w:bCs/>
          <w:color w:val="000000" w:themeColor="text1"/>
          <w:sz w:val="30"/>
          <w14:textFill>
            <w14:solidFill>
              <w14:schemeClr w14:val="tx1"/>
            </w14:solidFill>
          </w14:textFill>
        </w:rPr>
      </w:pPr>
    </w:p>
    <w:p>
      <w:pPr>
        <w:jc w:val="both"/>
        <w:rPr>
          <w:rFonts w:ascii="华文中宋" w:hAnsi="华文中宋" w:eastAsia="华文中宋"/>
          <w:bCs/>
          <w:color w:val="000000" w:themeColor="text1"/>
          <w:sz w:val="30"/>
          <w14:textFill>
            <w14:solidFill>
              <w14:schemeClr w14:val="tx1"/>
            </w14:solidFill>
          </w14:textFill>
        </w:rPr>
      </w:pPr>
    </w:p>
    <w:p>
      <w:pPr>
        <w:ind w:firstLine="2700" w:firstLineChars="900"/>
        <w:jc w:val="both"/>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采购项目编号：</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LXZC2021-032(2)</w:t>
      </w:r>
    </w:p>
    <w:p>
      <w:pPr>
        <w:ind w:left="5083" w:leftChars="1278" w:hanging="2400" w:hangingChars="800"/>
        <w:jc w:val="both"/>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采购项目名称：</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扬名街道金星社区金星大厦户外电子屏采购项目（第二次）</w:t>
      </w:r>
    </w:p>
    <w:p>
      <w:pPr>
        <w:ind w:firstLine="2700" w:firstLineChars="900"/>
        <w:jc w:val="both"/>
        <w:rPr>
          <w:rFonts w:ascii="黑体" w:hAnsi="华文中宋" w:eastAsia="黑体"/>
          <w:bCs/>
          <w:color w:val="000000" w:themeColor="text1"/>
          <w:sz w:val="30"/>
          <w:szCs w:val="30"/>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集中采购机构：</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14:textFill>
            <w14:solidFill>
              <w14:schemeClr w14:val="tx1"/>
            </w14:solidFill>
          </w14:textFill>
        </w:rPr>
        <w:t>无锡市公共资源交易中心梁溪分中心</w:t>
      </w:r>
    </w:p>
    <w:p>
      <w:pPr>
        <w:jc w:val="both"/>
        <w:rPr>
          <w:rFonts w:ascii="华文中宋" w:hAnsi="华文中宋" w:eastAsia="华文中宋"/>
          <w:bCs/>
          <w:color w:val="000000" w:themeColor="text1"/>
          <w:sz w:val="32"/>
          <w14:textFill>
            <w14:solidFill>
              <w14:schemeClr w14:val="tx1"/>
            </w14:solidFill>
          </w14:textFill>
        </w:rPr>
      </w:pPr>
    </w:p>
    <w:p>
      <w:pPr>
        <w:jc w:val="both"/>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z w:val="44"/>
          <w:szCs w:val="44"/>
          <w14:textFill>
            <w14:solidFill>
              <w14:schemeClr w14:val="tx1"/>
            </w14:solidFill>
          </w14:textFill>
        </w:rPr>
      </w:pPr>
      <w:r>
        <w:rPr>
          <w:rFonts w:hint="eastAsia" w:ascii="黑体" w:hAnsi="华文中宋" w:eastAsia="黑体"/>
          <w:bCs/>
          <w:color w:val="000000" w:themeColor="text1"/>
          <w:sz w:val="44"/>
          <w:szCs w:val="44"/>
          <w14:textFill>
            <w14:solidFill>
              <w14:schemeClr w14:val="tx1"/>
            </w14:solidFill>
          </w14:textFill>
        </w:rPr>
        <w:t>二○二一年</w:t>
      </w:r>
      <w:r>
        <w:rPr>
          <w:rFonts w:hint="eastAsia" w:ascii="黑体" w:hAnsi="华文中宋" w:eastAsia="黑体"/>
          <w:bCs/>
          <w:color w:val="000000" w:themeColor="text1"/>
          <w:sz w:val="44"/>
          <w:szCs w:val="44"/>
          <w:lang w:val="en-US" w:eastAsia="zh-CN"/>
          <w14:textFill>
            <w14:solidFill>
              <w14:schemeClr w14:val="tx1"/>
            </w14:solidFill>
          </w14:textFill>
        </w:rPr>
        <w:t>十二</w:t>
      </w:r>
      <w:r>
        <w:rPr>
          <w:rFonts w:hint="eastAsia" w:ascii="黑体" w:hAnsi="华文中宋" w:eastAsia="黑体"/>
          <w:bCs/>
          <w:color w:val="000000" w:themeColor="text1"/>
          <w:sz w:val="44"/>
          <w:szCs w:val="44"/>
          <w14:textFill>
            <w14:solidFill>
              <w14:schemeClr w14:val="tx1"/>
            </w14:solidFill>
          </w14:textFill>
        </w:rPr>
        <w:t>月</w:t>
      </w:r>
      <w:r>
        <w:rPr>
          <w:rFonts w:hint="eastAsia" w:ascii="黑体" w:hAnsi="华文中宋" w:eastAsia="黑体"/>
          <w:bCs/>
          <w:color w:val="000000" w:themeColor="text1"/>
          <w:sz w:val="44"/>
          <w:szCs w:val="44"/>
          <w:lang w:val="en-US" w:eastAsia="zh-CN"/>
          <w14:textFill>
            <w14:solidFill>
              <w14:schemeClr w14:val="tx1"/>
            </w14:solidFill>
          </w14:textFill>
        </w:rPr>
        <w:t>三十</w:t>
      </w:r>
      <w:r>
        <w:rPr>
          <w:rFonts w:hint="eastAsia" w:ascii="黑体" w:hAnsi="华文中宋" w:eastAsia="黑体"/>
          <w:bCs/>
          <w:color w:val="000000" w:themeColor="text1"/>
          <w:sz w:val="44"/>
          <w:szCs w:val="44"/>
          <w14:textFill>
            <w14:solidFill>
              <w14:schemeClr w14:val="tx1"/>
            </w14:solidFill>
          </w14:textFill>
        </w:rPr>
        <w:t>日</w:t>
      </w:r>
    </w:p>
    <w:p>
      <w:pPr>
        <w:jc w:val="center"/>
        <w:rPr>
          <w:rFonts w:ascii="黑体" w:eastAsia="黑体"/>
          <w:bCs/>
          <w:color w:val="000000" w:themeColor="text1"/>
          <w:sz w:val="44"/>
          <w14:textFill>
            <w14:solidFill>
              <w14:schemeClr w14:val="tx1"/>
            </w14:solidFill>
          </w14:textFill>
        </w:rPr>
      </w:pPr>
    </w:p>
    <w:p>
      <w:pPr>
        <w:rPr>
          <w:rFonts w:ascii="华文新魏" w:eastAsia="华文新魏"/>
          <w:bCs/>
          <w:color w:val="000000" w:themeColor="text1"/>
          <w:sz w:val="44"/>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eastAsia="黑体"/>
          <w:bCs/>
          <w:color w:val="000000" w:themeColor="text1"/>
          <w:sz w:val="48"/>
          <w14:textFill>
            <w14:solidFill>
              <w14:schemeClr w14:val="tx1"/>
            </w14:solidFill>
          </w14:textFill>
        </w:rPr>
        <w:t xml:space="preserve"> </w:t>
      </w: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hint="eastAsia" w:eastAsia="黑体"/>
          <w:bCs/>
          <w:color w:val="000000" w:themeColor="text1"/>
          <w:sz w:val="48"/>
          <w14:textFill>
            <w14:solidFill>
              <w14:schemeClr w14:val="tx1"/>
            </w14:solidFill>
          </w14:textFill>
        </w:rPr>
        <w:t>目</w:t>
      </w:r>
      <w:r>
        <w:rPr>
          <w:rStyle w:val="27"/>
          <w:rFonts w:eastAsia="黑体"/>
          <w:bCs/>
          <w:color w:val="000000" w:themeColor="text1"/>
          <w:sz w:val="48"/>
          <w14:textFill>
            <w14:solidFill>
              <w14:schemeClr w14:val="tx1"/>
            </w14:solidFill>
          </w14:textFill>
        </w:rPr>
        <w:t xml:space="preserve">     </w:t>
      </w:r>
      <w:r>
        <w:rPr>
          <w:rStyle w:val="27"/>
          <w:rFonts w:hint="eastAsia" w:eastAsia="黑体"/>
          <w:bCs/>
          <w:color w:val="000000" w:themeColor="text1"/>
          <w:sz w:val="48"/>
          <w14:textFill>
            <w14:solidFill>
              <w14:schemeClr w14:val="tx1"/>
            </w14:solidFill>
          </w14:textFill>
        </w:rPr>
        <w:t>录</w:t>
      </w:r>
    </w:p>
    <w:p>
      <w:pPr>
        <w:jc w:val="center"/>
        <w:rPr>
          <w:rFonts w:ascii="黑体" w:eastAsia="黑体"/>
          <w:bCs/>
          <w:color w:val="000000" w:themeColor="text1"/>
          <w:sz w:val="30"/>
          <w14:textFill>
            <w14:solidFill>
              <w14:schemeClr w14:val="tx1"/>
            </w14:solidFill>
          </w14:textFill>
        </w:rPr>
      </w:pPr>
    </w:p>
    <w:p>
      <w:pPr>
        <w:jc w:val="center"/>
        <w:rPr>
          <w:rFonts w:ascii="黑体" w:eastAsia="黑体"/>
          <w:bCs/>
          <w:color w:val="000000" w:themeColor="text1"/>
          <w:sz w:val="30"/>
          <w14:textFill>
            <w14:solidFill>
              <w14:schemeClr w14:val="tx1"/>
            </w14:solidFill>
          </w14:textFill>
        </w:rPr>
      </w:pP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一．投标邀请函</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二．投标人须知</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5</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三．项目技术要求和有关说明</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w:t>
      </w:r>
      <w:r>
        <w:rPr>
          <w:rFonts w:hint="eastAsia" w:ascii="宋体" w:hAnsi="宋体"/>
          <w:bCs/>
          <w:color w:val="000000" w:themeColor="text1"/>
          <w:sz w:val="30"/>
          <w:szCs w:val="30"/>
          <w:lang w:val="en-US" w:eastAsia="zh-CN"/>
          <w14:textFill>
            <w14:solidFill>
              <w14:schemeClr w14:val="tx1"/>
            </w14:solidFill>
          </w14:textFill>
        </w:rPr>
        <w:t>2</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四</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合同书（格式文本）</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w:t>
      </w:r>
      <w:r>
        <w:rPr>
          <w:rFonts w:hint="eastAsia" w:ascii="宋体" w:hAnsi="宋体"/>
          <w:bCs/>
          <w:color w:val="000000" w:themeColor="text1"/>
          <w:sz w:val="30"/>
          <w:szCs w:val="30"/>
          <w:lang w:val="en-US" w:eastAsia="zh-CN"/>
          <w14:textFill>
            <w14:solidFill>
              <w14:schemeClr w14:val="tx1"/>
            </w14:solidFill>
          </w14:textFill>
        </w:rPr>
        <w:t>9</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五．合同条款（格式）</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21</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六</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附件</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r>
        <w:rPr>
          <w:rFonts w:hint="eastAsia" w:ascii="宋体" w:hAnsi="宋体"/>
          <w:bCs/>
          <w:color w:val="000000" w:themeColor="text1"/>
          <w:sz w:val="30"/>
          <w:szCs w:val="30"/>
          <w:lang w:val="en-US" w:eastAsia="zh-CN"/>
          <w14:textFill>
            <w14:solidFill>
              <w14:schemeClr w14:val="tx1"/>
            </w14:solidFill>
          </w14:textFill>
        </w:rPr>
        <w:t>4</w:t>
      </w:r>
      <w:r>
        <w:rPr>
          <w:rFonts w:hint="eastAsia" w:ascii="宋体" w:hAnsi="宋体"/>
          <w:bCs/>
          <w:color w:val="000000" w:themeColor="text1"/>
          <w:sz w:val="30"/>
          <w:szCs w:val="30"/>
          <w14:textFill>
            <w14:solidFill>
              <w14:schemeClr w14:val="tx1"/>
            </w14:solidFill>
          </w14:textFill>
        </w:rPr>
        <w:t>）</w:t>
      </w:r>
    </w:p>
    <w:p>
      <w:pPr>
        <w:spacing w:line="720" w:lineRule="auto"/>
        <w:rPr>
          <w:rFonts w:ascii="宋体"/>
          <w:bCs/>
          <w:color w:val="000000" w:themeColor="text1"/>
          <w:sz w:val="28"/>
          <w:szCs w:val="28"/>
          <w14:textFill>
            <w14:solidFill>
              <w14:schemeClr w14:val="tx1"/>
            </w14:solidFill>
          </w14:textFill>
        </w:rPr>
      </w:pPr>
      <w:r>
        <w:rPr>
          <w:rFonts w:ascii="宋体"/>
          <w:bCs/>
          <w:color w:val="000000" w:themeColor="text1"/>
          <w:sz w:val="28"/>
          <w:szCs w:val="28"/>
          <w14:textFill>
            <w14:solidFill>
              <w14:schemeClr w14:val="tx1"/>
            </w14:solidFill>
          </w14:textFill>
        </w:rPr>
        <w:t xml:space="preserve"> </w:t>
      </w:r>
    </w:p>
    <w:p>
      <w:pPr>
        <w:spacing w:line="720" w:lineRule="auto"/>
        <w:rPr>
          <w:rFonts w:ascii="宋体"/>
          <w:bCs/>
          <w:color w:val="000000" w:themeColor="text1"/>
          <w:sz w:val="30"/>
          <w14:textFill>
            <w14:solidFill>
              <w14:schemeClr w14:val="tx1"/>
            </w14:solidFill>
          </w14:textFill>
        </w:rPr>
      </w:pPr>
    </w:p>
    <w:p>
      <w:pPr>
        <w:spacing w:line="480" w:lineRule="auto"/>
        <w:rPr>
          <w:rFonts w:ascii="宋体"/>
          <w:bCs/>
          <w:color w:val="000000" w:themeColor="text1"/>
          <w:sz w:val="30"/>
          <w14:textFill>
            <w14:solidFill>
              <w14:schemeClr w14:val="tx1"/>
            </w14:solidFill>
          </w14:textFill>
        </w:rPr>
      </w:pPr>
    </w:p>
    <w:p>
      <w:pPr>
        <w:rPr>
          <w:rFonts w:ascii="宋体"/>
          <w:bCs/>
          <w:color w:val="000000" w:themeColor="text1"/>
          <w:sz w:val="28"/>
          <w14:textFill>
            <w14:solidFill>
              <w14:schemeClr w14:val="tx1"/>
            </w14:solidFill>
          </w14:textFill>
        </w:rPr>
      </w:pPr>
    </w:p>
    <w:p>
      <w:pPr>
        <w:rPr>
          <w:rFonts w:ascii="宋体"/>
          <w:bCs/>
          <w:color w:val="000000" w:themeColor="text1"/>
          <w:sz w:val="32"/>
          <w14:textFill>
            <w14:solidFill>
              <w14:schemeClr w14:val="tx1"/>
            </w14:solidFill>
          </w14:textFill>
        </w:rPr>
      </w:pPr>
    </w:p>
    <w:p>
      <w:pPr>
        <w:spacing w:line="360" w:lineRule="auto"/>
        <w:rPr>
          <w:rFonts w:ascii="黑体" w:eastAsia="黑体"/>
          <w:bCs/>
          <w:color w:val="000000" w:themeColor="text1"/>
          <w:sz w:val="28"/>
          <w:szCs w:val="28"/>
          <w14:textFill>
            <w14:solidFill>
              <w14:schemeClr w14:val="tx1"/>
            </w14:solidFill>
          </w14:textFill>
        </w:rPr>
      </w:pPr>
      <w:bookmarkStart w:id="0" w:name="报价方须知前附表"/>
      <w:bookmarkEnd w:id="0"/>
    </w:p>
    <w:p>
      <w:pPr>
        <w:spacing w:line="360" w:lineRule="auto"/>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一．投标邀请函</w:t>
      </w:r>
    </w:p>
    <w:p>
      <w:pPr>
        <w:spacing w:line="360" w:lineRule="auto"/>
        <w:ind w:firstLine="480" w:firstLineChars="200"/>
        <w:rPr>
          <w:rFonts w:ascii="宋体" w:hAnsi="宋体"/>
          <w:bCs/>
          <w:sz w:val="24"/>
          <w:szCs w:val="24"/>
        </w:rPr>
      </w:pPr>
      <w:r>
        <w:rPr>
          <w:rFonts w:hint="eastAsia" w:ascii="宋体" w:hAnsi="宋体"/>
          <w:bCs/>
          <w:color w:val="000000" w:themeColor="text1"/>
          <w:sz w:val="24"/>
          <w:szCs w:val="24"/>
          <w14:textFill>
            <w14:solidFill>
              <w14:schemeClr w14:val="tx1"/>
            </w14:solidFill>
          </w14:textFill>
        </w:rPr>
        <w:t>我中心</w:t>
      </w:r>
      <w:r>
        <w:rPr>
          <w:rFonts w:hint="eastAsia" w:ascii="宋体" w:hAnsi="宋体"/>
          <w:bCs/>
          <w:sz w:val="24"/>
          <w:szCs w:val="24"/>
        </w:rPr>
        <w:t>受</w:t>
      </w:r>
      <w:r>
        <w:rPr>
          <w:rFonts w:hint="eastAsia" w:asciiTheme="minorEastAsia" w:hAnsiTheme="minorEastAsia" w:cstheme="minorEastAsia"/>
          <w:sz w:val="24"/>
          <w:szCs w:val="24"/>
        </w:rPr>
        <w:t>无锡市梁溪区扬名街道办事处</w:t>
      </w:r>
      <w:r>
        <w:rPr>
          <w:rFonts w:hint="eastAsia" w:ascii="宋体" w:hAnsi="宋体"/>
          <w:bCs/>
          <w:sz w:val="24"/>
          <w:szCs w:val="24"/>
        </w:rPr>
        <w:t>的委托，对</w:t>
      </w:r>
      <w:r>
        <w:rPr>
          <w:rFonts w:hint="eastAsia" w:ascii="宋体" w:hAnsi="宋体"/>
          <w:bCs/>
          <w:sz w:val="24"/>
          <w:szCs w:val="24"/>
          <w:lang w:eastAsia="zh-CN"/>
        </w:rPr>
        <w:t>扬名街道金星社区金星大厦户外电子屏采购项目（第二次）</w:t>
      </w:r>
      <w:r>
        <w:rPr>
          <w:rFonts w:hint="eastAsia" w:ascii="宋体" w:hAnsi="宋体"/>
          <w:bCs/>
          <w:sz w:val="24"/>
          <w:szCs w:val="24"/>
        </w:rPr>
        <w:t>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1.项目名称：</w:t>
      </w:r>
      <w:r>
        <w:rPr>
          <w:rFonts w:hint="eastAsia" w:ascii="宋体" w:hAnsi="宋体" w:cs="宋体"/>
          <w:kern w:val="0"/>
          <w:sz w:val="24"/>
          <w:szCs w:val="24"/>
          <w:lang w:eastAsia="zh-CN"/>
        </w:rPr>
        <w:t>扬名街道金星社区金星大厦户外电子屏采购项目（第二次）</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LXZC2021-032(2)</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3.项目预算：</w:t>
      </w:r>
      <w:r>
        <w:rPr>
          <w:rFonts w:hint="eastAsia" w:ascii="宋体" w:hAnsi="宋体" w:cs="宋体"/>
          <w:kern w:val="0"/>
          <w:sz w:val="24"/>
          <w:szCs w:val="24"/>
          <w:lang w:val="en-US" w:eastAsia="zh-CN"/>
        </w:rPr>
        <w:t>155</w:t>
      </w:r>
      <w:r>
        <w:rPr>
          <w:rFonts w:hint="eastAsia" w:ascii="宋体" w:hAnsi="宋体" w:cs="宋体"/>
          <w:kern w:val="0"/>
          <w:sz w:val="24"/>
          <w:szCs w:val="24"/>
        </w:rPr>
        <w:t xml:space="preserve">万元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ascii="宋体" w:hAnsi="宋体"/>
          <w:bCs/>
          <w:sz w:val="24"/>
          <w:szCs w:val="24"/>
        </w:rPr>
      </w:pPr>
      <w:r>
        <w:rPr>
          <w:rFonts w:hint="eastAsia" w:ascii="宋体" w:hAnsi="宋体" w:cs="宋体"/>
          <w:kern w:val="0"/>
          <w:sz w:val="24"/>
          <w:szCs w:val="24"/>
        </w:rPr>
        <w:t>5.采购人：</w:t>
      </w:r>
      <w:r>
        <w:rPr>
          <w:rFonts w:hint="eastAsia" w:asciiTheme="minorEastAsia" w:hAnsiTheme="minorEastAsia" w:cstheme="minorEastAsia"/>
          <w:sz w:val="24"/>
          <w:szCs w:val="24"/>
        </w:rPr>
        <w:t>无锡市梁溪区扬名街道办事处</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6.本项目</w:t>
      </w:r>
      <w:r>
        <w:rPr>
          <w:rFonts w:hint="eastAsia" w:ascii="宋体" w:hAnsi="宋体" w:cs="宋体"/>
          <w:color w:val="000000" w:themeColor="text1"/>
          <w:kern w:val="0"/>
          <w:sz w:val="24"/>
          <w:szCs w:val="24"/>
          <w14:textFill>
            <w14:solidFill>
              <w14:schemeClr w14:val="tx1"/>
            </w14:solidFill>
          </w14:textFill>
        </w:rPr>
        <w:t>标的所属行业：制造业</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7.本项目是否专门面向中小企业：是</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（二）投标人资格要求</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2.未被“信用中国”网站（</w:t>
      </w:r>
      <w:r>
        <w:fldChar w:fldCharType="begin"/>
      </w:r>
      <w:r>
        <w:instrText xml:space="preserve"> HYPERLINK "http://www.creditchina.gov.cn" </w:instrText>
      </w:r>
      <w:r>
        <w:fldChar w:fldCharType="separate"/>
      </w:r>
      <w:r>
        <w:rPr>
          <w:rFonts w:hint="eastAsia" w:ascii="宋体" w:hAnsi="宋体"/>
          <w:color w:val="000000" w:themeColor="text1"/>
          <w:sz w:val="24"/>
          <w:szCs w:val="24"/>
          <w14:textFill>
            <w14:solidFill>
              <w14:schemeClr w14:val="tx1"/>
            </w14:solidFill>
          </w14:textFill>
        </w:rPr>
        <w:t>www.creditchina.gov.cn</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具备</w:t>
      </w:r>
      <w:r>
        <w:rPr>
          <w:rFonts w:hint="eastAsia" w:ascii="宋体" w:hAnsi="宋体" w:cs="宋体"/>
          <w:color w:val="000000" w:themeColor="text1"/>
          <w:kern w:val="0"/>
          <w:sz w:val="24"/>
          <w:szCs w:val="24"/>
          <w14:textFill>
            <w14:solidFill>
              <w14:schemeClr w14:val="tx1"/>
            </w14:solidFill>
          </w14:textFill>
        </w:rPr>
        <w:t>采购人根据招标项目的特殊要求规定的</w:t>
      </w:r>
      <w:r>
        <w:rPr>
          <w:rFonts w:hint="eastAsia" w:ascii="宋体" w:hAnsi="宋体"/>
          <w:color w:val="000000" w:themeColor="text1"/>
          <w:sz w:val="24"/>
          <w:szCs w:val="24"/>
          <w14:textFill>
            <w14:solidFill>
              <w14:schemeClr w14:val="tx1"/>
            </w14:solidFill>
          </w14:textFill>
        </w:rPr>
        <w:t>以下</w:t>
      </w:r>
      <w:r>
        <w:rPr>
          <w:rFonts w:hint="eastAsia" w:ascii="宋体" w:hAnsi="宋体" w:cs="宋体"/>
          <w:color w:val="000000" w:themeColor="text1"/>
          <w:kern w:val="0"/>
          <w:sz w:val="24"/>
          <w:szCs w:val="24"/>
          <w14:textFill>
            <w14:solidFill>
              <w14:schemeClr w14:val="tx1"/>
            </w14:solidFill>
          </w14:textFill>
        </w:rPr>
        <w:t>特定资质：</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（1）不接受联合体投标；</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（三）</w:t>
      </w:r>
      <w:r>
        <w:rPr>
          <w:rFonts w:hint="eastAsia" w:ascii="黑体" w:hAnsi="黑体" w:eastAsia="黑体" w:cs="宋体"/>
          <w:color w:val="000000"/>
          <w:kern w:val="0"/>
          <w:sz w:val="24"/>
          <w:szCs w:val="24"/>
        </w:rPr>
        <w:t>供应商主体信息库注册</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1.请有意参加本项目投标的供应商按以下流程进行操作：</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（3）投标客户端下载链接：</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https://zcy-cdn.oss-cn-shanghai.aliyuncs.com/zcy-client/bidding-client/wuxi/ZhengCaiYunStep.3.11.7.exe </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（4）CA驱动下载链接（江苏省-国信CA驱动）：</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https://customer.zcygov.cn/CA-driver-download?utm=web-login-front.509b3709.0.0.004ab15096ee11ebbc33f5d151e70834 </w:t>
      </w:r>
    </w:p>
    <w:p>
      <w:pPr>
        <w:widowControl/>
        <w:shd w:val="clear" w:color="auto" w:fill="FFFFFF"/>
        <w:spacing w:line="360" w:lineRule="auto"/>
        <w:ind w:firstLine="480" w:firstLineChars="200"/>
        <w:jc w:val="left"/>
        <w:rPr>
          <w:rFonts w:hint="eastAsia" w:ascii="宋体" w:hAnsi="宋体"/>
          <w:bCs/>
          <w:color w:val="000000"/>
          <w:sz w:val="24"/>
          <w:szCs w:val="24"/>
        </w:rPr>
      </w:pPr>
      <w:r>
        <w:rPr>
          <w:rFonts w:hint="eastAsia" w:ascii="宋体" w:hAnsi="宋体"/>
          <w:bCs/>
          <w:color w:val="000000"/>
          <w:sz w:val="24"/>
          <w:szCs w:val="24"/>
        </w:rPr>
        <w:t>技术服务电话：4008817190（服务时间：工作日8:00-20:00）</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2.投标人在领取CA和办理电子签章前务必前往“无锡政府采购网”“供应商信息库”（网址：</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https://cz.wuxi.zcygov.cn/wxCategory19/wxCategory125/index.html?utm=sites_group_front.5b1ba037.0.0.959ae250ca6711ebb0349920799faebc）查询是否完成注册登记。</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color w:val="000000"/>
          <w:kern w:val="0"/>
          <w:sz w:val="24"/>
          <w:szCs w:val="24"/>
        </w:rPr>
      </w:pPr>
      <w:r>
        <w:rPr>
          <w:rFonts w:hint="eastAsia" w:ascii="宋体" w:hAnsi="宋体"/>
          <w:bCs/>
          <w:color w:val="000000"/>
          <w:sz w:val="24"/>
          <w:szCs w:val="24"/>
        </w:rPr>
        <w:t>3.如投标人未按上述要求操作，由此所产生的损失及风险由投标人自行承担。在“供应商信息库”中无法查询的投标人，由评标委员会审</w:t>
      </w:r>
      <w:r>
        <w:rPr>
          <w:rFonts w:hint="eastAsia" w:ascii="宋体" w:hAnsi="宋体" w:cs="宋体"/>
          <w:color w:val="000000"/>
          <w:kern w:val="0"/>
          <w:sz w:val="24"/>
          <w:szCs w:val="24"/>
        </w:rPr>
        <w:t>查其投标截止时间前提交的未审核资料。</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（四）</w:t>
      </w:r>
      <w:r>
        <w:rPr>
          <w:rFonts w:hint="eastAsia" w:ascii="黑体" w:hAnsi="黑体" w:eastAsia="黑体" w:cs="宋体"/>
          <w:color w:val="000000"/>
          <w:sz w:val="24"/>
          <w:szCs w:val="24"/>
        </w:rPr>
        <w:t>完成项目报名，获取采购文件</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color w:val="000000"/>
          <w:kern w:val="0"/>
          <w:sz w:val="24"/>
          <w:szCs w:val="24"/>
        </w:rPr>
      </w:pPr>
      <w:r>
        <w:rPr>
          <w:rFonts w:hint="eastAsia" w:ascii="黑体" w:hAnsi="黑体" w:eastAsia="黑体" w:cs="宋体"/>
          <w:color w:val="000000"/>
          <w:kern w:val="0"/>
          <w:sz w:val="24"/>
          <w:szCs w:val="24"/>
        </w:rPr>
        <w:t>（五）公开答疑时间、地点</w:t>
      </w:r>
    </w:p>
    <w:p>
      <w:pPr>
        <w:spacing w:line="360" w:lineRule="auto"/>
        <w:ind w:left="-58" w:leftChars="-28" w:firstLine="480" w:firstLineChars="200"/>
        <w:rPr>
          <w:rFonts w:hint="eastAsia" w:ascii="黑体" w:hAnsi="黑体" w:eastAsia="黑体" w:cs="宋体"/>
          <w:kern w:val="0"/>
          <w:sz w:val="24"/>
          <w:szCs w:val="24"/>
        </w:rPr>
      </w:pPr>
      <w:r>
        <w:rPr>
          <w:rFonts w:hint="eastAsia" w:ascii="宋体" w:hAnsi="宋体"/>
          <w:bCs/>
          <w:sz w:val="24"/>
          <w:szCs w:val="24"/>
        </w:rPr>
        <w:t>采购人、无锡市公共资源交易中心梁溪分中心将于以下时间、地点对</w:t>
      </w:r>
      <w:r>
        <w:rPr>
          <w:rFonts w:hint="eastAsia" w:ascii="宋体" w:hAnsi="宋体"/>
          <w:bCs/>
          <w:sz w:val="24"/>
          <w:szCs w:val="24"/>
          <w:lang w:val="en-US" w:eastAsia="zh-CN"/>
        </w:rPr>
        <w:t>投标</w:t>
      </w:r>
      <w:r>
        <w:rPr>
          <w:rFonts w:hint="eastAsia" w:ascii="宋体" w:hAnsi="宋体"/>
          <w:bCs/>
          <w:sz w:val="24"/>
          <w:szCs w:val="24"/>
        </w:rPr>
        <w:t>人针对采购文件书面提出的要求澄清的问题进行公开答疑。</w:t>
      </w:r>
      <w:r>
        <w:rPr>
          <w:rFonts w:hint="eastAsia" w:ascii="宋体" w:hAnsi="宋体"/>
          <w:bCs/>
          <w:sz w:val="24"/>
          <w:szCs w:val="24"/>
          <w:lang w:val="en-US" w:eastAsia="zh-CN"/>
        </w:rPr>
        <w:t>投标</w:t>
      </w:r>
      <w:r>
        <w:rPr>
          <w:rFonts w:hint="eastAsia" w:ascii="宋体" w:hAnsi="宋体"/>
          <w:bCs/>
          <w:sz w:val="24"/>
          <w:szCs w:val="24"/>
        </w:rPr>
        <w:t>人如有需要对采购文件要求澄清的问题，请以书面形式提出“</w:t>
      </w:r>
      <w:r>
        <w:rPr>
          <w:rFonts w:hint="eastAsia" w:ascii="宋体" w:hAnsi="宋体"/>
          <w:bCs/>
          <w:sz w:val="24"/>
          <w:szCs w:val="24"/>
          <w:lang w:eastAsia="zh-CN"/>
        </w:rPr>
        <w:t>LXZC2021-032(2)</w:t>
      </w:r>
      <w:r>
        <w:rPr>
          <w:rFonts w:hint="eastAsia" w:ascii="宋体" w:hAnsi="宋体"/>
          <w:bCs/>
          <w:sz w:val="24"/>
          <w:szCs w:val="24"/>
        </w:rPr>
        <w:t>项目需澄清问题”，并于答疑会前传真项目联系人（答疑会时递交盖章原件）。</w:t>
      </w:r>
      <w:bookmarkStart w:id="6" w:name="_GoBack"/>
      <w:bookmarkEnd w:id="6"/>
    </w:p>
    <w:p>
      <w:pPr>
        <w:spacing w:line="360" w:lineRule="auto"/>
        <w:ind w:firstLine="480" w:firstLineChars="200"/>
        <w:rPr>
          <w:rFonts w:ascii="宋体"/>
          <w:bCs/>
          <w:sz w:val="24"/>
          <w:szCs w:val="24"/>
        </w:rPr>
      </w:pPr>
      <w:r>
        <w:rPr>
          <w:rFonts w:hint="eastAsia" w:ascii="宋体" w:hAnsi="宋体"/>
          <w:bCs/>
          <w:sz w:val="24"/>
          <w:szCs w:val="24"/>
        </w:rPr>
        <w:t>公开答疑会时间：</w:t>
      </w:r>
      <w:r>
        <w:rPr>
          <w:rFonts w:ascii="宋体" w:hAnsi="宋体"/>
          <w:bCs/>
          <w:sz w:val="24"/>
          <w:szCs w:val="24"/>
        </w:rPr>
        <w:t>202</w:t>
      </w:r>
      <w:r>
        <w:rPr>
          <w:rFonts w:hint="eastAsia" w:ascii="宋体" w:hAnsi="宋体"/>
          <w:bCs/>
          <w:sz w:val="24"/>
          <w:szCs w:val="24"/>
          <w:lang w:val="en-US" w:eastAsia="zh-CN"/>
        </w:rPr>
        <w:t>2</w:t>
      </w:r>
      <w:r>
        <w:rPr>
          <w:rFonts w:hint="eastAsia" w:ascii="宋体" w:hAnsi="宋体"/>
          <w:bCs/>
          <w:sz w:val="24"/>
          <w:szCs w:val="24"/>
        </w:rPr>
        <w:t>年</w:t>
      </w:r>
      <w:r>
        <w:rPr>
          <w:rFonts w:hint="eastAsia" w:ascii="宋体" w:hAnsi="宋体"/>
          <w:bCs/>
          <w:sz w:val="24"/>
          <w:szCs w:val="24"/>
          <w:lang w:val="en-US" w:eastAsia="zh-CN"/>
        </w:rPr>
        <w:t>1</w:t>
      </w:r>
      <w:r>
        <w:rPr>
          <w:rFonts w:hint="eastAsia" w:ascii="宋体" w:hAnsi="宋体"/>
          <w:bCs/>
          <w:sz w:val="24"/>
          <w:szCs w:val="24"/>
        </w:rPr>
        <w:t>月</w:t>
      </w:r>
      <w:r>
        <w:rPr>
          <w:rFonts w:hint="eastAsia" w:ascii="宋体" w:hAnsi="宋体"/>
          <w:bCs/>
          <w:sz w:val="24"/>
          <w:szCs w:val="24"/>
          <w:lang w:val="en-US" w:eastAsia="zh-CN"/>
        </w:rPr>
        <w:t>12</w:t>
      </w:r>
      <w:r>
        <w:rPr>
          <w:rFonts w:hint="eastAsia" w:ascii="宋体" w:hAnsi="宋体"/>
          <w:bCs/>
          <w:sz w:val="24"/>
          <w:szCs w:val="24"/>
        </w:rPr>
        <w:t>日13</w:t>
      </w:r>
      <w:r>
        <w:rPr>
          <w:rFonts w:ascii="宋体" w:hAnsi="宋体"/>
          <w:bCs/>
          <w:sz w:val="24"/>
          <w:szCs w:val="24"/>
        </w:rPr>
        <w:t xml:space="preserve">: </w:t>
      </w:r>
      <w:r>
        <w:rPr>
          <w:rFonts w:hint="eastAsia" w:ascii="宋体" w:hAnsi="宋体"/>
          <w:bCs/>
          <w:sz w:val="24"/>
          <w:szCs w:val="24"/>
        </w:rPr>
        <w:t>3</w:t>
      </w:r>
      <w:r>
        <w:rPr>
          <w:rFonts w:ascii="宋体" w:hAnsi="宋体"/>
          <w:bCs/>
          <w:sz w:val="24"/>
          <w:szCs w:val="24"/>
        </w:rPr>
        <w:t>0</w:t>
      </w:r>
    </w:p>
    <w:p>
      <w:pPr>
        <w:widowControl/>
        <w:shd w:val="clear" w:color="auto" w:fill="FFFFFF"/>
        <w:spacing w:line="360" w:lineRule="auto"/>
        <w:ind w:firstLine="480" w:firstLineChars="200"/>
        <w:jc w:val="left"/>
        <w:rPr>
          <w:rFonts w:hint="eastAsia" w:ascii="黑体" w:hAnsi="黑体" w:eastAsia="黑体" w:cs="宋体"/>
          <w:kern w:val="0"/>
          <w:sz w:val="24"/>
          <w:szCs w:val="24"/>
        </w:rPr>
      </w:pPr>
      <w:r>
        <w:rPr>
          <w:rFonts w:hint="eastAsia" w:ascii="宋体" w:hAnsi="宋体"/>
          <w:bCs/>
          <w:sz w:val="24"/>
          <w:szCs w:val="24"/>
        </w:rPr>
        <w:t>公开答疑会地点：无锡市公共资源交易中心梁溪分中心开标一室（清名路</w:t>
      </w:r>
      <w:r>
        <w:rPr>
          <w:rFonts w:ascii="宋体" w:hAnsi="宋体"/>
          <w:bCs/>
          <w:sz w:val="24"/>
          <w:szCs w:val="24"/>
        </w:rPr>
        <w:t>380</w:t>
      </w:r>
      <w:r>
        <w:rPr>
          <w:rFonts w:hint="eastAsia" w:ascii="宋体" w:hAnsi="宋体"/>
          <w:bCs/>
          <w:sz w:val="24"/>
          <w:szCs w:val="24"/>
        </w:rPr>
        <w:t>号</w:t>
      </w:r>
      <w:r>
        <w:rPr>
          <w:rFonts w:ascii="宋体" w:hAnsi="宋体"/>
          <w:bCs/>
          <w:sz w:val="24"/>
          <w:szCs w:val="24"/>
        </w:rPr>
        <w:t>6</w:t>
      </w:r>
      <w:r>
        <w:rPr>
          <w:rFonts w:hint="eastAsia" w:ascii="宋体" w:hAnsi="宋体"/>
          <w:bCs/>
          <w:sz w:val="24"/>
          <w:szCs w:val="24"/>
        </w:rPr>
        <w:t>楼）</w:t>
      </w:r>
    </w:p>
    <w:p>
      <w:pPr>
        <w:widowControl/>
        <w:shd w:val="clear" w:color="auto" w:fill="FFFFFF"/>
        <w:spacing w:line="360" w:lineRule="auto"/>
        <w:ind w:firstLine="480" w:firstLineChars="200"/>
        <w:jc w:val="left"/>
        <w:rPr>
          <w:rFonts w:hint="eastAsia" w:ascii="黑体" w:hAnsi="黑体" w:eastAsia="黑体" w:cs="宋体"/>
          <w:kern w:val="0"/>
          <w:sz w:val="24"/>
          <w:szCs w:val="24"/>
        </w:rPr>
      </w:pPr>
      <w:r>
        <w:rPr>
          <w:rFonts w:hint="eastAsia" w:ascii="黑体" w:hAnsi="黑体" w:eastAsia="黑体" w:cs="宋体"/>
          <w:kern w:val="0"/>
          <w:sz w:val="24"/>
          <w:szCs w:val="24"/>
        </w:rPr>
        <w:t>（六）</w:t>
      </w:r>
      <w:r>
        <w:rPr>
          <w:rFonts w:hint="eastAsia" w:ascii="黑体" w:hAnsi="黑体" w:eastAsia="黑体" w:cs="宋体"/>
          <w:color w:val="000000"/>
          <w:kern w:val="0"/>
          <w:sz w:val="24"/>
          <w:szCs w:val="24"/>
        </w:rPr>
        <w:t>投标及开标、定标时间、地点</w:t>
      </w:r>
      <w:r>
        <w:rPr>
          <w:rFonts w:hint="eastAsia" w:ascii="宋体" w:hAnsi="宋体" w:eastAsia="黑体" w:cs="宋体"/>
          <w:kern w:val="0"/>
          <w:sz w:val="24"/>
          <w:szCs w:val="24"/>
        </w:rPr>
        <w:t>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w:t>
      </w:r>
      <w:r>
        <w:rPr>
          <w:rFonts w:hint="eastAsia" w:ascii="宋体" w:hAnsi="宋体" w:cs="宋体"/>
          <w:kern w:val="0"/>
          <w:sz w:val="24"/>
          <w:szCs w:val="24"/>
          <w:lang w:val="en-US" w:eastAsia="zh-CN"/>
        </w:rPr>
        <w:t>投标</w:t>
      </w:r>
      <w:r>
        <w:rPr>
          <w:rFonts w:hint="eastAsia" w:ascii="宋体" w:hAnsi="宋体" w:cs="宋体"/>
          <w:kern w:val="0"/>
          <w:sz w:val="24"/>
          <w:szCs w:val="24"/>
        </w:rPr>
        <w:t>截止时间：2021年</w:t>
      </w:r>
      <w:r>
        <w:rPr>
          <w:rFonts w:hint="eastAsia" w:ascii="宋体" w:hAnsi="宋体" w:cs="宋体"/>
          <w:kern w:val="0"/>
          <w:sz w:val="24"/>
          <w:szCs w:val="24"/>
          <w:lang w:val="en-US" w:eastAsia="zh-CN"/>
        </w:rPr>
        <w:t>2</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 13：30，</w:t>
      </w:r>
      <w:r>
        <w:rPr>
          <w:rFonts w:hint="eastAsia" w:ascii="宋体" w:hAnsi="宋体" w:cs="宋体"/>
          <w:kern w:val="0"/>
          <w:sz w:val="24"/>
          <w:szCs w:val="24"/>
          <w:lang w:val="en-US" w:eastAsia="zh-CN"/>
        </w:rPr>
        <w:t>投标</w:t>
      </w:r>
      <w:r>
        <w:rPr>
          <w:rFonts w:hint="eastAsia" w:ascii="宋体" w:hAnsi="宋体" w:cs="宋体"/>
          <w:kern w:val="0"/>
          <w:sz w:val="24"/>
          <w:szCs w:val="24"/>
        </w:rPr>
        <w:t>截止时间后的</w:t>
      </w:r>
      <w:r>
        <w:rPr>
          <w:rFonts w:hint="eastAsia" w:ascii="宋体" w:hAnsi="宋体" w:cs="宋体"/>
          <w:kern w:val="0"/>
          <w:sz w:val="24"/>
          <w:szCs w:val="24"/>
          <w:lang w:val="en-US" w:eastAsia="zh-CN"/>
        </w:rPr>
        <w:t>投标</w:t>
      </w:r>
      <w:r>
        <w:rPr>
          <w:rFonts w:hint="eastAsia" w:ascii="宋体" w:hAnsi="宋体" w:cs="宋体"/>
          <w:kern w:val="0"/>
          <w:sz w:val="24"/>
          <w:szCs w:val="24"/>
        </w:rPr>
        <w:t>文件恕不接受</w:t>
      </w:r>
    </w:p>
    <w:p>
      <w:pPr>
        <w:widowControl/>
        <w:shd w:val="clear" w:color="auto" w:fill="FFFFFF"/>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网上解密时间：2021年</w:t>
      </w:r>
      <w:r>
        <w:rPr>
          <w:rFonts w:hint="eastAsia" w:ascii="宋体" w:hAnsi="宋体" w:cs="宋体"/>
          <w:kern w:val="0"/>
          <w:sz w:val="24"/>
          <w:szCs w:val="24"/>
          <w:lang w:val="en-US" w:eastAsia="zh-CN"/>
        </w:rPr>
        <w:t>2</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w:t>
      </w:r>
      <w:r>
        <w:rPr>
          <w:rFonts w:hint="eastAsia" w:ascii="宋体" w:hAnsi="宋体" w:cs="宋体"/>
          <w:color w:val="000000" w:themeColor="text1"/>
          <w:kern w:val="0"/>
          <w:sz w:val="24"/>
          <w:szCs w:val="24"/>
          <w14:textFill>
            <w14:solidFill>
              <w14:schemeClr w14:val="tx1"/>
            </w14:solidFill>
          </w14:textFill>
        </w:rPr>
        <w:t>开启解密后半小时</w:t>
      </w:r>
    </w:p>
    <w:p>
      <w:pPr>
        <w:spacing w:line="360" w:lineRule="auto"/>
        <w:ind w:firstLine="480" w:firstLineChars="200"/>
        <w:rPr>
          <w:rFonts w:ascii="宋体"/>
          <w:bCs/>
          <w:sz w:val="24"/>
          <w:szCs w:val="24"/>
        </w:rPr>
      </w:pPr>
      <w:r>
        <w:rPr>
          <w:rFonts w:hint="eastAsia" w:ascii="宋体" w:hAnsi="宋体"/>
          <w:bCs/>
          <w:sz w:val="24"/>
          <w:szCs w:val="24"/>
        </w:rPr>
        <w:t>确定</w:t>
      </w:r>
      <w:r>
        <w:rPr>
          <w:rFonts w:hint="eastAsia" w:ascii="宋体" w:hAnsi="宋体"/>
          <w:bCs/>
          <w:sz w:val="24"/>
          <w:szCs w:val="24"/>
          <w:lang w:val="en-US" w:eastAsia="zh-CN"/>
        </w:rPr>
        <w:t>中标</w:t>
      </w:r>
      <w:r>
        <w:rPr>
          <w:rFonts w:hint="eastAsia" w:ascii="宋体" w:hAnsi="宋体"/>
          <w:bCs/>
          <w:sz w:val="24"/>
          <w:szCs w:val="24"/>
        </w:rPr>
        <w:t>单位时间：评审结束</w:t>
      </w:r>
    </w:p>
    <w:p>
      <w:pPr>
        <w:spacing w:line="360" w:lineRule="auto"/>
        <w:ind w:firstLine="480" w:firstLineChars="200"/>
        <w:rPr>
          <w:rFonts w:hint="eastAsia" w:ascii="黑体" w:hAnsi="黑体" w:eastAsia="黑体"/>
          <w:bCs/>
          <w:color w:val="000000" w:themeColor="text1"/>
          <w:sz w:val="24"/>
          <w:szCs w:val="24"/>
          <w14:textFill>
            <w14:solidFill>
              <w14:schemeClr w14:val="tx1"/>
            </w14:solidFill>
          </w14:textFill>
        </w:rPr>
      </w:pPr>
      <w:r>
        <w:rPr>
          <w:rFonts w:hint="eastAsia" w:ascii="宋体" w:hAnsi="宋体"/>
          <w:bCs/>
          <w:sz w:val="24"/>
          <w:szCs w:val="24"/>
        </w:rPr>
        <w:t>确定</w:t>
      </w:r>
      <w:r>
        <w:rPr>
          <w:rFonts w:hint="eastAsia" w:ascii="宋体" w:hAnsi="宋体"/>
          <w:bCs/>
          <w:sz w:val="24"/>
          <w:szCs w:val="24"/>
          <w:lang w:val="en-US" w:eastAsia="zh-CN"/>
        </w:rPr>
        <w:t>中标</w:t>
      </w:r>
      <w:r>
        <w:rPr>
          <w:rFonts w:hint="eastAsia" w:ascii="宋体" w:hAnsi="宋体"/>
          <w:bCs/>
          <w:sz w:val="24"/>
          <w:szCs w:val="24"/>
        </w:rPr>
        <w:t>单位地点：无锡市公共资源交易中心梁溪分中心</w:t>
      </w:r>
    </w:p>
    <w:p>
      <w:pPr>
        <w:spacing w:line="360" w:lineRule="auto"/>
        <w:ind w:firstLine="480" w:firstLineChars="200"/>
        <w:rPr>
          <w:rFonts w:ascii="宋体"/>
          <w:bCs/>
          <w:sz w:val="24"/>
          <w:szCs w:val="24"/>
        </w:rPr>
      </w:pPr>
      <w:r>
        <w:rPr>
          <w:rFonts w:hint="eastAsia" w:ascii="黑体" w:hAnsi="黑体" w:eastAsia="黑体"/>
          <w:bCs/>
          <w:sz w:val="24"/>
          <w:szCs w:val="24"/>
        </w:rPr>
        <w:t>（七）投标有效期：</w:t>
      </w:r>
      <w:r>
        <w:rPr>
          <w:rFonts w:hint="eastAsia" w:ascii="宋体" w:hAnsi="宋体"/>
          <w:bCs/>
          <w:sz w:val="24"/>
          <w:szCs w:val="24"/>
        </w:rPr>
        <w:t>开标之日起</w:t>
      </w:r>
      <w:r>
        <w:rPr>
          <w:rFonts w:ascii="宋体" w:hAnsi="宋体"/>
          <w:bCs/>
          <w:sz w:val="24"/>
          <w:szCs w:val="24"/>
        </w:rPr>
        <w:t>90</w:t>
      </w:r>
      <w:r>
        <w:rPr>
          <w:rFonts w:hint="eastAsia" w:ascii="宋体" w:hAnsi="宋体"/>
          <w:bCs/>
          <w:sz w:val="24"/>
          <w:szCs w:val="24"/>
        </w:rPr>
        <w:t>天</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八</w:t>
      </w:r>
      <w:r>
        <w:rPr>
          <w:rFonts w:hint="eastAsia"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sz w:val="24"/>
          <w:szCs w:val="24"/>
        </w:rPr>
        <w:t>采购方法：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本次采购采用《无锡市政府采购交易管理系统》进行招标投标活动，招标、投标、评标和中标结果发布全程电子化。</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九</w:t>
      </w:r>
      <w:r>
        <w:rPr>
          <w:rFonts w:hint="eastAsia" w:ascii="黑体" w:hAnsi="黑体" w:eastAsia="黑体"/>
          <w:bCs/>
          <w:color w:val="000000" w:themeColor="text1"/>
          <w:sz w:val="24"/>
          <w:szCs w:val="24"/>
          <w14:textFill>
            <w14:solidFill>
              <w14:schemeClr w14:val="tx1"/>
            </w14:solidFill>
          </w14:textFill>
        </w:rPr>
        <w:t>）其它</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集中采购机构：无锡市公共资源交易中心梁溪分中心       </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 无锡市梁溪区</w:t>
      </w:r>
      <w:bookmarkStart w:id="1" w:name="_Hlk11659573"/>
      <w:r>
        <w:rPr>
          <w:rFonts w:hint="eastAsia" w:ascii="宋体" w:hAnsi="宋体" w:cs="宋体"/>
          <w:color w:val="000000" w:themeColor="text1"/>
          <w:kern w:val="0"/>
          <w:sz w:val="24"/>
          <w:szCs w:val="24"/>
          <w14:textFill>
            <w14:solidFill>
              <w14:schemeClr w14:val="tx1"/>
            </w14:solidFill>
          </w14:textFill>
        </w:rPr>
        <w:t>清名路</w:t>
      </w:r>
      <w:r>
        <w:rPr>
          <w:rFonts w:ascii="宋体" w:hAnsi="宋体" w:cs="宋体"/>
          <w:color w:val="000000" w:themeColor="text1"/>
          <w:kern w:val="0"/>
          <w:sz w:val="24"/>
          <w:szCs w:val="24"/>
          <w14:textFill>
            <w14:solidFill>
              <w14:schemeClr w14:val="tx1"/>
            </w14:solidFill>
          </w14:textFill>
        </w:rPr>
        <w:t>380</w:t>
      </w:r>
      <w:r>
        <w:rPr>
          <w:rFonts w:hint="eastAsia" w:ascii="宋体" w:hAnsi="宋体" w:cs="宋体"/>
          <w:color w:val="000000" w:themeColor="text1"/>
          <w:kern w:val="0"/>
          <w:sz w:val="24"/>
          <w:szCs w:val="24"/>
          <w14:textFill>
            <w14:solidFill>
              <w14:schemeClr w14:val="tx1"/>
            </w14:solidFill>
          </w14:textFill>
        </w:rPr>
        <w:t>号</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楼</w:t>
      </w:r>
      <w:bookmarkEnd w:id="1"/>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项目联系人：王湉湉、</w:t>
      </w:r>
      <w:r>
        <w:rPr>
          <w:rFonts w:hint="eastAsia" w:ascii="宋体" w:hAnsi="宋体" w:cs="宋体"/>
          <w:color w:val="000000" w:themeColor="text1"/>
          <w:kern w:val="0"/>
          <w:sz w:val="24"/>
          <w:szCs w:val="24"/>
          <w:lang w:val="en-US" w:eastAsia="zh-CN"/>
          <w14:textFill>
            <w14:solidFill>
              <w14:schemeClr w14:val="tx1"/>
            </w14:solidFill>
          </w14:textFill>
        </w:rPr>
        <w:t>刘智</w:t>
      </w:r>
      <w:r>
        <w:rPr>
          <w:rFonts w:hint="eastAsia" w:ascii="宋体" w:hAnsi="宋体" w:cs="宋体"/>
          <w:color w:val="000000" w:themeColor="text1"/>
          <w:kern w:val="0"/>
          <w:sz w:val="24"/>
          <w:szCs w:val="24"/>
          <w14:textFill>
            <w14:solidFill>
              <w14:schemeClr w14:val="tx1"/>
            </w14:solidFill>
          </w14:textFill>
        </w:rPr>
        <w:t>；</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电话：0510-85058802；传真：0510-85059295</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综合部：0510-83158182</w:t>
      </w:r>
    </w:p>
    <w:p>
      <w:pPr>
        <w:spacing w:line="490" w:lineRule="exact"/>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pStyle w:val="2"/>
      </w:pPr>
    </w:p>
    <w:p>
      <w:pPr>
        <w:pStyle w:val="2"/>
      </w:pPr>
    </w:p>
    <w:p>
      <w:pPr>
        <w:pStyle w:val="2"/>
      </w:pPr>
    </w:p>
    <w:p>
      <w:pPr>
        <w:pStyle w:val="2"/>
      </w:pPr>
    </w:p>
    <w:p>
      <w:pPr>
        <w:pStyle w:val="2"/>
      </w:pPr>
    </w:p>
    <w:p>
      <w:pPr>
        <w:pStyle w:val="2"/>
      </w:pPr>
    </w:p>
    <w:p>
      <w:pPr>
        <w:pStyle w:val="2"/>
      </w:pPr>
    </w:p>
    <w:p>
      <w:pPr>
        <w:pStyle w:val="2"/>
      </w:pPr>
    </w:p>
    <w:p>
      <w:pPr>
        <w:spacing w:line="490" w:lineRule="exact"/>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pPr>
    </w:p>
    <w:p>
      <w:pPr>
        <w:spacing w:line="490" w:lineRule="exact"/>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二．投标人须知</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遵循原则：</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公开透明原则、公平竞争原则、公正原则和诚实信用原则。</w:t>
      </w:r>
    </w:p>
    <w:p>
      <w:pPr>
        <w:numPr>
          <w:ilvl w:val="0"/>
          <w:numId w:val="2"/>
        </w:numPr>
        <w:spacing w:line="360" w:lineRule="auto"/>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招标文件：</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采购文件中的“法定代表人”是指投标人的营业执照的“法定代表人”或相关部门的登记证明文件中的“负责人”。</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投标人应在无锡市政府采购交易管理系统（http://58.215.18.247:9003/zfcg_supplier_wx/login?bs=5）下载招标文件及有关资料，按要求制作、上传投标文件，对招标文件各项内容做出实质性响应，否则投标无效。</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w:t>
      </w:r>
      <w:r>
        <w:rPr>
          <w:rFonts w:ascii="黑体" w:hAnsi="宋体" w:eastAsia="黑体"/>
          <w:bCs/>
          <w:sz w:val="24"/>
          <w:szCs w:val="24"/>
        </w:rPr>
        <w:t xml:space="preserve"> </w:t>
      </w:r>
      <w:r>
        <w:rPr>
          <w:rFonts w:hint="eastAsia" w:ascii="黑体" w:hAnsi="宋体" w:eastAsia="黑体"/>
          <w:bCs/>
          <w:sz w:val="24"/>
          <w:szCs w:val="24"/>
        </w:rPr>
        <w:t>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本文件的最终解释权归无锡市公共资源交易中心梁溪分中心。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w:t>
      </w:r>
      <w:r>
        <w:rPr>
          <w:rFonts w:ascii="黑体" w:hAnsi="宋体" w:eastAsia="黑体"/>
          <w:bCs/>
          <w:sz w:val="24"/>
          <w:szCs w:val="24"/>
        </w:rPr>
        <w:t xml:space="preserve"> </w:t>
      </w:r>
      <w:r>
        <w:rPr>
          <w:rFonts w:hint="eastAsia" w:ascii="黑体" w:hAnsi="宋体" w:eastAsia="黑体"/>
          <w:bCs/>
          <w:sz w:val="24"/>
          <w:szCs w:val="24"/>
        </w:rPr>
        <w:t>招标文件的补充或修正：</w:t>
      </w:r>
      <w:r>
        <w:rPr>
          <w:rFonts w:ascii="黑体" w:hAnsi="宋体" w:eastAsia="黑体"/>
          <w:bCs/>
          <w:sz w:val="24"/>
          <w:szCs w:val="24"/>
        </w:rPr>
        <w:t xml:space="preserve"> </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无锡市公共资源交易中心梁溪分中心可在投标截止时间十五日前对招标文件进行必要的澄清或者修改，不足15日的，将顺延提交投标文件的截止时间。</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梁溪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梁溪分中心要求，而造成的损失及风险（包括但不限于未中标）由投标人自行承担。</w:t>
      </w:r>
    </w:p>
    <w:p>
      <w:pPr>
        <w:spacing w:line="360" w:lineRule="auto"/>
        <w:ind w:firstLine="480" w:firstLineChars="200"/>
        <w:rPr>
          <w:rFonts w:ascii="宋体"/>
          <w:bCs/>
          <w:sz w:val="24"/>
          <w:szCs w:val="24"/>
        </w:rPr>
      </w:pPr>
      <w:r>
        <w:rPr>
          <w:rFonts w:hint="eastAsia" w:ascii="黑体" w:hAnsi="宋体" w:eastAsia="黑体"/>
          <w:bCs/>
          <w:sz w:val="24"/>
          <w:szCs w:val="24"/>
        </w:rPr>
        <w:t>（五）</w:t>
      </w:r>
      <w:r>
        <w:rPr>
          <w:rFonts w:ascii="黑体" w:hAnsi="宋体" w:eastAsia="黑体"/>
          <w:bCs/>
          <w:sz w:val="24"/>
          <w:szCs w:val="24"/>
        </w:rPr>
        <w:t xml:space="preserve"> </w:t>
      </w:r>
      <w:r>
        <w:rPr>
          <w:rFonts w:hint="eastAsia" w:ascii="黑体" w:hAnsi="宋体" w:eastAsia="黑体"/>
          <w:bCs/>
          <w:sz w:val="24"/>
          <w:szCs w:val="24"/>
        </w:rPr>
        <w:t>投标文件的组成</w:t>
      </w:r>
      <w:r>
        <w:rPr>
          <w:rFonts w:hint="eastAsia" w:ascii="宋体" w:hAnsi="宋体"/>
          <w:bCs/>
          <w:color w:val="000000"/>
          <w:sz w:val="24"/>
          <w:szCs w:val="24"/>
        </w:rPr>
        <w:t>（</w:t>
      </w:r>
      <w:r>
        <w:rPr>
          <w:rFonts w:hint="eastAsia" w:ascii="宋体" w:hAnsi="宋体"/>
          <w:b/>
          <w:bCs/>
          <w:color w:val="000000"/>
          <w:sz w:val="24"/>
          <w:szCs w:val="24"/>
        </w:rPr>
        <w:t>相应内容上传至无锡市政府采购交易管理系统投标模块</w:t>
      </w:r>
      <w:r>
        <w:rPr>
          <w:rFonts w:hint="eastAsia" w:ascii="宋体" w:hAnsi="宋体"/>
          <w:bCs/>
          <w:color w:val="000000"/>
          <w:sz w:val="24"/>
          <w:szCs w:val="24"/>
        </w:rPr>
        <w:t>）</w:t>
      </w:r>
      <w:r>
        <w:rPr>
          <w:rFonts w:hint="eastAsia" w:ascii="黑体" w:hAnsi="宋体" w:eastAsia="黑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投标函</w:t>
      </w:r>
      <w:r>
        <w:rPr>
          <w:rFonts w:hint="eastAsia" w:ascii="宋体" w:hAnsi="宋体"/>
          <w:b/>
          <w:bCs/>
          <w:color w:val="000000"/>
          <w:sz w:val="24"/>
          <w:szCs w:val="24"/>
        </w:rPr>
        <w:t>（格式见附件）</w:t>
      </w:r>
    </w:p>
    <w:p>
      <w:pPr>
        <w:numPr>
          <w:ilvl w:val="0"/>
          <w:numId w:val="4"/>
        </w:numPr>
        <w:tabs>
          <w:tab w:val="left" w:pos="420"/>
          <w:tab w:val="left" w:pos="525"/>
          <w:tab w:val="left" w:pos="945"/>
          <w:tab w:val="clear" w:pos="630"/>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资格、资信证明文件</w:t>
      </w:r>
      <w:r>
        <w:rPr>
          <w:rFonts w:hint="eastAsia" w:ascii="宋体" w:hAnsi="宋体"/>
          <w:b/>
          <w:bCs/>
          <w:color w:val="000000"/>
          <w:sz w:val="24"/>
          <w:szCs w:val="24"/>
        </w:rPr>
        <w:t>（扫描后上传，身份证应为正、反面）：</w:t>
      </w:r>
    </w:p>
    <w:p>
      <w:pPr>
        <w:pStyle w:val="100"/>
        <w:numPr>
          <w:ilvl w:val="1"/>
          <w:numId w:val="4"/>
        </w:numPr>
        <w:tabs>
          <w:tab w:val="left" w:pos="1285"/>
          <w:tab w:val="clear" w:pos="990"/>
        </w:tabs>
        <w:spacing w:line="360" w:lineRule="auto"/>
        <w:ind w:left="0" w:firstLine="567" w:firstLineChars="0"/>
        <w:rPr>
          <w:rFonts w:hint="eastAsia" w:ascii="宋体"/>
          <w:bCs/>
          <w:color w:val="000000"/>
          <w:sz w:val="24"/>
          <w:szCs w:val="24"/>
        </w:rPr>
      </w:pPr>
      <w:r>
        <w:rPr>
          <w:rFonts w:hint="eastAsia" w:ascii="宋体" w:hAnsi="宋体"/>
          <w:bCs/>
          <w:color w:val="000000"/>
          <w:sz w:val="24"/>
          <w:szCs w:val="24"/>
        </w:rPr>
        <w:t>关于资格的声明函（</w:t>
      </w:r>
      <w:r>
        <w:rPr>
          <w:rFonts w:hint="eastAsia" w:ascii="宋体" w:hAnsi="宋体"/>
          <w:b/>
          <w:bCs/>
          <w:color w:val="000000"/>
          <w:sz w:val="24"/>
          <w:szCs w:val="24"/>
        </w:rPr>
        <w:t>格式见附件</w:t>
      </w:r>
      <w:r>
        <w:rPr>
          <w:rFonts w:hint="eastAsia" w:ascii="宋体" w:hAnsi="宋体"/>
          <w:bCs/>
          <w:color w:val="000000"/>
          <w:sz w:val="24"/>
          <w:szCs w:val="24"/>
        </w:rPr>
        <w:t>）</w:t>
      </w:r>
    </w:p>
    <w:p>
      <w:pPr>
        <w:pStyle w:val="100"/>
        <w:numPr>
          <w:ilvl w:val="1"/>
          <w:numId w:val="4"/>
        </w:numPr>
        <w:tabs>
          <w:tab w:val="left" w:pos="1285"/>
          <w:tab w:val="clear" w:pos="990"/>
        </w:tabs>
        <w:spacing w:line="360" w:lineRule="auto"/>
        <w:ind w:left="0" w:firstLine="567" w:firstLineChars="0"/>
        <w:rPr>
          <w:rFonts w:hint="eastAsia" w:ascii="宋体"/>
          <w:bCs/>
          <w:color w:val="000000"/>
          <w:sz w:val="24"/>
          <w:szCs w:val="24"/>
        </w:rPr>
      </w:pPr>
      <w:r>
        <w:rPr>
          <w:rFonts w:hint="eastAsia" w:ascii="宋体" w:hAnsi="宋体"/>
          <w:bCs/>
          <w:color w:val="000000"/>
          <w:sz w:val="24"/>
          <w:szCs w:val="24"/>
        </w:rPr>
        <w:t>具有独立承担民事责任能力的投标人营业执照或相关部门的登记证明文件复印件（投标人如是</w:t>
      </w:r>
      <w:r>
        <w:rPr>
          <w:rFonts w:hint="eastAsia" w:ascii="宋体" w:hAnsi="宋体" w:cs="宋体"/>
          <w:color w:val="000000"/>
          <w:kern w:val="0"/>
          <w:sz w:val="24"/>
          <w:szCs w:val="24"/>
        </w:rPr>
        <w:t>允许以分支机构身份参加投标的，提供投标人分支机构的营业执照复印件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投标人法定代表人授权委托书</w:t>
      </w:r>
      <w:r>
        <w:rPr>
          <w:rFonts w:hint="eastAsia" w:ascii="宋体" w:hAnsi="宋体"/>
          <w:color w:val="000000"/>
          <w:sz w:val="24"/>
          <w:szCs w:val="24"/>
        </w:rPr>
        <w:t>（</w:t>
      </w:r>
      <w:r>
        <w:rPr>
          <w:rFonts w:hint="eastAsia" w:ascii="宋体" w:hAnsi="宋体"/>
          <w:b/>
          <w:bCs/>
          <w:color w:val="000000"/>
          <w:sz w:val="24"/>
          <w:szCs w:val="24"/>
        </w:rPr>
        <w:t>格式见附件，法定代表人亲自参加投标的除外</w:t>
      </w:r>
      <w:r>
        <w:rPr>
          <w:rFonts w:hint="eastAsia" w:ascii="宋体" w:hAnsi="宋体"/>
          <w:color w:val="000000"/>
          <w:sz w:val="24"/>
          <w:szCs w:val="24"/>
        </w:rPr>
        <w:t>）（投标人</w:t>
      </w:r>
      <w:r>
        <w:rPr>
          <w:rFonts w:hint="eastAsia" w:ascii="宋体" w:hAnsi="宋体"/>
          <w:bCs/>
          <w:color w:val="000000"/>
          <w:sz w:val="24"/>
          <w:szCs w:val="24"/>
        </w:rPr>
        <w:t>如是</w:t>
      </w:r>
      <w:r>
        <w:rPr>
          <w:rFonts w:hint="eastAsia" w:ascii="宋体" w:hAnsi="宋体" w:cs="宋体"/>
          <w:color w:val="000000"/>
          <w:kern w:val="0"/>
          <w:sz w:val="24"/>
          <w:szCs w:val="24"/>
        </w:rPr>
        <w:t>允许以分支机构身份参加投标的，请自行将“法定代表人”更改为“负责人”，分支机构投标时涉及到采购文件“法定代表人”要求的部分，其具体要求视同本条规定</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投标人法定代表人身份证；</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投标人法定代表人授权代表身份证（</w:t>
      </w:r>
      <w:r>
        <w:rPr>
          <w:rFonts w:hint="eastAsia" w:ascii="宋体" w:hAnsi="宋体"/>
          <w:b/>
          <w:bCs/>
          <w:color w:val="000000"/>
          <w:sz w:val="24"/>
          <w:szCs w:val="24"/>
        </w:rPr>
        <w:t>法定代表人亲自参加投标的除外</w:t>
      </w:r>
      <w:r>
        <w:rPr>
          <w:rFonts w:hint="eastAsia" w:ascii="宋体" w:hAnsi="宋体"/>
          <w:bCs/>
          <w:color w:val="000000"/>
          <w:sz w:val="24"/>
          <w:szCs w:val="24"/>
        </w:rPr>
        <w:t>）</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hAnsi="宋体"/>
          <w:bCs/>
          <w:color w:val="000000"/>
          <w:sz w:val="24"/>
          <w:szCs w:val="24"/>
        </w:rPr>
      </w:pPr>
      <w:r>
        <w:rPr>
          <w:rFonts w:hint="eastAsia" w:ascii="宋体" w:hAnsi="宋体"/>
          <w:bCs/>
          <w:color w:val="000000"/>
          <w:sz w:val="24"/>
          <w:szCs w:val="24"/>
        </w:rPr>
        <w:t>投标人连续三个月(至少包含近三个月中任意一个月份(不含投标当月))为其法定代表人授权代表缴纳社保的证明（由相关主管部门出具，</w:t>
      </w:r>
      <w:r>
        <w:rPr>
          <w:rFonts w:hint="eastAsia" w:ascii="宋体" w:hAnsi="宋体"/>
          <w:b/>
          <w:bCs/>
          <w:color w:val="000000"/>
          <w:sz w:val="24"/>
          <w:szCs w:val="24"/>
        </w:rPr>
        <w:t>新成立公司除外、法定代表人亲自参加投标的除外</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hAnsi="Calibri"/>
          <w:bCs/>
          <w:color w:val="000000"/>
          <w:sz w:val="24"/>
          <w:szCs w:val="24"/>
        </w:rPr>
      </w:pPr>
      <w:r>
        <w:rPr>
          <w:rFonts w:hint="eastAsia" w:ascii="宋体" w:hAnsi="宋体"/>
          <w:bCs/>
          <w:color w:val="000000"/>
          <w:sz w:val="24"/>
          <w:szCs w:val="24"/>
        </w:rPr>
        <w:t>投标人近三个月中任意一个月份(不含投标当月)的财务状况报告（资产负债表和利润表）或由会计师事务所出具的近两年中任意一个年度的审计报告和所附已审财务报告；</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投标人近三个月中任意一个月份(不含投标当月)的依法缴纳税收的相关材料（提供相关主管部门证明或银行代扣证明）；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投标人近三个月中任意一个月份(不含投标当月)的依法缴纳社会保障资金的相关材料（提供相关主管部门证明或银行代扣证明）；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承诺书（</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lang w:val="en-US" w:eastAsia="zh-CN"/>
        </w:rPr>
        <w:t>中小企业声明函</w:t>
      </w:r>
      <w:r>
        <w:rPr>
          <w:rFonts w:hint="eastAsia" w:ascii="宋体" w:hAnsi="宋体"/>
          <w:bCs/>
          <w:color w:val="000000"/>
          <w:sz w:val="24"/>
          <w:szCs w:val="24"/>
        </w:rPr>
        <w:t>（</w:t>
      </w:r>
      <w:r>
        <w:rPr>
          <w:rFonts w:hint="eastAsia" w:ascii="宋体" w:hAnsi="宋体"/>
          <w:b/>
          <w:bCs/>
          <w:color w:val="000000"/>
          <w:sz w:val="24"/>
          <w:szCs w:val="24"/>
        </w:rPr>
        <w:t>格式见附件</w:t>
      </w:r>
      <w:r>
        <w:rPr>
          <w:rFonts w:hint="eastAsia" w:ascii="宋体" w:hAnsi="宋体"/>
          <w:bCs/>
          <w:color w:val="000000"/>
          <w:sz w:val="24"/>
          <w:szCs w:val="24"/>
        </w:rPr>
        <w:t>）</w:t>
      </w:r>
      <w:r>
        <w:rPr>
          <w:rFonts w:hint="eastAsia" w:ascii="宋体" w:hAnsi="宋体"/>
          <w:bCs/>
          <w:color w:val="000000"/>
          <w:sz w:val="24"/>
          <w:szCs w:val="24"/>
          <w:lang w:eastAsia="zh-CN"/>
        </w:rPr>
        <w:t>；</w:t>
      </w:r>
    </w:p>
    <w:p>
      <w:pPr>
        <w:numPr>
          <w:ilvl w:val="1"/>
          <w:numId w:val="4"/>
        </w:numPr>
        <w:tabs>
          <w:tab w:val="left" w:pos="945"/>
          <w:tab w:val="left" w:pos="1285"/>
        </w:tabs>
        <w:spacing w:line="360" w:lineRule="auto"/>
        <w:ind w:left="0" w:firstLine="523" w:firstLineChars="218"/>
        <w:rPr>
          <w:rFonts w:hint="eastAsia" w:ascii="宋体" w:hAnsi="宋体"/>
          <w:b/>
          <w:bCs w:val="0"/>
          <w:color w:val="000000"/>
          <w:sz w:val="24"/>
          <w:szCs w:val="24"/>
        </w:rPr>
      </w:pPr>
      <w:r>
        <w:rPr>
          <w:rFonts w:hint="eastAsia" w:ascii="宋体" w:hAnsi="宋体"/>
          <w:bCs/>
          <w:color w:val="000000"/>
          <w:sz w:val="24"/>
          <w:szCs w:val="24"/>
        </w:rPr>
        <w:t>采购人要求的特定资质证明</w:t>
      </w:r>
      <w:r>
        <w:rPr>
          <w:rFonts w:hint="eastAsia" w:ascii="宋体" w:hAnsi="宋体"/>
          <w:b/>
          <w:bCs w:val="0"/>
          <w:color w:val="000000"/>
          <w:sz w:val="24"/>
          <w:szCs w:val="24"/>
        </w:rPr>
        <w:t>（详见“投标邀请函”-“投标人资格要求”之3中要求）。</w:t>
      </w:r>
    </w:p>
    <w:p>
      <w:pPr>
        <w:tabs>
          <w:tab w:val="left" w:pos="630"/>
          <w:tab w:val="left" w:pos="945"/>
          <w:tab w:val="left" w:pos="1276"/>
        </w:tabs>
        <w:spacing w:line="360" w:lineRule="auto"/>
        <w:ind w:firstLine="480" w:firstLineChars="200"/>
        <w:rPr>
          <w:rFonts w:hint="eastAsia" w:ascii="宋体"/>
          <w:bCs/>
          <w:color w:val="000000"/>
          <w:sz w:val="24"/>
          <w:szCs w:val="24"/>
        </w:rPr>
      </w:pPr>
      <w:r>
        <w:rPr>
          <w:rFonts w:hint="eastAsia" w:ascii="宋体" w:hAnsi="宋体" w:cs="宋体"/>
          <w:color w:val="00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开标一览表（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明细报价表（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投标偏离表（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项目技术要求中须提供的证明材料（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评分标准中对应的其它所需证明材料（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要求采购人提供的配合（</w:t>
      </w:r>
      <w:r>
        <w:rPr>
          <w:rFonts w:hint="eastAsia" w:ascii="宋体" w:hAnsi="宋体"/>
          <w:b/>
          <w:bCs/>
          <w:color w:val="000000"/>
          <w:sz w:val="24"/>
          <w:szCs w:val="24"/>
        </w:rPr>
        <w:t>如有自拟并自行添加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其它（</w:t>
      </w:r>
      <w:r>
        <w:rPr>
          <w:rFonts w:hint="eastAsia" w:ascii="宋体" w:hAnsi="宋体"/>
          <w:b/>
          <w:bCs/>
          <w:color w:val="000000"/>
          <w:sz w:val="24"/>
          <w:szCs w:val="24"/>
        </w:rPr>
        <w:t>投标人认为有必要提供的声明和文件，如有自拟并自行添加</w:t>
      </w:r>
      <w:r>
        <w:rPr>
          <w:rFonts w:hint="eastAsia" w:ascii="宋体" w:hAnsi="宋体"/>
          <w:bCs/>
          <w:color w:val="000000"/>
          <w:sz w:val="24"/>
          <w:szCs w:val="24"/>
        </w:rPr>
        <w:t>）</w:t>
      </w:r>
    </w:p>
    <w:p>
      <w:pPr>
        <w:tabs>
          <w:tab w:val="left" w:pos="945"/>
        </w:tabs>
        <w:spacing w:line="360" w:lineRule="auto"/>
        <w:ind w:firstLine="480" w:firstLineChars="200"/>
        <w:rPr>
          <w:rFonts w:ascii="宋体" w:hAnsi="Calibri"/>
          <w:bCs/>
          <w:color w:val="000000"/>
          <w:sz w:val="24"/>
          <w:szCs w:val="24"/>
        </w:rPr>
      </w:pPr>
      <w:r>
        <w:rPr>
          <w:rFonts w:hint="eastAsia" w:ascii="宋体" w:hAnsi="宋体"/>
          <w:bCs/>
          <w:color w:val="000000"/>
          <w:sz w:val="24"/>
          <w:szCs w:val="24"/>
        </w:rPr>
        <w:t>上述1-6项投标人必须按要求全部提供，否则投标文件无效。</w:t>
      </w:r>
      <w:r>
        <w:rPr>
          <w:rFonts w:hint="eastAsia" w:ascii="Tahoma" w:hAnsi="Tahoma" w:cs="Tahoma"/>
          <w:color w:val="000000"/>
          <w:sz w:val="24"/>
          <w:szCs w:val="24"/>
        </w:rPr>
        <w:t>如上述资格证明文件遇年检、换证，则必须提供法定年检、换证单位出具的有效证明复印件。如上述资格证明文件第</w:t>
      </w:r>
      <w:r>
        <w:rPr>
          <w:rFonts w:hint="eastAsia" w:ascii="宋体" w:hAnsi="宋体" w:cs="Tahoma"/>
          <w:color w:val="000000"/>
          <w:sz w:val="24"/>
          <w:szCs w:val="24"/>
        </w:rPr>
        <w:t>（6）（7）（8）（9）</w:t>
      </w:r>
      <w:r>
        <w:rPr>
          <w:rFonts w:hint="eastAsia" w:ascii="Tahoma" w:hAnsi="Tahoma" w:cs="Tahoma"/>
          <w:color w:val="000000"/>
          <w:sz w:val="24"/>
          <w:szCs w:val="24"/>
        </w:rPr>
        <w:t>四项遇有国家相关政策规定可不具备的，必须提供相关政策规定或相关单位出具的有效证明复印件。</w:t>
      </w:r>
      <w:r>
        <w:rPr>
          <w:rFonts w:hint="eastAsia" w:ascii="宋体" w:hAnsi="宋体"/>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（六）</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投标文件的制作：</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投标文件由投标人按要求参考给定格式如实填写（编写），须有投标人（盖章）、法定代表人或法定代表人授权代表签字或盖章，方为有效，未尽事宜可自行补充。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如无特别说明，</w:t>
      </w:r>
      <w:r>
        <w:rPr>
          <w:rFonts w:hint="eastAsia" w:ascii="宋体" w:hAnsi="宋体"/>
          <w:bCs/>
          <w:color w:val="000000" w:themeColor="text1"/>
          <w:sz w:val="24"/>
          <w:szCs w:val="24"/>
          <w14:textFill>
            <w14:solidFill>
              <w14:schemeClr w14:val="tx1"/>
            </w14:solidFill>
          </w14:textFill>
        </w:rPr>
        <w:t>投标人报价一律以人民币为投标结算货币</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结算单位为“元”。</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投标费用自理。</w:t>
      </w:r>
    </w:p>
    <w:p>
      <w:pPr>
        <w:tabs>
          <w:tab w:val="left" w:pos="945"/>
        </w:tabs>
        <w:spacing w:line="360" w:lineRule="auto"/>
        <w:ind w:firstLine="480" w:firstLineChars="200"/>
        <w:rPr>
          <w:rFonts w:ascii="黑体" w:hAnsi="宋体" w:eastAsia="黑体"/>
          <w:bCs/>
          <w:color w:val="000000"/>
          <w:sz w:val="24"/>
          <w:szCs w:val="24"/>
        </w:rPr>
      </w:pPr>
      <w:r>
        <w:rPr>
          <w:rFonts w:hint="eastAsia" w:ascii="黑体" w:hAnsi="宋体" w:eastAsia="黑体"/>
          <w:bCs/>
          <w:color w:val="000000"/>
          <w:sz w:val="24"/>
          <w:szCs w:val="24"/>
        </w:rPr>
        <w:t>（七）网上投标</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由其法定代表人或法定代表人授权代表在规定的网上投标时间内，凭CA数字证书登陆政府采购交易管理一体化系统获取招标文件，在政采云投标客户端制作投标文件（电子数据），并在投标截止时间之前上传投标文件。</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投标人应对CA数字证书妥善保管，如被他人盗用投标，后果自负。</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投标人按招标文件规定的</w:t>
      </w:r>
      <w:r>
        <w:rPr>
          <w:rFonts w:hint="eastAsia" w:ascii="宋体" w:hAnsi="宋体"/>
          <w:color w:val="000000"/>
          <w:sz w:val="24"/>
          <w:szCs w:val="24"/>
        </w:rPr>
        <w:t>网上解密时间</w:t>
      </w:r>
      <w:r>
        <w:rPr>
          <w:rFonts w:hint="eastAsia" w:ascii="宋体" w:hAnsi="宋体"/>
          <w:bCs/>
          <w:color w:val="000000"/>
          <w:sz w:val="24"/>
          <w:szCs w:val="24"/>
        </w:rPr>
        <w:t>进行解密，如未按时解密后果自负。</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投标人应当对招标文件提出的要求和条件作出实质性响应，并在电子投标系统逐条应答。</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投标人应对要求提供的资格证明文件（如资质证书、资格证书）、技术资料（如白皮书、彩页、手册、检测报告等）扫描上传至投标系统。</w:t>
      </w:r>
    </w:p>
    <w:p>
      <w:pPr>
        <w:tabs>
          <w:tab w:val="left" w:pos="945"/>
        </w:tabs>
        <w:spacing w:line="360" w:lineRule="auto"/>
        <w:ind w:firstLine="480" w:firstLineChars="200"/>
        <w:rPr>
          <w:rFonts w:hint="eastAsia" w:ascii="宋体" w:hAnsi="宋体"/>
          <w:color w:val="000000"/>
          <w:sz w:val="24"/>
          <w:szCs w:val="24"/>
        </w:rPr>
      </w:pPr>
      <w:r>
        <w:rPr>
          <w:rFonts w:hint="eastAsia" w:ascii="宋体" w:hAnsi="宋体"/>
          <w:bCs/>
          <w:color w:val="000000"/>
          <w:sz w:val="24"/>
          <w:szCs w:val="24"/>
        </w:rPr>
        <w:t>投标人进行网上</w:t>
      </w:r>
      <w:r>
        <w:rPr>
          <w:rFonts w:hint="eastAsia" w:ascii="宋体" w:hAnsi="宋体"/>
          <w:color w:val="000000"/>
          <w:sz w:val="24"/>
          <w:szCs w:val="24"/>
        </w:rPr>
        <w:t>投标</w:t>
      </w:r>
      <w:r>
        <w:rPr>
          <w:rFonts w:hint="eastAsia" w:ascii="宋体" w:hAnsi="宋体"/>
          <w:bCs/>
          <w:color w:val="000000"/>
          <w:sz w:val="24"/>
          <w:szCs w:val="24"/>
        </w:rPr>
        <w:t>请参照《</w:t>
      </w:r>
      <w:r>
        <w:rPr>
          <w:rFonts w:hint="eastAsia" w:ascii="宋体" w:hAnsi="宋体"/>
          <w:color w:val="000000"/>
          <w:sz w:val="24"/>
          <w:szCs w:val="24"/>
        </w:rPr>
        <w:t>政府采购项目电子交易管理操作指南-供应商》。</w:t>
      </w:r>
    </w:p>
    <w:p>
      <w:pPr>
        <w:tabs>
          <w:tab w:val="left" w:pos="945"/>
        </w:tabs>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无效投标文件的确认：</w:t>
      </w:r>
    </w:p>
    <w:p>
      <w:pPr>
        <w:tabs>
          <w:tab w:val="left" w:pos="945"/>
        </w:tabs>
        <w:spacing w:line="360" w:lineRule="auto"/>
        <w:ind w:firstLine="480" w:firstLineChars="200"/>
        <w:rPr>
          <w:rFonts w:ascii="黑体" w:hAnsi="宋体" w:eastAsia="黑体"/>
          <w:bCs/>
          <w:color w:val="000000"/>
          <w:sz w:val="24"/>
          <w:szCs w:val="24"/>
        </w:rPr>
      </w:pPr>
      <w:r>
        <w:rPr>
          <w:rFonts w:hint="eastAsia" w:ascii="宋体" w:hAnsi="宋体"/>
          <w:bCs/>
          <w:color w:val="000000"/>
          <w:sz w:val="24"/>
          <w:szCs w:val="24"/>
        </w:rPr>
        <w:t>投标人有下列情况之一者，投标文件无效：</w:t>
      </w:r>
    </w:p>
    <w:p>
      <w:pPr>
        <w:numPr>
          <w:ilvl w:val="0"/>
          <w:numId w:val="7"/>
        </w:numPr>
        <w:tabs>
          <w:tab w:val="left" w:pos="945"/>
        </w:tabs>
        <w:spacing w:line="360" w:lineRule="auto"/>
        <w:rPr>
          <w:rFonts w:hint="eastAsia" w:ascii="宋体" w:hAnsi="Calibri"/>
          <w:bCs/>
          <w:color w:val="000000"/>
          <w:sz w:val="24"/>
          <w:szCs w:val="24"/>
        </w:rPr>
      </w:pPr>
      <w:r>
        <w:rPr>
          <w:rFonts w:hint="eastAsia" w:ascii="宋体" w:hAnsi="宋体"/>
          <w:color w:val="000000"/>
          <w:sz w:val="24"/>
          <w:szCs w:val="24"/>
        </w:rPr>
        <w:t>未按规定在无锡市政府采购供应商信息库注册的；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电子投标文件未按规定期限投标的，纸质投标文件（如有）未按规定的期限、地点送达的；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电子投标文件未按招标文件要求签章的；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投标人未按招标文件要求解密电子投标文件的；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投标人的法定代表人授权代表，无法定代表人授权委托书的；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不具备招标文件中规定的资格要求或未按招标文件规定的要求提供资格、资信证明文件的；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color w:val="000000"/>
          <w:sz w:val="24"/>
          <w:szCs w:val="24"/>
        </w:rPr>
        <w:t>被“信用中国”网站（</w:t>
      </w:r>
      <w:r>
        <w:fldChar w:fldCharType="begin"/>
      </w:r>
      <w:r>
        <w:instrText xml:space="preserve"> HYPERLINK "http://www.creditchina.gov.cn" </w:instrText>
      </w:r>
      <w:r>
        <w:fldChar w:fldCharType="separate"/>
      </w:r>
      <w:r>
        <w:rPr>
          <w:rStyle w:val="29"/>
          <w:rFonts w:hint="eastAsia" w:ascii="宋体" w:hAnsi="宋体"/>
          <w:color w:val="000000"/>
          <w:sz w:val="24"/>
          <w:szCs w:val="24"/>
        </w:rPr>
        <w:t>www.creditchina.gov.cn</w:t>
      </w:r>
      <w:r>
        <w:rPr>
          <w:rStyle w:val="29"/>
          <w:rFonts w:hint="eastAsia" w:ascii="宋体" w:hAnsi="宋体"/>
          <w:color w:val="000000"/>
          <w:sz w:val="24"/>
          <w:szCs w:val="24"/>
        </w:rPr>
        <w:fldChar w:fldCharType="end"/>
      </w:r>
      <w:r>
        <w:rPr>
          <w:rFonts w:hint="eastAsia" w:ascii="宋体" w:hAnsi="宋体"/>
          <w:color w:val="000000"/>
          <w:sz w:val="24"/>
          <w:szCs w:val="24"/>
        </w:rPr>
        <w:t>）列入失信被执行人、重大税收违法案件当事人名单、政府采购严重违法失信行为记录名单的；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投标文件未按招标文件规定的内容和要求填写的；没有在投标系统指定位置上传对应文件、材料的；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电子投标文件图片、字迹模糊不清、无法辨认的；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投标文件中有招标文件未允许提供的选择性内容；</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不同投标人委托同一单位或者个人办理投标事宜的；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不同投标人的单位负责人为同一人或者存在直接控股、管理关系的；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不同投标人的投标文件的装订形式、纸张情况、目录序号、排版格式、文字风格等存在明显的相似性或一致性，特征显示由同一单位或者同一个人编制的；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不同投标人投标文件内容存在非正常一致、项目组成员出现同一人、投标文件中错误（或异常）一致或雷同、电子文档信息一致或雷同的、投标报价呈规律性差异的；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项目（标段）投标总价超过本项目（标段）预算或最高限价的；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提供虚假材料的（包括工商营业执照、财务报表、资格证明文件等）；</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投标文件含有采购人不能接受的附加条件的；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除单一来源采购项目外，为采购项目提供整体设计、规范编制或者项目管理、监理、检测等服务的；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投标文件内容不全或不符合招标文件中规定的其它实质性要求的；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开标、评标：</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所有投标单位在招标文件规定的时间内解密各自投标文件。</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投标截止时间后参加投标的供应商或解密投标文件的供应商不足三家的，不开标；开标后，所有投标供应商可在线上开标大厅中看到所有投标人的投标报价。</w:t>
      </w:r>
    </w:p>
    <w:p>
      <w:pPr>
        <w:numPr>
          <w:ilvl w:val="1"/>
          <w:numId w:val="8"/>
        </w:numPr>
        <w:tabs>
          <w:tab w:val="left" w:pos="525"/>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开标时，投标文件报价出现前后不一致的，按照下列规定修正：</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投标文件中开标一览表（报价表）内容与投标文件中相应内容不一致的，以开标一览表（报价表）为准；</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大写金额和小写金额不一致的，以大写金额为准；</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单价金额小数点或者百分比有明显错位的，以开标一览表的总价为准，并修改单价；</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总价金额与按单价汇总金额不一致的，以单价金额计算结果为准。</w:t>
      </w:r>
    </w:p>
    <w:p>
      <w:pPr>
        <w:tabs>
          <w:tab w:val="left" w:pos="510"/>
          <w:tab w:val="left" w:pos="945"/>
        </w:tabs>
        <w:spacing w:line="360" w:lineRule="auto"/>
        <w:ind w:firstLine="480" w:firstLineChars="200"/>
        <w:rPr>
          <w:rFonts w:hint="eastAsia" w:ascii="宋体"/>
          <w:bCs/>
          <w:color w:val="000000"/>
          <w:sz w:val="24"/>
          <w:szCs w:val="24"/>
        </w:rPr>
      </w:pPr>
      <w:r>
        <w:rPr>
          <w:rFonts w:hint="eastAsia" w:ascii="宋体"/>
          <w:bCs/>
          <w:color w:val="000000"/>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电子投标文件与纸质投标文件（如有）不符的，以电子投标文件为准。</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投标人未参加开标的，视同认可开标结果。</w:t>
      </w:r>
    </w:p>
    <w:p>
      <w:pPr>
        <w:numPr>
          <w:ilvl w:val="1"/>
          <w:numId w:val="8"/>
        </w:numPr>
        <w:tabs>
          <w:tab w:val="left" w:pos="525"/>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评标程序</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szCs w:val="24"/>
        </w:rPr>
        <w:t>评标工作由</w:t>
      </w:r>
      <w:r>
        <w:rPr>
          <w:rFonts w:hint="eastAsia" w:ascii="宋体" w:hAnsi="宋体"/>
          <w:bCs/>
          <w:sz w:val="24"/>
          <w:szCs w:val="24"/>
        </w:rPr>
        <w:t>无锡市公共资源交易中心梁溪分中心</w:t>
      </w:r>
      <w:r>
        <w:rPr>
          <w:rFonts w:hint="eastAsia" w:ascii="宋体" w:hAnsi="宋体"/>
          <w:bCs/>
          <w:color w:val="000000"/>
          <w:sz w:val="24"/>
          <w:szCs w:val="24"/>
        </w:rPr>
        <w:t>负责组织，具体评标事务由依法组建的评标委员会负责。</w:t>
      </w:r>
    </w:p>
    <w:p>
      <w:pPr>
        <w:numPr>
          <w:ilvl w:val="0"/>
          <w:numId w:val="10"/>
        </w:numPr>
        <w:tabs>
          <w:tab w:val="left" w:pos="630"/>
          <w:tab w:val="left" w:pos="945"/>
          <w:tab w:val="left" w:pos="115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hint="eastAsia" w:ascii="宋体"/>
          <w:bCs/>
          <w:color w:val="000000"/>
          <w:sz w:val="24"/>
          <w:szCs w:val="22"/>
        </w:rPr>
      </w:pPr>
      <w:r>
        <w:rPr>
          <w:rFonts w:hint="eastAsia" w:ascii="宋体" w:hAnsi="宋体"/>
          <w:bCs/>
          <w:color w:val="000000"/>
          <w:sz w:val="24"/>
        </w:rPr>
        <w:t>资格性检查。采购人依据法律法规和招标文件的规定，对投标文件中的资格证明、投标（报价）承诺函等进行审查；</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Style w:val="29"/>
          <w:rFonts w:hint="eastAsia" w:ascii="宋体" w:hAnsi="宋体"/>
          <w:bCs/>
          <w:color w:val="000000"/>
          <w:sz w:val="24"/>
          <w:szCs w:val="24"/>
        </w:rPr>
        <w:t>www.creditchina.gov.cn</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w:t>
      </w:r>
      <w:r>
        <w:rPr>
          <w:rFonts w:hint="eastAsia" w:ascii="宋体" w:hAnsi="宋体"/>
          <w:bCs/>
          <w:color w:val="000000"/>
          <w:sz w:val="24"/>
          <w:szCs w:val="24"/>
        </w:rPr>
        <w:t>查询投标供应商在投标截止时间之前，是否被列入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以确定投标供应商是否具备投标资格。信用</w:t>
      </w:r>
      <w:r>
        <w:rPr>
          <w:rFonts w:hint="eastAsia" w:ascii="宋体" w:hAnsi="宋体"/>
          <w:color w:val="000000"/>
          <w:sz w:val="24"/>
          <w:szCs w:val="24"/>
        </w:rPr>
        <w:t>查询结果以网页打印的形式留存并归档。</w:t>
      </w:r>
    </w:p>
    <w:p>
      <w:pPr>
        <w:numPr>
          <w:ilvl w:val="0"/>
          <w:numId w:val="11"/>
        </w:numPr>
        <w:tabs>
          <w:tab w:val="left" w:pos="525"/>
          <w:tab w:val="left" w:pos="630"/>
          <w:tab w:val="left" w:pos="945"/>
          <w:tab w:val="left" w:pos="1365"/>
          <w:tab w:val="clear" w:pos="881"/>
        </w:tabs>
        <w:spacing w:line="360" w:lineRule="auto"/>
        <w:ind w:left="0" w:firstLine="523" w:firstLineChars="218"/>
        <w:rPr>
          <w:rFonts w:hint="eastAsia" w:ascii="宋体"/>
          <w:bCs/>
          <w:color w:val="000000"/>
          <w:sz w:val="24"/>
        </w:rPr>
      </w:pPr>
      <w:r>
        <w:rPr>
          <w:rFonts w:hint="eastAsia" w:ascii="宋体" w:hAnsi="宋体"/>
          <w:bCs/>
          <w:color w:val="000000"/>
          <w:sz w:val="24"/>
        </w:rPr>
        <w:t>符合性检查。评标委员会依据招标文件的规定，从投标文件的有效性、完整性和对招标文件的响应程度进行审查，以确定是否对招标文件的实质性要求作出响应。</w:t>
      </w:r>
    </w:p>
    <w:p>
      <w:pPr>
        <w:numPr>
          <w:ilvl w:val="0"/>
          <w:numId w:val="10"/>
        </w:numPr>
        <w:tabs>
          <w:tab w:val="left" w:pos="525"/>
          <w:tab w:val="left" w:pos="945"/>
          <w:tab w:val="left" w:pos="115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澄清有关问题。对投标文件中含义不明确、同类问题表述不一致或者有明显文字和计算错误的内容，评标委员会可以通过</w:t>
      </w:r>
      <w:r>
        <w:rPr>
          <w:rFonts w:hint="eastAsia" w:ascii="宋体" w:hAnsi="宋体"/>
          <w:bCs/>
          <w:color w:val="000000"/>
          <w:sz w:val="24"/>
          <w:szCs w:val="24"/>
        </w:rPr>
        <w:t>政府采购交易管理一体化系统</w:t>
      </w:r>
      <w:r>
        <w:rPr>
          <w:rFonts w:hint="eastAsia" w:ascii="宋体" w:hAnsi="宋体"/>
          <w:bCs/>
          <w:color w:val="000000"/>
          <w:sz w:val="24"/>
        </w:rPr>
        <w:t>发起询标，要求投标人作出必要的澄清、说明或者纠正。投标人的澄清、说明或者补正应当通过</w:t>
      </w:r>
      <w:r>
        <w:rPr>
          <w:rFonts w:hint="eastAsia" w:ascii="宋体" w:hAnsi="宋体"/>
          <w:bCs/>
          <w:color w:val="000000"/>
          <w:sz w:val="24"/>
          <w:szCs w:val="24"/>
        </w:rPr>
        <w:t>政府采购交易管理一体化系统</w:t>
      </w:r>
      <w:r>
        <w:rPr>
          <w:rFonts w:hint="eastAsia" w:ascii="宋体" w:hAnsi="宋体"/>
          <w:bCs/>
          <w:color w:val="000000"/>
          <w:sz w:val="24"/>
        </w:rPr>
        <w:t>，由其授权的代表应答并加盖电子公章，且不得超出投标文件的范围或者改变投标文件的实质性内容</w:t>
      </w:r>
      <w:r>
        <w:rPr>
          <w:rFonts w:hint="eastAsia" w:ascii="宋体" w:hAnsi="宋体"/>
          <w:bCs/>
          <w:color w:val="000000"/>
          <w:sz w:val="24"/>
          <w:szCs w:val="24"/>
        </w:rPr>
        <w:t>。</w:t>
      </w:r>
    </w:p>
    <w:p>
      <w:pPr>
        <w:numPr>
          <w:ilvl w:val="0"/>
          <w:numId w:val="10"/>
        </w:numPr>
        <w:tabs>
          <w:tab w:val="left" w:pos="945"/>
          <w:tab w:val="left" w:pos="1155"/>
          <w:tab w:val="left" w:pos="136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比较与评价。按招标文件中规定的评标方法和标准，对资格性检查和符合性检查合格的投标文件进行商务和技术评估，综合比较与评价</w:t>
      </w:r>
      <w:r>
        <w:rPr>
          <w:rFonts w:hint="eastAsia" w:ascii="宋体" w:hAnsi="宋体"/>
          <w:bCs/>
          <w:color w:val="000000"/>
          <w:sz w:val="24"/>
          <w:szCs w:val="24"/>
        </w:rPr>
        <w:t>。</w:t>
      </w:r>
    </w:p>
    <w:p>
      <w:pPr>
        <w:numPr>
          <w:ilvl w:val="1"/>
          <w:numId w:val="8"/>
        </w:numPr>
        <w:tabs>
          <w:tab w:val="left" w:pos="525"/>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评标方法</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szCs w:val="24"/>
        </w:rPr>
        <w:t>投标人通过初审的，方可进入</w:t>
      </w:r>
      <w:r>
        <w:rPr>
          <w:rFonts w:hint="eastAsia" w:ascii="宋体" w:hAnsi="宋体"/>
          <w:bCs/>
          <w:color w:val="000000"/>
          <w:sz w:val="24"/>
        </w:rPr>
        <w:t>比较与评价程序</w:t>
      </w:r>
      <w:r>
        <w:rPr>
          <w:rFonts w:hint="eastAsia" w:ascii="宋体" w:hAnsi="宋体"/>
          <w:bCs/>
          <w:color w:val="000000"/>
          <w:sz w:val="24"/>
          <w:szCs w:val="24"/>
        </w:rPr>
        <w:t>。</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rPr>
        <w:t>比较与评价</w:t>
      </w:r>
      <w:r>
        <w:rPr>
          <w:rFonts w:hint="eastAsia" w:ascii="宋体" w:hAnsi="宋体"/>
          <w:bCs/>
          <w:color w:val="000000"/>
          <w:sz w:val="24"/>
          <w:szCs w:val="24"/>
        </w:rPr>
        <w:t>采用综合评分法。</w:t>
      </w:r>
    </w:p>
    <w:p>
      <w:pPr>
        <w:tabs>
          <w:tab w:val="left" w:pos="945"/>
        </w:tabs>
        <w:spacing w:line="360" w:lineRule="auto"/>
        <w:ind w:firstLine="523" w:firstLineChars="218"/>
        <w:rPr>
          <w:rFonts w:hint="eastAsia" w:ascii="宋体" w:hAnsi="宋体"/>
          <w:bCs/>
          <w:color w:val="000000"/>
          <w:sz w:val="24"/>
          <w:szCs w:val="24"/>
        </w:rPr>
      </w:pPr>
      <w:r>
        <w:rPr>
          <w:rFonts w:hint="eastAsia" w:ascii="宋体" w:hAnsi="宋体"/>
          <w:bCs/>
          <w:color w:val="000000"/>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000000"/>
          <w:sz w:val="24"/>
        </w:rPr>
        <w:t>非单一产品采购项目，多家投标人提供的核心产品品牌相同的，同上处理。</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评分标准</w:t>
      </w:r>
    </w:p>
    <w:p>
      <w:pPr>
        <w:tabs>
          <w:tab w:val="left" w:pos="945"/>
        </w:tabs>
        <w:spacing w:line="360" w:lineRule="auto"/>
        <w:ind w:firstLine="480" w:firstLineChars="200"/>
        <w:outlineLvl w:val="0"/>
        <w:rPr>
          <w:rFonts w:hint="eastAsia" w:ascii="宋体" w:hAnsi="宋体"/>
          <w:bCs/>
          <w:color w:val="000000"/>
          <w:sz w:val="24"/>
          <w:szCs w:val="24"/>
        </w:rPr>
      </w:pPr>
      <w:r>
        <w:rPr>
          <w:rFonts w:hint="eastAsia" w:ascii="宋体" w:hAnsi="宋体"/>
          <w:bCs/>
          <w:color w:val="000000"/>
          <w:sz w:val="24"/>
          <w:szCs w:val="24"/>
        </w:rPr>
        <w:t>详见附件。</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定标：</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评标委员会根据招标文件规定的评标方法和评标标准进行评审，按招标文件的要求依法确定中标供应商。</w:t>
      </w:r>
      <w:r>
        <w:rPr>
          <w:rFonts w:hint="eastAsia" w:ascii="宋体" w:hAnsi="宋体"/>
          <w:bCs/>
          <w:sz w:val="24"/>
          <w:szCs w:val="24"/>
        </w:rPr>
        <w:t>无锡市公共资源交易中心梁溪分中心</w:t>
      </w:r>
      <w:r>
        <w:rPr>
          <w:rFonts w:hint="eastAsia" w:ascii="宋体" w:hAnsi="宋体"/>
          <w:bCs/>
          <w:color w:val="000000"/>
          <w:sz w:val="24"/>
          <w:szCs w:val="24"/>
        </w:rPr>
        <w:t>将在无锡市公共资源交易中心政府采购专栏、无锡政府采购网、江苏政府采购网和中国政府采购网发布中标公告。如有质疑，应在法定质疑期限内，即</w:t>
      </w:r>
      <w:r>
        <w:rPr>
          <w:rFonts w:hint="eastAsia" w:ascii="宋体" w:hAnsi="宋体"/>
          <w:color w:val="000000"/>
          <w:sz w:val="24"/>
          <w:szCs w:val="24"/>
        </w:rPr>
        <w:t>中标公告</w:t>
      </w:r>
      <w:r>
        <w:rPr>
          <w:rFonts w:hint="eastAsia" w:ascii="宋体" w:hAnsi="宋体" w:cs="宋体"/>
          <w:bCs/>
          <w:color w:val="000000"/>
          <w:kern w:val="0"/>
          <w:sz w:val="24"/>
        </w:rPr>
        <w:t>期限届满之日</w:t>
      </w:r>
      <w:r>
        <w:rPr>
          <w:rFonts w:hint="eastAsia" w:ascii="宋体" w:hAnsi="宋体"/>
          <w:color w:val="000000"/>
          <w:sz w:val="24"/>
          <w:szCs w:val="24"/>
        </w:rPr>
        <w:t>起7个工作日</w:t>
      </w:r>
      <w:r>
        <w:rPr>
          <w:rFonts w:hint="eastAsia" w:ascii="宋体" w:hAnsi="宋体"/>
          <w:bCs/>
          <w:color w:val="000000"/>
          <w:sz w:val="24"/>
          <w:szCs w:val="24"/>
        </w:rPr>
        <w:t>内，以书面形式（原件）送达</w:t>
      </w:r>
      <w:r>
        <w:rPr>
          <w:rFonts w:hint="eastAsia" w:ascii="宋体" w:hAnsi="宋体"/>
          <w:bCs/>
          <w:sz w:val="24"/>
          <w:szCs w:val="24"/>
        </w:rPr>
        <w:t>无锡市公共资源交易中心梁溪分中心</w:t>
      </w:r>
      <w:r>
        <w:rPr>
          <w:rFonts w:hint="eastAsia" w:ascii="宋体" w:hAnsi="宋体"/>
          <w:bCs/>
          <w:color w:val="000000"/>
          <w:sz w:val="24"/>
          <w:szCs w:val="24"/>
        </w:rPr>
        <w:t>，并且针对同一采购程序环节的质疑，须在法定质疑期内一次性提出。质疑函的质疑事项应具体、明确，并有必要的事实依据和法律依据（格式详见中国政府采购网《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Style w:val="29"/>
          <w:rFonts w:hint="eastAsia" w:ascii="宋体" w:hAnsi="宋体"/>
          <w:bCs/>
          <w:color w:val="000000"/>
          <w:sz w:val="24"/>
          <w:szCs w:val="24"/>
        </w:rPr>
        <w:t>政府采购供应商质疑函范本</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sz w:val="24"/>
          <w:szCs w:val="24"/>
        </w:rPr>
        <w:t>无锡市公共资源交易中心梁溪分中心</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rPr>
        <w:t>无锡市公共资源交易中心梁溪分中心</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420"/>
          <w:tab w:val="left" w:pos="525"/>
          <w:tab w:val="left" w:pos="945"/>
          <w:tab w:val="left" w:pos="1155"/>
          <w:tab w:val="clear" w:pos="552"/>
        </w:tabs>
        <w:spacing w:line="360" w:lineRule="auto"/>
        <w:ind w:left="0" w:firstLine="523" w:firstLineChars="218"/>
        <w:rPr>
          <w:rFonts w:hint="eastAsia" w:ascii="宋体"/>
          <w:bCs/>
          <w:color w:val="000000"/>
          <w:sz w:val="24"/>
          <w:szCs w:val="24"/>
        </w:rPr>
      </w:pPr>
      <w:r>
        <w:rPr>
          <w:rFonts w:hint="eastAsia" w:ascii="宋体" w:hAnsi="宋体"/>
          <w:bCs/>
          <w:sz w:val="24"/>
          <w:szCs w:val="24"/>
        </w:rPr>
        <w:t>无锡市公共资源交易中心梁溪分中心</w:t>
      </w:r>
      <w:r>
        <w:rPr>
          <w:rFonts w:hint="eastAsia" w:ascii="宋体" w:hAnsi="宋体"/>
          <w:bCs/>
          <w:color w:val="000000"/>
          <w:sz w:val="24"/>
          <w:szCs w:val="24"/>
        </w:rPr>
        <w:t>向中标供应商发中标通知书。</w:t>
      </w:r>
    </w:p>
    <w:p>
      <w:pPr>
        <w:spacing w:line="360" w:lineRule="auto"/>
        <w:ind w:firstLine="480" w:firstLineChars="200"/>
        <w:outlineLvl w:val="0"/>
        <w:rPr>
          <w:rFonts w:hint="eastAsia" w:ascii="宋体" w:hAnsi="宋体"/>
          <w:bCs/>
          <w:color w:val="000000"/>
          <w:sz w:val="24"/>
          <w:szCs w:val="24"/>
        </w:rPr>
      </w:pPr>
      <w:r>
        <w:rPr>
          <w:rFonts w:hint="eastAsia" w:ascii="宋体" w:hAnsi="宋体"/>
          <w:bCs/>
          <w:color w:val="000000"/>
          <w:sz w:val="24"/>
          <w:szCs w:val="24"/>
        </w:rPr>
        <w:t>投标供应商电子投标文件将作为电子档案保存。</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废标的确认：</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投标人的报价均超过采购预算，采购人不能支付的；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因重大变故，采购任务取消。</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
          <w:color w:val="000000" w:themeColor="text1"/>
          <w:sz w:val="24"/>
          <w:szCs w:val="24"/>
          <w14:textFill>
            <w14:solidFill>
              <w14:schemeClr w14:val="tx1"/>
            </w14:solidFill>
          </w14:textFill>
        </w:rPr>
        <w:t>（十二）</w:t>
      </w:r>
      <w:r>
        <w:rPr>
          <w:rFonts w:hint="eastAsia" w:ascii="黑体" w:hAnsi="宋体" w:eastAsia="黑体"/>
          <w:bCs/>
          <w:color w:val="000000" w:themeColor="text1"/>
          <w:sz w:val="24"/>
          <w:szCs w:val="24"/>
          <w14:textFill>
            <w14:solidFill>
              <w14:schemeClr w14:val="tx1"/>
            </w14:solidFill>
          </w14:textFill>
        </w:rPr>
        <w:t>中标无效的确认：</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提供虚假材料谋取中标的；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采取不正当手段诋毁、排挤其他投标人的；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与招标采购单位、其他投标人恶意串通的；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向招标采购单位行贿或者提供其他不正当利益的；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拒绝有关部门监督检查或者提供虚假情况的。</w:t>
      </w:r>
    </w:p>
    <w:p>
      <w:pPr>
        <w:tabs>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）项情形之一的，中标无效。有上述（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（十三）签订</w:t>
      </w:r>
      <w:r>
        <w:rPr>
          <w:rFonts w:hint="eastAsia" w:ascii="黑体" w:hAnsi="宋体" w:eastAsia="黑体"/>
          <w:b/>
          <w:color w:val="000000" w:themeColor="text1"/>
          <w:sz w:val="24"/>
          <w:szCs w:val="24"/>
          <w14:textFill>
            <w14:solidFill>
              <w14:schemeClr w14:val="tx1"/>
            </w14:solidFill>
          </w14:textFill>
        </w:rPr>
        <w:t>、履行</w:t>
      </w:r>
      <w:r>
        <w:rPr>
          <w:rFonts w:hint="eastAsia" w:ascii="黑体" w:hAnsi="宋体" w:eastAsia="黑体"/>
          <w:bCs/>
          <w:color w:val="000000" w:themeColor="text1"/>
          <w:sz w:val="24"/>
          <w:szCs w:val="24"/>
          <w14:textFill>
            <w14:solidFill>
              <w14:schemeClr w14:val="tx1"/>
            </w14:solidFill>
          </w14:textFill>
        </w:rPr>
        <w:t>合同：</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采购人应当自中标通知书发出之日起三十日内（</w:t>
      </w:r>
      <w:r>
        <w:rPr>
          <w:rFonts w:ascii="宋体" w:hAnsi="宋体"/>
          <w:color w:val="000000" w:themeColor="text1"/>
          <w:sz w:val="24"/>
          <w:szCs w:val="24"/>
          <w14:textFill>
            <w14:solidFill>
              <w14:schemeClr w14:val="tx1"/>
            </w14:solidFill>
          </w14:textFill>
        </w:rPr>
        <w:t>到新冠疫情应急响应解除之日</w:t>
      </w:r>
      <w:r>
        <w:rPr>
          <w:rFonts w:hint="eastAsia" w:ascii="宋体" w:hAnsi="宋体"/>
          <w:color w:val="000000" w:themeColor="text1"/>
          <w:sz w:val="24"/>
          <w:szCs w:val="24"/>
          <w14:textFill>
            <w14:solidFill>
              <w14:schemeClr w14:val="tx1"/>
            </w14:solidFill>
          </w14:textFill>
        </w:rPr>
        <w:t>前缩短至十五日内</w:t>
      </w:r>
      <w:r>
        <w:rPr>
          <w:rFonts w:hint="eastAsia" w:ascii="宋体" w:hAnsi="宋体"/>
          <w:bCs/>
          <w:color w:val="000000" w:themeColor="text1"/>
          <w:sz w:val="24"/>
          <w:szCs w:val="24"/>
          <w14:textFill>
            <w14:solidFill>
              <w14:schemeClr w14:val="tx1"/>
            </w14:solidFill>
          </w14:textFill>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公共资源交易中心梁溪分中心见证后生效。</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中标方非因不可抗力未履行招、投标文件和合同规定的义务，一经查实，无锡市公共资源交易中心梁溪分中心将根据具体情况提请政府采购管理部门作出相应处理。</w:t>
      </w:r>
    </w:p>
    <w:p>
      <w:pPr>
        <w:numPr>
          <w:ilvl w:val="0"/>
          <w:numId w:val="15"/>
        </w:numPr>
        <w:tabs>
          <w:tab w:val="left" w:pos="525"/>
          <w:tab w:val="left" w:pos="945"/>
          <w:tab w:val="left" w:pos="1050"/>
          <w:tab w:val="clear" w:pos="552"/>
        </w:tabs>
        <w:spacing w:line="360" w:lineRule="auto"/>
        <w:ind w:left="0" w:firstLine="52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中标供应商向采购人缴纳的履约保证金不超过政府采购合同金额的10%。</w:t>
      </w:r>
      <w:r>
        <w:rPr>
          <w:rFonts w:hint="eastAsia" w:ascii="宋体" w:hAnsi="宋体"/>
          <w:bCs/>
          <w:color w:val="000000" w:themeColor="text1"/>
          <w:sz w:val="24"/>
          <w14:textFill>
            <w14:solidFill>
              <w14:schemeClr w14:val="tx1"/>
            </w14:solidFill>
          </w14:textFill>
        </w:rPr>
        <w:t>收取履约保证金的，采购人应当</w:t>
      </w:r>
      <w:r>
        <w:rPr>
          <w:rFonts w:hint="eastAsia" w:ascii="宋体"/>
          <w:bCs/>
          <w:color w:val="000000" w:themeColor="text1"/>
          <w:sz w:val="24"/>
          <w14:textFill>
            <w14:solidFill>
              <w14:schemeClr w14:val="tx1"/>
            </w14:solidFill>
          </w14:textFill>
        </w:rPr>
        <w:t>允许</w:t>
      </w:r>
      <w:r>
        <w:rPr>
          <w:rFonts w:ascii="宋体"/>
          <w:bCs/>
          <w:color w:val="000000" w:themeColor="text1"/>
          <w:sz w:val="24"/>
          <w:szCs w:val="24"/>
          <w14:textFill>
            <w14:solidFill>
              <w14:schemeClr w14:val="tx1"/>
            </w14:solidFill>
          </w14:textFill>
        </w:rPr>
        <w:t>供应商自主选择以支票、 汇票、 本票、 保函等非现金形式缴纳或提交，</w:t>
      </w:r>
      <w:r>
        <w:rPr>
          <w:rFonts w:hint="eastAsia" w:ascii="宋体"/>
          <w:bCs/>
          <w:color w:val="000000" w:themeColor="text1"/>
          <w:sz w:val="24"/>
          <w:szCs w:val="24"/>
          <w14:textFill>
            <w14:solidFill>
              <w14:schemeClr w14:val="tx1"/>
            </w14:solidFill>
          </w14:textFill>
        </w:rPr>
        <w:t>并</w:t>
      </w:r>
      <w:r>
        <w:rPr>
          <w:rFonts w:hint="eastAsia" w:ascii="宋体" w:hAnsi="宋体"/>
          <w:bCs/>
          <w:color w:val="000000" w:themeColor="text1"/>
          <w:sz w:val="24"/>
          <w14:textFill>
            <w14:solidFill>
              <w14:schemeClr w14:val="tx1"/>
            </w14:solidFill>
          </w14:textFill>
        </w:rPr>
        <w:t>与中标供应商在采购合同中约定履约保证金退还的方式、时间、条件和不予退还的情形，明确逾期退还履约保证金的违约责任。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（十四）注意事项：</w:t>
      </w:r>
    </w:p>
    <w:p>
      <w:pPr>
        <w:tabs>
          <w:tab w:val="left" w:pos="945"/>
        </w:tabs>
        <w:spacing w:line="360" w:lineRule="auto"/>
        <w:ind w:firstLine="360" w:firstLineChars="15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中标供应商有下列情形之一的，情节严重的，由财政部门将其列入不良行为记录名单，在一至三年内禁止参加政府采购活动，并予以通报：</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中标后无正当理由不与采购人签订合同的；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将中标项目转让给他人，或者在投标文件中未说明，且未经过采购人同意，将中标项目分包给他人的；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拒绝履行合同义务的。</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（十四）中标服务费：</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本次招标，无锡市公共资源交易中心梁溪分中心为中标供应商提供免费服务，不收取中标服务费。</w:t>
      </w:r>
    </w:p>
    <w:p>
      <w:pPr>
        <w:spacing w:line="400" w:lineRule="exact"/>
        <w:jc w:val="center"/>
        <w:rPr>
          <w:rFonts w:ascii="黑体" w:eastAsia="黑体"/>
          <w:bCs/>
          <w:color w:val="000000" w:themeColor="text1"/>
          <w:sz w:val="30"/>
          <w:szCs w:val="30"/>
          <w14:textFill>
            <w14:solidFill>
              <w14:schemeClr w14:val="tx1"/>
            </w14:solidFill>
          </w14:textFill>
        </w:rPr>
      </w:pPr>
    </w:p>
    <w:p>
      <w:pPr>
        <w:spacing w:line="360" w:lineRule="auto"/>
        <w:rPr>
          <w:rFonts w:ascii="黑体" w:eastAsia="黑体"/>
          <w:bCs/>
          <w:color w:val="000000" w:themeColor="text1"/>
          <w:sz w:val="30"/>
          <w:szCs w:val="30"/>
          <w14:textFill>
            <w14:solidFill>
              <w14:schemeClr w14:val="tx1"/>
            </w14:solidFill>
          </w14:textFill>
        </w:rPr>
      </w:pPr>
    </w:p>
    <w:p>
      <w:pPr>
        <w:spacing w:line="360" w:lineRule="auto"/>
        <w:jc w:val="center"/>
        <w:rPr>
          <w:rFonts w:ascii="黑体" w:eastAsia="黑体"/>
          <w:bCs/>
          <w:color w:val="000000" w:themeColor="text1"/>
          <w:sz w:val="30"/>
          <w:szCs w:val="30"/>
          <w14:textFill>
            <w14:solidFill>
              <w14:schemeClr w14:val="tx1"/>
            </w14:solidFill>
          </w14:textFill>
        </w:rPr>
      </w:pPr>
      <w:r>
        <w:rPr>
          <w:rFonts w:hint="eastAsia" w:ascii="黑体" w:eastAsia="黑体"/>
          <w:bCs/>
          <w:color w:val="000000" w:themeColor="text1"/>
          <w:sz w:val="30"/>
          <w:szCs w:val="30"/>
          <w14:textFill>
            <w14:solidFill>
              <w14:schemeClr w14:val="tx1"/>
            </w14:solidFill>
          </w14:textFill>
        </w:rPr>
        <w:t>三．</w:t>
      </w:r>
      <w:r>
        <w:rPr>
          <w:rFonts w:hint="eastAsia" w:ascii="黑体" w:eastAsia="黑体"/>
          <w:b/>
          <w:color w:val="000000" w:themeColor="text1"/>
          <w:sz w:val="30"/>
          <w:szCs w:val="30"/>
          <w14:textFill>
            <w14:solidFill>
              <w14:schemeClr w14:val="tx1"/>
            </w14:solidFill>
          </w14:textFill>
        </w:rPr>
        <w:t>项目技术要求和有关说明</w:t>
      </w:r>
    </w:p>
    <w:p>
      <w:pPr>
        <w:pStyle w:val="2"/>
        <w:spacing w:line="360" w:lineRule="auto"/>
        <w:ind w:firstLine="480" w:firstLineChars="200"/>
        <w:rPr>
          <w:rFonts w:ascii="宋体" w:hAnsi="宋体"/>
          <w:sz w:val="24"/>
          <w:szCs w:val="24"/>
        </w:rPr>
      </w:pPr>
      <w:r>
        <w:rPr>
          <w:rFonts w:hint="eastAsia" w:ascii="宋体" w:hAnsi="宋体"/>
          <w:sz w:val="24"/>
          <w:szCs w:val="24"/>
        </w:rPr>
        <w:t>本项目为</w:t>
      </w:r>
      <w:r>
        <w:rPr>
          <w:rFonts w:hint="eastAsia" w:ascii="宋体" w:hAnsi="宋体"/>
          <w:sz w:val="24"/>
          <w:szCs w:val="24"/>
          <w:lang w:eastAsia="zh-CN"/>
        </w:rPr>
        <w:t>扬名街道金星社区金星大厦户外电子屏采购项目（第二次）</w:t>
      </w:r>
      <w:r>
        <w:rPr>
          <w:rFonts w:hint="eastAsia" w:ascii="宋体" w:hAnsi="宋体"/>
          <w:sz w:val="24"/>
          <w:szCs w:val="24"/>
        </w:rPr>
        <w:t>。项目具体要求如下，投标人所投内容必须满足以下要求，不得有负偏离。</w:t>
      </w:r>
    </w:p>
    <w:p>
      <w:pPr>
        <w:pStyle w:val="2"/>
        <w:spacing w:line="360" w:lineRule="auto"/>
        <w:ind w:firstLine="480" w:firstLineChars="200"/>
        <w:rPr>
          <w:rFonts w:ascii="宋体" w:hAnsi="宋体"/>
          <w:sz w:val="24"/>
          <w:szCs w:val="24"/>
        </w:rPr>
      </w:pPr>
      <w:r>
        <w:rPr>
          <w:rFonts w:hint="eastAsia" w:ascii="宋体" w:hAnsi="宋体"/>
          <w:sz w:val="24"/>
          <w:szCs w:val="24"/>
        </w:rPr>
        <w:t>本项目核心产品为</w:t>
      </w:r>
      <w:r>
        <w:rPr>
          <w:rFonts w:hint="eastAsia" w:ascii="宋体" w:hAnsi="宋体" w:cs="宋体"/>
          <w:spacing w:val="-11"/>
          <w:sz w:val="24"/>
          <w:szCs w:val="24"/>
        </w:rPr>
        <w:t>裸眼3D全彩LED屏</w:t>
      </w:r>
      <w:r>
        <w:rPr>
          <w:rFonts w:hint="eastAsia" w:ascii="宋体" w:hAnsi="宋体"/>
          <w:sz w:val="24"/>
          <w:szCs w:val="24"/>
        </w:rPr>
        <w:t>。</w:t>
      </w:r>
    </w:p>
    <w:p>
      <w:pPr>
        <w:spacing w:after="5" w:line="360" w:lineRule="auto"/>
        <w:ind w:firstLine="480" w:firstLineChars="200"/>
        <w:rPr>
          <w:rFonts w:ascii="黑体" w:eastAsia="黑体"/>
          <w:color w:val="000000"/>
          <w:sz w:val="24"/>
          <w:szCs w:val="24"/>
        </w:rPr>
      </w:pPr>
      <w:r>
        <w:rPr>
          <w:rFonts w:hint="eastAsia" w:ascii="黑体" w:eastAsia="黑体"/>
          <w:color w:val="000000"/>
          <w:sz w:val="24"/>
          <w:szCs w:val="24"/>
        </w:rPr>
        <w:t>（一）项目技术要求：</w:t>
      </w:r>
    </w:p>
    <w:p>
      <w:pPr>
        <w:pStyle w:val="3"/>
        <w:spacing w:line="360" w:lineRule="auto"/>
        <w:ind w:firstLine="720" w:firstLineChars="300"/>
        <w:jc w:val="both"/>
        <w:rPr>
          <w:rFonts w:ascii="宋体" w:hAnsi="宋体" w:cs="宋体"/>
          <w:sz w:val="24"/>
          <w:szCs w:val="24"/>
        </w:rPr>
      </w:pPr>
      <w:r>
        <w:rPr>
          <w:rFonts w:hint="eastAsia" w:ascii="宋体" w:hAnsi="宋体" w:cs="宋体"/>
          <w:sz w:val="24"/>
          <w:szCs w:val="24"/>
        </w:rPr>
        <w:t>（一）采购明细</w:t>
      </w:r>
    </w:p>
    <w:p>
      <w:pPr>
        <w:pStyle w:val="4"/>
        <w:keepLines/>
        <w:numPr>
          <w:ilvl w:val="0"/>
          <w:numId w:val="17"/>
        </w:numPr>
        <w:spacing w:line="360" w:lineRule="auto"/>
        <w:jc w:val="both"/>
        <w:rPr>
          <w:rFonts w:ascii="宋体" w:hAnsi="宋体" w:cs="宋体"/>
          <w:color w:val="000000"/>
          <w:sz w:val="24"/>
          <w:szCs w:val="24"/>
        </w:rPr>
      </w:pPr>
      <w:r>
        <w:rPr>
          <w:rFonts w:hint="eastAsia" w:ascii="宋体" w:hAnsi="宋体" w:cs="宋体"/>
          <w:color w:val="000000"/>
          <w:sz w:val="24"/>
          <w:szCs w:val="24"/>
        </w:rPr>
        <w:t>显示系统功能要求</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（1）无缝拼接：大屏幕应采用模块化拼接，不仅可以满足大尺寸无限拼接的需求，同时具备无缝拼接的显示效果，满足系统对于大尺寸无缝拼接显示的需求。</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（2）色彩要求：大屏幕拼接屏具备14BIT的自发光显色能力，保留色彩的真实性。</w:t>
      </w:r>
    </w:p>
    <w:p>
      <w:pPr>
        <w:spacing w:line="360" w:lineRule="auto"/>
        <w:ind w:firstLine="480"/>
        <w:rPr>
          <w:rFonts w:ascii="宋体" w:hAnsi="宋体" w:cs="宋体"/>
          <w:kern w:val="0"/>
          <w:sz w:val="24"/>
          <w:szCs w:val="24"/>
          <w:lang w:bidi="ar"/>
        </w:rPr>
      </w:pPr>
      <w:r>
        <w:rPr>
          <w:rFonts w:hint="eastAsia" w:ascii="宋体" w:hAnsi="宋体" w:cs="宋体"/>
          <w:color w:val="000000"/>
          <w:sz w:val="24"/>
          <w:szCs w:val="24"/>
        </w:rPr>
        <w:t>（3）逐点校正要求：大屏幕拼接屏应具备逐点校正技术，具有先进的绿色还原及肤色还原功能，能够完全适合人眼对颜色的感觉习惯，真实还原自然界的颜色。</w:t>
      </w:r>
      <w:r>
        <w:rPr>
          <w:rFonts w:hint="eastAsia" w:ascii="宋体" w:hAnsi="宋体" w:cs="宋体"/>
          <w:kern w:val="0"/>
          <w:sz w:val="24"/>
          <w:szCs w:val="24"/>
          <w:lang w:bidi="ar"/>
        </w:rPr>
        <w:t>逐点校正有多种方式，</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（4）节能降耗要求：大屏幕拼接屏应具备高能效的电能利用，屏体具有动态用电技术，使用中降低用电能耗。</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（5）安装拼接要求：大屏幕拼接屏应采用高精度单元箱体，保证单元箱体平整度不大于0.2mm；单元箱具备高精度拼接设计，易操作，实现整屏平整度不大于0.2mm。整屏便于安装及维护。</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（6）宽视角要求：大屏幕拼接屏应支持宽视角，位于屏幕左右两侧及上下方向收看到的屏幕图像仍然清晰，仍然均匀。</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（7）对比度要求：大屏幕拼接屏需具备对比度6000：1及以上。</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（8）亮度调节要求：大屏幕拼接屏应具备自动根据周围环境自动调节小间距LED无缝拼接大屏幕的整体亮度功能。</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（9）色温调节要求：大屏幕拼接屏需具备色温从2000K到10000K宽幅的色温调控范围。</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（10）刷新率要求：大屏幕拼接屏应具备</w:t>
      </w:r>
      <w:r>
        <w:rPr>
          <w:rFonts w:hint="eastAsia" w:ascii="宋体" w:hAnsi="宋体" w:cs="宋体"/>
          <w:color w:val="auto"/>
          <w:sz w:val="24"/>
          <w:szCs w:val="24"/>
        </w:rPr>
        <w:t>3840Hz。</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（11）可维护性要求：大屏幕拼接屏应具备快速维修维护能力。单个模组、接收卡及电源更换时间不大于5分钟。</w:t>
      </w:r>
    </w:p>
    <w:p>
      <w:pPr>
        <w:pStyle w:val="17"/>
        <w:spacing w:line="360" w:lineRule="auto"/>
        <w:ind w:left="480" w:hanging="480"/>
        <w:rPr>
          <w:rFonts w:ascii="宋体" w:hAnsi="宋体" w:cs="宋体"/>
          <w:sz w:val="24"/>
          <w:szCs w:val="24"/>
        </w:rPr>
      </w:pPr>
    </w:p>
    <w:p>
      <w:pPr>
        <w:pStyle w:val="4"/>
        <w:keepLines/>
        <w:numPr>
          <w:ilvl w:val="0"/>
          <w:numId w:val="17"/>
        </w:numPr>
        <w:spacing w:line="360" w:lineRule="auto"/>
        <w:jc w:val="both"/>
        <w:rPr>
          <w:rFonts w:ascii="宋体" w:hAnsi="宋体" w:cs="宋体"/>
          <w:color w:val="000000"/>
          <w:sz w:val="24"/>
          <w:szCs w:val="24"/>
        </w:rPr>
      </w:pPr>
      <w:r>
        <w:rPr>
          <w:rFonts w:hint="eastAsia" w:ascii="宋体" w:hAnsi="宋体" w:cs="宋体"/>
          <w:color w:val="000000"/>
          <w:sz w:val="24"/>
          <w:szCs w:val="24"/>
        </w:rPr>
        <w:t>裸眼3D户外全彩P6LED屏幕系统招标设备清单</w:t>
      </w:r>
    </w:p>
    <w:p>
      <w:pPr>
        <w:pStyle w:val="5"/>
        <w:keepLines/>
        <w:numPr>
          <w:ilvl w:val="0"/>
          <w:numId w:val="18"/>
        </w:numPr>
        <w:tabs>
          <w:tab w:val="left" w:pos="432"/>
        </w:tabs>
        <w:spacing w:line="360" w:lineRule="auto"/>
        <w:jc w:val="both"/>
        <w:rPr>
          <w:rFonts w:ascii="宋体" w:hAnsi="宋体" w:cs="宋体"/>
          <w:color w:val="000000"/>
          <w:sz w:val="24"/>
          <w:szCs w:val="24"/>
        </w:rPr>
      </w:pPr>
      <w:r>
        <w:rPr>
          <w:rFonts w:hint="eastAsia" w:ascii="宋体" w:hAnsi="宋体" w:cs="宋体"/>
          <w:color w:val="000000"/>
          <w:sz w:val="24"/>
          <w:szCs w:val="24"/>
        </w:rPr>
        <w:t>LED屏幕系统招标设备清单</w:t>
      </w:r>
    </w:p>
    <w:tbl>
      <w:tblPr>
        <w:tblStyle w:val="23"/>
        <w:tblW w:w="9735" w:type="dxa"/>
        <w:tblInd w:w="-306" w:type="dxa"/>
        <w:tblLayout w:type="fixed"/>
        <w:tblCellMar>
          <w:top w:w="0" w:type="dxa"/>
          <w:left w:w="108" w:type="dxa"/>
          <w:bottom w:w="0" w:type="dxa"/>
          <w:right w:w="108" w:type="dxa"/>
        </w:tblCellMar>
      </w:tblPr>
      <w:tblGrid>
        <w:gridCol w:w="690"/>
        <w:gridCol w:w="1709"/>
        <w:gridCol w:w="6466"/>
        <w:gridCol w:w="870"/>
      </w:tblGrid>
      <w:tr>
        <w:tblPrEx>
          <w:tblCellMar>
            <w:top w:w="0" w:type="dxa"/>
            <w:left w:w="108" w:type="dxa"/>
            <w:bottom w:w="0" w:type="dxa"/>
            <w:right w:w="108" w:type="dxa"/>
          </w:tblCellMar>
        </w:tblPrEx>
        <w:trPr>
          <w:trHeight w:val="308"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1709" w:type="dxa"/>
            <w:tcBorders>
              <w:top w:val="single" w:color="auto" w:sz="4" w:space="0"/>
              <w:left w:val="nil"/>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6466" w:type="dxa"/>
            <w:tcBorders>
              <w:top w:val="single" w:color="auto" w:sz="4" w:space="0"/>
              <w:left w:val="nil"/>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性能参数</w:t>
            </w:r>
          </w:p>
        </w:tc>
        <w:tc>
          <w:tcPr>
            <w:tcW w:w="870" w:type="dxa"/>
            <w:tcBorders>
              <w:top w:val="single" w:color="auto" w:sz="4" w:space="0"/>
              <w:left w:val="nil"/>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数量</w:t>
            </w:r>
          </w:p>
        </w:tc>
      </w:tr>
      <w:tr>
        <w:tblPrEx>
          <w:tblCellMar>
            <w:top w:w="0" w:type="dxa"/>
            <w:left w:w="108" w:type="dxa"/>
            <w:bottom w:w="0" w:type="dxa"/>
            <w:right w:w="108" w:type="dxa"/>
          </w:tblCellMar>
        </w:tblPrEx>
        <w:trPr>
          <w:trHeight w:val="830" w:hRule="atLeast"/>
        </w:trPr>
        <w:tc>
          <w:tcPr>
            <w:tcW w:w="690"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1709" w:type="dxa"/>
            <w:tcBorders>
              <w:top w:val="nil"/>
              <w:left w:val="nil"/>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auto"/>
                <w:sz w:val="24"/>
                <w:szCs w:val="24"/>
                <w:highlight w:val="none"/>
              </w:rPr>
              <w:t>★P6</w:t>
            </w:r>
            <w:r>
              <w:rPr>
                <w:rFonts w:hint="eastAsia" w:ascii="宋体" w:hAnsi="宋体" w:cs="宋体"/>
                <w:color w:val="000000"/>
                <w:sz w:val="24"/>
                <w:szCs w:val="24"/>
              </w:rPr>
              <w:t>户外裸眼3D LED全彩显示</w:t>
            </w:r>
          </w:p>
        </w:tc>
        <w:tc>
          <w:tcPr>
            <w:tcW w:w="6466" w:type="dxa"/>
            <w:tcBorders>
              <w:top w:val="nil"/>
              <w:left w:val="nil"/>
              <w:bottom w:val="single" w:color="auto" w:sz="4" w:space="0"/>
              <w:right w:val="single" w:color="auto" w:sz="4" w:space="0"/>
            </w:tcBorders>
            <w:shd w:val="clear" w:color="000000" w:fill="FFFFFF"/>
            <w:vAlign w:val="center"/>
          </w:tcPr>
          <w:p>
            <w:pPr>
              <w:spacing w:line="360" w:lineRule="auto"/>
            </w:pPr>
            <w:r>
              <w:rPr>
                <w:rFonts w:hint="eastAsia"/>
              </w:rPr>
              <w:t>详见招标技术参数要求：</w:t>
            </w:r>
          </w:p>
          <w:p>
            <w:pPr>
              <w:spacing w:line="360" w:lineRule="auto"/>
              <w:rPr>
                <w:rFonts w:hint="eastAsia"/>
                <w:b/>
                <w:bCs/>
              </w:rPr>
            </w:pPr>
            <w:r>
              <w:rPr>
                <w:rFonts w:hint="eastAsia" w:asciiTheme="minorEastAsia" w:hAnsiTheme="minorEastAsia" w:eastAsiaTheme="minorEastAsia" w:cstheme="minorEastAsia"/>
                <w:sz w:val="24"/>
                <w:szCs w:val="24"/>
                <w:highlight w:val="none"/>
              </w:rPr>
              <w:t>像素点间距</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6.66±0.1mm</w:t>
            </w:r>
            <w:r>
              <w:rPr>
                <w:rFonts w:hint="eastAsia"/>
              </w:rPr>
              <w:t>，净显示尺寸：宽≥8米×高≥16米，宽≥8米×高≥10米</w:t>
            </w:r>
            <w:r>
              <w:rPr>
                <w:rFonts w:hint="eastAsia"/>
                <w:lang w:val="en-US" w:eastAsia="zh-CN"/>
              </w:rPr>
              <w:t xml:space="preserve"> </w:t>
            </w:r>
            <w:r>
              <w:rPr>
                <w:rFonts w:hint="eastAsia"/>
              </w:rPr>
              <w:t>净显示面积：≥208㎡，刷新频率3840HZ。</w:t>
            </w:r>
          </w:p>
          <w:p>
            <w:pPr>
              <w:pStyle w:val="2"/>
              <w:spacing w:line="360" w:lineRule="auto"/>
              <w:rPr>
                <w:rFonts w:ascii="宋体" w:hAnsi="宋体"/>
                <w:b/>
                <w:sz w:val="24"/>
                <w:szCs w:val="24"/>
              </w:rPr>
            </w:pPr>
            <w:r>
              <w:rPr>
                <w:rFonts w:hint="eastAsia" w:ascii="宋体" w:hAnsi="宋体"/>
                <w:b/>
                <w:bCs/>
                <w:sz w:val="24"/>
                <w:szCs w:val="24"/>
              </w:rPr>
              <w:t>★必须提交所投</w:t>
            </w:r>
            <w:r>
              <w:rPr>
                <w:rFonts w:hint="eastAsia" w:ascii="宋体" w:hAnsi="宋体" w:cs="宋体"/>
                <w:b/>
                <w:bCs/>
                <w:color w:val="000000"/>
                <w:sz w:val="24"/>
                <w:szCs w:val="24"/>
              </w:rPr>
              <w:t>裸眼3D户外全彩P6LED屏幕</w:t>
            </w:r>
            <w:r>
              <w:rPr>
                <w:rFonts w:hint="eastAsia" w:ascii="宋体" w:hAnsi="宋体"/>
                <w:b/>
                <w:bCs/>
                <w:sz w:val="24"/>
                <w:szCs w:val="24"/>
              </w:rPr>
              <w:t>由</w:t>
            </w:r>
            <w:r>
              <w:rPr>
                <w:rFonts w:ascii="宋体" w:hAnsi="宋体"/>
                <w:b/>
                <w:sz w:val="24"/>
                <w:szCs w:val="24"/>
              </w:rPr>
              <w:t>国家确定的认证机构出具的、处于有效期之内的节能产品认证证书</w:t>
            </w:r>
            <w:r>
              <w:rPr>
                <w:rFonts w:hint="eastAsia" w:ascii="宋体" w:hAnsi="宋体"/>
                <w:b/>
                <w:sz w:val="24"/>
                <w:szCs w:val="24"/>
              </w:rPr>
              <w:t>，否则投标文件无效。</w:t>
            </w:r>
          </w:p>
          <w:p>
            <w:pPr>
              <w:pStyle w:val="2"/>
            </w:pPr>
          </w:p>
        </w:tc>
        <w:tc>
          <w:tcPr>
            <w:tcW w:w="870" w:type="dxa"/>
            <w:tcBorders>
              <w:top w:val="nil"/>
              <w:left w:val="nil"/>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521"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LED播控系统</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sz w:val="24"/>
                <w:szCs w:val="24"/>
              </w:rPr>
              <w:t>详见招标技术参数要求</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521"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接收卡</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20" w:lineRule="atLeast"/>
              <w:rPr>
                <w:rFonts w:ascii="宋体" w:hAnsi="宋体" w:cs="宋体"/>
                <w:sz w:val="24"/>
                <w:szCs w:val="24"/>
              </w:rPr>
            </w:pPr>
            <w:r>
              <w:rPr>
                <w:rFonts w:hint="eastAsia" w:ascii="宋体" w:hAnsi="宋体" w:cs="宋体"/>
                <w:sz w:val="24"/>
                <w:szCs w:val="24"/>
              </w:rPr>
              <w:t>•集成HUB75，无需再配转接板，更方便，成本更低；</w:t>
            </w:r>
          </w:p>
          <w:p>
            <w:pPr>
              <w:spacing w:line="220" w:lineRule="atLeast"/>
              <w:rPr>
                <w:rFonts w:ascii="宋体" w:hAnsi="宋体" w:cs="宋体"/>
                <w:sz w:val="24"/>
                <w:szCs w:val="24"/>
              </w:rPr>
            </w:pPr>
            <w:r>
              <w:rPr>
                <w:rFonts w:hint="eastAsia" w:ascii="宋体" w:hAnsi="宋体" w:cs="宋体"/>
                <w:sz w:val="24"/>
                <w:szCs w:val="24"/>
              </w:rPr>
              <w:t>•减少接插连接件，减少故障点，故障率更低；</w:t>
            </w:r>
          </w:p>
          <w:p>
            <w:pPr>
              <w:spacing w:line="220" w:lineRule="atLeast"/>
              <w:rPr>
                <w:rFonts w:ascii="宋体" w:hAnsi="宋体" w:cs="宋体"/>
                <w:sz w:val="24"/>
                <w:szCs w:val="24"/>
              </w:rPr>
            </w:pPr>
            <w:r>
              <w:rPr>
                <w:rFonts w:hint="eastAsia" w:ascii="宋体" w:hAnsi="宋体" w:cs="宋体"/>
                <w:sz w:val="24"/>
                <w:szCs w:val="24"/>
              </w:rPr>
              <w:t>•支持常规芯片实现高刷新、高灰度、高亮度；</w:t>
            </w:r>
          </w:p>
          <w:p>
            <w:pPr>
              <w:spacing w:line="220" w:lineRule="atLeast"/>
              <w:rPr>
                <w:rFonts w:ascii="宋体" w:hAnsi="宋体" w:cs="宋体"/>
                <w:sz w:val="24"/>
                <w:szCs w:val="24"/>
              </w:rPr>
            </w:pPr>
            <w:r>
              <w:rPr>
                <w:rFonts w:hint="eastAsia" w:ascii="宋体" w:hAnsi="宋体" w:cs="宋体"/>
                <w:sz w:val="24"/>
                <w:szCs w:val="24"/>
              </w:rPr>
              <w:t>•全新灰度引擎，低灰度表现更佳；</w:t>
            </w:r>
          </w:p>
          <w:p>
            <w:pPr>
              <w:spacing w:line="220" w:lineRule="atLeast"/>
              <w:rPr>
                <w:rFonts w:ascii="宋体" w:hAnsi="宋体" w:cs="宋体"/>
                <w:sz w:val="24"/>
                <w:szCs w:val="24"/>
              </w:rPr>
            </w:pPr>
            <w:r>
              <w:rPr>
                <w:rFonts w:hint="eastAsia" w:ascii="宋体" w:hAnsi="宋体" w:cs="宋体"/>
                <w:sz w:val="24"/>
                <w:szCs w:val="24"/>
              </w:rPr>
              <w:t>•细节处理更完美，可消除单元板设计引起的某行偏暗、低灰偏红、鬼影等细节问题；</w:t>
            </w:r>
          </w:p>
          <w:p>
            <w:pPr>
              <w:spacing w:line="220" w:lineRule="atLeast"/>
              <w:rPr>
                <w:rFonts w:ascii="宋体" w:hAnsi="宋体" w:cs="宋体"/>
                <w:sz w:val="24"/>
                <w:szCs w:val="24"/>
              </w:rPr>
            </w:pPr>
            <w:r>
              <w:rPr>
                <w:rFonts w:hint="eastAsia" w:ascii="宋体" w:hAnsi="宋体" w:cs="宋体"/>
                <w:sz w:val="24"/>
                <w:szCs w:val="24"/>
              </w:rPr>
              <w:t>•支持14bit精度的色度、亮度一体化逐点校正；</w:t>
            </w:r>
          </w:p>
          <w:p>
            <w:pPr>
              <w:spacing w:line="220" w:lineRule="atLeast"/>
              <w:rPr>
                <w:rFonts w:ascii="宋体" w:hAnsi="宋体" w:cs="宋体"/>
                <w:sz w:val="24"/>
                <w:szCs w:val="24"/>
              </w:rPr>
            </w:pPr>
            <w:r>
              <w:rPr>
                <w:rFonts w:hint="eastAsia" w:ascii="宋体" w:hAnsi="宋体" w:cs="宋体"/>
                <w:sz w:val="24"/>
                <w:szCs w:val="24"/>
              </w:rPr>
              <w:t>•支持所有常规芯片、PWM芯片和灯饰芯片；</w:t>
            </w:r>
          </w:p>
          <w:p>
            <w:pPr>
              <w:spacing w:line="220" w:lineRule="atLeast"/>
              <w:rPr>
                <w:rFonts w:ascii="宋体" w:hAnsi="宋体" w:cs="宋体"/>
                <w:sz w:val="24"/>
                <w:szCs w:val="24"/>
              </w:rPr>
            </w:pPr>
            <w:r>
              <w:rPr>
                <w:rFonts w:hint="eastAsia" w:ascii="宋体" w:hAnsi="宋体" w:cs="宋体"/>
                <w:sz w:val="24"/>
                <w:szCs w:val="24"/>
              </w:rPr>
              <w:t>•支持静态屏、1/2~1/64扫之间的任意扫描类型；</w:t>
            </w:r>
          </w:p>
          <w:p>
            <w:pPr>
              <w:spacing w:line="220" w:lineRule="atLeast"/>
              <w:rPr>
                <w:rFonts w:ascii="宋体" w:hAnsi="宋体" w:cs="宋体"/>
                <w:sz w:val="24"/>
                <w:szCs w:val="24"/>
              </w:rPr>
            </w:pPr>
            <w:r>
              <w:rPr>
                <w:rFonts w:hint="eastAsia" w:ascii="宋体" w:hAnsi="宋体" w:cs="宋体"/>
                <w:sz w:val="24"/>
                <w:szCs w:val="24"/>
              </w:rPr>
              <w:t>•支持任意抽点，支持数据偏移，可轻松实现各种异型屏、球形屏、创意显示屏；</w:t>
            </w:r>
          </w:p>
          <w:p>
            <w:pPr>
              <w:spacing w:line="220" w:lineRule="atLeast"/>
              <w:rPr>
                <w:rFonts w:ascii="宋体" w:hAnsi="宋体" w:cs="宋体"/>
                <w:sz w:val="24"/>
                <w:szCs w:val="24"/>
              </w:rPr>
            </w:pPr>
            <w:r>
              <w:rPr>
                <w:rFonts w:hint="eastAsia" w:ascii="宋体" w:hAnsi="宋体" w:cs="宋体"/>
                <w:sz w:val="24"/>
                <w:szCs w:val="24"/>
              </w:rPr>
              <w:t>•单卡支持16组RGB信号输出；</w:t>
            </w:r>
          </w:p>
          <w:p>
            <w:pPr>
              <w:spacing w:line="220" w:lineRule="atLeast"/>
              <w:rPr>
                <w:rFonts w:ascii="宋体" w:hAnsi="宋体" w:cs="宋体"/>
                <w:sz w:val="24"/>
                <w:szCs w:val="24"/>
              </w:rPr>
            </w:pPr>
            <w:r>
              <w:rPr>
                <w:rFonts w:hint="eastAsia" w:ascii="宋体" w:hAnsi="宋体" w:cs="宋体"/>
                <w:sz w:val="24"/>
                <w:szCs w:val="24"/>
              </w:rPr>
              <w:t>•支持超大带载面积，单卡带载128*512，256*256；</w:t>
            </w:r>
          </w:p>
          <w:p>
            <w:pPr>
              <w:spacing w:line="220" w:lineRule="atLeast"/>
              <w:rPr>
                <w:rFonts w:ascii="宋体" w:hAnsi="宋体" w:cs="宋体"/>
                <w:sz w:val="24"/>
                <w:szCs w:val="24"/>
              </w:rPr>
            </w:pPr>
            <w:r>
              <w:rPr>
                <w:rFonts w:hint="eastAsia" w:ascii="宋体" w:hAnsi="宋体" w:cs="宋体"/>
                <w:sz w:val="24"/>
                <w:szCs w:val="24"/>
              </w:rPr>
              <w:t>•先进设计，优质元器件，全自动高低温老化测试，零故障出厂；</w:t>
            </w:r>
          </w:p>
          <w:p>
            <w:pPr>
              <w:spacing w:line="220" w:lineRule="atLeast"/>
              <w:rPr>
                <w:rFonts w:ascii="宋体" w:hAnsi="宋体" w:cs="宋体"/>
                <w:color w:val="000000"/>
                <w:sz w:val="24"/>
                <w:szCs w:val="24"/>
              </w:rPr>
            </w:pPr>
            <w:r>
              <w:rPr>
                <w:rFonts w:hint="eastAsia" w:ascii="宋体" w:hAnsi="宋体" w:cs="宋体"/>
                <w:sz w:val="24"/>
                <w:szCs w:val="24"/>
              </w:rPr>
              <w:t>•支持DC 3.3V~6V超宽工作电压，有效减弱电压波动带来的影响；</w:t>
            </w:r>
            <w:r>
              <w:rPr>
                <w:rFonts w:hint="eastAsia" w:ascii="楷体" w:hAnsi="楷体" w:eastAsia="楷体"/>
              </w:rPr>
              <w:t xml:space="preserve"> </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1项</w:t>
            </w:r>
          </w:p>
        </w:tc>
      </w:tr>
      <w:tr>
        <w:tblPrEx>
          <w:tblCellMar>
            <w:top w:w="0" w:type="dxa"/>
            <w:left w:w="108" w:type="dxa"/>
            <w:bottom w:w="0" w:type="dxa"/>
            <w:right w:w="108" w:type="dxa"/>
          </w:tblCellMar>
        </w:tblPrEx>
        <w:trPr>
          <w:trHeight w:val="6195"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视频拼接器</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一款针对小间距 LED 大屏，作为集视频裁剪、视 频拼接和多画面显示等功能于一体的专业设备，可被广泛应用于指挥调度系统、电力系统运 维中心、党政机关会议中心、可视化数据中心、广播电视中心及高端舞台租赁等各种场景。采用模块化设计，并运用强大的纯硬件 FPGA 架构，不仅具有稳定高效的视 频处理能力，能提供卓越的画质显示和强大视频处理功能，还能保证系统长时间稳定运行、 不受病毒影响，支持市面常见的 HDMI、DP、SDI、DVI、VGA 和 IP 视频输入接口， 不仅支持普通的 1080P 高清输入，也支持高达 4096×2160@60Hz 分辨率的 4K 输入。 在输出方面则不仅支持千兆网口输出和万兆光纤输出，可轻松实现超大、超远的小间距 LED 屏显示，同时也可以支持 DVI、HDMI 视频输出模式方便客户按需选择。其模块化插卡式设 计，可以根据客户的需求灵活地选择配置输入输出板卡，极大地满足了不同场景的不同需求。 在控制方面，系列采用 B/S 架构，无需安装应用程序即可实现 Windows、iOS、Android 跨平台控制。</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输入输出灵活配置                                                        支持 DVI、HDMI、DP、SDI、VGA、IP 等多种输入接口                              支持 HDMI2.0、DP1.4、12G-SDI 接口，最大 4096×2160@60Hz 输入             </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支持 HDCP 协议的高带宽数字内容保护技术                                        支持千兆网口输出、万兆光纤输出、DVI 视频输出、HDMI 视频输出            </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支持预监回显板卡，可输出信号源的预览画面和设备输出的回显画面</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自由拼接丰富显示                                                        支持多窗口多图层显示、窗口漫游、自由拼接</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支持跨板卡跨接口输出，窗口跨板卡或接口不减图层</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支持输出网口任意交换，控制区域任意设置</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自定义预置模式，可以存储多个自定义场景，方便场景切换                     </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支持画面调整(色调、对比度、饱和度、亮度补偿)和精确的颜色调节            </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支持每路输入信号独立裁剪缩放和 EDID 管理</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不同平台简单控制                                                        支持 USB、RS232、局域网多种方式连接控制</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支持电脑软件、手机 APP、Web 网页跨平台控制                              支持前面板查看设备信息和控制</w:t>
            </w:r>
          </w:p>
          <w:p>
            <w:pPr>
              <w:pStyle w:val="20"/>
              <w:widowControl w:val="0"/>
              <w:numPr>
                <w:ilvl w:val="0"/>
                <w:numId w:val="19"/>
              </w:numPr>
              <w:jc w:val="left"/>
              <w:rPr>
                <w:color w:val="000000"/>
              </w:rPr>
            </w:pPr>
            <w:r>
              <w:rPr>
                <w:rFonts w:hint="eastAsia" w:asciiTheme="minorEastAsia" w:hAnsiTheme="minorEastAsia" w:eastAsiaTheme="minorEastAsia" w:cstheme="minorEastAsia"/>
              </w:rPr>
              <w:t>多重备份稳定可靠                                                           支持设备自检及在线硬件监测</w:t>
            </w:r>
          </w:p>
          <w:p>
            <w:pPr>
              <w:pStyle w:val="20"/>
              <w:widowControl w:val="0"/>
              <w:numPr>
                <w:ilvl w:val="0"/>
                <w:numId w:val="19"/>
              </w:numPr>
              <w:jc w:val="left"/>
              <w:rPr>
                <w:color w:val="000000"/>
              </w:rPr>
            </w:pPr>
            <w:r>
              <w:rPr>
                <w:rFonts w:hint="eastAsia" w:asciiTheme="minorEastAsia" w:hAnsiTheme="minorEastAsia" w:eastAsiaTheme="minorEastAsia" w:cstheme="minorEastAsia"/>
              </w:rPr>
              <w:t xml:space="preserve">支持双电源备份、输出信号冗余备份 </w:t>
            </w:r>
            <w:r>
              <w:rPr>
                <w:rFonts w:hint="eastAsia" w:asciiTheme="minorEastAsia" w:hAnsiTheme="minorEastAsia" w:eastAsiaTheme="minorEastAsia" w:cstheme="minorEastAsia"/>
              </w:rPr>
              <w:sym w:font="Symbol" w:char="F06C"/>
            </w:r>
            <w:r>
              <w:rPr>
                <w:rFonts w:hint="eastAsia" w:asciiTheme="minorEastAsia" w:hAnsiTheme="minorEastAsia" w:eastAsiaTheme="minorEastAsia" w:cstheme="minorEastAsia"/>
              </w:rPr>
              <w:t xml:space="preserve"> 支持温度报警、断线提醒、电源监控等                                                                            </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806"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6</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智能配电箱</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left"/>
              <w:rPr>
                <w:rFonts w:ascii="宋体" w:hAnsi="宋体" w:cs="宋体"/>
                <w:color w:val="000000"/>
                <w:sz w:val="24"/>
                <w:szCs w:val="24"/>
              </w:rPr>
            </w:pPr>
            <w:r>
              <w:rPr>
                <w:rFonts w:hint="eastAsia" w:ascii="宋体" w:hAnsi="宋体" w:cs="宋体"/>
                <w:color w:val="000000"/>
                <w:sz w:val="24"/>
                <w:szCs w:val="24"/>
              </w:rPr>
              <w:t>标准配电柜（大于屏幕最大功率），配电柜具有电源过压、过流、断电保护、分布上电措施等功能</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521"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7</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多功能控制系统</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要求具备智能远程控制开关，远程故障报警，远程开关屏等功能</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8</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钢结构支架</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支架安装结构能满足整体均匀平滑要求，结构便于安装和调试；支架颜色、质感、支撑结构同大厅的整体风格一致，应根据现场实际情况及时调整，满足工作需要；支架采用优质冷轧钢板，表面采用酸洗、磷化、静电喷塑工艺，具有足够的静态与动态机械强度和刚度；确保支架受力均匀，长期使用支架变形容许值≤3mm。</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1项</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9</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备品备件</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原厂同批次5块显示模组，电源5块，接收卡5张</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1项</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sz w:val="24"/>
                <w:szCs w:val="24"/>
              </w:rPr>
            </w:pPr>
            <w:r>
              <w:rPr>
                <w:rFonts w:hint="eastAsia" w:ascii="宋体" w:hAnsi="宋体" w:cs="宋体"/>
                <w:sz w:val="24"/>
                <w:szCs w:val="24"/>
              </w:rPr>
              <w:t>布线工程</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sz w:val="24"/>
                <w:szCs w:val="24"/>
              </w:rPr>
            </w:pPr>
            <w:r>
              <w:rPr>
                <w:rFonts w:hint="eastAsia" w:ascii="宋体" w:hAnsi="宋体" w:cs="宋体"/>
                <w:sz w:val="24"/>
                <w:szCs w:val="24"/>
              </w:rPr>
              <w:t>总电闸（取电接入点）到配电箱，现场勘测确定，最远取电点距离预估500米。满足LED屏供电需求的3+2铜电缆。</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sz w:val="24"/>
                <w:szCs w:val="24"/>
              </w:rPr>
            </w:pPr>
            <w:r>
              <w:rPr>
                <w:rFonts w:hint="eastAsia" w:ascii="宋体" w:hAnsi="宋体" w:cs="宋体"/>
                <w:sz w:val="24"/>
                <w:szCs w:val="24"/>
              </w:rPr>
              <w:t>装饰恢复</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sz w:val="24"/>
                <w:szCs w:val="24"/>
              </w:rPr>
            </w:pPr>
            <w:r>
              <w:rPr>
                <w:rFonts w:hint="eastAsia" w:ascii="宋体" w:hAnsi="宋体" w:cs="宋体"/>
                <w:sz w:val="24"/>
                <w:szCs w:val="24"/>
              </w:rPr>
              <w:t>原有装饰拆除，以及新装饰恢复</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13</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质保服务</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全系统提供3年质保</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1项</w:t>
            </w:r>
          </w:p>
        </w:tc>
      </w:tr>
    </w:tbl>
    <w:p>
      <w:pPr>
        <w:pStyle w:val="22"/>
        <w:spacing w:after="0" w:line="360" w:lineRule="auto"/>
        <w:ind w:left="0" w:leftChars="0" w:firstLine="0" w:firstLineChars="0"/>
        <w:rPr>
          <w:rFonts w:ascii="宋体" w:hAnsi="宋体" w:cs="宋体"/>
          <w:color w:val="000000"/>
          <w:sz w:val="24"/>
          <w:szCs w:val="24"/>
        </w:rPr>
      </w:pPr>
    </w:p>
    <w:p>
      <w:pPr>
        <w:pStyle w:val="4"/>
        <w:keepLines/>
        <w:numPr>
          <w:ilvl w:val="0"/>
          <w:numId w:val="17"/>
        </w:numPr>
        <w:spacing w:line="360" w:lineRule="auto"/>
        <w:jc w:val="both"/>
        <w:rPr>
          <w:rFonts w:ascii="宋体" w:hAnsi="宋体" w:cs="宋体"/>
          <w:color w:val="000000"/>
          <w:sz w:val="24"/>
          <w:szCs w:val="24"/>
        </w:rPr>
      </w:pPr>
      <w:r>
        <w:rPr>
          <w:rFonts w:hint="eastAsia" w:ascii="宋体" w:hAnsi="宋体" w:cs="宋体"/>
          <w:color w:val="000000"/>
          <w:sz w:val="24"/>
          <w:szCs w:val="24"/>
        </w:rPr>
        <w:t>具体招标技术参数要求</w:t>
      </w:r>
    </w:p>
    <w:p>
      <w:pPr>
        <w:pStyle w:val="5"/>
        <w:keepLines/>
        <w:numPr>
          <w:ilvl w:val="0"/>
          <w:numId w:val="20"/>
        </w:numPr>
        <w:tabs>
          <w:tab w:val="left" w:pos="432"/>
        </w:tabs>
        <w:spacing w:line="360" w:lineRule="auto"/>
        <w:jc w:val="both"/>
        <w:rPr>
          <w:rFonts w:ascii="宋体" w:hAnsi="宋体" w:cs="宋体"/>
          <w:color w:val="000000"/>
          <w:sz w:val="24"/>
          <w:szCs w:val="24"/>
        </w:rPr>
      </w:pPr>
      <w:r>
        <w:rPr>
          <w:rFonts w:hint="eastAsia" w:ascii="宋体" w:hAnsi="宋体" w:cs="宋体"/>
          <w:color w:val="000000"/>
          <w:sz w:val="24"/>
          <w:szCs w:val="24"/>
        </w:rPr>
        <w:t>LED全彩显示屏招标技术参数</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像素</w:t>
      </w:r>
      <w:r>
        <w:rPr>
          <w:rFonts w:hint="eastAsia" w:asciiTheme="minorEastAsia" w:hAnsiTheme="minorEastAsia" w:eastAsiaTheme="minorEastAsia" w:cstheme="minorEastAsia"/>
          <w:sz w:val="24"/>
          <w:szCs w:val="24"/>
        </w:rPr>
        <w:t>构成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1R、1G、1B、像素密度单元大小为320mm×160mm的像素密度</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整屏平整度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≤0.2mm，模组平整度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≤0.08mm、拼接缝≤0.08mm</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调节软件设置项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支持鬼影消除、首行暗亮消除、低灰偏色补偿、低灰均匀性、低灰横条纹消除、慢速开启、十字架消除、去坏点、毛毛虫消除、余辉消除、亮度缓慢变亮功能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亮度≥4500Cd/m²，22、亮度均匀性</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≥98%</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★色温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1000-18000K</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水平视角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≥170°31、垂直视角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≥170°32、对比度≥10000：1</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校正功能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具有单点亮度/颜色校正功能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亮暗线调整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采用高端芯片，可去除亮、暗线，可从软、硬件两方面彻底改善LED安装精度造成的亮、暗线问题</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图像处理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具备视频降噪、运动补偿、色彩变化等图像处理功能。支持软件实现不同亮度情况下，灰度8-16bit任意设置；0-100%亮度时，8-16bit任意灰度设置。支持100%亮度时，16bit灰度；20%亮度时，12bit灰度。</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图像补偿</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具备视频降噪、运动补偿、色彩变换等图像处理功能；具有亮度/对比度/色度调节/视觉修正等图像调整功能；LED显示屏图像无失真现象。</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图像质量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LED显示屏图像质量主观评价优、支持4K超清技术、HDR高动态光照渲染技术；符合LED显示屏绿色健康分级认证技术</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数据备份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数据记忆储存于LED显示模块箱体中，更换箱体设备时，无需重新设定参数</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失真效果检测 显示画面无几何畸变、扭曲、比例失调情况，无亮度、色温非线性失真。</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★自检技术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可实现LED单点检测，通讯检测、温度检测、电源检测、温度监控等功能。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★SELV电路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具备SELV电路</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温度检测功能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具有多点测温系统、通讯检测、电源检测、可实现远程监督控制，对可能发生的潜在故障记录日志，并向操作员发出警报信息</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★智能节能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产品采用高端芯片，可智能调节正常工作与睡眠状态下的节能效果（动态节能，智能息屏）</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热插拔</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LED显示屏支持工作状态下热插拔维护功能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显示功能特性</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LED显示屏应有图文显示、动画和可放映视频信息功能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防护性能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具有防静电、防电磁干扰、防腐蚀、防虫、防潮、抗震动、抗雷击等功能；具有电源过压、过流、断电保护、分布上电措施、防护等级达到IP50</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连续工作时间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连续工作时间：≥7×24hrs，支持连续不间断显示</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★平均无故障时间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MTBF平均无故障时间≥20000h；MTTR平均修复时间≤20分钟</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自动gamma设置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支持自动GAMMA校正技术，16bit自动调节，通过构造非线性校正曲线和色坐标变换系数矩阵实现了显示效果的不断改善，各项重要指标如彩色还原性、色温调节范围、亮度均匀性、色度均匀性、刷新率、换帧频率等，均符合广电级标准</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光生物安全检测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无危害类：8h（30000s）曝辐中不造成光化学紫外危害（ES），并在16min（1000s）内不造成近紫外危害（EUVA），并在2.8h（10000s）内不造成对视网膜蓝光危害（LB）并在10s内不造成对视网膜热危害（LR），且在1000s内不造成对眼睛的红外辐射危害（EIR）</w:t>
      </w:r>
    </w:p>
    <w:p>
      <w:pPr>
        <w:pStyle w:val="5"/>
        <w:keepLines/>
        <w:numPr>
          <w:ilvl w:val="0"/>
          <w:numId w:val="20"/>
        </w:numPr>
        <w:tabs>
          <w:tab w:val="left" w:pos="432"/>
        </w:tabs>
        <w:spacing w:line="360" w:lineRule="auto"/>
        <w:jc w:val="both"/>
        <w:rPr>
          <w:rFonts w:ascii="宋体" w:hAnsi="宋体" w:cs="宋体"/>
          <w:color w:val="000000"/>
          <w:sz w:val="24"/>
          <w:szCs w:val="24"/>
          <w:highlight w:val="none"/>
        </w:rPr>
      </w:pPr>
      <w:r>
        <w:rPr>
          <w:rFonts w:hint="eastAsia" w:ascii="宋体" w:hAnsi="宋体" w:cs="宋体"/>
          <w:color w:val="000000"/>
          <w:sz w:val="24"/>
          <w:szCs w:val="24"/>
          <w:highlight w:val="none"/>
        </w:rPr>
        <w:t>视频拼接器技术参数要求</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符合1S0/IEC 17025: 2005《检测和校准实验室能力的通用要求》 (CNAS-CL01《检测和校准实验室能力认可准则》)的要求； </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支持轮出画质调整，包括0-100亮度自由调节、对比度、 饱和度、 色调 、亮度补偿、 gamma等，测试画面调整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结合现场环境便于测试调节。采用工业级的冗余电源杖组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模组稳定可靠，不间断工作16万小时以上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低</w:t>
      </w:r>
      <w:r>
        <w:rPr>
          <w:rFonts w:hint="eastAsia" w:asciiTheme="minorEastAsia" w:hAnsiTheme="minorEastAsia" w:eastAsiaTheme="minorEastAsia" w:cstheme="minorEastAsia"/>
          <w:sz w:val="24"/>
          <w:szCs w:val="24"/>
          <w:lang w:val="en-US" w:eastAsia="zh-CN"/>
        </w:rPr>
        <w:t>噪音</w:t>
      </w:r>
      <w:r>
        <w:rPr>
          <w:rFonts w:hint="eastAsia" w:asciiTheme="minorEastAsia" w:hAnsiTheme="minorEastAsia" w:eastAsiaTheme="minorEastAsia" w:cstheme="minorEastAsia"/>
          <w:sz w:val="24"/>
          <w:szCs w:val="24"/>
        </w:rPr>
        <w:t>风扇散热系统(设备运行</w:t>
      </w:r>
      <w:r>
        <w:rPr>
          <w:rFonts w:hint="eastAsia" w:asciiTheme="minorEastAsia" w:hAnsiTheme="minorEastAsia" w:eastAsiaTheme="minorEastAsia" w:cstheme="minorEastAsia"/>
          <w:sz w:val="24"/>
          <w:szCs w:val="24"/>
          <w:lang w:val="en-US" w:eastAsia="zh-CN"/>
        </w:rPr>
        <w:t>噪</w:t>
      </w:r>
      <w:r>
        <w:rPr>
          <w:rFonts w:hint="eastAsia" w:asciiTheme="minorEastAsia" w:hAnsiTheme="minorEastAsia" w:eastAsiaTheme="minorEastAsia" w:cstheme="minorEastAsia"/>
          <w:sz w:val="24"/>
          <w:szCs w:val="24"/>
        </w:rPr>
        <w:t>音小于45dB),屏前1术正常工作状态下的</w:t>
      </w:r>
      <w:r>
        <w:rPr>
          <w:rFonts w:hint="eastAsia" w:asciiTheme="minorEastAsia" w:hAnsiTheme="minorEastAsia" w:eastAsiaTheme="minorEastAsia" w:cstheme="minorEastAsia"/>
          <w:sz w:val="24"/>
          <w:szCs w:val="24"/>
          <w:lang w:val="en-US" w:eastAsia="zh-CN"/>
        </w:rPr>
        <w:t>噪</w:t>
      </w:r>
      <w:r>
        <w:rPr>
          <w:rFonts w:hint="eastAsia" w:asciiTheme="minorEastAsia" w:hAnsiTheme="minorEastAsia" w:eastAsiaTheme="minorEastAsia" w:cstheme="minorEastAsia"/>
          <w:sz w:val="24"/>
          <w:szCs w:val="24"/>
        </w:rPr>
        <w:t>声测量 值≤25dB(A),适应于各种对</w:t>
      </w:r>
      <w:r>
        <w:rPr>
          <w:rFonts w:hint="eastAsia" w:asciiTheme="minorEastAsia" w:hAnsiTheme="minorEastAsia" w:eastAsiaTheme="minorEastAsia" w:cstheme="minorEastAsia"/>
          <w:sz w:val="24"/>
          <w:szCs w:val="24"/>
          <w:lang w:val="en-US" w:eastAsia="zh-CN"/>
        </w:rPr>
        <w:t>噪</w:t>
      </w:r>
      <w:r>
        <w:rPr>
          <w:rFonts w:hint="eastAsia" w:asciiTheme="minorEastAsia" w:hAnsiTheme="minorEastAsia" w:eastAsiaTheme="minorEastAsia" w:cstheme="minorEastAsia"/>
          <w:sz w:val="24"/>
          <w:szCs w:val="24"/>
        </w:rPr>
        <w:t>声控制严苛的会议或其它场所。</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设备在-20°C低温和60°C高温环境中进行工作测试和储存)、则试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外观和功能无异常。设备在10%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90%的湿度环境下进行工作测试和储存刹试，外观和功能无异常 ；</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配置备份和恢复，备份信息可下载保存备份，断电记忆功能，无需担心配置丢失； </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最大支持32 (16X2) 个轮入源、真4K(3840*2160@60Hz, RGB4:4:4,8bit, 10bit)分辨确保画面流畅，最大支持64KK点对点，提供无与伦比的HDR显示体验(结合发送卡)。</w:t>
      </w:r>
    </w:p>
    <w:p>
      <w:pPr>
        <w:spacing w:line="360" w:lineRule="auto"/>
        <w:outlineLvl w:val="1"/>
        <w:rPr>
          <w:rFonts w:ascii="黑体" w:hAnsi="宋体" w:eastAsia="黑体"/>
          <w:bCs/>
          <w:sz w:val="24"/>
          <w:szCs w:val="24"/>
        </w:rPr>
      </w:pPr>
      <w:r>
        <w:rPr>
          <w:rFonts w:hint="eastAsia" w:ascii="黑体" w:hAnsi="宋体" w:eastAsia="黑体"/>
          <w:bCs/>
          <w:sz w:val="24"/>
          <w:szCs w:val="24"/>
        </w:rPr>
        <w:t>（二）有关说明：</w:t>
      </w:r>
      <w:r>
        <w:rPr>
          <w:rFonts w:ascii="黑体" w:hAnsi="宋体" w:eastAsia="黑体"/>
          <w:bCs/>
          <w:sz w:val="24"/>
          <w:szCs w:val="24"/>
        </w:rPr>
        <w:t xml:space="preserve"> </w:t>
      </w:r>
    </w:p>
    <w:p>
      <w:pPr>
        <w:numPr>
          <w:ilvl w:val="1"/>
          <w:numId w:val="22"/>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投标总报价包括满足本项目要求的所有产品及其配件、包装、运杂、安装调试及售后服务等从项目中标起到项目正式交付以及质保期内所发生的一切费用。</w:t>
      </w:r>
    </w:p>
    <w:p>
      <w:pPr>
        <w:numPr>
          <w:ilvl w:val="1"/>
          <w:numId w:val="22"/>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通过中国海关报关验放进入中国境内且产自关境外的产品不在本项目的报价范围。</w:t>
      </w:r>
    </w:p>
    <w:p>
      <w:pPr>
        <w:numPr>
          <w:ilvl w:val="1"/>
          <w:numId w:val="22"/>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本项目中有信息安全产品的，必须选择经国家认证的信息安全产品，并提供由中国信息安全认证中心颁发的有效认证证书复印件。</w:t>
      </w:r>
    </w:p>
    <w:p>
      <w:pPr>
        <w:numPr>
          <w:ilvl w:val="1"/>
          <w:numId w:val="22"/>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依据财政部、发展改革委发布的《节能产品政府采购品目清单》，本项目中有政府强制采购节能产品的</w:t>
      </w:r>
      <w:r>
        <w:rPr>
          <w:rFonts w:ascii="宋体" w:hAnsi="宋体" w:cs="宋体"/>
          <w:sz w:val="24"/>
          <w:szCs w:val="24"/>
        </w:rPr>
        <w:t>，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numPr>
          <w:ilvl w:val="1"/>
          <w:numId w:val="22"/>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投标人必须在满足招标文件要求的基础上进行报价，如有技术偏离请于投标偏离表中说明。</w:t>
      </w:r>
    </w:p>
    <w:p>
      <w:pPr>
        <w:numPr>
          <w:ilvl w:val="1"/>
          <w:numId w:val="22"/>
        </w:numPr>
        <w:tabs>
          <w:tab w:val="left" w:pos="525"/>
          <w:tab w:val="left" w:pos="945"/>
          <w:tab w:val="clear" w:pos="360"/>
        </w:tabs>
        <w:spacing w:line="360" w:lineRule="auto"/>
        <w:ind w:left="0" w:firstLine="525"/>
        <w:rPr>
          <w:bCs/>
          <w:color w:val="000000"/>
          <w:sz w:val="24"/>
          <w:szCs w:val="24"/>
        </w:rPr>
      </w:pPr>
      <w:r>
        <w:rPr>
          <w:rFonts w:hint="eastAsia" w:ascii="宋体" w:hAnsi="宋体"/>
          <w:bCs/>
          <w:sz w:val="24"/>
          <w:szCs w:val="24"/>
        </w:rPr>
        <w:t>质保期：</w:t>
      </w:r>
      <w:r>
        <w:rPr>
          <w:rFonts w:hint="eastAsia" w:hAnsi="宋体"/>
          <w:bCs/>
          <w:sz w:val="24"/>
          <w:szCs w:val="24"/>
        </w:rPr>
        <w:t>提供</w:t>
      </w:r>
      <w:r>
        <w:rPr>
          <w:rFonts w:hint="eastAsia" w:cs="宋体"/>
          <w:sz w:val="24"/>
          <w:szCs w:val="28"/>
        </w:rPr>
        <w:t>整体</w:t>
      </w:r>
      <w:r>
        <w:rPr>
          <w:rFonts w:hint="eastAsia" w:cs="宋体"/>
          <w:sz w:val="24"/>
          <w:szCs w:val="28"/>
          <w:lang w:val="en-US" w:eastAsia="zh-CN"/>
        </w:rPr>
        <w:t>三</w:t>
      </w:r>
      <w:r>
        <w:rPr>
          <w:rFonts w:hint="eastAsia" w:cs="宋体"/>
          <w:sz w:val="24"/>
          <w:szCs w:val="28"/>
        </w:rPr>
        <w:t>年免费上门质保服务（包括但不限于人工、软（硬）件维修和备件等所有费用）</w:t>
      </w:r>
      <w:r>
        <w:rPr>
          <w:rFonts w:hint="eastAsia" w:hAnsi="宋体"/>
          <w:bCs/>
          <w:sz w:val="24"/>
          <w:szCs w:val="24"/>
        </w:rPr>
        <w:t>。</w:t>
      </w:r>
      <w:r>
        <w:rPr>
          <w:rFonts w:hint="eastAsia" w:hAnsi="宋体"/>
          <w:bCs/>
          <w:color w:val="000000"/>
          <w:sz w:val="24"/>
          <w:szCs w:val="24"/>
        </w:rPr>
        <w:t>故障</w:t>
      </w:r>
      <w:r>
        <w:rPr>
          <w:rFonts w:hint="eastAsia"/>
          <w:bCs/>
          <w:color w:val="000000"/>
          <w:sz w:val="24"/>
          <w:szCs w:val="24"/>
        </w:rPr>
        <w:t>响应时间：在免费</w:t>
      </w:r>
      <w:r>
        <w:rPr>
          <w:rFonts w:hint="eastAsia" w:hAnsi="宋体"/>
          <w:bCs/>
          <w:color w:val="000000"/>
          <w:sz w:val="24"/>
          <w:szCs w:val="24"/>
        </w:rPr>
        <w:t>质保期</w:t>
      </w:r>
      <w:r>
        <w:rPr>
          <w:rFonts w:hint="eastAsia"/>
          <w:bCs/>
          <w:color w:val="000000"/>
          <w:sz w:val="24"/>
          <w:szCs w:val="24"/>
        </w:rPr>
        <w:t>内，一旦系统无法正常工作，中标供应商需在接到电话通知4小时内赶到现场，8小时内恢复设备运行；如中标供应商在接到通知后12小时内没有答复或处理问题，则视为其承认质量问题并承担由此发生的一切责任。</w:t>
      </w:r>
      <w:r>
        <w:rPr>
          <w:rFonts w:hint="eastAsia"/>
          <w:bCs/>
          <w:sz w:val="24"/>
          <w:szCs w:val="24"/>
        </w:rPr>
        <w:t>免费质保期结束后，中标供应商仍应负责提供终身维修服务，按市场价收取配件费。</w:t>
      </w:r>
    </w:p>
    <w:p>
      <w:pPr>
        <w:numPr>
          <w:ilvl w:val="1"/>
          <w:numId w:val="22"/>
        </w:numPr>
        <w:tabs>
          <w:tab w:val="left" w:pos="525"/>
          <w:tab w:val="left" w:pos="945"/>
        </w:tabs>
        <w:spacing w:line="460" w:lineRule="exact"/>
        <w:ind w:left="0" w:firstLine="527"/>
        <w:rPr>
          <w:rFonts w:ascii="宋体" w:hAnsi="宋体"/>
          <w:bCs/>
          <w:sz w:val="24"/>
          <w:szCs w:val="24"/>
        </w:rPr>
      </w:pPr>
      <w:r>
        <w:rPr>
          <w:rFonts w:ascii="宋体" w:hAnsi="宋体"/>
          <w:bCs/>
          <w:sz w:val="24"/>
          <w:szCs w:val="24"/>
        </w:rPr>
        <w:t>完工期：</w:t>
      </w:r>
      <w:r>
        <w:rPr>
          <w:rFonts w:hint="eastAsia" w:hAnsi="宋体"/>
          <w:bCs/>
          <w:sz w:val="24"/>
          <w:szCs w:val="24"/>
        </w:rPr>
        <w:t>合同签订生效后20个日历天内安装调试完毕</w:t>
      </w:r>
      <w:r>
        <w:rPr>
          <w:rFonts w:hint="eastAsia" w:ascii="宋体" w:hAnsi="宋体"/>
          <w:bCs/>
          <w:sz w:val="24"/>
          <w:szCs w:val="24"/>
        </w:rPr>
        <w:t>。</w:t>
      </w:r>
    </w:p>
    <w:p>
      <w:pPr>
        <w:numPr>
          <w:ilvl w:val="1"/>
          <w:numId w:val="22"/>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本项目合同履行地点为无锡市，</w:t>
      </w:r>
      <w:r>
        <w:rPr>
          <w:rFonts w:hint="eastAsia"/>
          <w:color w:val="000000"/>
          <w:sz w:val="24"/>
          <w:szCs w:val="24"/>
          <w:lang w:eastAsia="zh-Hans"/>
        </w:rPr>
        <w:t>具体地点以合同书约定为准</w:t>
      </w:r>
      <w:r>
        <w:rPr>
          <w:rFonts w:hint="eastAsia"/>
          <w:color w:val="000000"/>
          <w:sz w:val="24"/>
          <w:szCs w:val="24"/>
        </w:rPr>
        <w:t>。</w:t>
      </w:r>
    </w:p>
    <w:p>
      <w:pPr>
        <w:numPr>
          <w:ilvl w:val="1"/>
          <w:numId w:val="22"/>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付款方式：双方合</w:t>
      </w:r>
      <w:r>
        <w:rPr>
          <w:rFonts w:hint="eastAsia" w:ascii="宋体" w:hAnsi="宋体"/>
          <w:bCs/>
          <w:sz w:val="24"/>
          <w:szCs w:val="24"/>
          <w:highlight w:val="none"/>
        </w:rPr>
        <w:t>同签订生效后预付30%，中标供应商组织生产模块，现场钢架焊接，显示屏箱体现场安装后支付50%。内部接线</w:t>
      </w:r>
      <w:r>
        <w:rPr>
          <w:rFonts w:hint="eastAsia" w:ascii="宋体" w:hAnsi="宋体"/>
          <w:bCs/>
          <w:sz w:val="24"/>
          <w:szCs w:val="24"/>
          <w:highlight w:val="none"/>
          <w:lang w:eastAsia="zh-CN"/>
        </w:rPr>
        <w:t>、</w:t>
      </w:r>
      <w:r>
        <w:rPr>
          <w:rFonts w:hint="eastAsia" w:ascii="宋体" w:hAnsi="宋体"/>
          <w:bCs/>
          <w:sz w:val="24"/>
          <w:szCs w:val="24"/>
          <w:highlight w:val="none"/>
        </w:rPr>
        <w:t>显示屏</w:t>
      </w:r>
      <w:r>
        <w:rPr>
          <w:rFonts w:hint="eastAsia" w:ascii="宋体" w:hAnsi="宋体"/>
          <w:bCs/>
          <w:sz w:val="24"/>
          <w:szCs w:val="24"/>
        </w:rPr>
        <w:t>设备安装调试结束，验收合格，审计结算完成，支付15%。余款5%</w:t>
      </w:r>
      <w:r>
        <w:rPr>
          <w:rFonts w:hint="eastAsia" w:ascii="宋体" w:hAnsi="宋体"/>
          <w:bCs/>
          <w:sz w:val="24"/>
          <w:szCs w:val="24"/>
          <w:lang w:eastAsia="zh-CN"/>
        </w:rPr>
        <w:t>，</w:t>
      </w:r>
      <w:r>
        <w:rPr>
          <w:rFonts w:hint="eastAsia" w:ascii="宋体" w:hAnsi="宋体"/>
          <w:bCs/>
          <w:sz w:val="24"/>
          <w:szCs w:val="24"/>
        </w:rPr>
        <w:t>1年后付清。</w:t>
      </w:r>
    </w:p>
    <w:p>
      <w:pPr>
        <w:numPr>
          <w:ilvl w:val="1"/>
          <w:numId w:val="22"/>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numPr>
          <w:ilvl w:val="1"/>
          <w:numId w:val="22"/>
        </w:numPr>
        <w:tabs>
          <w:tab w:val="left" w:pos="525"/>
          <w:tab w:val="left" w:pos="630"/>
          <w:tab w:val="left" w:pos="735"/>
          <w:tab w:val="left" w:pos="945"/>
        </w:tabs>
        <w:spacing w:line="360" w:lineRule="auto"/>
        <w:ind w:left="0" w:firstLine="525"/>
        <w:rPr>
          <w:rFonts w:ascii="宋体" w:hAnsi="宋体"/>
          <w:bCs/>
          <w:sz w:val="24"/>
          <w:szCs w:val="24"/>
        </w:rPr>
      </w:pPr>
      <w:r>
        <w:rPr>
          <w:rFonts w:hint="eastAsia" w:ascii="宋体" w:hAnsi="宋体"/>
          <w:bCs/>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中标、成交供应商可根据自身情况，自行决定是否选择采用合同融资形式，在无锡政府采购网——政采贷专栏提供的银行名录内自主选择合作银行。</w:t>
      </w:r>
    </w:p>
    <w:p>
      <w:pPr>
        <w:numPr>
          <w:ilvl w:val="1"/>
          <w:numId w:val="22"/>
        </w:numPr>
        <w:tabs>
          <w:tab w:val="left" w:pos="525"/>
          <w:tab w:val="left" w:pos="630"/>
          <w:tab w:val="left" w:pos="735"/>
          <w:tab w:val="left" w:pos="945"/>
        </w:tabs>
        <w:spacing w:line="360" w:lineRule="auto"/>
        <w:ind w:left="0" w:firstLine="525"/>
        <w:rPr>
          <w:rFonts w:ascii="宋体" w:hAnsi="宋体"/>
          <w:bCs/>
          <w:sz w:val="24"/>
          <w:szCs w:val="22"/>
        </w:rPr>
      </w:pPr>
      <w:r>
        <w:rPr>
          <w:rFonts w:hint="eastAsia" w:ascii="宋体" w:hAnsi="宋体"/>
          <w:bCs/>
          <w:sz w:val="24"/>
          <w:szCs w:val="22"/>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22"/>
        </w:numPr>
        <w:tabs>
          <w:tab w:val="left" w:pos="525"/>
          <w:tab w:val="left" w:pos="945"/>
        </w:tabs>
        <w:spacing w:line="460" w:lineRule="exact"/>
        <w:ind w:left="0" w:firstLine="527"/>
        <w:rPr>
          <w:rFonts w:ascii="宋体"/>
          <w:color w:val="000000" w:themeColor="text1"/>
          <w:kern w:val="0"/>
          <w:sz w:val="24"/>
          <w:szCs w:val="24"/>
          <w:u w:color="000000"/>
          <w14:textFill>
            <w14:solidFill>
              <w14:schemeClr w14:val="tx1"/>
            </w14:solidFill>
          </w14:textFill>
        </w:rPr>
      </w:pPr>
      <w:r>
        <w:rPr>
          <w:rFonts w:hint="eastAsia" w:ascii="宋体" w:hAnsi="宋体"/>
          <w:bCs/>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22"/>
        </w:numPr>
        <w:tabs>
          <w:tab w:val="left" w:pos="525"/>
          <w:tab w:val="left" w:pos="630"/>
          <w:tab w:val="left" w:pos="735"/>
          <w:tab w:val="left" w:pos="945"/>
        </w:tabs>
        <w:spacing w:line="360" w:lineRule="auto"/>
        <w:ind w:left="0" w:firstLine="525"/>
        <w:rPr>
          <w:rFonts w:hint="eastAsia" w:ascii="宋体" w:hAnsi="宋体"/>
          <w:bCs/>
          <w:sz w:val="24"/>
        </w:rPr>
      </w:pPr>
      <w:r>
        <w:rPr>
          <w:rFonts w:hint="eastAsia" w:ascii="宋体" w:hAnsi="宋体"/>
          <w:bCs/>
          <w:sz w:val="24"/>
        </w:rPr>
        <w:t>依据《政府采购促进中小企业发展管理办法》规定享受扶持政策获得政府采购合同的，小微企业不得将合同分包给大中型企业，中型企业不得将合同分包给大型企业。</w:t>
      </w:r>
    </w:p>
    <w:p>
      <w:pPr>
        <w:numPr>
          <w:ilvl w:val="1"/>
          <w:numId w:val="22"/>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pStyle w:val="2"/>
      </w:pPr>
    </w:p>
    <w:p>
      <w:pPr>
        <w:spacing w:line="360" w:lineRule="auto"/>
        <w:jc w:val="center"/>
        <w:rPr>
          <w:rFonts w:hint="eastAsia" w:ascii="黑体" w:eastAsia="黑体"/>
          <w:bCs/>
          <w:color w:val="000000" w:themeColor="text1"/>
          <w:sz w:val="28"/>
          <w:szCs w:val="28"/>
          <w14:textFill>
            <w14:solidFill>
              <w14:schemeClr w14:val="tx1"/>
            </w14:solidFill>
          </w14:textFill>
        </w:rPr>
      </w:pPr>
    </w:p>
    <w:p>
      <w:pPr>
        <w:pStyle w:val="2"/>
        <w:rPr>
          <w:rFonts w:hint="eastAsia"/>
        </w:rPr>
      </w:pPr>
    </w:p>
    <w:p>
      <w:pPr>
        <w:pStyle w:val="2"/>
        <w:rPr>
          <w:rFonts w:hint="eastAsia"/>
        </w:rPr>
      </w:pPr>
    </w:p>
    <w:p>
      <w:pPr>
        <w:pStyle w:val="2"/>
        <w:rPr>
          <w:rFonts w:hint="eastAsia"/>
        </w:rPr>
      </w:pPr>
    </w:p>
    <w:p>
      <w:pPr>
        <w:spacing w:line="360" w:lineRule="auto"/>
        <w:jc w:val="center"/>
        <w:rPr>
          <w:rFonts w:ascii="黑体" w:hAnsi="宋体" w:eastAsia="黑体"/>
          <w:b/>
          <w:color w:val="000000"/>
          <w:sz w:val="28"/>
          <w:szCs w:val="28"/>
        </w:rPr>
      </w:pPr>
      <w:r>
        <w:rPr>
          <w:rFonts w:hint="eastAsia" w:ascii="黑体" w:eastAsia="黑体"/>
          <w:bCs/>
          <w:color w:val="000000"/>
          <w:sz w:val="28"/>
          <w:szCs w:val="28"/>
        </w:rPr>
        <w:t>四．合同书（格式文本）</w:t>
      </w:r>
    </w:p>
    <w:p>
      <w:pPr>
        <w:snapToGrid w:val="0"/>
        <w:spacing w:line="288" w:lineRule="auto"/>
        <w:jc w:val="center"/>
        <w:rPr>
          <w:rFonts w:hint="eastAsia" w:ascii="黑体" w:hAnsi="宋体" w:eastAsia="黑体"/>
          <w:b/>
          <w:color w:val="000000"/>
          <w:sz w:val="28"/>
          <w:szCs w:val="28"/>
        </w:rPr>
      </w:pPr>
      <w:r>
        <w:rPr>
          <w:rFonts w:hint="eastAsia" w:ascii="黑体" w:hAnsi="宋体" w:eastAsia="黑体"/>
          <w:b/>
          <w:color w:val="000000"/>
          <w:sz w:val="28"/>
          <w:szCs w:val="28"/>
        </w:rPr>
        <w:t>合同书(货物）格式条款</w:t>
      </w:r>
    </w:p>
    <w:p>
      <w:pPr>
        <w:snapToGrid w:val="0"/>
        <w:spacing w:line="288" w:lineRule="auto"/>
        <w:ind w:firstLine="480" w:firstLineChars="200"/>
        <w:jc w:val="left"/>
        <w:rPr>
          <w:rFonts w:hint="eastAsia" w:ascii="黑体" w:hAnsi="宋体"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）采购及有关事项协商一致，共同达成如下协议：</w:t>
      </w:r>
    </w:p>
    <w:p>
      <w:pPr>
        <w:snapToGrid w:val="0"/>
        <w:spacing w:line="288" w:lineRule="auto"/>
        <w:rPr>
          <w:rFonts w:hint="eastAsia" w:ascii="宋体" w:hAnsi="Calibri"/>
          <w:bCs/>
          <w:color w:val="000000"/>
          <w:sz w:val="24"/>
          <w:szCs w:val="24"/>
          <w:u w:val="single"/>
        </w:rPr>
      </w:pPr>
      <w:r>
        <w:rPr>
          <w:rFonts w:hint="eastAsia" w:ascii="宋体" w:hAnsi="宋体"/>
          <w:bCs/>
          <w:color w:val="000000"/>
          <w:sz w:val="24"/>
          <w:szCs w:val="24"/>
        </w:rPr>
        <w:t>需方（采购人）：</w:t>
      </w:r>
    </w:p>
    <w:p>
      <w:pPr>
        <w:snapToGrid w:val="0"/>
        <w:spacing w:line="288" w:lineRule="auto"/>
        <w:rPr>
          <w:rFonts w:hint="eastAsia" w:ascii="宋体"/>
          <w:bCs/>
          <w:color w:val="000000"/>
          <w:sz w:val="24"/>
          <w:szCs w:val="24"/>
          <w:u w:val="single"/>
        </w:rPr>
      </w:pPr>
      <w:r>
        <w:rPr>
          <w:rFonts w:hint="eastAsia" w:ascii="宋体" w:hAnsi="宋体"/>
          <w:bCs/>
          <w:color w:val="000000"/>
          <w:sz w:val="24"/>
          <w:szCs w:val="24"/>
        </w:rPr>
        <w:t>供方（中标方）：</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一、采购项目编号：</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hint="eastAsia"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四、交货期或完工期：</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五、项目整体质保期：</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六、交货地点和方式：</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七、货款支付步骤和办法：</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八、合同书不可分割部分：</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hint="eastAsia" w:ascii="宋体" w:hAnsi="宋体"/>
          <w:color w:val="000000"/>
          <w:sz w:val="24"/>
          <w:szCs w:val="24"/>
        </w:rPr>
      </w:pPr>
      <w:r>
        <w:rPr>
          <w:rFonts w:hint="eastAsia" w:ascii="宋体" w:hAnsi="宋体"/>
          <w:color w:val="000000"/>
          <w:sz w:val="24"/>
          <w:szCs w:val="24"/>
        </w:rPr>
        <w:t>九、合同书组成：</w:t>
      </w:r>
    </w:p>
    <w:p>
      <w:pPr>
        <w:tabs>
          <w:tab w:val="left" w:pos="210"/>
          <w:tab w:val="left" w:pos="735"/>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w:t>
      </w:r>
      <w:r>
        <w:rPr>
          <w:rFonts w:hint="eastAsia" w:ascii="宋体" w:hAnsi="宋体"/>
          <w:color w:val="000000"/>
          <w:sz w:val="24"/>
          <w:szCs w:val="24"/>
        </w:rPr>
        <w:t>合同类型,</w:t>
      </w:r>
      <w:r>
        <w:rPr>
          <w:rFonts w:hint="eastAsia" w:ascii="宋体" w:hAnsi="宋体"/>
          <w:bCs/>
          <w:color w:val="000000"/>
          <w:sz w:val="24"/>
          <w:szCs w:val="24"/>
        </w:rPr>
        <w:t>标的名称、采购标的质量、数量，履行时间、地点和方式，包装方式，履约保证金要求，价款或报酬、付款进度安排、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，验收、交付标准和方法，质量保修范围和保修期，违约责任与解决争议的方法，甲乙双方权利与义务，合同分包要求等。</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十、合同书生效及注意事项：</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十二、根据《政府采购法》第四十九、五十条规定，甲乙双方不得擅自变更、中止或终止合同。</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960" w:firstLine="4080" w:firstLineChars="1700"/>
        <w:rPr>
          <w:rFonts w:hint="eastAsia" w:ascii="宋体" w:hAnsi="宋体"/>
          <w:bCs/>
          <w:color w:val="000000"/>
          <w:sz w:val="24"/>
          <w:szCs w:val="24"/>
        </w:rPr>
      </w:pPr>
      <w:r>
        <w:rPr>
          <w:rFonts w:hint="eastAsia" w:ascii="宋体" w:hAnsi="宋体"/>
          <w:bCs/>
          <w:color w:val="000000"/>
          <w:sz w:val="24"/>
          <w:szCs w:val="24"/>
        </w:rPr>
        <w:t xml:space="preserve">见证人：                          </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 xml:space="preserve">     年   月   日</w:t>
      </w:r>
    </w:p>
    <w:p>
      <w:pPr>
        <w:snapToGrid w:val="0"/>
        <w:spacing w:line="288" w:lineRule="auto"/>
        <w:jc w:val="center"/>
        <w:rPr>
          <w:rFonts w:hint="eastAsia" w:ascii="黑体" w:hAnsi="宋体" w:eastAsia="黑体"/>
          <w:b/>
          <w:color w:val="000000"/>
          <w:sz w:val="28"/>
          <w:szCs w:val="28"/>
        </w:rPr>
      </w:pPr>
    </w:p>
    <w:p>
      <w:pPr>
        <w:snapToGrid w:val="0"/>
        <w:spacing w:line="288" w:lineRule="auto"/>
        <w:jc w:val="center"/>
        <w:rPr>
          <w:rFonts w:hint="eastAsia" w:ascii="黑体" w:hAnsi="宋体" w:eastAsia="黑体"/>
          <w:b/>
          <w:color w:val="000000"/>
          <w:sz w:val="28"/>
          <w:szCs w:val="28"/>
        </w:rPr>
      </w:pPr>
      <w:r>
        <w:rPr>
          <w:rFonts w:hint="eastAsia" w:ascii="黑体" w:hAnsi="宋体" w:eastAsia="黑体"/>
          <w:b/>
          <w:color w:val="000000"/>
          <w:sz w:val="28"/>
          <w:szCs w:val="28"/>
        </w:rPr>
        <w:t>合同书（服务）格式条款</w:t>
      </w:r>
    </w:p>
    <w:p>
      <w:pPr>
        <w:snapToGrid w:val="0"/>
        <w:spacing w:line="288" w:lineRule="auto"/>
        <w:ind w:firstLine="480" w:firstLineChars="200"/>
        <w:rPr>
          <w:rFonts w:hint="eastAsia" w:ascii="黑体" w:hAnsi="Calibri"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）实施及有关事项协商一致，共同达成如下协议：</w:t>
      </w:r>
    </w:p>
    <w:p>
      <w:pPr>
        <w:snapToGrid w:val="0"/>
        <w:spacing w:line="288" w:lineRule="auto"/>
        <w:rPr>
          <w:rFonts w:hint="eastAsia" w:ascii="宋体"/>
          <w:bCs/>
          <w:color w:val="000000"/>
          <w:sz w:val="24"/>
          <w:szCs w:val="24"/>
          <w:u w:val="single"/>
        </w:rPr>
      </w:pPr>
      <w:r>
        <w:rPr>
          <w:rFonts w:hint="eastAsia" w:ascii="宋体" w:hAnsi="宋体"/>
          <w:bCs/>
          <w:color w:val="000000"/>
          <w:sz w:val="24"/>
          <w:szCs w:val="24"/>
        </w:rPr>
        <w:t>需方（采购人）：</w:t>
      </w:r>
    </w:p>
    <w:p>
      <w:pPr>
        <w:snapToGrid w:val="0"/>
        <w:spacing w:line="288" w:lineRule="auto"/>
        <w:rPr>
          <w:rFonts w:hint="eastAsia" w:ascii="宋体" w:hAnsi="宋体"/>
          <w:bCs/>
          <w:color w:val="000000"/>
          <w:sz w:val="24"/>
          <w:szCs w:val="24"/>
        </w:rPr>
      </w:pPr>
      <w:r>
        <w:rPr>
          <w:rFonts w:hint="eastAsia" w:ascii="宋体" w:hAnsi="宋体"/>
          <w:bCs/>
          <w:color w:val="000000"/>
          <w:sz w:val="24"/>
          <w:szCs w:val="24"/>
        </w:rPr>
        <w:t>供方（中标方）：</w:t>
      </w:r>
    </w:p>
    <w:p>
      <w:pPr>
        <w:snapToGrid w:val="0"/>
        <w:spacing w:line="288" w:lineRule="auto"/>
        <w:ind w:firstLine="480" w:firstLineChars="200"/>
        <w:rPr>
          <w:rFonts w:hint="eastAsia" w:ascii="宋体" w:hAnsi="Calibri"/>
          <w:bCs/>
          <w:color w:val="000000"/>
          <w:sz w:val="24"/>
          <w:szCs w:val="24"/>
          <w:u w:val="single"/>
        </w:rPr>
      </w:pPr>
      <w:r>
        <w:rPr>
          <w:rFonts w:hint="eastAsia" w:ascii="宋体" w:hAnsi="宋体"/>
          <w:bCs/>
          <w:color w:val="000000"/>
          <w:sz w:val="24"/>
          <w:szCs w:val="24"/>
        </w:rPr>
        <w:t>一、采购项目编号：</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hint="eastAsia"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四、项目服务期限：</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五、项目整体免费服务期：</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六、货款支付步骤和办法：</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七、合同书不可分割部分：</w:t>
      </w:r>
    </w:p>
    <w:p>
      <w:pPr>
        <w:tabs>
          <w:tab w:val="left" w:pos="210"/>
          <w:tab w:val="left" w:pos="420"/>
          <w:tab w:val="left" w:pos="1155"/>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hint="eastAsia" w:ascii="宋体" w:hAnsi="宋体"/>
          <w:color w:val="000000"/>
          <w:sz w:val="24"/>
          <w:szCs w:val="24"/>
        </w:rPr>
      </w:pPr>
      <w:r>
        <w:rPr>
          <w:rFonts w:hint="eastAsia" w:ascii="宋体" w:hAnsi="宋体"/>
          <w:color w:val="000000"/>
          <w:sz w:val="24"/>
          <w:szCs w:val="24"/>
        </w:rPr>
        <w:t>八、合同书组成：</w:t>
      </w:r>
    </w:p>
    <w:p>
      <w:pPr>
        <w:tabs>
          <w:tab w:val="left" w:pos="210"/>
          <w:tab w:val="left" w:pos="735"/>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w:t>
      </w:r>
      <w:r>
        <w:rPr>
          <w:rFonts w:hint="eastAsia" w:ascii="宋体" w:hAnsi="宋体"/>
          <w:color w:val="000000"/>
          <w:sz w:val="24"/>
          <w:szCs w:val="24"/>
        </w:rPr>
        <w:t>合同类型</w:t>
      </w:r>
      <w:r>
        <w:rPr>
          <w:rFonts w:hint="eastAsia" w:ascii="宋体" w:hAnsi="宋体"/>
          <w:bCs/>
          <w:color w:val="000000"/>
          <w:sz w:val="24"/>
          <w:szCs w:val="24"/>
        </w:rPr>
        <w:t>等。</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九、合同书生效及注意事项：</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十一、根据《政府采购法》第四十九、五十条规定，甲乙双方不得擅自变更、中止或终止合同。</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1920"/>
        <w:jc w:val="center"/>
        <w:rPr>
          <w:rFonts w:hint="eastAsia" w:ascii="宋体" w:hAnsi="宋体"/>
          <w:bCs/>
          <w:color w:val="000000"/>
          <w:sz w:val="24"/>
          <w:szCs w:val="24"/>
        </w:rPr>
      </w:pPr>
      <w:r>
        <w:rPr>
          <w:rFonts w:hint="eastAsia" w:ascii="宋体" w:hAnsi="宋体"/>
          <w:bCs/>
          <w:color w:val="000000"/>
          <w:sz w:val="24"/>
          <w:szCs w:val="24"/>
        </w:rPr>
        <w:t xml:space="preserve">                            见证人：                  </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 xml:space="preserve">   年   月    日</w:t>
      </w:r>
    </w:p>
    <w:p>
      <w:pPr>
        <w:pStyle w:val="2"/>
      </w:pPr>
    </w:p>
    <w:p>
      <w:pPr>
        <w:pStyle w:val="2"/>
      </w:pPr>
    </w:p>
    <w:p>
      <w:pPr>
        <w:pStyle w:val="2"/>
      </w:pPr>
    </w:p>
    <w:p>
      <w:pPr>
        <w:pStyle w:val="2"/>
      </w:pPr>
    </w:p>
    <w:p>
      <w:pPr>
        <w:spacing w:line="360" w:lineRule="auto"/>
        <w:jc w:val="center"/>
        <w:rPr>
          <w:rFonts w:ascii="黑体" w:eastAsia="黑体"/>
          <w:bCs/>
          <w:color w:val="000000"/>
          <w:sz w:val="28"/>
          <w:szCs w:val="28"/>
        </w:rPr>
      </w:pPr>
      <w:r>
        <w:rPr>
          <w:rFonts w:hint="eastAsia" w:ascii="黑体" w:eastAsia="黑体"/>
          <w:bCs/>
          <w:color w:val="000000"/>
          <w:sz w:val="28"/>
          <w:szCs w:val="28"/>
        </w:rPr>
        <w:t>五．合同条款</w:t>
      </w:r>
    </w:p>
    <w:p>
      <w:pPr>
        <w:snapToGrid w:val="0"/>
        <w:spacing w:line="336" w:lineRule="auto"/>
        <w:ind w:firstLine="480" w:firstLineChars="200"/>
        <w:jc w:val="center"/>
        <w:rPr>
          <w:rFonts w:hint="eastAsia" w:ascii="宋体" w:hAnsi="宋体"/>
          <w:bCs/>
          <w:color w:val="000000"/>
          <w:sz w:val="24"/>
          <w:szCs w:val="24"/>
        </w:rPr>
      </w:pPr>
      <w:r>
        <w:rPr>
          <w:rFonts w:hint="eastAsia" w:ascii="宋体" w:hAnsi="宋体"/>
          <w:bCs/>
          <w:color w:val="000000"/>
          <w:sz w:val="24"/>
          <w:szCs w:val="24"/>
        </w:rPr>
        <w:t>（根据相关法律规定以及采购文件确定事项订立）</w:t>
      </w:r>
    </w:p>
    <w:p>
      <w:pPr>
        <w:snapToGrid w:val="0"/>
        <w:spacing w:line="336" w:lineRule="auto"/>
        <w:ind w:firstLine="525"/>
        <w:rPr>
          <w:rFonts w:hint="eastAsia" w:ascii="宋体" w:hAnsi="Calibri"/>
          <w:bCs/>
          <w:color w:val="000000"/>
          <w:sz w:val="24"/>
          <w:szCs w:val="24"/>
        </w:rPr>
      </w:pPr>
      <w:r>
        <w:rPr>
          <w:rFonts w:hint="eastAsia" w:ascii="宋体" w:hAnsi="宋体"/>
          <w:bCs/>
          <w:color w:val="000000"/>
          <w:sz w:val="24"/>
          <w:szCs w:val="24"/>
        </w:rPr>
        <w:t>（一）合同内容：需方向供方购买。</w:t>
      </w:r>
    </w:p>
    <w:p>
      <w:pPr>
        <w:snapToGrid w:val="0"/>
        <w:spacing w:line="336" w:lineRule="auto"/>
        <w:ind w:firstLine="525"/>
        <w:rPr>
          <w:rFonts w:hint="eastAsia" w:ascii="宋体"/>
          <w:bCs/>
          <w:color w:val="000000"/>
          <w:sz w:val="24"/>
          <w:szCs w:val="24"/>
        </w:rPr>
      </w:pPr>
      <w:r>
        <w:rPr>
          <w:rFonts w:hint="eastAsia" w:ascii="宋体" w:hAnsi="宋体"/>
          <w:bCs/>
          <w:color w:val="000000"/>
          <w:sz w:val="24"/>
          <w:szCs w:val="24"/>
        </w:rPr>
        <w:t>（二）价格及支付：</w:t>
      </w:r>
    </w:p>
    <w:p>
      <w:pPr>
        <w:tabs>
          <w:tab w:val="left" w:pos="525"/>
          <w:tab w:val="left" w:pos="1050"/>
          <w:tab w:val="left" w:pos="1155"/>
        </w:tabs>
        <w:snapToGrid w:val="0"/>
        <w:spacing w:line="336" w:lineRule="auto"/>
        <w:ind w:firstLine="523" w:firstLineChars="218"/>
        <w:rPr>
          <w:rFonts w:hint="eastAsia" w:ascii="宋体"/>
          <w:bCs/>
          <w:color w:val="000000"/>
          <w:sz w:val="24"/>
          <w:szCs w:val="24"/>
        </w:rPr>
      </w:pPr>
      <w:r>
        <w:rPr>
          <w:rFonts w:hint="eastAsia" w:ascii="宋体" w:hAnsi="宋体"/>
          <w:bCs/>
          <w:color w:val="000000"/>
          <w:sz w:val="24"/>
          <w:szCs w:val="24"/>
        </w:rPr>
        <w:t>1. 按此次中标价格执行，合同总标的额为</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numPr>
          <w:ilvl w:val="1"/>
          <w:numId w:val="23"/>
        </w:numPr>
        <w:tabs>
          <w:tab w:val="left" w:pos="945"/>
          <w:tab w:val="left" w:pos="1770"/>
          <w:tab w:val="left" w:pos="2100"/>
        </w:tabs>
        <w:snapToGrid w:val="0"/>
        <w:spacing w:line="336" w:lineRule="auto"/>
        <w:ind w:left="0" w:firstLine="525"/>
        <w:rPr>
          <w:rFonts w:hint="eastAsia" w:ascii="宋体"/>
          <w:bCs/>
          <w:color w:val="000000"/>
          <w:sz w:val="24"/>
          <w:szCs w:val="24"/>
        </w:rPr>
      </w:pPr>
      <w:r>
        <w:rPr>
          <w:rFonts w:hint="eastAsia" w:ascii="宋体" w:hAnsi="宋体"/>
          <w:bCs/>
          <w:color w:val="000000"/>
          <w:sz w:val="24"/>
          <w:szCs w:val="24"/>
        </w:rPr>
        <w:t>付款方式：</w:t>
      </w:r>
    </w:p>
    <w:p>
      <w:pPr>
        <w:numPr>
          <w:ilvl w:val="1"/>
          <w:numId w:val="23"/>
        </w:numPr>
        <w:tabs>
          <w:tab w:val="left" w:pos="945"/>
          <w:tab w:val="left" w:pos="1770"/>
          <w:tab w:val="left" w:pos="2100"/>
        </w:tabs>
        <w:snapToGrid w:val="0"/>
        <w:spacing w:line="336" w:lineRule="auto"/>
        <w:ind w:left="0" w:firstLine="525"/>
        <w:rPr>
          <w:rFonts w:hint="eastAsia" w:ascii="宋体"/>
          <w:bCs/>
          <w:color w:val="000000"/>
          <w:sz w:val="24"/>
          <w:szCs w:val="24"/>
        </w:rPr>
      </w:pPr>
      <w:r>
        <w:rPr>
          <w:rFonts w:hint="eastAsia" w:ascii="宋体" w:hAnsi="宋体"/>
          <w:bCs/>
          <w:color w:val="000000"/>
          <w:sz w:val="24"/>
          <w:szCs w:val="24"/>
        </w:rPr>
        <w:t>履约保证金的缴纳和退付：</w:t>
      </w:r>
    </w:p>
    <w:p>
      <w:pPr>
        <w:tabs>
          <w:tab w:val="left" w:pos="945"/>
          <w:tab w:val="left" w:pos="2100"/>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本项目是/否向采购人缴纳履约保证金：</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p>
    <w:p>
      <w:pPr>
        <w:tabs>
          <w:tab w:val="left" w:pos="945"/>
          <w:tab w:val="left" w:pos="2100"/>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履约保证金缴纳金额：</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tabs>
          <w:tab w:val="left" w:pos="945"/>
          <w:tab w:val="left" w:pos="2100"/>
        </w:tabs>
        <w:snapToGrid w:val="0"/>
        <w:spacing w:line="336" w:lineRule="auto"/>
        <w:ind w:firstLine="480" w:firstLineChars="200"/>
        <w:rPr>
          <w:rFonts w:hint="eastAsia" w:ascii="宋体" w:hAnsi="宋体"/>
          <w:bCs/>
          <w:color w:val="000000"/>
          <w:sz w:val="24"/>
          <w:szCs w:val="22"/>
        </w:rPr>
      </w:pPr>
      <w:r>
        <w:rPr>
          <w:rFonts w:hint="eastAsia" w:ascii="宋体" w:hAnsi="宋体"/>
          <w:bCs/>
          <w:color w:val="000000"/>
          <w:sz w:val="24"/>
          <w:szCs w:val="24"/>
        </w:rPr>
        <w:t>履约保证金的缴纳时间：</w:t>
      </w:r>
      <w:r>
        <w:rPr>
          <w:rFonts w:hint="eastAsia" w:ascii="宋体" w:hAnsi="宋体"/>
          <w:bCs/>
          <w:color w:val="000000"/>
          <w:sz w:val="24"/>
          <w:szCs w:val="24"/>
          <w:u w:val="single"/>
        </w:rPr>
        <w:t xml:space="preserve">       </w:t>
      </w:r>
      <w:r>
        <w:rPr>
          <w:rFonts w:hint="eastAsia" w:ascii="宋体" w:hAnsi="宋体"/>
          <w:bCs/>
          <w:color w:val="000000"/>
          <w:sz w:val="24"/>
          <w:szCs w:val="24"/>
        </w:rPr>
        <w:t>，缴纳形式：</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宋体"/>
          <w:bCs/>
          <w:color w:val="000000"/>
          <w:sz w:val="24"/>
        </w:rPr>
      </w:pPr>
      <w:r>
        <w:rPr>
          <w:rFonts w:hint="eastAsia" w:ascii="宋体" w:hAnsi="宋体"/>
          <w:bCs/>
          <w:color w:val="000000"/>
          <w:sz w:val="24"/>
          <w:szCs w:val="24"/>
        </w:rPr>
        <w:t>履约保证金的退付时间：</w:t>
      </w:r>
      <w:r>
        <w:rPr>
          <w:rFonts w:hint="eastAsia" w:ascii="宋体" w:hAnsi="宋体"/>
          <w:bCs/>
          <w:color w:val="000000"/>
          <w:sz w:val="24"/>
          <w:szCs w:val="24"/>
          <w:u w:val="single"/>
        </w:rPr>
        <w:t xml:space="preserve">       </w:t>
      </w:r>
      <w:r>
        <w:rPr>
          <w:rFonts w:hint="eastAsia" w:ascii="宋体" w:hAnsi="宋体"/>
          <w:bCs/>
          <w:color w:val="000000"/>
          <w:sz w:val="24"/>
          <w:szCs w:val="24"/>
        </w:rPr>
        <w:t>，退付办法：</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宋体"/>
          <w:bCs/>
          <w:color w:val="000000"/>
          <w:sz w:val="24"/>
        </w:rPr>
      </w:pPr>
      <w:r>
        <w:rPr>
          <w:rFonts w:hint="eastAsia" w:ascii="宋体" w:hAnsi="宋体"/>
          <w:bCs/>
          <w:color w:val="000000"/>
          <w:sz w:val="24"/>
        </w:rPr>
        <w:t>履约保证金不予退还的情形：</w:t>
      </w:r>
      <w:r>
        <w:rPr>
          <w:rFonts w:hint="eastAsia" w:ascii="宋体" w:hAnsi="宋体"/>
          <w:bCs/>
          <w:color w:val="000000"/>
          <w:sz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Calibri"/>
          <w:bCs/>
          <w:color w:val="000000"/>
          <w:sz w:val="24"/>
          <w:szCs w:val="24"/>
        </w:rPr>
      </w:pPr>
      <w:r>
        <w:rPr>
          <w:rFonts w:hint="eastAsia" w:ascii="宋体" w:hAnsi="宋体"/>
          <w:bCs/>
          <w:color w:val="000000"/>
          <w:sz w:val="24"/>
        </w:rPr>
        <w:t>逾期退还履约保证金的违约责任：</w:t>
      </w:r>
      <w:r>
        <w:rPr>
          <w:rFonts w:hint="eastAsia" w:ascii="宋体" w:hAnsi="宋体"/>
          <w:bCs/>
          <w:color w:val="000000"/>
          <w:sz w:val="24"/>
          <w:u w:val="single"/>
        </w:rPr>
        <w:t xml:space="preserve">                 </w:t>
      </w:r>
      <w:r>
        <w:rPr>
          <w:rFonts w:hint="eastAsia" w:ascii="宋体" w:hAnsi="宋体"/>
          <w:bCs/>
          <w:color w:val="000000"/>
          <w:sz w:val="24"/>
        </w:rPr>
        <w:t>。</w:t>
      </w:r>
    </w:p>
    <w:p>
      <w:pPr>
        <w:tabs>
          <w:tab w:val="left" w:pos="0"/>
          <w:tab w:val="left" w:pos="13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（三）知识产权</w:t>
      </w:r>
    </w:p>
    <w:p>
      <w:pPr>
        <w:tabs>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（四）质量要求与检验：</w:t>
      </w:r>
    </w:p>
    <w:p>
      <w:pPr>
        <w:tabs>
          <w:tab w:val="left" w:pos="525"/>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4.货物和系统调试验收标准：按行业通行标准、厂方出厂标准、招标文件要求和供方投标文件的承诺，并不低于国家相关标准。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（五）交货条件：</w:t>
      </w:r>
    </w:p>
    <w:p>
      <w:pPr>
        <w:tabs>
          <w:tab w:val="left" w:pos="42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1.交货日期（或完工期）：</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2.供方在验收时应先用信函、传真、电子邮件等书面方式通知需方。</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hint="eastAsia" w:ascii="宋体"/>
          <w:bCs/>
          <w:color w:val="000000"/>
          <w:sz w:val="24"/>
          <w:szCs w:val="24"/>
        </w:rPr>
      </w:pPr>
      <w:r>
        <w:rPr>
          <w:rFonts w:hint="eastAsia" w:ascii="宋体" w:hAnsi="宋体"/>
          <w:bCs/>
          <w:color w:val="000000"/>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5.需方如要求供方提供招标文件及供方投标文件以外的其它服务，其费用另定。</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（七）违约责任：</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如供方逾期交货且未经需方同意延长交货时间，除不可抗力外，每逾期一日，供方应按照逾期交货金额的万分之五的标准累计计算向需方支付违约金。逾期超过20个工作日的，需方有权依照法律程序解除合同，需方如已支付费用的，供方全部返还，且供方应按照合同总价的30%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8.招标文件及合同中所述之“不可抗力”系指不可预见、不可避免、不可克服的事件，包括但不限于：战争、洪水、台风、地震及其他法律、法规规定的事件。</w:t>
      </w:r>
    </w:p>
    <w:p>
      <w:pPr>
        <w:pStyle w:val="100"/>
        <w:numPr>
          <w:ilvl w:val="0"/>
          <w:numId w:val="24"/>
        </w:numPr>
        <w:snapToGrid w:val="0"/>
        <w:spacing w:line="336" w:lineRule="auto"/>
        <w:ind w:firstLineChars="0"/>
        <w:rPr>
          <w:rFonts w:hint="eastAsia" w:ascii="宋体"/>
          <w:bCs/>
          <w:color w:val="000000"/>
          <w:sz w:val="24"/>
          <w:szCs w:val="24"/>
        </w:rPr>
      </w:pPr>
      <w:r>
        <w:rPr>
          <w:rFonts w:hint="eastAsia" w:ascii="宋体" w:hAnsi="宋体"/>
          <w:bCs/>
          <w:color w:val="000000"/>
          <w:sz w:val="24"/>
          <w:szCs w:val="24"/>
        </w:rPr>
        <w:t>合同生效及其它：</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1.合同经供需双方代表签字并盖章，且在无锡市政府采购中心见证后即生效。</w:t>
      </w:r>
    </w:p>
    <w:p>
      <w:pPr>
        <w:tabs>
          <w:tab w:val="left" w:pos="0"/>
          <w:tab w:val="left" w:pos="315"/>
          <w:tab w:val="left" w:pos="525"/>
          <w:tab w:val="left" w:pos="945"/>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color w:val="000000"/>
          <w:sz w:val="24"/>
          <w:szCs w:val="24"/>
        </w:rPr>
        <w:t>由供需双方协商处理，若协商不成，</w:t>
      </w:r>
      <w:r>
        <w:rPr>
          <w:rFonts w:hint="eastAsia" w:ascii="宋体" w:hAnsi="宋体"/>
          <w:bCs/>
          <w:color w:val="000000"/>
          <w:sz w:val="24"/>
          <w:szCs w:val="24"/>
        </w:rPr>
        <w:t>可选择以下方式处理：</w:t>
      </w:r>
    </w:p>
    <w:p>
      <w:pPr>
        <w:tabs>
          <w:tab w:val="left" w:pos="0"/>
          <w:tab w:val="left" w:pos="315"/>
          <w:tab w:val="left" w:pos="525"/>
          <w:tab w:val="left" w:pos="945"/>
        </w:tabs>
        <w:snapToGrid w:val="0"/>
        <w:spacing w:line="336" w:lineRule="auto"/>
        <w:ind w:firstLine="480" w:firstLineChars="200"/>
        <w:rPr>
          <w:rFonts w:hint="eastAsia" w:ascii="宋体" w:hAnsi="宋体"/>
          <w:color w:val="000000"/>
          <w:sz w:val="24"/>
          <w:szCs w:val="24"/>
        </w:rPr>
      </w:pPr>
      <w:r>
        <w:rPr>
          <w:rFonts w:hint="eastAsia" w:ascii="宋体" w:hAnsi="宋体"/>
          <w:color w:val="000000"/>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hint="eastAsia" w:ascii="宋体" w:hAnsi="Calibri"/>
          <w:color w:val="000000"/>
          <w:sz w:val="24"/>
          <w:szCs w:val="24"/>
        </w:rPr>
      </w:pPr>
      <w:r>
        <w:rPr>
          <w:rFonts w:hint="eastAsia" w:ascii="宋体" w:hAnsi="宋体"/>
          <w:color w:val="000000"/>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hint="eastAsia" w:ascii="宋体" w:hAnsi="宋体"/>
          <w:color w:val="000000"/>
          <w:sz w:val="24"/>
          <w:szCs w:val="24"/>
        </w:rPr>
      </w:pPr>
      <w:r>
        <w:rPr>
          <w:rFonts w:hint="eastAsia" w:ascii="宋体" w:hAnsi="宋体"/>
          <w:color w:val="000000"/>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hint="eastAsia" w:ascii="宋体" w:hAnsi="Calibri"/>
          <w:bCs/>
          <w:color w:val="000000"/>
          <w:sz w:val="24"/>
          <w:szCs w:val="24"/>
        </w:rPr>
      </w:pPr>
      <w:r>
        <w:rPr>
          <w:rFonts w:hint="eastAsia" w:ascii="宋体" w:hAnsi="宋体"/>
          <w:bCs/>
          <w:color w:val="000000"/>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rPr>
          <w:rFonts w:hint="eastAsia" w:ascii="宋体" w:hAnsi="宋体"/>
          <w:bCs/>
          <w:color w:val="000000"/>
          <w:sz w:val="24"/>
          <w:szCs w:val="24"/>
        </w:rPr>
      </w:pPr>
    </w:p>
    <w:p>
      <w:pPr>
        <w:snapToGrid w:val="0"/>
        <w:spacing w:line="336" w:lineRule="auto"/>
        <w:ind w:firstLine="480" w:firstLineChars="200"/>
        <w:jc w:val="center"/>
        <w:rPr>
          <w:rFonts w:hint="eastAsia" w:ascii="宋体" w:hAnsi="宋体"/>
          <w:bCs/>
          <w:color w:val="000000"/>
          <w:sz w:val="24"/>
          <w:szCs w:val="24"/>
        </w:rPr>
      </w:pPr>
    </w:p>
    <w:p>
      <w:pPr>
        <w:snapToGrid w:val="0"/>
        <w:spacing w:line="336" w:lineRule="auto"/>
        <w:rPr>
          <w:rFonts w:hint="eastAsia" w:ascii="宋体" w:hAnsi="Calibri"/>
          <w:bCs/>
          <w:color w:val="000000"/>
          <w:sz w:val="24"/>
          <w:szCs w:val="24"/>
          <w:u w:val="single"/>
        </w:rPr>
      </w:pPr>
      <w:r>
        <w:rPr>
          <w:rFonts w:hint="eastAsia" w:ascii="宋体" w:hAnsi="宋体"/>
          <w:bCs/>
          <w:color w:val="000000"/>
          <w:sz w:val="24"/>
          <w:szCs w:val="24"/>
        </w:rPr>
        <w:t>需方（采购人）：（签章）                   供方（中标方）：（签章）</w:t>
      </w:r>
    </w:p>
    <w:p>
      <w:pPr>
        <w:snapToGrid w:val="0"/>
        <w:spacing w:line="336" w:lineRule="auto"/>
        <w:rPr>
          <w:rFonts w:hint="eastAsia" w:ascii="宋体" w:hAnsi="宋体"/>
          <w:bCs/>
          <w:color w:val="000000"/>
          <w:sz w:val="24"/>
          <w:szCs w:val="24"/>
        </w:rPr>
      </w:pPr>
      <w:r>
        <w:rPr>
          <w:rFonts w:hint="eastAsia" w:ascii="宋体" w:hAnsi="宋体"/>
          <w:bCs/>
          <w:color w:val="000000"/>
          <w:sz w:val="24"/>
          <w:szCs w:val="24"/>
        </w:rPr>
        <w:t>法定（授权）代表人：                     法定（授权）代表人：</w:t>
      </w:r>
    </w:p>
    <w:p>
      <w:pPr>
        <w:snapToGrid w:val="0"/>
        <w:spacing w:line="336" w:lineRule="auto"/>
        <w:rPr>
          <w:rFonts w:hint="eastAsia" w:ascii="宋体" w:hAnsi="宋体"/>
          <w:bCs/>
          <w:color w:val="000000"/>
          <w:sz w:val="24"/>
          <w:szCs w:val="24"/>
          <w:u w:val="single"/>
        </w:rPr>
      </w:pPr>
      <w:r>
        <w:rPr>
          <w:rFonts w:hint="eastAsia" w:ascii="宋体" w:hAnsi="宋体"/>
          <w:bCs/>
          <w:color w:val="000000"/>
          <w:sz w:val="24"/>
          <w:szCs w:val="24"/>
        </w:rPr>
        <w:t>地址：                                   地址：</w:t>
      </w:r>
    </w:p>
    <w:p>
      <w:pPr>
        <w:snapToGrid w:val="0"/>
        <w:spacing w:line="336" w:lineRule="auto"/>
        <w:ind w:firstLine="480" w:firstLineChars="200"/>
        <w:rPr>
          <w:rFonts w:hint="eastAsia" w:ascii="宋体" w:hAnsi="Calibri"/>
          <w:bCs/>
          <w:color w:val="000000"/>
          <w:sz w:val="24"/>
          <w:szCs w:val="24"/>
          <w:u w:val="single"/>
        </w:rPr>
      </w:pPr>
      <w:r>
        <w:rPr>
          <w:rFonts w:hint="eastAsia" w:ascii="宋体" w:hAnsi="宋体"/>
          <w:bCs/>
          <w:color w:val="000000"/>
          <w:sz w:val="24"/>
          <w:szCs w:val="24"/>
        </w:rPr>
        <w:t>年    月    日                           年      月       日</w:t>
      </w:r>
    </w:p>
    <w:p>
      <w:pPr>
        <w:snapToGrid w:val="0"/>
        <w:spacing w:line="336" w:lineRule="auto"/>
        <w:ind w:firstLine="480" w:firstLineChars="200"/>
        <w:rPr>
          <w:rFonts w:hint="eastAsia" w:ascii="宋体" w:hAnsi="宋体"/>
          <w:bCs/>
          <w:color w:val="000000"/>
          <w:sz w:val="24"/>
          <w:szCs w:val="24"/>
          <w:u w:val="single"/>
        </w:rPr>
      </w:pPr>
      <w:r>
        <w:rPr>
          <w:rFonts w:hint="eastAsia" w:ascii="宋体" w:hAnsi="宋体"/>
          <w:bCs/>
          <w:color w:val="000000"/>
          <w:sz w:val="24"/>
          <w:szCs w:val="24"/>
        </w:rPr>
        <w:t xml:space="preserve">                                     供方户名：</w:t>
      </w:r>
    </w:p>
    <w:p>
      <w:pPr>
        <w:snapToGrid w:val="0"/>
        <w:spacing w:line="336" w:lineRule="auto"/>
        <w:rPr>
          <w:rFonts w:hint="eastAsia" w:ascii="宋体" w:hAnsi="宋体"/>
          <w:bCs/>
          <w:color w:val="000000"/>
          <w:sz w:val="24"/>
          <w:szCs w:val="24"/>
          <w:u w:val="single"/>
        </w:rPr>
      </w:pPr>
      <w:r>
        <w:rPr>
          <w:rFonts w:hint="eastAsia" w:ascii="宋体" w:hAnsi="宋体"/>
          <w:bCs/>
          <w:color w:val="000000"/>
          <w:sz w:val="24"/>
          <w:szCs w:val="24"/>
        </w:rPr>
        <w:t xml:space="preserve">                                         供方开户银行：</w:t>
      </w:r>
    </w:p>
    <w:p>
      <w:pPr>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                                     供方帐号：</w:t>
      </w: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六.附件</w:t>
      </w: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附件一：评分标准</w:t>
      </w:r>
    </w:p>
    <w:p>
      <w:pPr>
        <w:numPr>
          <w:ilvl w:val="4"/>
          <w:numId w:val="16"/>
        </w:numPr>
        <w:tabs>
          <w:tab w:val="left" w:pos="420"/>
          <w:tab w:val="left" w:pos="525"/>
          <w:tab w:val="left" w:pos="945"/>
          <w:tab w:val="left" w:pos="1155"/>
          <w:tab w:val="left" w:pos="3823"/>
        </w:tabs>
        <w:spacing w:line="360" w:lineRule="auto"/>
        <w:ind w:left="0" w:firstLine="523" w:firstLineChars="21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价格（30分）：</w:t>
      </w:r>
      <w:r>
        <w:rPr>
          <w:rFonts w:ascii="宋体" w:hAnsi="宋体"/>
          <w:b/>
          <w:bCs/>
          <w:color w:val="000000" w:themeColor="text1"/>
          <w:sz w:val="24"/>
          <w:szCs w:val="24"/>
          <w14:textFill>
            <w14:solidFill>
              <w14:schemeClr w14:val="tx1"/>
            </w14:solidFill>
          </w14:textFill>
        </w:rPr>
        <w:t xml:space="preserve"> </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投标报价得分</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评标基准价／投标报价</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×价格权值×</w:t>
      </w:r>
      <w:r>
        <w:rPr>
          <w:rFonts w:ascii="宋体" w:hAnsi="宋体"/>
          <w:bCs/>
          <w:color w:val="000000" w:themeColor="text1"/>
          <w:sz w:val="24"/>
          <w:szCs w:val="24"/>
          <w14:textFill>
            <w14:solidFill>
              <w14:schemeClr w14:val="tx1"/>
            </w14:solidFill>
          </w14:textFill>
        </w:rPr>
        <w:t>100</w:t>
      </w:r>
      <w:r>
        <w:rPr>
          <w:rFonts w:hint="eastAsia" w:ascii="宋体" w:hAnsi="宋体"/>
          <w:bCs/>
          <w:color w:val="000000" w:themeColor="text1"/>
          <w:sz w:val="24"/>
          <w:szCs w:val="24"/>
          <w14:textFill>
            <w14:solidFill>
              <w14:schemeClr w14:val="tx1"/>
            </w14:solidFill>
          </w14:textFill>
        </w:rPr>
        <w:t>。</w:t>
      </w:r>
    </w:p>
    <w:p>
      <w:pPr>
        <w:numPr>
          <w:ilvl w:val="4"/>
          <w:numId w:val="16"/>
        </w:numPr>
        <w:tabs>
          <w:tab w:val="left" w:pos="420"/>
          <w:tab w:val="left" w:pos="525"/>
          <w:tab w:val="left" w:pos="945"/>
          <w:tab w:val="left" w:pos="1155"/>
        </w:tabs>
        <w:spacing w:line="360" w:lineRule="auto"/>
        <w:ind w:left="0" w:firstLine="480" w:firstLineChars="200"/>
        <w:outlineLvl w:val="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投标人综合情况（1</w:t>
      </w:r>
      <w:r>
        <w:rPr>
          <w:rFonts w:hint="eastAsia" w:ascii="宋体" w:hAnsi="宋体"/>
          <w:b/>
          <w:bCs/>
          <w:color w:val="000000" w:themeColor="text1"/>
          <w:sz w:val="24"/>
          <w:szCs w:val="24"/>
          <w:lang w:val="en-US" w:eastAsia="zh-CN"/>
          <w14:textFill>
            <w14:solidFill>
              <w14:schemeClr w14:val="tx1"/>
            </w14:solidFill>
          </w14:textFill>
        </w:rPr>
        <w:t>2</w:t>
      </w:r>
      <w:r>
        <w:rPr>
          <w:rFonts w:hint="eastAsia" w:ascii="宋体" w:hAnsi="宋体"/>
          <w:b/>
          <w:bCs/>
          <w:color w:val="000000" w:themeColor="text1"/>
          <w:sz w:val="24"/>
          <w:szCs w:val="24"/>
          <w14:textFill>
            <w14:solidFill>
              <w14:schemeClr w14:val="tx1"/>
            </w14:solidFill>
          </w14:textFill>
        </w:rPr>
        <w:t>分）：</w:t>
      </w:r>
      <w:r>
        <w:rPr>
          <w:rFonts w:hint="eastAsia" w:ascii="宋体" w:hAnsi="宋体" w:cs="宋体"/>
          <w:b/>
          <w:bCs/>
          <w:sz w:val="24"/>
        </w:rPr>
        <w:t>上传至投标系统中</w:t>
      </w:r>
    </w:p>
    <w:p>
      <w:pPr>
        <w:tabs>
          <w:tab w:val="left" w:pos="945"/>
          <w:tab w:val="left" w:pos="1155"/>
        </w:tabs>
        <w:spacing w:line="360" w:lineRule="auto"/>
        <w:ind w:firstLine="480" w:firstLineChars="200"/>
        <w:rPr>
          <w:rFonts w:hint="eastAsia" w:ascii="宋体" w:hAnsi="宋体"/>
          <w:sz w:val="24"/>
          <w:szCs w:val="24"/>
        </w:rPr>
      </w:pPr>
      <w:r>
        <w:rPr>
          <w:rFonts w:hint="eastAsia" w:ascii="宋体" w:hAnsi="宋体"/>
          <w:bCs/>
          <w:sz w:val="24"/>
          <w:szCs w:val="24"/>
        </w:rPr>
        <w:t>①业绩（</w:t>
      </w:r>
      <w:r>
        <w:rPr>
          <w:rFonts w:hint="eastAsia" w:ascii="宋体" w:hAnsi="宋体"/>
          <w:bCs/>
          <w:sz w:val="24"/>
          <w:szCs w:val="24"/>
          <w:lang w:val="en-US" w:eastAsia="zh-CN"/>
        </w:rPr>
        <w:t>8</w:t>
      </w:r>
      <w:r>
        <w:rPr>
          <w:rFonts w:hint="eastAsia" w:ascii="宋体" w:hAnsi="宋体"/>
          <w:bCs/>
          <w:sz w:val="24"/>
          <w:szCs w:val="24"/>
        </w:rPr>
        <w:t>分）：</w:t>
      </w:r>
      <w:r>
        <w:rPr>
          <w:rFonts w:hint="eastAsia" w:ascii="宋体" w:hAnsi="宋体"/>
          <w:sz w:val="24"/>
          <w:szCs w:val="24"/>
        </w:rPr>
        <w:t>投标人具有类似项目业绩的，提供一个得2分，本项最高得</w:t>
      </w:r>
      <w:r>
        <w:rPr>
          <w:rFonts w:hint="eastAsia" w:ascii="宋体" w:hAnsi="宋体"/>
          <w:sz w:val="24"/>
          <w:szCs w:val="24"/>
          <w:lang w:val="en-US" w:eastAsia="zh-CN"/>
        </w:rPr>
        <w:t>8</w:t>
      </w:r>
      <w:r>
        <w:rPr>
          <w:rFonts w:hint="eastAsia" w:ascii="宋体" w:hAnsi="宋体"/>
          <w:sz w:val="24"/>
          <w:szCs w:val="24"/>
        </w:rPr>
        <w:t>分。</w:t>
      </w:r>
    </w:p>
    <w:p>
      <w:pPr>
        <w:tabs>
          <w:tab w:val="left" w:pos="945"/>
          <w:tab w:val="left" w:pos="1155"/>
        </w:tabs>
        <w:spacing w:line="360" w:lineRule="auto"/>
        <w:ind w:firstLine="480" w:firstLineChars="200"/>
        <w:rPr>
          <w:rFonts w:hint="eastAsia" w:ascii="宋体" w:hAnsi="宋体"/>
          <w:bCs/>
          <w:sz w:val="24"/>
          <w:szCs w:val="24"/>
        </w:rPr>
      </w:pPr>
      <w:r>
        <w:rPr>
          <w:rFonts w:hint="eastAsia" w:ascii="宋体" w:hAnsi="宋体"/>
          <w:bCs/>
          <w:sz w:val="24"/>
          <w:szCs w:val="24"/>
        </w:rPr>
        <w:t>②售后承诺函（4分）：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bCs/>
          <w:sz w:val="24"/>
          <w:szCs w:val="24"/>
        </w:rPr>
        <w:t>1.承诺</w:t>
      </w:r>
      <w:r>
        <w:rPr>
          <w:rFonts w:ascii="宋体" w:hAnsi="宋体"/>
          <w:bCs/>
          <w:sz w:val="24"/>
          <w:szCs w:val="24"/>
        </w:rPr>
        <w:t>提供完备的服务体系及配套的管理制度、技术力量配备</w:t>
      </w:r>
      <w:r>
        <w:rPr>
          <w:rFonts w:hint="eastAsia" w:ascii="宋体" w:hAnsi="宋体"/>
          <w:bCs/>
          <w:sz w:val="24"/>
          <w:szCs w:val="24"/>
        </w:rPr>
        <w:t>（2分）。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bCs/>
          <w:sz w:val="24"/>
          <w:szCs w:val="24"/>
        </w:rPr>
        <w:t>2.承诺能够提供驻点维保。（2分）</w:t>
      </w:r>
    </w:p>
    <w:p>
      <w:pPr>
        <w:pStyle w:val="2"/>
        <w:spacing w:line="360" w:lineRule="auto"/>
        <w:ind w:firstLine="480" w:firstLineChars="200"/>
        <w:rPr>
          <w:rFonts w:ascii="宋体" w:hAnsi="宋体"/>
          <w:b/>
          <w:bCs/>
          <w:sz w:val="24"/>
          <w:szCs w:val="24"/>
        </w:rPr>
      </w:pPr>
      <w:r>
        <w:rPr>
          <w:rFonts w:hint="eastAsia" w:ascii="宋体" w:hAnsi="宋体"/>
          <w:b/>
          <w:bCs/>
          <w:sz w:val="24"/>
          <w:szCs w:val="24"/>
        </w:rPr>
        <w:t xml:space="preserve">（3）产品与技术（18分）: </w:t>
      </w:r>
    </w:p>
    <w:p>
      <w:pPr>
        <w:tabs>
          <w:tab w:val="left" w:pos="945"/>
          <w:tab w:val="left" w:pos="1155"/>
        </w:tabs>
        <w:spacing w:line="360" w:lineRule="auto"/>
        <w:ind w:firstLine="480" w:firstLineChars="200"/>
        <w:rPr>
          <w:rFonts w:ascii="宋体" w:hAnsi="宋体"/>
          <w:bCs/>
          <w:sz w:val="24"/>
          <w:szCs w:val="24"/>
        </w:rPr>
      </w:pPr>
      <w:r>
        <w:rPr>
          <w:rFonts w:hint="eastAsia" w:ascii="宋体"/>
          <w:bCs/>
          <w:sz w:val="24"/>
        </w:rPr>
        <w:t>①</w:t>
      </w:r>
      <w:r>
        <w:rPr>
          <w:rFonts w:hint="eastAsia" w:ascii="宋体" w:hAnsi="宋体"/>
          <w:bCs/>
          <w:sz w:val="24"/>
          <w:szCs w:val="24"/>
        </w:rPr>
        <w:t>为使画面显示效果更加完美，保持整屏一致性，控制系统具有修缝、十字修复功能，并提供LED显示屏十字修复软件著作权证书及LED显示屏专业修缝软件著作证书两种证明文件。每提供一项得1分，共2分。（2分）</w:t>
      </w:r>
    </w:p>
    <w:p>
      <w:pPr>
        <w:tabs>
          <w:tab w:val="left" w:pos="945"/>
          <w:tab w:val="left" w:pos="1155"/>
        </w:tabs>
        <w:spacing w:line="360" w:lineRule="auto"/>
        <w:ind w:firstLine="480" w:firstLineChars="200"/>
        <w:rPr>
          <w:rFonts w:ascii="宋体" w:hAnsi="宋体"/>
          <w:bCs/>
          <w:sz w:val="24"/>
          <w:szCs w:val="24"/>
        </w:rPr>
      </w:pPr>
      <w:r>
        <w:rPr>
          <w:rFonts w:hint="eastAsia" w:ascii="宋体"/>
          <w:bCs/>
          <w:sz w:val="24"/>
        </w:rPr>
        <w:t>②</w:t>
      </w:r>
      <w:r>
        <w:rPr>
          <w:rFonts w:hint="eastAsia" w:ascii="宋体" w:hAnsi="宋体"/>
          <w:bCs/>
          <w:sz w:val="24"/>
          <w:szCs w:val="24"/>
        </w:rPr>
        <w:t>视频拼接器符合IS0/IEC 17025: 2005《检测和校准实验室能力的通用要求》 (CNAS-CL01《检测和校准实验室能力认可准则》)的要求，提供第三方检测报告并加盖公章。（2分）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hint="eastAsia" w:ascii="宋体"/>
          <w:bCs/>
          <w:sz w:val="24"/>
        </w:rPr>
        <w:t>③</w:t>
      </w:r>
      <w:r>
        <w:rPr>
          <w:rFonts w:hint="eastAsia" w:ascii="宋体" w:hAnsi="宋体"/>
          <w:bCs/>
          <w:sz w:val="24"/>
          <w:szCs w:val="24"/>
        </w:rPr>
        <w:t>视频拼接器支持轮出画质调整，包括0-100亮度自由调节、对比度、饱和度、色调</w:t>
      </w:r>
      <w:r>
        <w:rPr>
          <w:rFonts w:hint="eastAsia" w:ascii="宋体" w:hAnsi="宋体"/>
          <w:bCs/>
          <w:sz w:val="24"/>
          <w:szCs w:val="24"/>
          <w:lang w:eastAsia="zh-CN"/>
        </w:rPr>
        <w:t>、</w:t>
      </w:r>
      <w:r>
        <w:rPr>
          <w:rFonts w:hint="eastAsia" w:ascii="宋体" w:hAnsi="宋体"/>
          <w:bCs/>
          <w:sz w:val="24"/>
          <w:szCs w:val="24"/>
        </w:rPr>
        <w:t>亮度补偿、gamma等，测试画面调整，结合现场环境便于测试调节，提供第三方检测报告并加盖公章；（2分）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hint="eastAsia" w:ascii="宋体"/>
          <w:bCs/>
          <w:sz w:val="24"/>
        </w:rPr>
        <w:t>④</w:t>
      </w:r>
      <w:r>
        <w:rPr>
          <w:rFonts w:hint="eastAsia" w:ascii="宋体" w:hAnsi="宋体"/>
          <w:bCs/>
          <w:sz w:val="24"/>
          <w:szCs w:val="24"/>
        </w:rPr>
        <w:t>视频拼接器采用工业级的冗余电源杖组，模组稳定可靠，不间断工作16万小 时以上， 低</w:t>
      </w:r>
      <w:r>
        <w:rPr>
          <w:rFonts w:hint="eastAsia" w:ascii="宋体" w:hAnsi="宋体"/>
          <w:bCs/>
          <w:sz w:val="24"/>
          <w:szCs w:val="24"/>
          <w:lang w:val="en-US" w:eastAsia="zh-CN"/>
        </w:rPr>
        <w:t>噪</w:t>
      </w:r>
      <w:r>
        <w:rPr>
          <w:rFonts w:hint="eastAsia" w:ascii="宋体" w:hAnsi="宋体"/>
          <w:bCs/>
          <w:sz w:val="24"/>
          <w:szCs w:val="24"/>
        </w:rPr>
        <w:t>音风扇散热系统 (设备运行</w:t>
      </w:r>
      <w:r>
        <w:rPr>
          <w:rFonts w:hint="eastAsia" w:ascii="宋体" w:hAnsi="宋体"/>
          <w:bCs/>
          <w:sz w:val="24"/>
          <w:szCs w:val="24"/>
          <w:lang w:val="en-US" w:eastAsia="zh-CN"/>
        </w:rPr>
        <w:t>噪声</w:t>
      </w:r>
      <w:r>
        <w:rPr>
          <w:rFonts w:hint="eastAsia" w:ascii="宋体" w:hAnsi="宋体"/>
          <w:bCs/>
          <w:sz w:val="24"/>
          <w:szCs w:val="24"/>
        </w:rPr>
        <w:t>音小于45dB) , 屏前1米正常工作状态下的</w:t>
      </w:r>
      <w:r>
        <w:rPr>
          <w:rFonts w:hint="eastAsia" w:ascii="宋体" w:hAnsi="宋体"/>
          <w:bCs/>
          <w:sz w:val="24"/>
          <w:szCs w:val="24"/>
          <w:lang w:val="en-US" w:eastAsia="zh-CN"/>
        </w:rPr>
        <w:t>噪</w:t>
      </w:r>
      <w:r>
        <w:rPr>
          <w:rFonts w:hint="eastAsia" w:ascii="宋体" w:hAnsi="宋体"/>
          <w:bCs/>
          <w:sz w:val="24"/>
          <w:szCs w:val="24"/>
        </w:rPr>
        <w:t>声测量值≤25dB(A), 适应于各种对</w:t>
      </w:r>
      <w:r>
        <w:rPr>
          <w:rFonts w:hint="eastAsia" w:ascii="宋体" w:hAnsi="宋体"/>
          <w:bCs/>
          <w:sz w:val="24"/>
          <w:szCs w:val="24"/>
          <w:lang w:val="en-US" w:eastAsia="zh-CN"/>
        </w:rPr>
        <w:t>噪</w:t>
      </w:r>
      <w:r>
        <w:rPr>
          <w:rFonts w:hint="eastAsia" w:ascii="宋体" w:hAnsi="宋体"/>
          <w:bCs/>
          <w:sz w:val="24"/>
          <w:szCs w:val="24"/>
        </w:rPr>
        <w:t>声控制严苛的会议或其它场所。提供第三方检测报告并加盖公章；（2分）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bCs/>
          <w:sz w:val="24"/>
        </w:rPr>
        <w:fldChar w:fldCharType="begin"/>
      </w:r>
      <w:r>
        <w:rPr>
          <w:rFonts w:ascii="宋体"/>
          <w:bCs/>
          <w:sz w:val="24"/>
        </w:rPr>
        <w:instrText xml:space="preserve"> </w:instrText>
      </w:r>
      <w:r>
        <w:rPr>
          <w:rFonts w:hint="eastAsia" w:ascii="宋体"/>
          <w:bCs/>
          <w:sz w:val="24"/>
        </w:rPr>
        <w:instrText xml:space="preserve">= 5 \* GB3</w:instrText>
      </w:r>
      <w:r>
        <w:rPr>
          <w:rFonts w:ascii="宋体"/>
          <w:bCs/>
          <w:sz w:val="24"/>
        </w:rPr>
        <w:instrText xml:space="preserve"> </w:instrText>
      </w:r>
      <w:r>
        <w:rPr>
          <w:rFonts w:ascii="宋体"/>
          <w:bCs/>
          <w:sz w:val="24"/>
        </w:rPr>
        <w:fldChar w:fldCharType="separate"/>
      </w:r>
      <w:r>
        <w:rPr>
          <w:rFonts w:hint="eastAsia" w:ascii="宋体"/>
          <w:bCs/>
          <w:sz w:val="24"/>
        </w:rPr>
        <w:t>⑤</w:t>
      </w:r>
      <w:r>
        <w:rPr>
          <w:rFonts w:ascii="宋体"/>
          <w:bCs/>
          <w:sz w:val="24"/>
        </w:rPr>
        <w:fldChar w:fldCharType="end"/>
      </w:r>
      <w:r>
        <w:rPr>
          <w:rFonts w:hint="eastAsia" w:ascii="宋体" w:hAnsi="宋体"/>
          <w:bCs/>
          <w:sz w:val="24"/>
          <w:szCs w:val="24"/>
        </w:rPr>
        <w:t>视频拼接器设备在-20°C低温和60°C高温环境 中进行工作测试和储存)、则试， 外观和功能无异常。设备在10%-90%的湿度环境下进 行工作测试和储存刹试，外观和功能无异常 ；提供第三方检测报告并加盖公章；（2分）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6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⑥</w:t>
      </w:r>
      <w:r>
        <w:rPr>
          <w:rFonts w:ascii="宋体" w:hAnsi="宋体"/>
          <w:bCs/>
          <w:sz w:val="24"/>
          <w:szCs w:val="24"/>
        </w:rPr>
        <w:fldChar w:fldCharType="end"/>
      </w:r>
      <w:r>
        <w:rPr>
          <w:rFonts w:hint="eastAsia" w:ascii="宋体" w:hAnsi="宋体"/>
          <w:bCs/>
          <w:sz w:val="24"/>
          <w:szCs w:val="24"/>
        </w:rPr>
        <w:t>视频拼接器配置备份和恢复，备份信息可下载保存备份，断电记忆功能，无需担心配置丢失；提供第三方检测报告并加盖公章；（2分）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7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⑦</w:t>
      </w:r>
      <w:r>
        <w:rPr>
          <w:rFonts w:ascii="宋体" w:hAnsi="宋体"/>
          <w:bCs/>
          <w:sz w:val="24"/>
          <w:szCs w:val="24"/>
        </w:rPr>
        <w:fldChar w:fldCharType="end"/>
      </w:r>
      <w:r>
        <w:rPr>
          <w:rFonts w:hint="eastAsia" w:ascii="宋体" w:hAnsi="宋体"/>
          <w:bCs/>
          <w:sz w:val="24"/>
          <w:szCs w:val="24"/>
        </w:rPr>
        <w:t>视频拼接器最大支持32 (16X2) 个轮入源、 真4K(3840*2160@60Hz, RGB4:4:4,8bit, 10bit) 分辨确保画面流畅，最大支持64KK点对点。提供第三方检测报告并加盖公章；（2分）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8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⑧</w:t>
      </w:r>
      <w:r>
        <w:rPr>
          <w:rFonts w:ascii="宋体" w:hAnsi="宋体"/>
          <w:bCs/>
          <w:sz w:val="24"/>
          <w:szCs w:val="24"/>
        </w:rPr>
        <w:fldChar w:fldCharType="end"/>
      </w:r>
      <w:r>
        <w:rPr>
          <w:rFonts w:hint="eastAsia" w:ascii="宋体" w:hAnsi="宋体"/>
          <w:bCs/>
          <w:sz w:val="24"/>
          <w:szCs w:val="24"/>
        </w:rPr>
        <w:t>平均无故障时间</w:t>
      </w:r>
      <w:r>
        <w:rPr>
          <w:rFonts w:hint="eastAsia" w:ascii="宋体" w:hAnsi="宋体"/>
          <w:bCs/>
          <w:sz w:val="24"/>
          <w:szCs w:val="24"/>
        </w:rPr>
        <w:tab/>
      </w:r>
      <w:r>
        <w:rPr>
          <w:rFonts w:hint="eastAsia" w:ascii="宋体" w:hAnsi="宋体"/>
          <w:bCs/>
          <w:sz w:val="24"/>
          <w:szCs w:val="24"/>
        </w:rPr>
        <w:t>MTBF平均无故障时间≥20000h；MTTR平均修复时间≤20分钟，提供第三方检测报告并加盖公章（2分）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9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⑨</w:t>
      </w:r>
      <w:r>
        <w:rPr>
          <w:rFonts w:ascii="宋体" w:hAnsi="宋体"/>
          <w:bCs/>
          <w:sz w:val="24"/>
          <w:szCs w:val="24"/>
        </w:rPr>
        <w:fldChar w:fldCharType="end"/>
      </w:r>
      <w:r>
        <w:rPr>
          <w:rFonts w:hint="eastAsia" w:ascii="宋体" w:hAnsi="宋体"/>
          <w:bCs/>
          <w:sz w:val="24"/>
          <w:szCs w:val="24"/>
        </w:rPr>
        <w:t>产品采用高端芯片，可智能调节正常工作与睡眠状态下的节能效果（动态节能，智能息屏），提供第三方检测报告并加盖公章（2分）</w:t>
      </w:r>
    </w:p>
    <w:p>
      <w:pPr>
        <w:tabs>
          <w:tab w:val="left" w:pos="945"/>
          <w:tab w:val="left" w:pos="1155"/>
        </w:tabs>
        <w:spacing w:line="360" w:lineRule="auto"/>
        <w:ind w:firstLine="480" w:firstLineChars="200"/>
        <w:rPr>
          <w:rFonts w:hint="eastAsia" w:ascii="宋体" w:hAnsi="宋体"/>
          <w:b/>
          <w:bCs/>
          <w:sz w:val="24"/>
          <w:szCs w:val="24"/>
        </w:rPr>
      </w:pPr>
      <w:r>
        <w:rPr>
          <w:rFonts w:hint="eastAsia" w:ascii="宋体" w:hAnsi="宋体"/>
          <w:b/>
          <w:bCs/>
          <w:color w:val="000000" w:themeColor="text1"/>
          <w:sz w:val="24"/>
          <w:szCs w:val="24"/>
          <w14:textFill>
            <w14:solidFill>
              <w14:schemeClr w14:val="tx1"/>
            </w14:solidFill>
          </w14:textFill>
        </w:rPr>
        <w:t>（4）</w:t>
      </w:r>
      <w:r>
        <w:rPr>
          <w:rFonts w:hint="eastAsia" w:ascii="宋体" w:hAnsi="宋体"/>
          <w:b/>
          <w:bCs/>
          <w:sz w:val="24"/>
          <w:szCs w:val="24"/>
        </w:rPr>
        <w:t>项目方案（</w:t>
      </w:r>
      <w:r>
        <w:rPr>
          <w:rFonts w:hint="eastAsia" w:ascii="宋体" w:hAnsi="宋体"/>
          <w:b/>
          <w:bCs/>
          <w:sz w:val="24"/>
          <w:szCs w:val="24"/>
          <w:lang w:val="en-US" w:eastAsia="zh-CN"/>
        </w:rPr>
        <w:t>38</w:t>
      </w:r>
      <w:r>
        <w:rPr>
          <w:rFonts w:hint="eastAsia" w:ascii="宋体" w:hAnsi="宋体"/>
          <w:b/>
          <w:bCs/>
          <w:sz w:val="24"/>
          <w:szCs w:val="24"/>
        </w:rPr>
        <w:t>分）：</w:t>
      </w:r>
      <w:r>
        <w:rPr>
          <w:rFonts w:ascii="宋体" w:hAnsi="宋体"/>
          <w:b/>
          <w:bCs/>
          <w:sz w:val="24"/>
          <w:szCs w:val="24"/>
        </w:rPr>
        <w:t xml:space="preserve"> 无方案不得分</w:t>
      </w:r>
      <w:r>
        <w:rPr>
          <w:rFonts w:hint="eastAsia" w:ascii="宋体" w:hAnsi="宋体"/>
          <w:b/>
          <w:bCs/>
          <w:sz w:val="24"/>
          <w:szCs w:val="24"/>
        </w:rPr>
        <w:t>。</w:t>
      </w:r>
    </w:p>
    <w:p>
      <w:pPr>
        <w:spacing w:line="360" w:lineRule="auto"/>
        <w:ind w:firstLine="480" w:firstLineChars="200"/>
        <w:rPr>
          <w:rFonts w:ascii="宋体"/>
          <w:bCs/>
          <w:sz w:val="24"/>
        </w:rPr>
      </w:pPr>
      <w:r>
        <w:rPr>
          <w:rFonts w:hint="eastAsia" w:ascii="宋体"/>
          <w:bCs/>
          <w:sz w:val="24"/>
        </w:rPr>
        <w:t>①项目组织总体设想、安装顺序及方案（10分）。优8-10分，良5-7分，一般4分。</w:t>
      </w:r>
    </w:p>
    <w:p>
      <w:pPr>
        <w:spacing w:line="360" w:lineRule="auto"/>
        <w:ind w:firstLine="480" w:firstLineChars="200"/>
        <w:rPr>
          <w:rFonts w:ascii="宋体"/>
          <w:bCs/>
          <w:sz w:val="24"/>
        </w:rPr>
      </w:pPr>
      <w:r>
        <w:rPr>
          <w:rFonts w:hint="eastAsia" w:ascii="宋体"/>
          <w:bCs/>
          <w:sz w:val="24"/>
        </w:rPr>
        <w:t>②项目计划和各阶段进度的保证措施（13分）。优11-13分，良8-10分，一般7分。</w:t>
      </w:r>
    </w:p>
    <w:p>
      <w:pPr>
        <w:spacing w:line="360" w:lineRule="auto"/>
        <w:ind w:firstLine="480" w:firstLineChars="200"/>
        <w:rPr>
          <w:rFonts w:hint="eastAsia" w:ascii="宋体"/>
          <w:bCs/>
          <w:sz w:val="24"/>
        </w:rPr>
      </w:pPr>
      <w:r>
        <w:rPr>
          <w:rFonts w:hint="eastAsia" w:ascii="宋体"/>
          <w:bCs/>
          <w:sz w:val="24"/>
        </w:rPr>
        <w:t>③安全文明安装、电子屏安装的安全保证措施及环境保护措施（10分）。优8-10分，良5-7分，一般4分。</w:t>
      </w:r>
    </w:p>
    <w:p>
      <w:pPr>
        <w:spacing w:line="360" w:lineRule="auto"/>
        <w:ind w:firstLine="480" w:firstLineChars="200"/>
        <w:rPr>
          <w:rFonts w:ascii="宋体"/>
          <w:bCs/>
          <w:sz w:val="24"/>
          <w:highlight w:val="none"/>
        </w:rPr>
      </w:pPr>
      <w:r>
        <w:rPr>
          <w:rFonts w:hint="eastAsia" w:ascii="宋体"/>
          <w:bCs/>
          <w:sz w:val="24"/>
          <w:highlight w:val="none"/>
        </w:rPr>
        <w:t>④</w:t>
      </w:r>
      <w:r>
        <w:rPr>
          <w:rFonts w:ascii="宋体"/>
          <w:bCs/>
          <w:sz w:val="24"/>
          <w:highlight w:val="none"/>
        </w:rPr>
        <w:t>培训计划</w:t>
      </w:r>
      <w:r>
        <w:rPr>
          <w:rFonts w:hint="eastAsia" w:ascii="宋体"/>
          <w:bCs/>
          <w:sz w:val="24"/>
          <w:highlight w:val="none"/>
        </w:rPr>
        <w:t>（</w:t>
      </w:r>
      <w:r>
        <w:rPr>
          <w:rFonts w:hint="eastAsia" w:ascii="宋体"/>
          <w:bCs/>
          <w:sz w:val="24"/>
          <w:highlight w:val="none"/>
          <w:lang w:val="en-US" w:eastAsia="zh-CN"/>
        </w:rPr>
        <w:t>3</w:t>
      </w:r>
      <w:r>
        <w:rPr>
          <w:rFonts w:hint="eastAsia" w:ascii="宋体"/>
          <w:bCs/>
          <w:sz w:val="24"/>
          <w:highlight w:val="none"/>
        </w:rPr>
        <w:t>分）：</w:t>
      </w:r>
      <w:r>
        <w:rPr>
          <w:rFonts w:ascii="宋体"/>
          <w:bCs/>
          <w:sz w:val="24"/>
          <w:highlight w:val="none"/>
        </w:rPr>
        <w:t>提供人员培训。</w:t>
      </w:r>
      <w:r>
        <w:rPr>
          <w:rFonts w:hint="eastAsia" w:ascii="宋体"/>
          <w:bCs/>
          <w:sz w:val="24"/>
          <w:highlight w:val="none"/>
        </w:rPr>
        <w:t>优</w:t>
      </w:r>
      <w:r>
        <w:rPr>
          <w:rFonts w:hint="eastAsia" w:ascii="宋体"/>
          <w:bCs/>
          <w:sz w:val="24"/>
          <w:highlight w:val="none"/>
          <w:lang w:val="en-US" w:eastAsia="zh-CN"/>
        </w:rPr>
        <w:t>3</w:t>
      </w:r>
      <w:r>
        <w:rPr>
          <w:rFonts w:hint="eastAsia" w:ascii="宋体"/>
          <w:bCs/>
          <w:sz w:val="24"/>
          <w:highlight w:val="none"/>
        </w:rPr>
        <w:t>分，良</w:t>
      </w:r>
      <w:r>
        <w:rPr>
          <w:rFonts w:hint="eastAsia" w:ascii="宋体"/>
          <w:bCs/>
          <w:sz w:val="24"/>
          <w:highlight w:val="none"/>
          <w:lang w:val="en-US" w:eastAsia="zh-CN"/>
        </w:rPr>
        <w:t>2</w:t>
      </w:r>
      <w:r>
        <w:rPr>
          <w:rFonts w:hint="eastAsia" w:ascii="宋体"/>
          <w:bCs/>
          <w:sz w:val="24"/>
          <w:highlight w:val="none"/>
        </w:rPr>
        <w:t>分，一般</w:t>
      </w:r>
      <w:r>
        <w:rPr>
          <w:rFonts w:hint="eastAsia" w:ascii="宋体"/>
          <w:bCs/>
          <w:sz w:val="24"/>
          <w:highlight w:val="none"/>
          <w:lang w:val="en-US" w:eastAsia="zh-CN"/>
        </w:rPr>
        <w:t>1</w:t>
      </w:r>
      <w:r>
        <w:rPr>
          <w:rFonts w:hint="eastAsia" w:ascii="宋体"/>
          <w:bCs/>
          <w:sz w:val="24"/>
          <w:highlight w:val="none"/>
        </w:rPr>
        <w:t>分。</w:t>
      </w:r>
    </w:p>
    <w:p>
      <w:pPr>
        <w:spacing w:line="360" w:lineRule="auto"/>
        <w:ind w:firstLine="480" w:firstLineChars="200"/>
        <w:rPr>
          <w:rFonts w:ascii="宋体"/>
          <w:bCs/>
          <w:sz w:val="24"/>
        </w:rPr>
      </w:pPr>
      <w:r>
        <w:rPr>
          <w:rFonts w:ascii="宋体"/>
          <w:bCs/>
          <w:sz w:val="24"/>
        </w:rPr>
        <w:fldChar w:fldCharType="begin"/>
      </w:r>
      <w:r>
        <w:rPr>
          <w:rFonts w:ascii="宋体"/>
          <w:bCs/>
          <w:sz w:val="24"/>
        </w:rPr>
        <w:instrText xml:space="preserve"> </w:instrText>
      </w:r>
      <w:r>
        <w:rPr>
          <w:rFonts w:hint="eastAsia" w:ascii="宋体"/>
          <w:bCs/>
          <w:sz w:val="24"/>
        </w:rPr>
        <w:instrText xml:space="preserve">= 5 \* GB3</w:instrText>
      </w:r>
      <w:r>
        <w:rPr>
          <w:rFonts w:ascii="宋体"/>
          <w:bCs/>
          <w:sz w:val="24"/>
        </w:rPr>
        <w:instrText xml:space="preserve"> </w:instrText>
      </w:r>
      <w:r>
        <w:rPr>
          <w:rFonts w:ascii="宋体"/>
          <w:bCs/>
          <w:sz w:val="24"/>
        </w:rPr>
        <w:fldChar w:fldCharType="separate"/>
      </w:r>
      <w:r>
        <w:rPr>
          <w:rFonts w:hint="eastAsia" w:ascii="宋体"/>
          <w:bCs/>
          <w:sz w:val="24"/>
        </w:rPr>
        <w:t>⑤</w:t>
      </w:r>
      <w:r>
        <w:rPr>
          <w:rFonts w:ascii="宋体"/>
          <w:bCs/>
          <w:sz w:val="24"/>
        </w:rPr>
        <w:fldChar w:fldCharType="end"/>
      </w:r>
      <w:r>
        <w:rPr>
          <w:rFonts w:ascii="宋体"/>
          <w:bCs/>
          <w:sz w:val="24"/>
        </w:rPr>
        <w:t>提供完备的服务体系及配套的管理制度、技术力量配备</w:t>
      </w:r>
      <w:r>
        <w:rPr>
          <w:rFonts w:hint="eastAsia" w:ascii="宋体"/>
          <w:bCs/>
          <w:sz w:val="24"/>
        </w:rPr>
        <w:t>（2分）。</w:t>
      </w:r>
    </w:p>
    <w:p>
      <w:pPr>
        <w:tabs>
          <w:tab w:val="left" w:pos="846"/>
          <w:tab w:val="left" w:pos="945"/>
          <w:tab w:val="left" w:pos="1155"/>
        </w:tabs>
        <w:spacing w:line="360" w:lineRule="auto"/>
        <w:ind w:firstLine="480" w:firstLineChars="200"/>
        <w:outlineLvl w:val="2"/>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（5）投标文件的评价（2分）：</w:t>
      </w:r>
      <w:r>
        <w:rPr>
          <w:rFonts w:hint="eastAsia" w:ascii="宋体" w:hAnsi="宋体"/>
          <w:color w:val="000000" w:themeColor="text1"/>
          <w:sz w:val="24"/>
          <w:szCs w:val="24"/>
          <w14:textFill>
            <w14:solidFill>
              <w14:schemeClr w14:val="tx1"/>
            </w14:solidFill>
          </w14:textFill>
        </w:rPr>
        <w:t>制</w:t>
      </w:r>
      <w:r>
        <w:rPr>
          <w:rFonts w:hint="eastAsia" w:ascii="宋体"/>
          <w:color w:val="000000" w:themeColor="text1"/>
          <w:sz w:val="24"/>
          <w:szCs w:val="24"/>
          <w14:textFill>
            <w14:solidFill>
              <w14:schemeClr w14:val="tx1"/>
            </w14:solidFill>
          </w14:textFill>
        </w:rPr>
        <w:t>作规</w:t>
      </w:r>
      <w:r>
        <w:rPr>
          <w:rFonts w:hint="eastAsia" w:ascii="宋体"/>
          <w:bCs/>
          <w:color w:val="000000" w:themeColor="text1"/>
          <w:sz w:val="24"/>
          <w:szCs w:val="24"/>
          <w14:textFill>
            <w14:solidFill>
              <w14:schemeClr w14:val="tx1"/>
            </w14:solidFill>
          </w14:textFill>
        </w:rPr>
        <w:t>范性和表述清晰程度。</w:t>
      </w:r>
    </w:p>
    <w:p>
      <w:pPr>
        <w:tabs>
          <w:tab w:val="left" w:pos="945"/>
          <w:tab w:val="left" w:pos="1155"/>
        </w:tabs>
        <w:spacing w:line="360" w:lineRule="auto"/>
        <w:ind w:firstLine="480" w:firstLineChars="200"/>
        <w:rPr>
          <w:rFonts w:ascii="宋体" w:hAnsi="宋体" w:cs="宋体"/>
          <w:sz w:val="24"/>
          <w:szCs w:val="24"/>
        </w:rPr>
      </w:pPr>
      <w:r>
        <w:rPr>
          <w:rFonts w:hint="eastAsia" w:ascii="宋体" w:hAnsi="宋体"/>
          <w:b/>
          <w:bCs/>
          <w:color w:val="000000" w:themeColor="text1"/>
          <w:sz w:val="24"/>
          <w:szCs w:val="24"/>
          <w14:textFill>
            <w14:solidFill>
              <w14:schemeClr w14:val="tx1"/>
            </w14:solidFill>
          </w14:textFill>
        </w:rPr>
        <w:t>（6）加分因素：</w:t>
      </w:r>
      <w:r>
        <w:rPr>
          <w:rFonts w:hint="eastAsia" w:ascii="宋体" w:hAnsi="宋体" w:cs="宋体"/>
          <w:sz w:val="24"/>
          <w:szCs w:val="24"/>
        </w:rPr>
        <w:t>依据财政部、发展改革委发布的《节能产品政府采购品目清单》和财政部、</w:t>
      </w:r>
    </w:p>
    <w:p>
      <w:pPr>
        <w:tabs>
          <w:tab w:val="left" w:pos="945"/>
          <w:tab w:val="left" w:pos="1155"/>
        </w:tabs>
        <w:spacing w:line="360" w:lineRule="auto"/>
        <w:rPr>
          <w:rFonts w:ascii="宋体" w:hAnsi="宋体" w:cs="宋体"/>
          <w:sz w:val="24"/>
          <w:szCs w:val="24"/>
        </w:rPr>
      </w:pPr>
      <w:r>
        <w:rPr>
          <w:rFonts w:hint="eastAsia" w:ascii="宋体" w:hAnsi="宋体" w:cs="宋体"/>
          <w:sz w:val="24"/>
          <w:szCs w:val="24"/>
        </w:rPr>
        <w:t>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附件二：投标文件格式</w:t>
      </w:r>
    </w:p>
    <w:p>
      <w:pPr>
        <w:rPr>
          <w:rFonts w:ascii="黑体" w:eastAsia="黑体"/>
          <w:bCs/>
          <w:color w:val="000000" w:themeColor="text1"/>
          <w:sz w:val="32"/>
          <w14:textFill>
            <w14:solidFill>
              <w14:schemeClr w14:val="tx1"/>
            </w14:solidFill>
          </w14:textFill>
        </w:rPr>
      </w:pP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投</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标</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文</w:t>
      </w:r>
    </w:p>
    <w:p>
      <w:pPr>
        <w:jc w:val="center"/>
        <w:rPr>
          <w:rFonts w:ascii="黑体" w:eastAsia="黑体"/>
          <w:bCs/>
          <w:color w:val="000000" w:themeColor="text1"/>
          <w:sz w:val="52"/>
          <w:szCs w:val="5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件</w:t>
      </w:r>
    </w:p>
    <w:p>
      <w:pPr>
        <w:rPr>
          <w:rFonts w:ascii="楷体_GB2312" w:eastAsia="楷体_GB2312"/>
          <w:bCs/>
          <w:color w:val="000000" w:themeColor="text1"/>
          <w:sz w:val="72"/>
          <w14:textFill>
            <w14:solidFill>
              <w14:schemeClr w14:val="tx1"/>
            </w14:solidFill>
          </w14:textFill>
        </w:rPr>
      </w:pPr>
    </w:p>
    <w:p>
      <w:pPr>
        <w:rPr>
          <w:rFonts w:ascii="楷体_GB2312" w:eastAsia="楷体_GB2312"/>
          <w:bCs/>
          <w:color w:val="000000" w:themeColor="text1"/>
          <w:sz w:val="28"/>
          <w14:textFill>
            <w14:solidFill>
              <w14:schemeClr w14:val="tx1"/>
            </w14:solidFill>
          </w14:textFill>
        </w:rPr>
      </w:pPr>
    </w:p>
    <w:p>
      <w:pPr>
        <w:ind w:firstLine="2715"/>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采购项目编号：</w:t>
      </w:r>
      <w:r>
        <w:rPr>
          <w:rFonts w:hint="eastAsia" w:ascii="黑体" w:eastAsia="黑体"/>
          <w:bCs/>
          <w:color w:val="000000" w:themeColor="text1"/>
          <w:sz w:val="28"/>
          <w:szCs w:val="28"/>
          <w:lang w:eastAsia="zh-CN"/>
          <w14:textFill>
            <w14:solidFill>
              <w14:schemeClr w14:val="tx1"/>
            </w14:solidFill>
          </w14:textFill>
        </w:rPr>
        <w:t>LXZC2021-032(2)</w:t>
      </w:r>
    </w:p>
    <w:p>
      <w:pPr>
        <w:ind w:firstLine="2703"/>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采购项目名称：</w:t>
      </w:r>
      <w:r>
        <w:rPr>
          <w:rFonts w:hint="eastAsia" w:ascii="黑体" w:eastAsia="黑体"/>
          <w:bCs/>
          <w:color w:val="000000" w:themeColor="text1"/>
          <w:sz w:val="28"/>
          <w:szCs w:val="28"/>
          <w:lang w:eastAsia="zh-CN"/>
          <w14:textFill>
            <w14:solidFill>
              <w14:schemeClr w14:val="tx1"/>
            </w14:solidFill>
          </w14:textFill>
        </w:rPr>
        <w:t>扬名街道金星社区金星大厦户外电子屏采购项目（第二次）</w:t>
      </w:r>
    </w:p>
    <w:p>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投标人：</w:t>
      </w: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36"/>
          <w:szCs w:val="36"/>
          <w14:textFill>
            <w14:solidFill>
              <w14:schemeClr w14:val="tx1"/>
            </w14:solidFill>
          </w14:textFill>
        </w:rPr>
      </w:pPr>
      <w:r>
        <w:rPr>
          <w:rFonts w:hint="eastAsia" w:ascii="黑体" w:eastAsia="黑体"/>
          <w:bCs/>
          <w:color w:val="000000" w:themeColor="text1"/>
          <w:sz w:val="36"/>
          <w:szCs w:val="36"/>
          <w14:textFill>
            <w14:solidFill>
              <w14:schemeClr w14:val="tx1"/>
            </w14:solidFill>
          </w14:textFill>
        </w:rPr>
        <w:t>二○二一年</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月</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日</w:t>
      </w:r>
    </w:p>
    <w:p>
      <w:pPr>
        <w:outlineLvl w:val="0"/>
        <w:rPr>
          <w:rFonts w:ascii="黑体" w:hAnsi="宋体" w:eastAsia="黑体"/>
          <w:bCs/>
          <w:color w:val="000000" w:themeColor="text1"/>
          <w:sz w:val="24"/>
          <w:szCs w:val="24"/>
          <w14:textFill>
            <w14:solidFill>
              <w14:schemeClr w14:val="tx1"/>
            </w14:solidFill>
          </w14:textFill>
        </w:rPr>
      </w:pPr>
      <w:bookmarkStart w:id="2" w:name="一．报价函（格式）"/>
      <w:bookmarkEnd w:id="2"/>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（一）投标函（格式）：</w:t>
      </w:r>
    </w:p>
    <w:p>
      <w:pPr>
        <w:outlineLvl w:val="0"/>
        <w:rPr>
          <w:rFonts w:ascii="宋体"/>
          <w:b/>
          <w:bCs/>
          <w:color w:val="000000" w:themeColor="text1"/>
          <w:sz w:val="24"/>
          <w:szCs w:val="24"/>
          <w14:textFill>
            <w14:solidFill>
              <w14:schemeClr w14:val="tx1"/>
            </w14:solidFill>
          </w14:textFill>
        </w:rPr>
      </w:pPr>
    </w:p>
    <w:p>
      <w:pPr>
        <w:spacing w:line="360" w:lineRule="auto"/>
        <w:jc w:val="center"/>
        <w:rPr>
          <w:rFonts w:ascii="宋体"/>
          <w:bCs/>
          <w:color w:val="000000" w:themeColor="text1"/>
          <w:sz w:val="24"/>
          <w:szCs w:val="24"/>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投标函</w:t>
      </w:r>
    </w:p>
    <w:p>
      <w:pPr>
        <w:spacing w:line="36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致无锡市公共资源交易中心梁溪分中心：</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我方收到贵方编号</w:t>
      </w:r>
      <w:r>
        <w:rPr>
          <w:rFonts w:hint="eastAsia" w:ascii="宋体" w:hAnsi="宋体"/>
          <w:bCs/>
          <w:color w:val="000000" w:themeColor="text1"/>
          <w:sz w:val="24"/>
          <w:szCs w:val="24"/>
          <w:lang w:eastAsia="zh-CN"/>
          <w14:textFill>
            <w14:solidFill>
              <w14:schemeClr w14:val="tx1"/>
            </w14:solidFill>
          </w14:textFill>
        </w:rPr>
        <w:t>LXZC2021-032(2)</w:t>
      </w:r>
      <w:r>
        <w:rPr>
          <w:rFonts w:hint="eastAsia" w:ascii="宋体" w:hAnsi="宋体"/>
          <w:bCs/>
          <w:color w:val="000000" w:themeColor="text1"/>
          <w:sz w:val="24"/>
          <w:szCs w:val="24"/>
          <w14:textFill>
            <w14:solidFill>
              <w14:schemeClr w14:val="tx1"/>
            </w14:solidFill>
          </w14:textFill>
        </w:rPr>
        <w:t>招标文件，经仔细阅读和研究，我方决定参加此项目的投标。</w:t>
      </w:r>
    </w:p>
    <w:p>
      <w:pPr>
        <w:numPr>
          <w:ilvl w:val="0"/>
          <w:numId w:val="25"/>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我方愿意按照招标文件的一切要求，提供本项目的投标，投标总价见《开标一览表》。</w:t>
      </w:r>
    </w:p>
    <w:p>
      <w:pPr>
        <w:numPr>
          <w:ilvl w:val="0"/>
          <w:numId w:val="25"/>
        </w:numPr>
        <w:tabs>
          <w:tab w:val="left" w:pos="0"/>
          <w:tab w:val="left" w:pos="315"/>
          <w:tab w:val="left" w:pos="525"/>
          <w:tab w:val="left" w:pos="840"/>
          <w:tab w:val="left" w:pos="945"/>
          <w:tab w:val="left" w:pos="1050"/>
          <w:tab w:val="clear" w:pos="552"/>
        </w:tabs>
        <w:spacing w:line="360" w:lineRule="auto"/>
        <w:ind w:left="0" w:firstLine="523" w:firstLineChars="218"/>
        <w:rPr>
          <w:rStyle w:val="28"/>
          <w:rFonts w:hAnsi="Times New Roman" w:cs="Times New Roman"/>
          <w:bCs/>
          <w:color w:val="000000" w:themeColor="text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我方愿意提供无锡市公共资源交易中心梁溪分中心在招标文件中要求的文件、资料。</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我方同意按招标文件中的规定，本投标文件投标的有效期限为开标之日起</w:t>
      </w:r>
      <w:r>
        <w:rPr>
          <w:rFonts w:ascii="宋体" w:hAnsi="宋体"/>
          <w:bCs/>
          <w:color w:val="000000" w:themeColor="text1"/>
          <w:sz w:val="24"/>
          <w:szCs w:val="24"/>
          <w14:textFill>
            <w14:solidFill>
              <w14:schemeClr w14:val="tx1"/>
            </w14:solidFill>
          </w14:textFill>
        </w:rPr>
        <w:t>90</w:t>
      </w:r>
      <w:r>
        <w:rPr>
          <w:rFonts w:hint="eastAsia" w:ascii="宋体" w:hAnsi="宋体"/>
          <w:bCs/>
          <w:color w:val="000000" w:themeColor="text1"/>
          <w:sz w:val="24"/>
          <w:szCs w:val="24"/>
          <w14:textFill>
            <w14:solidFill>
              <w14:schemeClr w14:val="tx1"/>
            </w14:solidFill>
          </w14:textFill>
        </w:rPr>
        <w:t>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如果我方的投标文件被接受，我方将履行招标文件中规定的每一项要求，按期、按质、按量，完成交货任务。</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我方认为贵中心有权决定中标者。</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我方愿意遵守《中华人民共和国政府采购法》，并按《中华人民共和国</w:t>
      </w:r>
      <w:r>
        <w:rPr>
          <w:rFonts w:hint="eastAsia" w:ascii="宋体" w:hAnsi="宋体"/>
          <w:bCs/>
          <w:color w:val="000000" w:themeColor="text1"/>
          <w:sz w:val="24"/>
          <w:szCs w:val="24"/>
          <w:lang w:val="en-US" w:eastAsia="zh-CN"/>
          <w14:textFill>
            <w14:solidFill>
              <w14:schemeClr w14:val="tx1"/>
            </w14:solidFill>
          </w14:textFill>
        </w:rPr>
        <w:t>民法典</w:t>
      </w:r>
      <w:r>
        <w:rPr>
          <w:rFonts w:hint="eastAsia" w:ascii="宋体" w:hAnsi="宋体"/>
          <w:bCs/>
          <w:color w:val="000000" w:themeColor="text1"/>
          <w:sz w:val="24"/>
          <w:szCs w:val="24"/>
          <w14:textFill>
            <w14:solidFill>
              <w14:schemeClr w14:val="tx1"/>
            </w14:solidFill>
          </w14:textFill>
        </w:rPr>
        <w:t>》、财政部《政府采购货物和服务招标投标管理办法》</w:t>
      </w:r>
      <w:r>
        <w:rPr>
          <w:rFonts w:hint="eastAsia" w:ascii="宋体" w:hAnsi="宋体"/>
          <w:color w:val="000000" w:themeColor="text1"/>
          <w:sz w:val="24"/>
          <w:szCs w:val="24"/>
          <w14:textFill>
            <w14:solidFill>
              <w14:schemeClr w14:val="tx1"/>
            </w14:solidFill>
          </w14:textFill>
        </w:rPr>
        <w:t>和</w:t>
      </w:r>
      <w:r>
        <w:rPr>
          <w:rFonts w:hint="eastAsia" w:ascii="宋体" w:hAnsi="宋体"/>
          <w:bCs/>
          <w:color w:val="000000" w:themeColor="text1"/>
          <w:sz w:val="24"/>
          <w:szCs w:val="24"/>
          <w14:textFill>
            <w14:solidFill>
              <w14:schemeClr w14:val="tx1"/>
            </w14:solidFill>
          </w14:textFill>
        </w:rPr>
        <w:t>合同条款履行自己的全部责任。</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我方认可并遵守招标文件的所有规定，放弃对招标文件提出质疑的权利。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我方愿意按招标文件的规定提交《投标（报价）承诺函》。如我方在投标截止期后撤回投标及中标后拒绝遵守投标承诺或拒绝在规定的时间内与采购人签订合同，则接受政府采购监督管理部门的处理。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如果我方被确定为中标供应商，我方愿意</w:t>
      </w:r>
      <w:r>
        <w:rPr>
          <w:rFonts w:hint="eastAsia" w:ascii="宋体" w:hAnsi="宋体"/>
          <w:color w:val="000000" w:themeColor="text1"/>
          <w:sz w:val="24"/>
          <w:szCs w:val="24"/>
          <w14:textFill>
            <w14:solidFill>
              <w14:schemeClr w14:val="tx1"/>
            </w14:solidFill>
          </w14:textFill>
        </w:rPr>
        <w:t>向</w:t>
      </w:r>
      <w:r>
        <w:rPr>
          <w:rFonts w:hint="eastAsia" w:ascii="宋体" w:hAnsi="宋体"/>
          <w:bCs/>
          <w:color w:val="000000" w:themeColor="text1"/>
          <w:sz w:val="24"/>
          <w:szCs w:val="24"/>
          <w14:textFill>
            <w14:solidFill>
              <w14:schemeClr w14:val="tx1"/>
            </w14:solidFill>
          </w14:textFill>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color w:val="000000" w:themeColor="text1"/>
          <w:sz w:val="24"/>
          <w:szCs w:val="24"/>
          <w14:textFill>
            <w14:solidFill>
              <w14:schemeClr w14:val="tx1"/>
            </w14:solidFill>
          </w14:textFill>
        </w:rPr>
      </w:pP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投标人（盖章）：</w:t>
      </w:r>
      <w:r>
        <w:rPr>
          <w:rFonts w:ascii="宋体" w:hAnsi="宋体"/>
          <w:bCs/>
          <w:color w:val="000000" w:themeColor="text1"/>
          <w:sz w:val="24"/>
          <w:szCs w:val="24"/>
          <w14:textFill>
            <w14:solidFill>
              <w14:schemeClr w14:val="tx1"/>
            </w14:solidFill>
          </w14:textFill>
        </w:rPr>
        <w:t xml:space="preserve">     </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电话：</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传真：</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通讯地址：</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邮编：</w:t>
      </w:r>
    </w:p>
    <w:p>
      <w:pPr>
        <w:spacing w:line="400" w:lineRule="exact"/>
        <w:ind w:firstLine="480" w:firstLineChars="200"/>
        <w:rPr>
          <w:rFonts w:ascii="宋体" w:hAns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（二）（投标人）关于资格的声明函（格式）：</w:t>
      </w:r>
    </w:p>
    <w:p>
      <w:pPr>
        <w:spacing w:line="360" w:lineRule="auto"/>
        <w:rPr>
          <w:rFonts w:ascii="黑体" w:eastAsia="黑体"/>
          <w:bCs/>
          <w:color w:val="000000" w:themeColor="text1"/>
          <w:sz w:val="36"/>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bookmarkStart w:id="3" w:name="报价方关于资格的声明函（格式）"/>
      <w:bookmarkEnd w:id="3"/>
      <w:r>
        <w:rPr>
          <w:rFonts w:hint="eastAsia" w:ascii="黑体" w:eastAsia="黑体"/>
          <w:bCs/>
          <w:color w:val="000000" w:themeColor="text1"/>
          <w:sz w:val="28"/>
          <w:szCs w:val="28"/>
          <w14:textFill>
            <w14:solidFill>
              <w14:schemeClr w14:val="tx1"/>
            </w14:solidFill>
          </w14:textFill>
        </w:rPr>
        <w:t>关于资格的声明函</w:t>
      </w:r>
    </w:p>
    <w:p>
      <w:pPr>
        <w:jc w:val="center"/>
        <w:rPr>
          <w:rFonts w:ascii="黑体" w:eastAsia="黑体"/>
          <w:bCs/>
          <w:color w:val="000000" w:themeColor="text1"/>
          <w:sz w:val="32"/>
          <w14:textFill>
            <w14:solidFill>
              <w14:schemeClr w14:val="tx1"/>
            </w14:solidFill>
          </w14:textFill>
        </w:rPr>
      </w:pPr>
    </w:p>
    <w:p>
      <w:pPr>
        <w:spacing w:line="480" w:lineRule="auto"/>
        <w:jc w:val="center"/>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tabs>
          <w:tab w:val="left" w:pos="6300"/>
        </w:tabs>
        <w:spacing w:line="480" w:lineRule="auto"/>
        <w:jc w:val="center"/>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480" w:lineRule="auto"/>
        <w:jc w:val="center"/>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p>
    <w:p>
      <w:pPr>
        <w:spacing w:line="48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我公司（单位）参加本次项目（</w:t>
      </w:r>
      <w:r>
        <w:rPr>
          <w:rFonts w:hint="eastAsia" w:ascii="黑体" w:eastAsia="黑体"/>
          <w:bCs/>
          <w:color w:val="000000" w:themeColor="text1"/>
          <w:sz w:val="24"/>
          <w:szCs w:val="24"/>
          <w:lang w:eastAsia="zh-CN"/>
          <w14:textFill>
            <w14:solidFill>
              <w14:schemeClr w14:val="tx1"/>
            </w14:solidFill>
          </w14:textFill>
        </w:rPr>
        <w:t>LXZC2021-032(2)</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政府采购活动前三年内，在经营活动中没有重大违法记录，我公司（单位）愿针对本次项目（</w:t>
      </w:r>
      <w:r>
        <w:rPr>
          <w:rFonts w:hint="eastAsia" w:ascii="黑体" w:eastAsia="黑体"/>
          <w:bCs/>
          <w:color w:val="000000" w:themeColor="text1"/>
          <w:sz w:val="24"/>
          <w:szCs w:val="24"/>
          <w:lang w:eastAsia="zh-CN"/>
          <w14:textFill>
            <w14:solidFill>
              <w14:schemeClr w14:val="tx1"/>
            </w14:solidFill>
          </w14:textFill>
        </w:rPr>
        <w:t>LXZC2021-032(2)</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进行投标，投标文件中所有关于投标资格的文件、证明、陈述均是真实的、准确的。若有违背，我公司（单位）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愿意承担由此而产生的一切后果。</w:t>
      </w:r>
    </w:p>
    <w:p>
      <w:pPr>
        <w:spacing w:line="480" w:lineRule="auto"/>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投标人（盖章）：</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备注：上述所称“重大违法记录”,是指供应商因违法经营受到刑事处罚或者责令停产停业、吊销许可证或者执照、较大数额罚款等行政处罚。</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（三）（投标人）法定代表人授权委托书（格式）：</w:t>
      </w: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600" w:lineRule="exact"/>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580" w:lineRule="exact"/>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系中华人民共和国合法公司（单位），特授权</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代表我公司（单位）全权办理针对本项目（</w:t>
      </w:r>
      <w:r>
        <w:rPr>
          <w:rFonts w:hint="eastAsia" w:ascii="黑体" w:eastAsia="黑体"/>
          <w:bCs/>
          <w:color w:val="000000" w:themeColor="text1"/>
          <w:sz w:val="24"/>
          <w:szCs w:val="24"/>
          <w:lang w:eastAsia="zh-CN"/>
          <w14:textFill>
            <w14:solidFill>
              <w14:schemeClr w14:val="tx1"/>
            </w14:solidFill>
          </w14:textFill>
        </w:rPr>
        <w:t>LXZC2021-032(2)</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的投标、参与开标、评标、签约等具体工作，并签署全部有关的文件、协议及合同。</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我公司（单位）对被授权代表的签名负全部责任。</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被授权代表情况：</w:t>
      </w:r>
    </w:p>
    <w:p>
      <w:pPr>
        <w:spacing w:line="580" w:lineRule="exact"/>
        <w:ind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性别：</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电话：</w:t>
      </w: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080" w:firstLineChars="17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法定代表人（签字或盖章）：</w:t>
      </w:r>
    </w:p>
    <w:p>
      <w:pPr>
        <w:spacing w:line="580" w:lineRule="exact"/>
        <w:ind w:firstLine="420"/>
        <w:rPr>
          <w:rFonts w:ascii="宋体"/>
          <w:bCs/>
          <w:color w:val="000000" w:themeColor="text1"/>
          <w:sz w:val="24"/>
          <w:szCs w:val="24"/>
          <w14:textFill>
            <w14:solidFill>
              <w14:schemeClr w14:val="tx1"/>
            </w14:solidFill>
          </w14:textFill>
        </w:rPr>
      </w:pPr>
    </w:p>
    <w:p>
      <w:pPr>
        <w:spacing w:line="580" w:lineRule="exact"/>
        <w:ind w:firstLine="420"/>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pStyle w:val="2"/>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（四）（投标人）中小企业声明函（格式）：</w:t>
      </w:r>
    </w:p>
    <w:p>
      <w:pPr>
        <w:spacing w:line="480" w:lineRule="auto"/>
        <w:rPr>
          <w:rFonts w:ascii="宋体"/>
          <w:bCs/>
          <w:color w:val="000000" w:themeColor="text1"/>
          <w:sz w:val="24"/>
          <w:szCs w:val="24"/>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ascii="黑体" w:eastAsia="黑体"/>
          <w:bCs/>
          <w:color w:val="000000" w:themeColor="text1"/>
          <w:sz w:val="28"/>
          <w:szCs w:val="28"/>
          <w14:textFill>
            <w14:solidFill>
              <w14:schemeClr w14:val="tx1"/>
            </w14:solidFill>
          </w14:textFill>
        </w:rPr>
        <w:t>中小企业声明函（货物）</w:t>
      </w:r>
    </w:p>
    <w:p>
      <w:pPr>
        <w:rPr>
          <w:color w:val="000000" w:themeColor="text1"/>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本公司（联合体）郑重声明，根据《政府采购促进中小企业发展管理办法》（财库﹝2020﹞46 号）的规定，本公司 （联合体）参加</w:t>
      </w:r>
      <w:r>
        <w:rPr>
          <w:rFonts w:ascii="宋体" w:hAnsi="宋体"/>
          <w:bCs/>
          <w:color w:val="000000" w:themeColor="text1"/>
          <w:sz w:val="24"/>
          <w:szCs w:val="24"/>
          <w:u w:val="single"/>
          <w14:textFill>
            <w14:solidFill>
              <w14:schemeClr w14:val="tx1"/>
            </w14:solidFill>
          </w14:textFill>
        </w:rPr>
        <w:t>（单位名称）</w:t>
      </w:r>
      <w:r>
        <w:rPr>
          <w:rFonts w:ascii="宋体" w:hAnsi="宋体"/>
          <w:bCs/>
          <w:color w:val="000000" w:themeColor="text1"/>
          <w:sz w:val="24"/>
          <w:szCs w:val="24"/>
          <w14:textFill>
            <w14:solidFill>
              <w14:schemeClr w14:val="tx1"/>
            </w14:solidFill>
          </w14:textFill>
        </w:rPr>
        <w:t>的</w:t>
      </w:r>
      <w:r>
        <w:rPr>
          <w:rFonts w:ascii="宋体" w:hAnsi="宋体"/>
          <w:bCs/>
          <w:color w:val="000000" w:themeColor="text1"/>
          <w:sz w:val="24"/>
          <w:szCs w:val="24"/>
          <w:u w:val="single"/>
          <w14:textFill>
            <w14:solidFill>
              <w14:schemeClr w14:val="tx1"/>
            </w14:solidFill>
          </w14:textFill>
        </w:rPr>
        <w:t>（项目名称）</w:t>
      </w:r>
      <w:r>
        <w:rPr>
          <w:rFonts w:ascii="宋体" w:hAnsi="宋体"/>
          <w:bCs/>
          <w:color w:val="000000" w:themeColor="text1"/>
          <w:sz w:val="24"/>
          <w:szCs w:val="24"/>
          <w14:textFill>
            <w14:solidFill>
              <w14:schemeClr w14:val="tx1"/>
            </w14:solidFill>
          </w14:textFill>
        </w:rPr>
        <w:t>采购活动，提供的货物全部由符合政策要求的中小企业制造。相关企业 （含联合体中的中小企业、签订分包意向协议的中小企业）的具体情况如下：</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1. </w:t>
      </w:r>
      <w:r>
        <w:rPr>
          <w:rFonts w:ascii="宋体" w:hAnsi="宋体"/>
          <w:bCs/>
          <w:color w:val="000000" w:themeColor="text1"/>
          <w:sz w:val="24"/>
          <w:szCs w:val="24"/>
          <w:u w:val="single"/>
          <w14:textFill>
            <w14:solidFill>
              <w14:schemeClr w14:val="tx1"/>
            </w14:solidFill>
          </w14:textFill>
        </w:rPr>
        <w:t xml:space="preserve">（标的名称） </w:t>
      </w:r>
      <w:r>
        <w:rPr>
          <w:rFonts w:ascii="宋体" w:hAnsi="宋体"/>
          <w:bCs/>
          <w:color w:val="000000" w:themeColor="text1"/>
          <w:sz w:val="24"/>
          <w:szCs w:val="24"/>
          <w14:textFill>
            <w14:solidFill>
              <w14:schemeClr w14:val="tx1"/>
            </w14:solidFill>
          </w14:textFill>
        </w:rPr>
        <w:t>，属于</w:t>
      </w:r>
      <w:r>
        <w:rPr>
          <w:rFonts w:ascii="宋体" w:hAnsi="宋体"/>
          <w:bCs/>
          <w:color w:val="000000" w:themeColor="text1"/>
          <w:sz w:val="24"/>
          <w:szCs w:val="24"/>
          <w:u w:val="single"/>
          <w14:textFill>
            <w14:solidFill>
              <w14:schemeClr w14:val="tx1"/>
            </w14:solidFill>
          </w14:textFill>
        </w:rPr>
        <w:t>（采购文件中明确的所属行业） 行业</w:t>
      </w:r>
      <w:r>
        <w:rPr>
          <w:rFonts w:ascii="宋体" w:hAnsi="宋体"/>
          <w:bCs/>
          <w:color w:val="000000" w:themeColor="text1"/>
          <w:sz w:val="24"/>
          <w:szCs w:val="24"/>
          <w14:textFill>
            <w14:solidFill>
              <w14:schemeClr w14:val="tx1"/>
            </w14:solidFill>
          </w14:textFill>
        </w:rPr>
        <w:t>；制造商为</w:t>
      </w:r>
      <w:r>
        <w:rPr>
          <w:rFonts w:ascii="宋体" w:hAnsi="宋体"/>
          <w:bCs/>
          <w:color w:val="000000" w:themeColor="text1"/>
          <w:sz w:val="24"/>
          <w:szCs w:val="24"/>
          <w:u w:val="single"/>
          <w14:textFill>
            <w14:solidFill>
              <w14:schemeClr w14:val="tx1"/>
            </w14:solidFill>
          </w14:textFill>
        </w:rPr>
        <w:t>（企业名称）</w:t>
      </w:r>
      <w:r>
        <w:rPr>
          <w:rFonts w:ascii="宋体" w:hAnsi="宋体"/>
          <w:bCs/>
          <w:color w:val="000000" w:themeColor="text1"/>
          <w:sz w:val="24"/>
          <w:szCs w:val="24"/>
          <w14:textFill>
            <w14:solidFill>
              <w14:schemeClr w14:val="tx1"/>
            </w14:solidFill>
          </w14:textFill>
        </w:rPr>
        <w:t>，从业人员</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人，营业收入为</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万元，资产总额为</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万元，属于</w:t>
      </w:r>
      <w:r>
        <w:rPr>
          <w:rFonts w:ascii="宋体" w:hAnsi="宋体"/>
          <w:bCs/>
          <w:color w:val="000000" w:themeColor="text1"/>
          <w:sz w:val="24"/>
          <w:szCs w:val="24"/>
          <w:u w:val="single"/>
          <w14:textFill>
            <w14:solidFill>
              <w14:schemeClr w14:val="tx1"/>
            </w14:solidFill>
          </w14:textFill>
        </w:rPr>
        <w:t>（中型企业、小 型企业、微型企业）</w:t>
      </w:r>
      <w:r>
        <w:rPr>
          <w:rFonts w:ascii="宋体" w:hAnsi="宋体"/>
          <w:bCs/>
          <w:color w:val="000000" w:themeColor="text1"/>
          <w:sz w:val="24"/>
          <w:szCs w:val="24"/>
          <w14:textFill>
            <w14:solidFill>
              <w14:schemeClr w14:val="tx1"/>
            </w14:solidFill>
          </w14:textFill>
        </w:rPr>
        <w:t>；</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ascii="宋体" w:hAnsi="宋体"/>
          <w:bCs/>
          <w:color w:val="000000" w:themeColor="text1"/>
          <w:sz w:val="24"/>
          <w:szCs w:val="24"/>
          <w:u w:val="single"/>
          <w14:textFill>
            <w14:solidFill>
              <w14:schemeClr w14:val="tx1"/>
            </w14:solidFill>
          </w14:textFill>
        </w:rPr>
        <w:t xml:space="preserve"> （标的名称） </w:t>
      </w:r>
      <w:r>
        <w:rPr>
          <w:rFonts w:ascii="宋体" w:hAnsi="宋体"/>
          <w:bCs/>
          <w:color w:val="000000" w:themeColor="text1"/>
          <w:sz w:val="24"/>
          <w:szCs w:val="24"/>
          <w14:textFill>
            <w14:solidFill>
              <w14:schemeClr w14:val="tx1"/>
            </w14:solidFill>
          </w14:textFill>
        </w:rPr>
        <w:t>，属于</w:t>
      </w:r>
      <w:r>
        <w:rPr>
          <w:rFonts w:ascii="宋体" w:hAnsi="宋体"/>
          <w:bCs/>
          <w:color w:val="000000" w:themeColor="text1"/>
          <w:sz w:val="24"/>
          <w:szCs w:val="24"/>
          <w:u w:val="single"/>
          <w14:textFill>
            <w14:solidFill>
              <w14:schemeClr w14:val="tx1"/>
            </w14:solidFill>
          </w14:textFill>
        </w:rPr>
        <w:t>（采购文件中明确的所属行业） 行业</w:t>
      </w:r>
      <w:r>
        <w:rPr>
          <w:rFonts w:ascii="宋体" w:hAnsi="宋体"/>
          <w:bCs/>
          <w:color w:val="000000" w:themeColor="text1"/>
          <w:sz w:val="24"/>
          <w:szCs w:val="24"/>
          <w14:textFill>
            <w14:solidFill>
              <w14:schemeClr w14:val="tx1"/>
            </w14:solidFill>
          </w14:textFill>
        </w:rPr>
        <w:t>；制造商为</w:t>
      </w:r>
      <w:r>
        <w:rPr>
          <w:rFonts w:ascii="宋体" w:hAnsi="宋体"/>
          <w:bCs/>
          <w:color w:val="000000" w:themeColor="text1"/>
          <w:sz w:val="24"/>
          <w:szCs w:val="24"/>
          <w:u w:val="single"/>
          <w14:textFill>
            <w14:solidFill>
              <w14:schemeClr w14:val="tx1"/>
            </w14:solidFill>
          </w14:textFill>
        </w:rPr>
        <w:t>（企业名称）</w:t>
      </w:r>
      <w:r>
        <w:rPr>
          <w:rFonts w:ascii="宋体" w:hAnsi="宋体"/>
          <w:bCs/>
          <w:color w:val="000000" w:themeColor="text1"/>
          <w:sz w:val="24"/>
          <w:szCs w:val="24"/>
          <w14:textFill>
            <w14:solidFill>
              <w14:schemeClr w14:val="tx1"/>
            </w14:solidFill>
          </w14:textFill>
        </w:rPr>
        <w:t>，从业人员</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人，营业收入为</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万元，资产总额为</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万元，属于</w:t>
      </w:r>
      <w:r>
        <w:rPr>
          <w:rFonts w:ascii="宋体" w:hAnsi="宋体"/>
          <w:bCs/>
          <w:color w:val="000000" w:themeColor="text1"/>
          <w:sz w:val="24"/>
          <w:szCs w:val="24"/>
          <w:u w:val="single"/>
          <w14:textFill>
            <w14:solidFill>
              <w14:schemeClr w14:val="tx1"/>
            </w14:solidFill>
          </w14:textFill>
        </w:rPr>
        <w:t>（中型企业、小 型企业、微型企业）</w:t>
      </w:r>
      <w:r>
        <w:rPr>
          <w:rFonts w:ascii="宋体" w:hAnsi="宋体"/>
          <w:bCs/>
          <w:color w:val="000000" w:themeColor="text1"/>
          <w:sz w:val="24"/>
          <w:szCs w:val="24"/>
          <w14:textFill>
            <w14:solidFill>
              <w14:schemeClr w14:val="tx1"/>
            </w14:solidFill>
          </w14:textFill>
        </w:rPr>
        <w:t>；</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以上企业，不属于大企业的分支机构，不存在控股股东为大企业的情形，也不存在与大企业的负责人为同一人的情形。 本企业对上述声明内容的真实性负责。如有虚假，将依法承担相应责任。 </w:t>
      </w:r>
    </w:p>
    <w:p>
      <w:pPr>
        <w:spacing w:line="360" w:lineRule="auto"/>
        <w:rPr>
          <w:rFonts w:ascii="宋体" w:hAnsi="宋体"/>
          <w:bCs/>
          <w:color w:val="000000" w:themeColor="text1"/>
          <w:sz w:val="24"/>
          <w:szCs w:val="24"/>
          <w14:textFill>
            <w14:solidFill>
              <w14:schemeClr w14:val="tx1"/>
            </w14:solidFill>
          </w14:textFill>
        </w:rPr>
      </w:pPr>
    </w:p>
    <w:p>
      <w:pPr>
        <w:spacing w:line="360" w:lineRule="auto"/>
        <w:ind w:firstLine="4800" w:firstLineChars="20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企业名称（盖章）：</w:t>
      </w:r>
    </w:p>
    <w:p>
      <w:pPr>
        <w:spacing w:line="360" w:lineRule="auto"/>
        <w:ind w:firstLine="4800" w:firstLineChars="20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spacing w:line="360" w:lineRule="auto"/>
        <w:rPr>
          <w:rFonts w:ascii="宋体" w:hAnsi="宋体"/>
          <w:bCs/>
          <w:color w:val="000000" w:themeColor="text1"/>
          <w:sz w:val="24"/>
          <w:szCs w:val="24"/>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从业人员、营业收入、资产总额填报上一年度数据，无上一年度数据的新成立企业可不填报。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2.在货物采购项目中，供应商提供的货物既有中小企业制造货物，也有大型企业制造货物的，不享受本办法规定的中小企业扶持政策。</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 中标供应商的《</w:t>
      </w:r>
      <w:r>
        <w:rPr>
          <w:color w:val="000000" w:themeColor="text1"/>
          <w14:textFill>
            <w14:solidFill>
              <w14:schemeClr w14:val="tx1"/>
            </w14:solidFill>
          </w14:textFill>
        </w:rPr>
        <w:t>中小企业声明函</w:t>
      </w:r>
      <w:r>
        <w:rPr>
          <w:rFonts w:hint="eastAsia"/>
          <w:color w:val="000000" w:themeColor="text1"/>
          <w14:textFill>
            <w14:solidFill>
              <w14:schemeClr w14:val="tx1"/>
            </w14:solidFill>
          </w14:textFill>
        </w:rPr>
        <w:t>》将随中标公告进行公示。供应商按照本办法规定提供声明函内容不实的，属于提供虚假材料谋取中标、成交，依照《中华人民共和国政府采购法》等国家有关规定追究相应责任。</w:t>
      </w: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（五）</w:t>
      </w:r>
      <w:bookmarkStart w:id="4" w:name="OLE_LINK14"/>
      <w:bookmarkStart w:id="5" w:name="OLE_LINK13"/>
      <w:r>
        <w:rPr>
          <w:rFonts w:hint="eastAsia" w:ascii="黑体" w:hAnsi="宋体" w:eastAsia="黑体"/>
          <w:bCs/>
          <w:color w:val="000000" w:themeColor="text1"/>
          <w:sz w:val="24"/>
          <w:szCs w:val="24"/>
          <w14:textFill>
            <w14:solidFill>
              <w14:schemeClr w14:val="tx1"/>
            </w14:solidFill>
          </w14:textFill>
        </w:rPr>
        <w:t>（投标人）残疾人福利性单位声明函（格式）：</w:t>
      </w:r>
    </w:p>
    <w:bookmarkEnd w:id="4"/>
    <w:bookmarkEnd w:id="5"/>
    <w:p>
      <w:pPr>
        <w:spacing w:line="588" w:lineRule="exact"/>
        <w:rPr>
          <w:rFonts w:ascii="仿宋_GB2312" w:eastAsia="仿宋_GB2312"/>
          <w:b/>
          <w:color w:val="000000" w:themeColor="text1"/>
          <w:spacing w:val="6"/>
          <w:sz w:val="30"/>
          <w:szCs w:val="30"/>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残疾人福利性单位声明函</w:t>
      </w:r>
    </w:p>
    <w:p>
      <w:pPr>
        <w:jc w:val="center"/>
        <w:rPr>
          <w:rFonts w:ascii="黑体" w:eastAsia="黑体"/>
          <w:bCs/>
          <w:color w:val="000000" w:themeColor="text1"/>
          <w:sz w:val="28"/>
          <w:szCs w:val="28"/>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本单位对上述声明的真实性负责。如有虚假，将依法承担相应责任。</w:t>
      </w: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2"/>
        <w:rPr>
          <w:rFonts w:ascii="黑体" w:hAnsi="宋体" w:eastAsia="黑体"/>
          <w:bCs/>
          <w:sz w:val="24"/>
          <w:szCs w:val="24"/>
        </w:rPr>
      </w:pPr>
      <w:r>
        <w:rPr>
          <w:rFonts w:hint="eastAsia" w:ascii="黑体" w:hAnsi="宋体" w:eastAsia="黑体"/>
          <w:bCs/>
          <w:sz w:val="24"/>
          <w:szCs w:val="24"/>
        </w:rPr>
        <w:t>（六）承诺书（格式）：</w:t>
      </w:r>
    </w:p>
    <w:p>
      <w:pPr>
        <w:rPr>
          <w:rFonts w:ascii="黑体" w:eastAsia="黑体"/>
          <w:bCs/>
          <w:sz w:val="28"/>
          <w:szCs w:val="28"/>
        </w:rPr>
      </w:pPr>
    </w:p>
    <w:p>
      <w:pPr>
        <w:jc w:val="center"/>
        <w:rPr>
          <w:rFonts w:ascii="黑体" w:eastAsia="黑体"/>
          <w:bCs/>
          <w:sz w:val="28"/>
          <w:szCs w:val="28"/>
        </w:rPr>
      </w:pPr>
      <w:r>
        <w:rPr>
          <w:rFonts w:hint="eastAsia" w:ascii="黑体" w:eastAsia="黑体"/>
          <w:bCs/>
          <w:sz w:val="28"/>
          <w:szCs w:val="28"/>
        </w:rPr>
        <w:t>承诺书</w:t>
      </w:r>
    </w:p>
    <w:p>
      <w:pPr>
        <w:jc w:val="center"/>
        <w:rPr>
          <w:rFonts w:ascii="黑体" w:eastAsia="黑体"/>
          <w:bCs/>
          <w:sz w:val="28"/>
          <w:szCs w:val="28"/>
        </w:rPr>
      </w:pPr>
    </w:p>
    <w:p>
      <w:pPr>
        <w:spacing w:line="480" w:lineRule="auto"/>
        <w:rPr>
          <w:rFonts w:ascii="宋体"/>
          <w:sz w:val="24"/>
          <w:szCs w:val="24"/>
        </w:rPr>
      </w:pPr>
      <w:r>
        <w:rPr>
          <w:rFonts w:ascii="宋体" w:hAnsi="宋体"/>
          <w:sz w:val="24"/>
          <w:szCs w:val="24"/>
          <w:u w:val="single"/>
        </w:rPr>
        <w:t xml:space="preserve">                             </w:t>
      </w:r>
      <w:r>
        <w:rPr>
          <w:rFonts w:hint="eastAsia" w:ascii="宋体" w:hAnsi="宋体"/>
          <w:sz w:val="24"/>
          <w:szCs w:val="24"/>
        </w:rPr>
        <w:t>（</w:t>
      </w:r>
      <w:r>
        <w:rPr>
          <w:rFonts w:hint="eastAsia" w:ascii="宋体" w:hAnsi="宋体"/>
          <w:sz w:val="24"/>
        </w:rPr>
        <w:t>投标人</w:t>
      </w:r>
      <w:r>
        <w:rPr>
          <w:rFonts w:hint="eastAsia" w:ascii="宋体" w:hAnsi="宋体"/>
          <w:sz w:val="24"/>
          <w:szCs w:val="24"/>
        </w:rPr>
        <w:t>名称）在此承诺：</w:t>
      </w:r>
    </w:p>
    <w:p>
      <w:pPr>
        <w:spacing w:line="480" w:lineRule="auto"/>
        <w:ind w:firstLine="480" w:firstLineChars="200"/>
        <w:rPr>
          <w:rFonts w:ascii="宋体"/>
          <w:sz w:val="24"/>
          <w:szCs w:val="24"/>
        </w:rPr>
      </w:pPr>
    </w:p>
    <w:p>
      <w:pPr>
        <w:spacing w:line="480" w:lineRule="auto"/>
        <w:ind w:firstLine="480" w:firstLineChars="200"/>
        <w:rPr>
          <w:rFonts w:ascii="宋体"/>
          <w:bCs/>
          <w:sz w:val="24"/>
          <w:szCs w:val="24"/>
        </w:rPr>
      </w:pPr>
      <w:r>
        <w:rPr>
          <w:rFonts w:ascii="宋体" w:hAnsi="宋体"/>
          <w:sz w:val="24"/>
          <w:szCs w:val="24"/>
        </w:rPr>
        <w:t>1</w:t>
      </w:r>
      <w:r>
        <w:rPr>
          <w:rFonts w:hint="eastAsia" w:ascii="宋体" w:hAnsi="宋体"/>
          <w:sz w:val="24"/>
          <w:szCs w:val="24"/>
        </w:rPr>
        <w:t>．本公司（单位）</w:t>
      </w:r>
      <w:r>
        <w:rPr>
          <w:rFonts w:hint="eastAsia" w:ascii="宋体" w:hAnsi="宋体"/>
          <w:bCs/>
          <w:sz w:val="24"/>
          <w:szCs w:val="24"/>
        </w:rPr>
        <w:t>对本项目（</w:t>
      </w:r>
      <w:r>
        <w:rPr>
          <w:rFonts w:hint="eastAsia" w:ascii="宋体" w:hAnsi="宋体"/>
          <w:bCs/>
          <w:sz w:val="24"/>
          <w:szCs w:val="24"/>
          <w:lang w:eastAsia="zh-CN"/>
        </w:rPr>
        <w:t>LXZC2021-032(2)</w:t>
      </w:r>
      <w:r>
        <w:rPr>
          <w:rFonts w:hint="eastAsia" w:ascii="宋体" w:hAnsi="宋体"/>
          <w:bCs/>
          <w:sz w:val="24"/>
          <w:szCs w:val="24"/>
        </w:rPr>
        <w:t>）所提供的货物均为原厂全新合格品；</w:t>
      </w:r>
    </w:p>
    <w:p>
      <w:pPr>
        <w:spacing w:line="48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hint="eastAsia" w:ascii="宋体" w:hAnsi="宋体"/>
          <w:sz w:val="24"/>
          <w:szCs w:val="24"/>
        </w:rPr>
        <w:t>本公司（单位）</w:t>
      </w:r>
      <w:r>
        <w:rPr>
          <w:rFonts w:hint="eastAsia" w:ascii="宋体" w:hAnsi="宋体"/>
          <w:bCs/>
          <w:sz w:val="24"/>
          <w:szCs w:val="24"/>
        </w:rPr>
        <w:t>具备履行合同所必需的设备和专业技术能力；</w:t>
      </w:r>
    </w:p>
    <w:p>
      <w:pPr>
        <w:spacing w:line="480" w:lineRule="auto"/>
        <w:ind w:firstLine="480" w:firstLineChars="200"/>
        <w:rPr>
          <w:rFonts w:ascii="宋体" w:hAnsi="宋体"/>
          <w:sz w:val="24"/>
          <w:szCs w:val="24"/>
        </w:rPr>
      </w:pPr>
      <w:r>
        <w:rPr>
          <w:rFonts w:hint="eastAsia" w:ascii="宋体" w:hAnsi="宋体"/>
          <w:bCs/>
          <w:sz w:val="24"/>
          <w:szCs w:val="24"/>
        </w:rPr>
        <w:t>3.</w:t>
      </w:r>
      <w:r>
        <w:rPr>
          <w:rFonts w:hint="eastAsia" w:ascii="宋体"/>
          <w:bCs/>
          <w:szCs w:val="21"/>
        </w:rPr>
        <w:t xml:space="preserve"> </w:t>
      </w:r>
      <w:r>
        <w:rPr>
          <w:rFonts w:hint="eastAsia" w:ascii="宋体" w:hAnsi="宋体"/>
          <w:sz w:val="24"/>
          <w:szCs w:val="24"/>
        </w:rPr>
        <w:t>本公司未被“</w:t>
      </w:r>
      <w:r>
        <w:rPr>
          <w:rFonts w:hint="eastAsia" w:ascii="宋体" w:hAnsi="宋体"/>
          <w:bCs/>
          <w:sz w:val="24"/>
          <w:szCs w:val="24"/>
        </w:rPr>
        <w:t>信用中国</w:t>
      </w:r>
      <w:r>
        <w:rPr>
          <w:rFonts w:hint="eastAsia" w:ascii="宋体" w:hAnsi="宋体"/>
          <w:sz w:val="24"/>
          <w:szCs w:val="24"/>
        </w:rPr>
        <w:t>”</w:t>
      </w:r>
      <w:r>
        <w:rPr>
          <w:rFonts w:hint="eastAsia" w:ascii="宋体" w:hAnsi="宋体"/>
          <w:bCs/>
          <w:sz w:val="24"/>
          <w:szCs w:val="24"/>
        </w:rPr>
        <w:t>网站（</w:t>
      </w:r>
      <w:r>
        <w:fldChar w:fldCharType="begin"/>
      </w:r>
      <w:r>
        <w:instrText xml:space="preserve"> HYPERLINK "http://www.creditchina.gov.cn" </w:instrText>
      </w:r>
      <w:r>
        <w:fldChar w:fldCharType="separate"/>
      </w:r>
      <w:r>
        <w:rPr>
          <w:rFonts w:hint="eastAsia" w:ascii="宋体" w:hAnsi="宋体"/>
          <w:bCs/>
          <w:sz w:val="24"/>
          <w:szCs w:val="24"/>
        </w:rPr>
        <w:t>www.creditchina.gov.cn</w:t>
      </w:r>
      <w:r>
        <w:rPr>
          <w:rFonts w:hint="eastAsia" w:ascii="宋体" w:hAnsi="宋体"/>
          <w:bCs/>
          <w:sz w:val="24"/>
          <w:szCs w:val="24"/>
        </w:rPr>
        <w:fldChar w:fldCharType="end"/>
      </w:r>
      <w:r>
        <w:rPr>
          <w:rFonts w:hint="eastAsia" w:ascii="宋体" w:hAnsi="宋体"/>
          <w:bCs/>
          <w:sz w:val="24"/>
          <w:szCs w:val="24"/>
        </w:rPr>
        <w:t>）</w:t>
      </w:r>
      <w:r>
        <w:rPr>
          <w:rFonts w:hint="eastAsia" w:ascii="宋体" w:hAnsi="宋体"/>
          <w:sz w:val="24"/>
          <w:szCs w:val="24"/>
        </w:rPr>
        <w:t>列入失信被执行人、重大税收违法案件当事人名单、政府采购严重违法失信行为记录名单。</w:t>
      </w:r>
    </w:p>
    <w:p>
      <w:pPr>
        <w:spacing w:line="480" w:lineRule="auto"/>
        <w:ind w:firstLine="480" w:firstLineChars="200"/>
        <w:rPr>
          <w:rFonts w:ascii="宋体"/>
          <w:bCs/>
          <w:sz w:val="24"/>
          <w:szCs w:val="24"/>
        </w:rPr>
      </w:pPr>
      <w:r>
        <w:rPr>
          <w:rFonts w:hint="eastAsia" w:ascii="宋体" w:hAnsi="宋体"/>
          <w:bCs/>
          <w:sz w:val="24"/>
          <w:szCs w:val="24"/>
        </w:rPr>
        <w:t>如违背上述承诺，本公司</w:t>
      </w:r>
      <w:r>
        <w:rPr>
          <w:rFonts w:hint="eastAsia" w:ascii="宋体" w:hAnsi="宋体"/>
          <w:sz w:val="24"/>
          <w:szCs w:val="24"/>
        </w:rPr>
        <w:t>（单位）</w:t>
      </w:r>
      <w:r>
        <w:rPr>
          <w:rFonts w:hint="eastAsia" w:ascii="宋体" w:hAnsi="宋体"/>
          <w:bCs/>
          <w:sz w:val="24"/>
          <w:szCs w:val="24"/>
        </w:rPr>
        <w:t>将承担一切法律责任。</w:t>
      </w:r>
    </w:p>
    <w:p>
      <w:pPr>
        <w:spacing w:line="480" w:lineRule="auto"/>
        <w:rPr>
          <w:rFonts w:ascii="宋体"/>
          <w:sz w:val="24"/>
        </w:rPr>
      </w:pPr>
    </w:p>
    <w:p>
      <w:pPr>
        <w:spacing w:line="480" w:lineRule="auto"/>
        <w:ind w:firstLine="5400" w:firstLineChars="2250"/>
        <w:rPr>
          <w:rFonts w:ascii="宋体"/>
          <w:bCs/>
          <w:sz w:val="24"/>
          <w:szCs w:val="24"/>
        </w:rPr>
      </w:pPr>
    </w:p>
    <w:p>
      <w:pPr>
        <w:spacing w:line="480" w:lineRule="auto"/>
        <w:ind w:firstLine="3720" w:firstLineChars="1550"/>
        <w:rPr>
          <w:rFonts w:ascii="宋体"/>
          <w:bCs/>
          <w:sz w:val="24"/>
          <w:szCs w:val="24"/>
        </w:rPr>
      </w:pPr>
      <w:r>
        <w:rPr>
          <w:rFonts w:hint="eastAsia" w:ascii="宋体" w:hAnsi="宋体"/>
          <w:bCs/>
          <w:sz w:val="24"/>
          <w:szCs w:val="24"/>
        </w:rPr>
        <w:t>投标人（盖章）：</w:t>
      </w:r>
    </w:p>
    <w:p>
      <w:pPr>
        <w:spacing w:line="480" w:lineRule="auto"/>
        <w:ind w:firstLine="480" w:firstLineChars="200"/>
        <w:rPr>
          <w:rFonts w:ascii="宋体"/>
          <w:bCs/>
          <w:sz w:val="24"/>
          <w:szCs w:val="24"/>
        </w:rPr>
      </w:pPr>
      <w:r>
        <w:rPr>
          <w:rFonts w:hint="eastAsia" w:ascii="宋体" w:hAnsi="宋体"/>
          <w:bCs/>
          <w:sz w:val="24"/>
          <w:szCs w:val="24"/>
        </w:rPr>
        <w:t>法定代表人或法定代表人授权代表签字或盖章：</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（七）开标一览表（格式）：</w:t>
      </w:r>
    </w:p>
    <w:p>
      <w:pPr>
        <w:outlineLvl w:val="0"/>
        <w:rPr>
          <w:rFonts w:ascii="黑体" w:eastAsia="黑体"/>
          <w:bCs/>
          <w:color w:val="000000" w:themeColor="text1"/>
          <w:sz w:val="28"/>
          <w:szCs w:val="28"/>
          <w14:textFill>
            <w14:solidFill>
              <w14:schemeClr w14:val="tx1"/>
            </w14:solidFill>
          </w14:textFill>
        </w:rPr>
      </w:pP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开标一览表</w:t>
      </w:r>
      <w:r>
        <w:rPr>
          <w:rFonts w:ascii="黑体" w:eastAsia="黑体"/>
          <w:bCs/>
          <w:color w:val="000000" w:themeColor="text1"/>
          <w:sz w:val="28"/>
          <w:szCs w:val="28"/>
          <w14:textFill>
            <w14:solidFill>
              <w14:schemeClr w14:val="tx1"/>
            </w14:solidFill>
          </w14:textFill>
        </w:rPr>
        <w:t xml:space="preserve"> </w:t>
      </w:r>
    </w:p>
    <w:p>
      <w:pPr>
        <w:jc w:val="center"/>
        <w:outlineLvl w:val="0"/>
        <w:rPr>
          <w:rFonts w:ascii="黑体" w:eastAsia="黑体"/>
          <w:bCs/>
          <w:color w:val="000000" w:themeColor="text1"/>
          <w:sz w:val="28"/>
          <w:szCs w:val="28"/>
          <w14:textFill>
            <w14:solidFill>
              <w14:schemeClr w14:val="tx1"/>
            </w14:solidFill>
          </w14:textFill>
        </w:rPr>
      </w:pPr>
    </w:p>
    <w:p>
      <w:pPr>
        <w:spacing w:line="360" w:lineRule="auto"/>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LXZC2021-032(2)</w:t>
      </w:r>
    </w:p>
    <w:tbl>
      <w:tblPr>
        <w:tblStyle w:val="23"/>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投标总报价</w:t>
            </w:r>
            <w:r>
              <w:rPr>
                <w:rFonts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小写</w:t>
            </w:r>
            <w:r>
              <w:rPr>
                <w:rFonts w:ascii="宋体" w:hAnsi="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pStyle w:val="94"/>
              <w:spacing w:line="400" w:lineRule="exact"/>
              <w:jc w:val="center"/>
              <w:rPr>
                <w:rFonts w:hint="eastAsia" w:hAnsi="宋体" w:eastAsia="宋体"/>
                <w:bCs/>
                <w:color w:val="000000" w:themeColor="text1"/>
                <w:szCs w:val="24"/>
                <w:lang w:eastAsia="zh-CN"/>
                <w14:textFill>
                  <w14:solidFill>
                    <w14:schemeClr w14:val="tx1"/>
                  </w14:solidFill>
                </w14:textFill>
              </w:rPr>
            </w:pPr>
            <w:r>
              <w:rPr>
                <w:rFonts w:hint="eastAsia" w:hAnsi="宋体"/>
                <w:bCs/>
                <w:color w:val="000000" w:themeColor="text1"/>
                <w:szCs w:val="24"/>
                <w:lang w:eastAsia="zh-CN"/>
                <w14:textFill>
                  <w14:solidFill>
                    <w14:schemeClr w14:val="tx1"/>
                  </w14:solidFill>
                </w14:textFill>
              </w:rPr>
              <w:t>扬名街道金星社区金星大厦户外电子屏采购项目（第二次）</w:t>
            </w:r>
          </w:p>
        </w:tc>
        <w:tc>
          <w:tcPr>
            <w:tcW w:w="4515" w:type="dxa"/>
            <w:vAlign w:val="center"/>
          </w:tcPr>
          <w:p>
            <w:pPr>
              <w:pStyle w:val="94"/>
              <w:rPr>
                <w:rFonts w:hAnsi="宋体"/>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bCs/>
                <w:color w:val="000000" w:themeColor="text1"/>
                <w:sz w:val="24"/>
                <w:szCs w:val="24"/>
                <w14:textFill>
                  <w14:solidFill>
                    <w14:schemeClr w14:val="tx1"/>
                  </w14:solidFill>
                </w14:textFill>
              </w:rPr>
            </w:pPr>
            <w:r>
              <w:rPr>
                <w:rFonts w:hint="eastAsia" w:ascii="黑体" w:eastAsia="黑体"/>
                <w:color w:val="000000" w:themeColor="text1"/>
                <w:sz w:val="24"/>
                <w14:textFill>
                  <w14:solidFill>
                    <w14:schemeClr w14:val="tx1"/>
                  </w14:solidFill>
                </w14:textFill>
              </w:rPr>
              <w:t>投标总报价（大写）</w:t>
            </w:r>
            <w:r>
              <w:rPr>
                <w:rFonts w:hint="eastAsia" w:ascii="宋体" w:hAnsi="宋体"/>
                <w:bCs/>
                <w:color w:val="000000" w:themeColor="text1"/>
                <w:kern w:val="0"/>
                <w:sz w:val="24"/>
                <w:szCs w:val="24"/>
                <w:u w:color="000000"/>
                <w14:textFill>
                  <w14:solidFill>
                    <w14:schemeClr w14:val="tx1"/>
                  </w14:solidFill>
                </w14:textFill>
              </w:rPr>
              <w:t>：　　　</w:t>
            </w:r>
          </w:p>
        </w:tc>
      </w:tr>
    </w:tbl>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14:textFill>
            <w14:solidFill>
              <w14:schemeClr w14:val="tx1"/>
            </w14:solidFill>
          </w14:textFill>
        </w:rPr>
      </w:pPr>
    </w:p>
    <w:p>
      <w:pPr>
        <w:spacing w:line="400" w:lineRule="exact"/>
        <w:rPr>
          <w:rFonts w:ascii="黑体" w:eastAsia="黑体"/>
          <w:bCs/>
          <w:color w:val="000000" w:themeColor="text1"/>
          <w:sz w:val="32"/>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（八）明细报价表（格式）：</w:t>
      </w:r>
    </w:p>
    <w:p>
      <w:pPr>
        <w:spacing w:line="400" w:lineRule="exact"/>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明细报价表</w:t>
      </w: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LXZC2021-032(2)</w:t>
      </w:r>
    </w:p>
    <w:tbl>
      <w:tblPr>
        <w:tblStyle w:val="23"/>
        <w:tblW w:w="997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2572"/>
        <w:gridCol w:w="473"/>
        <w:gridCol w:w="525"/>
        <w:gridCol w:w="630"/>
        <w:gridCol w:w="1287"/>
        <w:gridCol w:w="708"/>
        <w:gridCol w:w="56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sz w:val="18"/>
              </w:rPr>
            </w:pPr>
            <w:r>
              <w:rPr>
                <w:rFonts w:hint="eastAsia"/>
                <w:sz w:val="18"/>
              </w:rPr>
              <w:t>序号</w:t>
            </w:r>
          </w:p>
        </w:tc>
        <w:tc>
          <w:tcPr>
            <w:tcW w:w="1050" w:type="dxa"/>
            <w:gridSpan w:val="2"/>
            <w:noWrap/>
            <w:tcMar>
              <w:top w:w="15" w:type="dxa"/>
              <w:left w:w="15" w:type="dxa"/>
              <w:bottom w:w="0" w:type="dxa"/>
              <w:right w:w="15" w:type="dxa"/>
            </w:tcMar>
            <w:vAlign w:val="center"/>
          </w:tcPr>
          <w:p>
            <w:pPr>
              <w:spacing w:before="5"/>
              <w:jc w:val="center"/>
              <w:rPr>
                <w:sz w:val="18"/>
                <w:u w:color="FF0000"/>
              </w:rPr>
            </w:pPr>
            <w:r>
              <w:rPr>
                <w:rFonts w:hint="eastAsia"/>
                <w:sz w:val="18"/>
              </w:rPr>
              <w:t>名称</w:t>
            </w:r>
          </w:p>
        </w:tc>
        <w:tc>
          <w:tcPr>
            <w:tcW w:w="945" w:type="dxa"/>
            <w:noWrap/>
            <w:tcMar>
              <w:top w:w="15" w:type="dxa"/>
              <w:left w:w="15" w:type="dxa"/>
              <w:bottom w:w="0" w:type="dxa"/>
              <w:right w:w="15" w:type="dxa"/>
            </w:tcMar>
            <w:vAlign w:val="center"/>
          </w:tcPr>
          <w:p>
            <w:pPr>
              <w:spacing w:before="5"/>
              <w:jc w:val="center"/>
              <w:rPr>
                <w:sz w:val="18"/>
                <w:u w:color="FF0000"/>
              </w:rPr>
            </w:pPr>
            <w:r>
              <w:rPr>
                <w:rFonts w:hint="eastAsia"/>
                <w:sz w:val="18"/>
                <w:u w:color="FF0000"/>
              </w:rPr>
              <w:t>品牌型号</w:t>
            </w:r>
          </w:p>
        </w:tc>
        <w:tc>
          <w:tcPr>
            <w:tcW w:w="3045" w:type="dxa"/>
            <w:gridSpan w:val="2"/>
            <w:noWrap/>
            <w:tcMar>
              <w:top w:w="15" w:type="dxa"/>
              <w:left w:w="15" w:type="dxa"/>
              <w:bottom w:w="0" w:type="dxa"/>
              <w:right w:w="15" w:type="dxa"/>
            </w:tcMar>
            <w:vAlign w:val="center"/>
          </w:tcPr>
          <w:p>
            <w:pPr>
              <w:spacing w:before="5"/>
              <w:jc w:val="center"/>
              <w:rPr>
                <w:sz w:val="18"/>
              </w:rPr>
            </w:pPr>
            <w:r>
              <w:rPr>
                <w:rFonts w:hint="eastAsia"/>
                <w:sz w:val="18"/>
                <w:u w:color="FF0000"/>
              </w:rPr>
              <w:t>性能指标</w:t>
            </w:r>
          </w:p>
        </w:tc>
        <w:tc>
          <w:tcPr>
            <w:tcW w:w="525" w:type="dxa"/>
            <w:tcMar>
              <w:top w:w="15" w:type="dxa"/>
              <w:left w:w="15" w:type="dxa"/>
              <w:bottom w:w="0" w:type="dxa"/>
              <w:right w:w="15" w:type="dxa"/>
            </w:tcMar>
            <w:vAlign w:val="center"/>
          </w:tcPr>
          <w:p>
            <w:pPr>
              <w:spacing w:before="5"/>
              <w:jc w:val="center"/>
              <w:rPr>
                <w:sz w:val="18"/>
              </w:rPr>
            </w:pPr>
            <w:r>
              <w:rPr>
                <w:rFonts w:hint="eastAsia"/>
                <w:sz w:val="18"/>
              </w:rPr>
              <w:t>数量</w:t>
            </w:r>
          </w:p>
        </w:tc>
        <w:tc>
          <w:tcPr>
            <w:tcW w:w="630" w:type="dxa"/>
            <w:noWrap/>
            <w:tcMar>
              <w:top w:w="15" w:type="dxa"/>
              <w:left w:w="15" w:type="dxa"/>
              <w:bottom w:w="0" w:type="dxa"/>
              <w:right w:w="15" w:type="dxa"/>
            </w:tcMar>
            <w:vAlign w:val="center"/>
          </w:tcPr>
          <w:p>
            <w:pPr>
              <w:spacing w:before="5"/>
              <w:jc w:val="center"/>
              <w:rPr>
                <w:sz w:val="18"/>
              </w:rPr>
            </w:pPr>
            <w:r>
              <w:rPr>
                <w:rFonts w:hint="eastAsia"/>
                <w:sz w:val="18"/>
              </w:rPr>
              <w:t>产地</w:t>
            </w:r>
          </w:p>
        </w:tc>
        <w:tc>
          <w:tcPr>
            <w:tcW w:w="1287" w:type="dxa"/>
            <w:vAlign w:val="center"/>
          </w:tcPr>
          <w:p>
            <w:pPr>
              <w:spacing w:before="5"/>
              <w:jc w:val="center"/>
              <w:rPr>
                <w:sz w:val="18"/>
              </w:rPr>
            </w:pPr>
            <w:r>
              <w:rPr>
                <w:rFonts w:hint="eastAsia"/>
                <w:sz w:val="18"/>
              </w:rPr>
              <w:t>是否属于</w:t>
            </w:r>
            <w:r>
              <w:rPr>
                <w:sz w:val="18"/>
              </w:rPr>
              <w:t xml:space="preserve">     </w:t>
            </w:r>
            <w:r>
              <w:rPr>
                <w:rFonts w:hint="eastAsia"/>
                <w:sz w:val="18"/>
              </w:rPr>
              <w:t>小、微型企业（或监狱企业、残疾人福利性单位）产品</w:t>
            </w:r>
          </w:p>
        </w:tc>
        <w:tc>
          <w:tcPr>
            <w:tcW w:w="708" w:type="dxa"/>
            <w:noWrap/>
            <w:tcMar>
              <w:top w:w="15" w:type="dxa"/>
              <w:left w:w="15" w:type="dxa"/>
              <w:bottom w:w="0" w:type="dxa"/>
              <w:right w:w="15" w:type="dxa"/>
            </w:tcMar>
            <w:vAlign w:val="center"/>
          </w:tcPr>
          <w:p>
            <w:pPr>
              <w:spacing w:before="5"/>
              <w:jc w:val="center"/>
              <w:rPr>
                <w:sz w:val="18"/>
              </w:rPr>
            </w:pPr>
            <w:r>
              <w:rPr>
                <w:rFonts w:hint="eastAsia"/>
                <w:sz w:val="18"/>
              </w:rPr>
              <w:t>质保期</w:t>
            </w:r>
          </w:p>
        </w:tc>
        <w:tc>
          <w:tcPr>
            <w:tcW w:w="567" w:type="dxa"/>
            <w:vAlign w:val="center"/>
          </w:tcPr>
          <w:p>
            <w:pPr>
              <w:spacing w:before="5"/>
              <w:jc w:val="center"/>
              <w:rPr>
                <w:sz w:val="18"/>
              </w:rPr>
            </w:pPr>
            <w:r>
              <w:rPr>
                <w:rFonts w:hint="eastAsia"/>
                <w:sz w:val="18"/>
              </w:rPr>
              <w:t>单报价</w:t>
            </w:r>
          </w:p>
        </w:tc>
        <w:tc>
          <w:tcPr>
            <w:tcW w:w="798" w:type="dxa"/>
            <w:vAlign w:val="center"/>
          </w:tcPr>
          <w:p>
            <w:pPr>
              <w:spacing w:before="5"/>
              <w:jc w:val="center"/>
              <w:rPr>
                <w:sz w:val="18"/>
              </w:rPr>
            </w:pPr>
            <w:r>
              <w:rPr>
                <w:rFonts w:hint="eastAsia"/>
                <w:sz w:val="18"/>
              </w:rPr>
              <w:t>分项</w:t>
            </w:r>
            <w:r>
              <w:rPr>
                <w:sz w:val="18"/>
              </w:rPr>
              <w:t xml:space="preserve">   </w:t>
            </w:r>
            <w:r>
              <w:rPr>
                <w:rFonts w:hint="eastAsia"/>
                <w:sz w:val="18"/>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8" w:hRule="atLeast"/>
        </w:trPr>
        <w:tc>
          <w:tcPr>
            <w:tcW w:w="420" w:type="dxa"/>
            <w:noWrap/>
            <w:tcMar>
              <w:top w:w="15" w:type="dxa"/>
              <w:left w:w="15" w:type="dxa"/>
              <w:bottom w:w="0" w:type="dxa"/>
              <w:right w:w="15" w:type="dxa"/>
            </w:tcMar>
            <w:vAlign w:val="center"/>
          </w:tcPr>
          <w:p>
            <w:pPr>
              <w:pStyle w:val="16"/>
              <w:pBdr>
                <w:bottom w:val="none" w:color="auto" w:sz="0" w:space="0"/>
              </w:pBdr>
              <w:tabs>
                <w:tab w:val="clear" w:pos="4153"/>
                <w:tab w:val="clear" w:pos="8306"/>
              </w:tabs>
              <w:snapToGrid/>
              <w:spacing w:before="5"/>
              <w:rPr>
                <w:rFonts w:ascii="宋体"/>
              </w:rPr>
            </w:pPr>
          </w:p>
        </w:tc>
        <w:tc>
          <w:tcPr>
            <w:tcW w:w="1050" w:type="dxa"/>
            <w:gridSpan w:val="2"/>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rPr>
            </w:pPr>
          </w:p>
        </w:tc>
        <w:tc>
          <w:tcPr>
            <w:tcW w:w="945" w:type="dxa"/>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rPr>
            </w:pPr>
          </w:p>
        </w:tc>
        <w:tc>
          <w:tcPr>
            <w:tcW w:w="3045" w:type="dxa"/>
            <w:gridSpan w:val="2"/>
            <w:tcMar>
              <w:top w:w="15" w:type="dxa"/>
              <w:left w:w="15" w:type="dxa"/>
              <w:bottom w:w="0" w:type="dxa"/>
              <w:right w:w="15" w:type="dxa"/>
            </w:tcMar>
          </w:tcPr>
          <w:p>
            <w:pPr>
              <w:jc w:val="center"/>
              <w:rPr>
                <w:rFonts w:ascii="宋体"/>
                <w:bCs/>
                <w:sz w:val="18"/>
              </w:rPr>
            </w:pPr>
          </w:p>
        </w:tc>
        <w:tc>
          <w:tcPr>
            <w:tcW w:w="525" w:type="dxa"/>
            <w:tcMar>
              <w:top w:w="15" w:type="dxa"/>
              <w:left w:w="15" w:type="dxa"/>
              <w:bottom w:w="0" w:type="dxa"/>
              <w:right w:w="15" w:type="dxa"/>
            </w:tcMar>
            <w:vAlign w:val="center"/>
          </w:tcPr>
          <w:p>
            <w:pPr>
              <w:jc w:val="center"/>
              <w:rPr>
                <w:rFonts w:ascii="宋体"/>
                <w:bCs/>
                <w:sz w:val="18"/>
              </w:rPr>
            </w:pPr>
          </w:p>
        </w:tc>
        <w:tc>
          <w:tcPr>
            <w:tcW w:w="630"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87" w:type="dxa"/>
            <w:vAlign w:val="center"/>
          </w:tcPr>
          <w:p>
            <w:pPr>
              <w:jc w:val="center"/>
              <w:rPr>
                <w:rFonts w:ascii="黑体" w:hAnsi="宋体" w:eastAsia="黑体"/>
                <w:b/>
                <w:bCs/>
                <w:sz w:val="24"/>
                <w:szCs w:val="24"/>
              </w:rPr>
            </w:pPr>
          </w:p>
        </w:tc>
        <w:tc>
          <w:tcPr>
            <w:tcW w:w="708"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567" w:type="dxa"/>
            <w:vAlign w:val="center"/>
          </w:tcPr>
          <w:p>
            <w:pPr>
              <w:jc w:val="center"/>
              <w:rPr>
                <w:rFonts w:ascii="黑体" w:hAnsi="宋体" w:eastAsia="黑体"/>
                <w:b/>
                <w:bCs/>
                <w:sz w:val="24"/>
                <w:szCs w:val="24"/>
              </w:rPr>
            </w:pPr>
          </w:p>
        </w:tc>
        <w:tc>
          <w:tcPr>
            <w:tcW w:w="798"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9" w:hRule="atLeast"/>
        </w:trPr>
        <w:tc>
          <w:tcPr>
            <w:tcW w:w="420" w:type="dxa"/>
            <w:noWrap/>
            <w:tcMar>
              <w:top w:w="15" w:type="dxa"/>
              <w:left w:w="15" w:type="dxa"/>
              <w:bottom w:w="0" w:type="dxa"/>
              <w:right w:w="15" w:type="dxa"/>
            </w:tcMar>
            <w:vAlign w:val="center"/>
          </w:tcPr>
          <w:p>
            <w:pPr>
              <w:jc w:val="center"/>
              <w:rPr>
                <w:rFonts w:ascii="宋体"/>
                <w:sz w:val="18"/>
              </w:rPr>
            </w:pPr>
          </w:p>
        </w:tc>
        <w:tc>
          <w:tcPr>
            <w:tcW w:w="1050" w:type="dxa"/>
            <w:gridSpan w:val="2"/>
            <w:noWrap/>
            <w:tcMar>
              <w:top w:w="15" w:type="dxa"/>
              <w:left w:w="15" w:type="dxa"/>
              <w:bottom w:w="0" w:type="dxa"/>
              <w:right w:w="15" w:type="dxa"/>
            </w:tcMar>
            <w:vAlign w:val="center"/>
          </w:tcPr>
          <w:p>
            <w:pPr>
              <w:jc w:val="center"/>
              <w:rPr>
                <w:rFonts w:ascii="宋体"/>
              </w:rPr>
            </w:pPr>
          </w:p>
        </w:tc>
        <w:tc>
          <w:tcPr>
            <w:tcW w:w="945" w:type="dxa"/>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rPr>
            </w:pPr>
          </w:p>
        </w:tc>
        <w:tc>
          <w:tcPr>
            <w:tcW w:w="3045" w:type="dxa"/>
            <w:gridSpan w:val="2"/>
            <w:tcMar>
              <w:top w:w="15" w:type="dxa"/>
              <w:left w:w="15" w:type="dxa"/>
              <w:bottom w:w="0" w:type="dxa"/>
              <w:right w:w="15" w:type="dxa"/>
            </w:tcMar>
            <w:vAlign w:val="center"/>
          </w:tcPr>
          <w:p>
            <w:pPr>
              <w:jc w:val="center"/>
              <w:rPr>
                <w:rFonts w:ascii="宋体"/>
                <w:bCs/>
                <w:sz w:val="18"/>
              </w:rPr>
            </w:pPr>
          </w:p>
        </w:tc>
        <w:tc>
          <w:tcPr>
            <w:tcW w:w="525" w:type="dxa"/>
            <w:tcMar>
              <w:top w:w="15" w:type="dxa"/>
              <w:left w:w="15" w:type="dxa"/>
              <w:bottom w:w="0" w:type="dxa"/>
              <w:right w:w="15" w:type="dxa"/>
            </w:tcMar>
            <w:vAlign w:val="center"/>
          </w:tcPr>
          <w:p>
            <w:pPr>
              <w:jc w:val="center"/>
              <w:rPr>
                <w:rFonts w:ascii="宋体"/>
                <w:bCs/>
                <w:sz w:val="18"/>
              </w:rPr>
            </w:pPr>
          </w:p>
        </w:tc>
        <w:tc>
          <w:tcPr>
            <w:tcW w:w="630"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87" w:type="dxa"/>
            <w:vAlign w:val="center"/>
          </w:tcPr>
          <w:p>
            <w:pPr>
              <w:jc w:val="center"/>
              <w:rPr>
                <w:rFonts w:ascii="黑体" w:hAnsi="宋体" w:eastAsia="黑体"/>
                <w:b/>
                <w:bCs/>
                <w:sz w:val="24"/>
                <w:szCs w:val="24"/>
              </w:rPr>
            </w:pPr>
          </w:p>
        </w:tc>
        <w:tc>
          <w:tcPr>
            <w:tcW w:w="708"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567" w:type="dxa"/>
            <w:vAlign w:val="center"/>
          </w:tcPr>
          <w:p>
            <w:pPr>
              <w:jc w:val="center"/>
              <w:rPr>
                <w:rFonts w:ascii="黑体" w:hAnsi="宋体" w:eastAsia="黑体"/>
                <w:b/>
                <w:bCs/>
                <w:sz w:val="24"/>
                <w:szCs w:val="24"/>
              </w:rPr>
            </w:pPr>
          </w:p>
        </w:tc>
        <w:tc>
          <w:tcPr>
            <w:tcW w:w="798"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sz w:val="24"/>
              </w:rPr>
            </w:pPr>
            <w:r>
              <w:rPr>
                <w:rFonts w:hint="eastAsia" w:ascii="宋体"/>
                <w:b/>
                <w:bCs/>
                <w:sz w:val="24"/>
              </w:rPr>
              <w:t>完工期</w:t>
            </w:r>
          </w:p>
        </w:tc>
        <w:tc>
          <w:tcPr>
            <w:tcW w:w="7560" w:type="dxa"/>
            <w:gridSpan w:val="8"/>
            <w:tcMar>
              <w:top w:w="15" w:type="dxa"/>
              <w:left w:w="15" w:type="dxa"/>
              <w:bottom w:w="0" w:type="dxa"/>
              <w:right w:w="15" w:type="dxa"/>
            </w:tcMar>
            <w:vAlign w:val="center"/>
          </w:tcPr>
          <w:p>
            <w:pPr>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sz w:val="24"/>
              </w:rPr>
            </w:pPr>
            <w:r>
              <w:rPr>
                <w:rFonts w:hint="eastAsia" w:ascii="宋体"/>
                <w:b/>
                <w:bCs/>
                <w:sz w:val="24"/>
              </w:rPr>
              <w:t>项目整体质保期</w:t>
            </w:r>
          </w:p>
        </w:tc>
        <w:tc>
          <w:tcPr>
            <w:tcW w:w="7560" w:type="dxa"/>
            <w:gridSpan w:val="8"/>
            <w:tcMar>
              <w:top w:w="15" w:type="dxa"/>
              <w:left w:w="15" w:type="dxa"/>
              <w:bottom w:w="0" w:type="dxa"/>
              <w:right w:w="15" w:type="dxa"/>
            </w:tcMar>
            <w:vAlign w:val="center"/>
          </w:tcPr>
          <w:p>
            <w:pPr>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其中属于小、微型企业产品的价格合计（小写）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其中属监狱企业的价格合计（小写）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其中属残疾人福利性单位的价格合计（小写）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630" w:type="dxa"/>
            <w:gridSpan w:val="2"/>
            <w:vMerge w:val="restart"/>
            <w:vAlign w:val="center"/>
          </w:tcPr>
          <w:p>
            <w:pPr>
              <w:pStyle w:val="19"/>
              <w:spacing w:line="400" w:lineRule="exact"/>
              <w:ind w:firstLine="120" w:firstLineChars="50"/>
              <w:rPr>
                <w:rFonts w:ascii="宋体"/>
                <w:b/>
                <w:bCs/>
                <w:sz w:val="24"/>
                <w:szCs w:val="24"/>
              </w:rPr>
            </w:pPr>
            <w:r>
              <w:rPr>
                <w:rFonts w:hint="eastAsia" w:ascii="宋体" w:hAnsi="宋体"/>
                <w:b/>
                <w:bCs/>
                <w:sz w:val="24"/>
                <w:szCs w:val="24"/>
              </w:rPr>
              <w:t>服</w:t>
            </w:r>
          </w:p>
          <w:p>
            <w:pPr>
              <w:pStyle w:val="19"/>
              <w:spacing w:line="400" w:lineRule="exact"/>
              <w:rPr>
                <w:rFonts w:ascii="宋体"/>
                <w:b/>
                <w:bCs/>
                <w:sz w:val="24"/>
                <w:szCs w:val="24"/>
              </w:rPr>
            </w:pPr>
          </w:p>
          <w:p>
            <w:pPr>
              <w:pStyle w:val="19"/>
              <w:spacing w:line="400" w:lineRule="exact"/>
              <w:ind w:firstLine="120" w:firstLineChars="50"/>
              <w:rPr>
                <w:rFonts w:ascii="宋体"/>
                <w:b/>
                <w:bCs/>
                <w:sz w:val="24"/>
                <w:szCs w:val="24"/>
              </w:rPr>
            </w:pPr>
            <w:r>
              <w:rPr>
                <w:rFonts w:hint="eastAsia" w:ascii="宋体" w:hAnsi="宋体"/>
                <w:b/>
                <w:bCs/>
                <w:sz w:val="24"/>
                <w:szCs w:val="24"/>
              </w:rPr>
              <w:t>务</w:t>
            </w:r>
          </w:p>
          <w:p>
            <w:pPr>
              <w:pStyle w:val="19"/>
              <w:spacing w:line="400" w:lineRule="exact"/>
              <w:rPr>
                <w:rFonts w:ascii="宋体"/>
                <w:b/>
                <w:bCs/>
                <w:sz w:val="24"/>
                <w:szCs w:val="24"/>
              </w:rPr>
            </w:pPr>
          </w:p>
          <w:p>
            <w:pPr>
              <w:pStyle w:val="19"/>
              <w:spacing w:line="400" w:lineRule="exact"/>
              <w:ind w:firstLine="120" w:firstLineChars="50"/>
              <w:rPr>
                <w:rFonts w:ascii="宋体"/>
                <w:b/>
                <w:bCs/>
                <w:sz w:val="24"/>
                <w:szCs w:val="24"/>
              </w:rPr>
            </w:pPr>
            <w:r>
              <w:rPr>
                <w:rFonts w:hint="eastAsia" w:ascii="宋体" w:hAnsi="宋体"/>
                <w:b/>
                <w:bCs/>
                <w:sz w:val="24"/>
                <w:szCs w:val="24"/>
              </w:rPr>
              <w:t>承</w:t>
            </w:r>
          </w:p>
          <w:p>
            <w:pPr>
              <w:pStyle w:val="19"/>
              <w:spacing w:line="400" w:lineRule="exact"/>
              <w:rPr>
                <w:rFonts w:ascii="宋体"/>
                <w:b/>
                <w:bCs/>
                <w:sz w:val="24"/>
                <w:szCs w:val="24"/>
              </w:rPr>
            </w:pPr>
          </w:p>
          <w:p>
            <w:pPr>
              <w:pStyle w:val="19"/>
              <w:spacing w:line="400" w:lineRule="exact"/>
              <w:ind w:firstLine="120" w:firstLineChars="50"/>
              <w:rPr>
                <w:rFonts w:ascii="宋体"/>
                <w:bCs/>
                <w:sz w:val="24"/>
                <w:szCs w:val="24"/>
              </w:rPr>
            </w:pPr>
            <w:r>
              <w:rPr>
                <w:rFonts w:hint="eastAsia" w:ascii="宋体" w:hAnsi="宋体"/>
                <w:b/>
                <w:bCs/>
                <w:sz w:val="24"/>
                <w:szCs w:val="24"/>
              </w:rPr>
              <w:t>诺</w:t>
            </w:r>
          </w:p>
        </w:tc>
        <w:tc>
          <w:tcPr>
            <w:tcW w:w="9345" w:type="dxa"/>
            <w:gridSpan w:val="10"/>
            <w:vAlign w:val="center"/>
          </w:tcPr>
          <w:p>
            <w:pPr>
              <w:numPr>
                <w:ilvl w:val="0"/>
                <w:numId w:val="26"/>
              </w:numPr>
              <w:rPr>
                <w:rFonts w:asci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w:t>
            </w:r>
            <w:r>
              <w:rPr>
                <w:rFonts w:ascii="宋体" w:hAnsi="宋体"/>
                <w:bCs/>
                <w:sz w:val="24"/>
                <w:szCs w:val="24"/>
              </w:rPr>
              <w:t xml:space="preserve"> 3."</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w:t>
            </w:r>
            <w:r>
              <w:rPr>
                <w:rFonts w:ascii="宋体" w:hAnsi="宋体"/>
                <w:bCs/>
                <w:sz w:val="24"/>
                <w:szCs w:val="24"/>
              </w:rPr>
              <w:t>)4</w:t>
            </w:r>
            <w:r>
              <w:rPr>
                <w:rFonts w:ascii="宋体"/>
                <w:bCs/>
                <w:sz w:val="24"/>
                <w:szCs w:val="24"/>
              </w:rPr>
              <w:t>.</w:t>
            </w:r>
            <w:r>
              <w:rPr>
                <w:rFonts w:hint="eastAsia" w:ascii="宋体" w:hAnsi="宋体"/>
                <w:bCs/>
                <w:sz w:val="24"/>
                <w:szCs w:val="24"/>
              </w:rPr>
              <w:t>其他承诺</w:t>
            </w:r>
          </w:p>
          <w:p>
            <w:pPr>
              <w:rPr>
                <w:rFonts w:ascii="宋体"/>
                <w:bCs/>
                <w:sz w:val="24"/>
                <w:szCs w:val="24"/>
              </w:rPr>
            </w:pPr>
            <w:r>
              <w:rPr>
                <w:rFonts w:hint="eastAsia" w:ascii="宋体" w:hAnsi="宋体"/>
                <w:bCs/>
                <w:sz w:val="24"/>
                <w:szCs w:val="24"/>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trPr>
        <w:tc>
          <w:tcPr>
            <w:tcW w:w="630" w:type="dxa"/>
            <w:gridSpan w:val="2"/>
            <w:vMerge w:val="continue"/>
            <w:vAlign w:val="center"/>
          </w:tcPr>
          <w:p>
            <w:pPr>
              <w:pStyle w:val="19"/>
              <w:spacing w:line="400" w:lineRule="exact"/>
              <w:rPr>
                <w:rFonts w:ascii="宋体"/>
                <w:bCs/>
                <w:sz w:val="24"/>
                <w:szCs w:val="24"/>
              </w:rPr>
            </w:pPr>
          </w:p>
        </w:tc>
        <w:tc>
          <w:tcPr>
            <w:tcW w:w="9345" w:type="dxa"/>
            <w:gridSpan w:val="10"/>
            <w:vAlign w:val="center"/>
          </w:tcPr>
          <w:p>
            <w:pPr>
              <w:rPr>
                <w:rFonts w:ascii="宋体"/>
                <w:bCs/>
                <w:sz w:val="24"/>
                <w:szCs w:val="24"/>
              </w:rPr>
            </w:pPr>
          </w:p>
        </w:tc>
      </w:tr>
    </w:tbl>
    <w:p>
      <w:pPr>
        <w:spacing w:before="5" w:line="560" w:lineRule="atLeas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outlineLvl w:val="0"/>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提醒：请各投标人尽可能携带明细报价表的电子文档。</w:t>
      </w:r>
    </w:p>
    <w:p>
      <w:pPr>
        <w:spacing w:line="400" w:lineRule="exact"/>
        <w:outlineLvl w:val="0"/>
        <w:rPr>
          <w:rFonts w:asci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）投标人应当根据“项目技术要求和有关说明”的内容在上表中详细填写；</w:t>
      </w:r>
    </w:p>
    <w:p>
      <w:pPr>
        <w:spacing w:line="400" w:lineRule="exact"/>
        <w:ind w:firstLine="315" w:firstLineChars="150"/>
        <w:outlineLvl w:val="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）表格不够可自行延长。</w:t>
      </w:r>
    </w:p>
    <w:p>
      <w:pPr>
        <w:spacing w:line="400" w:lineRule="exact"/>
        <w:outlineLvl w:val="0"/>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ind w:firstLine="420" w:firstLineChars="175"/>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（九）投标偏离表（格式）：</w:t>
      </w: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投标偏离表</w:t>
      </w: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LXZC2021-032(2)</w:t>
      </w:r>
    </w:p>
    <w:p>
      <w:pPr>
        <w:spacing w:line="400" w:lineRule="exact"/>
        <w:rPr>
          <w:rFonts w:ascii="黑体" w:eastAsia="黑体"/>
          <w:bCs/>
          <w:color w:val="000000" w:themeColor="text1"/>
          <w:sz w:val="24"/>
          <w:szCs w:val="24"/>
          <w14:textFill>
            <w14:solidFill>
              <w14:schemeClr w14:val="tx1"/>
            </w14:solidFill>
          </w14:textFill>
        </w:rPr>
      </w:pPr>
    </w:p>
    <w:tbl>
      <w:tblPr>
        <w:tblStyle w:val="23"/>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r>
    </w:tbl>
    <w:p>
      <w:pPr>
        <w:rPr>
          <w:rFonts w:ascii="宋体"/>
          <w:b/>
          <w:color w:val="000000" w:themeColor="text1"/>
          <w:sz w:val="24"/>
          <w:szCs w:val="24"/>
          <w14:textFill>
            <w14:solidFill>
              <w14:schemeClr w14:val="tx1"/>
            </w14:solidFill>
          </w14:textFill>
        </w:rPr>
      </w:pPr>
    </w:p>
    <w:p>
      <w:pP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rPr>
          <w:rFonts w:ascii="宋体"/>
          <w:bCs/>
          <w:color w:val="000000" w:themeColor="text1"/>
          <w:sz w:val="30"/>
          <w14:textFill>
            <w14:solidFill>
              <w14:schemeClr w14:val="tx1"/>
            </w14:solidFill>
          </w14:textFill>
        </w:rPr>
      </w:pPr>
    </w:p>
    <w:p>
      <w:pPr>
        <w:ind w:firstLine="420" w:firstLineChars="175"/>
        <w:outlineLvl w:val="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注：（</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）本表不得删除；</w:t>
      </w:r>
    </w:p>
    <w:p>
      <w:pPr>
        <w:ind w:firstLine="420" w:firstLineChars="175"/>
        <w:outlineLvl w:val="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）如无任何技术偏离，请于本表 “偏离说明”中注明“无偏离”；</w:t>
      </w:r>
    </w:p>
    <w:p>
      <w:pPr>
        <w:ind w:firstLine="420" w:firstLineChars="175"/>
        <w:outlineLvl w:val="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（3）如有技术偏离项，请于本表中列明偏离内容，如需要可自行延长，其余无偏离内容不须赘述。</w:t>
      </w:r>
    </w:p>
    <w:p>
      <w:pPr>
        <w:rPr>
          <w:rFonts w:ascii="宋体"/>
          <w:bCs/>
          <w:color w:val="000000" w:themeColor="text1"/>
          <w:sz w:val="30"/>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spacing w:after="312" w:afterLines="100"/>
        <w:jc w:val="left"/>
        <w:outlineLvl w:val="1"/>
        <w:rPr>
          <w:rFonts w:ascii="黑体" w:hAnsi="Calibri" w:eastAsia="黑体"/>
          <w:bCs/>
          <w:sz w:val="24"/>
          <w:szCs w:val="24"/>
        </w:rPr>
      </w:pPr>
    </w:p>
    <w:p>
      <w:pPr>
        <w:spacing w:after="312" w:afterLines="100"/>
        <w:jc w:val="left"/>
        <w:outlineLvl w:val="1"/>
        <w:rPr>
          <w:rFonts w:ascii="黑体" w:hAnsi="Calibri" w:eastAsia="黑体"/>
          <w:bCs/>
          <w:sz w:val="24"/>
          <w:szCs w:val="24"/>
        </w:rPr>
      </w:pPr>
    </w:p>
    <w:p>
      <w:pPr>
        <w:outlineLvl w:val="2"/>
        <w:rPr>
          <w:rFonts w:ascii="黑体" w:hAnsi="宋体" w:eastAsia="黑体"/>
          <w:bCs/>
          <w:sz w:val="24"/>
          <w:szCs w:val="24"/>
        </w:rPr>
      </w:pPr>
      <w:r>
        <w:rPr>
          <w:rFonts w:hint="eastAsia" w:ascii="黑体" w:hAnsi="宋体" w:eastAsia="黑体"/>
          <w:bCs/>
          <w:sz w:val="24"/>
          <w:szCs w:val="24"/>
        </w:rPr>
        <w:t>（十）项目人员配置清单（格式）：</w:t>
      </w:r>
    </w:p>
    <w:p>
      <w:pPr>
        <w:spacing w:line="400" w:lineRule="exact"/>
        <w:rPr>
          <w:rFonts w:ascii="黑体" w:hAnsi="Calibri" w:eastAsia="黑体"/>
          <w:bCs/>
          <w:sz w:val="28"/>
          <w:szCs w:val="28"/>
        </w:rPr>
      </w:pPr>
    </w:p>
    <w:p>
      <w:pPr>
        <w:spacing w:line="400" w:lineRule="exact"/>
        <w:jc w:val="center"/>
        <w:rPr>
          <w:rFonts w:ascii="黑体" w:eastAsia="黑体"/>
          <w:bCs/>
          <w:sz w:val="28"/>
          <w:szCs w:val="28"/>
        </w:rPr>
      </w:pPr>
      <w:r>
        <w:rPr>
          <w:rFonts w:hint="eastAsia" w:ascii="黑体" w:eastAsia="黑体"/>
          <w:bCs/>
          <w:sz w:val="28"/>
          <w:szCs w:val="28"/>
        </w:rPr>
        <w:t>项目人员配置清单</w:t>
      </w:r>
    </w:p>
    <w:p>
      <w:pPr>
        <w:spacing w:line="400" w:lineRule="exact"/>
        <w:jc w:val="center"/>
        <w:rPr>
          <w:rFonts w:ascii="黑体" w:eastAsia="黑体"/>
          <w:bCs/>
          <w:sz w:val="28"/>
          <w:szCs w:val="28"/>
        </w:rPr>
      </w:pPr>
    </w:p>
    <w:p>
      <w:pPr>
        <w:spacing w:line="580" w:lineRule="exact"/>
        <w:rPr>
          <w:rFonts w:hint="eastAsia" w:ascii="黑体" w:eastAsia="黑体"/>
          <w:bCs/>
          <w:sz w:val="24"/>
          <w:szCs w:val="24"/>
          <w:highlight w:val="yellow"/>
          <w:lang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LXZC2021-032(2)</w:t>
      </w:r>
    </w:p>
    <w:tbl>
      <w:tblPr>
        <w:tblStyle w:val="2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26"/>
        <w:gridCol w:w="793"/>
        <w:gridCol w:w="2585"/>
        <w:gridCol w:w="1459"/>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76" w:type="dxa"/>
            <w:vAlign w:val="center"/>
          </w:tcPr>
          <w:p>
            <w:pPr>
              <w:rPr>
                <w:b/>
                <w:bCs/>
                <w:sz w:val="24"/>
                <w:szCs w:val="24"/>
              </w:rPr>
            </w:pPr>
            <w:r>
              <w:rPr>
                <w:rFonts w:hint="eastAsia"/>
                <w:b/>
                <w:bCs/>
                <w:sz w:val="24"/>
                <w:szCs w:val="24"/>
              </w:rPr>
              <w:t>序号</w:t>
            </w:r>
          </w:p>
        </w:tc>
        <w:tc>
          <w:tcPr>
            <w:tcW w:w="1626" w:type="dxa"/>
            <w:vAlign w:val="center"/>
          </w:tcPr>
          <w:p>
            <w:pPr>
              <w:rPr>
                <w:b/>
                <w:bCs/>
                <w:sz w:val="24"/>
                <w:szCs w:val="24"/>
              </w:rPr>
            </w:pPr>
            <w:r>
              <w:rPr>
                <w:rFonts w:hint="eastAsia"/>
                <w:b/>
                <w:bCs/>
                <w:sz w:val="24"/>
                <w:szCs w:val="24"/>
              </w:rPr>
              <w:t>姓名</w:t>
            </w:r>
          </w:p>
        </w:tc>
        <w:tc>
          <w:tcPr>
            <w:tcW w:w="793" w:type="dxa"/>
            <w:vAlign w:val="center"/>
          </w:tcPr>
          <w:p>
            <w:pPr>
              <w:rPr>
                <w:b/>
                <w:bCs/>
                <w:sz w:val="24"/>
                <w:szCs w:val="24"/>
              </w:rPr>
            </w:pPr>
            <w:r>
              <w:rPr>
                <w:rFonts w:hint="eastAsia"/>
                <w:b/>
                <w:bCs/>
                <w:sz w:val="24"/>
                <w:szCs w:val="24"/>
              </w:rPr>
              <w:t>年龄</w:t>
            </w:r>
          </w:p>
        </w:tc>
        <w:tc>
          <w:tcPr>
            <w:tcW w:w="2585" w:type="dxa"/>
            <w:vAlign w:val="center"/>
          </w:tcPr>
          <w:p>
            <w:pPr>
              <w:rPr>
                <w:b/>
                <w:bCs/>
                <w:sz w:val="24"/>
                <w:szCs w:val="24"/>
              </w:rPr>
            </w:pPr>
            <w:r>
              <w:rPr>
                <w:rFonts w:hint="eastAsia"/>
                <w:b/>
                <w:bCs/>
                <w:sz w:val="24"/>
                <w:szCs w:val="24"/>
              </w:rPr>
              <w:t>本项目职责</w:t>
            </w:r>
          </w:p>
        </w:tc>
        <w:tc>
          <w:tcPr>
            <w:tcW w:w="1459" w:type="dxa"/>
            <w:vAlign w:val="center"/>
          </w:tcPr>
          <w:p>
            <w:pPr>
              <w:rPr>
                <w:b/>
                <w:bCs/>
                <w:sz w:val="24"/>
                <w:szCs w:val="24"/>
              </w:rPr>
            </w:pPr>
            <w:r>
              <w:rPr>
                <w:rFonts w:hint="eastAsia"/>
                <w:b/>
                <w:bCs/>
                <w:sz w:val="24"/>
                <w:szCs w:val="24"/>
              </w:rPr>
              <w:t>个人经验</w:t>
            </w:r>
          </w:p>
        </w:tc>
        <w:tc>
          <w:tcPr>
            <w:tcW w:w="1977" w:type="dxa"/>
            <w:vAlign w:val="center"/>
          </w:tcPr>
          <w:p>
            <w:pPr>
              <w:rPr>
                <w:b/>
                <w:bCs/>
                <w:sz w:val="24"/>
                <w:szCs w:val="24"/>
              </w:rPr>
            </w:pPr>
            <w:r>
              <w:rPr>
                <w:rFonts w:hint="eastAsia"/>
                <w:b/>
                <w:bCs/>
                <w:sz w:val="24"/>
                <w:szCs w:val="24"/>
              </w:rPr>
              <w:t>证书名称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bl>
    <w:p>
      <w:pPr>
        <w:rPr>
          <w:rFonts w:ascii="Calibri" w:hAnsi="Calibri"/>
          <w:b/>
          <w:bCs/>
          <w:sz w:val="24"/>
          <w:szCs w:val="24"/>
        </w:rPr>
      </w:pPr>
      <w:r>
        <w:rPr>
          <w:rFonts w:hint="eastAsia"/>
          <w:b/>
          <w:bCs/>
          <w:sz w:val="24"/>
          <w:szCs w:val="24"/>
        </w:rPr>
        <w:t>法定代表人或法定代表人授权代表签字或盖章：</w:t>
      </w:r>
    </w:p>
    <w:p>
      <w:pPr>
        <w:rPr>
          <w:rFonts w:ascii="宋体" w:hAnsi="宋体"/>
          <w:bCs/>
          <w:szCs w:val="21"/>
        </w:rPr>
      </w:pPr>
    </w:p>
    <w:p>
      <w:pPr>
        <w:rPr>
          <w:rFonts w:ascii="宋体" w:hAnsi="宋体"/>
          <w:bCs/>
          <w:szCs w:val="21"/>
        </w:rPr>
      </w:pPr>
      <w:r>
        <w:rPr>
          <w:rFonts w:hint="eastAsia" w:ascii="宋体" w:hAnsi="宋体"/>
          <w:bCs/>
          <w:szCs w:val="21"/>
        </w:rPr>
        <w:t>注：1. 表格不够可自行延长。</w:t>
      </w:r>
    </w:p>
    <w:p>
      <w:pPr>
        <w:spacing w:after="312" w:afterLines="100"/>
        <w:jc w:val="left"/>
        <w:outlineLvl w:val="1"/>
        <w:rPr>
          <w:rFonts w:ascii="宋体" w:hAnsi="宋体"/>
          <w:bCs/>
          <w:szCs w:val="21"/>
        </w:rPr>
      </w:pPr>
      <w:r>
        <w:rPr>
          <w:rFonts w:hint="eastAsia" w:ascii="宋体" w:hAnsi="宋体"/>
          <w:bCs/>
          <w:szCs w:val="21"/>
        </w:rPr>
        <w:t>2. 人员相关证明材料应按招标文件要求提供，并附在本表之后。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80" w:lineRule="auto"/>
        <w:rPr>
          <w:rFonts w:ascii="宋体"/>
          <w:bCs/>
          <w:color w:val="000000" w:themeColor="text1"/>
          <w:sz w:val="24"/>
          <w:szCs w:val="24"/>
          <w14:textFill>
            <w14:solidFill>
              <w14:schemeClr w14:val="tx1"/>
            </w14:solidFill>
          </w14:textFill>
        </w:rPr>
      </w:pPr>
    </w:p>
    <w:sectPr>
      <w:headerReference r:id="rId3" w:type="default"/>
      <w:footerReference r:id="rId4" w:type="default"/>
      <w:footerReference r:id="rId5" w:type="even"/>
      <w:pgSz w:w="11906" w:h="16838"/>
      <w:pgMar w:top="567" w:right="851" w:bottom="567" w:left="1134" w:header="624" w:footer="907"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17</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sz w:val="18"/>
        <w:szCs w:val="18"/>
      </w:rPr>
    </w:pPr>
    <w:r>
      <w:rPr>
        <w:rFonts w:hint="eastAsia" w:ascii="华文新魏" w:hAnsi="华文中宋" w:eastAsia="华文新魏"/>
        <w:sz w:val="18"/>
        <w:szCs w:val="18"/>
        <w:lang w:eastAsia="zh-CN"/>
      </w:rPr>
      <w:t>LXZC2021-032(2)</w:t>
    </w:r>
    <w:r>
      <w:rPr>
        <w:rFonts w:hint="eastAsia" w:ascii="华文新魏" w:hAnsi="华文中宋" w:eastAsia="华文新魏"/>
        <w:sz w:val="18"/>
        <w:szCs w:val="18"/>
        <w:lang w:val="en-US" w:eastAsia="zh-CN"/>
      </w:rPr>
      <w:t xml:space="preserve">   </w:t>
    </w:r>
    <w:r>
      <w:rPr>
        <w:rFonts w:hint="eastAsia" w:eastAsia="华文新魏"/>
        <w:sz w:val="18"/>
        <w:szCs w:val="18"/>
        <w:lang w:eastAsia="zh-CN"/>
      </w:rPr>
      <w:t>扬名街道金星社区金星大厦户外电子屏采购项目（第二次）</w:t>
    </w:r>
    <w:r>
      <w:rPr>
        <w:rFonts w:eastAsia="华文新魏"/>
        <w:sz w:val="18"/>
        <w:szCs w:val="18"/>
      </w:rPr>
      <w:t xml:space="preserve"> </w:t>
    </w:r>
    <w:r>
      <w:rPr>
        <w:sz w:val="18"/>
        <w:szCs w:val="18"/>
      </w:rPr>
      <w:t xml:space="preserve"> </w:t>
    </w:r>
    <w:r>
      <w:rPr>
        <w:rFonts w:hint="eastAsia"/>
        <w:sz w:val="18"/>
        <w:szCs w:val="18"/>
        <w:lang w:val="en-US" w:eastAsia="zh-CN"/>
      </w:rPr>
      <w:t xml:space="preserve">     </w:t>
    </w:r>
    <w:r>
      <w:rPr>
        <w:sz w:val="18"/>
        <w:szCs w:val="18"/>
      </w:rPr>
      <w:t xml:space="preserve"> </w:t>
    </w:r>
    <w:r>
      <w:rPr>
        <w:rFonts w:hint="eastAsia" w:eastAsia="华文新魏"/>
        <w:sz w:val="18"/>
        <w:szCs w:val="18"/>
      </w:rPr>
      <w:t>无锡市公共资源交易中心梁溪分中心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F8C18"/>
    <w:multiLevelType w:val="singleLevel"/>
    <w:tmpl w:val="B84F8C18"/>
    <w:lvl w:ilvl="0" w:tentative="0">
      <w:start w:val="1"/>
      <w:numFmt w:val="decimal"/>
      <w:suff w:val="space"/>
      <w:lvlText w:val="%1."/>
      <w:lvlJc w:val="left"/>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ascii="宋体" w:hAnsi="宋体" w:eastAsia="宋体" w:cs="Times New Roman"/>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360"/>
        </w:tabs>
        <w:ind w:left="36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4">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6">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7">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8">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9">
    <w:nsid w:val="3EC72376"/>
    <w:multiLevelType w:val="multilevel"/>
    <w:tmpl w:val="3EC72376"/>
    <w:lvl w:ilvl="0" w:tentative="0">
      <w:start w:val="8"/>
      <w:numFmt w:val="japaneseCounting"/>
      <w:lvlText w:val="（%1）"/>
      <w:lvlJc w:val="left"/>
      <w:pPr>
        <w:ind w:left="1239" w:hanging="720"/>
      </w:pPr>
      <w:rPr>
        <w:rFonts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10">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1">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2">
    <w:nsid w:val="51B12AEF"/>
    <w:multiLevelType w:val="multilevel"/>
    <w:tmpl w:val="51B12AEF"/>
    <w:lvl w:ilvl="0" w:tentative="0">
      <w:start w:val="1"/>
      <w:numFmt w:val="decimal"/>
      <w:lvlText w:val="%1、"/>
      <w:lvlJc w:val="left"/>
      <w:pPr>
        <w:ind w:left="360" w:hanging="360"/>
      </w:pPr>
      <w:rPr>
        <w:rFonts w:hint="default"/>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420"/>
        </w:tabs>
        <w:ind w:left="420" w:hanging="420"/>
      </w:pPr>
      <w:rPr>
        <w:rFonts w:hint="eastAsia" w:cs="Times New Roman"/>
      </w:rPr>
    </w:lvl>
    <w:lvl w:ilvl="5" w:tentative="0">
      <w:start w:val="10"/>
      <w:numFmt w:val="japaneseCounting"/>
      <w:lvlText w:val="（%6）"/>
      <w:lvlJc w:val="left"/>
      <w:pPr>
        <w:ind w:left="2970" w:hanging="720"/>
      </w:pPr>
      <w:rPr>
        <w:rFonts w:hint="default"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5">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7">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8">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19">
    <w:nsid w:val="701B0C26"/>
    <w:multiLevelType w:val="multilevel"/>
    <w:tmpl w:val="701B0C2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1D54D18"/>
    <w:multiLevelType w:val="multilevel"/>
    <w:tmpl w:val="71D54D18"/>
    <w:lvl w:ilvl="0" w:tentative="0">
      <w:start w:val="1"/>
      <w:numFmt w:val="upperLetter"/>
      <w:pStyle w:val="7"/>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75284F45"/>
    <w:multiLevelType w:val="multilevel"/>
    <w:tmpl w:val="75284F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5645DA"/>
    <w:multiLevelType w:val="multilevel"/>
    <w:tmpl w:val="785645DA"/>
    <w:lvl w:ilvl="0" w:tentative="0">
      <w:start w:val="1"/>
      <w:numFmt w:val="chineseCountingThousand"/>
      <w:lvlText w:val="(%1)"/>
      <w:lvlJc w:val="left"/>
      <w:pPr>
        <w:ind w:left="420" w:hanging="420"/>
      </w:pPr>
    </w:lvl>
    <w:lvl w:ilvl="1" w:tentative="0">
      <w:start w:val="1"/>
      <w:numFmt w:val="decimalEnclosedCircle"/>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20"/>
  </w:num>
  <w:num w:numId="2">
    <w:abstractNumId w:val="17"/>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3"/>
    <w:lvlOverride w:ilvl="0">
      <w:startOverride w:val="1"/>
    </w:lvlOverride>
  </w:num>
  <w:num w:numId="7">
    <w:abstractNumId w:val="8"/>
    <w:lvlOverride w:ilvl="0">
      <w:startOverride w:val="1"/>
    </w:lvlOverride>
  </w:num>
  <w:num w:numId="8">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18"/>
  </w:num>
  <w:num w:numId="14">
    <w:abstractNumId w:val="16"/>
  </w:num>
  <w:num w:numId="15">
    <w:abstractNumId w:val="7"/>
  </w:num>
  <w:num w:numId="16">
    <w:abstractNumId w:val="14"/>
  </w:num>
  <w:num w:numId="17">
    <w:abstractNumId w:val="21"/>
  </w:num>
  <w:num w:numId="18">
    <w:abstractNumId w:val="19"/>
  </w:num>
  <w:num w:numId="19">
    <w:abstractNumId w:val="12"/>
  </w:num>
  <w:num w:numId="20">
    <w:abstractNumId w:val="22"/>
  </w:num>
  <w:num w:numId="21">
    <w:abstractNumId w:val="0"/>
  </w:num>
  <w:num w:numId="22">
    <w:abstractNumId w:val="2"/>
  </w:num>
  <w:num w:numId="2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7C"/>
    <w:rsid w:val="00000246"/>
    <w:rsid w:val="0000147A"/>
    <w:rsid w:val="00001D91"/>
    <w:rsid w:val="000025FD"/>
    <w:rsid w:val="0000630B"/>
    <w:rsid w:val="0000706E"/>
    <w:rsid w:val="0001062E"/>
    <w:rsid w:val="000109A3"/>
    <w:rsid w:val="0001120F"/>
    <w:rsid w:val="000114F5"/>
    <w:rsid w:val="0001198A"/>
    <w:rsid w:val="00015719"/>
    <w:rsid w:val="00016B3F"/>
    <w:rsid w:val="00017561"/>
    <w:rsid w:val="00017773"/>
    <w:rsid w:val="00017BE8"/>
    <w:rsid w:val="00017E5F"/>
    <w:rsid w:val="0002028A"/>
    <w:rsid w:val="00020AA6"/>
    <w:rsid w:val="00021B38"/>
    <w:rsid w:val="00021C55"/>
    <w:rsid w:val="00021D3D"/>
    <w:rsid w:val="0002482E"/>
    <w:rsid w:val="0002495A"/>
    <w:rsid w:val="000273DF"/>
    <w:rsid w:val="000337EB"/>
    <w:rsid w:val="00033B04"/>
    <w:rsid w:val="00034340"/>
    <w:rsid w:val="00035F23"/>
    <w:rsid w:val="00036986"/>
    <w:rsid w:val="00037074"/>
    <w:rsid w:val="00037E14"/>
    <w:rsid w:val="0004115C"/>
    <w:rsid w:val="0004138A"/>
    <w:rsid w:val="000413ED"/>
    <w:rsid w:val="000415CD"/>
    <w:rsid w:val="00042DB2"/>
    <w:rsid w:val="000433BF"/>
    <w:rsid w:val="00043493"/>
    <w:rsid w:val="0004377B"/>
    <w:rsid w:val="00044F01"/>
    <w:rsid w:val="00047103"/>
    <w:rsid w:val="000478D6"/>
    <w:rsid w:val="000501C8"/>
    <w:rsid w:val="000508F5"/>
    <w:rsid w:val="00052D27"/>
    <w:rsid w:val="00053810"/>
    <w:rsid w:val="00053B23"/>
    <w:rsid w:val="00055172"/>
    <w:rsid w:val="000561D6"/>
    <w:rsid w:val="00056FF7"/>
    <w:rsid w:val="00057B7C"/>
    <w:rsid w:val="0006076C"/>
    <w:rsid w:val="000608B0"/>
    <w:rsid w:val="000628EE"/>
    <w:rsid w:val="000659F4"/>
    <w:rsid w:val="000675AF"/>
    <w:rsid w:val="000678F3"/>
    <w:rsid w:val="00067E9F"/>
    <w:rsid w:val="0007120B"/>
    <w:rsid w:val="0007339C"/>
    <w:rsid w:val="000734BB"/>
    <w:rsid w:val="00074792"/>
    <w:rsid w:val="00075491"/>
    <w:rsid w:val="000759A3"/>
    <w:rsid w:val="00075DD9"/>
    <w:rsid w:val="000763A3"/>
    <w:rsid w:val="00076BD2"/>
    <w:rsid w:val="000821F9"/>
    <w:rsid w:val="00082FEF"/>
    <w:rsid w:val="0008355D"/>
    <w:rsid w:val="00083932"/>
    <w:rsid w:val="00083FE1"/>
    <w:rsid w:val="0008519B"/>
    <w:rsid w:val="00085876"/>
    <w:rsid w:val="00087758"/>
    <w:rsid w:val="0009023A"/>
    <w:rsid w:val="000903B2"/>
    <w:rsid w:val="00092396"/>
    <w:rsid w:val="0009595E"/>
    <w:rsid w:val="000A0304"/>
    <w:rsid w:val="000A0558"/>
    <w:rsid w:val="000A0D51"/>
    <w:rsid w:val="000A0F85"/>
    <w:rsid w:val="000A10E2"/>
    <w:rsid w:val="000A1660"/>
    <w:rsid w:val="000A1817"/>
    <w:rsid w:val="000A32EA"/>
    <w:rsid w:val="000A4837"/>
    <w:rsid w:val="000A54CD"/>
    <w:rsid w:val="000A6749"/>
    <w:rsid w:val="000A720C"/>
    <w:rsid w:val="000B1D13"/>
    <w:rsid w:val="000B1DF3"/>
    <w:rsid w:val="000B3D4D"/>
    <w:rsid w:val="000B3E3B"/>
    <w:rsid w:val="000B5F16"/>
    <w:rsid w:val="000B67A4"/>
    <w:rsid w:val="000C052C"/>
    <w:rsid w:val="000C074F"/>
    <w:rsid w:val="000C5496"/>
    <w:rsid w:val="000D0BC6"/>
    <w:rsid w:val="000D15A8"/>
    <w:rsid w:val="000D2FE0"/>
    <w:rsid w:val="000D31F8"/>
    <w:rsid w:val="000D3C7B"/>
    <w:rsid w:val="000D3F2B"/>
    <w:rsid w:val="000D41B9"/>
    <w:rsid w:val="000D450D"/>
    <w:rsid w:val="000D547B"/>
    <w:rsid w:val="000D55BC"/>
    <w:rsid w:val="000D6935"/>
    <w:rsid w:val="000D71CB"/>
    <w:rsid w:val="000E08A3"/>
    <w:rsid w:val="000E0F29"/>
    <w:rsid w:val="000E127E"/>
    <w:rsid w:val="000E57EB"/>
    <w:rsid w:val="000E7D8B"/>
    <w:rsid w:val="000F0B78"/>
    <w:rsid w:val="000F138B"/>
    <w:rsid w:val="000F16DF"/>
    <w:rsid w:val="000F1B4D"/>
    <w:rsid w:val="000F2375"/>
    <w:rsid w:val="000F423D"/>
    <w:rsid w:val="000F520D"/>
    <w:rsid w:val="000F63CA"/>
    <w:rsid w:val="000F6A18"/>
    <w:rsid w:val="000F71F0"/>
    <w:rsid w:val="000F73AC"/>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114A"/>
    <w:rsid w:val="001216AB"/>
    <w:rsid w:val="001220ED"/>
    <w:rsid w:val="00122112"/>
    <w:rsid w:val="001249B8"/>
    <w:rsid w:val="001249E7"/>
    <w:rsid w:val="0012542C"/>
    <w:rsid w:val="0012629F"/>
    <w:rsid w:val="00127B0D"/>
    <w:rsid w:val="00127F9B"/>
    <w:rsid w:val="00130664"/>
    <w:rsid w:val="001325B8"/>
    <w:rsid w:val="00132D94"/>
    <w:rsid w:val="0013301B"/>
    <w:rsid w:val="00133BEC"/>
    <w:rsid w:val="001342A6"/>
    <w:rsid w:val="0013468C"/>
    <w:rsid w:val="00134735"/>
    <w:rsid w:val="00134EBB"/>
    <w:rsid w:val="00135B43"/>
    <w:rsid w:val="00135FC3"/>
    <w:rsid w:val="001370A7"/>
    <w:rsid w:val="00137695"/>
    <w:rsid w:val="001379D5"/>
    <w:rsid w:val="00137B77"/>
    <w:rsid w:val="00140BF2"/>
    <w:rsid w:val="00140D27"/>
    <w:rsid w:val="00141545"/>
    <w:rsid w:val="001415E2"/>
    <w:rsid w:val="0014180E"/>
    <w:rsid w:val="00142075"/>
    <w:rsid w:val="00142503"/>
    <w:rsid w:val="00142AD5"/>
    <w:rsid w:val="00142ADA"/>
    <w:rsid w:val="001433FF"/>
    <w:rsid w:val="00143722"/>
    <w:rsid w:val="0014621F"/>
    <w:rsid w:val="00146CEA"/>
    <w:rsid w:val="00150326"/>
    <w:rsid w:val="001505DA"/>
    <w:rsid w:val="001516CA"/>
    <w:rsid w:val="00152DF6"/>
    <w:rsid w:val="00154F32"/>
    <w:rsid w:val="00155484"/>
    <w:rsid w:val="001560CD"/>
    <w:rsid w:val="0015678F"/>
    <w:rsid w:val="00156D8F"/>
    <w:rsid w:val="00156F98"/>
    <w:rsid w:val="0016033E"/>
    <w:rsid w:val="00161C78"/>
    <w:rsid w:val="0016340B"/>
    <w:rsid w:val="0016356D"/>
    <w:rsid w:val="0016461F"/>
    <w:rsid w:val="0016484D"/>
    <w:rsid w:val="00165BA1"/>
    <w:rsid w:val="0016602F"/>
    <w:rsid w:val="00166298"/>
    <w:rsid w:val="00170996"/>
    <w:rsid w:val="001713BF"/>
    <w:rsid w:val="0017312D"/>
    <w:rsid w:val="00174FDC"/>
    <w:rsid w:val="0017630E"/>
    <w:rsid w:val="001763FA"/>
    <w:rsid w:val="0017682B"/>
    <w:rsid w:val="001777FF"/>
    <w:rsid w:val="00180444"/>
    <w:rsid w:val="00181B67"/>
    <w:rsid w:val="00183235"/>
    <w:rsid w:val="00184556"/>
    <w:rsid w:val="0018524B"/>
    <w:rsid w:val="00185A0C"/>
    <w:rsid w:val="00186545"/>
    <w:rsid w:val="00191007"/>
    <w:rsid w:val="00191F46"/>
    <w:rsid w:val="001924D5"/>
    <w:rsid w:val="00192C20"/>
    <w:rsid w:val="00193BBC"/>
    <w:rsid w:val="0019535E"/>
    <w:rsid w:val="001961C4"/>
    <w:rsid w:val="00196523"/>
    <w:rsid w:val="00197530"/>
    <w:rsid w:val="001A02BB"/>
    <w:rsid w:val="001A17D5"/>
    <w:rsid w:val="001A1C67"/>
    <w:rsid w:val="001A31B2"/>
    <w:rsid w:val="001A3575"/>
    <w:rsid w:val="001A5089"/>
    <w:rsid w:val="001A54D0"/>
    <w:rsid w:val="001A5A56"/>
    <w:rsid w:val="001A7E8E"/>
    <w:rsid w:val="001B1BB4"/>
    <w:rsid w:val="001B2471"/>
    <w:rsid w:val="001B2D81"/>
    <w:rsid w:val="001B36AD"/>
    <w:rsid w:val="001B3FB8"/>
    <w:rsid w:val="001B5D8F"/>
    <w:rsid w:val="001B676F"/>
    <w:rsid w:val="001B6791"/>
    <w:rsid w:val="001B794E"/>
    <w:rsid w:val="001C25B0"/>
    <w:rsid w:val="001C467D"/>
    <w:rsid w:val="001C6217"/>
    <w:rsid w:val="001C66C0"/>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3929"/>
    <w:rsid w:val="001E3F25"/>
    <w:rsid w:val="001E6915"/>
    <w:rsid w:val="001E773C"/>
    <w:rsid w:val="001E7BB0"/>
    <w:rsid w:val="001E7F04"/>
    <w:rsid w:val="001F067F"/>
    <w:rsid w:val="001F11D1"/>
    <w:rsid w:val="001F24EF"/>
    <w:rsid w:val="001F36C0"/>
    <w:rsid w:val="001F452C"/>
    <w:rsid w:val="001F5C10"/>
    <w:rsid w:val="001F5FCA"/>
    <w:rsid w:val="001F7677"/>
    <w:rsid w:val="001F7D09"/>
    <w:rsid w:val="0020143F"/>
    <w:rsid w:val="0020238F"/>
    <w:rsid w:val="00202489"/>
    <w:rsid w:val="00207130"/>
    <w:rsid w:val="002077E3"/>
    <w:rsid w:val="002077FB"/>
    <w:rsid w:val="00207EB8"/>
    <w:rsid w:val="00210A92"/>
    <w:rsid w:val="00211CAB"/>
    <w:rsid w:val="0021273C"/>
    <w:rsid w:val="002128BA"/>
    <w:rsid w:val="00212FE6"/>
    <w:rsid w:val="00213848"/>
    <w:rsid w:val="00213926"/>
    <w:rsid w:val="00214951"/>
    <w:rsid w:val="00216CCD"/>
    <w:rsid w:val="002207BB"/>
    <w:rsid w:val="00222DDA"/>
    <w:rsid w:val="00223423"/>
    <w:rsid w:val="0022348D"/>
    <w:rsid w:val="0022355E"/>
    <w:rsid w:val="0022603E"/>
    <w:rsid w:val="0022676E"/>
    <w:rsid w:val="00227686"/>
    <w:rsid w:val="00227A8D"/>
    <w:rsid w:val="002315FF"/>
    <w:rsid w:val="002324F7"/>
    <w:rsid w:val="00232E8C"/>
    <w:rsid w:val="00232FE0"/>
    <w:rsid w:val="00232FE1"/>
    <w:rsid w:val="0023308C"/>
    <w:rsid w:val="002348B8"/>
    <w:rsid w:val="002361A4"/>
    <w:rsid w:val="002367B7"/>
    <w:rsid w:val="00236826"/>
    <w:rsid w:val="00237D5F"/>
    <w:rsid w:val="002401C6"/>
    <w:rsid w:val="0024070E"/>
    <w:rsid w:val="0024107B"/>
    <w:rsid w:val="00242072"/>
    <w:rsid w:val="002440C5"/>
    <w:rsid w:val="0024486B"/>
    <w:rsid w:val="002449A6"/>
    <w:rsid w:val="0024551F"/>
    <w:rsid w:val="00246798"/>
    <w:rsid w:val="00246976"/>
    <w:rsid w:val="00247A5D"/>
    <w:rsid w:val="00250EA8"/>
    <w:rsid w:val="0025328C"/>
    <w:rsid w:val="00255CD8"/>
    <w:rsid w:val="0025660D"/>
    <w:rsid w:val="0025745D"/>
    <w:rsid w:val="00257F56"/>
    <w:rsid w:val="00261791"/>
    <w:rsid w:val="002631F1"/>
    <w:rsid w:val="00264143"/>
    <w:rsid w:val="002648B7"/>
    <w:rsid w:val="002662DF"/>
    <w:rsid w:val="00266E9A"/>
    <w:rsid w:val="00267ADA"/>
    <w:rsid w:val="00267BA6"/>
    <w:rsid w:val="00270D2F"/>
    <w:rsid w:val="002729FF"/>
    <w:rsid w:val="00273B24"/>
    <w:rsid w:val="002746EF"/>
    <w:rsid w:val="00274FAC"/>
    <w:rsid w:val="00275375"/>
    <w:rsid w:val="00275BBB"/>
    <w:rsid w:val="00276963"/>
    <w:rsid w:val="00281F9F"/>
    <w:rsid w:val="0028360F"/>
    <w:rsid w:val="00283739"/>
    <w:rsid w:val="00284497"/>
    <w:rsid w:val="002851A9"/>
    <w:rsid w:val="00285EAB"/>
    <w:rsid w:val="00286DC7"/>
    <w:rsid w:val="00286ED3"/>
    <w:rsid w:val="00290DCC"/>
    <w:rsid w:val="00290E4E"/>
    <w:rsid w:val="00293D39"/>
    <w:rsid w:val="002942C7"/>
    <w:rsid w:val="002944C4"/>
    <w:rsid w:val="002958A6"/>
    <w:rsid w:val="00296A9C"/>
    <w:rsid w:val="002971A4"/>
    <w:rsid w:val="002A02BF"/>
    <w:rsid w:val="002A13B1"/>
    <w:rsid w:val="002A188E"/>
    <w:rsid w:val="002A1DB1"/>
    <w:rsid w:val="002A377E"/>
    <w:rsid w:val="002A5832"/>
    <w:rsid w:val="002A6836"/>
    <w:rsid w:val="002A6E33"/>
    <w:rsid w:val="002A6E8E"/>
    <w:rsid w:val="002B01B1"/>
    <w:rsid w:val="002B258A"/>
    <w:rsid w:val="002B2828"/>
    <w:rsid w:val="002B2B3F"/>
    <w:rsid w:val="002B5169"/>
    <w:rsid w:val="002B6F45"/>
    <w:rsid w:val="002B72D5"/>
    <w:rsid w:val="002B7325"/>
    <w:rsid w:val="002B7C1F"/>
    <w:rsid w:val="002C022F"/>
    <w:rsid w:val="002C083F"/>
    <w:rsid w:val="002C0C73"/>
    <w:rsid w:val="002C3203"/>
    <w:rsid w:val="002C47B8"/>
    <w:rsid w:val="002C4932"/>
    <w:rsid w:val="002C4ED1"/>
    <w:rsid w:val="002C5A28"/>
    <w:rsid w:val="002C66DF"/>
    <w:rsid w:val="002C75D2"/>
    <w:rsid w:val="002C7E00"/>
    <w:rsid w:val="002D1F87"/>
    <w:rsid w:val="002D25E3"/>
    <w:rsid w:val="002D4BC6"/>
    <w:rsid w:val="002D514E"/>
    <w:rsid w:val="002D5423"/>
    <w:rsid w:val="002D59FE"/>
    <w:rsid w:val="002D76C3"/>
    <w:rsid w:val="002E17E6"/>
    <w:rsid w:val="002E2C8F"/>
    <w:rsid w:val="002E2E31"/>
    <w:rsid w:val="002E32BA"/>
    <w:rsid w:val="002E3B4A"/>
    <w:rsid w:val="002E3E8F"/>
    <w:rsid w:val="002E6FC2"/>
    <w:rsid w:val="002E750F"/>
    <w:rsid w:val="002F0DF6"/>
    <w:rsid w:val="002F0E5A"/>
    <w:rsid w:val="002F1FCF"/>
    <w:rsid w:val="002F2CDB"/>
    <w:rsid w:val="002F34AC"/>
    <w:rsid w:val="002F3630"/>
    <w:rsid w:val="002F3CFA"/>
    <w:rsid w:val="002F6D1C"/>
    <w:rsid w:val="002F76A5"/>
    <w:rsid w:val="002F7E34"/>
    <w:rsid w:val="002F7FF5"/>
    <w:rsid w:val="00301905"/>
    <w:rsid w:val="00301A3A"/>
    <w:rsid w:val="00301B22"/>
    <w:rsid w:val="003028BB"/>
    <w:rsid w:val="00303700"/>
    <w:rsid w:val="00303805"/>
    <w:rsid w:val="00303BF6"/>
    <w:rsid w:val="0030475C"/>
    <w:rsid w:val="0030556D"/>
    <w:rsid w:val="00305C33"/>
    <w:rsid w:val="003064B0"/>
    <w:rsid w:val="003110F6"/>
    <w:rsid w:val="00312F1D"/>
    <w:rsid w:val="00315A53"/>
    <w:rsid w:val="003161EE"/>
    <w:rsid w:val="00316BAA"/>
    <w:rsid w:val="003173ED"/>
    <w:rsid w:val="0032161A"/>
    <w:rsid w:val="0032321C"/>
    <w:rsid w:val="0032379D"/>
    <w:rsid w:val="003246ED"/>
    <w:rsid w:val="00325468"/>
    <w:rsid w:val="003262E0"/>
    <w:rsid w:val="003266BE"/>
    <w:rsid w:val="003267A0"/>
    <w:rsid w:val="00326D9D"/>
    <w:rsid w:val="003278D9"/>
    <w:rsid w:val="003278F8"/>
    <w:rsid w:val="00330A28"/>
    <w:rsid w:val="00330CEA"/>
    <w:rsid w:val="003321B6"/>
    <w:rsid w:val="00332F17"/>
    <w:rsid w:val="00333562"/>
    <w:rsid w:val="00333E01"/>
    <w:rsid w:val="00335C64"/>
    <w:rsid w:val="00337DE7"/>
    <w:rsid w:val="003400E8"/>
    <w:rsid w:val="0034072C"/>
    <w:rsid w:val="00340FB5"/>
    <w:rsid w:val="003417A7"/>
    <w:rsid w:val="00341A6F"/>
    <w:rsid w:val="003429AF"/>
    <w:rsid w:val="00342F27"/>
    <w:rsid w:val="00342F91"/>
    <w:rsid w:val="0034382F"/>
    <w:rsid w:val="00343EB2"/>
    <w:rsid w:val="00345191"/>
    <w:rsid w:val="00345668"/>
    <w:rsid w:val="00345BBF"/>
    <w:rsid w:val="0034780A"/>
    <w:rsid w:val="00351605"/>
    <w:rsid w:val="00354D54"/>
    <w:rsid w:val="00354F1D"/>
    <w:rsid w:val="00356153"/>
    <w:rsid w:val="00356350"/>
    <w:rsid w:val="003576D5"/>
    <w:rsid w:val="00357AF3"/>
    <w:rsid w:val="0036070F"/>
    <w:rsid w:val="00361D10"/>
    <w:rsid w:val="00365474"/>
    <w:rsid w:val="00366DD7"/>
    <w:rsid w:val="00370036"/>
    <w:rsid w:val="00370357"/>
    <w:rsid w:val="00373193"/>
    <w:rsid w:val="00373D65"/>
    <w:rsid w:val="003743C6"/>
    <w:rsid w:val="00374D3A"/>
    <w:rsid w:val="003752C5"/>
    <w:rsid w:val="00375422"/>
    <w:rsid w:val="00375E21"/>
    <w:rsid w:val="00376811"/>
    <w:rsid w:val="00377A17"/>
    <w:rsid w:val="00377F15"/>
    <w:rsid w:val="00381716"/>
    <w:rsid w:val="00381ADD"/>
    <w:rsid w:val="00382D5B"/>
    <w:rsid w:val="00383FE1"/>
    <w:rsid w:val="00384AF2"/>
    <w:rsid w:val="0038583E"/>
    <w:rsid w:val="00386422"/>
    <w:rsid w:val="00386986"/>
    <w:rsid w:val="00386E83"/>
    <w:rsid w:val="0038781C"/>
    <w:rsid w:val="003907F4"/>
    <w:rsid w:val="0039098E"/>
    <w:rsid w:val="003913ED"/>
    <w:rsid w:val="0039162F"/>
    <w:rsid w:val="00392160"/>
    <w:rsid w:val="00394CB7"/>
    <w:rsid w:val="0039567B"/>
    <w:rsid w:val="00397A33"/>
    <w:rsid w:val="003A0095"/>
    <w:rsid w:val="003A00C5"/>
    <w:rsid w:val="003A10BC"/>
    <w:rsid w:val="003A18D0"/>
    <w:rsid w:val="003A2BD5"/>
    <w:rsid w:val="003A3A2C"/>
    <w:rsid w:val="003A4592"/>
    <w:rsid w:val="003A487A"/>
    <w:rsid w:val="003A65F0"/>
    <w:rsid w:val="003A7D5B"/>
    <w:rsid w:val="003A7F3C"/>
    <w:rsid w:val="003B43CB"/>
    <w:rsid w:val="003B44EE"/>
    <w:rsid w:val="003B5AEB"/>
    <w:rsid w:val="003B5BBB"/>
    <w:rsid w:val="003C00DF"/>
    <w:rsid w:val="003C1A31"/>
    <w:rsid w:val="003C3B7E"/>
    <w:rsid w:val="003C6D60"/>
    <w:rsid w:val="003D013C"/>
    <w:rsid w:val="003D0C63"/>
    <w:rsid w:val="003D1208"/>
    <w:rsid w:val="003D1B73"/>
    <w:rsid w:val="003D1E90"/>
    <w:rsid w:val="003D27C8"/>
    <w:rsid w:val="003D382D"/>
    <w:rsid w:val="003D3D26"/>
    <w:rsid w:val="003D4DF3"/>
    <w:rsid w:val="003D5168"/>
    <w:rsid w:val="003D52B6"/>
    <w:rsid w:val="003D614B"/>
    <w:rsid w:val="003D7D28"/>
    <w:rsid w:val="003E0FEE"/>
    <w:rsid w:val="003E1E26"/>
    <w:rsid w:val="003E2274"/>
    <w:rsid w:val="003E2502"/>
    <w:rsid w:val="003E3CAD"/>
    <w:rsid w:val="003E45B3"/>
    <w:rsid w:val="003E463A"/>
    <w:rsid w:val="003E6770"/>
    <w:rsid w:val="003E6C63"/>
    <w:rsid w:val="003F0265"/>
    <w:rsid w:val="003F042C"/>
    <w:rsid w:val="003F18A7"/>
    <w:rsid w:val="003F1DC0"/>
    <w:rsid w:val="003F211A"/>
    <w:rsid w:val="003F2583"/>
    <w:rsid w:val="003F275D"/>
    <w:rsid w:val="003F368D"/>
    <w:rsid w:val="003F488A"/>
    <w:rsid w:val="003F4C40"/>
    <w:rsid w:val="003F67DB"/>
    <w:rsid w:val="003F6E28"/>
    <w:rsid w:val="003F6F53"/>
    <w:rsid w:val="00400E7A"/>
    <w:rsid w:val="00401A10"/>
    <w:rsid w:val="0040646E"/>
    <w:rsid w:val="004068CE"/>
    <w:rsid w:val="004069E3"/>
    <w:rsid w:val="004108B9"/>
    <w:rsid w:val="00411679"/>
    <w:rsid w:val="00412433"/>
    <w:rsid w:val="00413A41"/>
    <w:rsid w:val="004151CD"/>
    <w:rsid w:val="00415C12"/>
    <w:rsid w:val="00415DB4"/>
    <w:rsid w:val="0041721B"/>
    <w:rsid w:val="0042067B"/>
    <w:rsid w:val="00420D5C"/>
    <w:rsid w:val="00421E06"/>
    <w:rsid w:val="00422670"/>
    <w:rsid w:val="0042287D"/>
    <w:rsid w:val="004245E2"/>
    <w:rsid w:val="004252C2"/>
    <w:rsid w:val="004254C6"/>
    <w:rsid w:val="0042575B"/>
    <w:rsid w:val="00425B79"/>
    <w:rsid w:val="00427D4D"/>
    <w:rsid w:val="004310BB"/>
    <w:rsid w:val="0043176A"/>
    <w:rsid w:val="00431A41"/>
    <w:rsid w:val="00432284"/>
    <w:rsid w:val="00432CE6"/>
    <w:rsid w:val="00433985"/>
    <w:rsid w:val="004364D2"/>
    <w:rsid w:val="00436691"/>
    <w:rsid w:val="0043693B"/>
    <w:rsid w:val="004376F3"/>
    <w:rsid w:val="0044045C"/>
    <w:rsid w:val="0044248A"/>
    <w:rsid w:val="00442B37"/>
    <w:rsid w:val="00443933"/>
    <w:rsid w:val="00443F3A"/>
    <w:rsid w:val="0044416F"/>
    <w:rsid w:val="00445407"/>
    <w:rsid w:val="004457E9"/>
    <w:rsid w:val="00446C07"/>
    <w:rsid w:val="00446E41"/>
    <w:rsid w:val="004471F4"/>
    <w:rsid w:val="00450D74"/>
    <w:rsid w:val="0045303A"/>
    <w:rsid w:val="00454522"/>
    <w:rsid w:val="00456CE4"/>
    <w:rsid w:val="00457829"/>
    <w:rsid w:val="004606BB"/>
    <w:rsid w:val="00461E85"/>
    <w:rsid w:val="00464446"/>
    <w:rsid w:val="00465547"/>
    <w:rsid w:val="00466C61"/>
    <w:rsid w:val="00466C68"/>
    <w:rsid w:val="00466FF6"/>
    <w:rsid w:val="00471153"/>
    <w:rsid w:val="004718EB"/>
    <w:rsid w:val="00471BEE"/>
    <w:rsid w:val="00474894"/>
    <w:rsid w:val="00474B80"/>
    <w:rsid w:val="00475F5A"/>
    <w:rsid w:val="004771C8"/>
    <w:rsid w:val="00480B26"/>
    <w:rsid w:val="00480F7A"/>
    <w:rsid w:val="00480FA5"/>
    <w:rsid w:val="00481FF4"/>
    <w:rsid w:val="00483D19"/>
    <w:rsid w:val="00484A31"/>
    <w:rsid w:val="00484A86"/>
    <w:rsid w:val="00484B4F"/>
    <w:rsid w:val="00484E12"/>
    <w:rsid w:val="00486792"/>
    <w:rsid w:val="00486DF9"/>
    <w:rsid w:val="00487FD0"/>
    <w:rsid w:val="0049077D"/>
    <w:rsid w:val="0049089D"/>
    <w:rsid w:val="004908B6"/>
    <w:rsid w:val="0049285A"/>
    <w:rsid w:val="004934D2"/>
    <w:rsid w:val="00493A67"/>
    <w:rsid w:val="00494131"/>
    <w:rsid w:val="00494147"/>
    <w:rsid w:val="00494451"/>
    <w:rsid w:val="004946A6"/>
    <w:rsid w:val="004951AE"/>
    <w:rsid w:val="0049616F"/>
    <w:rsid w:val="004A08C7"/>
    <w:rsid w:val="004A0BFE"/>
    <w:rsid w:val="004A0D9E"/>
    <w:rsid w:val="004A142B"/>
    <w:rsid w:val="004A301D"/>
    <w:rsid w:val="004A6EBC"/>
    <w:rsid w:val="004A6F5F"/>
    <w:rsid w:val="004B0EE0"/>
    <w:rsid w:val="004B368F"/>
    <w:rsid w:val="004C1FCD"/>
    <w:rsid w:val="004C2D6E"/>
    <w:rsid w:val="004C3CF6"/>
    <w:rsid w:val="004D24E1"/>
    <w:rsid w:val="004D465A"/>
    <w:rsid w:val="004D5017"/>
    <w:rsid w:val="004D5679"/>
    <w:rsid w:val="004D7089"/>
    <w:rsid w:val="004E0C55"/>
    <w:rsid w:val="004E134F"/>
    <w:rsid w:val="004E14A3"/>
    <w:rsid w:val="004E1D99"/>
    <w:rsid w:val="004E4FDC"/>
    <w:rsid w:val="004E553F"/>
    <w:rsid w:val="004E7735"/>
    <w:rsid w:val="004F0254"/>
    <w:rsid w:val="004F1377"/>
    <w:rsid w:val="004F24E1"/>
    <w:rsid w:val="004F6C92"/>
    <w:rsid w:val="004F70AB"/>
    <w:rsid w:val="004F7C8E"/>
    <w:rsid w:val="004F7E7C"/>
    <w:rsid w:val="00500824"/>
    <w:rsid w:val="00500988"/>
    <w:rsid w:val="00504747"/>
    <w:rsid w:val="00505A0C"/>
    <w:rsid w:val="00505A3E"/>
    <w:rsid w:val="00505EED"/>
    <w:rsid w:val="00506F49"/>
    <w:rsid w:val="00507275"/>
    <w:rsid w:val="0050757E"/>
    <w:rsid w:val="00507CBA"/>
    <w:rsid w:val="00510D49"/>
    <w:rsid w:val="0051101B"/>
    <w:rsid w:val="00512140"/>
    <w:rsid w:val="00512842"/>
    <w:rsid w:val="00513825"/>
    <w:rsid w:val="005139C5"/>
    <w:rsid w:val="00513C97"/>
    <w:rsid w:val="0051458D"/>
    <w:rsid w:val="005161C7"/>
    <w:rsid w:val="00516DA3"/>
    <w:rsid w:val="005171BA"/>
    <w:rsid w:val="005216E8"/>
    <w:rsid w:val="00524771"/>
    <w:rsid w:val="00525EE8"/>
    <w:rsid w:val="00526635"/>
    <w:rsid w:val="00526663"/>
    <w:rsid w:val="005307C0"/>
    <w:rsid w:val="0053112E"/>
    <w:rsid w:val="00531631"/>
    <w:rsid w:val="00532F27"/>
    <w:rsid w:val="0053384A"/>
    <w:rsid w:val="00533A04"/>
    <w:rsid w:val="00534BD2"/>
    <w:rsid w:val="00535A37"/>
    <w:rsid w:val="00536676"/>
    <w:rsid w:val="005366CE"/>
    <w:rsid w:val="00540837"/>
    <w:rsid w:val="005428E4"/>
    <w:rsid w:val="00543864"/>
    <w:rsid w:val="00546A7D"/>
    <w:rsid w:val="0054764E"/>
    <w:rsid w:val="00547E66"/>
    <w:rsid w:val="005511F6"/>
    <w:rsid w:val="00551C32"/>
    <w:rsid w:val="00553F0C"/>
    <w:rsid w:val="005546CD"/>
    <w:rsid w:val="00554D9C"/>
    <w:rsid w:val="00556985"/>
    <w:rsid w:val="005621D7"/>
    <w:rsid w:val="00562F3D"/>
    <w:rsid w:val="005648A1"/>
    <w:rsid w:val="00564AB9"/>
    <w:rsid w:val="00566461"/>
    <w:rsid w:val="00567001"/>
    <w:rsid w:val="005678D2"/>
    <w:rsid w:val="00567F6A"/>
    <w:rsid w:val="00570209"/>
    <w:rsid w:val="0057055B"/>
    <w:rsid w:val="00570D8F"/>
    <w:rsid w:val="00571195"/>
    <w:rsid w:val="005725AE"/>
    <w:rsid w:val="00572726"/>
    <w:rsid w:val="00573166"/>
    <w:rsid w:val="005731B1"/>
    <w:rsid w:val="00573737"/>
    <w:rsid w:val="005743B9"/>
    <w:rsid w:val="00574969"/>
    <w:rsid w:val="00574FCC"/>
    <w:rsid w:val="00576210"/>
    <w:rsid w:val="005765AF"/>
    <w:rsid w:val="0057715A"/>
    <w:rsid w:val="00581E4C"/>
    <w:rsid w:val="00582186"/>
    <w:rsid w:val="005846B8"/>
    <w:rsid w:val="00586362"/>
    <w:rsid w:val="00587797"/>
    <w:rsid w:val="00590030"/>
    <w:rsid w:val="00593D6C"/>
    <w:rsid w:val="00594273"/>
    <w:rsid w:val="00597DCA"/>
    <w:rsid w:val="005A08EC"/>
    <w:rsid w:val="005A26B3"/>
    <w:rsid w:val="005A37D5"/>
    <w:rsid w:val="005A4F42"/>
    <w:rsid w:val="005A51B0"/>
    <w:rsid w:val="005A78C3"/>
    <w:rsid w:val="005B2FF8"/>
    <w:rsid w:val="005B31C5"/>
    <w:rsid w:val="005B338A"/>
    <w:rsid w:val="005B35E0"/>
    <w:rsid w:val="005B35F5"/>
    <w:rsid w:val="005B42D4"/>
    <w:rsid w:val="005B4C7D"/>
    <w:rsid w:val="005C2427"/>
    <w:rsid w:val="005D0E08"/>
    <w:rsid w:val="005D1E46"/>
    <w:rsid w:val="005D2545"/>
    <w:rsid w:val="005D349D"/>
    <w:rsid w:val="005D47D0"/>
    <w:rsid w:val="005D4B2D"/>
    <w:rsid w:val="005D4FE6"/>
    <w:rsid w:val="005E00C5"/>
    <w:rsid w:val="005E0217"/>
    <w:rsid w:val="005E0D2A"/>
    <w:rsid w:val="005E13A9"/>
    <w:rsid w:val="005E2C18"/>
    <w:rsid w:val="005E30AE"/>
    <w:rsid w:val="005E552C"/>
    <w:rsid w:val="005E5EE3"/>
    <w:rsid w:val="005E690D"/>
    <w:rsid w:val="005E7C09"/>
    <w:rsid w:val="005F0241"/>
    <w:rsid w:val="005F1140"/>
    <w:rsid w:val="005F17AB"/>
    <w:rsid w:val="005F31D9"/>
    <w:rsid w:val="005F3BE0"/>
    <w:rsid w:val="005F5251"/>
    <w:rsid w:val="005F5DCA"/>
    <w:rsid w:val="00600134"/>
    <w:rsid w:val="00600773"/>
    <w:rsid w:val="006013D2"/>
    <w:rsid w:val="00602D8C"/>
    <w:rsid w:val="0060311E"/>
    <w:rsid w:val="00605DAD"/>
    <w:rsid w:val="00606242"/>
    <w:rsid w:val="006072C5"/>
    <w:rsid w:val="00607910"/>
    <w:rsid w:val="00607BA0"/>
    <w:rsid w:val="0061007C"/>
    <w:rsid w:val="00611FEC"/>
    <w:rsid w:val="006148B5"/>
    <w:rsid w:val="006154F5"/>
    <w:rsid w:val="00616A47"/>
    <w:rsid w:val="00620079"/>
    <w:rsid w:val="00620485"/>
    <w:rsid w:val="00620A36"/>
    <w:rsid w:val="00621C62"/>
    <w:rsid w:val="006238C0"/>
    <w:rsid w:val="00624A75"/>
    <w:rsid w:val="00624C64"/>
    <w:rsid w:val="006269CE"/>
    <w:rsid w:val="006305CC"/>
    <w:rsid w:val="006307FA"/>
    <w:rsid w:val="00633B7B"/>
    <w:rsid w:val="00633F6A"/>
    <w:rsid w:val="00634F47"/>
    <w:rsid w:val="00635A61"/>
    <w:rsid w:val="00635BF9"/>
    <w:rsid w:val="006430EB"/>
    <w:rsid w:val="00643478"/>
    <w:rsid w:val="006454D1"/>
    <w:rsid w:val="00647F9D"/>
    <w:rsid w:val="00654040"/>
    <w:rsid w:val="00655545"/>
    <w:rsid w:val="0065576A"/>
    <w:rsid w:val="00656143"/>
    <w:rsid w:val="00657D5D"/>
    <w:rsid w:val="00661105"/>
    <w:rsid w:val="00662F89"/>
    <w:rsid w:val="00663348"/>
    <w:rsid w:val="0066429F"/>
    <w:rsid w:val="00665036"/>
    <w:rsid w:val="00665BEC"/>
    <w:rsid w:val="00665E70"/>
    <w:rsid w:val="00666F26"/>
    <w:rsid w:val="0067179B"/>
    <w:rsid w:val="0067254F"/>
    <w:rsid w:val="00673E20"/>
    <w:rsid w:val="006741ED"/>
    <w:rsid w:val="00674C0C"/>
    <w:rsid w:val="00675125"/>
    <w:rsid w:val="00675D76"/>
    <w:rsid w:val="00675DF4"/>
    <w:rsid w:val="00676D5D"/>
    <w:rsid w:val="0067751A"/>
    <w:rsid w:val="0067784B"/>
    <w:rsid w:val="00677921"/>
    <w:rsid w:val="00677BD3"/>
    <w:rsid w:val="00680595"/>
    <w:rsid w:val="0068066A"/>
    <w:rsid w:val="00680D68"/>
    <w:rsid w:val="00681970"/>
    <w:rsid w:val="006854E7"/>
    <w:rsid w:val="00686705"/>
    <w:rsid w:val="00686AC1"/>
    <w:rsid w:val="006875CD"/>
    <w:rsid w:val="0069037D"/>
    <w:rsid w:val="00691746"/>
    <w:rsid w:val="00691D37"/>
    <w:rsid w:val="00691D3D"/>
    <w:rsid w:val="00693C97"/>
    <w:rsid w:val="0069470F"/>
    <w:rsid w:val="006947E1"/>
    <w:rsid w:val="006957F7"/>
    <w:rsid w:val="00695DF2"/>
    <w:rsid w:val="00696FE7"/>
    <w:rsid w:val="0069725F"/>
    <w:rsid w:val="006A1417"/>
    <w:rsid w:val="006A14A6"/>
    <w:rsid w:val="006A18FB"/>
    <w:rsid w:val="006A2651"/>
    <w:rsid w:val="006A26CE"/>
    <w:rsid w:val="006A2FED"/>
    <w:rsid w:val="006A6536"/>
    <w:rsid w:val="006A6B4B"/>
    <w:rsid w:val="006A6D2B"/>
    <w:rsid w:val="006B01BF"/>
    <w:rsid w:val="006B0AC7"/>
    <w:rsid w:val="006B0EAC"/>
    <w:rsid w:val="006B1BA1"/>
    <w:rsid w:val="006B231D"/>
    <w:rsid w:val="006B356E"/>
    <w:rsid w:val="006B3ACE"/>
    <w:rsid w:val="006B47D4"/>
    <w:rsid w:val="006B5F96"/>
    <w:rsid w:val="006C0427"/>
    <w:rsid w:val="006C0726"/>
    <w:rsid w:val="006C0F43"/>
    <w:rsid w:val="006C1AE3"/>
    <w:rsid w:val="006C26B5"/>
    <w:rsid w:val="006C50B8"/>
    <w:rsid w:val="006C5A39"/>
    <w:rsid w:val="006C6541"/>
    <w:rsid w:val="006D0265"/>
    <w:rsid w:val="006D02B6"/>
    <w:rsid w:val="006D0A58"/>
    <w:rsid w:val="006D1843"/>
    <w:rsid w:val="006D24C0"/>
    <w:rsid w:val="006D306C"/>
    <w:rsid w:val="006D3585"/>
    <w:rsid w:val="006D3C91"/>
    <w:rsid w:val="006D3E52"/>
    <w:rsid w:val="006D53D7"/>
    <w:rsid w:val="006D6FC6"/>
    <w:rsid w:val="006D7459"/>
    <w:rsid w:val="006D7B92"/>
    <w:rsid w:val="006E022C"/>
    <w:rsid w:val="006E66CF"/>
    <w:rsid w:val="006E7AE1"/>
    <w:rsid w:val="006E7BE0"/>
    <w:rsid w:val="006F0495"/>
    <w:rsid w:val="006F07C4"/>
    <w:rsid w:val="006F0AEA"/>
    <w:rsid w:val="006F3373"/>
    <w:rsid w:val="006F3D88"/>
    <w:rsid w:val="006F5943"/>
    <w:rsid w:val="006F596F"/>
    <w:rsid w:val="006F684A"/>
    <w:rsid w:val="006F6EF1"/>
    <w:rsid w:val="007003D6"/>
    <w:rsid w:val="00700CFA"/>
    <w:rsid w:val="00701B45"/>
    <w:rsid w:val="007021D1"/>
    <w:rsid w:val="00703BA4"/>
    <w:rsid w:val="0070494F"/>
    <w:rsid w:val="0070510F"/>
    <w:rsid w:val="007053A8"/>
    <w:rsid w:val="007064B3"/>
    <w:rsid w:val="0070654B"/>
    <w:rsid w:val="00706E92"/>
    <w:rsid w:val="0070744A"/>
    <w:rsid w:val="0071115D"/>
    <w:rsid w:val="0071137D"/>
    <w:rsid w:val="00711518"/>
    <w:rsid w:val="0071160F"/>
    <w:rsid w:val="00711871"/>
    <w:rsid w:val="00714E50"/>
    <w:rsid w:val="007153F2"/>
    <w:rsid w:val="00715B8A"/>
    <w:rsid w:val="00716ACF"/>
    <w:rsid w:val="007170F9"/>
    <w:rsid w:val="00720FBA"/>
    <w:rsid w:val="00721544"/>
    <w:rsid w:val="00723164"/>
    <w:rsid w:val="007232CC"/>
    <w:rsid w:val="00723AA8"/>
    <w:rsid w:val="0072555B"/>
    <w:rsid w:val="0072663B"/>
    <w:rsid w:val="00726DC6"/>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7A14"/>
    <w:rsid w:val="00753A03"/>
    <w:rsid w:val="00755518"/>
    <w:rsid w:val="007557FA"/>
    <w:rsid w:val="00756228"/>
    <w:rsid w:val="00756C45"/>
    <w:rsid w:val="00757541"/>
    <w:rsid w:val="0075791B"/>
    <w:rsid w:val="00761D75"/>
    <w:rsid w:val="00762761"/>
    <w:rsid w:val="00763178"/>
    <w:rsid w:val="0076420B"/>
    <w:rsid w:val="00765417"/>
    <w:rsid w:val="00765B12"/>
    <w:rsid w:val="007662BD"/>
    <w:rsid w:val="0077093F"/>
    <w:rsid w:val="00770C40"/>
    <w:rsid w:val="0077153E"/>
    <w:rsid w:val="007718BF"/>
    <w:rsid w:val="00771FEF"/>
    <w:rsid w:val="007724CA"/>
    <w:rsid w:val="00773007"/>
    <w:rsid w:val="00774ACA"/>
    <w:rsid w:val="00774AEE"/>
    <w:rsid w:val="007753FC"/>
    <w:rsid w:val="00776CD4"/>
    <w:rsid w:val="0077738B"/>
    <w:rsid w:val="007802EB"/>
    <w:rsid w:val="00781315"/>
    <w:rsid w:val="00782B9F"/>
    <w:rsid w:val="007837C5"/>
    <w:rsid w:val="0078413C"/>
    <w:rsid w:val="00784BC3"/>
    <w:rsid w:val="00784E18"/>
    <w:rsid w:val="00785CF7"/>
    <w:rsid w:val="007866D7"/>
    <w:rsid w:val="00786716"/>
    <w:rsid w:val="007901C3"/>
    <w:rsid w:val="00790817"/>
    <w:rsid w:val="00791757"/>
    <w:rsid w:val="00794A8E"/>
    <w:rsid w:val="00794D6E"/>
    <w:rsid w:val="00795B1A"/>
    <w:rsid w:val="007965A8"/>
    <w:rsid w:val="0079664A"/>
    <w:rsid w:val="007A09DF"/>
    <w:rsid w:val="007A1225"/>
    <w:rsid w:val="007A286B"/>
    <w:rsid w:val="007A5DBC"/>
    <w:rsid w:val="007A6B68"/>
    <w:rsid w:val="007B026A"/>
    <w:rsid w:val="007B1029"/>
    <w:rsid w:val="007B23BA"/>
    <w:rsid w:val="007B4639"/>
    <w:rsid w:val="007B4BEB"/>
    <w:rsid w:val="007B4F30"/>
    <w:rsid w:val="007C1290"/>
    <w:rsid w:val="007C136B"/>
    <w:rsid w:val="007C3058"/>
    <w:rsid w:val="007C4B3A"/>
    <w:rsid w:val="007C4C5B"/>
    <w:rsid w:val="007C5FE0"/>
    <w:rsid w:val="007D0FEE"/>
    <w:rsid w:val="007D14D2"/>
    <w:rsid w:val="007D2125"/>
    <w:rsid w:val="007D261B"/>
    <w:rsid w:val="007D2986"/>
    <w:rsid w:val="007D37E9"/>
    <w:rsid w:val="007D4749"/>
    <w:rsid w:val="007D528B"/>
    <w:rsid w:val="007D69F9"/>
    <w:rsid w:val="007D7A0C"/>
    <w:rsid w:val="007E02E1"/>
    <w:rsid w:val="007E1905"/>
    <w:rsid w:val="007E2B01"/>
    <w:rsid w:val="007E3B09"/>
    <w:rsid w:val="007E4FFD"/>
    <w:rsid w:val="007E51F8"/>
    <w:rsid w:val="007E6D7D"/>
    <w:rsid w:val="007E78C3"/>
    <w:rsid w:val="007E79C1"/>
    <w:rsid w:val="007F2346"/>
    <w:rsid w:val="007F2720"/>
    <w:rsid w:val="007F29E7"/>
    <w:rsid w:val="007F2B97"/>
    <w:rsid w:val="007F3466"/>
    <w:rsid w:val="00801FD5"/>
    <w:rsid w:val="0080345A"/>
    <w:rsid w:val="008059DC"/>
    <w:rsid w:val="00806AF7"/>
    <w:rsid w:val="008102BB"/>
    <w:rsid w:val="00810859"/>
    <w:rsid w:val="008117F0"/>
    <w:rsid w:val="00811AD5"/>
    <w:rsid w:val="008129BA"/>
    <w:rsid w:val="00813E35"/>
    <w:rsid w:val="00814559"/>
    <w:rsid w:val="00814D70"/>
    <w:rsid w:val="00816081"/>
    <w:rsid w:val="008163BC"/>
    <w:rsid w:val="008164CC"/>
    <w:rsid w:val="008203E3"/>
    <w:rsid w:val="008213DD"/>
    <w:rsid w:val="00822188"/>
    <w:rsid w:val="00823805"/>
    <w:rsid w:val="00824263"/>
    <w:rsid w:val="008248D5"/>
    <w:rsid w:val="00824FF0"/>
    <w:rsid w:val="0082798D"/>
    <w:rsid w:val="00831163"/>
    <w:rsid w:val="00832059"/>
    <w:rsid w:val="00832F12"/>
    <w:rsid w:val="008332BB"/>
    <w:rsid w:val="008335B1"/>
    <w:rsid w:val="0083436E"/>
    <w:rsid w:val="00834761"/>
    <w:rsid w:val="008361C7"/>
    <w:rsid w:val="00836DA2"/>
    <w:rsid w:val="008375A9"/>
    <w:rsid w:val="00837FF4"/>
    <w:rsid w:val="008414C3"/>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5B28"/>
    <w:rsid w:val="00856949"/>
    <w:rsid w:val="00857C33"/>
    <w:rsid w:val="00862FF8"/>
    <w:rsid w:val="00863BB7"/>
    <w:rsid w:val="008660AB"/>
    <w:rsid w:val="0086622A"/>
    <w:rsid w:val="00866685"/>
    <w:rsid w:val="008677B4"/>
    <w:rsid w:val="00867F80"/>
    <w:rsid w:val="0087260B"/>
    <w:rsid w:val="00877279"/>
    <w:rsid w:val="008805C2"/>
    <w:rsid w:val="008805D9"/>
    <w:rsid w:val="008813DC"/>
    <w:rsid w:val="008814D7"/>
    <w:rsid w:val="00885A6F"/>
    <w:rsid w:val="00886632"/>
    <w:rsid w:val="00890432"/>
    <w:rsid w:val="00891D6F"/>
    <w:rsid w:val="00891F03"/>
    <w:rsid w:val="0089204B"/>
    <w:rsid w:val="00892916"/>
    <w:rsid w:val="00893D2F"/>
    <w:rsid w:val="008940E5"/>
    <w:rsid w:val="00894628"/>
    <w:rsid w:val="0089568C"/>
    <w:rsid w:val="00897B69"/>
    <w:rsid w:val="008A18A0"/>
    <w:rsid w:val="008A20D7"/>
    <w:rsid w:val="008A3145"/>
    <w:rsid w:val="008A3376"/>
    <w:rsid w:val="008A4233"/>
    <w:rsid w:val="008A42B7"/>
    <w:rsid w:val="008A5F21"/>
    <w:rsid w:val="008B207D"/>
    <w:rsid w:val="008B21CA"/>
    <w:rsid w:val="008B409C"/>
    <w:rsid w:val="008B52DE"/>
    <w:rsid w:val="008B600A"/>
    <w:rsid w:val="008B6320"/>
    <w:rsid w:val="008B68F0"/>
    <w:rsid w:val="008C0A9E"/>
    <w:rsid w:val="008C175F"/>
    <w:rsid w:val="008C3098"/>
    <w:rsid w:val="008C4E25"/>
    <w:rsid w:val="008C5E44"/>
    <w:rsid w:val="008C7FB5"/>
    <w:rsid w:val="008D0610"/>
    <w:rsid w:val="008D0E7F"/>
    <w:rsid w:val="008D17D1"/>
    <w:rsid w:val="008D3F88"/>
    <w:rsid w:val="008D3FDC"/>
    <w:rsid w:val="008D4698"/>
    <w:rsid w:val="008D5023"/>
    <w:rsid w:val="008D591B"/>
    <w:rsid w:val="008D6C24"/>
    <w:rsid w:val="008D76E3"/>
    <w:rsid w:val="008E0D15"/>
    <w:rsid w:val="008E0E62"/>
    <w:rsid w:val="008E103A"/>
    <w:rsid w:val="008E1F16"/>
    <w:rsid w:val="008E26DC"/>
    <w:rsid w:val="008E33DB"/>
    <w:rsid w:val="008E5AB3"/>
    <w:rsid w:val="008E6C63"/>
    <w:rsid w:val="008F0CEC"/>
    <w:rsid w:val="008F290D"/>
    <w:rsid w:val="008F3DE2"/>
    <w:rsid w:val="008F50E9"/>
    <w:rsid w:val="008F54BE"/>
    <w:rsid w:val="008F7B29"/>
    <w:rsid w:val="0090037A"/>
    <w:rsid w:val="00901C26"/>
    <w:rsid w:val="0090265A"/>
    <w:rsid w:val="009032B5"/>
    <w:rsid w:val="00903C6E"/>
    <w:rsid w:val="009065A8"/>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26AA"/>
    <w:rsid w:val="00933073"/>
    <w:rsid w:val="009330B7"/>
    <w:rsid w:val="00933CDD"/>
    <w:rsid w:val="00934C92"/>
    <w:rsid w:val="00937925"/>
    <w:rsid w:val="00940116"/>
    <w:rsid w:val="00942218"/>
    <w:rsid w:val="00942C45"/>
    <w:rsid w:val="00943130"/>
    <w:rsid w:val="009431C0"/>
    <w:rsid w:val="00943640"/>
    <w:rsid w:val="0094434D"/>
    <w:rsid w:val="00944833"/>
    <w:rsid w:val="00946561"/>
    <w:rsid w:val="0094670E"/>
    <w:rsid w:val="00952AD5"/>
    <w:rsid w:val="00953453"/>
    <w:rsid w:val="00953B22"/>
    <w:rsid w:val="00953B30"/>
    <w:rsid w:val="009543BA"/>
    <w:rsid w:val="00954E63"/>
    <w:rsid w:val="00956CB9"/>
    <w:rsid w:val="00956F12"/>
    <w:rsid w:val="00956F47"/>
    <w:rsid w:val="00960338"/>
    <w:rsid w:val="00960923"/>
    <w:rsid w:val="00960BBF"/>
    <w:rsid w:val="00960F86"/>
    <w:rsid w:val="0096151C"/>
    <w:rsid w:val="0096210E"/>
    <w:rsid w:val="00962AAF"/>
    <w:rsid w:val="00964610"/>
    <w:rsid w:val="00966282"/>
    <w:rsid w:val="009674AD"/>
    <w:rsid w:val="00967978"/>
    <w:rsid w:val="009702C9"/>
    <w:rsid w:val="00973F64"/>
    <w:rsid w:val="00974F4E"/>
    <w:rsid w:val="0097527A"/>
    <w:rsid w:val="00975A16"/>
    <w:rsid w:val="00976155"/>
    <w:rsid w:val="00977210"/>
    <w:rsid w:val="00977FB7"/>
    <w:rsid w:val="0098060F"/>
    <w:rsid w:val="00980AA7"/>
    <w:rsid w:val="0098334D"/>
    <w:rsid w:val="00983C58"/>
    <w:rsid w:val="009842E6"/>
    <w:rsid w:val="00984371"/>
    <w:rsid w:val="009870A4"/>
    <w:rsid w:val="00990A65"/>
    <w:rsid w:val="0099105E"/>
    <w:rsid w:val="009912B6"/>
    <w:rsid w:val="00992A17"/>
    <w:rsid w:val="00993835"/>
    <w:rsid w:val="00993A07"/>
    <w:rsid w:val="0099436C"/>
    <w:rsid w:val="00995284"/>
    <w:rsid w:val="00996463"/>
    <w:rsid w:val="00997BC2"/>
    <w:rsid w:val="009A0469"/>
    <w:rsid w:val="009A1364"/>
    <w:rsid w:val="009A1F99"/>
    <w:rsid w:val="009A2607"/>
    <w:rsid w:val="009A2BB0"/>
    <w:rsid w:val="009A4836"/>
    <w:rsid w:val="009A5B3F"/>
    <w:rsid w:val="009A7A86"/>
    <w:rsid w:val="009B0631"/>
    <w:rsid w:val="009B1A3C"/>
    <w:rsid w:val="009B1C75"/>
    <w:rsid w:val="009B2C5E"/>
    <w:rsid w:val="009B3214"/>
    <w:rsid w:val="009B3987"/>
    <w:rsid w:val="009B3C71"/>
    <w:rsid w:val="009B47D8"/>
    <w:rsid w:val="009B4D49"/>
    <w:rsid w:val="009C035B"/>
    <w:rsid w:val="009C0EDA"/>
    <w:rsid w:val="009C135D"/>
    <w:rsid w:val="009C1BCF"/>
    <w:rsid w:val="009C407D"/>
    <w:rsid w:val="009C421A"/>
    <w:rsid w:val="009C5A46"/>
    <w:rsid w:val="009D0983"/>
    <w:rsid w:val="009D1C62"/>
    <w:rsid w:val="009D2BFA"/>
    <w:rsid w:val="009D2DE1"/>
    <w:rsid w:val="009D559A"/>
    <w:rsid w:val="009D5C14"/>
    <w:rsid w:val="009E00E3"/>
    <w:rsid w:val="009E3A43"/>
    <w:rsid w:val="009E4AD0"/>
    <w:rsid w:val="009E7985"/>
    <w:rsid w:val="009E7FE1"/>
    <w:rsid w:val="009F08A4"/>
    <w:rsid w:val="009F2676"/>
    <w:rsid w:val="009F2F08"/>
    <w:rsid w:val="009F31D0"/>
    <w:rsid w:val="009F3A04"/>
    <w:rsid w:val="009F469E"/>
    <w:rsid w:val="009F477A"/>
    <w:rsid w:val="009F55BC"/>
    <w:rsid w:val="009F5EE4"/>
    <w:rsid w:val="009F73AD"/>
    <w:rsid w:val="009F74D5"/>
    <w:rsid w:val="009F7EA7"/>
    <w:rsid w:val="00A0005C"/>
    <w:rsid w:val="00A02F27"/>
    <w:rsid w:val="00A031A9"/>
    <w:rsid w:val="00A03260"/>
    <w:rsid w:val="00A0424C"/>
    <w:rsid w:val="00A04EF8"/>
    <w:rsid w:val="00A05270"/>
    <w:rsid w:val="00A055E9"/>
    <w:rsid w:val="00A0604B"/>
    <w:rsid w:val="00A077F8"/>
    <w:rsid w:val="00A10379"/>
    <w:rsid w:val="00A10B6D"/>
    <w:rsid w:val="00A12DEE"/>
    <w:rsid w:val="00A138E6"/>
    <w:rsid w:val="00A14F91"/>
    <w:rsid w:val="00A17180"/>
    <w:rsid w:val="00A20209"/>
    <w:rsid w:val="00A20A19"/>
    <w:rsid w:val="00A20E5A"/>
    <w:rsid w:val="00A21E2E"/>
    <w:rsid w:val="00A236C6"/>
    <w:rsid w:val="00A24097"/>
    <w:rsid w:val="00A24807"/>
    <w:rsid w:val="00A255EB"/>
    <w:rsid w:val="00A26EE7"/>
    <w:rsid w:val="00A27139"/>
    <w:rsid w:val="00A309F1"/>
    <w:rsid w:val="00A32622"/>
    <w:rsid w:val="00A33061"/>
    <w:rsid w:val="00A33BF3"/>
    <w:rsid w:val="00A33FF6"/>
    <w:rsid w:val="00A35C07"/>
    <w:rsid w:val="00A37FAE"/>
    <w:rsid w:val="00A4046B"/>
    <w:rsid w:val="00A408EE"/>
    <w:rsid w:val="00A44A6B"/>
    <w:rsid w:val="00A455B4"/>
    <w:rsid w:val="00A46C9D"/>
    <w:rsid w:val="00A47043"/>
    <w:rsid w:val="00A508BA"/>
    <w:rsid w:val="00A52FEA"/>
    <w:rsid w:val="00A60A71"/>
    <w:rsid w:val="00A60B54"/>
    <w:rsid w:val="00A6368B"/>
    <w:rsid w:val="00A63743"/>
    <w:rsid w:val="00A639FA"/>
    <w:rsid w:val="00A644EB"/>
    <w:rsid w:val="00A65105"/>
    <w:rsid w:val="00A67B9E"/>
    <w:rsid w:val="00A70619"/>
    <w:rsid w:val="00A70998"/>
    <w:rsid w:val="00A71900"/>
    <w:rsid w:val="00A7324A"/>
    <w:rsid w:val="00A741DC"/>
    <w:rsid w:val="00A74343"/>
    <w:rsid w:val="00A7466F"/>
    <w:rsid w:val="00A74762"/>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F78"/>
    <w:rsid w:val="00A94114"/>
    <w:rsid w:val="00A9533E"/>
    <w:rsid w:val="00A96321"/>
    <w:rsid w:val="00A973F4"/>
    <w:rsid w:val="00AA002C"/>
    <w:rsid w:val="00AA0574"/>
    <w:rsid w:val="00AA0F44"/>
    <w:rsid w:val="00AA1C32"/>
    <w:rsid w:val="00AA25FC"/>
    <w:rsid w:val="00AA395B"/>
    <w:rsid w:val="00AA3C9A"/>
    <w:rsid w:val="00AA4968"/>
    <w:rsid w:val="00AA4AFD"/>
    <w:rsid w:val="00AA5C75"/>
    <w:rsid w:val="00AA6704"/>
    <w:rsid w:val="00AA7CA8"/>
    <w:rsid w:val="00AA7DB5"/>
    <w:rsid w:val="00AB0108"/>
    <w:rsid w:val="00AB02A9"/>
    <w:rsid w:val="00AB22E7"/>
    <w:rsid w:val="00AB27E0"/>
    <w:rsid w:val="00AB328B"/>
    <w:rsid w:val="00AB3831"/>
    <w:rsid w:val="00AB3E07"/>
    <w:rsid w:val="00AB45DF"/>
    <w:rsid w:val="00AB7BBC"/>
    <w:rsid w:val="00AB7DB0"/>
    <w:rsid w:val="00AC1902"/>
    <w:rsid w:val="00AC3CD5"/>
    <w:rsid w:val="00AC3DC8"/>
    <w:rsid w:val="00AC5B4A"/>
    <w:rsid w:val="00AC5B5A"/>
    <w:rsid w:val="00AC64E2"/>
    <w:rsid w:val="00AC6D0D"/>
    <w:rsid w:val="00AC7809"/>
    <w:rsid w:val="00AD1A42"/>
    <w:rsid w:val="00AD209E"/>
    <w:rsid w:val="00AD3153"/>
    <w:rsid w:val="00AD333B"/>
    <w:rsid w:val="00AD5DE4"/>
    <w:rsid w:val="00AD798A"/>
    <w:rsid w:val="00AD7B9E"/>
    <w:rsid w:val="00AE0B11"/>
    <w:rsid w:val="00AE1E85"/>
    <w:rsid w:val="00AE2B29"/>
    <w:rsid w:val="00AE3A69"/>
    <w:rsid w:val="00AE4340"/>
    <w:rsid w:val="00AE4978"/>
    <w:rsid w:val="00AE5478"/>
    <w:rsid w:val="00AE5B35"/>
    <w:rsid w:val="00AE5B51"/>
    <w:rsid w:val="00AE6521"/>
    <w:rsid w:val="00AE6C14"/>
    <w:rsid w:val="00AF03C7"/>
    <w:rsid w:val="00AF0D90"/>
    <w:rsid w:val="00AF1725"/>
    <w:rsid w:val="00AF1983"/>
    <w:rsid w:val="00AF1998"/>
    <w:rsid w:val="00AF2A2E"/>
    <w:rsid w:val="00AF2BB5"/>
    <w:rsid w:val="00AF494A"/>
    <w:rsid w:val="00AF5A4A"/>
    <w:rsid w:val="00AF60A6"/>
    <w:rsid w:val="00AF7F42"/>
    <w:rsid w:val="00B0061E"/>
    <w:rsid w:val="00B01186"/>
    <w:rsid w:val="00B01C37"/>
    <w:rsid w:val="00B01F34"/>
    <w:rsid w:val="00B0291B"/>
    <w:rsid w:val="00B046B6"/>
    <w:rsid w:val="00B05133"/>
    <w:rsid w:val="00B059C6"/>
    <w:rsid w:val="00B05B59"/>
    <w:rsid w:val="00B06CCE"/>
    <w:rsid w:val="00B078EF"/>
    <w:rsid w:val="00B1099B"/>
    <w:rsid w:val="00B10B1E"/>
    <w:rsid w:val="00B10D04"/>
    <w:rsid w:val="00B12087"/>
    <w:rsid w:val="00B13B8E"/>
    <w:rsid w:val="00B13ED6"/>
    <w:rsid w:val="00B16021"/>
    <w:rsid w:val="00B162E1"/>
    <w:rsid w:val="00B166ED"/>
    <w:rsid w:val="00B16CC5"/>
    <w:rsid w:val="00B17204"/>
    <w:rsid w:val="00B17A18"/>
    <w:rsid w:val="00B17F7E"/>
    <w:rsid w:val="00B2025D"/>
    <w:rsid w:val="00B2051C"/>
    <w:rsid w:val="00B211CB"/>
    <w:rsid w:val="00B225F0"/>
    <w:rsid w:val="00B2318E"/>
    <w:rsid w:val="00B2362C"/>
    <w:rsid w:val="00B242FA"/>
    <w:rsid w:val="00B25B37"/>
    <w:rsid w:val="00B27A4E"/>
    <w:rsid w:val="00B27B62"/>
    <w:rsid w:val="00B305D4"/>
    <w:rsid w:val="00B322FB"/>
    <w:rsid w:val="00B32CC4"/>
    <w:rsid w:val="00B33A4E"/>
    <w:rsid w:val="00B34225"/>
    <w:rsid w:val="00B347C4"/>
    <w:rsid w:val="00B3560E"/>
    <w:rsid w:val="00B37879"/>
    <w:rsid w:val="00B37ED1"/>
    <w:rsid w:val="00B41F9C"/>
    <w:rsid w:val="00B429D2"/>
    <w:rsid w:val="00B42F3D"/>
    <w:rsid w:val="00B436EE"/>
    <w:rsid w:val="00B476C1"/>
    <w:rsid w:val="00B479C2"/>
    <w:rsid w:val="00B50938"/>
    <w:rsid w:val="00B50DD2"/>
    <w:rsid w:val="00B51381"/>
    <w:rsid w:val="00B52016"/>
    <w:rsid w:val="00B54A57"/>
    <w:rsid w:val="00B54BD2"/>
    <w:rsid w:val="00B55A91"/>
    <w:rsid w:val="00B56432"/>
    <w:rsid w:val="00B579DE"/>
    <w:rsid w:val="00B57D3D"/>
    <w:rsid w:val="00B60AAA"/>
    <w:rsid w:val="00B6131D"/>
    <w:rsid w:val="00B61769"/>
    <w:rsid w:val="00B63BCC"/>
    <w:rsid w:val="00B63EE0"/>
    <w:rsid w:val="00B64FB8"/>
    <w:rsid w:val="00B65A06"/>
    <w:rsid w:val="00B66134"/>
    <w:rsid w:val="00B66BBA"/>
    <w:rsid w:val="00B677C0"/>
    <w:rsid w:val="00B70F26"/>
    <w:rsid w:val="00B71AF3"/>
    <w:rsid w:val="00B71B7A"/>
    <w:rsid w:val="00B73367"/>
    <w:rsid w:val="00B73818"/>
    <w:rsid w:val="00B74A6C"/>
    <w:rsid w:val="00B74B72"/>
    <w:rsid w:val="00B76245"/>
    <w:rsid w:val="00B76934"/>
    <w:rsid w:val="00B7705E"/>
    <w:rsid w:val="00B80016"/>
    <w:rsid w:val="00B83975"/>
    <w:rsid w:val="00B85566"/>
    <w:rsid w:val="00B8707F"/>
    <w:rsid w:val="00B877F5"/>
    <w:rsid w:val="00B92170"/>
    <w:rsid w:val="00B9261C"/>
    <w:rsid w:val="00B93677"/>
    <w:rsid w:val="00B95690"/>
    <w:rsid w:val="00B95C8D"/>
    <w:rsid w:val="00B9640F"/>
    <w:rsid w:val="00B96C75"/>
    <w:rsid w:val="00BA0EBD"/>
    <w:rsid w:val="00BA2E8D"/>
    <w:rsid w:val="00BA350E"/>
    <w:rsid w:val="00BA3F68"/>
    <w:rsid w:val="00BA40ED"/>
    <w:rsid w:val="00BA5CB5"/>
    <w:rsid w:val="00BA64B0"/>
    <w:rsid w:val="00BA6EE8"/>
    <w:rsid w:val="00BA6FFE"/>
    <w:rsid w:val="00BB0293"/>
    <w:rsid w:val="00BB0FA7"/>
    <w:rsid w:val="00BB1F6A"/>
    <w:rsid w:val="00BB4BE6"/>
    <w:rsid w:val="00BB5167"/>
    <w:rsid w:val="00BB5414"/>
    <w:rsid w:val="00BB584B"/>
    <w:rsid w:val="00BB6273"/>
    <w:rsid w:val="00BC0493"/>
    <w:rsid w:val="00BC0542"/>
    <w:rsid w:val="00BC0FB1"/>
    <w:rsid w:val="00BC17A9"/>
    <w:rsid w:val="00BC1ACD"/>
    <w:rsid w:val="00BC23BF"/>
    <w:rsid w:val="00BC241C"/>
    <w:rsid w:val="00BC44B3"/>
    <w:rsid w:val="00BD0212"/>
    <w:rsid w:val="00BD0252"/>
    <w:rsid w:val="00BD0C1F"/>
    <w:rsid w:val="00BD4D64"/>
    <w:rsid w:val="00BD5943"/>
    <w:rsid w:val="00BD69F5"/>
    <w:rsid w:val="00BE1413"/>
    <w:rsid w:val="00BE1865"/>
    <w:rsid w:val="00BE362D"/>
    <w:rsid w:val="00BE3D9A"/>
    <w:rsid w:val="00BE6241"/>
    <w:rsid w:val="00BE64B8"/>
    <w:rsid w:val="00BF004E"/>
    <w:rsid w:val="00BF0260"/>
    <w:rsid w:val="00BF05F1"/>
    <w:rsid w:val="00BF1158"/>
    <w:rsid w:val="00BF47AB"/>
    <w:rsid w:val="00BF582C"/>
    <w:rsid w:val="00BF5D01"/>
    <w:rsid w:val="00BF648B"/>
    <w:rsid w:val="00BF6BD5"/>
    <w:rsid w:val="00BF6F23"/>
    <w:rsid w:val="00C0070A"/>
    <w:rsid w:val="00C024C4"/>
    <w:rsid w:val="00C06614"/>
    <w:rsid w:val="00C07F3B"/>
    <w:rsid w:val="00C11B81"/>
    <w:rsid w:val="00C130BC"/>
    <w:rsid w:val="00C131D9"/>
    <w:rsid w:val="00C13B1E"/>
    <w:rsid w:val="00C15A50"/>
    <w:rsid w:val="00C173DA"/>
    <w:rsid w:val="00C23A83"/>
    <w:rsid w:val="00C23F49"/>
    <w:rsid w:val="00C2492F"/>
    <w:rsid w:val="00C26B8E"/>
    <w:rsid w:val="00C2778A"/>
    <w:rsid w:val="00C31C3D"/>
    <w:rsid w:val="00C341B5"/>
    <w:rsid w:val="00C3441A"/>
    <w:rsid w:val="00C34B0E"/>
    <w:rsid w:val="00C34F36"/>
    <w:rsid w:val="00C3541F"/>
    <w:rsid w:val="00C35A15"/>
    <w:rsid w:val="00C35DA2"/>
    <w:rsid w:val="00C36BD9"/>
    <w:rsid w:val="00C373A3"/>
    <w:rsid w:val="00C3745C"/>
    <w:rsid w:val="00C43A56"/>
    <w:rsid w:val="00C4534C"/>
    <w:rsid w:val="00C46232"/>
    <w:rsid w:val="00C4683A"/>
    <w:rsid w:val="00C47EF1"/>
    <w:rsid w:val="00C47F5A"/>
    <w:rsid w:val="00C510E8"/>
    <w:rsid w:val="00C518BD"/>
    <w:rsid w:val="00C51CAD"/>
    <w:rsid w:val="00C528EF"/>
    <w:rsid w:val="00C52EC7"/>
    <w:rsid w:val="00C5307F"/>
    <w:rsid w:val="00C568AE"/>
    <w:rsid w:val="00C57536"/>
    <w:rsid w:val="00C578F8"/>
    <w:rsid w:val="00C60A73"/>
    <w:rsid w:val="00C60E14"/>
    <w:rsid w:val="00C611C1"/>
    <w:rsid w:val="00C62367"/>
    <w:rsid w:val="00C64F96"/>
    <w:rsid w:val="00C66AA2"/>
    <w:rsid w:val="00C673A2"/>
    <w:rsid w:val="00C719DB"/>
    <w:rsid w:val="00C7200E"/>
    <w:rsid w:val="00C72A62"/>
    <w:rsid w:val="00C73077"/>
    <w:rsid w:val="00C74B78"/>
    <w:rsid w:val="00C7557F"/>
    <w:rsid w:val="00C756A5"/>
    <w:rsid w:val="00C75ABD"/>
    <w:rsid w:val="00C8052F"/>
    <w:rsid w:val="00C81BE0"/>
    <w:rsid w:val="00C82094"/>
    <w:rsid w:val="00C82F5D"/>
    <w:rsid w:val="00C837A8"/>
    <w:rsid w:val="00C845F9"/>
    <w:rsid w:val="00C84C68"/>
    <w:rsid w:val="00C86F5E"/>
    <w:rsid w:val="00C87EFD"/>
    <w:rsid w:val="00C91A00"/>
    <w:rsid w:val="00C9231F"/>
    <w:rsid w:val="00C92350"/>
    <w:rsid w:val="00C92A08"/>
    <w:rsid w:val="00C93CB0"/>
    <w:rsid w:val="00C947AD"/>
    <w:rsid w:val="00CA0A8A"/>
    <w:rsid w:val="00CA1E81"/>
    <w:rsid w:val="00CA2423"/>
    <w:rsid w:val="00CA2606"/>
    <w:rsid w:val="00CA2712"/>
    <w:rsid w:val="00CA3456"/>
    <w:rsid w:val="00CA3904"/>
    <w:rsid w:val="00CA4075"/>
    <w:rsid w:val="00CA6508"/>
    <w:rsid w:val="00CA6A38"/>
    <w:rsid w:val="00CA6CC8"/>
    <w:rsid w:val="00CB03B0"/>
    <w:rsid w:val="00CB082B"/>
    <w:rsid w:val="00CB0F47"/>
    <w:rsid w:val="00CB1677"/>
    <w:rsid w:val="00CB1F0C"/>
    <w:rsid w:val="00CB36FB"/>
    <w:rsid w:val="00CB3968"/>
    <w:rsid w:val="00CB3BDB"/>
    <w:rsid w:val="00CB3EA1"/>
    <w:rsid w:val="00CB5647"/>
    <w:rsid w:val="00CB5DED"/>
    <w:rsid w:val="00CB7C43"/>
    <w:rsid w:val="00CC0E8F"/>
    <w:rsid w:val="00CC1705"/>
    <w:rsid w:val="00CC352F"/>
    <w:rsid w:val="00CC5ABD"/>
    <w:rsid w:val="00CC6621"/>
    <w:rsid w:val="00CD12D8"/>
    <w:rsid w:val="00CD2ED3"/>
    <w:rsid w:val="00CE2543"/>
    <w:rsid w:val="00CE2AEF"/>
    <w:rsid w:val="00CE3BC0"/>
    <w:rsid w:val="00CE5A69"/>
    <w:rsid w:val="00CF0907"/>
    <w:rsid w:val="00CF1422"/>
    <w:rsid w:val="00CF1D90"/>
    <w:rsid w:val="00CF2540"/>
    <w:rsid w:val="00CF2CC8"/>
    <w:rsid w:val="00CF3701"/>
    <w:rsid w:val="00CF42E2"/>
    <w:rsid w:val="00CF46C6"/>
    <w:rsid w:val="00CF571F"/>
    <w:rsid w:val="00CF5C04"/>
    <w:rsid w:val="00CF6C33"/>
    <w:rsid w:val="00CF748F"/>
    <w:rsid w:val="00CF7504"/>
    <w:rsid w:val="00D0034D"/>
    <w:rsid w:val="00D0287C"/>
    <w:rsid w:val="00D033ED"/>
    <w:rsid w:val="00D036FE"/>
    <w:rsid w:val="00D04083"/>
    <w:rsid w:val="00D04A58"/>
    <w:rsid w:val="00D05889"/>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17F"/>
    <w:rsid w:val="00D25D22"/>
    <w:rsid w:val="00D27E15"/>
    <w:rsid w:val="00D31088"/>
    <w:rsid w:val="00D31830"/>
    <w:rsid w:val="00D31A08"/>
    <w:rsid w:val="00D33D98"/>
    <w:rsid w:val="00D40863"/>
    <w:rsid w:val="00D419B2"/>
    <w:rsid w:val="00D41DB7"/>
    <w:rsid w:val="00D43BBE"/>
    <w:rsid w:val="00D45FD8"/>
    <w:rsid w:val="00D460AE"/>
    <w:rsid w:val="00D462AD"/>
    <w:rsid w:val="00D46BEE"/>
    <w:rsid w:val="00D47B56"/>
    <w:rsid w:val="00D50792"/>
    <w:rsid w:val="00D51408"/>
    <w:rsid w:val="00D521FC"/>
    <w:rsid w:val="00D523A0"/>
    <w:rsid w:val="00D5244E"/>
    <w:rsid w:val="00D52923"/>
    <w:rsid w:val="00D529D8"/>
    <w:rsid w:val="00D52DBC"/>
    <w:rsid w:val="00D63103"/>
    <w:rsid w:val="00D653C2"/>
    <w:rsid w:val="00D654F3"/>
    <w:rsid w:val="00D6658C"/>
    <w:rsid w:val="00D66E76"/>
    <w:rsid w:val="00D67B8B"/>
    <w:rsid w:val="00D70AC9"/>
    <w:rsid w:val="00D73717"/>
    <w:rsid w:val="00D75555"/>
    <w:rsid w:val="00D80461"/>
    <w:rsid w:val="00D819E3"/>
    <w:rsid w:val="00D83C17"/>
    <w:rsid w:val="00D840CF"/>
    <w:rsid w:val="00D841B8"/>
    <w:rsid w:val="00D84236"/>
    <w:rsid w:val="00D86754"/>
    <w:rsid w:val="00D86985"/>
    <w:rsid w:val="00D879F9"/>
    <w:rsid w:val="00D87CDF"/>
    <w:rsid w:val="00D90916"/>
    <w:rsid w:val="00D90A62"/>
    <w:rsid w:val="00D91E5B"/>
    <w:rsid w:val="00D93658"/>
    <w:rsid w:val="00D95289"/>
    <w:rsid w:val="00D96941"/>
    <w:rsid w:val="00D96BB7"/>
    <w:rsid w:val="00D9749B"/>
    <w:rsid w:val="00D97B09"/>
    <w:rsid w:val="00DA0465"/>
    <w:rsid w:val="00DA3893"/>
    <w:rsid w:val="00DA4017"/>
    <w:rsid w:val="00DA4281"/>
    <w:rsid w:val="00DA46C4"/>
    <w:rsid w:val="00DA4CE7"/>
    <w:rsid w:val="00DA5B9B"/>
    <w:rsid w:val="00DA738F"/>
    <w:rsid w:val="00DA746E"/>
    <w:rsid w:val="00DB078F"/>
    <w:rsid w:val="00DB4740"/>
    <w:rsid w:val="00DB5276"/>
    <w:rsid w:val="00DB55BD"/>
    <w:rsid w:val="00DB7236"/>
    <w:rsid w:val="00DC0333"/>
    <w:rsid w:val="00DC16E2"/>
    <w:rsid w:val="00DC61A3"/>
    <w:rsid w:val="00DD0BB2"/>
    <w:rsid w:val="00DD1864"/>
    <w:rsid w:val="00DD1909"/>
    <w:rsid w:val="00DD2CD4"/>
    <w:rsid w:val="00DD3A90"/>
    <w:rsid w:val="00DD3DE8"/>
    <w:rsid w:val="00DD4E6B"/>
    <w:rsid w:val="00DD7C6C"/>
    <w:rsid w:val="00DD7F2A"/>
    <w:rsid w:val="00DE0FD6"/>
    <w:rsid w:val="00DE174C"/>
    <w:rsid w:val="00DE2F87"/>
    <w:rsid w:val="00DE3425"/>
    <w:rsid w:val="00DE38EC"/>
    <w:rsid w:val="00DE5647"/>
    <w:rsid w:val="00DE69A6"/>
    <w:rsid w:val="00DE6F8C"/>
    <w:rsid w:val="00DE7DDC"/>
    <w:rsid w:val="00DF012F"/>
    <w:rsid w:val="00DF0AC1"/>
    <w:rsid w:val="00DF12E9"/>
    <w:rsid w:val="00DF2AD5"/>
    <w:rsid w:val="00DF42D5"/>
    <w:rsid w:val="00DF4B0E"/>
    <w:rsid w:val="00DF6BD3"/>
    <w:rsid w:val="00DF7FC2"/>
    <w:rsid w:val="00E01B49"/>
    <w:rsid w:val="00E02679"/>
    <w:rsid w:val="00E03001"/>
    <w:rsid w:val="00E05ECB"/>
    <w:rsid w:val="00E075F9"/>
    <w:rsid w:val="00E11B89"/>
    <w:rsid w:val="00E11E78"/>
    <w:rsid w:val="00E128B5"/>
    <w:rsid w:val="00E142CB"/>
    <w:rsid w:val="00E1503B"/>
    <w:rsid w:val="00E16B73"/>
    <w:rsid w:val="00E2036B"/>
    <w:rsid w:val="00E20E30"/>
    <w:rsid w:val="00E20EE1"/>
    <w:rsid w:val="00E24007"/>
    <w:rsid w:val="00E241C0"/>
    <w:rsid w:val="00E26201"/>
    <w:rsid w:val="00E278AF"/>
    <w:rsid w:val="00E27F76"/>
    <w:rsid w:val="00E30388"/>
    <w:rsid w:val="00E32845"/>
    <w:rsid w:val="00E339D6"/>
    <w:rsid w:val="00E33BFB"/>
    <w:rsid w:val="00E33F3D"/>
    <w:rsid w:val="00E34861"/>
    <w:rsid w:val="00E351C2"/>
    <w:rsid w:val="00E35260"/>
    <w:rsid w:val="00E373E9"/>
    <w:rsid w:val="00E41D4E"/>
    <w:rsid w:val="00E41D7C"/>
    <w:rsid w:val="00E4308E"/>
    <w:rsid w:val="00E43E21"/>
    <w:rsid w:val="00E440AA"/>
    <w:rsid w:val="00E4560F"/>
    <w:rsid w:val="00E50287"/>
    <w:rsid w:val="00E5168C"/>
    <w:rsid w:val="00E520CB"/>
    <w:rsid w:val="00E52638"/>
    <w:rsid w:val="00E53760"/>
    <w:rsid w:val="00E53C6A"/>
    <w:rsid w:val="00E54250"/>
    <w:rsid w:val="00E55274"/>
    <w:rsid w:val="00E569A8"/>
    <w:rsid w:val="00E602BB"/>
    <w:rsid w:val="00E62BC3"/>
    <w:rsid w:val="00E632E5"/>
    <w:rsid w:val="00E66095"/>
    <w:rsid w:val="00E664A0"/>
    <w:rsid w:val="00E665F7"/>
    <w:rsid w:val="00E66DDB"/>
    <w:rsid w:val="00E712DD"/>
    <w:rsid w:val="00E72082"/>
    <w:rsid w:val="00E723C9"/>
    <w:rsid w:val="00E72B8D"/>
    <w:rsid w:val="00E75A54"/>
    <w:rsid w:val="00E76D94"/>
    <w:rsid w:val="00E76F49"/>
    <w:rsid w:val="00E77FCA"/>
    <w:rsid w:val="00E80AA7"/>
    <w:rsid w:val="00E833AE"/>
    <w:rsid w:val="00E834FA"/>
    <w:rsid w:val="00E83C2F"/>
    <w:rsid w:val="00E83F3B"/>
    <w:rsid w:val="00E86538"/>
    <w:rsid w:val="00E86619"/>
    <w:rsid w:val="00E87A8D"/>
    <w:rsid w:val="00E91021"/>
    <w:rsid w:val="00E91A58"/>
    <w:rsid w:val="00E92A68"/>
    <w:rsid w:val="00E93248"/>
    <w:rsid w:val="00E94172"/>
    <w:rsid w:val="00E9433D"/>
    <w:rsid w:val="00E94DDA"/>
    <w:rsid w:val="00E94EAA"/>
    <w:rsid w:val="00E95353"/>
    <w:rsid w:val="00E954C4"/>
    <w:rsid w:val="00E96D7C"/>
    <w:rsid w:val="00EA00B1"/>
    <w:rsid w:val="00EA01BC"/>
    <w:rsid w:val="00EA02C5"/>
    <w:rsid w:val="00EA1982"/>
    <w:rsid w:val="00EA1C3B"/>
    <w:rsid w:val="00EA1F5F"/>
    <w:rsid w:val="00EA2589"/>
    <w:rsid w:val="00EA2ABC"/>
    <w:rsid w:val="00EA2DD7"/>
    <w:rsid w:val="00EA2E6F"/>
    <w:rsid w:val="00EA3176"/>
    <w:rsid w:val="00EA3D85"/>
    <w:rsid w:val="00EA4171"/>
    <w:rsid w:val="00EA4E10"/>
    <w:rsid w:val="00EA5259"/>
    <w:rsid w:val="00EA5C60"/>
    <w:rsid w:val="00EB0D06"/>
    <w:rsid w:val="00EB1839"/>
    <w:rsid w:val="00EB184F"/>
    <w:rsid w:val="00EB1FFF"/>
    <w:rsid w:val="00EB282A"/>
    <w:rsid w:val="00EB43F3"/>
    <w:rsid w:val="00EB4466"/>
    <w:rsid w:val="00EB7E64"/>
    <w:rsid w:val="00EC0F59"/>
    <w:rsid w:val="00EC3B33"/>
    <w:rsid w:val="00EC5263"/>
    <w:rsid w:val="00EC5925"/>
    <w:rsid w:val="00EC67CA"/>
    <w:rsid w:val="00ED0067"/>
    <w:rsid w:val="00ED0997"/>
    <w:rsid w:val="00ED1C49"/>
    <w:rsid w:val="00ED20BC"/>
    <w:rsid w:val="00ED2EA4"/>
    <w:rsid w:val="00ED2F1B"/>
    <w:rsid w:val="00ED528A"/>
    <w:rsid w:val="00ED5C08"/>
    <w:rsid w:val="00ED6660"/>
    <w:rsid w:val="00ED72D1"/>
    <w:rsid w:val="00EE0B9A"/>
    <w:rsid w:val="00EE184F"/>
    <w:rsid w:val="00EE1882"/>
    <w:rsid w:val="00EE1E88"/>
    <w:rsid w:val="00EE3034"/>
    <w:rsid w:val="00EE4558"/>
    <w:rsid w:val="00EE4C35"/>
    <w:rsid w:val="00EF2E4B"/>
    <w:rsid w:val="00EF31A5"/>
    <w:rsid w:val="00EF39CB"/>
    <w:rsid w:val="00EF3B39"/>
    <w:rsid w:val="00EF599D"/>
    <w:rsid w:val="00EF5C38"/>
    <w:rsid w:val="00EF5E3D"/>
    <w:rsid w:val="00EF67DB"/>
    <w:rsid w:val="00EF75E9"/>
    <w:rsid w:val="00F03D1C"/>
    <w:rsid w:val="00F0645A"/>
    <w:rsid w:val="00F078AE"/>
    <w:rsid w:val="00F10200"/>
    <w:rsid w:val="00F107CE"/>
    <w:rsid w:val="00F10B84"/>
    <w:rsid w:val="00F11FFB"/>
    <w:rsid w:val="00F123CA"/>
    <w:rsid w:val="00F12CD0"/>
    <w:rsid w:val="00F1301D"/>
    <w:rsid w:val="00F134FE"/>
    <w:rsid w:val="00F13960"/>
    <w:rsid w:val="00F14F34"/>
    <w:rsid w:val="00F1782B"/>
    <w:rsid w:val="00F21372"/>
    <w:rsid w:val="00F2295C"/>
    <w:rsid w:val="00F26591"/>
    <w:rsid w:val="00F265FB"/>
    <w:rsid w:val="00F2680B"/>
    <w:rsid w:val="00F26A9A"/>
    <w:rsid w:val="00F26E8E"/>
    <w:rsid w:val="00F30CB2"/>
    <w:rsid w:val="00F346B6"/>
    <w:rsid w:val="00F3551D"/>
    <w:rsid w:val="00F369AF"/>
    <w:rsid w:val="00F37656"/>
    <w:rsid w:val="00F409A4"/>
    <w:rsid w:val="00F425D4"/>
    <w:rsid w:val="00F441FF"/>
    <w:rsid w:val="00F45CD1"/>
    <w:rsid w:val="00F470BB"/>
    <w:rsid w:val="00F51083"/>
    <w:rsid w:val="00F52C39"/>
    <w:rsid w:val="00F608A5"/>
    <w:rsid w:val="00F61A9F"/>
    <w:rsid w:val="00F624C1"/>
    <w:rsid w:val="00F62D0C"/>
    <w:rsid w:val="00F63386"/>
    <w:rsid w:val="00F63C51"/>
    <w:rsid w:val="00F63F54"/>
    <w:rsid w:val="00F6619B"/>
    <w:rsid w:val="00F668F4"/>
    <w:rsid w:val="00F67841"/>
    <w:rsid w:val="00F7068E"/>
    <w:rsid w:val="00F70CBA"/>
    <w:rsid w:val="00F7286F"/>
    <w:rsid w:val="00F75AC4"/>
    <w:rsid w:val="00F7766E"/>
    <w:rsid w:val="00F77CE7"/>
    <w:rsid w:val="00F80220"/>
    <w:rsid w:val="00F807DE"/>
    <w:rsid w:val="00F80CF3"/>
    <w:rsid w:val="00F80FB7"/>
    <w:rsid w:val="00F80FCF"/>
    <w:rsid w:val="00F821F9"/>
    <w:rsid w:val="00F82523"/>
    <w:rsid w:val="00F83F40"/>
    <w:rsid w:val="00F86150"/>
    <w:rsid w:val="00F868D6"/>
    <w:rsid w:val="00F916D7"/>
    <w:rsid w:val="00F919D1"/>
    <w:rsid w:val="00F91D57"/>
    <w:rsid w:val="00F9252C"/>
    <w:rsid w:val="00F92D79"/>
    <w:rsid w:val="00F92F16"/>
    <w:rsid w:val="00F94965"/>
    <w:rsid w:val="00F94F90"/>
    <w:rsid w:val="00F95120"/>
    <w:rsid w:val="00F967F0"/>
    <w:rsid w:val="00FA15B6"/>
    <w:rsid w:val="00FA1C28"/>
    <w:rsid w:val="00FA3555"/>
    <w:rsid w:val="00FA5345"/>
    <w:rsid w:val="00FA597C"/>
    <w:rsid w:val="00FA5E1F"/>
    <w:rsid w:val="00FA62A6"/>
    <w:rsid w:val="00FA6F8F"/>
    <w:rsid w:val="00FA73AB"/>
    <w:rsid w:val="00FB01EC"/>
    <w:rsid w:val="00FB134D"/>
    <w:rsid w:val="00FB3165"/>
    <w:rsid w:val="00FB3F82"/>
    <w:rsid w:val="00FB7E2B"/>
    <w:rsid w:val="00FC2C23"/>
    <w:rsid w:val="00FC444D"/>
    <w:rsid w:val="00FD1E53"/>
    <w:rsid w:val="00FD298A"/>
    <w:rsid w:val="00FD2D44"/>
    <w:rsid w:val="00FD3A7C"/>
    <w:rsid w:val="00FD4551"/>
    <w:rsid w:val="00FD5795"/>
    <w:rsid w:val="00FE1267"/>
    <w:rsid w:val="00FE3FA2"/>
    <w:rsid w:val="00FE417E"/>
    <w:rsid w:val="00FE53AA"/>
    <w:rsid w:val="00FE5645"/>
    <w:rsid w:val="00FE6952"/>
    <w:rsid w:val="00FE7793"/>
    <w:rsid w:val="00FF046E"/>
    <w:rsid w:val="00FF04C6"/>
    <w:rsid w:val="00FF1AA1"/>
    <w:rsid w:val="00FF5877"/>
    <w:rsid w:val="00FF58F3"/>
    <w:rsid w:val="02DA6455"/>
    <w:rsid w:val="057C6CDB"/>
    <w:rsid w:val="05AB3BFA"/>
    <w:rsid w:val="05CF01DE"/>
    <w:rsid w:val="06964AC0"/>
    <w:rsid w:val="07D451D8"/>
    <w:rsid w:val="0A31516B"/>
    <w:rsid w:val="0E7F1788"/>
    <w:rsid w:val="0FCD114C"/>
    <w:rsid w:val="103D29B5"/>
    <w:rsid w:val="11EF2379"/>
    <w:rsid w:val="14347172"/>
    <w:rsid w:val="152F261A"/>
    <w:rsid w:val="15455E1E"/>
    <w:rsid w:val="177F44D2"/>
    <w:rsid w:val="19A91B18"/>
    <w:rsid w:val="1AC6444B"/>
    <w:rsid w:val="1B072DED"/>
    <w:rsid w:val="1FA9036A"/>
    <w:rsid w:val="257E5E15"/>
    <w:rsid w:val="27700955"/>
    <w:rsid w:val="27C65230"/>
    <w:rsid w:val="282C0D71"/>
    <w:rsid w:val="29FC7E86"/>
    <w:rsid w:val="2A924567"/>
    <w:rsid w:val="2AA15F6C"/>
    <w:rsid w:val="2D760C8A"/>
    <w:rsid w:val="2EA769CB"/>
    <w:rsid w:val="35F141C8"/>
    <w:rsid w:val="36432A19"/>
    <w:rsid w:val="373B5614"/>
    <w:rsid w:val="37481270"/>
    <w:rsid w:val="378F7E6C"/>
    <w:rsid w:val="39376F18"/>
    <w:rsid w:val="3C2B783E"/>
    <w:rsid w:val="45011842"/>
    <w:rsid w:val="45EF402C"/>
    <w:rsid w:val="479F23E0"/>
    <w:rsid w:val="47DF5014"/>
    <w:rsid w:val="4A3B127B"/>
    <w:rsid w:val="4D75306D"/>
    <w:rsid w:val="50BC25DF"/>
    <w:rsid w:val="50CC29AB"/>
    <w:rsid w:val="55C005FB"/>
    <w:rsid w:val="5B7761CC"/>
    <w:rsid w:val="610A7648"/>
    <w:rsid w:val="618F1684"/>
    <w:rsid w:val="62597BAE"/>
    <w:rsid w:val="62A16FB7"/>
    <w:rsid w:val="637D30C8"/>
    <w:rsid w:val="65103A5C"/>
    <w:rsid w:val="656E3556"/>
    <w:rsid w:val="65FD3687"/>
    <w:rsid w:val="67CC7317"/>
    <w:rsid w:val="6E94578A"/>
    <w:rsid w:val="71B90088"/>
    <w:rsid w:val="79C155C0"/>
    <w:rsid w:val="79C269D0"/>
    <w:rsid w:val="7AF03F36"/>
    <w:rsid w:val="7B381954"/>
    <w:rsid w:val="7BE10D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jc w:val="center"/>
      <w:outlineLvl w:val="0"/>
    </w:pPr>
    <w:rPr>
      <w:b/>
      <w:bCs/>
      <w:kern w:val="44"/>
      <w:sz w:val="44"/>
      <w:szCs w:val="44"/>
    </w:rPr>
  </w:style>
  <w:style w:type="paragraph" w:styleId="4">
    <w:name w:val="heading 2"/>
    <w:basedOn w:val="1"/>
    <w:next w:val="1"/>
    <w:link w:val="32"/>
    <w:qFormat/>
    <w:uiPriority w:val="99"/>
    <w:pPr>
      <w:keepNext/>
      <w:jc w:val="center"/>
      <w:outlineLvl w:val="1"/>
    </w:pPr>
    <w:rPr>
      <w:rFonts w:ascii="Cambria" w:hAnsi="Cambria"/>
      <w:b/>
      <w:bCs/>
      <w:kern w:val="0"/>
      <w:sz w:val="32"/>
      <w:szCs w:val="32"/>
    </w:rPr>
  </w:style>
  <w:style w:type="paragraph" w:styleId="5">
    <w:name w:val="heading 3"/>
    <w:basedOn w:val="1"/>
    <w:next w:val="1"/>
    <w:link w:val="33"/>
    <w:qFormat/>
    <w:uiPriority w:val="99"/>
    <w:pPr>
      <w:keepNext/>
      <w:jc w:val="center"/>
      <w:outlineLvl w:val="2"/>
    </w:pPr>
    <w:rPr>
      <w:b/>
      <w:bCs/>
      <w:kern w:val="0"/>
      <w:sz w:val="32"/>
      <w:szCs w:val="32"/>
    </w:rPr>
  </w:style>
  <w:style w:type="paragraph" w:styleId="6">
    <w:name w:val="heading 4"/>
    <w:basedOn w:val="1"/>
    <w:next w:val="1"/>
    <w:link w:val="34"/>
    <w:qFormat/>
    <w:uiPriority w:val="99"/>
    <w:pPr>
      <w:keepNext/>
      <w:jc w:val="center"/>
      <w:outlineLvl w:val="3"/>
    </w:pPr>
    <w:rPr>
      <w:rFonts w:ascii="Cambria" w:hAnsi="Cambria"/>
      <w:b/>
      <w:bCs/>
      <w:kern w:val="0"/>
      <w:sz w:val="28"/>
      <w:szCs w:val="28"/>
    </w:rPr>
  </w:style>
  <w:style w:type="paragraph" w:styleId="7">
    <w:name w:val="heading 5"/>
    <w:basedOn w:val="1"/>
    <w:next w:val="1"/>
    <w:link w:val="35"/>
    <w:qFormat/>
    <w:uiPriority w:val="99"/>
    <w:pPr>
      <w:keepNext/>
      <w:numPr>
        <w:ilvl w:val="0"/>
        <w:numId w:val="1"/>
      </w:numPr>
      <w:outlineLvl w:val="4"/>
    </w:pPr>
    <w:rPr>
      <w:rFonts w:ascii="楷体_GB2312" w:eastAsia="楷体_GB2312"/>
      <w:bCs/>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0"/>
    <w:qFormat/>
    <w:uiPriority w:val="99"/>
    <w:rPr>
      <w:kern w:val="0"/>
      <w:sz w:val="20"/>
    </w:rPr>
  </w:style>
  <w:style w:type="paragraph" w:styleId="8">
    <w:name w:val="Normal Indent"/>
    <w:basedOn w:val="1"/>
    <w:qFormat/>
    <w:uiPriority w:val="99"/>
    <w:pPr>
      <w:ind w:firstLine="420"/>
    </w:pPr>
  </w:style>
  <w:style w:type="paragraph" w:styleId="9">
    <w:name w:val="Document Map"/>
    <w:basedOn w:val="1"/>
    <w:link w:val="96"/>
    <w:semiHidden/>
    <w:qFormat/>
    <w:uiPriority w:val="99"/>
    <w:pPr>
      <w:shd w:val="clear" w:color="auto" w:fill="000080"/>
    </w:pPr>
    <w:rPr>
      <w:kern w:val="0"/>
      <w:sz w:val="2"/>
    </w:rPr>
  </w:style>
  <w:style w:type="paragraph" w:styleId="10">
    <w:name w:val="annotation text"/>
    <w:basedOn w:val="1"/>
    <w:link w:val="104"/>
    <w:unhideWhenUsed/>
    <w:qFormat/>
    <w:uiPriority w:val="99"/>
    <w:pPr>
      <w:jc w:val="left"/>
    </w:pPr>
  </w:style>
  <w:style w:type="paragraph" w:styleId="11">
    <w:name w:val="Body Text Indent"/>
    <w:basedOn w:val="1"/>
    <w:link w:val="37"/>
    <w:qFormat/>
    <w:uiPriority w:val="99"/>
    <w:pPr>
      <w:ind w:firstLine="576"/>
    </w:pPr>
    <w:rPr>
      <w:kern w:val="0"/>
      <w:sz w:val="20"/>
    </w:rPr>
  </w:style>
  <w:style w:type="paragraph" w:styleId="12">
    <w:name w:val="Date"/>
    <w:basedOn w:val="1"/>
    <w:next w:val="1"/>
    <w:link w:val="36"/>
    <w:qFormat/>
    <w:uiPriority w:val="99"/>
    <w:rPr>
      <w:kern w:val="0"/>
      <w:sz w:val="20"/>
    </w:rPr>
  </w:style>
  <w:style w:type="paragraph" w:styleId="13">
    <w:name w:val="Body Text Indent 2"/>
    <w:basedOn w:val="1"/>
    <w:link w:val="41"/>
    <w:qFormat/>
    <w:uiPriority w:val="99"/>
    <w:pPr>
      <w:ind w:left="900"/>
    </w:pPr>
    <w:rPr>
      <w:kern w:val="0"/>
      <w:sz w:val="20"/>
    </w:rPr>
  </w:style>
  <w:style w:type="paragraph" w:styleId="14">
    <w:name w:val="Balloon Text"/>
    <w:basedOn w:val="1"/>
    <w:link w:val="103"/>
    <w:semiHidden/>
    <w:unhideWhenUsed/>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kern w:val="0"/>
      <w:sz w:val="18"/>
      <w:szCs w:val="18"/>
    </w:rPr>
  </w:style>
  <w:style w:type="paragraph" w:styleId="16">
    <w:name w:val="header"/>
    <w:basedOn w:val="1"/>
    <w:link w:val="39"/>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List"/>
    <w:basedOn w:val="1"/>
    <w:semiHidden/>
    <w:qFormat/>
    <w:uiPriority w:val="99"/>
    <w:pPr>
      <w:ind w:left="200" w:hanging="200" w:hangingChars="200"/>
      <w:contextualSpacing/>
    </w:pPr>
  </w:style>
  <w:style w:type="paragraph" w:styleId="18">
    <w:name w:val="Body Text Indent 3"/>
    <w:basedOn w:val="1"/>
    <w:link w:val="42"/>
    <w:qFormat/>
    <w:uiPriority w:val="99"/>
    <w:pPr>
      <w:ind w:left="359" w:leftChars="171" w:firstLine="359" w:firstLineChars="171"/>
    </w:pPr>
    <w:rPr>
      <w:kern w:val="0"/>
      <w:sz w:val="16"/>
      <w:szCs w:val="16"/>
    </w:rPr>
  </w:style>
  <w:style w:type="paragraph" w:styleId="19">
    <w:name w:val="Body Text 2"/>
    <w:basedOn w:val="1"/>
    <w:link w:val="97"/>
    <w:qFormat/>
    <w:uiPriority w:val="99"/>
    <w:pPr>
      <w:spacing w:after="120" w:line="480" w:lineRule="auto"/>
    </w:pPr>
    <w:rPr>
      <w:kern w:val="0"/>
      <w:sz w:val="20"/>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10"/>
    <w:next w:val="10"/>
    <w:link w:val="105"/>
    <w:semiHidden/>
    <w:unhideWhenUsed/>
    <w:qFormat/>
    <w:uiPriority w:val="99"/>
    <w:rPr>
      <w:b/>
      <w:bCs/>
    </w:rPr>
  </w:style>
  <w:style w:type="paragraph" w:styleId="22">
    <w:name w:val="Body Text First Indent 2"/>
    <w:basedOn w:val="11"/>
    <w:link w:val="108"/>
    <w:qFormat/>
    <w:uiPriority w:val="99"/>
    <w:pPr>
      <w:spacing w:after="120"/>
      <w:ind w:left="420" w:leftChars="200" w:firstLine="420" w:firstLineChars="200"/>
    </w:pPr>
    <w:rPr>
      <w:kern w:val="2"/>
      <w:sz w:val="21"/>
    </w:rPr>
  </w:style>
  <w:style w:type="character" w:styleId="25">
    <w:name w:val="Strong"/>
    <w:qFormat/>
    <w:uiPriority w:val="99"/>
    <w:rPr>
      <w:rFonts w:cs="Times New Roman"/>
      <w:b/>
      <w:bCs/>
    </w:rPr>
  </w:style>
  <w:style w:type="character" w:styleId="26">
    <w:name w:val="page number"/>
    <w:qFormat/>
    <w:uiPriority w:val="99"/>
    <w:rPr>
      <w:rFonts w:cs="Times New Roman"/>
    </w:rPr>
  </w:style>
  <w:style w:type="character" w:styleId="27">
    <w:name w:val="FollowedHyperlink"/>
    <w:qFormat/>
    <w:uiPriority w:val="99"/>
    <w:rPr>
      <w:rFonts w:cs="Times New Roman"/>
      <w:color w:val="auto"/>
      <w:u w:val="none"/>
    </w:rPr>
  </w:style>
  <w:style w:type="character" w:styleId="28">
    <w:name w:val="HTML Typewriter"/>
    <w:qFormat/>
    <w:uiPriority w:val="99"/>
    <w:rPr>
      <w:rFonts w:ascii="宋体" w:hAnsi="宋体" w:eastAsia="宋体" w:cs="宋体"/>
      <w:sz w:val="24"/>
      <w:szCs w:val="24"/>
    </w:rPr>
  </w:style>
  <w:style w:type="character" w:styleId="29">
    <w:name w:val="Hyperlink"/>
    <w:qFormat/>
    <w:uiPriority w:val="99"/>
    <w:rPr>
      <w:rFonts w:cs="Times New Roman"/>
      <w:color w:val="auto"/>
      <w:u w:val="none"/>
    </w:rPr>
  </w:style>
  <w:style w:type="character" w:styleId="30">
    <w:name w:val="annotation reference"/>
    <w:basedOn w:val="24"/>
    <w:semiHidden/>
    <w:unhideWhenUsed/>
    <w:qFormat/>
    <w:uiPriority w:val="99"/>
    <w:rPr>
      <w:sz w:val="21"/>
      <w:szCs w:val="21"/>
    </w:rPr>
  </w:style>
  <w:style w:type="character" w:customStyle="1" w:styleId="31">
    <w:name w:val="标题 1 Char"/>
    <w:link w:val="3"/>
    <w:qFormat/>
    <w:locked/>
    <w:uiPriority w:val="99"/>
    <w:rPr>
      <w:rFonts w:cs="Times New Roman"/>
      <w:b/>
      <w:bCs/>
      <w:kern w:val="44"/>
      <w:sz w:val="44"/>
      <w:szCs w:val="44"/>
    </w:rPr>
  </w:style>
  <w:style w:type="character" w:customStyle="1" w:styleId="32">
    <w:name w:val="标题 2 Char"/>
    <w:link w:val="4"/>
    <w:semiHidden/>
    <w:qFormat/>
    <w:locked/>
    <w:uiPriority w:val="99"/>
    <w:rPr>
      <w:rFonts w:ascii="Cambria" w:hAnsi="Cambria" w:eastAsia="宋体" w:cs="Times New Roman"/>
      <w:b/>
      <w:bCs/>
      <w:sz w:val="32"/>
      <w:szCs w:val="32"/>
    </w:rPr>
  </w:style>
  <w:style w:type="character" w:customStyle="1" w:styleId="33">
    <w:name w:val="标题 3 Char"/>
    <w:link w:val="5"/>
    <w:semiHidden/>
    <w:qFormat/>
    <w:locked/>
    <w:uiPriority w:val="99"/>
    <w:rPr>
      <w:rFonts w:cs="Times New Roman"/>
      <w:b/>
      <w:bCs/>
      <w:sz w:val="32"/>
      <w:szCs w:val="32"/>
    </w:rPr>
  </w:style>
  <w:style w:type="character" w:customStyle="1" w:styleId="34">
    <w:name w:val="标题 4 Char"/>
    <w:link w:val="6"/>
    <w:semiHidden/>
    <w:qFormat/>
    <w:locked/>
    <w:uiPriority w:val="99"/>
    <w:rPr>
      <w:rFonts w:ascii="Cambria" w:hAnsi="Cambria" w:eastAsia="宋体" w:cs="Times New Roman"/>
      <w:b/>
      <w:bCs/>
      <w:sz w:val="28"/>
      <w:szCs w:val="28"/>
    </w:rPr>
  </w:style>
  <w:style w:type="character" w:customStyle="1" w:styleId="35">
    <w:name w:val="标题 5 Char"/>
    <w:link w:val="7"/>
    <w:qFormat/>
    <w:locked/>
    <w:uiPriority w:val="99"/>
    <w:rPr>
      <w:rFonts w:ascii="楷体_GB2312" w:eastAsia="楷体_GB2312"/>
      <w:bCs/>
      <w:kern w:val="2"/>
      <w:sz w:val="28"/>
    </w:rPr>
  </w:style>
  <w:style w:type="character" w:customStyle="1" w:styleId="36">
    <w:name w:val="日期 Char"/>
    <w:link w:val="12"/>
    <w:semiHidden/>
    <w:qFormat/>
    <w:locked/>
    <w:uiPriority w:val="99"/>
    <w:rPr>
      <w:rFonts w:cs="Times New Roman"/>
      <w:sz w:val="20"/>
      <w:szCs w:val="20"/>
    </w:rPr>
  </w:style>
  <w:style w:type="character" w:customStyle="1" w:styleId="37">
    <w:name w:val="正文文本缩进 Char"/>
    <w:link w:val="11"/>
    <w:semiHidden/>
    <w:qFormat/>
    <w:locked/>
    <w:uiPriority w:val="99"/>
    <w:rPr>
      <w:rFonts w:cs="Times New Roman"/>
      <w:sz w:val="20"/>
      <w:szCs w:val="20"/>
    </w:rPr>
  </w:style>
  <w:style w:type="character" w:customStyle="1" w:styleId="38">
    <w:name w:val="页脚 Char"/>
    <w:link w:val="15"/>
    <w:semiHidden/>
    <w:qFormat/>
    <w:locked/>
    <w:uiPriority w:val="99"/>
    <w:rPr>
      <w:rFonts w:cs="Times New Roman"/>
      <w:sz w:val="18"/>
      <w:szCs w:val="18"/>
    </w:rPr>
  </w:style>
  <w:style w:type="character" w:customStyle="1" w:styleId="39">
    <w:name w:val="页眉 Char"/>
    <w:link w:val="16"/>
    <w:qFormat/>
    <w:locked/>
    <w:uiPriority w:val="99"/>
    <w:rPr>
      <w:rFonts w:cs="Times New Roman"/>
      <w:sz w:val="18"/>
      <w:szCs w:val="18"/>
    </w:rPr>
  </w:style>
  <w:style w:type="character" w:customStyle="1" w:styleId="40">
    <w:name w:val="正文文本 Char"/>
    <w:link w:val="2"/>
    <w:semiHidden/>
    <w:qFormat/>
    <w:locked/>
    <w:uiPriority w:val="99"/>
    <w:rPr>
      <w:rFonts w:cs="Times New Roman"/>
      <w:sz w:val="20"/>
      <w:szCs w:val="20"/>
    </w:rPr>
  </w:style>
  <w:style w:type="character" w:customStyle="1" w:styleId="41">
    <w:name w:val="正文文本缩进 2 Char"/>
    <w:link w:val="13"/>
    <w:semiHidden/>
    <w:qFormat/>
    <w:locked/>
    <w:uiPriority w:val="99"/>
    <w:rPr>
      <w:rFonts w:cs="Times New Roman"/>
      <w:sz w:val="20"/>
      <w:szCs w:val="20"/>
    </w:rPr>
  </w:style>
  <w:style w:type="character" w:customStyle="1" w:styleId="42">
    <w:name w:val="正文文本缩进 3 Char"/>
    <w:link w:val="18"/>
    <w:semiHidden/>
    <w:qFormat/>
    <w:locked/>
    <w:uiPriority w:val="99"/>
    <w:rPr>
      <w:rFonts w:cs="Times New Roman"/>
      <w:sz w:val="16"/>
      <w:szCs w:val="16"/>
    </w:rPr>
  </w:style>
  <w:style w:type="paragraph" w:customStyle="1" w:styleId="43">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4">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45">
    <w:name w:val="font7"/>
    <w:basedOn w:val="1"/>
    <w:qFormat/>
    <w:uiPriority w:val="99"/>
    <w:pPr>
      <w:widowControl/>
      <w:spacing w:before="100" w:beforeAutospacing="1" w:after="100" w:afterAutospacing="1"/>
      <w:jc w:val="left"/>
    </w:pPr>
    <w:rPr>
      <w:b/>
      <w:bCs/>
      <w:i/>
      <w:iCs/>
      <w:kern w:val="0"/>
      <w:sz w:val="20"/>
    </w:rPr>
  </w:style>
  <w:style w:type="paragraph" w:customStyle="1" w:styleId="46">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47">
    <w:name w:val="font9"/>
    <w:basedOn w:val="1"/>
    <w:qFormat/>
    <w:uiPriority w:val="99"/>
    <w:pPr>
      <w:widowControl/>
      <w:spacing w:before="100" w:beforeAutospacing="1" w:after="100" w:afterAutospacing="1"/>
      <w:jc w:val="left"/>
    </w:pPr>
    <w:rPr>
      <w:b/>
      <w:bCs/>
      <w:kern w:val="0"/>
      <w:sz w:val="20"/>
    </w:rPr>
  </w:style>
  <w:style w:type="paragraph" w:customStyle="1" w:styleId="4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4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0">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52">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5">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9">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60">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6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3">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5">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6">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7">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8">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9">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0">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2">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3">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5">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6">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7">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8">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79">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0">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2">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4">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5">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6">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7">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8">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9">
    <w:name w:val="font11"/>
    <w:basedOn w:val="1"/>
    <w:qFormat/>
    <w:uiPriority w:val="99"/>
    <w:pPr>
      <w:widowControl/>
      <w:spacing w:before="100" w:beforeAutospacing="1" w:after="100" w:afterAutospacing="1"/>
      <w:jc w:val="left"/>
    </w:pPr>
    <w:rPr>
      <w:b/>
      <w:bCs/>
      <w:kern w:val="0"/>
      <w:sz w:val="18"/>
      <w:szCs w:val="18"/>
    </w:rPr>
  </w:style>
  <w:style w:type="paragraph" w:customStyle="1" w:styleId="90">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1">
    <w:name w:val="font13"/>
    <w:basedOn w:val="1"/>
    <w:qFormat/>
    <w:uiPriority w:val="99"/>
    <w:pPr>
      <w:widowControl/>
      <w:spacing w:before="100" w:beforeAutospacing="1" w:after="100" w:afterAutospacing="1"/>
      <w:jc w:val="left"/>
    </w:pPr>
    <w:rPr>
      <w:i/>
      <w:iCs/>
      <w:kern w:val="0"/>
      <w:sz w:val="36"/>
      <w:szCs w:val="36"/>
    </w:rPr>
  </w:style>
  <w:style w:type="paragraph" w:customStyle="1" w:styleId="92">
    <w:name w:val="font14"/>
    <w:basedOn w:val="1"/>
    <w:qFormat/>
    <w:uiPriority w:val="99"/>
    <w:pPr>
      <w:widowControl/>
      <w:spacing w:before="100" w:beforeAutospacing="1" w:after="100" w:afterAutospacing="1"/>
      <w:jc w:val="left"/>
    </w:pPr>
    <w:rPr>
      <w:kern w:val="0"/>
      <w:sz w:val="36"/>
      <w:szCs w:val="36"/>
    </w:rPr>
  </w:style>
  <w:style w:type="character" w:customStyle="1" w:styleId="93">
    <w:name w:val="case31"/>
    <w:qFormat/>
    <w:uiPriority w:val="99"/>
    <w:rPr>
      <w:rFonts w:cs="Times New Roman"/>
      <w:spacing w:val="390"/>
      <w:sz w:val="21"/>
      <w:szCs w:val="21"/>
    </w:rPr>
  </w:style>
  <w:style w:type="paragraph" w:customStyle="1" w:styleId="94">
    <w:name w:val="普通文字"/>
    <w:basedOn w:val="1"/>
    <w:next w:val="1"/>
    <w:qFormat/>
    <w:uiPriority w:val="99"/>
    <w:rPr>
      <w:rFonts w:ascii="宋体"/>
      <w:kern w:val="0"/>
      <w:sz w:val="24"/>
      <w:u w:color="000000"/>
    </w:rPr>
  </w:style>
  <w:style w:type="paragraph" w:customStyle="1" w:styleId="95">
    <w:name w:val="默认段落字体 Para Char"/>
    <w:basedOn w:val="1"/>
    <w:qFormat/>
    <w:uiPriority w:val="99"/>
    <w:pPr>
      <w:tabs>
        <w:tab w:val="left" w:pos="552"/>
      </w:tabs>
      <w:ind w:left="552" w:hanging="420"/>
    </w:pPr>
    <w:rPr>
      <w:sz w:val="24"/>
      <w:szCs w:val="24"/>
    </w:rPr>
  </w:style>
  <w:style w:type="character" w:customStyle="1" w:styleId="96">
    <w:name w:val="文档结构图 Char"/>
    <w:link w:val="9"/>
    <w:semiHidden/>
    <w:qFormat/>
    <w:locked/>
    <w:uiPriority w:val="99"/>
    <w:rPr>
      <w:rFonts w:cs="Times New Roman"/>
      <w:sz w:val="2"/>
    </w:rPr>
  </w:style>
  <w:style w:type="character" w:customStyle="1" w:styleId="97">
    <w:name w:val="正文文本 2 Char"/>
    <w:link w:val="19"/>
    <w:semiHidden/>
    <w:qFormat/>
    <w:locked/>
    <w:uiPriority w:val="99"/>
    <w:rPr>
      <w:rFonts w:cs="Times New Roman"/>
      <w:sz w:val="20"/>
      <w:szCs w:val="20"/>
    </w:rPr>
  </w:style>
  <w:style w:type="paragraph" w:customStyle="1" w:styleId="98">
    <w:name w:val="Char Char Char Char"/>
    <w:basedOn w:val="9"/>
    <w:qFormat/>
    <w:uiPriority w:val="99"/>
    <w:pPr>
      <w:adjustRightInd w:val="0"/>
      <w:snapToGrid w:val="0"/>
      <w:spacing w:line="360" w:lineRule="auto"/>
    </w:pPr>
    <w:rPr>
      <w:rFonts w:ascii="Tahoma" w:hAnsi="Tahoma"/>
      <w:sz w:val="24"/>
      <w:szCs w:val="24"/>
    </w:rPr>
  </w:style>
  <w:style w:type="paragraph" w:customStyle="1" w:styleId="99">
    <w:name w:val="Char Char1 Char Char Char Char"/>
    <w:basedOn w:val="9"/>
    <w:qFormat/>
    <w:uiPriority w:val="99"/>
    <w:pPr>
      <w:adjustRightInd w:val="0"/>
      <w:spacing w:line="436" w:lineRule="exact"/>
      <w:ind w:left="357"/>
      <w:jc w:val="left"/>
      <w:outlineLvl w:val="3"/>
    </w:pPr>
    <w:rPr>
      <w:rFonts w:ascii="Tahoma" w:hAnsi="Tahoma"/>
      <w:b/>
      <w:sz w:val="24"/>
      <w:szCs w:val="24"/>
    </w:rPr>
  </w:style>
  <w:style w:type="paragraph" w:styleId="100">
    <w:name w:val="List Paragraph"/>
    <w:basedOn w:val="1"/>
    <w:qFormat/>
    <w:uiPriority w:val="0"/>
    <w:pPr>
      <w:ind w:firstLine="420" w:firstLineChars="200"/>
    </w:pPr>
  </w:style>
  <w:style w:type="character" w:customStyle="1" w:styleId="101">
    <w:name w:val="apple-converted-space"/>
    <w:basedOn w:val="24"/>
    <w:qFormat/>
    <w:uiPriority w:val="0"/>
  </w:style>
  <w:style w:type="character" w:customStyle="1" w:styleId="102">
    <w:name w:val="grame"/>
    <w:basedOn w:val="24"/>
    <w:qFormat/>
    <w:uiPriority w:val="0"/>
  </w:style>
  <w:style w:type="character" w:customStyle="1" w:styleId="103">
    <w:name w:val="批注框文本 Char"/>
    <w:link w:val="14"/>
    <w:semiHidden/>
    <w:qFormat/>
    <w:uiPriority w:val="99"/>
    <w:rPr>
      <w:kern w:val="2"/>
      <w:sz w:val="18"/>
      <w:szCs w:val="18"/>
    </w:rPr>
  </w:style>
  <w:style w:type="character" w:customStyle="1" w:styleId="104">
    <w:name w:val="批注文字 Char"/>
    <w:basedOn w:val="24"/>
    <w:link w:val="10"/>
    <w:qFormat/>
    <w:uiPriority w:val="99"/>
    <w:rPr>
      <w:kern w:val="2"/>
      <w:sz w:val="21"/>
    </w:rPr>
  </w:style>
  <w:style w:type="character" w:customStyle="1" w:styleId="105">
    <w:name w:val="批注主题 Char"/>
    <w:basedOn w:val="104"/>
    <w:link w:val="21"/>
    <w:semiHidden/>
    <w:qFormat/>
    <w:uiPriority w:val="99"/>
    <w:rPr>
      <w:b/>
      <w:bCs/>
      <w:kern w:val="2"/>
      <w:sz w:val="21"/>
    </w:rPr>
  </w:style>
  <w:style w:type="character" w:styleId="106">
    <w:name w:val="Placeholder Text"/>
    <w:basedOn w:val="24"/>
    <w:unhideWhenUsed/>
    <w:qFormat/>
    <w:uiPriority w:val="99"/>
    <w:rPr>
      <w:color w:val="808080"/>
    </w:rPr>
  </w:style>
  <w:style w:type="paragraph" w:customStyle="1" w:styleId="107">
    <w:name w:val="Char Char2 Char"/>
    <w:basedOn w:val="1"/>
    <w:qFormat/>
    <w:uiPriority w:val="0"/>
    <w:pPr>
      <w:keepNext/>
      <w:keepLines/>
      <w:pageBreakBefore/>
      <w:tabs>
        <w:tab w:val="left" w:pos="390"/>
      </w:tabs>
      <w:ind w:left="390" w:hanging="390"/>
    </w:pPr>
    <w:rPr>
      <w:rFonts w:ascii="Tahoma" w:hAnsi="Tahoma"/>
      <w:sz w:val="24"/>
    </w:rPr>
  </w:style>
  <w:style w:type="character" w:customStyle="1" w:styleId="108">
    <w:name w:val="正文首行缩进 2 Char"/>
    <w:basedOn w:val="37"/>
    <w:link w:val="22"/>
    <w:qFormat/>
    <w:uiPriority w:val="99"/>
    <w:rPr>
      <w:rFonts w:ascii="Times New Roman" w:hAnsi="Times New Roman" w:cs="Times New Roman"/>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BE318-6876-4C5A-91AA-AB205AE7D3F9}">
  <ds:schemaRefs/>
</ds:datastoreItem>
</file>

<file path=docProps/app.xml><?xml version="1.0" encoding="utf-8"?>
<Properties xmlns="http://schemas.openxmlformats.org/officeDocument/2006/extended-properties" xmlns:vt="http://schemas.openxmlformats.org/officeDocument/2006/docPropsVTypes">
  <Template>邀请招标书</Template>
  <Company>LenovoCop</Company>
  <Pages>38</Pages>
  <Words>13038</Words>
  <Characters>14083</Characters>
  <Lines>782</Lines>
  <Paragraphs>695</Paragraphs>
  <TotalTime>4</TotalTime>
  <ScaleCrop>false</ScaleCrop>
  <LinksUpToDate>false</LinksUpToDate>
  <CharactersWithSpaces>26426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2021-07-07T03:14:00Z</dcterms:created>
  <dc:creator>win10</dc:creator>
  <cp:lastModifiedBy>DELL</cp:lastModifiedBy>
  <cp:lastPrinted>2016-12-26T01:31:00Z</cp:lastPrinted>
  <dcterms:modified xsi:type="dcterms:W3CDTF">2021-12-30T07:31:08Z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B01798326D93413590AFCB9CDEEF522B</vt:lpwstr>
  </property>
</Properties>
</file>