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楷体_GB2312" w:eastAsia="楷体_GB2312"/>
          <w:bCs/>
          <w:color w:val="000000" w:themeColor="text1"/>
          <w:sz w:val="30"/>
          <w14:textFill>
            <w14:solidFill>
              <w14:schemeClr w14:val="tx1"/>
            </w14:solidFill>
          </w14:textFill>
        </w:rPr>
      </w:pPr>
    </w:p>
    <w:p>
      <w:pPr>
        <w:ind w:left="660"/>
        <w:rPr>
          <w:rFonts w:ascii="楷体_GB2312" w:eastAsia="楷体_GB2312"/>
          <w:bCs/>
          <w:color w:val="000000" w:themeColor="text1"/>
          <w:sz w:val="30"/>
          <w14:textFill>
            <w14:solidFill>
              <w14:schemeClr w14:val="tx1"/>
            </w14:solidFill>
          </w14:textFill>
        </w:rPr>
      </w:pPr>
    </w:p>
    <w:p>
      <w:pPr>
        <w:jc w:val="center"/>
        <w:rPr>
          <w:rFonts w:ascii="黑体" w:hAnsi="华文中宋" w:eastAsia="黑体"/>
          <w:bCs/>
          <w:color w:val="000000" w:themeColor="text1"/>
          <w:spacing w:val="20"/>
          <w:sz w:val="72"/>
          <w:szCs w:val="72"/>
          <w14:textFill>
            <w14:solidFill>
              <w14:schemeClr w14:val="tx1"/>
            </w14:solidFill>
          </w14:textFill>
        </w:rPr>
      </w:pPr>
      <w:r>
        <w:rPr>
          <w:rFonts w:hint="eastAsia" w:ascii="黑体" w:hAnsi="华文中宋" w:eastAsia="黑体"/>
          <w:bCs/>
          <w:color w:val="000000" w:themeColor="text1"/>
          <w:spacing w:val="20"/>
          <w:sz w:val="72"/>
          <w:szCs w:val="72"/>
          <w14:textFill>
            <w14:solidFill>
              <w14:schemeClr w14:val="tx1"/>
            </w14:solidFill>
          </w14:textFill>
        </w:rPr>
        <w:t>无锡市梁溪区政府采购</w:t>
      </w: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jc w:val="center"/>
        <w:rPr>
          <w:rFonts w:ascii="黑体" w:hAnsi="华文中宋" w:eastAsia="黑体"/>
          <w:bCs/>
          <w:color w:val="000000" w:themeColor="text1"/>
          <w:spacing w:val="20"/>
          <w:w w:val="90"/>
          <w:sz w:val="48"/>
          <w:szCs w:val="48"/>
          <w14:textFill>
            <w14:solidFill>
              <w14:schemeClr w14:val="tx1"/>
            </w14:solidFill>
          </w14:textFill>
        </w:rPr>
      </w:pPr>
      <w:r>
        <w:rPr>
          <w:rFonts w:hint="eastAsia" w:ascii="黑体" w:hAnsi="华文中宋" w:eastAsia="黑体"/>
          <w:bCs/>
          <w:color w:val="000000" w:themeColor="text1"/>
          <w:spacing w:val="20"/>
          <w:w w:val="90"/>
          <w:sz w:val="48"/>
          <w:szCs w:val="48"/>
          <w14:textFill>
            <w14:solidFill>
              <w14:schemeClr w14:val="tx1"/>
            </w14:solidFill>
          </w14:textFill>
        </w:rPr>
        <w:t>公</w:t>
      </w:r>
      <w:r>
        <w:rPr>
          <w:rFonts w:ascii="黑体" w:hAnsi="华文中宋" w:eastAsia="黑体"/>
          <w:bCs/>
          <w:color w:val="000000" w:themeColor="text1"/>
          <w:spacing w:val="20"/>
          <w:w w:val="90"/>
          <w:sz w:val="48"/>
          <w:szCs w:val="48"/>
          <w14:textFill>
            <w14:solidFill>
              <w14:schemeClr w14:val="tx1"/>
            </w14:solidFill>
          </w14:textFill>
        </w:rPr>
        <w:t xml:space="preserve">   </w:t>
      </w:r>
      <w:r>
        <w:rPr>
          <w:rFonts w:hint="eastAsia" w:ascii="黑体" w:hAnsi="华文中宋" w:eastAsia="黑体"/>
          <w:bCs/>
          <w:color w:val="000000" w:themeColor="text1"/>
          <w:spacing w:val="20"/>
          <w:w w:val="90"/>
          <w:sz w:val="48"/>
          <w:szCs w:val="48"/>
          <w14:textFill>
            <w14:solidFill>
              <w14:schemeClr w14:val="tx1"/>
            </w14:solidFill>
          </w14:textFill>
        </w:rPr>
        <w:t>开</w:t>
      </w:r>
    </w:p>
    <w:p>
      <w:pPr>
        <w:jc w:val="center"/>
        <w:rPr>
          <w:rFonts w:ascii="黑体" w:hAnsi="华文中宋" w:eastAsia="黑体"/>
          <w:bCs/>
          <w:color w:val="000000" w:themeColor="text1"/>
          <w:spacing w:val="20"/>
          <w:sz w:val="52"/>
          <w:szCs w:val="52"/>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0" cy="0"/>
                <wp:effectExtent l="9525" t="7620" r="9525" b="1143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9pt;margin-top:15.6pt;height:0pt;width:0pt;z-index:251659264;mso-width-relative:page;mso-height-relative:page;" filled="f" stroked="t" coordsize="21600,21600" o:allowincell="f" o:gfxdata="UEsDBAoAAAAAAIdO4kAAAAAAAAAAAAAAAAAEAAAAZHJzL1BLAwQUAAAACACHTuJA6Pl3X9QAAAAJ&#10;AQAADwAAAGRycy9kb3ducmV2LnhtbE2PzU7DMBCE70i8g7VIXKrWTiqhKsTpAciNCwXEdRsvSUS8&#10;TmP3B56eRT3Q486OZr4p1yc/qANNsQ9sIVsYUMRNcD23Ft5e6/kKVEzIDofAZOGbIqyr66sSCxeO&#10;/EKHTWqVhHAs0EKX0lhoHZuOPMZFGInl9xkmj0nOqdVuwqOE+0Hnxtxpjz1LQ4cjPXTUfG323kKs&#10;32lX/8yamflYtoHy3ePzE1p7e5OZe1CJTunfDH/4gg6VMG3Dnl1Ug4V5tpItycIyy0GJ4Sxsz4Ku&#10;Sn25oPoFUEsDBBQAAAAIAIdO4kBS05OcwQEAAJkDAAAOAAAAZHJzL2Uyb0RvYy54bWytU8Fu2zAM&#10;vQ/YPwi6L04CdNiMOD0kaC/ZFqDdByiSbAuVREFUYufvR8lJ1naXHuaDIIrkI98jvbofnWUnHdGA&#10;b/hiNudMewnK+K7hv58fvnzjDJPwSljwuuFnjfx+/fnTagi1XkIPVunICMRjPYSG9ymFuqpQ9toJ&#10;nEHQnpwtRCcSmbGrVBQDoTtbLefzr9UAUYUIUiPS63Zy8gti/AggtK2Regvy6LRPE2rUViSihL0J&#10;yNel27bVMv1qW9SJ2YYT01ROKkL3Qz6r9UrUXRShN/LSgvhIC+84OWE8Fb1BbUUS7BjNP1DOyAgI&#10;bZpJcNVEpChCLBbzd9o89SLowoWkxnATHf8frPx52kdmFG0CZ144GvjOeM2WWZkhYE0BG7+PmZsc&#10;/VPYgXxB5mHTC9/p0uHzOVDaImdUb1KygYHwD8MPUBQjjgmKTGMbXYYkAdhYpnG+TUOPicnpUV5f&#10;K1FfU0LE9KjBsXxpuKVuC6Q47TDlFkR9DckVPDwYa8uYrWdDw7/fLe9KAoI1KjtzGMbusLGRnURe&#10;lPIVPuR5HRbh6NVUxPoL3cxw0uoA6ryPVxloYqWby3bllXhtl+y/f9T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j5d1/UAAAACQEAAA8AAAAAAAAAAQAgAAAAIgAAAGRycy9kb3ducmV2LnhtbFBL&#10;AQIUABQAAAAIAIdO4kBS05OcwQEAAJkDAAAOAAAAAAAAAAEAIAAAACMBAABkcnMvZTJvRG9jLnht&#10;bFBLBQYAAAAABgAGAFkBAABWBQAAAAA=&#10;">
                <v:fill on="f" focussize="0,0"/>
                <v:stroke color="#000000" joinstyle="round"/>
                <v:imagedata o:title=""/>
                <o:lock v:ext="edit" aspectratio="f"/>
              </v:line>
            </w:pict>
          </mc:Fallback>
        </mc:AlternateContent>
      </w:r>
      <w:r>
        <w:rPr>
          <w:rFonts w:hint="eastAsia" w:ascii="黑体" w:hAnsi="华文中宋" w:eastAsia="黑体"/>
          <w:bCs/>
          <w:color w:val="000000" w:themeColor="text1"/>
          <w:spacing w:val="20"/>
          <w:sz w:val="52"/>
          <w:szCs w:val="52"/>
          <w14:textFill>
            <w14:solidFill>
              <w14:schemeClr w14:val="tx1"/>
            </w14:solidFill>
          </w14:textFill>
        </w:rPr>
        <w:t>招</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标</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文</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件</w:t>
      </w:r>
    </w:p>
    <w:p>
      <w:pPr>
        <w:tabs>
          <w:tab w:val="left" w:pos="9921"/>
        </w:tabs>
        <w:jc w:val="center"/>
        <w:rPr>
          <w:rFonts w:ascii="华文中宋" w:hAnsi="华文中宋" w:eastAsia="华文中宋"/>
          <w:bCs/>
          <w:color w:val="000000"/>
          <w:sz w:val="30"/>
        </w:rPr>
      </w:pPr>
      <w:r>
        <w:rPr>
          <w:rFonts w:hint="eastAsia" w:ascii="华文中宋" w:hAnsi="华文中宋" w:eastAsia="华文中宋"/>
          <w:bCs/>
          <w:color w:val="000000"/>
          <w:sz w:val="30"/>
        </w:rPr>
        <w:t>（全流程电子化）</w:t>
      </w:r>
    </w:p>
    <w:p>
      <w:pPr>
        <w:rPr>
          <w:rFonts w:ascii="华文中宋" w:hAnsi="华文中宋" w:eastAsia="华文中宋"/>
          <w:bCs/>
          <w:color w:val="000000" w:themeColor="text1"/>
          <w:sz w:val="30"/>
          <w14:textFill>
            <w14:solidFill>
              <w14:schemeClr w14:val="tx1"/>
            </w14:solidFill>
          </w14:textFill>
        </w:rPr>
      </w:pPr>
    </w:p>
    <w:p>
      <w:pPr>
        <w:tabs>
          <w:tab w:val="left" w:pos="9921"/>
        </w:tabs>
        <w:jc w:val="center"/>
        <w:rPr>
          <w:rFonts w:ascii="华文中宋" w:hAnsi="华文中宋" w:eastAsia="华文中宋"/>
          <w:bCs/>
          <w:color w:val="000000" w:themeColor="text1"/>
          <w:sz w:val="30"/>
          <w14:textFill>
            <w14:solidFill>
              <w14:schemeClr w14:val="tx1"/>
            </w14:solidFill>
          </w14:textFill>
        </w:rPr>
      </w:pPr>
    </w:p>
    <w:p>
      <w:pPr>
        <w:jc w:val="both"/>
        <w:rPr>
          <w:rFonts w:ascii="华文中宋" w:hAnsi="华文中宋" w:eastAsia="华文中宋"/>
          <w:bCs/>
          <w:color w:val="000000" w:themeColor="text1"/>
          <w:sz w:val="30"/>
          <w14:textFill>
            <w14:solidFill>
              <w14:schemeClr w14:val="tx1"/>
            </w14:solidFill>
          </w14:textFill>
        </w:rPr>
      </w:pPr>
    </w:p>
    <w:p>
      <w:pPr>
        <w:ind w:firstLine="2700" w:firstLineChars="900"/>
        <w:jc w:val="both"/>
        <w:rPr>
          <w:rFonts w:hint="eastAsia" w:ascii="黑体" w:hAnsi="华文中宋" w:eastAsia="黑体"/>
          <w:bCs/>
          <w:color w:val="000000" w:themeColor="text1"/>
          <w:sz w:val="30"/>
          <w:szCs w:val="30"/>
          <w:lang w:eastAsia="zh-CN"/>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采购项目编号：</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lang w:eastAsia="zh-CN"/>
          <w14:textFill>
            <w14:solidFill>
              <w14:schemeClr w14:val="tx1"/>
            </w14:solidFill>
          </w14:textFill>
        </w:rPr>
        <w:t>LXZC2021-044</w:t>
      </w:r>
    </w:p>
    <w:p>
      <w:pPr>
        <w:ind w:left="5083" w:leftChars="1278" w:hanging="2400" w:hangingChars="800"/>
        <w:jc w:val="both"/>
        <w:rPr>
          <w:rFonts w:hint="eastAsia" w:ascii="黑体" w:hAnsi="华文中宋" w:eastAsia="黑体"/>
          <w:bCs/>
          <w:color w:val="000000" w:themeColor="text1"/>
          <w:sz w:val="30"/>
          <w:szCs w:val="30"/>
          <w:lang w:eastAsia="zh-CN"/>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采购项目名称：</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lang w:eastAsia="zh-CN"/>
          <w14:textFill>
            <w14:solidFill>
              <w14:schemeClr w14:val="tx1"/>
            </w14:solidFill>
          </w14:textFill>
        </w:rPr>
        <w:t>无锡市梁溪区规划建筑设计方案智能审查系统</w:t>
      </w:r>
    </w:p>
    <w:p>
      <w:pPr>
        <w:ind w:firstLine="2700" w:firstLineChars="900"/>
        <w:jc w:val="both"/>
        <w:rPr>
          <w:rFonts w:ascii="黑体" w:hAnsi="华文中宋" w:eastAsia="黑体"/>
          <w:bCs/>
          <w:color w:val="000000" w:themeColor="text1"/>
          <w:sz w:val="30"/>
          <w:szCs w:val="30"/>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集中采购机构：</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14:textFill>
            <w14:solidFill>
              <w14:schemeClr w14:val="tx1"/>
            </w14:solidFill>
          </w14:textFill>
        </w:rPr>
        <w:t>无锡市公共资源交易中心梁溪分中心</w:t>
      </w:r>
    </w:p>
    <w:p>
      <w:pPr>
        <w:jc w:val="both"/>
        <w:rPr>
          <w:rFonts w:ascii="华文中宋" w:hAnsi="华文中宋" w:eastAsia="华文中宋"/>
          <w:bCs/>
          <w:color w:val="000000" w:themeColor="text1"/>
          <w:sz w:val="32"/>
          <w14:textFill>
            <w14:solidFill>
              <w14:schemeClr w14:val="tx1"/>
            </w14:solidFill>
          </w14:textFill>
        </w:rPr>
      </w:pPr>
    </w:p>
    <w:p>
      <w:pPr>
        <w:jc w:val="both"/>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jc w:val="center"/>
        <w:rPr>
          <w:rFonts w:ascii="黑体" w:hAnsi="华文中宋" w:eastAsia="黑体"/>
          <w:bCs/>
          <w:color w:val="000000" w:themeColor="text1"/>
          <w:sz w:val="44"/>
          <w:szCs w:val="44"/>
          <w14:textFill>
            <w14:solidFill>
              <w14:schemeClr w14:val="tx1"/>
            </w14:solidFill>
          </w14:textFill>
        </w:rPr>
      </w:pPr>
      <w:r>
        <w:rPr>
          <w:rFonts w:hint="eastAsia" w:ascii="黑体" w:hAnsi="华文中宋" w:eastAsia="黑体"/>
          <w:bCs/>
          <w:color w:val="000000" w:themeColor="text1"/>
          <w:sz w:val="44"/>
          <w:szCs w:val="44"/>
          <w14:textFill>
            <w14:solidFill>
              <w14:schemeClr w14:val="tx1"/>
            </w14:solidFill>
          </w14:textFill>
        </w:rPr>
        <w:t>二○二一年</w:t>
      </w:r>
      <w:r>
        <w:rPr>
          <w:rFonts w:hint="eastAsia" w:ascii="黑体" w:hAnsi="华文中宋" w:eastAsia="黑体"/>
          <w:bCs/>
          <w:color w:val="000000" w:themeColor="text1"/>
          <w:sz w:val="44"/>
          <w:szCs w:val="44"/>
          <w:lang w:val="en-US" w:eastAsia="zh-CN"/>
          <w14:textFill>
            <w14:solidFill>
              <w14:schemeClr w14:val="tx1"/>
            </w14:solidFill>
          </w14:textFill>
        </w:rPr>
        <w:t>十二</w:t>
      </w:r>
      <w:r>
        <w:rPr>
          <w:rFonts w:hint="eastAsia" w:ascii="黑体" w:hAnsi="华文中宋" w:eastAsia="黑体"/>
          <w:bCs/>
          <w:color w:val="000000" w:themeColor="text1"/>
          <w:sz w:val="44"/>
          <w:szCs w:val="44"/>
          <w14:textFill>
            <w14:solidFill>
              <w14:schemeClr w14:val="tx1"/>
            </w14:solidFill>
          </w14:textFill>
        </w:rPr>
        <w:t>月</w:t>
      </w:r>
      <w:r>
        <w:rPr>
          <w:rFonts w:hint="eastAsia" w:ascii="黑体" w:hAnsi="华文中宋" w:eastAsia="黑体"/>
          <w:bCs/>
          <w:color w:val="000000" w:themeColor="text1"/>
          <w:sz w:val="44"/>
          <w:szCs w:val="44"/>
          <w:lang w:val="en-US" w:eastAsia="zh-CN"/>
          <w14:textFill>
            <w14:solidFill>
              <w14:schemeClr w14:val="tx1"/>
            </w14:solidFill>
          </w14:textFill>
        </w:rPr>
        <w:t>二十九</w:t>
      </w:r>
      <w:r>
        <w:rPr>
          <w:rFonts w:hint="eastAsia" w:ascii="黑体" w:hAnsi="华文中宋" w:eastAsia="黑体"/>
          <w:bCs/>
          <w:color w:val="000000" w:themeColor="text1"/>
          <w:sz w:val="44"/>
          <w:szCs w:val="44"/>
          <w14:textFill>
            <w14:solidFill>
              <w14:schemeClr w14:val="tx1"/>
            </w14:solidFill>
          </w14:textFill>
        </w:rPr>
        <w:t>日</w:t>
      </w:r>
    </w:p>
    <w:p>
      <w:pPr>
        <w:jc w:val="center"/>
        <w:rPr>
          <w:rFonts w:ascii="黑体" w:eastAsia="黑体"/>
          <w:bCs/>
          <w:color w:val="000000" w:themeColor="text1"/>
          <w:sz w:val="44"/>
          <w14:textFill>
            <w14:solidFill>
              <w14:schemeClr w14:val="tx1"/>
            </w14:solidFill>
          </w14:textFill>
        </w:rPr>
      </w:pPr>
    </w:p>
    <w:p>
      <w:pPr>
        <w:rPr>
          <w:rFonts w:ascii="华文新魏" w:eastAsia="华文新魏"/>
          <w:bCs/>
          <w:color w:val="000000" w:themeColor="text1"/>
          <w:sz w:val="44"/>
          <w14:textFill>
            <w14:solidFill>
              <w14:schemeClr w14:val="tx1"/>
            </w14:solidFill>
          </w14:textFill>
        </w:rPr>
      </w:pPr>
    </w:p>
    <w:p>
      <w:pPr>
        <w:jc w:val="center"/>
        <w:rPr>
          <w:rStyle w:val="28"/>
          <w:rFonts w:eastAsia="黑体"/>
          <w:bCs/>
          <w:color w:val="000000" w:themeColor="text1"/>
          <w:sz w:val="48"/>
          <w14:textFill>
            <w14:solidFill>
              <w14:schemeClr w14:val="tx1"/>
            </w14:solidFill>
          </w14:textFill>
        </w:rPr>
      </w:pPr>
      <w:r>
        <w:rPr>
          <w:rStyle w:val="28"/>
          <w:rFonts w:eastAsia="黑体"/>
          <w:bCs/>
          <w:color w:val="000000" w:themeColor="text1"/>
          <w:sz w:val="48"/>
          <w14:textFill>
            <w14:solidFill>
              <w14:schemeClr w14:val="tx1"/>
            </w14:solidFill>
          </w14:textFill>
        </w:rPr>
        <w:t xml:space="preserve"> </w:t>
      </w:r>
    </w:p>
    <w:p>
      <w:pPr>
        <w:jc w:val="center"/>
        <w:rPr>
          <w:rStyle w:val="28"/>
          <w:rFonts w:eastAsia="黑体"/>
          <w:bCs/>
          <w:color w:val="000000" w:themeColor="text1"/>
          <w:sz w:val="48"/>
          <w14:textFill>
            <w14:solidFill>
              <w14:schemeClr w14:val="tx1"/>
            </w14:solidFill>
          </w14:textFill>
        </w:rPr>
      </w:pPr>
    </w:p>
    <w:p>
      <w:pPr>
        <w:jc w:val="center"/>
        <w:rPr>
          <w:rStyle w:val="28"/>
          <w:rFonts w:eastAsia="黑体"/>
          <w:bCs/>
          <w:color w:val="000000" w:themeColor="text1"/>
          <w:sz w:val="48"/>
          <w14:textFill>
            <w14:solidFill>
              <w14:schemeClr w14:val="tx1"/>
            </w14:solidFill>
          </w14:textFill>
        </w:rPr>
      </w:pPr>
    </w:p>
    <w:p>
      <w:pPr>
        <w:jc w:val="center"/>
        <w:rPr>
          <w:rStyle w:val="28"/>
          <w:rFonts w:eastAsia="黑体"/>
          <w:bCs/>
          <w:color w:val="000000" w:themeColor="text1"/>
          <w:sz w:val="48"/>
          <w14:textFill>
            <w14:solidFill>
              <w14:schemeClr w14:val="tx1"/>
            </w14:solidFill>
          </w14:textFill>
        </w:rPr>
      </w:pPr>
    </w:p>
    <w:p>
      <w:pPr>
        <w:jc w:val="center"/>
        <w:rPr>
          <w:rStyle w:val="28"/>
          <w:rFonts w:eastAsia="黑体"/>
          <w:bCs/>
          <w:color w:val="000000" w:themeColor="text1"/>
          <w:sz w:val="48"/>
          <w14:textFill>
            <w14:solidFill>
              <w14:schemeClr w14:val="tx1"/>
            </w14:solidFill>
          </w14:textFill>
        </w:rPr>
      </w:pPr>
    </w:p>
    <w:p>
      <w:pPr>
        <w:jc w:val="center"/>
        <w:rPr>
          <w:rStyle w:val="28"/>
          <w:rFonts w:eastAsia="黑体"/>
          <w:bCs/>
          <w:color w:val="000000" w:themeColor="text1"/>
          <w:sz w:val="48"/>
          <w14:textFill>
            <w14:solidFill>
              <w14:schemeClr w14:val="tx1"/>
            </w14:solidFill>
          </w14:textFill>
        </w:rPr>
      </w:pPr>
      <w:r>
        <w:rPr>
          <w:rStyle w:val="28"/>
          <w:rFonts w:hint="eastAsia" w:eastAsia="黑体"/>
          <w:bCs/>
          <w:color w:val="000000" w:themeColor="text1"/>
          <w:sz w:val="48"/>
          <w14:textFill>
            <w14:solidFill>
              <w14:schemeClr w14:val="tx1"/>
            </w14:solidFill>
          </w14:textFill>
        </w:rPr>
        <w:t>目</w:t>
      </w:r>
      <w:r>
        <w:rPr>
          <w:rStyle w:val="28"/>
          <w:rFonts w:eastAsia="黑体"/>
          <w:bCs/>
          <w:color w:val="000000" w:themeColor="text1"/>
          <w:sz w:val="48"/>
          <w14:textFill>
            <w14:solidFill>
              <w14:schemeClr w14:val="tx1"/>
            </w14:solidFill>
          </w14:textFill>
        </w:rPr>
        <w:t xml:space="preserve">     </w:t>
      </w:r>
      <w:r>
        <w:rPr>
          <w:rStyle w:val="28"/>
          <w:rFonts w:hint="eastAsia" w:eastAsia="黑体"/>
          <w:bCs/>
          <w:color w:val="000000" w:themeColor="text1"/>
          <w:sz w:val="48"/>
          <w14:textFill>
            <w14:solidFill>
              <w14:schemeClr w14:val="tx1"/>
            </w14:solidFill>
          </w14:textFill>
        </w:rPr>
        <w:t>录</w:t>
      </w:r>
    </w:p>
    <w:p>
      <w:pPr>
        <w:jc w:val="center"/>
        <w:rPr>
          <w:rFonts w:ascii="黑体" w:eastAsia="黑体"/>
          <w:bCs/>
          <w:color w:val="000000" w:themeColor="text1"/>
          <w:sz w:val="30"/>
          <w14:textFill>
            <w14:solidFill>
              <w14:schemeClr w14:val="tx1"/>
            </w14:solidFill>
          </w14:textFill>
        </w:rPr>
      </w:pPr>
    </w:p>
    <w:p>
      <w:pPr>
        <w:jc w:val="center"/>
        <w:rPr>
          <w:rFonts w:ascii="黑体" w:eastAsia="黑体"/>
          <w:bCs/>
          <w:color w:val="000000" w:themeColor="text1"/>
          <w:sz w:val="30"/>
          <w14:textFill>
            <w14:solidFill>
              <w14:schemeClr w14:val="tx1"/>
            </w14:solidFill>
          </w14:textFill>
        </w:rPr>
      </w:pP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一．投标邀请函</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（2）</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二．投标人须知</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5</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三．项目技术要求和有关说明</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（1</w:t>
      </w:r>
      <w:r>
        <w:rPr>
          <w:rFonts w:hint="eastAsia" w:ascii="宋体" w:hAnsi="宋体"/>
          <w:bCs/>
          <w:color w:val="000000" w:themeColor="text1"/>
          <w:sz w:val="30"/>
          <w:szCs w:val="30"/>
          <w:lang w:val="en-US" w:eastAsia="zh-CN"/>
          <w14:textFill>
            <w14:solidFill>
              <w14:schemeClr w14:val="tx1"/>
            </w14:solidFill>
          </w14:textFill>
        </w:rPr>
        <w:t>2</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四</w:t>
      </w:r>
      <w:r>
        <w:rPr>
          <w:rFonts w:ascii="宋体" w:hAnsi="宋体"/>
          <w:bCs/>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合同书（格式文本）</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（1</w:t>
      </w:r>
      <w:r>
        <w:rPr>
          <w:rFonts w:hint="eastAsia" w:ascii="宋体" w:hAnsi="宋体"/>
          <w:bCs/>
          <w:color w:val="000000" w:themeColor="text1"/>
          <w:sz w:val="30"/>
          <w:szCs w:val="30"/>
          <w:lang w:val="en-US" w:eastAsia="zh-CN"/>
          <w14:textFill>
            <w14:solidFill>
              <w14:schemeClr w14:val="tx1"/>
            </w14:solidFill>
          </w14:textFill>
        </w:rPr>
        <w:t>7</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五．合同条款（格式）</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19</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hAns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六</w:t>
      </w:r>
      <w:r>
        <w:rPr>
          <w:rFonts w:ascii="宋体" w:hAnsi="宋体"/>
          <w:bCs/>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附件</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22</w:t>
      </w:r>
      <w:r>
        <w:rPr>
          <w:rFonts w:hint="eastAsia" w:ascii="宋体" w:hAnsi="宋体"/>
          <w:bCs/>
          <w:color w:val="000000" w:themeColor="text1"/>
          <w:sz w:val="30"/>
          <w:szCs w:val="30"/>
          <w14:textFill>
            <w14:solidFill>
              <w14:schemeClr w14:val="tx1"/>
            </w14:solidFill>
          </w14:textFill>
        </w:rPr>
        <w:t>）</w:t>
      </w:r>
    </w:p>
    <w:p>
      <w:pPr>
        <w:spacing w:line="720" w:lineRule="auto"/>
        <w:rPr>
          <w:rFonts w:ascii="宋体"/>
          <w:bCs/>
          <w:color w:val="000000" w:themeColor="text1"/>
          <w:sz w:val="28"/>
          <w:szCs w:val="28"/>
          <w14:textFill>
            <w14:solidFill>
              <w14:schemeClr w14:val="tx1"/>
            </w14:solidFill>
          </w14:textFill>
        </w:rPr>
      </w:pPr>
      <w:r>
        <w:rPr>
          <w:rFonts w:ascii="宋体"/>
          <w:bCs/>
          <w:color w:val="000000" w:themeColor="text1"/>
          <w:sz w:val="28"/>
          <w:szCs w:val="28"/>
          <w14:textFill>
            <w14:solidFill>
              <w14:schemeClr w14:val="tx1"/>
            </w14:solidFill>
          </w14:textFill>
        </w:rPr>
        <w:t xml:space="preserve"> </w:t>
      </w:r>
    </w:p>
    <w:p>
      <w:pPr>
        <w:spacing w:line="720" w:lineRule="auto"/>
        <w:rPr>
          <w:rFonts w:ascii="宋体"/>
          <w:bCs/>
          <w:color w:val="000000" w:themeColor="text1"/>
          <w:sz w:val="30"/>
          <w14:textFill>
            <w14:solidFill>
              <w14:schemeClr w14:val="tx1"/>
            </w14:solidFill>
          </w14:textFill>
        </w:rPr>
      </w:pPr>
    </w:p>
    <w:p>
      <w:pPr>
        <w:spacing w:line="480" w:lineRule="auto"/>
        <w:rPr>
          <w:rFonts w:ascii="宋体"/>
          <w:bCs/>
          <w:color w:val="000000" w:themeColor="text1"/>
          <w:sz w:val="30"/>
          <w14:textFill>
            <w14:solidFill>
              <w14:schemeClr w14:val="tx1"/>
            </w14:solidFill>
          </w14:textFill>
        </w:rPr>
      </w:pPr>
    </w:p>
    <w:p>
      <w:pPr>
        <w:rPr>
          <w:rFonts w:ascii="宋体"/>
          <w:bCs/>
          <w:color w:val="000000" w:themeColor="text1"/>
          <w:sz w:val="28"/>
          <w14:textFill>
            <w14:solidFill>
              <w14:schemeClr w14:val="tx1"/>
            </w14:solidFill>
          </w14:textFill>
        </w:rPr>
      </w:pPr>
    </w:p>
    <w:p>
      <w:pPr>
        <w:rPr>
          <w:rFonts w:ascii="宋体"/>
          <w:bCs/>
          <w:color w:val="000000" w:themeColor="text1"/>
          <w:sz w:val="32"/>
          <w14:textFill>
            <w14:solidFill>
              <w14:schemeClr w14:val="tx1"/>
            </w14:solidFill>
          </w14:textFill>
        </w:rPr>
      </w:pPr>
    </w:p>
    <w:p>
      <w:pPr>
        <w:pStyle w:val="3"/>
        <w:rPr>
          <w:rFonts w:ascii="黑体" w:eastAsia="黑体"/>
          <w:bCs/>
          <w:color w:val="000000" w:themeColor="text1"/>
          <w:sz w:val="28"/>
          <w:szCs w:val="28"/>
          <w14:textFill>
            <w14:solidFill>
              <w14:schemeClr w14:val="tx1"/>
            </w14:solidFill>
          </w14:textFill>
        </w:rPr>
      </w:pPr>
      <w:bookmarkStart w:id="0" w:name="报价方须知前附表"/>
      <w:bookmarkEnd w:id="0"/>
    </w:p>
    <w:p>
      <w:pPr>
        <w:spacing w:line="360" w:lineRule="auto"/>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一．投标邀请函</w:t>
      </w:r>
    </w:p>
    <w:p>
      <w:pPr>
        <w:spacing w:line="360" w:lineRule="auto"/>
        <w:ind w:firstLine="480" w:firstLineChars="200"/>
        <w:rPr>
          <w:rFonts w:ascii="宋体" w:hAnsi="宋体"/>
          <w:bCs/>
          <w:sz w:val="24"/>
          <w:szCs w:val="24"/>
        </w:rPr>
      </w:pPr>
      <w:r>
        <w:rPr>
          <w:rFonts w:hint="eastAsia" w:ascii="宋体" w:hAnsi="宋体"/>
          <w:bCs/>
          <w:color w:val="000000" w:themeColor="text1"/>
          <w:sz w:val="24"/>
          <w:szCs w:val="24"/>
          <w14:textFill>
            <w14:solidFill>
              <w14:schemeClr w14:val="tx1"/>
            </w14:solidFill>
          </w14:textFill>
        </w:rPr>
        <w:t>我中心</w:t>
      </w:r>
      <w:r>
        <w:rPr>
          <w:rFonts w:hint="eastAsia" w:ascii="宋体" w:hAnsi="宋体"/>
          <w:bCs/>
          <w:sz w:val="24"/>
          <w:szCs w:val="24"/>
        </w:rPr>
        <w:t>受</w:t>
      </w:r>
      <w:r>
        <w:rPr>
          <w:rFonts w:hint="eastAsia" w:asciiTheme="minorEastAsia" w:hAnsiTheme="minorEastAsia" w:cstheme="minorEastAsia"/>
          <w:sz w:val="24"/>
          <w:szCs w:val="24"/>
          <w:lang w:eastAsia="zh-CN"/>
        </w:rPr>
        <w:t>无锡市自然资源和规划局梁溪分局</w:t>
      </w:r>
      <w:r>
        <w:rPr>
          <w:rFonts w:hint="eastAsia" w:ascii="宋体" w:hAnsi="宋体"/>
          <w:bCs/>
          <w:sz w:val="24"/>
          <w:szCs w:val="24"/>
        </w:rPr>
        <w:t>的委托，对</w:t>
      </w:r>
      <w:r>
        <w:rPr>
          <w:rFonts w:hint="eastAsia" w:ascii="宋体" w:hAnsi="宋体"/>
          <w:bCs/>
          <w:sz w:val="24"/>
          <w:szCs w:val="24"/>
          <w:lang w:eastAsia="zh-CN"/>
        </w:rPr>
        <w:t>无锡市梁溪区规划建筑设计方案智能审查系统</w:t>
      </w:r>
      <w:r>
        <w:rPr>
          <w:rFonts w:hint="eastAsia" w:ascii="宋体" w:hAnsi="宋体"/>
          <w:bCs/>
          <w:sz w:val="24"/>
          <w:szCs w:val="24"/>
        </w:rPr>
        <w:t>进行公开招标采购，欢迎符合相关条件的供应商参加投标并提请注意下列相关事项：</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（一）</w:t>
      </w:r>
      <w:r>
        <w:rPr>
          <w:rFonts w:hint="eastAsia" w:ascii="黑体" w:hAnsi="黑体" w:eastAsia="黑体" w:cs="宋体"/>
          <w:kern w:val="0"/>
          <w:sz w:val="24"/>
          <w:szCs w:val="24"/>
        </w:rPr>
        <w:t>招标项目信息</w:t>
      </w:r>
    </w:p>
    <w:p>
      <w:pPr>
        <w:widowControl/>
        <w:shd w:val="clear" w:color="auto" w:fill="FFFFFF"/>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1.项目名称：</w:t>
      </w:r>
      <w:r>
        <w:rPr>
          <w:rFonts w:hint="eastAsia" w:ascii="宋体" w:hAnsi="宋体" w:cs="宋体"/>
          <w:kern w:val="0"/>
          <w:sz w:val="24"/>
          <w:szCs w:val="24"/>
          <w:lang w:eastAsia="zh-CN"/>
        </w:rPr>
        <w:t>无锡市梁溪区规划建筑设计方案智能审查系统</w:t>
      </w:r>
    </w:p>
    <w:p>
      <w:pPr>
        <w:widowControl/>
        <w:shd w:val="clear" w:color="auto" w:fill="FFFFFF"/>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2.项目编号：</w:t>
      </w:r>
      <w:r>
        <w:rPr>
          <w:rFonts w:hint="eastAsia" w:ascii="宋体" w:hAnsi="宋体" w:cs="宋体"/>
          <w:kern w:val="0"/>
          <w:sz w:val="24"/>
          <w:szCs w:val="24"/>
          <w:lang w:eastAsia="zh-CN"/>
        </w:rPr>
        <w:t>LXZC2021-044</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3.项目预算：</w:t>
      </w:r>
      <w:r>
        <w:rPr>
          <w:rFonts w:hint="eastAsia" w:ascii="宋体" w:hAnsi="宋体" w:cs="宋体"/>
          <w:kern w:val="0"/>
          <w:sz w:val="24"/>
          <w:szCs w:val="24"/>
          <w:lang w:val="en-US" w:eastAsia="zh-CN"/>
        </w:rPr>
        <w:t>77</w:t>
      </w:r>
      <w:r>
        <w:rPr>
          <w:rFonts w:hint="eastAsia" w:ascii="宋体" w:hAnsi="宋体" w:cs="宋体"/>
          <w:kern w:val="0"/>
          <w:sz w:val="24"/>
          <w:szCs w:val="24"/>
        </w:rPr>
        <w:t xml:space="preserve">万元 </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4.采购方式：公开招标</w:t>
      </w:r>
    </w:p>
    <w:p>
      <w:pPr>
        <w:widowControl/>
        <w:shd w:val="clear" w:color="auto" w:fill="FFFFFF"/>
        <w:spacing w:line="360" w:lineRule="auto"/>
        <w:ind w:firstLine="480" w:firstLineChars="200"/>
        <w:jc w:val="left"/>
        <w:rPr>
          <w:rFonts w:hint="eastAsia" w:ascii="宋体" w:hAnsi="宋体" w:eastAsia="宋体"/>
          <w:bCs/>
          <w:sz w:val="24"/>
          <w:szCs w:val="24"/>
          <w:lang w:eastAsia="zh-CN"/>
        </w:rPr>
      </w:pPr>
      <w:r>
        <w:rPr>
          <w:rFonts w:hint="eastAsia" w:ascii="宋体" w:hAnsi="宋体" w:cs="宋体"/>
          <w:kern w:val="0"/>
          <w:sz w:val="24"/>
          <w:szCs w:val="24"/>
        </w:rPr>
        <w:t>5.采购人：</w:t>
      </w:r>
      <w:r>
        <w:rPr>
          <w:rFonts w:hint="eastAsia" w:asciiTheme="minorEastAsia" w:hAnsiTheme="minorEastAsia" w:cstheme="minorEastAsia"/>
          <w:sz w:val="24"/>
          <w:szCs w:val="24"/>
          <w:lang w:eastAsia="zh-CN"/>
        </w:rPr>
        <w:t>无锡市自然资源和规划局梁溪分局</w:t>
      </w:r>
    </w:p>
    <w:p>
      <w:pPr>
        <w:widowControl/>
        <w:shd w:val="clear" w:color="auto" w:fill="FFFFFF"/>
        <w:spacing w:line="360" w:lineRule="auto"/>
        <w:ind w:firstLine="480" w:firstLineChars="20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kern w:val="0"/>
          <w:sz w:val="24"/>
          <w:szCs w:val="24"/>
          <w:highlight w:val="none"/>
        </w:rPr>
        <w:t>6.本项目</w:t>
      </w:r>
      <w:r>
        <w:rPr>
          <w:rFonts w:hint="eastAsia" w:ascii="宋体" w:hAnsi="宋体" w:cs="宋体"/>
          <w:color w:val="000000" w:themeColor="text1"/>
          <w:kern w:val="0"/>
          <w:sz w:val="24"/>
          <w:szCs w:val="24"/>
          <w:highlight w:val="none"/>
          <w14:textFill>
            <w14:solidFill>
              <w14:schemeClr w14:val="tx1"/>
            </w14:solidFill>
          </w14:textFill>
        </w:rPr>
        <w:t>标的所属行业：</w:t>
      </w:r>
      <w:r>
        <w:rPr>
          <w:rFonts w:hint="eastAsia" w:ascii="宋体" w:hAnsi="宋体" w:eastAsia="宋体" w:cs="宋体"/>
          <w:sz w:val="24"/>
          <w:szCs w:val="24"/>
          <w:highlight w:val="none"/>
        </w:rPr>
        <w:t>软件开发服务</w:t>
      </w:r>
      <w:r>
        <w:rPr>
          <w:rFonts w:hint="eastAsia" w:ascii="宋体" w:hAnsi="宋体" w:cs="宋体"/>
          <w:sz w:val="24"/>
          <w:szCs w:val="24"/>
          <w:highlight w:val="none"/>
          <w:lang w:val="en-US" w:eastAsia="zh-CN"/>
        </w:rPr>
        <w:t>业</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7.本项目是否专门面向中小企业：是</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（二）投标人资格要求</w:t>
      </w:r>
    </w:p>
    <w:p>
      <w:pPr>
        <w:widowControl/>
        <w:shd w:val="clear" w:color="auto" w:fill="FFFFFF"/>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1.具备《中华人民共和国政府采购法》第二十二条第一款规定的条件；</w:t>
      </w:r>
    </w:p>
    <w:p>
      <w:pPr>
        <w:widowControl/>
        <w:shd w:val="clear" w:color="auto" w:fill="FFFFFF"/>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2.未被“信用中国”网站（</w:t>
      </w:r>
      <w:r>
        <w:fldChar w:fldCharType="begin"/>
      </w:r>
      <w:r>
        <w:instrText xml:space="preserve"> HYPERLINK "http://www.creditchina.gov.cn" </w:instrText>
      </w:r>
      <w:r>
        <w:fldChar w:fldCharType="separate"/>
      </w:r>
      <w:r>
        <w:rPr>
          <w:rFonts w:hint="eastAsia" w:ascii="宋体" w:hAnsi="宋体"/>
          <w:color w:val="000000" w:themeColor="text1"/>
          <w:sz w:val="24"/>
          <w:szCs w:val="24"/>
          <w14:textFill>
            <w14:solidFill>
              <w14:schemeClr w14:val="tx1"/>
            </w14:solidFill>
          </w14:textFill>
        </w:rPr>
        <w:t>www.creditchina.gov.cn</w:t>
      </w:r>
      <w:r>
        <w:rPr>
          <w:rFonts w:hint="eastAsia"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）、中国政府采购网(www.ccgp.gov.cn)列入失信被执行人、重大税收违法案件当事人名单、政府采购严重违法失信行为记录名单；</w:t>
      </w:r>
    </w:p>
    <w:p>
      <w:pPr>
        <w:widowControl/>
        <w:shd w:val="clear" w:color="auto" w:fill="FFFFFF"/>
        <w:spacing w:line="360" w:lineRule="auto"/>
        <w:ind w:firstLine="480" w:firstLineChars="200"/>
        <w:jc w:val="left"/>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具备</w:t>
      </w:r>
      <w:r>
        <w:rPr>
          <w:rFonts w:hint="eastAsia" w:ascii="宋体" w:hAnsi="宋体" w:cs="宋体"/>
          <w:color w:val="000000" w:themeColor="text1"/>
          <w:kern w:val="0"/>
          <w:sz w:val="24"/>
          <w:szCs w:val="24"/>
          <w14:textFill>
            <w14:solidFill>
              <w14:schemeClr w14:val="tx1"/>
            </w14:solidFill>
          </w14:textFill>
        </w:rPr>
        <w:t>采购人根据招标项目的特殊要求规定的</w:t>
      </w:r>
      <w:r>
        <w:rPr>
          <w:rFonts w:hint="eastAsia" w:ascii="宋体" w:hAnsi="宋体"/>
          <w:color w:val="000000" w:themeColor="text1"/>
          <w:sz w:val="24"/>
          <w:szCs w:val="24"/>
          <w14:textFill>
            <w14:solidFill>
              <w14:schemeClr w14:val="tx1"/>
            </w14:solidFill>
          </w14:textFill>
        </w:rPr>
        <w:t>以下</w:t>
      </w:r>
      <w:r>
        <w:rPr>
          <w:rFonts w:hint="eastAsia" w:ascii="宋体" w:hAnsi="宋体" w:cs="宋体"/>
          <w:color w:val="000000" w:themeColor="text1"/>
          <w:kern w:val="0"/>
          <w:sz w:val="24"/>
          <w:szCs w:val="24"/>
          <w14:textFill>
            <w14:solidFill>
              <w14:schemeClr w14:val="tx1"/>
            </w14:solidFill>
          </w14:textFill>
        </w:rPr>
        <w:t>特定资质：</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（1）不接受联合体投标；</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（三）</w:t>
      </w:r>
      <w:r>
        <w:rPr>
          <w:rFonts w:hint="eastAsia" w:ascii="黑体" w:hAnsi="黑体" w:eastAsia="黑体" w:cs="宋体"/>
          <w:color w:val="000000"/>
          <w:kern w:val="0"/>
          <w:sz w:val="24"/>
          <w:szCs w:val="24"/>
        </w:rPr>
        <w:t>供应商主体信息库注册</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1.请有意参加本项目投标的供应商按以下流程进行操作：</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 xml:space="preserve">（2）领取CA（办理地址：观山路199号市民中心12号楼1楼CA窗口）和办理电子签章（办理地址：观山路199号市民中心12号楼2楼2号窗口），（原已办理过CA进行过电子投标的供应商可不重复申领）。 </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（3）投标客户端下载链接：</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 xml:space="preserve">https://zcy-cdn.oss-cn-shanghai.aliyuncs.com/zcy-client/bidding-client/wuxi/ZhengCaiYunStep.3.11.7.exe </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（4）CA驱动下载链接（江苏省-国信CA驱动）：</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 xml:space="preserve">https://customer.zcygov.cn/CA-driver-download?utm=web-login-front.509b3709.0.0.004ab15096ee11ebbc33f5d151e70834 </w:t>
      </w:r>
    </w:p>
    <w:p>
      <w:pPr>
        <w:widowControl/>
        <w:shd w:val="clear" w:color="auto" w:fill="FFFFFF"/>
        <w:spacing w:line="360" w:lineRule="auto"/>
        <w:ind w:firstLine="480" w:firstLineChars="200"/>
        <w:jc w:val="left"/>
        <w:rPr>
          <w:rFonts w:hint="eastAsia" w:ascii="宋体" w:hAnsi="宋体"/>
          <w:bCs/>
          <w:color w:val="000000"/>
          <w:sz w:val="24"/>
          <w:szCs w:val="24"/>
        </w:rPr>
      </w:pPr>
      <w:r>
        <w:rPr>
          <w:rFonts w:hint="eastAsia" w:ascii="宋体" w:hAnsi="宋体"/>
          <w:bCs/>
          <w:color w:val="000000"/>
          <w:sz w:val="24"/>
          <w:szCs w:val="24"/>
        </w:rPr>
        <w:t>技术服务电话：4008817190（服务时间：工作日8:00-20:00）</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2.投标人在领取CA和办理电子签章前务必前往“无锡政府采购网”“供应商信息库”（网址：</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https://cz.wuxi.zcygov.cn/wxCategory19/wxCategory125/index.html?utm=sites_group_front.5b1ba037.0.0.959ae250ca6711ebb0349920799faebc）查询是否完成注册登记。</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完成注册的供应商方可领取CA和办理电子签章，登录政采云平台，插入CA后，点击【我的工作台】——页面右上方【CA管理】--【绑定CA】，上传投标文件，进行投标。</w:t>
      </w:r>
    </w:p>
    <w:p>
      <w:pPr>
        <w:spacing w:line="360" w:lineRule="auto"/>
        <w:ind w:firstLine="480" w:firstLineChars="200"/>
        <w:rPr>
          <w:rFonts w:ascii="宋体" w:hAnsi="宋体" w:cs="宋体"/>
          <w:color w:val="000000"/>
          <w:kern w:val="0"/>
          <w:sz w:val="24"/>
          <w:szCs w:val="24"/>
        </w:rPr>
      </w:pPr>
      <w:r>
        <w:rPr>
          <w:rFonts w:hint="eastAsia" w:ascii="宋体" w:hAnsi="宋体"/>
          <w:bCs/>
          <w:color w:val="000000"/>
          <w:sz w:val="24"/>
          <w:szCs w:val="24"/>
        </w:rPr>
        <w:t>3.如投标人未按上述要求操作，由此所产生的损失及风险由投标人自行承担。在“供应商信息库”中无法查询的投标人，由评标委员会审</w:t>
      </w:r>
      <w:r>
        <w:rPr>
          <w:rFonts w:hint="eastAsia" w:ascii="宋体" w:hAnsi="宋体" w:cs="宋体"/>
          <w:color w:val="000000"/>
          <w:kern w:val="0"/>
          <w:sz w:val="24"/>
          <w:szCs w:val="24"/>
        </w:rPr>
        <w:t>查其投标截止时间前提交的未审核资料。</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（四）</w:t>
      </w:r>
      <w:r>
        <w:rPr>
          <w:rFonts w:hint="eastAsia" w:ascii="黑体" w:hAnsi="黑体" w:eastAsia="黑体" w:cs="宋体"/>
          <w:color w:val="000000"/>
          <w:sz w:val="24"/>
          <w:szCs w:val="24"/>
        </w:rPr>
        <w:t>完成项目报名，获取采购文件</w:t>
      </w:r>
    </w:p>
    <w:p>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olor w:val="000000"/>
          <w:sz w:val="24"/>
          <w:szCs w:val="24"/>
        </w:rPr>
        <w:t>潜在投标人可在项目招标公告附件中查看公开招标文件，如确定投标，必须在政采云平台（http://login.wuxi.zcygov.cn/user-login/#/login）中免费下载公开招标文件（“项目采购-获取采购文件管理-待申请”标签页下，找到需要获取采购文件的项目，点击“申请获取采购文件”），完成项目报名，方可按要求制作、上传投标文件，对招标文件各项内容做出实质性响应，否则其投标文件无效。</w:t>
      </w:r>
    </w:p>
    <w:p>
      <w:pPr>
        <w:spacing w:line="360" w:lineRule="auto"/>
        <w:ind w:left="-58" w:leftChars="-28" w:firstLine="480" w:firstLineChars="200"/>
        <w:rPr>
          <w:rFonts w:ascii="黑体" w:hAnsi="黑体" w:eastAsia="黑体" w:cs="宋体"/>
          <w:color w:val="000000"/>
          <w:kern w:val="0"/>
          <w:sz w:val="24"/>
          <w:szCs w:val="24"/>
        </w:rPr>
      </w:pPr>
      <w:r>
        <w:rPr>
          <w:rFonts w:hint="eastAsia" w:ascii="黑体" w:hAnsi="黑体" w:eastAsia="黑体" w:cs="宋体"/>
          <w:color w:val="000000"/>
          <w:kern w:val="0"/>
          <w:sz w:val="24"/>
          <w:szCs w:val="24"/>
        </w:rPr>
        <w:t>（五）公开答疑时间、地点</w:t>
      </w:r>
    </w:p>
    <w:p>
      <w:pPr>
        <w:spacing w:line="360" w:lineRule="auto"/>
        <w:ind w:left="-58" w:leftChars="-28" w:firstLine="480" w:firstLineChars="200"/>
        <w:rPr>
          <w:rFonts w:hint="eastAsia" w:ascii="黑体" w:hAnsi="黑体" w:eastAsia="黑体" w:cs="宋体"/>
          <w:kern w:val="0"/>
          <w:sz w:val="24"/>
          <w:szCs w:val="24"/>
        </w:rPr>
      </w:pPr>
      <w:r>
        <w:rPr>
          <w:rFonts w:hint="eastAsia" w:ascii="宋体" w:hAnsi="宋体"/>
          <w:bCs/>
          <w:sz w:val="24"/>
          <w:szCs w:val="24"/>
        </w:rPr>
        <w:t>采购人、无锡市公共资源交易中心梁溪分中心将于以下时间、地点对</w:t>
      </w:r>
      <w:r>
        <w:rPr>
          <w:rFonts w:hint="eastAsia" w:ascii="宋体" w:hAnsi="宋体"/>
          <w:bCs/>
          <w:sz w:val="24"/>
          <w:szCs w:val="24"/>
          <w:lang w:val="en-US" w:eastAsia="zh-CN"/>
        </w:rPr>
        <w:t>投标</w:t>
      </w:r>
      <w:r>
        <w:rPr>
          <w:rFonts w:hint="eastAsia" w:ascii="宋体" w:hAnsi="宋体"/>
          <w:bCs/>
          <w:sz w:val="24"/>
          <w:szCs w:val="24"/>
        </w:rPr>
        <w:t>人针对采购文件书面提出的要求澄清的问题进行公开答疑。</w:t>
      </w:r>
      <w:r>
        <w:rPr>
          <w:rFonts w:hint="eastAsia" w:ascii="宋体" w:hAnsi="宋体"/>
          <w:bCs/>
          <w:sz w:val="24"/>
          <w:szCs w:val="24"/>
          <w:lang w:val="en-US" w:eastAsia="zh-CN"/>
        </w:rPr>
        <w:t>投标</w:t>
      </w:r>
      <w:r>
        <w:rPr>
          <w:rFonts w:hint="eastAsia" w:ascii="宋体" w:hAnsi="宋体"/>
          <w:bCs/>
          <w:sz w:val="24"/>
          <w:szCs w:val="24"/>
        </w:rPr>
        <w:t>人如有需要对采购文件要求澄清的问题，请以书面形式提出“</w:t>
      </w:r>
      <w:r>
        <w:rPr>
          <w:rFonts w:hint="eastAsia" w:ascii="宋体" w:hAnsi="宋体"/>
          <w:bCs/>
          <w:sz w:val="24"/>
          <w:szCs w:val="24"/>
          <w:lang w:eastAsia="zh-CN"/>
        </w:rPr>
        <w:t>LXZC2021-044</w:t>
      </w:r>
      <w:r>
        <w:rPr>
          <w:rFonts w:hint="eastAsia" w:ascii="宋体" w:hAnsi="宋体"/>
          <w:bCs/>
          <w:sz w:val="24"/>
          <w:szCs w:val="24"/>
        </w:rPr>
        <w:t>项目需澄清问题”，并于答疑会前传真项目联系人（答疑会时递交盖章原件）。</w:t>
      </w:r>
    </w:p>
    <w:p>
      <w:pPr>
        <w:spacing w:line="360" w:lineRule="auto"/>
        <w:ind w:firstLine="480" w:firstLineChars="200"/>
        <w:rPr>
          <w:rFonts w:ascii="宋体"/>
          <w:bCs/>
          <w:sz w:val="24"/>
          <w:szCs w:val="24"/>
        </w:rPr>
      </w:pPr>
      <w:r>
        <w:rPr>
          <w:rFonts w:hint="eastAsia" w:ascii="宋体" w:hAnsi="宋体"/>
          <w:bCs/>
          <w:sz w:val="24"/>
          <w:szCs w:val="24"/>
        </w:rPr>
        <w:t>公开答疑会时间：</w:t>
      </w:r>
      <w:r>
        <w:rPr>
          <w:rFonts w:ascii="宋体" w:hAnsi="宋体"/>
          <w:bCs/>
          <w:sz w:val="24"/>
          <w:szCs w:val="24"/>
        </w:rPr>
        <w:t>202</w:t>
      </w:r>
      <w:r>
        <w:rPr>
          <w:rFonts w:hint="eastAsia" w:ascii="宋体" w:hAnsi="宋体"/>
          <w:bCs/>
          <w:sz w:val="24"/>
          <w:szCs w:val="24"/>
        </w:rPr>
        <w:t>1年</w:t>
      </w:r>
      <w:r>
        <w:rPr>
          <w:rFonts w:hint="eastAsia" w:ascii="宋体" w:hAnsi="宋体"/>
          <w:bCs/>
          <w:sz w:val="24"/>
          <w:szCs w:val="24"/>
          <w:lang w:val="en-US" w:eastAsia="zh-CN"/>
        </w:rPr>
        <w:t>1</w:t>
      </w:r>
      <w:r>
        <w:rPr>
          <w:rFonts w:hint="eastAsia" w:ascii="宋体" w:hAnsi="宋体"/>
          <w:bCs/>
          <w:sz w:val="24"/>
          <w:szCs w:val="24"/>
        </w:rPr>
        <w:t>月</w:t>
      </w:r>
      <w:r>
        <w:rPr>
          <w:rFonts w:hint="eastAsia" w:ascii="宋体" w:hAnsi="宋体"/>
          <w:bCs/>
          <w:sz w:val="24"/>
          <w:szCs w:val="24"/>
          <w:lang w:val="en-US" w:eastAsia="zh-CN"/>
        </w:rPr>
        <w:t>10</w:t>
      </w:r>
      <w:r>
        <w:rPr>
          <w:rFonts w:hint="eastAsia" w:ascii="宋体" w:hAnsi="宋体"/>
          <w:bCs/>
          <w:sz w:val="24"/>
          <w:szCs w:val="24"/>
        </w:rPr>
        <w:t>日13</w:t>
      </w:r>
      <w:r>
        <w:rPr>
          <w:rFonts w:ascii="宋体" w:hAnsi="宋体"/>
          <w:bCs/>
          <w:sz w:val="24"/>
          <w:szCs w:val="24"/>
        </w:rPr>
        <w:t xml:space="preserve">: </w:t>
      </w:r>
      <w:r>
        <w:rPr>
          <w:rFonts w:hint="eastAsia" w:ascii="宋体" w:hAnsi="宋体"/>
          <w:bCs/>
          <w:sz w:val="24"/>
          <w:szCs w:val="24"/>
        </w:rPr>
        <w:t>3</w:t>
      </w:r>
      <w:r>
        <w:rPr>
          <w:rFonts w:ascii="宋体" w:hAnsi="宋体"/>
          <w:bCs/>
          <w:sz w:val="24"/>
          <w:szCs w:val="24"/>
        </w:rPr>
        <w:t>0</w:t>
      </w:r>
    </w:p>
    <w:p>
      <w:pPr>
        <w:widowControl/>
        <w:shd w:val="clear" w:color="auto" w:fill="FFFFFF"/>
        <w:spacing w:line="360" w:lineRule="auto"/>
        <w:ind w:firstLine="480" w:firstLineChars="200"/>
        <w:jc w:val="left"/>
        <w:rPr>
          <w:rFonts w:hint="eastAsia" w:ascii="黑体" w:hAnsi="黑体" w:eastAsia="黑体" w:cs="宋体"/>
          <w:kern w:val="0"/>
          <w:sz w:val="24"/>
          <w:szCs w:val="24"/>
        </w:rPr>
      </w:pPr>
      <w:r>
        <w:rPr>
          <w:rFonts w:hint="eastAsia" w:ascii="宋体" w:hAnsi="宋体"/>
          <w:bCs/>
          <w:sz w:val="24"/>
          <w:szCs w:val="24"/>
        </w:rPr>
        <w:t>公开答疑会地点：无锡市公共资源交易中心梁溪分中心开标一室（清名路</w:t>
      </w:r>
      <w:r>
        <w:rPr>
          <w:rFonts w:ascii="宋体" w:hAnsi="宋体"/>
          <w:bCs/>
          <w:sz w:val="24"/>
          <w:szCs w:val="24"/>
        </w:rPr>
        <w:t>380</w:t>
      </w:r>
      <w:r>
        <w:rPr>
          <w:rFonts w:hint="eastAsia" w:ascii="宋体" w:hAnsi="宋体"/>
          <w:bCs/>
          <w:sz w:val="24"/>
          <w:szCs w:val="24"/>
        </w:rPr>
        <w:t>号</w:t>
      </w:r>
      <w:r>
        <w:rPr>
          <w:rFonts w:ascii="宋体" w:hAnsi="宋体"/>
          <w:bCs/>
          <w:sz w:val="24"/>
          <w:szCs w:val="24"/>
        </w:rPr>
        <w:t>6</w:t>
      </w:r>
      <w:r>
        <w:rPr>
          <w:rFonts w:hint="eastAsia" w:ascii="宋体" w:hAnsi="宋体"/>
          <w:bCs/>
          <w:sz w:val="24"/>
          <w:szCs w:val="24"/>
        </w:rPr>
        <w:t>楼）</w:t>
      </w:r>
    </w:p>
    <w:p>
      <w:pPr>
        <w:widowControl/>
        <w:shd w:val="clear" w:color="auto" w:fill="FFFFFF"/>
        <w:spacing w:line="360" w:lineRule="auto"/>
        <w:ind w:firstLine="480" w:firstLineChars="200"/>
        <w:jc w:val="left"/>
        <w:rPr>
          <w:rFonts w:hint="eastAsia" w:ascii="黑体" w:hAnsi="黑体" w:eastAsia="黑体" w:cs="宋体"/>
          <w:kern w:val="0"/>
          <w:sz w:val="24"/>
          <w:szCs w:val="24"/>
        </w:rPr>
      </w:pPr>
      <w:r>
        <w:rPr>
          <w:rFonts w:hint="eastAsia" w:ascii="黑体" w:hAnsi="黑体" w:eastAsia="黑体" w:cs="宋体"/>
          <w:kern w:val="0"/>
          <w:sz w:val="24"/>
          <w:szCs w:val="24"/>
        </w:rPr>
        <w:t>（六）</w:t>
      </w:r>
      <w:r>
        <w:rPr>
          <w:rFonts w:hint="eastAsia" w:ascii="黑体" w:hAnsi="黑体" w:eastAsia="黑体" w:cs="宋体"/>
          <w:color w:val="000000"/>
          <w:kern w:val="0"/>
          <w:sz w:val="24"/>
          <w:szCs w:val="24"/>
        </w:rPr>
        <w:t>投标及开标、定标时间、地点</w:t>
      </w:r>
      <w:r>
        <w:rPr>
          <w:rFonts w:hint="eastAsia" w:ascii="宋体" w:hAnsi="宋体" w:eastAsia="黑体" w:cs="宋体"/>
          <w:kern w:val="0"/>
          <w:sz w:val="24"/>
          <w:szCs w:val="24"/>
        </w:rPr>
        <w:t>   </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网上</w:t>
      </w:r>
      <w:r>
        <w:rPr>
          <w:rFonts w:hint="eastAsia" w:ascii="宋体" w:hAnsi="宋体" w:cs="宋体"/>
          <w:kern w:val="0"/>
          <w:sz w:val="24"/>
          <w:szCs w:val="24"/>
          <w:lang w:val="en-US" w:eastAsia="zh-CN"/>
        </w:rPr>
        <w:t>投标</w:t>
      </w:r>
      <w:r>
        <w:rPr>
          <w:rFonts w:hint="eastAsia" w:ascii="宋体" w:hAnsi="宋体" w:cs="宋体"/>
          <w:kern w:val="0"/>
          <w:sz w:val="24"/>
          <w:szCs w:val="24"/>
        </w:rPr>
        <w:t>截止时间：202</w:t>
      </w:r>
      <w:r>
        <w:rPr>
          <w:rFonts w:hint="eastAsia" w:ascii="宋体" w:hAnsi="宋体" w:cs="宋体"/>
          <w:kern w:val="0"/>
          <w:sz w:val="24"/>
          <w:szCs w:val="24"/>
          <w:lang w:val="en-US" w:eastAsia="zh-CN"/>
        </w:rPr>
        <w:t>2</w:t>
      </w:r>
      <w:r>
        <w:rPr>
          <w:rFonts w:hint="eastAsia" w:ascii="宋体" w:hAnsi="宋体" w:cs="宋体"/>
          <w:kern w:val="0"/>
          <w:sz w:val="24"/>
          <w:szCs w:val="24"/>
        </w:rPr>
        <w:t>年</w:t>
      </w:r>
      <w:r>
        <w:rPr>
          <w:rFonts w:hint="eastAsia" w:ascii="宋体" w:hAnsi="宋体" w:cs="宋体"/>
          <w:kern w:val="0"/>
          <w:sz w:val="24"/>
          <w:szCs w:val="24"/>
          <w:lang w:val="en-US" w:eastAsia="zh-CN"/>
        </w:rPr>
        <w:t>2</w:t>
      </w:r>
      <w:r>
        <w:rPr>
          <w:rFonts w:hint="eastAsia" w:ascii="宋体" w:hAnsi="宋体" w:cs="宋体"/>
          <w:kern w:val="0"/>
          <w:sz w:val="24"/>
          <w:szCs w:val="24"/>
        </w:rPr>
        <w:t>月</w:t>
      </w:r>
      <w:r>
        <w:rPr>
          <w:rFonts w:hint="eastAsia" w:ascii="宋体" w:hAnsi="宋体" w:cs="宋体"/>
          <w:kern w:val="0"/>
          <w:sz w:val="24"/>
          <w:szCs w:val="24"/>
          <w:lang w:val="en-US" w:eastAsia="zh-CN"/>
        </w:rPr>
        <w:t>15</w:t>
      </w:r>
      <w:r>
        <w:rPr>
          <w:rFonts w:hint="eastAsia" w:ascii="宋体" w:hAnsi="宋体" w:cs="宋体"/>
          <w:kern w:val="0"/>
          <w:sz w:val="24"/>
          <w:szCs w:val="24"/>
        </w:rPr>
        <w:t>日 13：30，</w:t>
      </w:r>
      <w:r>
        <w:rPr>
          <w:rFonts w:hint="eastAsia" w:ascii="宋体" w:hAnsi="宋体" w:cs="宋体"/>
          <w:kern w:val="0"/>
          <w:sz w:val="24"/>
          <w:szCs w:val="24"/>
          <w:lang w:val="en-US" w:eastAsia="zh-CN"/>
        </w:rPr>
        <w:t>投标</w:t>
      </w:r>
      <w:r>
        <w:rPr>
          <w:rFonts w:hint="eastAsia" w:ascii="宋体" w:hAnsi="宋体" w:cs="宋体"/>
          <w:kern w:val="0"/>
          <w:sz w:val="24"/>
          <w:szCs w:val="24"/>
        </w:rPr>
        <w:t>截止时间后的</w:t>
      </w:r>
      <w:r>
        <w:rPr>
          <w:rFonts w:hint="eastAsia" w:ascii="宋体" w:hAnsi="宋体" w:cs="宋体"/>
          <w:kern w:val="0"/>
          <w:sz w:val="24"/>
          <w:szCs w:val="24"/>
          <w:lang w:val="en-US" w:eastAsia="zh-CN"/>
        </w:rPr>
        <w:t>投标</w:t>
      </w:r>
      <w:r>
        <w:rPr>
          <w:rFonts w:hint="eastAsia" w:ascii="宋体" w:hAnsi="宋体" w:cs="宋体"/>
          <w:kern w:val="0"/>
          <w:sz w:val="24"/>
          <w:szCs w:val="24"/>
        </w:rPr>
        <w:t>文件恕不接受</w:t>
      </w:r>
    </w:p>
    <w:p>
      <w:pPr>
        <w:widowControl/>
        <w:shd w:val="clear" w:color="auto" w:fill="FFFFFF"/>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网上解密时间：202</w:t>
      </w:r>
      <w:r>
        <w:rPr>
          <w:rFonts w:hint="eastAsia" w:ascii="宋体" w:hAnsi="宋体" w:cs="宋体"/>
          <w:kern w:val="0"/>
          <w:sz w:val="24"/>
          <w:szCs w:val="24"/>
          <w:lang w:val="en-US" w:eastAsia="zh-CN"/>
        </w:rPr>
        <w:t>2</w:t>
      </w:r>
      <w:r>
        <w:rPr>
          <w:rFonts w:hint="eastAsia" w:ascii="宋体" w:hAnsi="宋体" w:cs="宋体"/>
          <w:kern w:val="0"/>
          <w:sz w:val="24"/>
          <w:szCs w:val="24"/>
        </w:rPr>
        <w:t>年</w:t>
      </w:r>
      <w:r>
        <w:rPr>
          <w:rFonts w:hint="eastAsia" w:ascii="宋体" w:hAnsi="宋体" w:cs="宋体"/>
          <w:kern w:val="0"/>
          <w:sz w:val="24"/>
          <w:szCs w:val="24"/>
          <w:lang w:val="en-US" w:eastAsia="zh-CN"/>
        </w:rPr>
        <w:t>2</w:t>
      </w:r>
      <w:r>
        <w:rPr>
          <w:rFonts w:hint="eastAsia" w:ascii="宋体" w:hAnsi="宋体" w:cs="宋体"/>
          <w:kern w:val="0"/>
          <w:sz w:val="24"/>
          <w:szCs w:val="24"/>
        </w:rPr>
        <w:t>月</w:t>
      </w:r>
      <w:r>
        <w:rPr>
          <w:rFonts w:hint="eastAsia" w:ascii="宋体" w:hAnsi="宋体" w:cs="宋体"/>
          <w:kern w:val="0"/>
          <w:sz w:val="24"/>
          <w:szCs w:val="24"/>
          <w:lang w:val="en-US" w:eastAsia="zh-CN"/>
        </w:rPr>
        <w:t>15</w:t>
      </w:r>
      <w:r>
        <w:rPr>
          <w:rFonts w:hint="eastAsia" w:ascii="宋体" w:hAnsi="宋体" w:cs="宋体"/>
          <w:kern w:val="0"/>
          <w:sz w:val="24"/>
          <w:szCs w:val="24"/>
        </w:rPr>
        <w:t>日</w:t>
      </w:r>
      <w:r>
        <w:rPr>
          <w:rFonts w:hint="eastAsia" w:ascii="宋体" w:hAnsi="宋体" w:cs="宋体"/>
          <w:color w:val="000000" w:themeColor="text1"/>
          <w:kern w:val="0"/>
          <w:sz w:val="24"/>
          <w:szCs w:val="24"/>
          <w14:textFill>
            <w14:solidFill>
              <w14:schemeClr w14:val="tx1"/>
            </w14:solidFill>
          </w14:textFill>
        </w:rPr>
        <w:t>开启解密后半小时</w:t>
      </w:r>
    </w:p>
    <w:p>
      <w:pPr>
        <w:spacing w:line="360" w:lineRule="auto"/>
        <w:ind w:firstLine="480" w:firstLineChars="200"/>
        <w:rPr>
          <w:rFonts w:ascii="宋体"/>
          <w:bCs/>
          <w:sz w:val="24"/>
          <w:szCs w:val="24"/>
        </w:rPr>
      </w:pPr>
      <w:r>
        <w:rPr>
          <w:rFonts w:hint="eastAsia" w:ascii="宋体" w:hAnsi="宋体"/>
          <w:bCs/>
          <w:sz w:val="24"/>
          <w:szCs w:val="24"/>
        </w:rPr>
        <w:t>确定</w:t>
      </w:r>
      <w:r>
        <w:rPr>
          <w:rFonts w:hint="eastAsia" w:ascii="宋体" w:hAnsi="宋体"/>
          <w:bCs/>
          <w:sz w:val="24"/>
          <w:szCs w:val="24"/>
          <w:lang w:val="en-US" w:eastAsia="zh-CN"/>
        </w:rPr>
        <w:t>中标</w:t>
      </w:r>
      <w:r>
        <w:rPr>
          <w:rFonts w:hint="eastAsia" w:ascii="宋体" w:hAnsi="宋体"/>
          <w:bCs/>
          <w:sz w:val="24"/>
          <w:szCs w:val="24"/>
        </w:rPr>
        <w:t>单位时间：评审结束</w:t>
      </w:r>
    </w:p>
    <w:p>
      <w:pPr>
        <w:spacing w:line="360" w:lineRule="auto"/>
        <w:ind w:firstLine="480" w:firstLineChars="200"/>
        <w:rPr>
          <w:rFonts w:hint="eastAsia" w:ascii="宋体" w:hAnsi="宋体"/>
          <w:bCs/>
          <w:sz w:val="24"/>
          <w:szCs w:val="24"/>
        </w:rPr>
      </w:pPr>
      <w:r>
        <w:rPr>
          <w:rFonts w:hint="eastAsia" w:ascii="宋体" w:hAnsi="宋体"/>
          <w:bCs/>
          <w:sz w:val="24"/>
          <w:szCs w:val="24"/>
        </w:rPr>
        <w:t>确定</w:t>
      </w:r>
      <w:r>
        <w:rPr>
          <w:rFonts w:hint="eastAsia" w:ascii="宋体" w:hAnsi="宋体"/>
          <w:bCs/>
          <w:sz w:val="24"/>
          <w:szCs w:val="24"/>
          <w:lang w:val="en-US" w:eastAsia="zh-CN"/>
        </w:rPr>
        <w:t>中标</w:t>
      </w:r>
      <w:r>
        <w:rPr>
          <w:rFonts w:hint="eastAsia" w:ascii="宋体" w:hAnsi="宋体"/>
          <w:bCs/>
          <w:sz w:val="24"/>
          <w:szCs w:val="24"/>
        </w:rPr>
        <w:t>单位地点：无锡市公共资源交易中心梁溪分中心</w:t>
      </w:r>
    </w:p>
    <w:p>
      <w:pPr>
        <w:spacing w:line="360" w:lineRule="auto"/>
        <w:ind w:firstLine="480" w:firstLineChars="200"/>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（七）</w:t>
      </w:r>
      <w:r>
        <w:rPr>
          <w:rFonts w:hint="eastAsia" w:ascii="黑体" w:hAnsi="黑体" w:eastAsia="黑体"/>
          <w:bCs/>
          <w:color w:val="000000"/>
          <w:sz w:val="24"/>
          <w:szCs w:val="24"/>
        </w:rPr>
        <w:t>投标有效期：</w:t>
      </w:r>
      <w:r>
        <w:rPr>
          <w:rFonts w:hint="eastAsia" w:ascii="宋体" w:hAnsi="宋体"/>
          <w:bCs/>
          <w:color w:val="000000"/>
          <w:sz w:val="24"/>
          <w:szCs w:val="24"/>
        </w:rPr>
        <w:t>开标之日起</w:t>
      </w:r>
      <w:r>
        <w:rPr>
          <w:rFonts w:ascii="宋体" w:hAnsi="宋体"/>
          <w:bCs/>
          <w:color w:val="000000"/>
          <w:sz w:val="24"/>
          <w:szCs w:val="24"/>
        </w:rPr>
        <w:t>90</w:t>
      </w:r>
      <w:r>
        <w:rPr>
          <w:rFonts w:hint="eastAsia" w:ascii="宋体" w:hAnsi="宋体"/>
          <w:bCs/>
          <w:color w:val="000000"/>
          <w:sz w:val="24"/>
          <w:szCs w:val="24"/>
        </w:rPr>
        <w:t>天</w:t>
      </w:r>
    </w:p>
    <w:p>
      <w:pPr>
        <w:spacing w:line="360" w:lineRule="auto"/>
        <w:ind w:firstLine="480" w:firstLineChars="200"/>
        <w:rPr>
          <w:rFonts w:ascii="黑体" w:hAnsi="黑体" w:eastAsia="黑体"/>
          <w:bCs/>
          <w:color w:val="000000"/>
          <w:sz w:val="24"/>
          <w:szCs w:val="24"/>
        </w:rPr>
      </w:pPr>
      <w:r>
        <w:rPr>
          <w:rFonts w:hint="eastAsia" w:ascii="黑体" w:hAnsi="黑体" w:eastAsia="黑体"/>
          <w:bCs/>
          <w:color w:val="000000" w:themeColor="text1"/>
          <w:sz w:val="24"/>
          <w:szCs w:val="24"/>
          <w14:textFill>
            <w14:solidFill>
              <w14:schemeClr w14:val="tx1"/>
            </w14:solidFill>
          </w14:textFill>
        </w:rPr>
        <w:t>（八）</w:t>
      </w:r>
      <w:r>
        <w:rPr>
          <w:rFonts w:hint="eastAsia" w:ascii="黑体" w:hAnsi="黑体" w:eastAsia="黑体"/>
          <w:bCs/>
          <w:color w:val="000000"/>
          <w:sz w:val="24"/>
          <w:szCs w:val="24"/>
        </w:rPr>
        <w:t>采购方法：</w:t>
      </w:r>
    </w:p>
    <w:p>
      <w:pPr>
        <w:spacing w:line="360" w:lineRule="auto"/>
        <w:ind w:firstLine="480" w:firstLineChars="200"/>
        <w:rPr>
          <w:rFonts w:hint="eastAsia" w:ascii="宋体" w:hAnsi="宋体"/>
          <w:bCs/>
          <w:color w:val="000000" w:themeColor="text1"/>
          <w:sz w:val="24"/>
          <w:szCs w:val="24"/>
          <w14:textFill>
            <w14:solidFill>
              <w14:schemeClr w14:val="tx1"/>
            </w14:solidFill>
          </w14:textFill>
        </w:rPr>
      </w:pPr>
      <w:r>
        <w:rPr>
          <w:rFonts w:hint="eastAsia" w:ascii="宋体" w:hAnsi="宋体"/>
          <w:color w:val="000000"/>
          <w:sz w:val="24"/>
          <w:szCs w:val="24"/>
        </w:rPr>
        <w:t>本次采购采用《无锡市政府采购交易管理系统》进行招标投标活动，招标、投标、评标和中标结果发布全程电子化。</w:t>
      </w:r>
    </w:p>
    <w:p>
      <w:pPr>
        <w:spacing w:line="360" w:lineRule="auto"/>
        <w:ind w:firstLine="480" w:firstLineChars="200"/>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sz w:val="24"/>
          <w:szCs w:val="24"/>
        </w:rPr>
        <w:t>（九）</w:t>
      </w:r>
      <w:r>
        <w:rPr>
          <w:rFonts w:hint="eastAsia" w:ascii="黑体" w:hAnsi="黑体" w:eastAsia="黑体"/>
          <w:bCs/>
          <w:color w:val="000000" w:themeColor="text1"/>
          <w:sz w:val="24"/>
          <w:szCs w:val="24"/>
          <w14:textFill>
            <w14:solidFill>
              <w14:schemeClr w14:val="tx1"/>
            </w14:solidFill>
          </w14:textFill>
        </w:rPr>
        <w:t>其它</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集中采购机构：无锡市公共资源交易中心梁溪分中心       </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地址: 无锡市梁溪区</w:t>
      </w:r>
      <w:bookmarkStart w:id="1" w:name="_Hlk11659573"/>
      <w:r>
        <w:rPr>
          <w:rFonts w:hint="eastAsia" w:ascii="宋体" w:hAnsi="宋体" w:cs="宋体"/>
          <w:color w:val="000000" w:themeColor="text1"/>
          <w:kern w:val="0"/>
          <w:sz w:val="24"/>
          <w:szCs w:val="24"/>
          <w14:textFill>
            <w14:solidFill>
              <w14:schemeClr w14:val="tx1"/>
            </w14:solidFill>
          </w14:textFill>
        </w:rPr>
        <w:t>清名路</w:t>
      </w:r>
      <w:r>
        <w:rPr>
          <w:rFonts w:ascii="宋体" w:hAnsi="宋体" w:cs="宋体"/>
          <w:color w:val="000000" w:themeColor="text1"/>
          <w:kern w:val="0"/>
          <w:sz w:val="24"/>
          <w:szCs w:val="24"/>
          <w14:textFill>
            <w14:solidFill>
              <w14:schemeClr w14:val="tx1"/>
            </w14:solidFill>
          </w14:textFill>
        </w:rPr>
        <w:t>380</w:t>
      </w:r>
      <w:r>
        <w:rPr>
          <w:rFonts w:hint="eastAsia" w:ascii="宋体" w:hAnsi="宋体" w:cs="宋体"/>
          <w:color w:val="000000" w:themeColor="text1"/>
          <w:kern w:val="0"/>
          <w:sz w:val="24"/>
          <w:szCs w:val="24"/>
          <w14:textFill>
            <w14:solidFill>
              <w14:schemeClr w14:val="tx1"/>
            </w14:solidFill>
          </w14:textFill>
        </w:rPr>
        <w:t>号</w:t>
      </w: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楼</w:t>
      </w:r>
      <w:bookmarkEnd w:id="1"/>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项目联系人：王湉湉、</w:t>
      </w:r>
      <w:r>
        <w:rPr>
          <w:rFonts w:hint="eastAsia" w:ascii="宋体" w:hAnsi="宋体" w:cs="宋体"/>
          <w:color w:val="000000" w:themeColor="text1"/>
          <w:kern w:val="0"/>
          <w:sz w:val="24"/>
          <w:szCs w:val="24"/>
          <w:lang w:val="en-US" w:eastAsia="zh-CN"/>
          <w14:textFill>
            <w14:solidFill>
              <w14:schemeClr w14:val="tx1"/>
            </w14:solidFill>
          </w14:textFill>
        </w:rPr>
        <w:t>刘智</w:t>
      </w:r>
      <w:r>
        <w:rPr>
          <w:rFonts w:hint="eastAsia" w:ascii="宋体" w:hAnsi="宋体" w:cs="宋体"/>
          <w:color w:val="000000" w:themeColor="text1"/>
          <w:kern w:val="0"/>
          <w:sz w:val="24"/>
          <w:szCs w:val="24"/>
          <w14:textFill>
            <w14:solidFill>
              <w14:schemeClr w14:val="tx1"/>
            </w14:solidFill>
          </w14:textFill>
        </w:rPr>
        <w:t>；</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电话：0510-85058802；传真：0510-85059295</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综合部：0510-83158182</w:t>
      </w:r>
    </w:p>
    <w:p>
      <w:pPr>
        <w:spacing w:line="490" w:lineRule="exact"/>
        <w:rPr>
          <w:rFonts w:ascii="黑体" w:eastAsia="黑体"/>
          <w:bCs/>
          <w:color w:val="000000" w:themeColor="text1"/>
          <w:sz w:val="24"/>
          <w:szCs w:val="24"/>
          <w14:textFill>
            <w14:solidFill>
              <w14:schemeClr w14:val="tx1"/>
            </w14:solidFill>
          </w14:textFill>
        </w:rPr>
      </w:pPr>
    </w:p>
    <w:p>
      <w:pPr>
        <w:spacing w:line="490" w:lineRule="exact"/>
        <w:jc w:val="center"/>
        <w:rPr>
          <w:rFonts w:ascii="黑体" w:eastAsia="黑体"/>
          <w:bCs/>
          <w:color w:val="000000" w:themeColor="text1"/>
          <w:sz w:val="24"/>
          <w:szCs w:val="24"/>
          <w14:textFill>
            <w14:solidFill>
              <w14:schemeClr w14:val="tx1"/>
            </w14:solidFill>
          </w14:textFill>
        </w:rPr>
      </w:pPr>
    </w:p>
    <w:p>
      <w:pPr>
        <w:spacing w:line="490" w:lineRule="exact"/>
        <w:jc w:val="center"/>
        <w:rPr>
          <w:rFonts w:ascii="黑体" w:eastAsia="黑体"/>
          <w:bCs/>
          <w:color w:val="000000" w:themeColor="text1"/>
          <w:sz w:val="24"/>
          <w:szCs w:val="24"/>
          <w14:textFill>
            <w14:solidFill>
              <w14:schemeClr w14:val="tx1"/>
            </w14:solidFill>
          </w14:textFill>
        </w:rPr>
      </w:pPr>
    </w:p>
    <w:p>
      <w:pPr>
        <w:spacing w:line="490" w:lineRule="exact"/>
        <w:jc w:val="center"/>
        <w:rPr>
          <w:rFonts w:ascii="黑体" w:eastAsia="黑体"/>
          <w:bCs/>
          <w:color w:val="000000" w:themeColor="text1"/>
          <w:sz w:val="24"/>
          <w:szCs w:val="24"/>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pStyle w:val="3"/>
      </w:pPr>
    </w:p>
    <w:p>
      <w:pPr>
        <w:pStyle w:val="3"/>
      </w:pPr>
    </w:p>
    <w:p>
      <w:pPr>
        <w:pStyle w:val="3"/>
      </w:pPr>
    </w:p>
    <w:p>
      <w:pPr>
        <w:pStyle w:val="3"/>
      </w:pPr>
    </w:p>
    <w:p>
      <w:pPr>
        <w:pStyle w:val="3"/>
      </w:pPr>
    </w:p>
    <w:p>
      <w:pPr>
        <w:pStyle w:val="3"/>
      </w:pPr>
    </w:p>
    <w:p>
      <w:pPr>
        <w:pStyle w:val="3"/>
      </w:pPr>
    </w:p>
    <w:p>
      <w:pPr>
        <w:pStyle w:val="3"/>
      </w:pPr>
    </w:p>
    <w:p>
      <w:pPr>
        <w:spacing w:line="490" w:lineRule="exact"/>
        <w:rPr>
          <w:rFonts w:ascii="黑体" w:eastAsia="黑体"/>
          <w:bCs/>
          <w:color w:val="000000" w:themeColor="text1"/>
          <w:sz w:val="28"/>
          <w:szCs w:val="28"/>
          <w14:textFill>
            <w14:solidFill>
              <w14:schemeClr w14:val="tx1"/>
            </w14:solidFill>
          </w14:textFill>
        </w:rPr>
      </w:pPr>
    </w:p>
    <w:p>
      <w:pPr>
        <w:pStyle w:val="3"/>
        <w:rPr>
          <w:rFonts w:ascii="黑体" w:eastAsia="黑体"/>
          <w:bCs/>
          <w:color w:val="000000" w:themeColor="text1"/>
          <w:sz w:val="28"/>
          <w:szCs w:val="28"/>
          <w14:textFill>
            <w14:solidFill>
              <w14:schemeClr w14:val="tx1"/>
            </w14:solidFill>
          </w14:textFill>
        </w:rPr>
      </w:pPr>
    </w:p>
    <w:p>
      <w:pPr>
        <w:pStyle w:val="3"/>
        <w:rPr>
          <w:rFonts w:ascii="黑体" w:eastAsia="黑体"/>
          <w:bCs/>
          <w:color w:val="000000" w:themeColor="text1"/>
          <w:sz w:val="28"/>
          <w:szCs w:val="28"/>
          <w14:textFill>
            <w14:solidFill>
              <w14:schemeClr w14:val="tx1"/>
            </w14:solidFill>
          </w14:textFill>
        </w:rPr>
      </w:pPr>
    </w:p>
    <w:p>
      <w:pPr>
        <w:pStyle w:val="3"/>
        <w:rPr>
          <w:rFonts w:ascii="黑体" w:eastAsia="黑体"/>
          <w:bCs/>
          <w:color w:val="000000" w:themeColor="text1"/>
          <w:sz w:val="28"/>
          <w:szCs w:val="28"/>
          <w14:textFill>
            <w14:solidFill>
              <w14:schemeClr w14:val="tx1"/>
            </w14:solidFill>
          </w14:textFill>
        </w:rPr>
      </w:pPr>
    </w:p>
    <w:p>
      <w:pPr>
        <w:pStyle w:val="3"/>
        <w:rPr>
          <w:rFonts w:ascii="黑体" w:eastAsia="黑体"/>
          <w:bCs/>
          <w:color w:val="000000" w:themeColor="text1"/>
          <w:sz w:val="28"/>
          <w:szCs w:val="28"/>
          <w14:textFill>
            <w14:solidFill>
              <w14:schemeClr w14:val="tx1"/>
            </w14:solidFill>
          </w14:textFill>
        </w:rPr>
      </w:pPr>
    </w:p>
    <w:p>
      <w:pPr>
        <w:pStyle w:val="4"/>
      </w:pPr>
    </w:p>
    <w:p>
      <w:pPr>
        <w:pStyle w:val="3"/>
      </w:pPr>
    </w:p>
    <w:p>
      <w:pPr>
        <w:spacing w:line="490" w:lineRule="exact"/>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二．投标人须知</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（一）</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遵循原则：</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公开透明原则、公平竞争原则、公正原则和诚实信用原则。</w:t>
      </w:r>
    </w:p>
    <w:p>
      <w:pPr>
        <w:numPr>
          <w:ilvl w:val="0"/>
          <w:numId w:val="2"/>
        </w:numPr>
        <w:spacing w:line="360" w:lineRule="auto"/>
        <w:rPr>
          <w:rFonts w:ascii="黑体" w:hAnsi="宋体" w:eastAsia="黑体"/>
          <w:bCs/>
          <w:color w:val="000000" w:themeColor="text1"/>
          <w:sz w:val="24"/>
          <w:szCs w:val="24"/>
          <w14:textFill>
            <w14:solidFill>
              <w14:schemeClr w14:val="tx1"/>
            </w14:solidFill>
          </w14:textFill>
        </w:rPr>
      </w:pP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招标文件：</w:t>
      </w:r>
    </w:p>
    <w:p>
      <w:pPr>
        <w:numPr>
          <w:ilvl w:val="0"/>
          <w:numId w:val="3"/>
        </w:numPr>
        <w:tabs>
          <w:tab w:val="left" w:pos="525"/>
          <w:tab w:val="left" w:pos="945"/>
          <w:tab w:val="clear" w:pos="898"/>
        </w:tabs>
        <w:spacing w:line="360" w:lineRule="auto"/>
        <w:ind w:left="1" w:firstLine="523" w:firstLineChars="218"/>
        <w:rPr>
          <w:rFonts w:hint="eastAsia" w:ascii="宋体" w:hAnsi="宋体"/>
          <w:bCs/>
          <w:sz w:val="24"/>
          <w:szCs w:val="24"/>
        </w:rPr>
      </w:pPr>
      <w:r>
        <w:rPr>
          <w:rFonts w:hint="eastAsia" w:ascii="宋体" w:hAnsi="宋体"/>
          <w:bCs/>
          <w:sz w:val="24"/>
          <w:szCs w:val="24"/>
        </w:rPr>
        <w:t>招标文件包括本文件目录所列全部内容，投标人应仔细阅读，并在投标文件中充分响应招标文件的所有要求。</w:t>
      </w:r>
    </w:p>
    <w:p>
      <w:pPr>
        <w:numPr>
          <w:ilvl w:val="0"/>
          <w:numId w:val="3"/>
        </w:numPr>
        <w:tabs>
          <w:tab w:val="left" w:pos="525"/>
          <w:tab w:val="left" w:pos="945"/>
          <w:tab w:val="clear" w:pos="898"/>
        </w:tabs>
        <w:spacing w:line="360" w:lineRule="auto"/>
        <w:ind w:left="1" w:firstLine="523" w:firstLineChars="218"/>
        <w:rPr>
          <w:rFonts w:hint="eastAsia" w:ascii="宋体" w:hAnsi="宋体"/>
          <w:bCs/>
          <w:sz w:val="24"/>
          <w:szCs w:val="24"/>
        </w:rPr>
      </w:pPr>
      <w:r>
        <w:rPr>
          <w:rFonts w:hint="eastAsia" w:ascii="宋体" w:hAnsi="宋体"/>
          <w:bCs/>
          <w:sz w:val="24"/>
          <w:szCs w:val="24"/>
        </w:rPr>
        <w:t>采购文件中的“法定代表人”是指投标人的营业执照的“法定代表人”或相关部门的登记证明文件中的“负责人”。</w:t>
      </w:r>
    </w:p>
    <w:p>
      <w:pPr>
        <w:numPr>
          <w:ilvl w:val="0"/>
          <w:numId w:val="3"/>
        </w:numPr>
        <w:tabs>
          <w:tab w:val="left" w:pos="525"/>
          <w:tab w:val="left" w:pos="945"/>
          <w:tab w:val="clear" w:pos="898"/>
        </w:tabs>
        <w:spacing w:line="360" w:lineRule="auto"/>
        <w:ind w:left="1" w:firstLine="523" w:firstLineChars="218"/>
        <w:rPr>
          <w:rFonts w:hint="eastAsia" w:ascii="宋体" w:hAnsi="宋体"/>
          <w:bCs/>
          <w:sz w:val="24"/>
          <w:szCs w:val="24"/>
        </w:rPr>
      </w:pPr>
      <w:r>
        <w:rPr>
          <w:rFonts w:hint="eastAsia" w:ascii="宋体" w:hAnsi="宋体"/>
          <w:bCs/>
          <w:sz w:val="24"/>
          <w:szCs w:val="24"/>
        </w:rPr>
        <w:t>投标人应在无锡市政府采购交易管理系统（http://58.215.18.247:9003/zfcg_supplier_wx/login?bs=5）下载招标文件及有关资料，按要求制作、上传投标文件，对招标文件各项内容做出实质性响应，否则投标无效。</w:t>
      </w:r>
    </w:p>
    <w:p>
      <w:pPr>
        <w:numPr>
          <w:ilvl w:val="0"/>
          <w:numId w:val="3"/>
        </w:numPr>
        <w:tabs>
          <w:tab w:val="left" w:pos="525"/>
          <w:tab w:val="left" w:pos="945"/>
          <w:tab w:val="clear" w:pos="898"/>
        </w:tabs>
        <w:spacing w:line="360" w:lineRule="auto"/>
        <w:ind w:left="1" w:firstLine="523" w:firstLineChars="218"/>
        <w:rPr>
          <w:rFonts w:hint="eastAsia" w:ascii="宋体" w:hAnsi="宋体"/>
          <w:bCs/>
          <w:sz w:val="24"/>
          <w:szCs w:val="24"/>
        </w:rPr>
      </w:pPr>
      <w:r>
        <w:rPr>
          <w:rFonts w:hint="eastAsia" w:ascii="宋体" w:hAnsi="宋体"/>
          <w:bCs/>
          <w:sz w:val="24"/>
          <w:szCs w:val="24"/>
        </w:rPr>
        <w:t>招标文件仅作为本次招投标使用。</w:t>
      </w:r>
    </w:p>
    <w:p>
      <w:pPr>
        <w:tabs>
          <w:tab w:val="left" w:pos="630"/>
        </w:tabs>
        <w:spacing w:line="360" w:lineRule="auto"/>
        <w:ind w:firstLine="480" w:firstLineChars="200"/>
        <w:rPr>
          <w:rFonts w:ascii="黑体" w:hAnsi="宋体" w:eastAsia="黑体"/>
          <w:bCs/>
          <w:sz w:val="24"/>
          <w:szCs w:val="24"/>
        </w:rPr>
      </w:pPr>
      <w:r>
        <w:rPr>
          <w:rFonts w:hint="eastAsia" w:ascii="黑体" w:hAnsi="宋体" w:eastAsia="黑体"/>
          <w:bCs/>
          <w:sz w:val="24"/>
          <w:szCs w:val="24"/>
        </w:rPr>
        <w:t>（三）</w:t>
      </w:r>
      <w:r>
        <w:rPr>
          <w:rFonts w:ascii="黑体" w:hAnsi="宋体" w:eastAsia="黑体"/>
          <w:bCs/>
          <w:sz w:val="24"/>
          <w:szCs w:val="24"/>
        </w:rPr>
        <w:t xml:space="preserve"> </w:t>
      </w:r>
      <w:r>
        <w:rPr>
          <w:rFonts w:hint="eastAsia" w:ascii="黑体" w:hAnsi="宋体" w:eastAsia="黑体"/>
          <w:bCs/>
          <w:sz w:val="24"/>
          <w:szCs w:val="24"/>
        </w:rPr>
        <w:t>招标文件的解释：</w:t>
      </w:r>
    </w:p>
    <w:p>
      <w:pPr>
        <w:tabs>
          <w:tab w:val="left" w:pos="945"/>
        </w:tabs>
        <w:spacing w:line="360" w:lineRule="auto"/>
        <w:ind w:left="523"/>
        <w:rPr>
          <w:rFonts w:ascii="宋体"/>
          <w:bCs/>
          <w:sz w:val="24"/>
          <w:szCs w:val="24"/>
        </w:rPr>
      </w:pPr>
      <w:r>
        <w:rPr>
          <w:rFonts w:hint="eastAsia" w:ascii="宋体" w:hAnsi="宋体"/>
          <w:bCs/>
          <w:sz w:val="24"/>
          <w:szCs w:val="24"/>
        </w:rPr>
        <w:t>本文件的最终解释权归无锡市公共资源交易中心梁溪分中心。</w:t>
      </w:r>
    </w:p>
    <w:p>
      <w:pPr>
        <w:tabs>
          <w:tab w:val="left" w:pos="945"/>
        </w:tabs>
        <w:spacing w:line="360" w:lineRule="auto"/>
        <w:ind w:firstLine="523" w:firstLineChars="218"/>
        <w:rPr>
          <w:rFonts w:ascii="黑体" w:hAnsi="宋体" w:eastAsia="黑体"/>
          <w:bCs/>
          <w:sz w:val="24"/>
          <w:szCs w:val="24"/>
        </w:rPr>
      </w:pPr>
      <w:r>
        <w:rPr>
          <w:rFonts w:hint="eastAsia" w:ascii="黑体" w:hAnsi="宋体" w:eastAsia="黑体"/>
          <w:bCs/>
          <w:sz w:val="24"/>
          <w:szCs w:val="24"/>
        </w:rPr>
        <w:t>（四）</w:t>
      </w:r>
      <w:r>
        <w:rPr>
          <w:rFonts w:ascii="黑体" w:hAnsi="宋体" w:eastAsia="黑体"/>
          <w:bCs/>
          <w:sz w:val="24"/>
          <w:szCs w:val="24"/>
        </w:rPr>
        <w:t xml:space="preserve"> </w:t>
      </w:r>
      <w:r>
        <w:rPr>
          <w:rFonts w:hint="eastAsia" w:ascii="黑体" w:hAnsi="宋体" w:eastAsia="黑体"/>
          <w:bCs/>
          <w:sz w:val="24"/>
          <w:szCs w:val="24"/>
        </w:rPr>
        <w:t>招标文件的补充或修正：</w:t>
      </w:r>
      <w:r>
        <w:rPr>
          <w:rFonts w:ascii="黑体" w:hAnsi="宋体" w:eastAsia="黑体"/>
          <w:bCs/>
          <w:sz w:val="24"/>
          <w:szCs w:val="24"/>
        </w:rPr>
        <w:t xml:space="preserve"> </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无锡市公共资源交易中心梁溪分中心可在投标截止时间十五日前对招标文件进行必要的澄清或者修改，不足15日的，将顺延提交投标文件的截止时间。</w:t>
      </w:r>
    </w:p>
    <w:p>
      <w:pPr>
        <w:numPr>
          <w:ilvl w:val="0"/>
          <w:numId w:val="3"/>
        </w:numPr>
        <w:tabs>
          <w:tab w:val="left" w:pos="525"/>
          <w:tab w:val="left" w:pos="945"/>
          <w:tab w:val="clear" w:pos="898"/>
        </w:tabs>
        <w:spacing w:line="360" w:lineRule="auto"/>
        <w:ind w:left="1" w:firstLine="523" w:firstLineChars="218"/>
        <w:rPr>
          <w:rFonts w:ascii="宋体"/>
          <w:bCs/>
          <w:sz w:val="24"/>
          <w:szCs w:val="24"/>
        </w:rPr>
      </w:pPr>
      <w:r>
        <w:rPr>
          <w:rFonts w:hint="eastAsia" w:ascii="宋体" w:hAnsi="宋体"/>
          <w:bCs/>
          <w:sz w:val="24"/>
          <w:szCs w:val="24"/>
        </w:rPr>
        <w:t>如需对招标文件进行澄清或修正，无锡市公共资源交易中心梁溪分中心将在无锡市公共资源交易中心政府采购专栏、无锡政府采购网、江苏政府采购网和中国政府采购网发布更正公告，该澄清或修正的内容为招标文件的组成部分。投标人应在投标截止时间前关注原招标公告媒体上发布的相关更正公告。因投标人未尽注意义务，未及时全面地关注更正公告导致其提交的投标材料不符合无锡市公共资源交易中心梁溪分中心要求，而造成的损失及风险（包括但不限于未中标）由投标人自行承担。</w:t>
      </w:r>
    </w:p>
    <w:p>
      <w:pPr>
        <w:spacing w:line="360" w:lineRule="auto"/>
        <w:ind w:firstLine="480" w:firstLineChars="200"/>
        <w:rPr>
          <w:rFonts w:ascii="宋体"/>
          <w:bCs/>
          <w:sz w:val="24"/>
          <w:szCs w:val="24"/>
        </w:rPr>
      </w:pPr>
      <w:r>
        <w:rPr>
          <w:rFonts w:hint="eastAsia" w:ascii="黑体" w:hAnsi="宋体" w:eastAsia="黑体"/>
          <w:bCs/>
          <w:sz w:val="24"/>
          <w:szCs w:val="24"/>
        </w:rPr>
        <w:t>（五）</w:t>
      </w:r>
      <w:r>
        <w:rPr>
          <w:rFonts w:ascii="黑体" w:hAnsi="宋体" w:eastAsia="黑体"/>
          <w:bCs/>
          <w:sz w:val="24"/>
          <w:szCs w:val="24"/>
        </w:rPr>
        <w:t xml:space="preserve"> </w:t>
      </w:r>
      <w:r>
        <w:rPr>
          <w:rFonts w:hint="eastAsia" w:ascii="黑体" w:hAnsi="宋体" w:eastAsia="黑体"/>
          <w:bCs/>
          <w:sz w:val="24"/>
          <w:szCs w:val="24"/>
        </w:rPr>
        <w:t>投标文件的组成</w:t>
      </w:r>
      <w:r>
        <w:rPr>
          <w:rFonts w:hint="eastAsia" w:ascii="宋体" w:hAnsi="宋体"/>
          <w:bCs/>
          <w:color w:val="000000"/>
          <w:sz w:val="24"/>
          <w:szCs w:val="24"/>
        </w:rPr>
        <w:t>（</w:t>
      </w:r>
      <w:r>
        <w:rPr>
          <w:rFonts w:hint="eastAsia" w:ascii="宋体" w:hAnsi="宋体"/>
          <w:b/>
          <w:bCs/>
          <w:color w:val="000000"/>
          <w:sz w:val="24"/>
          <w:szCs w:val="24"/>
        </w:rPr>
        <w:t>相应内容上传至无锡市政府采购交易管理系统投标模块</w:t>
      </w:r>
      <w:r>
        <w:rPr>
          <w:rFonts w:hint="eastAsia" w:ascii="宋体" w:hAnsi="宋体"/>
          <w:bCs/>
          <w:color w:val="000000"/>
          <w:sz w:val="24"/>
          <w:szCs w:val="24"/>
        </w:rPr>
        <w:t>）</w:t>
      </w:r>
      <w:r>
        <w:rPr>
          <w:rFonts w:hint="eastAsia" w:ascii="黑体" w:hAnsi="宋体" w:eastAsia="黑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投标函</w:t>
      </w:r>
      <w:r>
        <w:rPr>
          <w:rFonts w:hint="eastAsia" w:ascii="宋体" w:hAnsi="宋体"/>
          <w:b/>
          <w:bCs/>
          <w:color w:val="000000"/>
          <w:sz w:val="24"/>
          <w:szCs w:val="24"/>
        </w:rPr>
        <w:t>（格式见附件）</w:t>
      </w:r>
    </w:p>
    <w:p>
      <w:pPr>
        <w:numPr>
          <w:ilvl w:val="0"/>
          <w:numId w:val="4"/>
        </w:numPr>
        <w:tabs>
          <w:tab w:val="left" w:pos="420"/>
          <w:tab w:val="left" w:pos="525"/>
          <w:tab w:val="left" w:pos="945"/>
          <w:tab w:val="clear" w:pos="630"/>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资格、资信证明文件</w:t>
      </w:r>
      <w:r>
        <w:rPr>
          <w:rFonts w:hint="eastAsia" w:ascii="宋体" w:hAnsi="宋体"/>
          <w:b/>
          <w:bCs/>
          <w:color w:val="000000"/>
          <w:sz w:val="24"/>
          <w:szCs w:val="24"/>
        </w:rPr>
        <w:t>（扫描后上传，身份证应为正、反面）：</w:t>
      </w:r>
    </w:p>
    <w:p>
      <w:pPr>
        <w:pStyle w:val="101"/>
        <w:numPr>
          <w:ilvl w:val="1"/>
          <w:numId w:val="4"/>
        </w:numPr>
        <w:tabs>
          <w:tab w:val="left" w:pos="1285"/>
          <w:tab w:val="clear" w:pos="990"/>
        </w:tabs>
        <w:spacing w:line="360" w:lineRule="auto"/>
        <w:ind w:left="0" w:firstLine="567" w:firstLineChars="0"/>
        <w:rPr>
          <w:rFonts w:hint="eastAsia" w:ascii="宋体"/>
          <w:bCs/>
          <w:color w:val="000000"/>
          <w:sz w:val="24"/>
          <w:szCs w:val="24"/>
        </w:rPr>
      </w:pPr>
      <w:r>
        <w:rPr>
          <w:rFonts w:hint="eastAsia" w:ascii="宋体" w:hAnsi="宋体"/>
          <w:bCs/>
          <w:color w:val="000000"/>
          <w:sz w:val="24"/>
          <w:szCs w:val="24"/>
        </w:rPr>
        <w:t>关于资格的声明函（</w:t>
      </w:r>
      <w:r>
        <w:rPr>
          <w:rFonts w:hint="eastAsia" w:ascii="宋体" w:hAnsi="宋体"/>
          <w:b/>
          <w:bCs/>
          <w:color w:val="000000"/>
          <w:sz w:val="24"/>
          <w:szCs w:val="24"/>
        </w:rPr>
        <w:t>格式见附件</w:t>
      </w:r>
      <w:r>
        <w:rPr>
          <w:rFonts w:hint="eastAsia" w:ascii="宋体" w:hAnsi="宋体"/>
          <w:bCs/>
          <w:color w:val="000000"/>
          <w:sz w:val="24"/>
          <w:szCs w:val="24"/>
        </w:rPr>
        <w:t>）</w:t>
      </w:r>
    </w:p>
    <w:p>
      <w:pPr>
        <w:pStyle w:val="101"/>
        <w:numPr>
          <w:ilvl w:val="1"/>
          <w:numId w:val="4"/>
        </w:numPr>
        <w:tabs>
          <w:tab w:val="left" w:pos="1285"/>
          <w:tab w:val="clear" w:pos="990"/>
        </w:tabs>
        <w:spacing w:line="360" w:lineRule="auto"/>
        <w:ind w:left="0" w:firstLine="567" w:firstLineChars="0"/>
        <w:rPr>
          <w:rFonts w:hint="eastAsia" w:ascii="宋体"/>
          <w:bCs/>
          <w:color w:val="000000"/>
          <w:sz w:val="24"/>
          <w:szCs w:val="24"/>
        </w:rPr>
      </w:pPr>
      <w:r>
        <w:rPr>
          <w:rFonts w:hint="eastAsia" w:ascii="宋体" w:hAnsi="宋体"/>
          <w:bCs/>
          <w:color w:val="000000"/>
          <w:sz w:val="24"/>
          <w:szCs w:val="24"/>
        </w:rPr>
        <w:t>具有独立承担民事责任能力的投标人营业执照或相关部门的登记证明文件复印件（投标人如是</w:t>
      </w:r>
      <w:r>
        <w:rPr>
          <w:rFonts w:hint="eastAsia" w:ascii="宋体" w:hAnsi="宋体" w:cs="宋体"/>
          <w:color w:val="000000"/>
          <w:kern w:val="0"/>
          <w:sz w:val="24"/>
          <w:szCs w:val="24"/>
        </w:rPr>
        <w:t>允许以分支机构身份参加投标的，提供投标人分支机构的营业执照复印件</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投标人法定代表人授权委托书</w:t>
      </w:r>
      <w:r>
        <w:rPr>
          <w:rFonts w:hint="eastAsia" w:ascii="宋体" w:hAnsi="宋体"/>
          <w:color w:val="000000"/>
          <w:sz w:val="24"/>
          <w:szCs w:val="24"/>
        </w:rPr>
        <w:t>（</w:t>
      </w:r>
      <w:r>
        <w:rPr>
          <w:rFonts w:hint="eastAsia" w:ascii="宋体" w:hAnsi="宋体"/>
          <w:b/>
          <w:bCs/>
          <w:color w:val="000000"/>
          <w:sz w:val="24"/>
          <w:szCs w:val="24"/>
        </w:rPr>
        <w:t>格式见附件，法定代表人亲自参加投标的除外</w:t>
      </w:r>
      <w:r>
        <w:rPr>
          <w:rFonts w:hint="eastAsia" w:ascii="宋体" w:hAnsi="宋体"/>
          <w:color w:val="000000"/>
          <w:sz w:val="24"/>
          <w:szCs w:val="24"/>
        </w:rPr>
        <w:t>）（投标人</w:t>
      </w:r>
      <w:r>
        <w:rPr>
          <w:rFonts w:hint="eastAsia" w:ascii="宋体" w:hAnsi="宋体"/>
          <w:bCs/>
          <w:color w:val="000000"/>
          <w:sz w:val="24"/>
          <w:szCs w:val="24"/>
        </w:rPr>
        <w:t>如是</w:t>
      </w:r>
      <w:r>
        <w:rPr>
          <w:rFonts w:hint="eastAsia" w:ascii="宋体" w:hAnsi="宋体" w:cs="宋体"/>
          <w:color w:val="000000"/>
          <w:kern w:val="0"/>
          <w:sz w:val="24"/>
          <w:szCs w:val="24"/>
        </w:rPr>
        <w:t>允许以分支机构身份参加投标的，请自行将“法定代表人”更改为“负责人”，分支机构投标时涉及到采购文件“法定代表人”要求的部分，其具体要求视同本条规定</w:t>
      </w:r>
      <w:r>
        <w:rPr>
          <w:rFonts w:hint="eastAsia" w:ascii="宋体" w:hAnsi="宋体"/>
          <w:color w:val="000000"/>
          <w:sz w:val="24"/>
          <w:szCs w:val="24"/>
        </w:rPr>
        <w:t>）；</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投标人法定代表人身份证；</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投标人法定代表人授权代表身份证（</w:t>
      </w:r>
      <w:r>
        <w:rPr>
          <w:rFonts w:hint="eastAsia" w:ascii="宋体" w:hAnsi="宋体"/>
          <w:b/>
          <w:bCs/>
          <w:color w:val="000000"/>
          <w:sz w:val="24"/>
          <w:szCs w:val="24"/>
        </w:rPr>
        <w:t>法定代表人亲自参加投标的除外</w:t>
      </w:r>
      <w:r>
        <w:rPr>
          <w:rFonts w:hint="eastAsia" w:ascii="宋体" w:hAnsi="宋体"/>
          <w:bCs/>
          <w:color w:val="000000"/>
          <w:sz w:val="24"/>
          <w:szCs w:val="24"/>
        </w:rPr>
        <w:t>）</w:t>
      </w:r>
      <w:r>
        <w:rPr>
          <w:rFonts w:hint="eastAsia" w:ascii="宋体" w:hAnsi="宋体"/>
          <w:color w:val="000000"/>
          <w:sz w:val="24"/>
          <w:szCs w:val="24"/>
        </w:rPr>
        <w:t>；</w:t>
      </w:r>
    </w:p>
    <w:p>
      <w:pPr>
        <w:numPr>
          <w:ilvl w:val="1"/>
          <w:numId w:val="4"/>
        </w:numPr>
        <w:tabs>
          <w:tab w:val="left" w:pos="945"/>
          <w:tab w:val="left" w:pos="1285"/>
          <w:tab w:val="clear" w:pos="990"/>
        </w:tabs>
        <w:spacing w:line="360" w:lineRule="auto"/>
        <w:ind w:left="0" w:firstLine="523" w:firstLineChars="218"/>
        <w:rPr>
          <w:rFonts w:hint="eastAsia" w:ascii="宋体" w:hAnsi="宋体"/>
          <w:bCs/>
          <w:color w:val="000000"/>
          <w:sz w:val="24"/>
          <w:szCs w:val="24"/>
        </w:rPr>
      </w:pPr>
      <w:r>
        <w:rPr>
          <w:rFonts w:hint="eastAsia" w:ascii="宋体" w:hAnsi="宋体"/>
          <w:bCs/>
          <w:color w:val="000000"/>
          <w:sz w:val="24"/>
          <w:szCs w:val="24"/>
        </w:rPr>
        <w:t>投标人连续</w:t>
      </w:r>
      <w:r>
        <w:rPr>
          <w:rFonts w:hint="eastAsia" w:ascii="宋体" w:hAnsi="宋体"/>
          <w:bCs/>
          <w:color w:val="000000"/>
          <w:sz w:val="24"/>
          <w:szCs w:val="24"/>
          <w:lang w:val="en-US" w:eastAsia="zh-CN"/>
        </w:rPr>
        <w:t>六</w:t>
      </w:r>
      <w:r>
        <w:rPr>
          <w:rFonts w:hint="eastAsia" w:ascii="宋体" w:hAnsi="宋体"/>
          <w:bCs/>
          <w:color w:val="000000"/>
          <w:sz w:val="24"/>
          <w:szCs w:val="24"/>
        </w:rPr>
        <w:t>个月(至少包含近</w:t>
      </w:r>
      <w:r>
        <w:rPr>
          <w:rFonts w:hint="eastAsia" w:ascii="宋体" w:hAnsi="宋体"/>
          <w:bCs/>
          <w:color w:val="000000"/>
          <w:sz w:val="24"/>
          <w:szCs w:val="24"/>
          <w:lang w:val="en-US" w:eastAsia="zh-CN"/>
        </w:rPr>
        <w:t>六</w:t>
      </w:r>
      <w:r>
        <w:rPr>
          <w:rFonts w:hint="eastAsia" w:ascii="宋体" w:hAnsi="宋体"/>
          <w:bCs/>
          <w:color w:val="000000"/>
          <w:sz w:val="24"/>
          <w:szCs w:val="24"/>
        </w:rPr>
        <w:t>个月中任意一个月份(不含投标当月))为其法定代表人授权代表缴纳社保的证明（由相关主管部门出具，</w:t>
      </w:r>
      <w:r>
        <w:rPr>
          <w:rFonts w:hint="eastAsia" w:ascii="宋体" w:hAnsi="宋体"/>
          <w:b/>
          <w:bCs/>
          <w:color w:val="000000"/>
          <w:sz w:val="24"/>
          <w:szCs w:val="24"/>
        </w:rPr>
        <w:t>新成立公司除外、法定代表人亲自参加投标的除外</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hint="eastAsia" w:ascii="宋体" w:hAnsi="Calibri"/>
          <w:bCs/>
          <w:color w:val="000000"/>
          <w:sz w:val="24"/>
          <w:szCs w:val="24"/>
        </w:rPr>
      </w:pPr>
      <w:r>
        <w:rPr>
          <w:rFonts w:hint="eastAsia" w:ascii="宋体" w:hAnsi="宋体"/>
          <w:bCs/>
          <w:color w:val="000000"/>
          <w:sz w:val="24"/>
          <w:szCs w:val="24"/>
        </w:rPr>
        <w:t>投标人近三个月中任意一个月份(不含投标当月)的财务状况报告（资产负债表和利润表）或由会计师事务所出具的近两年中任意一个年度的审计报告和所附已审财务报告；</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投标人近三个月中任意一个月份(不含投标当月)的依法缴纳税收的相关材料（提供相关主管部门证明或银行代扣证明）；</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投标人近三个月中任意一个月份(不含投标当月)的依法缴纳社会保障资金的相关材料（提供相关主管部门证明或银行代扣证明）；</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承诺书（</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lang w:val="en-US" w:eastAsia="zh-CN"/>
        </w:rPr>
        <w:t>中小企业声明函</w:t>
      </w:r>
      <w:r>
        <w:rPr>
          <w:rFonts w:hint="eastAsia" w:ascii="宋体" w:hAnsi="宋体"/>
          <w:bCs/>
          <w:color w:val="000000"/>
          <w:sz w:val="24"/>
          <w:szCs w:val="24"/>
        </w:rPr>
        <w:t>（</w:t>
      </w:r>
      <w:r>
        <w:rPr>
          <w:rFonts w:hint="eastAsia" w:ascii="宋体" w:hAnsi="宋体"/>
          <w:b/>
          <w:bCs/>
          <w:color w:val="000000"/>
          <w:sz w:val="24"/>
          <w:szCs w:val="24"/>
        </w:rPr>
        <w:t>格式见附件</w:t>
      </w:r>
      <w:r>
        <w:rPr>
          <w:rFonts w:hint="eastAsia" w:ascii="宋体" w:hAnsi="宋体"/>
          <w:bCs/>
          <w:color w:val="000000"/>
          <w:sz w:val="24"/>
          <w:szCs w:val="24"/>
        </w:rPr>
        <w:t>）</w:t>
      </w:r>
      <w:r>
        <w:rPr>
          <w:rFonts w:hint="eastAsia" w:ascii="宋体" w:hAnsi="宋体"/>
          <w:bCs/>
          <w:color w:val="000000"/>
          <w:sz w:val="24"/>
          <w:szCs w:val="24"/>
          <w:lang w:eastAsia="zh-CN"/>
        </w:rPr>
        <w:t>；</w:t>
      </w:r>
    </w:p>
    <w:p>
      <w:pPr>
        <w:numPr>
          <w:ilvl w:val="1"/>
          <w:numId w:val="4"/>
        </w:numPr>
        <w:tabs>
          <w:tab w:val="left" w:pos="945"/>
          <w:tab w:val="left" w:pos="1285"/>
        </w:tabs>
        <w:spacing w:line="360" w:lineRule="auto"/>
        <w:ind w:left="0" w:firstLine="523" w:firstLineChars="218"/>
        <w:rPr>
          <w:rFonts w:hint="eastAsia" w:ascii="宋体" w:hAnsi="宋体"/>
          <w:b/>
          <w:bCs w:val="0"/>
          <w:color w:val="000000"/>
          <w:sz w:val="24"/>
          <w:szCs w:val="24"/>
        </w:rPr>
      </w:pPr>
      <w:r>
        <w:rPr>
          <w:rFonts w:hint="eastAsia" w:ascii="宋体" w:hAnsi="宋体"/>
          <w:bCs/>
          <w:color w:val="000000"/>
          <w:sz w:val="24"/>
          <w:szCs w:val="24"/>
        </w:rPr>
        <w:t>采购人要求的特定资质证明</w:t>
      </w:r>
      <w:r>
        <w:rPr>
          <w:rFonts w:hint="eastAsia" w:ascii="宋体" w:hAnsi="宋体"/>
          <w:b/>
          <w:bCs w:val="0"/>
          <w:color w:val="000000"/>
          <w:sz w:val="24"/>
          <w:szCs w:val="24"/>
        </w:rPr>
        <w:t>（详见“投标邀请函”-“投标人资格要求”之3中要求）。</w:t>
      </w:r>
    </w:p>
    <w:p>
      <w:pPr>
        <w:tabs>
          <w:tab w:val="left" w:pos="630"/>
          <w:tab w:val="left" w:pos="945"/>
          <w:tab w:val="left" w:pos="1276"/>
        </w:tabs>
        <w:spacing w:line="360" w:lineRule="auto"/>
        <w:ind w:firstLine="480" w:firstLineChars="200"/>
        <w:rPr>
          <w:rFonts w:hint="eastAsia" w:ascii="宋体"/>
          <w:bCs/>
          <w:color w:val="000000"/>
          <w:sz w:val="24"/>
          <w:szCs w:val="24"/>
        </w:rPr>
      </w:pPr>
      <w:r>
        <w:rPr>
          <w:rFonts w:hint="eastAsia" w:ascii="宋体" w:hAnsi="宋体" w:cs="宋体"/>
          <w:color w:val="000000"/>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开标一览表（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明细报价表（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投标偏离表（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项目技术要求中须提供的证明材料（</w:t>
      </w:r>
      <w:r>
        <w:rPr>
          <w:rFonts w:hint="eastAsia" w:ascii="宋体" w:hAnsi="宋体"/>
          <w:b/>
          <w:bCs/>
          <w:color w:val="000000"/>
          <w:sz w:val="24"/>
          <w:szCs w:val="24"/>
        </w:rPr>
        <w:t>如有自行添加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评分标准中对应的其它所需证明材料（</w:t>
      </w:r>
      <w:r>
        <w:rPr>
          <w:rFonts w:hint="eastAsia" w:ascii="宋体" w:hAnsi="宋体"/>
          <w:b/>
          <w:bCs/>
          <w:color w:val="000000"/>
          <w:sz w:val="24"/>
          <w:szCs w:val="24"/>
        </w:rPr>
        <w:t>如有自行添加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要求采购人提供的配合（</w:t>
      </w:r>
      <w:r>
        <w:rPr>
          <w:rFonts w:hint="eastAsia" w:ascii="宋体" w:hAnsi="宋体"/>
          <w:b/>
          <w:bCs/>
          <w:color w:val="000000"/>
          <w:sz w:val="24"/>
          <w:szCs w:val="24"/>
        </w:rPr>
        <w:t>如有自拟并自行添加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其它（</w:t>
      </w:r>
      <w:r>
        <w:rPr>
          <w:rFonts w:hint="eastAsia" w:ascii="宋体" w:hAnsi="宋体"/>
          <w:b/>
          <w:bCs/>
          <w:color w:val="000000"/>
          <w:sz w:val="24"/>
          <w:szCs w:val="24"/>
        </w:rPr>
        <w:t>投标人认为有必要提供的声明和文件，如有自拟并自行添加</w:t>
      </w:r>
      <w:r>
        <w:rPr>
          <w:rFonts w:hint="eastAsia" w:ascii="宋体" w:hAnsi="宋体"/>
          <w:bCs/>
          <w:color w:val="000000"/>
          <w:sz w:val="24"/>
          <w:szCs w:val="24"/>
        </w:rPr>
        <w:t>）</w:t>
      </w:r>
    </w:p>
    <w:p>
      <w:pPr>
        <w:tabs>
          <w:tab w:val="left" w:pos="945"/>
        </w:tabs>
        <w:spacing w:line="360" w:lineRule="auto"/>
        <w:ind w:firstLine="480" w:firstLineChars="200"/>
        <w:rPr>
          <w:rFonts w:ascii="宋体" w:hAnsi="Calibri"/>
          <w:bCs/>
          <w:color w:val="000000"/>
          <w:sz w:val="24"/>
          <w:szCs w:val="24"/>
        </w:rPr>
      </w:pPr>
      <w:r>
        <w:rPr>
          <w:rFonts w:hint="eastAsia" w:ascii="宋体" w:hAnsi="宋体"/>
          <w:bCs/>
          <w:color w:val="000000"/>
          <w:sz w:val="24"/>
          <w:szCs w:val="24"/>
        </w:rPr>
        <w:t>上述1-</w:t>
      </w:r>
      <w:r>
        <w:rPr>
          <w:rFonts w:hint="eastAsia" w:ascii="宋体" w:hAnsi="宋体"/>
          <w:bCs/>
          <w:color w:val="000000"/>
          <w:sz w:val="24"/>
          <w:szCs w:val="24"/>
          <w:lang w:val="en-US" w:eastAsia="zh-CN"/>
        </w:rPr>
        <w:t>5</w:t>
      </w:r>
      <w:r>
        <w:rPr>
          <w:rFonts w:hint="eastAsia" w:ascii="宋体" w:hAnsi="宋体"/>
          <w:bCs/>
          <w:color w:val="000000"/>
          <w:sz w:val="24"/>
          <w:szCs w:val="24"/>
        </w:rPr>
        <w:t>项投标人必须按要求全部提供，否则投标文件无效。</w:t>
      </w:r>
      <w:r>
        <w:rPr>
          <w:rFonts w:hint="eastAsia" w:ascii="Tahoma" w:hAnsi="Tahoma" w:cs="Tahoma"/>
          <w:color w:val="000000"/>
          <w:sz w:val="24"/>
          <w:szCs w:val="24"/>
        </w:rPr>
        <w:t>如上述资格证明文件遇年检、换证，则必须提供法定年检、换证单位出具的有效证明复印件。如上述资格证明文件第</w:t>
      </w:r>
      <w:r>
        <w:rPr>
          <w:rFonts w:hint="eastAsia" w:ascii="宋体" w:hAnsi="宋体" w:cs="Tahoma"/>
          <w:color w:val="000000"/>
          <w:sz w:val="24"/>
          <w:szCs w:val="24"/>
        </w:rPr>
        <w:t>（6）（7）（8）（9）</w:t>
      </w:r>
      <w:r>
        <w:rPr>
          <w:rFonts w:hint="eastAsia" w:ascii="Tahoma" w:hAnsi="Tahoma" w:cs="Tahoma"/>
          <w:color w:val="000000"/>
          <w:sz w:val="24"/>
          <w:szCs w:val="24"/>
        </w:rPr>
        <w:t>四项遇有国家相关政策规定可不具备的，必须提供相关政策规定或相关单位出具的有效证明复印件。</w:t>
      </w:r>
      <w:r>
        <w:rPr>
          <w:rFonts w:hint="eastAsia" w:ascii="宋体" w:hAnsi="宋体"/>
          <w:bCs/>
          <w:color w:val="000000"/>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（六）</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投标文件的制作：</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所有文件、往来函件均应使用简体中文（规格、型号辅助符号例外）。</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投标文件由投标人按要求参考给定格式如实填写（编写），须有投标人（盖章）、法定代表人或法定代表人授权代表签字或盖章，方为有效，未尽事宜可自行补充。</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color w:val="000000" w:themeColor="text1"/>
          <w:sz w:val="24"/>
          <w:szCs w:val="24"/>
          <w:lang w:val="zh-CN"/>
          <w14:textFill>
            <w14:solidFill>
              <w14:schemeClr w14:val="tx1"/>
            </w14:solidFill>
          </w14:textFill>
        </w:rPr>
        <w:t>如无特别说明，</w:t>
      </w:r>
      <w:r>
        <w:rPr>
          <w:rFonts w:hint="eastAsia" w:ascii="宋体" w:hAnsi="宋体"/>
          <w:bCs/>
          <w:color w:val="000000" w:themeColor="text1"/>
          <w:sz w:val="24"/>
          <w:szCs w:val="24"/>
          <w14:textFill>
            <w14:solidFill>
              <w14:schemeClr w14:val="tx1"/>
            </w14:solidFill>
          </w14:textFill>
        </w:rPr>
        <w:t>投标人报价一律以人民币为投标结算货币</w:t>
      </w:r>
      <w:r>
        <w:rPr>
          <w:rFonts w:asci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结算单位为“元”。</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投标费用自理。</w:t>
      </w:r>
    </w:p>
    <w:p>
      <w:pPr>
        <w:tabs>
          <w:tab w:val="left" w:pos="945"/>
        </w:tabs>
        <w:spacing w:line="360" w:lineRule="auto"/>
        <w:ind w:firstLine="480" w:firstLineChars="200"/>
        <w:rPr>
          <w:rFonts w:ascii="黑体" w:hAnsi="宋体" w:eastAsia="黑体"/>
          <w:bCs/>
          <w:color w:val="000000"/>
          <w:sz w:val="24"/>
          <w:szCs w:val="24"/>
        </w:rPr>
      </w:pPr>
      <w:r>
        <w:rPr>
          <w:rFonts w:hint="eastAsia" w:ascii="黑体" w:hAnsi="宋体" w:eastAsia="黑体"/>
          <w:bCs/>
          <w:color w:val="000000"/>
          <w:sz w:val="24"/>
          <w:szCs w:val="24"/>
        </w:rPr>
        <w:t>（七）网上投标</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应由其法定代表人或法定代表人授权代表在规定的网上投标时间内，凭CA数字证书登陆政府采购交易管理一体化系统获取招标文件，在政采云投标客户端制作投标文件（电子数据），并在投标截止时间之前上传投标文件。</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投标人应对CA数字证书妥善保管，如被他人盗用投标，后果自负。</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投标人按招标文件规定的</w:t>
      </w:r>
      <w:r>
        <w:rPr>
          <w:rFonts w:hint="eastAsia" w:ascii="宋体" w:hAnsi="宋体"/>
          <w:color w:val="000000"/>
          <w:sz w:val="24"/>
          <w:szCs w:val="24"/>
        </w:rPr>
        <w:t>网上解密时间</w:t>
      </w:r>
      <w:r>
        <w:rPr>
          <w:rFonts w:hint="eastAsia" w:ascii="宋体" w:hAnsi="宋体"/>
          <w:bCs/>
          <w:color w:val="000000"/>
          <w:sz w:val="24"/>
          <w:szCs w:val="24"/>
        </w:rPr>
        <w:t>进行解密，如未按时解密后果自负。</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投标人应当对招标文件提出的要求和条件作出实质性响应，并在电子投标系统逐条应答。</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投标人应对要求提供的资格证明文件（如资质证书、资格证书）、技术资料（如白皮书、彩页、手册、检测报告等）扫描上传至投标系统。</w:t>
      </w:r>
    </w:p>
    <w:p>
      <w:pPr>
        <w:tabs>
          <w:tab w:val="left" w:pos="945"/>
        </w:tabs>
        <w:spacing w:line="360" w:lineRule="auto"/>
        <w:ind w:firstLine="480" w:firstLineChars="200"/>
        <w:rPr>
          <w:rFonts w:hint="eastAsia" w:ascii="宋体" w:hAnsi="宋体"/>
          <w:color w:val="000000"/>
          <w:sz w:val="24"/>
          <w:szCs w:val="24"/>
        </w:rPr>
      </w:pPr>
      <w:r>
        <w:rPr>
          <w:rFonts w:hint="eastAsia" w:ascii="宋体" w:hAnsi="宋体"/>
          <w:bCs/>
          <w:color w:val="000000"/>
          <w:sz w:val="24"/>
          <w:szCs w:val="24"/>
        </w:rPr>
        <w:t>投标人进行网上</w:t>
      </w:r>
      <w:r>
        <w:rPr>
          <w:rFonts w:hint="eastAsia" w:ascii="宋体" w:hAnsi="宋体"/>
          <w:color w:val="000000"/>
          <w:sz w:val="24"/>
          <w:szCs w:val="24"/>
        </w:rPr>
        <w:t>投标</w:t>
      </w:r>
      <w:r>
        <w:rPr>
          <w:rFonts w:hint="eastAsia" w:ascii="宋体" w:hAnsi="宋体"/>
          <w:bCs/>
          <w:color w:val="000000"/>
          <w:sz w:val="24"/>
          <w:szCs w:val="24"/>
        </w:rPr>
        <w:t>请参照《</w:t>
      </w:r>
      <w:r>
        <w:rPr>
          <w:rFonts w:hint="eastAsia" w:ascii="宋体" w:hAnsi="宋体"/>
          <w:color w:val="000000"/>
          <w:sz w:val="24"/>
          <w:szCs w:val="24"/>
        </w:rPr>
        <w:t>政府采购项目电子交易管理操作指南-供应商》。</w:t>
      </w:r>
    </w:p>
    <w:p>
      <w:pPr>
        <w:tabs>
          <w:tab w:val="left" w:pos="945"/>
        </w:tabs>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（八）</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无效投标文件的确认：</w:t>
      </w:r>
    </w:p>
    <w:p>
      <w:pPr>
        <w:tabs>
          <w:tab w:val="left" w:pos="945"/>
        </w:tabs>
        <w:spacing w:line="360" w:lineRule="auto"/>
        <w:ind w:firstLine="480" w:firstLineChars="200"/>
        <w:rPr>
          <w:rFonts w:ascii="黑体" w:hAnsi="宋体" w:eastAsia="黑体"/>
          <w:bCs/>
          <w:color w:val="000000"/>
          <w:sz w:val="24"/>
          <w:szCs w:val="24"/>
        </w:rPr>
      </w:pPr>
      <w:r>
        <w:rPr>
          <w:rFonts w:hint="eastAsia" w:ascii="宋体" w:hAnsi="宋体"/>
          <w:bCs/>
          <w:color w:val="000000"/>
          <w:sz w:val="24"/>
          <w:szCs w:val="24"/>
        </w:rPr>
        <w:t>投标人有下列情况之一者，投标文件无效：</w:t>
      </w:r>
    </w:p>
    <w:p>
      <w:pPr>
        <w:numPr>
          <w:ilvl w:val="0"/>
          <w:numId w:val="7"/>
        </w:numPr>
        <w:tabs>
          <w:tab w:val="left" w:pos="945"/>
        </w:tabs>
        <w:spacing w:line="360" w:lineRule="auto"/>
        <w:rPr>
          <w:rFonts w:hint="eastAsia" w:ascii="宋体" w:hAnsi="Calibri"/>
          <w:bCs/>
          <w:color w:val="000000"/>
          <w:sz w:val="24"/>
          <w:szCs w:val="24"/>
        </w:rPr>
      </w:pPr>
      <w:r>
        <w:rPr>
          <w:rFonts w:hint="eastAsia" w:ascii="宋体" w:hAnsi="宋体"/>
          <w:color w:val="000000"/>
          <w:sz w:val="24"/>
          <w:szCs w:val="24"/>
        </w:rPr>
        <w:t>未按规定在无锡市政府采购供应商信息库注册的；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电子投标文件未按规定期限投标的，纸质投标文件（如有）未按规定的期限、地点送达的；</w:t>
      </w:r>
    </w:p>
    <w:p>
      <w:pPr>
        <w:numPr>
          <w:ilvl w:val="0"/>
          <w:numId w:val="7"/>
        </w:numPr>
        <w:tabs>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电子投标文件未按招标文件要求签章的；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投标人未按招标文件要求解密电子投标文件的；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投标人的法定代表人授权代表，无法定代表人授权委托书的；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不具备招标文件中规定的资格要求或未按招标文件规定的要求提供资格、资信证明文件的；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color w:val="000000"/>
          <w:sz w:val="24"/>
          <w:szCs w:val="24"/>
        </w:rPr>
        <w:t>被“信用中国”网站（</w:t>
      </w:r>
      <w:r>
        <w:fldChar w:fldCharType="begin"/>
      </w:r>
      <w:r>
        <w:instrText xml:space="preserve"> HYPERLINK "http://www.creditchina.gov.cn" </w:instrText>
      </w:r>
      <w:r>
        <w:fldChar w:fldCharType="separate"/>
      </w:r>
      <w:r>
        <w:rPr>
          <w:rStyle w:val="30"/>
          <w:rFonts w:hint="eastAsia" w:ascii="宋体" w:hAnsi="宋体"/>
          <w:color w:val="000000"/>
          <w:sz w:val="24"/>
          <w:szCs w:val="24"/>
        </w:rPr>
        <w:t>www.creditchina.gov.cn</w:t>
      </w:r>
      <w:r>
        <w:rPr>
          <w:rStyle w:val="30"/>
          <w:rFonts w:hint="eastAsia" w:ascii="宋体" w:hAnsi="宋体"/>
          <w:color w:val="000000"/>
          <w:sz w:val="24"/>
          <w:szCs w:val="24"/>
        </w:rPr>
        <w:fldChar w:fldCharType="end"/>
      </w:r>
      <w:r>
        <w:rPr>
          <w:rFonts w:hint="eastAsia" w:ascii="宋体" w:hAnsi="宋体"/>
          <w:color w:val="000000"/>
          <w:sz w:val="24"/>
          <w:szCs w:val="24"/>
        </w:rPr>
        <w:t>）列入失信被执行人、重大税收违法案件当事人名单、政府采购严重违法失信行为记录名单的；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投标文件未按招标文件规定的内容和要求填写的；没有在投标系统指定位置上传对应文件、材料的；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电子投标文件图片、字迹模糊不清、无法辨认的；</w:t>
      </w:r>
    </w:p>
    <w:p>
      <w:pPr>
        <w:numPr>
          <w:ilvl w:val="0"/>
          <w:numId w:val="7"/>
        </w:numPr>
        <w:tabs>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投标文件中有招标文件未允许提供的选择性内容；</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不同投标人委托同一单位或者个人办理投标事宜的；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不同投标人的单位负责人为同一人或者存在直接控股、管理关系的；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不同投标人的投标文件的装订形式、纸张情况、目录序号、排版格式、文字风格等存在明显的相似性或一致性，特征显示由同一单位或者同一个人编制的；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不同投标人投标文件内容存在非正常一致、项目组成员出现同一人、投标文件中错误（或异常）一致或雷同、电子文档信息一致或雷同的、投标报价呈规律性差异的；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不同投标人的投标资料相互混装、不同投标人的委托代理人、项目负责人以及其他相关人员有在同一个单位缴纳社会保险、同一投标文件中单位名称落款与公章不是同一单位的；</w:t>
      </w:r>
    </w:p>
    <w:p>
      <w:pPr>
        <w:numPr>
          <w:ilvl w:val="0"/>
          <w:numId w:val="7"/>
        </w:numPr>
        <w:tabs>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项目（标段）投标总价超过本项目（标段）预算或最高限价的；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提供虚假材料的（包括工商营业执照、财务报表、资格证明文件等）；</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投标文件含有采购人不能接受的附加条件的；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除单一来源采购项目外，为采购项目提供整体设计、规范编制或者项目管理、监理、检测等服务的；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投标文件内容不全或不符合招标文件中规定的其它实质性要求的；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法律法规和招标文件规定的其它无效情形。</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（九）</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开标、评标：</w:t>
      </w:r>
    </w:p>
    <w:p>
      <w:pPr>
        <w:numPr>
          <w:ilvl w:val="1"/>
          <w:numId w:val="8"/>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所有投标单位在招标文件规定的时间内解密各自投标文件。</w:t>
      </w:r>
    </w:p>
    <w:p>
      <w:pPr>
        <w:numPr>
          <w:ilvl w:val="1"/>
          <w:numId w:val="8"/>
        </w:numPr>
        <w:tabs>
          <w:tab w:val="left" w:pos="525"/>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投标截止时间后参加投标的供应商或解密投标文件的供应商不足三家的，不开标；开标后，所有投标供应商可在线上开标大厅中看到所有投标人的投标报价。</w:t>
      </w:r>
    </w:p>
    <w:p>
      <w:pPr>
        <w:numPr>
          <w:ilvl w:val="1"/>
          <w:numId w:val="8"/>
        </w:numPr>
        <w:tabs>
          <w:tab w:val="left" w:pos="525"/>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开标时，投标文件报价出现前后不一致的，按照下列规定修正：</w:t>
      </w:r>
    </w:p>
    <w:p>
      <w:pPr>
        <w:numPr>
          <w:ilvl w:val="0"/>
          <w:numId w:val="9"/>
        </w:numPr>
        <w:tabs>
          <w:tab w:val="left" w:pos="510"/>
          <w:tab w:val="left" w:pos="945"/>
        </w:tabs>
        <w:spacing w:line="360" w:lineRule="auto"/>
        <w:ind w:left="0" w:firstLine="480" w:firstLineChars="200"/>
        <w:rPr>
          <w:rFonts w:hint="eastAsia" w:ascii="宋体"/>
          <w:bCs/>
          <w:color w:val="000000"/>
          <w:sz w:val="24"/>
          <w:szCs w:val="24"/>
        </w:rPr>
      </w:pPr>
      <w:r>
        <w:rPr>
          <w:rFonts w:hint="eastAsia" w:ascii="宋体"/>
          <w:bCs/>
          <w:color w:val="000000"/>
          <w:sz w:val="24"/>
          <w:szCs w:val="24"/>
        </w:rPr>
        <w:t>投标文件中开标一览表（报价表）内容与投标文件中相应内容不一致的，以开标一览表（报价表）为准；</w:t>
      </w:r>
    </w:p>
    <w:p>
      <w:pPr>
        <w:numPr>
          <w:ilvl w:val="0"/>
          <w:numId w:val="9"/>
        </w:numPr>
        <w:tabs>
          <w:tab w:val="left" w:pos="510"/>
          <w:tab w:val="left" w:pos="945"/>
        </w:tabs>
        <w:spacing w:line="360" w:lineRule="auto"/>
        <w:ind w:left="0" w:firstLine="480" w:firstLineChars="200"/>
        <w:rPr>
          <w:rFonts w:hint="eastAsia" w:ascii="宋体"/>
          <w:bCs/>
          <w:color w:val="000000"/>
          <w:sz w:val="24"/>
          <w:szCs w:val="24"/>
        </w:rPr>
      </w:pPr>
      <w:r>
        <w:rPr>
          <w:rFonts w:hint="eastAsia" w:ascii="宋体"/>
          <w:bCs/>
          <w:color w:val="000000"/>
          <w:sz w:val="24"/>
          <w:szCs w:val="24"/>
        </w:rPr>
        <w:t>大写金额和小写金额不一致的，以大写金额为准；</w:t>
      </w:r>
    </w:p>
    <w:p>
      <w:pPr>
        <w:numPr>
          <w:ilvl w:val="0"/>
          <w:numId w:val="9"/>
        </w:numPr>
        <w:tabs>
          <w:tab w:val="left" w:pos="510"/>
          <w:tab w:val="left" w:pos="945"/>
        </w:tabs>
        <w:spacing w:line="360" w:lineRule="auto"/>
        <w:ind w:left="0" w:firstLine="480" w:firstLineChars="200"/>
        <w:rPr>
          <w:rFonts w:hint="eastAsia" w:ascii="宋体"/>
          <w:bCs/>
          <w:color w:val="000000"/>
          <w:sz w:val="24"/>
          <w:szCs w:val="24"/>
        </w:rPr>
      </w:pPr>
      <w:r>
        <w:rPr>
          <w:rFonts w:hint="eastAsia" w:ascii="宋体"/>
          <w:bCs/>
          <w:color w:val="000000"/>
          <w:sz w:val="24"/>
          <w:szCs w:val="24"/>
        </w:rPr>
        <w:t>单价金额小数点或者百分比有明显错位的，以开标一览表的总价为准，并修改单价；</w:t>
      </w:r>
    </w:p>
    <w:p>
      <w:pPr>
        <w:numPr>
          <w:ilvl w:val="0"/>
          <w:numId w:val="9"/>
        </w:numPr>
        <w:tabs>
          <w:tab w:val="left" w:pos="510"/>
          <w:tab w:val="left" w:pos="945"/>
        </w:tabs>
        <w:spacing w:line="360" w:lineRule="auto"/>
        <w:ind w:left="0" w:firstLine="480" w:firstLineChars="200"/>
        <w:rPr>
          <w:rFonts w:hint="eastAsia" w:ascii="宋体"/>
          <w:bCs/>
          <w:color w:val="000000"/>
          <w:sz w:val="24"/>
          <w:szCs w:val="24"/>
        </w:rPr>
      </w:pPr>
      <w:r>
        <w:rPr>
          <w:rFonts w:hint="eastAsia" w:ascii="宋体"/>
          <w:bCs/>
          <w:color w:val="000000"/>
          <w:sz w:val="24"/>
          <w:szCs w:val="24"/>
        </w:rPr>
        <w:t>总价金额与按单价汇总金额不一致的，以单价金额计算结果为准。</w:t>
      </w:r>
    </w:p>
    <w:p>
      <w:pPr>
        <w:tabs>
          <w:tab w:val="left" w:pos="510"/>
          <w:tab w:val="left" w:pos="945"/>
        </w:tabs>
        <w:spacing w:line="360" w:lineRule="auto"/>
        <w:ind w:firstLine="480" w:firstLineChars="200"/>
        <w:rPr>
          <w:rFonts w:hint="eastAsia" w:ascii="宋体"/>
          <w:bCs/>
          <w:color w:val="000000"/>
          <w:sz w:val="24"/>
          <w:szCs w:val="24"/>
        </w:rPr>
      </w:pPr>
      <w:r>
        <w:rPr>
          <w:rFonts w:hint="eastAsia" w:ascii="宋体"/>
          <w:bCs/>
          <w:color w:val="000000"/>
          <w:sz w:val="24"/>
          <w:szCs w:val="24"/>
        </w:rPr>
        <w:t>同时出现两种以上不一致的，按照前款规定的顺序修正。修正后的报价评标委员会应当以书面形式要求投标人作出必要的澄清、说明或者补正，经投标人确认后产生约束力，投标人不确认的，其投标无效。</w:t>
      </w:r>
    </w:p>
    <w:p>
      <w:pPr>
        <w:numPr>
          <w:ilvl w:val="1"/>
          <w:numId w:val="8"/>
        </w:numPr>
        <w:tabs>
          <w:tab w:val="left" w:pos="525"/>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电子投标文件与纸质投标文件（如有）不符的，以电子投标文件为准。</w:t>
      </w:r>
    </w:p>
    <w:p>
      <w:pPr>
        <w:numPr>
          <w:ilvl w:val="1"/>
          <w:numId w:val="8"/>
        </w:numPr>
        <w:tabs>
          <w:tab w:val="left" w:pos="525"/>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投标人未参加开标的，视同认可开标结果。</w:t>
      </w:r>
    </w:p>
    <w:p>
      <w:pPr>
        <w:numPr>
          <w:ilvl w:val="1"/>
          <w:numId w:val="8"/>
        </w:numPr>
        <w:tabs>
          <w:tab w:val="left" w:pos="525"/>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评标程序</w:t>
      </w:r>
    </w:p>
    <w:p>
      <w:pPr>
        <w:tabs>
          <w:tab w:val="left" w:pos="945"/>
        </w:tabs>
        <w:spacing w:line="360" w:lineRule="auto"/>
        <w:ind w:firstLine="523" w:firstLineChars="218"/>
        <w:rPr>
          <w:rFonts w:hint="eastAsia" w:ascii="宋体"/>
          <w:bCs/>
          <w:color w:val="000000"/>
          <w:sz w:val="24"/>
          <w:szCs w:val="24"/>
        </w:rPr>
      </w:pPr>
      <w:r>
        <w:rPr>
          <w:rFonts w:hint="eastAsia" w:ascii="宋体" w:hAnsi="宋体"/>
          <w:bCs/>
          <w:color w:val="000000"/>
          <w:sz w:val="24"/>
          <w:szCs w:val="24"/>
        </w:rPr>
        <w:t>评标工作由</w:t>
      </w:r>
      <w:r>
        <w:rPr>
          <w:rFonts w:hint="eastAsia" w:ascii="宋体" w:hAnsi="宋体"/>
          <w:bCs/>
          <w:sz w:val="24"/>
          <w:szCs w:val="24"/>
        </w:rPr>
        <w:t>无锡市公共资源交易中心梁溪分中心</w:t>
      </w:r>
      <w:r>
        <w:rPr>
          <w:rFonts w:hint="eastAsia" w:ascii="宋体" w:hAnsi="宋体"/>
          <w:bCs/>
          <w:color w:val="000000"/>
          <w:sz w:val="24"/>
          <w:szCs w:val="24"/>
        </w:rPr>
        <w:t>负责组织，具体评标事务由依法组建的评标委员会负责。</w:t>
      </w:r>
    </w:p>
    <w:p>
      <w:pPr>
        <w:numPr>
          <w:ilvl w:val="0"/>
          <w:numId w:val="10"/>
        </w:numPr>
        <w:tabs>
          <w:tab w:val="left" w:pos="630"/>
          <w:tab w:val="left" w:pos="945"/>
          <w:tab w:val="left" w:pos="1155"/>
          <w:tab w:val="clear" w:pos="1104"/>
        </w:tabs>
        <w:spacing w:line="360" w:lineRule="auto"/>
        <w:ind w:left="0" w:firstLine="523" w:firstLineChars="218"/>
        <w:rPr>
          <w:rFonts w:hint="eastAsia" w:ascii="宋体"/>
          <w:bCs/>
          <w:color w:val="000000"/>
          <w:sz w:val="24"/>
          <w:szCs w:val="24"/>
        </w:rPr>
      </w:pPr>
      <w:r>
        <w:rPr>
          <w:rFonts w:hint="eastAsia" w:ascii="宋体" w:hAnsi="宋体"/>
          <w:bCs/>
          <w:color w:val="000000"/>
          <w:sz w:val="24"/>
        </w:rPr>
        <w:t>投标文件初审。初审分为资格性检查和符合性检查。</w:t>
      </w:r>
    </w:p>
    <w:p>
      <w:pPr>
        <w:numPr>
          <w:ilvl w:val="0"/>
          <w:numId w:val="11"/>
        </w:numPr>
        <w:tabs>
          <w:tab w:val="left" w:pos="525"/>
          <w:tab w:val="left" w:pos="630"/>
          <w:tab w:val="left" w:pos="945"/>
          <w:tab w:val="left" w:pos="1365"/>
          <w:tab w:val="clear" w:pos="881"/>
        </w:tabs>
        <w:spacing w:line="360" w:lineRule="auto"/>
        <w:ind w:left="0" w:firstLine="523" w:firstLineChars="218"/>
        <w:rPr>
          <w:rFonts w:hint="eastAsia" w:ascii="宋体"/>
          <w:bCs/>
          <w:color w:val="000000"/>
          <w:sz w:val="24"/>
          <w:szCs w:val="22"/>
        </w:rPr>
      </w:pPr>
      <w:r>
        <w:rPr>
          <w:rFonts w:hint="eastAsia" w:ascii="宋体" w:hAnsi="宋体"/>
          <w:bCs/>
          <w:color w:val="000000"/>
          <w:sz w:val="24"/>
        </w:rPr>
        <w:t>资格性检查。采购人依据法律法规和招标文件的规定，对投标文件中的资格证明、投标（报价）承诺函等进行审查；</w:t>
      </w:r>
      <w:r>
        <w:rPr>
          <w:rFonts w:hint="eastAsia" w:ascii="宋体" w:hAnsi="宋体"/>
          <w:bCs/>
          <w:color w:val="000000"/>
          <w:sz w:val="24"/>
          <w:szCs w:val="24"/>
        </w:rPr>
        <w:t>通过“信用中国”网站（</w:t>
      </w:r>
      <w:r>
        <w:fldChar w:fldCharType="begin"/>
      </w:r>
      <w:r>
        <w:instrText xml:space="preserve"> HYPERLINK "http://www.creditchina.gov.cn" </w:instrText>
      </w:r>
      <w:r>
        <w:fldChar w:fldCharType="separate"/>
      </w:r>
      <w:r>
        <w:rPr>
          <w:rStyle w:val="30"/>
          <w:rFonts w:hint="eastAsia" w:ascii="宋体" w:hAnsi="宋体"/>
          <w:bCs/>
          <w:color w:val="000000"/>
          <w:sz w:val="24"/>
          <w:szCs w:val="24"/>
        </w:rPr>
        <w:t>www.creditchina.gov.cn</w:t>
      </w:r>
      <w:r>
        <w:rPr>
          <w:rStyle w:val="30"/>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color w:val="000000"/>
          <w:sz w:val="24"/>
          <w:szCs w:val="24"/>
        </w:rPr>
        <w:t>中国政府采购网(www.ccgp.gov.cn)</w:t>
      </w:r>
      <w:r>
        <w:rPr>
          <w:rFonts w:hint="eastAsia" w:ascii="宋体" w:hAnsi="宋体"/>
          <w:bCs/>
          <w:color w:val="000000"/>
          <w:sz w:val="24"/>
          <w:szCs w:val="24"/>
        </w:rPr>
        <w:t>查询投标供应商在投标截止时间之前，是否被列入</w:t>
      </w:r>
      <w:r>
        <w:rPr>
          <w:rFonts w:hint="eastAsia" w:ascii="宋体" w:hAnsi="宋体"/>
          <w:color w:val="000000"/>
          <w:sz w:val="24"/>
          <w:szCs w:val="24"/>
        </w:rPr>
        <w:t>失信被执行人、重大税收违法案件当事人名单、政府采购严重违法失信行为记录名单，</w:t>
      </w:r>
      <w:r>
        <w:rPr>
          <w:rFonts w:hint="eastAsia" w:ascii="宋体" w:hAnsi="宋体"/>
          <w:bCs/>
          <w:color w:val="000000"/>
          <w:sz w:val="24"/>
        </w:rPr>
        <w:t>以确定投标供应商是否具备投标资格。信用</w:t>
      </w:r>
      <w:r>
        <w:rPr>
          <w:rFonts w:hint="eastAsia" w:ascii="宋体" w:hAnsi="宋体"/>
          <w:color w:val="000000"/>
          <w:sz w:val="24"/>
          <w:szCs w:val="24"/>
        </w:rPr>
        <w:t>查询结果以网页打印的形式留存并归档。</w:t>
      </w:r>
    </w:p>
    <w:p>
      <w:pPr>
        <w:numPr>
          <w:ilvl w:val="0"/>
          <w:numId w:val="11"/>
        </w:numPr>
        <w:tabs>
          <w:tab w:val="left" w:pos="525"/>
          <w:tab w:val="left" w:pos="630"/>
          <w:tab w:val="left" w:pos="945"/>
          <w:tab w:val="left" w:pos="1365"/>
          <w:tab w:val="clear" w:pos="881"/>
        </w:tabs>
        <w:spacing w:line="360" w:lineRule="auto"/>
        <w:ind w:left="0" w:firstLine="523" w:firstLineChars="218"/>
        <w:rPr>
          <w:rFonts w:hint="eastAsia" w:ascii="宋体"/>
          <w:bCs/>
          <w:color w:val="000000"/>
          <w:sz w:val="24"/>
        </w:rPr>
      </w:pPr>
      <w:r>
        <w:rPr>
          <w:rFonts w:hint="eastAsia" w:ascii="宋体" w:hAnsi="宋体"/>
          <w:bCs/>
          <w:color w:val="000000"/>
          <w:sz w:val="24"/>
        </w:rPr>
        <w:t>符合性检查。评标委员会依据招标文件的规定，从投标文件的有效性、完整性和对招标文件的响应程度进行审查，以确定是否对招标文件的实质性要求作出响应。</w:t>
      </w:r>
    </w:p>
    <w:p>
      <w:pPr>
        <w:numPr>
          <w:ilvl w:val="0"/>
          <w:numId w:val="10"/>
        </w:numPr>
        <w:tabs>
          <w:tab w:val="left" w:pos="525"/>
          <w:tab w:val="left" w:pos="945"/>
          <w:tab w:val="left" w:pos="1155"/>
          <w:tab w:val="clear" w:pos="1104"/>
        </w:tabs>
        <w:spacing w:line="360" w:lineRule="auto"/>
        <w:ind w:left="0" w:firstLine="523" w:firstLineChars="218"/>
        <w:rPr>
          <w:rFonts w:hint="eastAsia" w:ascii="宋体"/>
          <w:bCs/>
          <w:color w:val="000000"/>
          <w:sz w:val="24"/>
          <w:szCs w:val="24"/>
        </w:rPr>
      </w:pPr>
      <w:r>
        <w:rPr>
          <w:rFonts w:hint="eastAsia" w:ascii="宋体" w:hAnsi="宋体"/>
          <w:bCs/>
          <w:color w:val="000000"/>
          <w:sz w:val="24"/>
        </w:rPr>
        <w:t>澄清有关问题。对投标文件中含义不明确、同类问题表述不一致或者有明显文字和计算错误的内容，评标委员会可以通过</w:t>
      </w:r>
      <w:r>
        <w:rPr>
          <w:rFonts w:hint="eastAsia" w:ascii="宋体" w:hAnsi="宋体"/>
          <w:bCs/>
          <w:color w:val="000000"/>
          <w:sz w:val="24"/>
          <w:szCs w:val="24"/>
        </w:rPr>
        <w:t>政府采购交易管理一体化系统</w:t>
      </w:r>
      <w:r>
        <w:rPr>
          <w:rFonts w:hint="eastAsia" w:ascii="宋体" w:hAnsi="宋体"/>
          <w:bCs/>
          <w:color w:val="000000"/>
          <w:sz w:val="24"/>
        </w:rPr>
        <w:t>发起询标，要求投标人作出必要的澄清、说明或者纠正。投标人的澄清、说明或者补正应当通过</w:t>
      </w:r>
      <w:r>
        <w:rPr>
          <w:rFonts w:hint="eastAsia" w:ascii="宋体" w:hAnsi="宋体"/>
          <w:bCs/>
          <w:color w:val="000000"/>
          <w:sz w:val="24"/>
          <w:szCs w:val="24"/>
        </w:rPr>
        <w:t>政府采购交易管理一体化系统</w:t>
      </w:r>
      <w:r>
        <w:rPr>
          <w:rFonts w:hint="eastAsia" w:ascii="宋体" w:hAnsi="宋体"/>
          <w:bCs/>
          <w:color w:val="000000"/>
          <w:sz w:val="24"/>
        </w:rPr>
        <w:t>，由其授权的代表应答并加盖电子公章，且不得超出投标文件的范围或者改变投标文件的实质性内容</w:t>
      </w:r>
      <w:r>
        <w:rPr>
          <w:rFonts w:hint="eastAsia" w:ascii="宋体" w:hAnsi="宋体"/>
          <w:bCs/>
          <w:color w:val="000000"/>
          <w:sz w:val="24"/>
          <w:szCs w:val="24"/>
        </w:rPr>
        <w:t>。</w:t>
      </w:r>
    </w:p>
    <w:p>
      <w:pPr>
        <w:numPr>
          <w:ilvl w:val="0"/>
          <w:numId w:val="10"/>
        </w:numPr>
        <w:tabs>
          <w:tab w:val="left" w:pos="945"/>
          <w:tab w:val="left" w:pos="1155"/>
          <w:tab w:val="left" w:pos="1365"/>
          <w:tab w:val="clear" w:pos="1104"/>
        </w:tabs>
        <w:spacing w:line="360" w:lineRule="auto"/>
        <w:ind w:left="0" w:firstLine="523" w:firstLineChars="218"/>
        <w:rPr>
          <w:rFonts w:hint="eastAsia" w:ascii="宋体"/>
          <w:bCs/>
          <w:color w:val="000000"/>
          <w:sz w:val="24"/>
          <w:szCs w:val="24"/>
        </w:rPr>
      </w:pPr>
      <w:r>
        <w:rPr>
          <w:rFonts w:hint="eastAsia" w:ascii="宋体" w:hAnsi="宋体"/>
          <w:bCs/>
          <w:color w:val="000000"/>
          <w:sz w:val="24"/>
        </w:rPr>
        <w:t>比较与评价。按招标文件中规定的评标方法和标准，对资格性检查和符合性检查合格的投标文件进行商务和技术评估，综合比较与评价</w:t>
      </w:r>
      <w:r>
        <w:rPr>
          <w:rFonts w:hint="eastAsia" w:ascii="宋体" w:hAnsi="宋体"/>
          <w:bCs/>
          <w:color w:val="000000"/>
          <w:sz w:val="24"/>
          <w:szCs w:val="24"/>
        </w:rPr>
        <w:t>。</w:t>
      </w:r>
    </w:p>
    <w:p>
      <w:pPr>
        <w:numPr>
          <w:ilvl w:val="1"/>
          <w:numId w:val="8"/>
        </w:numPr>
        <w:tabs>
          <w:tab w:val="left" w:pos="525"/>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评标方法</w:t>
      </w:r>
    </w:p>
    <w:p>
      <w:pPr>
        <w:tabs>
          <w:tab w:val="left" w:pos="945"/>
        </w:tabs>
        <w:spacing w:line="360" w:lineRule="auto"/>
        <w:ind w:firstLine="523" w:firstLineChars="218"/>
        <w:rPr>
          <w:rFonts w:hint="eastAsia" w:ascii="宋体"/>
          <w:bCs/>
          <w:color w:val="000000"/>
          <w:sz w:val="24"/>
          <w:szCs w:val="24"/>
        </w:rPr>
      </w:pPr>
      <w:r>
        <w:rPr>
          <w:rFonts w:hint="eastAsia" w:ascii="宋体" w:hAnsi="宋体"/>
          <w:bCs/>
          <w:color w:val="000000"/>
          <w:sz w:val="24"/>
          <w:szCs w:val="24"/>
        </w:rPr>
        <w:t>投标人通过初审的，方可进入</w:t>
      </w:r>
      <w:r>
        <w:rPr>
          <w:rFonts w:hint="eastAsia" w:ascii="宋体" w:hAnsi="宋体"/>
          <w:bCs/>
          <w:color w:val="000000"/>
          <w:sz w:val="24"/>
        </w:rPr>
        <w:t>比较与评价程序</w:t>
      </w:r>
      <w:r>
        <w:rPr>
          <w:rFonts w:hint="eastAsia" w:ascii="宋体" w:hAnsi="宋体"/>
          <w:bCs/>
          <w:color w:val="000000"/>
          <w:sz w:val="24"/>
          <w:szCs w:val="24"/>
        </w:rPr>
        <w:t>。</w:t>
      </w:r>
    </w:p>
    <w:p>
      <w:pPr>
        <w:tabs>
          <w:tab w:val="left" w:pos="945"/>
        </w:tabs>
        <w:spacing w:line="360" w:lineRule="auto"/>
        <w:ind w:firstLine="523" w:firstLineChars="218"/>
        <w:rPr>
          <w:rFonts w:hint="eastAsia" w:ascii="宋体"/>
          <w:bCs/>
          <w:color w:val="000000"/>
          <w:sz w:val="24"/>
          <w:szCs w:val="24"/>
        </w:rPr>
      </w:pPr>
      <w:r>
        <w:rPr>
          <w:rFonts w:hint="eastAsia" w:ascii="宋体" w:hAnsi="宋体"/>
          <w:bCs/>
          <w:color w:val="000000"/>
          <w:sz w:val="24"/>
        </w:rPr>
        <w:t>比较与评价</w:t>
      </w:r>
      <w:r>
        <w:rPr>
          <w:rFonts w:hint="eastAsia" w:ascii="宋体" w:hAnsi="宋体"/>
          <w:bCs/>
          <w:color w:val="000000"/>
          <w:sz w:val="24"/>
          <w:szCs w:val="24"/>
        </w:rPr>
        <w:t>采用综合评分法。</w:t>
      </w:r>
    </w:p>
    <w:p>
      <w:pPr>
        <w:tabs>
          <w:tab w:val="left" w:pos="945"/>
        </w:tabs>
        <w:spacing w:line="360" w:lineRule="auto"/>
        <w:ind w:firstLine="523" w:firstLineChars="218"/>
        <w:rPr>
          <w:rFonts w:hint="eastAsia" w:ascii="宋体" w:hAnsi="宋体"/>
          <w:bCs/>
          <w:color w:val="000000"/>
          <w:sz w:val="24"/>
          <w:szCs w:val="24"/>
        </w:rPr>
      </w:pPr>
      <w:r>
        <w:rPr>
          <w:rFonts w:hint="eastAsia" w:ascii="宋体" w:hAnsi="宋体"/>
          <w:bCs/>
          <w:color w:val="000000"/>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Pr>
          <w:rFonts w:hint="eastAsia" w:ascii="宋体" w:hAnsi="宋体"/>
          <w:bCs/>
          <w:color w:val="000000"/>
          <w:sz w:val="24"/>
        </w:rPr>
        <w:t>非单一产品采购项目，多家投标人提供的核心产品品牌相同的，同上处理。</w:t>
      </w:r>
    </w:p>
    <w:p>
      <w:pPr>
        <w:numPr>
          <w:ilvl w:val="1"/>
          <w:numId w:val="8"/>
        </w:numPr>
        <w:tabs>
          <w:tab w:val="left" w:pos="525"/>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评分标准</w:t>
      </w:r>
    </w:p>
    <w:p>
      <w:pPr>
        <w:tabs>
          <w:tab w:val="left" w:pos="945"/>
        </w:tabs>
        <w:spacing w:line="360" w:lineRule="auto"/>
        <w:ind w:firstLine="480" w:firstLineChars="200"/>
        <w:outlineLvl w:val="0"/>
        <w:rPr>
          <w:rFonts w:hint="eastAsia" w:ascii="宋体" w:hAnsi="宋体"/>
          <w:bCs/>
          <w:color w:val="000000"/>
          <w:sz w:val="24"/>
          <w:szCs w:val="24"/>
        </w:rPr>
      </w:pPr>
      <w:r>
        <w:rPr>
          <w:rFonts w:hint="eastAsia" w:ascii="宋体" w:hAnsi="宋体"/>
          <w:bCs/>
          <w:color w:val="000000"/>
          <w:sz w:val="24"/>
          <w:szCs w:val="24"/>
        </w:rPr>
        <w:t>详见附件。</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定标：</w:t>
      </w:r>
    </w:p>
    <w:p>
      <w:pPr>
        <w:numPr>
          <w:ilvl w:val="0"/>
          <w:numId w:val="12"/>
        </w:numPr>
        <w:tabs>
          <w:tab w:val="left" w:pos="420"/>
          <w:tab w:val="left" w:pos="525"/>
          <w:tab w:val="left" w:pos="945"/>
          <w:tab w:val="left" w:pos="1155"/>
          <w:tab w:val="clear" w:pos="552"/>
        </w:tabs>
        <w:spacing w:line="360" w:lineRule="auto"/>
        <w:ind w:left="0" w:firstLine="523" w:firstLineChars="218"/>
        <w:rPr>
          <w:rFonts w:ascii="宋体"/>
          <w:bCs/>
          <w:color w:val="000000"/>
          <w:sz w:val="24"/>
          <w:szCs w:val="24"/>
        </w:rPr>
      </w:pPr>
      <w:r>
        <w:rPr>
          <w:rFonts w:hint="eastAsia" w:ascii="宋体" w:hAnsi="宋体"/>
          <w:bCs/>
          <w:color w:val="000000"/>
          <w:sz w:val="24"/>
          <w:szCs w:val="24"/>
        </w:rPr>
        <w:t>评标委员会根据招标文件规定的评标方法和评标标准进行评审，按招标文件的要求依法确定中标供应商。</w:t>
      </w:r>
      <w:r>
        <w:rPr>
          <w:rFonts w:hint="eastAsia" w:ascii="宋体" w:hAnsi="宋体"/>
          <w:bCs/>
          <w:sz w:val="24"/>
          <w:szCs w:val="24"/>
        </w:rPr>
        <w:t>无锡市公共资源交易中心梁溪分中心</w:t>
      </w:r>
      <w:r>
        <w:rPr>
          <w:rFonts w:hint="eastAsia" w:ascii="宋体" w:hAnsi="宋体"/>
          <w:bCs/>
          <w:color w:val="000000"/>
          <w:sz w:val="24"/>
          <w:szCs w:val="24"/>
        </w:rPr>
        <w:t>将在无锡市公共资源交易中心政府采购专栏、无锡政府采购网、江苏政府采购网和中国政府采购网发布中标公告。如有质疑，应在法定质疑期限内，即</w:t>
      </w:r>
      <w:r>
        <w:rPr>
          <w:rFonts w:hint="eastAsia" w:ascii="宋体" w:hAnsi="宋体"/>
          <w:color w:val="000000"/>
          <w:sz w:val="24"/>
          <w:szCs w:val="24"/>
        </w:rPr>
        <w:t>中标公告</w:t>
      </w:r>
      <w:r>
        <w:rPr>
          <w:rFonts w:hint="eastAsia" w:ascii="宋体" w:hAnsi="宋体" w:cs="宋体"/>
          <w:bCs/>
          <w:color w:val="000000"/>
          <w:kern w:val="0"/>
          <w:sz w:val="24"/>
        </w:rPr>
        <w:t>期限届满之日</w:t>
      </w:r>
      <w:r>
        <w:rPr>
          <w:rFonts w:hint="eastAsia" w:ascii="宋体" w:hAnsi="宋体"/>
          <w:color w:val="000000"/>
          <w:sz w:val="24"/>
          <w:szCs w:val="24"/>
        </w:rPr>
        <w:t>起7个工作日</w:t>
      </w:r>
      <w:r>
        <w:rPr>
          <w:rFonts w:hint="eastAsia" w:ascii="宋体" w:hAnsi="宋体"/>
          <w:bCs/>
          <w:color w:val="000000"/>
          <w:sz w:val="24"/>
          <w:szCs w:val="24"/>
        </w:rPr>
        <w:t>内，以书面形式（原件）送达</w:t>
      </w:r>
      <w:r>
        <w:rPr>
          <w:rFonts w:hint="eastAsia" w:ascii="宋体" w:hAnsi="宋体"/>
          <w:bCs/>
          <w:sz w:val="24"/>
          <w:szCs w:val="24"/>
        </w:rPr>
        <w:t>无锡市公共资源交易中心梁溪分中心</w:t>
      </w:r>
      <w:r>
        <w:rPr>
          <w:rFonts w:hint="eastAsia" w:ascii="宋体" w:hAnsi="宋体"/>
          <w:bCs/>
          <w:color w:val="000000"/>
          <w:sz w:val="24"/>
          <w:szCs w:val="24"/>
        </w:rPr>
        <w:t>，并且针对同一采购程序环节的质疑，须在法定质疑期内一次性提出。质疑函的质疑事项应具体、明确，并有必要的事实依据和法律依据（格式详见中国政府采购网《</w:t>
      </w:r>
      <w:r>
        <w:fldChar w:fldCharType="begin"/>
      </w:r>
      <w:r>
        <w:instrText xml:space="preserve"> HYPERLINK "http://download.ccgp.gov.cn/2018/zhiyihanfanben.zip" \t "_blank" </w:instrText>
      </w:r>
      <w:r>
        <w:fldChar w:fldCharType="separate"/>
      </w:r>
      <w:r>
        <w:rPr>
          <w:rStyle w:val="30"/>
          <w:rFonts w:hint="eastAsia" w:ascii="宋体" w:hAnsi="宋体"/>
          <w:bCs/>
          <w:color w:val="000000"/>
          <w:sz w:val="24"/>
          <w:szCs w:val="24"/>
        </w:rPr>
        <w:t>政府采购供应商质疑函范本</w:t>
      </w:r>
      <w:r>
        <w:rPr>
          <w:rStyle w:val="30"/>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bCs/>
          <w:sz w:val="24"/>
          <w:szCs w:val="24"/>
        </w:rPr>
        <w:t>无锡市公共资源交易中心梁溪分中心</w:t>
      </w:r>
      <w:r>
        <w:rPr>
          <w:rFonts w:hint="eastAsia" w:ascii="宋体" w:hAnsi="宋体"/>
          <w:bCs/>
          <w:color w:val="000000"/>
          <w:sz w:val="24"/>
          <w:szCs w:val="24"/>
        </w:rPr>
        <w:t>将在收到符合上述要求的书面质疑后七个工作日内，对质疑内容做出答复。投标人在法定质疑期限外送达的质疑函或法定质疑期限内送达的质疑函不符合上述要求的均为无效质疑，</w:t>
      </w:r>
      <w:r>
        <w:rPr>
          <w:rFonts w:hint="eastAsia" w:ascii="宋体" w:hAnsi="宋体"/>
          <w:bCs/>
          <w:sz w:val="24"/>
          <w:szCs w:val="24"/>
        </w:rPr>
        <w:t>无锡市公共资源交易中心梁溪分中心</w:t>
      </w:r>
      <w:r>
        <w:rPr>
          <w:rFonts w:hint="eastAsia" w:ascii="宋体" w:hAnsi="宋体"/>
          <w:bCs/>
          <w:color w:val="000000"/>
          <w:sz w:val="24"/>
          <w:szCs w:val="24"/>
        </w:rPr>
        <w:t>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pPr>
        <w:numPr>
          <w:ilvl w:val="0"/>
          <w:numId w:val="12"/>
        </w:numPr>
        <w:tabs>
          <w:tab w:val="left" w:pos="420"/>
          <w:tab w:val="left" w:pos="525"/>
          <w:tab w:val="left" w:pos="945"/>
          <w:tab w:val="left" w:pos="1155"/>
          <w:tab w:val="clear" w:pos="552"/>
        </w:tabs>
        <w:spacing w:line="360" w:lineRule="auto"/>
        <w:ind w:left="0" w:firstLine="523" w:firstLineChars="218"/>
        <w:rPr>
          <w:rFonts w:hint="eastAsia" w:ascii="宋体"/>
          <w:bCs/>
          <w:color w:val="000000"/>
          <w:sz w:val="24"/>
          <w:szCs w:val="24"/>
        </w:rPr>
      </w:pPr>
      <w:r>
        <w:rPr>
          <w:rFonts w:hint="eastAsia" w:ascii="宋体" w:hAnsi="宋体"/>
          <w:bCs/>
          <w:sz w:val="24"/>
          <w:szCs w:val="24"/>
        </w:rPr>
        <w:t>无锡市公共资源交易中心梁溪分中心</w:t>
      </w:r>
      <w:r>
        <w:rPr>
          <w:rFonts w:hint="eastAsia" w:ascii="宋体" w:hAnsi="宋体"/>
          <w:bCs/>
          <w:color w:val="000000"/>
          <w:sz w:val="24"/>
          <w:szCs w:val="24"/>
        </w:rPr>
        <w:t>向中标供应商发中标通知书。</w:t>
      </w:r>
    </w:p>
    <w:p>
      <w:pPr>
        <w:spacing w:line="360" w:lineRule="auto"/>
        <w:ind w:firstLine="480" w:firstLineChars="200"/>
        <w:outlineLvl w:val="0"/>
        <w:rPr>
          <w:rFonts w:hint="eastAsia" w:ascii="宋体" w:hAnsi="宋体"/>
          <w:bCs/>
          <w:color w:val="000000"/>
          <w:sz w:val="24"/>
          <w:szCs w:val="24"/>
        </w:rPr>
      </w:pPr>
      <w:r>
        <w:rPr>
          <w:rFonts w:hint="eastAsia" w:ascii="宋体" w:hAnsi="宋体"/>
          <w:bCs/>
          <w:color w:val="000000"/>
          <w:sz w:val="24"/>
          <w:szCs w:val="24"/>
        </w:rPr>
        <w:t>投标供应商电子投标文件将作为电子档案保存。</w:t>
      </w:r>
    </w:p>
    <w:p>
      <w:pPr>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（十一）</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废标的确认：</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在招标采购中，出现下列情况之一的，应予废标：</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符合专业条件的投标人或者对招标文件作出实质性响应的投标人不足三家；</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出现影响采购公正的违法、违规行为；</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投标人的报价均超过采购预算，采购人不能支付的；</w:t>
      </w:r>
    </w:p>
    <w:p>
      <w:pPr>
        <w:numPr>
          <w:ilvl w:val="0"/>
          <w:numId w:val="13"/>
        </w:numPr>
        <w:tabs>
          <w:tab w:val="right" w:pos="180"/>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因重大变故，采购任务取消。</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
          <w:color w:val="000000" w:themeColor="text1"/>
          <w:sz w:val="24"/>
          <w:szCs w:val="24"/>
          <w14:textFill>
            <w14:solidFill>
              <w14:schemeClr w14:val="tx1"/>
            </w14:solidFill>
          </w14:textFill>
        </w:rPr>
        <w:t>（十二）</w:t>
      </w:r>
      <w:r>
        <w:rPr>
          <w:rFonts w:hint="eastAsia" w:ascii="黑体" w:hAnsi="宋体" w:eastAsia="黑体"/>
          <w:bCs/>
          <w:color w:val="000000" w:themeColor="text1"/>
          <w:sz w:val="24"/>
          <w:szCs w:val="24"/>
          <w14:textFill>
            <w14:solidFill>
              <w14:schemeClr w14:val="tx1"/>
            </w14:solidFill>
          </w14:textFill>
        </w:rPr>
        <w:t>中标无效的确认：</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提供虚假材料谋取中标的；</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采取不正当手段诋毁、排挤其他投标人的；</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与招标采购单位、其他投标人恶意串通的；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向招标采购单位行贿或者提供其他不正当利益的；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在招标过程中与招标采购单位进行协商谈判、不按照招标文件和中标供应商的投标文件订立合同，或者与采购人另行订立背离合同实质性内容的协议的；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拒绝有关部门监督检查或者提供虚假情况的。</w:t>
      </w:r>
    </w:p>
    <w:p>
      <w:pPr>
        <w:tabs>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投标人有上述（</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）至（</w:t>
      </w:r>
      <w:r>
        <w:rPr>
          <w:rFonts w:ascii="宋体" w:hAnsi="宋体"/>
          <w:bCs/>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）项情形之一的，中标无效。有上述（</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）至（</w:t>
      </w:r>
      <w:r>
        <w:rPr>
          <w:rFonts w:ascii="宋体" w:hAnsi="宋体"/>
          <w:bCs/>
          <w:color w:val="000000" w:themeColor="text1"/>
          <w:sz w:val="24"/>
          <w:szCs w:val="24"/>
          <w14:textFill>
            <w14:solidFill>
              <w14:schemeClr w14:val="tx1"/>
            </w14:solidFill>
          </w14:textFill>
        </w:rPr>
        <w:t>6</w:t>
      </w:r>
      <w:r>
        <w:rPr>
          <w:rFonts w:hint="eastAsia" w:ascii="宋体" w:hAnsi="宋体"/>
          <w:bCs/>
          <w:color w:val="000000" w:themeColor="text1"/>
          <w:sz w:val="24"/>
          <w:szCs w:val="24"/>
          <w14:textFill>
            <w14:solidFill>
              <w14:schemeClr w14:val="tx1"/>
            </w14:solidFill>
          </w14:textFill>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（十三）签订</w:t>
      </w:r>
      <w:r>
        <w:rPr>
          <w:rFonts w:hint="eastAsia" w:ascii="黑体" w:hAnsi="宋体" w:eastAsia="黑体"/>
          <w:b/>
          <w:color w:val="000000" w:themeColor="text1"/>
          <w:sz w:val="24"/>
          <w:szCs w:val="24"/>
          <w14:textFill>
            <w14:solidFill>
              <w14:schemeClr w14:val="tx1"/>
            </w14:solidFill>
          </w14:textFill>
        </w:rPr>
        <w:t>、履行</w:t>
      </w:r>
      <w:r>
        <w:rPr>
          <w:rFonts w:hint="eastAsia" w:ascii="黑体" w:hAnsi="宋体" w:eastAsia="黑体"/>
          <w:bCs/>
          <w:color w:val="000000" w:themeColor="text1"/>
          <w:sz w:val="24"/>
          <w:szCs w:val="24"/>
          <w14:textFill>
            <w14:solidFill>
              <w14:schemeClr w14:val="tx1"/>
            </w14:solidFill>
          </w14:textFill>
        </w:rPr>
        <w:t>合同：</w:t>
      </w:r>
    </w:p>
    <w:p>
      <w:pPr>
        <w:numPr>
          <w:ilvl w:val="0"/>
          <w:numId w:val="15"/>
        </w:numPr>
        <w:tabs>
          <w:tab w:val="left" w:pos="525"/>
          <w:tab w:val="left" w:pos="945"/>
          <w:tab w:val="left" w:pos="105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采购人应当自中标通知书发出之日起三十日内（</w:t>
      </w:r>
      <w:r>
        <w:rPr>
          <w:rFonts w:ascii="宋体" w:hAnsi="宋体"/>
          <w:color w:val="000000" w:themeColor="text1"/>
          <w:sz w:val="24"/>
          <w:szCs w:val="24"/>
          <w14:textFill>
            <w14:solidFill>
              <w14:schemeClr w14:val="tx1"/>
            </w14:solidFill>
          </w14:textFill>
        </w:rPr>
        <w:t>到新冠疫情应急响应解除之日</w:t>
      </w:r>
      <w:r>
        <w:rPr>
          <w:rFonts w:hint="eastAsia" w:ascii="宋体" w:hAnsi="宋体"/>
          <w:color w:val="000000" w:themeColor="text1"/>
          <w:sz w:val="24"/>
          <w:szCs w:val="24"/>
          <w14:textFill>
            <w14:solidFill>
              <w14:schemeClr w14:val="tx1"/>
            </w14:solidFill>
          </w14:textFill>
        </w:rPr>
        <w:t>前缩短至十五日内</w:t>
      </w:r>
      <w:r>
        <w:rPr>
          <w:rFonts w:hint="eastAsia" w:ascii="宋体" w:hAnsi="宋体"/>
          <w:bCs/>
          <w:color w:val="000000" w:themeColor="text1"/>
          <w:sz w:val="24"/>
          <w:szCs w:val="24"/>
          <w14:textFill>
            <w14:solidFill>
              <w14:schemeClr w14:val="tx1"/>
            </w14:solidFill>
          </w14:textFill>
        </w:rPr>
        <w:t>），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合同经无锡市公共资源交易中心梁溪分中心见证后生效。</w:t>
      </w:r>
    </w:p>
    <w:p>
      <w:pPr>
        <w:numPr>
          <w:ilvl w:val="0"/>
          <w:numId w:val="15"/>
        </w:numPr>
        <w:tabs>
          <w:tab w:val="left" w:pos="525"/>
          <w:tab w:val="left" w:pos="945"/>
          <w:tab w:val="left" w:pos="105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中标方非因不可抗力未履行招、投标文件和合同规定的义务，一经查实，无锡市公共资源交易中心梁溪分中心将根据具体情况提请政府采购管理部门作出相应处理。</w:t>
      </w:r>
    </w:p>
    <w:p>
      <w:pPr>
        <w:numPr>
          <w:ilvl w:val="0"/>
          <w:numId w:val="15"/>
        </w:numPr>
        <w:tabs>
          <w:tab w:val="left" w:pos="525"/>
          <w:tab w:val="left" w:pos="945"/>
          <w:tab w:val="left" w:pos="1050"/>
          <w:tab w:val="clear" w:pos="552"/>
        </w:tabs>
        <w:spacing w:line="360" w:lineRule="auto"/>
        <w:ind w:left="0" w:firstLine="525"/>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中标供应商向采购人缴纳的履约保证金不超过政府采购合同金额的10%。</w:t>
      </w:r>
      <w:r>
        <w:rPr>
          <w:rFonts w:hint="eastAsia" w:ascii="宋体" w:hAnsi="宋体"/>
          <w:bCs/>
          <w:color w:val="000000" w:themeColor="text1"/>
          <w:sz w:val="24"/>
          <w14:textFill>
            <w14:solidFill>
              <w14:schemeClr w14:val="tx1"/>
            </w14:solidFill>
          </w14:textFill>
        </w:rPr>
        <w:t>收取履约保证金的，采购人应当</w:t>
      </w:r>
      <w:r>
        <w:rPr>
          <w:rFonts w:hint="eastAsia" w:ascii="宋体"/>
          <w:bCs/>
          <w:color w:val="000000" w:themeColor="text1"/>
          <w:sz w:val="24"/>
          <w14:textFill>
            <w14:solidFill>
              <w14:schemeClr w14:val="tx1"/>
            </w14:solidFill>
          </w14:textFill>
        </w:rPr>
        <w:t>允许</w:t>
      </w:r>
      <w:r>
        <w:rPr>
          <w:rFonts w:ascii="宋体"/>
          <w:bCs/>
          <w:color w:val="000000" w:themeColor="text1"/>
          <w:sz w:val="24"/>
          <w:szCs w:val="24"/>
          <w14:textFill>
            <w14:solidFill>
              <w14:schemeClr w14:val="tx1"/>
            </w14:solidFill>
          </w14:textFill>
        </w:rPr>
        <w:t>供应商自主选择以支票、 汇票、 本票、 保函等非现金形式缴纳或提交，</w:t>
      </w:r>
      <w:r>
        <w:rPr>
          <w:rFonts w:hint="eastAsia" w:ascii="宋体"/>
          <w:bCs/>
          <w:color w:val="000000" w:themeColor="text1"/>
          <w:sz w:val="24"/>
          <w:szCs w:val="24"/>
          <w14:textFill>
            <w14:solidFill>
              <w14:schemeClr w14:val="tx1"/>
            </w14:solidFill>
          </w14:textFill>
        </w:rPr>
        <w:t>并</w:t>
      </w:r>
      <w:r>
        <w:rPr>
          <w:rFonts w:hint="eastAsia" w:ascii="宋体" w:hAnsi="宋体"/>
          <w:bCs/>
          <w:color w:val="000000" w:themeColor="text1"/>
          <w:sz w:val="24"/>
          <w14:textFill>
            <w14:solidFill>
              <w14:schemeClr w14:val="tx1"/>
            </w14:solidFill>
          </w14:textFill>
        </w:rPr>
        <w:t>与中标供应商在采购合同中约定履约保证金退还的方式、时间、条件和不予退还的情形，明确逾期退还履约保证金的违约责任。</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（十四）注意事项：</w:t>
      </w:r>
    </w:p>
    <w:p>
      <w:pPr>
        <w:tabs>
          <w:tab w:val="left" w:pos="945"/>
        </w:tabs>
        <w:spacing w:line="360" w:lineRule="auto"/>
        <w:ind w:firstLine="360" w:firstLineChars="15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中标供应商有下列情形之一的，情节严重的，由财政部门将其列入不良行为记录名单，在一至三年内禁止参加政府采购活动，并予以通报：</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中标后无正当理由不与采购人签订合同的；</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将中标项目转让给他人，或者在投标文件中未说明，且未经过采购人同意，将中标项目分包给他人的；</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拒绝履行合同义务的。</w:t>
      </w:r>
    </w:p>
    <w:p>
      <w:pPr>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（十四）中标服务费：</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本次招标，无锡市公共资源交易中心梁溪分中心为中标供应商提供免费服务，不收取中标服务费。</w:t>
      </w:r>
    </w:p>
    <w:p>
      <w:pPr>
        <w:spacing w:line="400" w:lineRule="exact"/>
        <w:jc w:val="center"/>
        <w:rPr>
          <w:rFonts w:ascii="黑体" w:eastAsia="黑体"/>
          <w:bCs/>
          <w:color w:val="000000" w:themeColor="text1"/>
          <w:sz w:val="30"/>
          <w:szCs w:val="30"/>
          <w14:textFill>
            <w14:solidFill>
              <w14:schemeClr w14:val="tx1"/>
            </w14:solidFill>
          </w14:textFill>
        </w:rPr>
      </w:pPr>
    </w:p>
    <w:p>
      <w:pPr>
        <w:spacing w:line="360" w:lineRule="auto"/>
        <w:rPr>
          <w:rFonts w:ascii="黑体" w:eastAsia="黑体"/>
          <w:bCs/>
          <w:color w:val="000000" w:themeColor="text1"/>
          <w:sz w:val="30"/>
          <w:szCs w:val="30"/>
          <w14:textFill>
            <w14:solidFill>
              <w14:schemeClr w14:val="tx1"/>
            </w14:solidFill>
          </w14:textFill>
        </w:rPr>
      </w:pPr>
    </w:p>
    <w:p>
      <w:pPr>
        <w:spacing w:line="360" w:lineRule="auto"/>
        <w:jc w:val="center"/>
        <w:rPr>
          <w:rFonts w:ascii="黑体" w:eastAsia="黑体"/>
          <w:bCs/>
          <w:color w:val="000000" w:themeColor="text1"/>
          <w:sz w:val="30"/>
          <w:szCs w:val="30"/>
          <w14:textFill>
            <w14:solidFill>
              <w14:schemeClr w14:val="tx1"/>
            </w14:solidFill>
          </w14:textFill>
        </w:rPr>
      </w:pPr>
      <w:r>
        <w:rPr>
          <w:rFonts w:hint="eastAsia" w:ascii="黑体" w:eastAsia="黑体"/>
          <w:bCs/>
          <w:color w:val="000000" w:themeColor="text1"/>
          <w:sz w:val="30"/>
          <w:szCs w:val="30"/>
          <w14:textFill>
            <w14:solidFill>
              <w14:schemeClr w14:val="tx1"/>
            </w14:solidFill>
          </w14:textFill>
        </w:rPr>
        <w:t>三．</w:t>
      </w:r>
      <w:r>
        <w:rPr>
          <w:rFonts w:hint="eastAsia" w:ascii="黑体" w:eastAsia="黑体"/>
          <w:b/>
          <w:color w:val="000000" w:themeColor="text1"/>
          <w:sz w:val="30"/>
          <w:szCs w:val="30"/>
          <w14:textFill>
            <w14:solidFill>
              <w14:schemeClr w14:val="tx1"/>
            </w14:solidFill>
          </w14:textFill>
        </w:rPr>
        <w:t>项目技术要求和有关说明</w:t>
      </w:r>
    </w:p>
    <w:p>
      <w:pPr>
        <w:pStyle w:val="3"/>
        <w:spacing w:line="360" w:lineRule="auto"/>
        <w:ind w:firstLine="480" w:firstLineChars="200"/>
        <w:rPr>
          <w:rFonts w:ascii="宋体" w:hAnsi="宋体"/>
          <w:sz w:val="24"/>
          <w:szCs w:val="24"/>
        </w:rPr>
      </w:pPr>
      <w:r>
        <w:rPr>
          <w:rFonts w:hint="eastAsia" w:ascii="宋体" w:hAnsi="宋体"/>
          <w:sz w:val="24"/>
          <w:szCs w:val="24"/>
        </w:rPr>
        <w:t>本项目为</w:t>
      </w:r>
      <w:r>
        <w:rPr>
          <w:rFonts w:hint="eastAsia" w:ascii="宋体" w:hAnsi="宋体"/>
          <w:sz w:val="24"/>
          <w:szCs w:val="24"/>
          <w:lang w:eastAsia="zh-CN"/>
        </w:rPr>
        <w:t>无锡市梁溪区规划建筑设计方案智能审查系统</w:t>
      </w:r>
      <w:r>
        <w:rPr>
          <w:rFonts w:hint="eastAsia" w:ascii="宋体" w:hAnsi="宋体"/>
          <w:sz w:val="24"/>
          <w:szCs w:val="24"/>
        </w:rPr>
        <w:t>。项目具体要求如下，投标人所投内容必须满足以下要求，不得有负偏离。</w:t>
      </w:r>
    </w:p>
    <w:p>
      <w:pPr>
        <w:spacing w:after="5" w:line="360" w:lineRule="auto"/>
        <w:ind w:firstLine="480" w:firstLineChars="200"/>
        <w:rPr>
          <w:rFonts w:hint="eastAsia" w:ascii="宋体" w:hAnsi="宋体"/>
          <w:sz w:val="28"/>
          <w:szCs w:val="28"/>
        </w:rPr>
      </w:pPr>
      <w:r>
        <w:rPr>
          <w:rFonts w:hint="eastAsia" w:ascii="黑体" w:eastAsia="黑体"/>
          <w:color w:val="000000"/>
          <w:sz w:val="24"/>
          <w:szCs w:val="24"/>
        </w:rPr>
        <w:t>（一）项目技术要求：</w:t>
      </w:r>
    </w:p>
    <w:p>
      <w:pPr>
        <w:pStyle w:val="6"/>
        <w:rPr>
          <w:sz w:val="28"/>
          <w:szCs w:val="28"/>
        </w:rPr>
      </w:pPr>
      <w:r>
        <w:rPr>
          <w:rFonts w:hint="eastAsia" w:ascii="宋体" w:hAnsi="宋体"/>
          <w:sz w:val="28"/>
          <w:szCs w:val="28"/>
        </w:rPr>
        <w:t xml:space="preserve">  </w:t>
      </w:r>
      <w:r>
        <w:rPr>
          <w:rFonts w:hint="eastAsia"/>
          <w:sz w:val="28"/>
          <w:szCs w:val="28"/>
        </w:rPr>
        <w:t>一、项目背景</w:t>
      </w:r>
    </w:p>
    <w:p>
      <w:pPr>
        <w:spacing w:line="360" w:lineRule="auto"/>
        <w:ind w:firstLine="480" w:firstLineChars="200"/>
        <w:rPr>
          <w:rFonts w:asciiTheme="minorHAnsi" w:hAnsiTheme="minorHAnsi" w:cstheme="minorBidi"/>
          <w:sz w:val="24"/>
          <w:szCs w:val="21"/>
        </w:rPr>
      </w:pPr>
      <w:r>
        <w:rPr>
          <w:rFonts w:hint="eastAsia" w:asciiTheme="minorHAnsi" w:hAnsiTheme="minorHAnsi" w:cstheme="minorBidi"/>
          <w:sz w:val="24"/>
          <w:szCs w:val="21"/>
        </w:rPr>
        <w:t>随着城市建设规模不断扩大与建设步伐的加速，城乡建设项目数量呈井喷式提升，建设方案涉及的业务量和工程量越来越大，工作日益繁重。《行政许可法》等各级法规的不断完善和推进，对建设项目报批的业务范围、规范性和科学性提出了更高的要求，特别是近年来，各级政府不断优化营商环境，既要提高各项服务的工作质量，更要加快服务效率。因此在城市建设过程中，项目建筑设计方案的设计、报审，有必要统一的规划建设项目申报电子数据标准，把业务技能把握程度不同、政策理解程度不同、设计软件平台不同的成果规范起来，应用现代信息技术，建设规划设计、规整申报、智能审查的规范机制，减轻相关工作的工程量，达到成果标准、审查规范、入库严谨、共享方便的目标，进一步优化区域营商环境。</w:t>
      </w:r>
    </w:p>
    <w:p>
      <w:pPr>
        <w:pStyle w:val="6"/>
        <w:rPr>
          <w:sz w:val="28"/>
          <w:szCs w:val="28"/>
        </w:rPr>
      </w:pPr>
      <w:bookmarkStart w:id="2" w:name="_Toc434491830"/>
      <w:bookmarkStart w:id="3" w:name="_Toc289933192"/>
      <w:r>
        <w:rPr>
          <w:rFonts w:hint="eastAsia"/>
          <w:sz w:val="28"/>
          <w:szCs w:val="28"/>
        </w:rPr>
        <w:t>二、项目目标</w:t>
      </w:r>
      <w:bookmarkEnd w:id="2"/>
      <w:bookmarkEnd w:id="3"/>
    </w:p>
    <w:p>
      <w:pPr>
        <w:spacing w:line="360" w:lineRule="auto"/>
        <w:ind w:firstLine="480" w:firstLineChars="200"/>
        <w:rPr>
          <w:rFonts w:asciiTheme="minorHAnsi" w:hAnsiTheme="minorHAnsi" w:cstheme="minorBidi"/>
          <w:sz w:val="24"/>
          <w:szCs w:val="21"/>
        </w:rPr>
      </w:pPr>
      <w:r>
        <w:rPr>
          <w:rFonts w:hint="eastAsia" w:asciiTheme="minorHAnsi" w:hAnsiTheme="minorHAnsi" w:cstheme="minorBidi"/>
          <w:sz w:val="24"/>
          <w:szCs w:val="21"/>
        </w:rPr>
        <w:t>制定规范的指标体系和图形规范标准，建设一套建筑设计方案智能审查系统，通过开发快捷高效的图形归整、检查、编辑、属性录入、方案初检以及自动审查计算经济指标等功能，使设计单位的设计人员进行快捷地方案设计，行政部门的审查人员科学地进行指标审查，从而提高工作质量和效率，实现方案的快速审核和成果的建库管理。</w:t>
      </w:r>
    </w:p>
    <w:p>
      <w:pPr>
        <w:spacing w:line="360" w:lineRule="auto"/>
        <w:ind w:firstLine="480" w:firstLineChars="200"/>
        <w:rPr>
          <w:rFonts w:asciiTheme="minorHAnsi" w:hAnsiTheme="minorHAnsi" w:cstheme="minorBidi"/>
          <w:sz w:val="24"/>
          <w:szCs w:val="21"/>
        </w:rPr>
      </w:pPr>
      <w:r>
        <w:rPr>
          <w:rFonts w:hint="eastAsia" w:asciiTheme="minorHAnsi" w:hAnsiTheme="minorHAnsi" w:cstheme="minorBidi"/>
          <w:sz w:val="24"/>
          <w:szCs w:val="21"/>
        </w:rPr>
        <w:t>系统须选用AutoCAD为基础平台开发，开发的功能模块操作应简单易学，符合专业人员的操作习惯；根据工作需求，应针对“设计单位、建设单位、规划管理部门”等角色开发相应的功能。</w:t>
      </w:r>
    </w:p>
    <w:p>
      <w:pPr>
        <w:spacing w:line="360" w:lineRule="auto"/>
        <w:ind w:firstLine="480" w:firstLineChars="200"/>
        <w:rPr>
          <w:rFonts w:asciiTheme="minorHAnsi" w:hAnsiTheme="minorHAnsi" w:cstheme="minorBidi"/>
          <w:sz w:val="24"/>
          <w:szCs w:val="21"/>
        </w:rPr>
      </w:pPr>
      <w:bookmarkStart w:id="4" w:name="_Toc114303395"/>
      <w:bookmarkStart w:id="5" w:name="_Toc134850819"/>
      <w:bookmarkStart w:id="6" w:name="_Toc141759121"/>
      <w:r>
        <w:rPr>
          <w:rFonts w:hint="eastAsia" w:asciiTheme="minorHAnsi" w:hAnsiTheme="minorHAnsi" w:cstheme="minorBidi"/>
          <w:sz w:val="24"/>
          <w:szCs w:val="21"/>
        </w:rPr>
        <w:t>1、设计单位</w:t>
      </w:r>
      <w:bookmarkEnd w:id="4"/>
      <w:bookmarkEnd w:id="5"/>
      <w:bookmarkEnd w:id="6"/>
    </w:p>
    <w:p>
      <w:pPr>
        <w:spacing w:line="360" w:lineRule="auto"/>
        <w:ind w:firstLine="480" w:firstLineChars="200"/>
        <w:rPr>
          <w:rFonts w:asciiTheme="minorHAnsi" w:hAnsiTheme="minorHAnsi" w:cstheme="minorBidi"/>
          <w:sz w:val="24"/>
          <w:szCs w:val="21"/>
        </w:rPr>
      </w:pPr>
      <w:r>
        <w:rPr>
          <w:rFonts w:hint="eastAsia" w:asciiTheme="minorHAnsi" w:hAnsiTheme="minorHAnsi" w:cstheme="minorBidi"/>
          <w:sz w:val="24"/>
          <w:szCs w:val="21"/>
        </w:rPr>
        <w:t>根据规划管理的要求和标准，开发设计端模块，用于规整电子申报成果，相关功能以嵌入方式加载，不影响原设计软件平台的基础功能；将项目设计的电子成果通过计算机和人工干预等手段，快速形成标准化成果。辅助设计单位提高设计成果的质量与专业深度，便于设计单位对设计成果的建库管理与成果复用。</w:t>
      </w:r>
    </w:p>
    <w:p>
      <w:pPr>
        <w:spacing w:line="360" w:lineRule="auto"/>
        <w:ind w:firstLine="480" w:firstLineChars="200"/>
        <w:rPr>
          <w:rFonts w:asciiTheme="minorHAnsi" w:hAnsiTheme="minorHAnsi" w:cstheme="minorBidi"/>
          <w:sz w:val="24"/>
          <w:szCs w:val="21"/>
        </w:rPr>
      </w:pPr>
      <w:bookmarkStart w:id="7" w:name="_Toc134850820"/>
      <w:bookmarkStart w:id="8" w:name="_Toc141759122"/>
      <w:bookmarkStart w:id="9" w:name="_Toc114303396"/>
      <w:r>
        <w:rPr>
          <w:rFonts w:hint="eastAsia" w:asciiTheme="minorHAnsi" w:hAnsiTheme="minorHAnsi" w:cstheme="minorBidi"/>
          <w:sz w:val="24"/>
          <w:szCs w:val="21"/>
        </w:rPr>
        <w:t>2、建设单位</w:t>
      </w:r>
      <w:bookmarkEnd w:id="7"/>
      <w:bookmarkEnd w:id="8"/>
      <w:bookmarkEnd w:id="9"/>
    </w:p>
    <w:p>
      <w:pPr>
        <w:spacing w:line="360" w:lineRule="auto"/>
        <w:ind w:firstLine="480" w:firstLineChars="200"/>
        <w:rPr>
          <w:rFonts w:asciiTheme="minorHAnsi" w:hAnsiTheme="minorHAnsi" w:cstheme="minorBidi"/>
          <w:sz w:val="24"/>
          <w:szCs w:val="21"/>
        </w:rPr>
      </w:pPr>
      <w:r>
        <w:rPr>
          <w:rFonts w:hint="eastAsia" w:asciiTheme="minorHAnsi" w:hAnsiTheme="minorHAnsi" w:cstheme="minorBidi"/>
          <w:sz w:val="24"/>
          <w:szCs w:val="21"/>
        </w:rPr>
        <w:t>辅助建设单位规范收集材料，减少报建往返工作量，提高项目获批机率，为建设单位赢得时间；协助建设单位建立开发项目完整的电子业务档案。</w:t>
      </w:r>
    </w:p>
    <w:p>
      <w:pPr>
        <w:spacing w:line="360" w:lineRule="auto"/>
        <w:ind w:firstLine="480" w:firstLineChars="200"/>
        <w:rPr>
          <w:rFonts w:asciiTheme="minorHAnsi" w:hAnsiTheme="minorHAnsi" w:cstheme="minorBidi"/>
          <w:sz w:val="24"/>
          <w:szCs w:val="21"/>
        </w:rPr>
      </w:pPr>
      <w:bookmarkStart w:id="10" w:name="_Toc114303397"/>
      <w:bookmarkStart w:id="11" w:name="_Toc134850821"/>
      <w:bookmarkStart w:id="12" w:name="_Toc141759123"/>
      <w:r>
        <w:rPr>
          <w:rFonts w:hint="eastAsia" w:asciiTheme="minorHAnsi" w:hAnsiTheme="minorHAnsi" w:cstheme="minorBidi"/>
          <w:sz w:val="24"/>
          <w:szCs w:val="21"/>
        </w:rPr>
        <w:t>3、规划管理部门</w:t>
      </w:r>
      <w:bookmarkEnd w:id="10"/>
      <w:bookmarkEnd w:id="11"/>
      <w:bookmarkEnd w:id="12"/>
    </w:p>
    <w:p>
      <w:pPr>
        <w:spacing w:line="360" w:lineRule="auto"/>
        <w:ind w:firstLine="480" w:firstLineChars="200"/>
        <w:rPr>
          <w:rFonts w:asciiTheme="minorHAnsi" w:hAnsiTheme="minorHAnsi" w:cstheme="minorBidi"/>
          <w:sz w:val="24"/>
          <w:szCs w:val="21"/>
        </w:rPr>
      </w:pPr>
      <w:r>
        <w:rPr>
          <w:rFonts w:hint="eastAsia" w:asciiTheme="minorHAnsi" w:hAnsiTheme="minorHAnsi" w:cstheme="minorBidi"/>
          <w:sz w:val="24"/>
          <w:szCs w:val="21"/>
        </w:rPr>
        <w:t>开发审查端模块，对项目的电子报件，通过计算机智能对比检查，实现各项指标与各类规范的自动核查预警，实现“人审变机审”，降低人为因素干扰，提高审批效率。</w:t>
      </w:r>
    </w:p>
    <w:p>
      <w:pPr>
        <w:pStyle w:val="6"/>
        <w:rPr>
          <w:sz w:val="28"/>
          <w:szCs w:val="28"/>
        </w:rPr>
      </w:pPr>
      <w:r>
        <w:rPr>
          <w:rFonts w:hint="eastAsia"/>
          <w:sz w:val="28"/>
          <w:szCs w:val="28"/>
        </w:rPr>
        <w:t>三、建设内容</w:t>
      </w:r>
    </w:p>
    <w:p>
      <w:pPr>
        <w:spacing w:line="360" w:lineRule="auto"/>
        <w:ind w:firstLine="480" w:firstLineChars="200"/>
        <w:jc w:val="left"/>
        <w:rPr>
          <w:rFonts w:ascii="宋体" w:hAnsi="宋体"/>
          <w:sz w:val="24"/>
        </w:rPr>
      </w:pPr>
      <w:r>
        <w:rPr>
          <w:rFonts w:hint="eastAsia" w:ascii="宋体" w:hAnsi="宋体"/>
          <w:sz w:val="24"/>
        </w:rPr>
        <w:t>（一）协助编写标准规范。根据各部门相关</w:t>
      </w:r>
      <w:r>
        <w:rPr>
          <w:rFonts w:hint="eastAsia" w:ascii="宋体" w:hAnsi="宋体"/>
          <w:bCs/>
          <w:sz w:val="24"/>
        </w:rPr>
        <w:t>规范、规程以及成果标准，</w:t>
      </w:r>
      <w:r>
        <w:rPr>
          <w:rFonts w:hint="eastAsia" w:ascii="宋体" w:hAnsi="宋体"/>
          <w:sz w:val="24"/>
        </w:rPr>
        <w:t>建立的标准规范包括但不限于：报批流程标准、报建资料的规范标准，报批图件制图标准（项目总平图、建筑单体图等）、报批图件的指标计算标准、报批数据存档标准等。</w:t>
      </w:r>
    </w:p>
    <w:p>
      <w:pPr>
        <w:spacing w:line="360" w:lineRule="auto"/>
        <w:ind w:firstLine="420"/>
        <w:rPr>
          <w:rFonts w:ascii="宋体" w:hAnsi="宋体"/>
          <w:sz w:val="24"/>
        </w:rPr>
      </w:pPr>
      <w:r>
        <w:rPr>
          <w:rFonts w:hint="eastAsia" w:ascii="宋体" w:hAnsi="宋体"/>
          <w:sz w:val="24"/>
        </w:rPr>
        <w:t>（二）协助制定管理制度。包括但不限于：窗口等接件人员的审查内容及规范，审查人员的审查内容及规范，审查意见的反馈内容及规范等。</w:t>
      </w:r>
    </w:p>
    <w:p>
      <w:pPr>
        <w:spacing w:line="360" w:lineRule="auto"/>
        <w:ind w:firstLine="480" w:firstLineChars="200"/>
        <w:rPr>
          <w:rFonts w:ascii="宋体" w:hAnsi="宋体"/>
          <w:sz w:val="24"/>
        </w:rPr>
      </w:pPr>
      <w:r>
        <w:rPr>
          <w:rFonts w:hint="eastAsia" w:ascii="宋体" w:hAnsi="宋体"/>
          <w:sz w:val="24"/>
        </w:rPr>
        <w:t>（三）软件定制开发。</w:t>
      </w:r>
    </w:p>
    <w:p>
      <w:pPr>
        <w:spacing w:line="360" w:lineRule="auto"/>
        <w:ind w:firstLine="480" w:firstLineChars="200"/>
        <w:rPr>
          <w:rFonts w:ascii="宋体" w:hAnsi="宋体"/>
          <w:sz w:val="24"/>
        </w:rPr>
      </w:pPr>
      <w:r>
        <w:rPr>
          <w:rFonts w:hint="eastAsia" w:ascii="宋体" w:hAnsi="宋体"/>
          <w:sz w:val="24"/>
        </w:rPr>
        <w:t>包括但不限于：设计规整类、校核检测类、分析统计类、归档类等模块。</w:t>
      </w:r>
    </w:p>
    <w:p>
      <w:pPr>
        <w:spacing w:line="360" w:lineRule="auto"/>
        <w:ind w:firstLine="480" w:firstLineChars="200"/>
        <w:jc w:val="left"/>
        <w:rPr>
          <w:rFonts w:ascii="宋体" w:hAnsi="宋体"/>
          <w:bCs/>
          <w:sz w:val="24"/>
        </w:rPr>
      </w:pPr>
      <w:r>
        <w:rPr>
          <w:rFonts w:hint="eastAsia" w:ascii="宋体" w:hAnsi="宋体"/>
          <w:sz w:val="24"/>
        </w:rPr>
        <w:t>1、设计端通过规划设计规整检测模块完成辅助设计、方案规整、检测打包，然后规划业务部门通过初检工具实现对上报方案的自动审核、成果检测等。</w:t>
      </w:r>
      <w:r>
        <w:rPr>
          <w:rFonts w:hint="eastAsia" w:ascii="宋体" w:hAnsi="宋体"/>
          <w:bCs/>
          <w:sz w:val="24"/>
        </w:rPr>
        <w:t>设计人员通过对设计的总平面方案和建筑单体方案的图层、颜色、计算线型、计算范围以及计算属性等要素的规整，形成符合成果上报标准、规范的上报图。</w:t>
      </w:r>
    </w:p>
    <w:p>
      <w:pPr>
        <w:spacing w:line="360" w:lineRule="auto"/>
        <w:ind w:firstLine="480" w:firstLineChars="200"/>
        <w:jc w:val="left"/>
        <w:rPr>
          <w:rFonts w:ascii="宋体" w:hAnsi="宋体"/>
          <w:bCs/>
          <w:sz w:val="24"/>
        </w:rPr>
      </w:pPr>
      <w:r>
        <w:rPr>
          <w:rFonts w:hint="eastAsia" w:ascii="宋体" w:hAnsi="宋体"/>
          <w:bCs/>
          <w:sz w:val="24"/>
        </w:rPr>
        <w:t>1）总平面图规整模块：主要对采用非标准的设计成果进行规整化后处理，包括图层转换、绘制封闭计算轮廓、输入建构筑物属性以及录入生成信息表格等，以便满足规划项目申报要求。</w:t>
      </w:r>
    </w:p>
    <w:p>
      <w:pPr>
        <w:spacing w:line="360" w:lineRule="auto"/>
        <w:ind w:firstLine="480" w:firstLineChars="200"/>
        <w:rPr>
          <w:rFonts w:ascii="宋体" w:hAnsi="宋体"/>
          <w:sz w:val="24"/>
        </w:rPr>
      </w:pPr>
      <w:r>
        <w:rPr>
          <w:rFonts w:hint="eastAsia" w:ascii="宋体" w:hAnsi="宋体"/>
          <w:bCs/>
          <w:sz w:val="24"/>
        </w:rPr>
        <w:t>2）建筑单体规整模块：主要对采用建筑设计CAD软件生成的设计成果进行规整化后处理，包括图层转换、绘制封闭计算轮廓、输入轮廓属性以及录入生成信息表格等，以便满足规划项目申报要求。</w:t>
      </w:r>
    </w:p>
    <w:p>
      <w:pPr>
        <w:spacing w:line="360" w:lineRule="auto"/>
        <w:ind w:firstLine="480" w:firstLineChars="200"/>
        <w:jc w:val="left"/>
        <w:rPr>
          <w:rFonts w:ascii="宋体" w:hAnsi="宋体"/>
          <w:sz w:val="24"/>
        </w:rPr>
      </w:pPr>
      <w:r>
        <w:rPr>
          <w:rFonts w:hint="eastAsia" w:ascii="宋体" w:hAnsi="宋体"/>
          <w:sz w:val="24"/>
        </w:rPr>
        <w:t>2、初检工具。对申报成果中对应的总平面、建筑单体成果图形文件，进行完整性和规范性的自动初检，成果检测、校验，形成初检意见。</w:t>
      </w:r>
    </w:p>
    <w:p>
      <w:pPr>
        <w:spacing w:line="360" w:lineRule="auto"/>
        <w:ind w:firstLine="480" w:firstLineChars="200"/>
        <w:rPr>
          <w:rFonts w:ascii="宋体" w:hAnsi="宋体"/>
          <w:sz w:val="24"/>
        </w:rPr>
      </w:pPr>
      <w:r>
        <w:rPr>
          <w:rFonts w:hint="eastAsia" w:ascii="宋体" w:hAnsi="宋体"/>
          <w:sz w:val="24"/>
        </w:rPr>
        <w:t>3、审查端，通过规划方案指标审查分析模块实现对总平面方案、建筑单体方案等图纸的指标自动提取和复核，对方案的设计内容进行规范性检查，完成各种报表和审查报告的输出，实现审核结果与报建方案的对比审查，将不符合规范的内容进行快速关联，辅助实施人工审查和干预。</w:t>
      </w:r>
    </w:p>
    <w:p>
      <w:pPr>
        <w:spacing w:line="360" w:lineRule="auto"/>
        <w:ind w:firstLine="480" w:firstLineChars="200"/>
        <w:jc w:val="left"/>
        <w:rPr>
          <w:rFonts w:ascii="宋体" w:hAnsi="宋体"/>
          <w:bCs/>
          <w:sz w:val="24"/>
        </w:rPr>
      </w:pPr>
      <w:r>
        <w:rPr>
          <w:rFonts w:hint="eastAsia" w:ascii="宋体" w:hAnsi="宋体"/>
          <w:bCs/>
          <w:sz w:val="24"/>
        </w:rPr>
        <w:t>软件功能主要包括：通过对规整工具上报的方案图层、轮廓范围和属性进行准确性、合理性检查以及功能性检查，使技术人员可对上报的方案进行规范性、功能性检查，作为相关方案指标的生成依据。对通过检查的方案直接提取相关图形和属性，自动计算方案各种指标，中间可生成各种指标表格，最终可生成审查报告。</w:t>
      </w:r>
    </w:p>
    <w:p>
      <w:pPr>
        <w:spacing w:line="360" w:lineRule="auto"/>
        <w:ind w:firstLine="480" w:firstLineChars="200"/>
        <w:jc w:val="left"/>
        <w:rPr>
          <w:rFonts w:ascii="宋体" w:hAnsi="宋体"/>
          <w:bCs/>
          <w:sz w:val="24"/>
        </w:rPr>
      </w:pPr>
      <w:r>
        <w:rPr>
          <w:rFonts w:hint="eastAsia" w:ascii="宋体" w:hAnsi="宋体"/>
          <w:bCs/>
          <w:sz w:val="24"/>
        </w:rPr>
        <w:t>1）总平面方案审查模块：总平面方案审查工具主要功能包括：系统设置、轮廓转换与属性参数读取、各类检测、指标统计。主要供审核部门使用，按照国家相关设计规范开发，主要实现对通过检测的方案图自动计算并生成各种指标表格等功能；可以快速审查红线间距、日照间距、建筑间距；快速计算容积率、绿地率与建筑密度三项指标、分项统计车位、绿地、综合技术经济指标表等信息。</w:t>
      </w:r>
    </w:p>
    <w:p>
      <w:pPr>
        <w:spacing w:line="360" w:lineRule="auto"/>
        <w:ind w:firstLine="480" w:firstLineChars="200"/>
        <w:jc w:val="left"/>
        <w:rPr>
          <w:rFonts w:ascii="宋体" w:hAnsi="宋体"/>
          <w:bCs/>
          <w:sz w:val="24"/>
        </w:rPr>
      </w:pPr>
      <w:r>
        <w:rPr>
          <w:rFonts w:ascii="宋体" w:hAnsi="宋体"/>
          <w:bCs/>
          <w:sz w:val="24"/>
        </w:rPr>
        <w:t>2</w:t>
      </w:r>
      <w:r>
        <w:rPr>
          <w:rFonts w:hint="eastAsia" w:ascii="宋体" w:hAnsi="宋体"/>
          <w:bCs/>
          <w:sz w:val="24"/>
        </w:rPr>
        <w:t>）建筑单体面积核算模块：主要用于对建筑单体面积进行核查，对报建单位上报的建筑方案自动生成面积汇总表，与上报值进行比对审查。主要功能模块有参数设置、面积计算、计算检测、指标报告等。可完成各类建筑面积统计，包括：标准层面积、坡屋顶楼层面积、住宅面积、公建面积、地上面积、地下面积、计容积率面积和不计容积率面积等。通过设置审核图层、按幢号、楼层分别勾绘轮廓图，然后自动计算、汇总统计面积，生成汇总报表。</w:t>
      </w:r>
    </w:p>
    <w:p>
      <w:pPr>
        <w:spacing w:line="360" w:lineRule="auto"/>
        <w:ind w:firstLine="420"/>
        <w:rPr>
          <w:rFonts w:ascii="宋体" w:hAnsi="宋体"/>
          <w:sz w:val="28"/>
          <w:szCs w:val="28"/>
        </w:rPr>
      </w:pPr>
      <w:r>
        <w:rPr>
          <w:rFonts w:hint="eastAsia" w:ascii="宋体" w:hAnsi="宋体"/>
          <w:sz w:val="24"/>
        </w:rPr>
        <w:t>（四）培训推广工作。</w:t>
      </w:r>
    </w:p>
    <w:p>
      <w:pPr>
        <w:pStyle w:val="8"/>
        <w:ind w:firstLine="560" w:firstLineChars="200"/>
        <w:jc w:val="both"/>
        <w:rPr>
          <w:sz w:val="28"/>
          <w:szCs w:val="28"/>
          <w:highlight w:val="none"/>
        </w:rPr>
      </w:pPr>
      <w:r>
        <w:rPr>
          <w:rFonts w:hint="eastAsia"/>
          <w:sz w:val="28"/>
          <w:szCs w:val="28"/>
          <w:highlight w:val="none"/>
        </w:rPr>
        <w:t>计划要求</w:t>
      </w:r>
    </w:p>
    <w:p>
      <w:pPr>
        <w:spacing w:line="360" w:lineRule="auto"/>
        <w:ind w:firstLine="480" w:firstLineChars="200"/>
        <w:rPr>
          <w:rFonts w:ascii="宋体" w:hAnsi="宋体"/>
          <w:sz w:val="24"/>
          <w:highlight w:val="none"/>
        </w:rPr>
      </w:pPr>
      <w:r>
        <w:rPr>
          <w:rFonts w:hint="eastAsia" w:ascii="宋体" w:hAnsi="宋体"/>
          <w:sz w:val="24"/>
          <w:highlight w:val="none"/>
        </w:rPr>
        <w:t>整体项目开发和服务周期</w:t>
      </w:r>
      <w:r>
        <w:rPr>
          <w:rFonts w:hint="eastAsia" w:ascii="宋体" w:hAnsi="宋体"/>
          <w:sz w:val="24"/>
          <w:highlight w:val="none"/>
          <w:lang w:val="en-US" w:eastAsia="zh-CN"/>
        </w:rPr>
        <w:t>6个月</w:t>
      </w:r>
      <w:r>
        <w:rPr>
          <w:rFonts w:hint="eastAsia" w:ascii="宋体" w:hAnsi="宋体"/>
          <w:sz w:val="24"/>
          <w:highlight w:val="none"/>
        </w:rPr>
        <w:t>。</w:t>
      </w:r>
    </w:p>
    <w:p>
      <w:pPr>
        <w:spacing w:line="360" w:lineRule="auto"/>
        <w:ind w:firstLine="480" w:firstLineChars="200"/>
        <w:rPr>
          <w:bCs/>
          <w:sz w:val="24"/>
          <w:highlight w:val="none"/>
        </w:rPr>
      </w:pPr>
      <w:r>
        <w:rPr>
          <w:rFonts w:hint="eastAsia" w:ascii="宋体" w:hAnsi="宋体"/>
          <w:sz w:val="24"/>
          <w:highlight w:val="none"/>
        </w:rPr>
        <w:t>第一阶段：合同签订之后2个月内完成</w:t>
      </w:r>
      <w:r>
        <w:rPr>
          <w:rFonts w:hint="eastAsia"/>
          <w:bCs/>
          <w:sz w:val="24"/>
          <w:highlight w:val="none"/>
        </w:rPr>
        <w:t>软件定制开发。</w:t>
      </w:r>
    </w:p>
    <w:p>
      <w:pPr>
        <w:spacing w:line="360" w:lineRule="auto"/>
        <w:ind w:firstLine="480" w:firstLineChars="200"/>
        <w:rPr>
          <w:rFonts w:ascii="宋体" w:hAnsi="宋体"/>
          <w:sz w:val="24"/>
          <w:highlight w:val="none"/>
        </w:rPr>
      </w:pPr>
      <w:r>
        <w:rPr>
          <w:rFonts w:hint="eastAsia" w:ascii="宋体" w:hAnsi="宋体"/>
          <w:sz w:val="24"/>
          <w:highlight w:val="none"/>
        </w:rPr>
        <w:t>第二阶段：第一阶段完成后1个月内完成</w:t>
      </w:r>
      <w:r>
        <w:rPr>
          <w:rFonts w:hint="eastAsia"/>
          <w:sz w:val="24"/>
          <w:highlight w:val="none"/>
        </w:rPr>
        <w:t>系统部署、内外部人员培训。</w:t>
      </w:r>
    </w:p>
    <w:p>
      <w:pPr>
        <w:spacing w:line="360" w:lineRule="auto"/>
        <w:ind w:firstLine="480" w:firstLineChars="200"/>
        <w:rPr>
          <w:rFonts w:ascii="宋体" w:hAnsi="宋体"/>
          <w:sz w:val="24"/>
          <w:highlight w:val="none"/>
        </w:rPr>
      </w:pPr>
      <w:r>
        <w:rPr>
          <w:rFonts w:hint="eastAsia" w:ascii="宋体" w:hAnsi="宋体"/>
          <w:sz w:val="24"/>
          <w:highlight w:val="none"/>
        </w:rPr>
        <w:t>第三阶段：第二阶段完成后</w:t>
      </w:r>
      <w:r>
        <w:rPr>
          <w:rFonts w:hint="eastAsia" w:ascii="宋体" w:hAnsi="宋体"/>
          <w:sz w:val="24"/>
          <w:highlight w:val="none"/>
          <w:lang w:val="en-US" w:eastAsia="zh-CN"/>
        </w:rPr>
        <w:t>3</w:t>
      </w:r>
      <w:r>
        <w:rPr>
          <w:rFonts w:hint="eastAsia" w:ascii="宋体" w:hAnsi="宋体"/>
          <w:sz w:val="24"/>
          <w:highlight w:val="none"/>
        </w:rPr>
        <w:t>个月内完成</w:t>
      </w:r>
      <w:r>
        <w:rPr>
          <w:rFonts w:hint="eastAsia"/>
          <w:bCs/>
          <w:sz w:val="24"/>
          <w:highlight w:val="none"/>
        </w:rPr>
        <w:t>试运行和完善</w:t>
      </w:r>
      <w:r>
        <w:rPr>
          <w:rFonts w:hint="eastAsia" w:ascii="宋体" w:hAnsi="宋体"/>
          <w:sz w:val="24"/>
          <w:highlight w:val="none"/>
        </w:rPr>
        <w:t>。</w:t>
      </w:r>
    </w:p>
    <w:p>
      <w:pPr>
        <w:pStyle w:val="8"/>
        <w:ind w:firstLine="560" w:firstLineChars="200"/>
        <w:jc w:val="both"/>
        <w:rPr>
          <w:sz w:val="24"/>
          <w:szCs w:val="24"/>
          <w:highlight w:val="none"/>
        </w:rPr>
      </w:pPr>
      <w:bookmarkStart w:id="13" w:name="_Toc167030877"/>
      <w:bookmarkStart w:id="14" w:name="_Toc170018343"/>
      <w:r>
        <w:rPr>
          <w:rFonts w:hint="eastAsia"/>
          <w:sz w:val="28"/>
          <w:szCs w:val="28"/>
          <w:highlight w:val="none"/>
        </w:rPr>
        <w:t>成果</w:t>
      </w:r>
      <w:bookmarkEnd w:id="13"/>
      <w:r>
        <w:rPr>
          <w:rFonts w:hint="eastAsia"/>
          <w:sz w:val="28"/>
          <w:szCs w:val="28"/>
          <w:highlight w:val="none"/>
        </w:rPr>
        <w:t>要求</w:t>
      </w:r>
      <w:bookmarkEnd w:id="14"/>
    </w:p>
    <w:p>
      <w:pPr>
        <w:spacing w:line="360" w:lineRule="auto"/>
        <w:rPr>
          <w:rFonts w:ascii="宋体" w:hAnsi="宋体"/>
          <w:b/>
          <w:bCs/>
          <w:sz w:val="24"/>
        </w:rPr>
      </w:pPr>
      <w:bookmarkStart w:id="15" w:name="_Toc167030879"/>
      <w:r>
        <w:rPr>
          <w:rFonts w:hint="eastAsia" w:ascii="宋体" w:hAnsi="宋体"/>
          <w:b/>
          <w:bCs/>
          <w:sz w:val="24"/>
        </w:rPr>
        <w:t>1、技术文档</w:t>
      </w:r>
      <w:bookmarkEnd w:id="15"/>
      <w:r>
        <w:rPr>
          <w:rFonts w:hint="eastAsia" w:ascii="宋体" w:hAnsi="宋体"/>
          <w:b/>
          <w:bCs/>
          <w:sz w:val="24"/>
        </w:rPr>
        <w:t>要求：</w:t>
      </w:r>
    </w:p>
    <w:p>
      <w:pPr>
        <w:pStyle w:val="13"/>
        <w:spacing w:line="360" w:lineRule="auto"/>
        <w:ind w:left="0" w:leftChars="0" w:firstLine="420"/>
        <w:rPr>
          <w:rFonts w:ascii="宋体" w:hAnsi="宋体"/>
          <w:sz w:val="24"/>
        </w:rPr>
      </w:pPr>
      <w:r>
        <w:rPr>
          <w:rFonts w:hint="eastAsia" w:ascii="宋体" w:hAnsi="宋体"/>
          <w:sz w:val="24"/>
        </w:rPr>
        <w:t>本项目的技术文档包括：需求说明书、软件详细设计说明书、</w:t>
      </w:r>
      <w:r>
        <mc:AlternateContent>
          <mc:Choice Requires="wps">
            <w:drawing>
              <wp:anchor distT="0" distB="0" distL="114300" distR="114300" simplePos="0" relativeHeight="251660288" behindDoc="0" locked="0" layoutInCell="1" allowOverlap="1">
                <wp:simplePos x="0" y="0"/>
                <wp:positionH relativeFrom="column">
                  <wp:posOffset>2265045</wp:posOffset>
                </wp:positionH>
                <wp:positionV relativeFrom="paragraph">
                  <wp:posOffset>339725</wp:posOffset>
                </wp:positionV>
                <wp:extent cx="635" cy="635"/>
                <wp:effectExtent l="0" t="0" r="0" b="0"/>
                <wp:wrapNone/>
                <wp:docPr id="2" name="墨迹 2"/>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auto" r:id="rId7">
                          <w14:nvContentPartPr>
                            <w14:cNvPr id="2" name="墨迹 2"/>
                            <w14:cNvContentPartPr>
                              <a14:cpLocks xmlns:a14="http://schemas.microsoft.com/office/drawing/2010/main" noChangeAspect="1"/>
                            </w14:cNvContentPartPr>
                          </w14:nvContentPartPr>
                          <w14:xfrm>
                            <a:off x="0" y="0"/>
                            <a:ext cx="635" cy="635"/>
                          </w14:xfrm>
                        </w14:contentPart>
                      </mc:Choice>
                    </mc:AlternateContent>
                  </a:graphicData>
                </a:graphic>
              </wp:anchor>
            </w:drawing>
          </mc:Choice>
          <mc:Fallback>
            <w:pict>
              <v:shape id="_x0000_s1026" o:spid="_x0000_s1026" o:spt="75" style="position:absolute;left:0pt;margin-left:178.35pt;margin-top:26.75pt;height:0.05pt;width:0.05pt;z-index:251660288;mso-width-relative:page;mso-height-relative:page;" coordsize="21600,21600" o:gfxdata="UEsDBAoAAAAAAIdO4kAAAAAAAAAAAAAAAAAEAAAAZHJzL1BLAwQUAAAACACHTuJAH4BDfdcAAAAJ&#10;AQAADwAAAGRycy9kb3ducmV2LnhtbE2Pu07EMBBFeyT+wRokmhXrBCsBhThbLFDQIBFAgm42NnFE&#10;PI5i74uvZ7aCcu4c3Ue9OvhR7Owch0Aa8mUGwlIXzEC9hrfXx6tbEDEhGRwDWQ1HG2HVnJ/VWJmw&#10;pxe7a1Mv2IRihRpcSlMlZeyc9RiXYbLEv68we0x8zr00M+7Z3I/yOstK6XEgTnA42bWz3Xe79Ro+&#10;EOW6fc4XTqmn9/uF+nw4/kxaX17k2R2IZA/pD4ZTfa4ODXfahC2ZKEYNqihvGNVQqAIEAyzwls1J&#10;KEE2tfy/oPkFUEsDBBQAAAAIAIdO4kCyzS/mqwEAAOcDAAAOAAAAZHJzL2Uyb0RvYy54bWytU82O&#10;0zAQviPxDpbvNE0pKxQ1XaGtkFaCpQf2AQbHbqyNPdbYbbqvw4lX4MTTIPEYTJJmW4pWqhAXy/bE&#10;3898k8X13jVipyla9KXMJ1MptFdYWb8p5f3n96/eShET+Aoa9LqUjzrK6+XLF4s2FHqGNTaVJsEg&#10;PhZtKGWdUiiyLKpaO4gTDNpz0SA5SHykTVYRtIzummw2nV5lLVIVCJWOkW9XQ1EeEOkSQDTGKr1C&#10;tXXapwGVdAOJLcXahiiXvVpjtEqfjIk6iaaU7DT1K5Pw/ku3ZssFFBuCUFt1kACXSDjz5MB6Jn2C&#10;WkECsSX7F5SzijCiSROFLhuM9B1hF/n0rDe3/qFzks/VlgqFPrHbNVAau98X/oXCNWy//YgV5wvb&#10;hP+5+4IKW5WSbqv8qN/vbo4O1nT0dbdbk+i+n0nhwbGkn1+//frxXcy6dEb3d+fPIZ8XKnxA9RDH&#10;4PL5Zc04hDe0vI9OeLypwW/0uxh4Zvi/6LizZ8nHynOm9oZcNw4csNj30/b4NG16n4Tiy6vXb6RQ&#10;fN9tTtiGtyPDSews6I8BOz13Yk/+z+VvUEsDBAoAAAAAAIdO4kAAAAAAAAAAAAAAAAAIAAAAZHJz&#10;L2luay9QSwMEFAAAAAgAh07iQNlydTarAQAABgQAABAAAABkcnMvaW5rL2luazEueG1snVPBjpsw&#10;EL1X6j9Y3nPAQBJt0JI9VFqpUitV3azUHlkYgrVgR/YQkr/vYMBZqbSH5YBgxu/Nm5nnh8dL27Az&#10;GCu1yngUCM5AFbqU6pjxl8PT6p4zi7kq80YryPgVLH/cf/70INVb26T0ZsSg7PDVNhmvEU9pGPZ9&#10;H/RJoM0xjIVIwq/q7fs3vp9QJVRSSaSSdg4VWiFccCBLZZnxAi/CnyfuZ92ZAnx6iJjidgJNXsCT&#10;Nm2OnrHOlYKGqbwl3b84w+uJPiTVOYLhrCMFlgq1PFyG/P4/JHQdp/+u/MPoExiUcGtylDQlrqwY&#10;/526UaYBq5tumAxn57zpSHB8HyTr7Xqz3e7iXZSsvfIoXND+Nze18XHuqclJ6PuOpoxfzTxDlC2Q&#10;YdqT3xVaMtUQfkbjbBWLOFpF8SreHaJNut6kIhl2MNcanTDzvZrO1p7r1dx27jK+37HHXpZY+9GJ&#10;QCSbmBy8sOsldA3yWOOH4YVuNBlr2tudoKeqbu5aqlhJPOgvnTmDx0XvZuEgfjIL18a5j02X5ydU&#10;Gb9zN4c55BhwMxNMzAN2GE9KC9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5GLyduAAAACEBAAAZAAAAZHJzL19yZWxzL2Uyb0RvYy54bWwu&#10;cmVsc4XPsWrEMAwG4L3QdzDaGyUdylHiZDkOspYUbjWOkpjEsrGc0nv7euzBwQ0ahND3S23/63f1&#10;Q0lcYA1NVYMitmFyvGj4Hi9vJ1CSDU9mD0wabiTQd68v7RftJpclWV0UVRQWDWvO8RNR7EreSBUi&#10;cZnMIXmTS5sWjMZuZiF8r+sPTP8N6O5MNUwa0jA1oMZbLMnP7TDPztI52MMT5wcRaA/JwV/9XlCT&#10;FsoaHG9YqqnKoYBdi3ePdX9QSwMEFAAAAAgAh07iQAMVKdoFAQAALQIAABMAAABbQ29udGVudF9U&#10;eXBlc10ueG1slZHBTsMwEETvSPyD5StKnPaAEGrSAylHQKh8gGVvEqv22vKa0P49TtpeEKXi4IO9&#10;M29G69V67ywbIZLxWPNFWXEGqLw22Nf8Y/tcPHBGSaKW1iPU/ADE183tzWp7CEAsu5FqPqQUHoUg&#10;NYCTVPoAmCedj06mfI29CFLtZA9iWVX3QnlMgKlIE4M3qxY6+WkT2+zz87FJBEucPR2FU1bNZQjW&#10;KJlyUzGi/pFSnBLK7Jw1NJhAd7kGF78mTJPLASffa15NNBrYm4zpRbpcQ+hIQvsvjDCWf0Omlo4K&#10;33VGQdlGarPtHcZzq0t0WPrWq//CN7PrGtvgTuSzuELPEmfPLDF/dvMNUEsBAhQAFAAAAAgAh07i&#10;QAMVKdoFAQAALQIAABMAAAAAAAAAAQAgAAAAMQcAAFtDb250ZW50X1R5cGVzXS54bWxQSwECFAAK&#10;AAAAAACHTuJAAAAAAAAAAAAAAAAABgAAAAAAAAAAABAAAAD8BAAAX3JlbHMvUEsBAhQAFAAAAAgA&#10;h07iQIoUZjzRAAAAlAEAAAsAAAAAAAAAAQAgAAAAIAUAAF9yZWxzLy5yZWxzUEsBAhQACgAAAAAA&#10;h07iQAAAAAAAAAAAAAAAAAQAAAAAAAAAAAAQAAAAAAAAAGRycy9QSwECFAAKAAAAAACHTuJAAAAA&#10;AAAAAAAAAAAACgAAAAAAAAAAABAAAAAaBgAAZHJzL19yZWxzL1BLAQIUABQAAAAIAIdO4kB5GLyd&#10;uAAAACEBAAAZAAAAAAAAAAEAIAAAAEIGAABkcnMvX3JlbHMvZTJvRG9jLnhtbC5yZWxzUEsBAhQA&#10;FAAAAAgAh07iQB+AQ33XAAAACQEAAA8AAAAAAAAAAQAgAAAAIgAAAGRycy9kb3ducmV2LnhtbFBL&#10;AQIUABQAAAAIAIdO4kCyzS/mqwEAAOcDAAAOAAAAAAAAAAEAIAAAACYBAABkcnMvZTJvRG9jLnht&#10;bFBLAQIUAAoAAAAAAIdO4kAAAAAAAAAAAAAAAAAIAAAAAAAAAAAAEAAAAP0CAABkcnMvaW5rL1BL&#10;AQIUABQAAAAIAIdO4kDZcnU2qwEAAAYEAAAQAAAAAAAAAAEAIAAAACMDAABkcnMvaW5rL2luazEu&#10;eG1sUEsFBgAAAAAKAAoATAIAAGcIAAAAAA==&#10;">
                <v:imagedata r:id="rId8" o:title=""/>
                <o:lock v:ext="edit"/>
              </v:shape>
            </w:pict>
          </mc:Fallback>
        </mc:AlternateContent>
      </w:r>
      <w:r>
        <w:rPr>
          <w:rFonts w:hint="eastAsia" w:ascii="宋体" w:hAnsi="宋体"/>
          <w:sz w:val="24"/>
        </w:rPr>
        <w:t>系统测试报告、系统用户手册。</w:t>
      </w:r>
    </w:p>
    <w:p>
      <w:pPr>
        <w:spacing w:line="360" w:lineRule="auto"/>
        <w:rPr>
          <w:rFonts w:ascii="宋体" w:hAnsi="宋体"/>
          <w:b/>
          <w:bCs/>
          <w:sz w:val="24"/>
        </w:rPr>
      </w:pPr>
      <w:bookmarkStart w:id="16" w:name="_Toc167030880"/>
      <w:r>
        <w:rPr>
          <w:rFonts w:hint="eastAsia" w:ascii="宋体" w:hAnsi="宋体"/>
          <w:b/>
          <w:bCs/>
          <w:sz w:val="24"/>
        </w:rPr>
        <w:t>2、软件</w:t>
      </w:r>
      <w:bookmarkEnd w:id="16"/>
      <w:r>
        <w:rPr>
          <w:rFonts w:hint="eastAsia" w:ascii="宋体" w:hAnsi="宋体"/>
          <w:b/>
          <w:bCs/>
          <w:sz w:val="24"/>
        </w:rPr>
        <w:t>及成果要求：</w:t>
      </w:r>
    </w:p>
    <w:p>
      <w:pPr>
        <w:pStyle w:val="13"/>
        <w:spacing w:line="360" w:lineRule="auto"/>
        <w:ind w:left="0" w:leftChars="0" w:firstLine="420"/>
        <w:rPr>
          <w:rFonts w:ascii="宋体" w:hAnsi="宋体"/>
          <w:sz w:val="24"/>
        </w:rPr>
      </w:pPr>
      <w:r>
        <w:rPr>
          <w:rFonts w:hint="eastAsia" w:ascii="宋体" w:hAnsi="宋体"/>
          <w:sz w:val="24"/>
        </w:rPr>
        <w:t>软件及成果包括：电子报批标准及辅助文件，各系统软件开发的程序文件，包括各类技术文档、可执行程序、安装程序等。</w:t>
      </w:r>
    </w:p>
    <w:p>
      <w:pPr>
        <w:spacing w:line="360" w:lineRule="auto"/>
        <w:rPr>
          <w:rFonts w:ascii="宋体" w:hAnsi="宋体"/>
          <w:b/>
          <w:bCs/>
          <w:sz w:val="24"/>
        </w:rPr>
      </w:pPr>
      <w:bookmarkStart w:id="17" w:name="_Toc167030881"/>
      <w:bookmarkStart w:id="18" w:name="_Toc170018345"/>
      <w:bookmarkStart w:id="19" w:name="_Toc167030882"/>
      <w:r>
        <w:rPr>
          <w:rFonts w:hint="eastAsia" w:ascii="宋体" w:hAnsi="宋体"/>
          <w:b/>
          <w:bCs/>
          <w:sz w:val="24"/>
        </w:rPr>
        <w:t>3、成果形式</w:t>
      </w:r>
      <w:bookmarkEnd w:id="17"/>
      <w:r>
        <w:rPr>
          <w:rFonts w:hint="eastAsia" w:ascii="宋体" w:hAnsi="宋体"/>
          <w:b/>
          <w:bCs/>
          <w:sz w:val="24"/>
        </w:rPr>
        <w:t>：</w:t>
      </w:r>
    </w:p>
    <w:p>
      <w:pPr>
        <w:spacing w:line="360" w:lineRule="auto"/>
        <w:rPr>
          <w:rFonts w:ascii="宋体" w:hAnsi="宋体"/>
          <w:sz w:val="24"/>
          <w:lang w:val="zh-CN"/>
        </w:rPr>
      </w:pPr>
      <w:r>
        <w:rPr>
          <w:rFonts w:hint="eastAsia" w:ascii="宋体" w:hAnsi="宋体"/>
          <w:sz w:val="24"/>
          <w:lang w:val="zh-CN"/>
        </w:rPr>
        <w:tab/>
      </w:r>
      <w:r>
        <w:rPr>
          <w:rFonts w:hint="eastAsia" w:ascii="宋体" w:hAnsi="宋体"/>
          <w:sz w:val="24"/>
          <w:lang w:val="zh-CN"/>
        </w:rPr>
        <w:t>除系统安装、运行程序为电子文件外，其它所有内容都必须同时提供电子和纸质成果。</w:t>
      </w:r>
    </w:p>
    <w:p>
      <w:pPr>
        <w:spacing w:line="360" w:lineRule="auto"/>
        <w:rPr>
          <w:rFonts w:ascii="宋体" w:hAnsi="宋体"/>
          <w:b/>
          <w:bCs/>
          <w:sz w:val="24"/>
        </w:rPr>
      </w:pPr>
      <w:r>
        <w:rPr>
          <w:rFonts w:hint="eastAsia" w:ascii="宋体" w:hAnsi="宋体"/>
          <w:b/>
          <w:bCs/>
          <w:sz w:val="24"/>
        </w:rPr>
        <w:t>4、知识产权</w:t>
      </w:r>
      <w:bookmarkEnd w:id="18"/>
      <w:bookmarkEnd w:id="19"/>
      <w:r>
        <w:rPr>
          <w:rFonts w:hint="eastAsia" w:ascii="宋体" w:hAnsi="宋体"/>
          <w:b/>
          <w:bCs/>
          <w:sz w:val="24"/>
        </w:rPr>
        <w:t>归属：</w:t>
      </w:r>
    </w:p>
    <w:p>
      <w:pPr>
        <w:pStyle w:val="13"/>
        <w:spacing w:line="360" w:lineRule="auto"/>
        <w:ind w:left="0" w:leftChars="0" w:firstLine="420"/>
        <w:rPr>
          <w:rFonts w:ascii="宋体" w:hAnsi="宋体"/>
          <w:sz w:val="24"/>
        </w:rPr>
      </w:pPr>
      <w:r>
        <w:rPr>
          <w:rFonts w:hint="eastAsia" w:ascii="宋体" w:hAnsi="宋体"/>
          <w:sz w:val="24"/>
        </w:rPr>
        <w:t>本项目所采购的软件系统（大型平台软件不在此标段）、开发取得的成果的所有权归采购单位所有，中标供应商在项目建设过程中所完成的各种文件、电子文档以及其他相关资料和文件，其所有权和知识产权均归采购单位所有，未经许可，中标供应商不得以任何形式转让或提供第三方。</w:t>
      </w:r>
    </w:p>
    <w:p>
      <w:pPr>
        <w:pStyle w:val="13"/>
        <w:spacing w:line="360" w:lineRule="auto"/>
        <w:rPr>
          <w:rFonts w:ascii="宋体" w:hAnsi="宋体"/>
          <w:sz w:val="24"/>
        </w:rPr>
      </w:pPr>
      <w:r>
        <w:rPr>
          <w:rFonts w:hint="eastAsia" w:ascii="宋体" w:hAnsi="宋体"/>
          <w:sz w:val="24"/>
        </w:rPr>
        <w:t>中标供应商应保证其设计方案和软件成果不涉及知识产权问题。</w:t>
      </w:r>
    </w:p>
    <w:p/>
    <w:p>
      <w:pPr>
        <w:tabs>
          <w:tab w:val="left" w:pos="525"/>
          <w:tab w:val="left" w:pos="630"/>
          <w:tab w:val="left" w:pos="735"/>
          <w:tab w:val="left" w:pos="945"/>
        </w:tabs>
        <w:spacing w:line="360" w:lineRule="auto"/>
        <w:rPr>
          <w:rFonts w:ascii="宋体" w:hAnsi="宋体"/>
          <w:bCs/>
          <w:color w:val="000000" w:themeColor="text1"/>
          <w:sz w:val="24"/>
          <w:szCs w:val="24"/>
          <w14:textFill>
            <w14:solidFill>
              <w14:schemeClr w14:val="tx1"/>
            </w14:solidFill>
          </w14:textFill>
        </w:rPr>
      </w:pPr>
    </w:p>
    <w:p>
      <w:pPr>
        <w:spacing w:line="360" w:lineRule="auto"/>
        <w:outlineLvl w:val="1"/>
        <w:rPr>
          <w:rFonts w:ascii="黑体" w:hAnsi="宋体" w:eastAsia="黑体"/>
          <w:bCs/>
          <w:sz w:val="24"/>
          <w:szCs w:val="24"/>
        </w:rPr>
      </w:pPr>
      <w:r>
        <w:rPr>
          <w:rFonts w:hint="eastAsia" w:ascii="黑体" w:hAnsi="宋体" w:eastAsia="黑体"/>
          <w:bCs/>
          <w:sz w:val="24"/>
          <w:szCs w:val="24"/>
        </w:rPr>
        <w:t>（二）有关说明：</w:t>
      </w:r>
      <w:r>
        <w:rPr>
          <w:rFonts w:ascii="黑体" w:hAnsi="宋体" w:eastAsia="黑体"/>
          <w:bCs/>
          <w:sz w:val="24"/>
          <w:szCs w:val="24"/>
        </w:rPr>
        <w:t xml:space="preserve"> </w:t>
      </w:r>
    </w:p>
    <w:p>
      <w:pPr>
        <w:numPr>
          <w:ilvl w:val="1"/>
          <w:numId w:val="17"/>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投标总报价包括满足本项目要求的所有产品及其配件、包装、运杂、安装调试及售后服务等从项目中标起到项目正式交付以及质保期内所发生的一切费用。</w:t>
      </w:r>
    </w:p>
    <w:p>
      <w:pPr>
        <w:numPr>
          <w:ilvl w:val="1"/>
          <w:numId w:val="17"/>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通过中国海关报关验放进入中国境内且产自关境外的产品不在本项目的报价范围。</w:t>
      </w:r>
    </w:p>
    <w:p>
      <w:pPr>
        <w:numPr>
          <w:ilvl w:val="1"/>
          <w:numId w:val="17"/>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本项目中有信息安全产品的，必须选择经国家认证的信息安全产品，并提供由中国信息安全认证中心颁发的有效认证证书复印件。</w:t>
      </w:r>
    </w:p>
    <w:p>
      <w:pPr>
        <w:numPr>
          <w:ilvl w:val="1"/>
          <w:numId w:val="17"/>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依据财政部、发展改革委发布的《节能产品政府采购品目清单》，本项目中有政府强制采购节能产品的</w:t>
      </w:r>
      <w:r>
        <w:rPr>
          <w:rFonts w:ascii="宋体" w:hAnsi="宋体" w:cs="宋体"/>
          <w:sz w:val="24"/>
          <w:szCs w:val="24"/>
        </w:rPr>
        <w:t>，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pPr>
        <w:numPr>
          <w:ilvl w:val="1"/>
          <w:numId w:val="17"/>
        </w:numPr>
        <w:tabs>
          <w:tab w:val="left" w:pos="525"/>
          <w:tab w:val="left" w:pos="945"/>
        </w:tabs>
        <w:spacing w:line="460" w:lineRule="exact"/>
        <w:ind w:left="0" w:firstLine="527"/>
        <w:rPr>
          <w:rFonts w:ascii="宋体" w:hAnsi="宋体"/>
          <w:bCs/>
          <w:sz w:val="24"/>
          <w:szCs w:val="24"/>
        </w:rPr>
      </w:pPr>
      <w:r>
        <w:rPr>
          <w:rFonts w:hint="eastAsia" w:ascii="宋体" w:hAnsi="宋体"/>
          <w:bCs/>
          <w:sz w:val="24"/>
          <w:szCs w:val="24"/>
        </w:rPr>
        <w:t>投标人必须在满足招标文件要求的基础上进行报价，如有技术偏离请于投标偏离表中说明。</w:t>
      </w:r>
    </w:p>
    <w:p>
      <w:pPr>
        <w:numPr>
          <w:ilvl w:val="1"/>
          <w:numId w:val="17"/>
        </w:numPr>
        <w:tabs>
          <w:tab w:val="left" w:pos="525"/>
          <w:tab w:val="left" w:pos="945"/>
        </w:tabs>
        <w:spacing w:line="460" w:lineRule="exact"/>
        <w:ind w:left="0" w:firstLine="527"/>
        <w:rPr>
          <w:rFonts w:ascii="宋体" w:hAnsi="宋体"/>
          <w:bCs/>
          <w:sz w:val="24"/>
          <w:szCs w:val="24"/>
        </w:rPr>
      </w:pPr>
      <w:r>
        <w:rPr>
          <w:rFonts w:hint="eastAsia" w:ascii="宋体" w:hAnsi="宋体"/>
          <w:bCs/>
          <w:sz w:val="24"/>
          <w:szCs w:val="24"/>
          <w:lang w:val="en-US" w:eastAsia="zh-CN"/>
        </w:rPr>
        <w:t>完工期：6个月。</w:t>
      </w:r>
    </w:p>
    <w:p>
      <w:pPr>
        <w:numPr>
          <w:ilvl w:val="1"/>
          <w:numId w:val="17"/>
        </w:numPr>
        <w:tabs>
          <w:tab w:val="left" w:pos="525"/>
          <w:tab w:val="left" w:pos="945"/>
        </w:tabs>
        <w:spacing w:line="460" w:lineRule="exact"/>
        <w:ind w:left="0" w:firstLine="527"/>
        <w:rPr>
          <w:rFonts w:hint="default"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维保期：365天。</w:t>
      </w:r>
    </w:p>
    <w:p>
      <w:pPr>
        <w:numPr>
          <w:ilvl w:val="1"/>
          <w:numId w:val="17"/>
        </w:numPr>
        <w:tabs>
          <w:tab w:val="left" w:pos="525"/>
          <w:tab w:val="left" w:pos="945"/>
        </w:tabs>
        <w:spacing w:line="460" w:lineRule="exact"/>
        <w:ind w:left="0" w:firstLine="527"/>
        <w:rPr>
          <w:rFonts w:ascii="宋体" w:hAnsi="宋体"/>
          <w:bCs/>
          <w:sz w:val="24"/>
          <w:szCs w:val="24"/>
        </w:rPr>
      </w:pPr>
      <w:r>
        <w:rPr>
          <w:rFonts w:hint="eastAsia" w:ascii="宋体" w:hAnsi="宋体"/>
          <w:bCs/>
          <w:sz w:val="24"/>
          <w:szCs w:val="24"/>
        </w:rPr>
        <w:t>本项目合同履行地点为无锡市，</w:t>
      </w:r>
      <w:r>
        <w:rPr>
          <w:rFonts w:hint="eastAsia"/>
          <w:color w:val="000000"/>
          <w:sz w:val="24"/>
          <w:szCs w:val="24"/>
          <w:lang w:eastAsia="zh-Hans"/>
        </w:rPr>
        <w:t>具体地点以合同书约定为准</w:t>
      </w:r>
      <w:r>
        <w:rPr>
          <w:rFonts w:hint="eastAsia"/>
          <w:color w:val="000000"/>
          <w:sz w:val="24"/>
          <w:szCs w:val="24"/>
        </w:rPr>
        <w:t>。</w:t>
      </w:r>
    </w:p>
    <w:p>
      <w:pPr>
        <w:numPr>
          <w:ilvl w:val="1"/>
          <w:numId w:val="17"/>
        </w:numPr>
        <w:tabs>
          <w:tab w:val="left" w:pos="525"/>
          <w:tab w:val="left" w:pos="945"/>
        </w:tabs>
        <w:spacing w:line="460" w:lineRule="exact"/>
        <w:ind w:left="0" w:firstLine="527"/>
        <w:rPr>
          <w:rFonts w:hint="eastAsia" w:hAnsi="宋体"/>
          <w:bCs/>
          <w:sz w:val="24"/>
          <w:szCs w:val="24"/>
        </w:rPr>
      </w:pPr>
      <w:r>
        <w:rPr>
          <w:rFonts w:hint="eastAsia" w:hAnsi="宋体"/>
          <w:bCs/>
          <w:sz w:val="24"/>
          <w:szCs w:val="24"/>
        </w:rPr>
        <w:t>付款方式：</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1）合同签订生效后15工作日内，</w:t>
      </w:r>
      <w:r>
        <w:rPr>
          <w:rFonts w:hint="eastAsia" w:ascii="宋体" w:hAnsi="宋体" w:cs="宋体"/>
          <w:kern w:val="0"/>
          <w:sz w:val="24"/>
          <w:highlight w:val="none"/>
          <w:lang w:eastAsia="zh-CN"/>
        </w:rPr>
        <w:t>先支付预付款</w:t>
      </w:r>
      <w:r>
        <w:rPr>
          <w:rFonts w:hint="eastAsia" w:ascii="宋体" w:hAnsi="宋体" w:cs="宋体"/>
          <w:kern w:val="0"/>
          <w:sz w:val="24"/>
          <w:highlight w:val="none"/>
          <w:lang w:val="en-US" w:eastAsia="zh-CN"/>
        </w:rPr>
        <w:t>10%，后再</w:t>
      </w:r>
      <w:r>
        <w:rPr>
          <w:rFonts w:hint="eastAsia" w:ascii="宋体" w:hAnsi="宋体" w:eastAsia="宋体" w:cs="宋体"/>
          <w:kern w:val="0"/>
          <w:sz w:val="24"/>
          <w:highlight w:val="none"/>
        </w:rPr>
        <w:t>向乙方支付</w:t>
      </w:r>
      <w:r>
        <w:rPr>
          <w:rFonts w:hint="eastAsia" w:ascii="宋体" w:hAnsi="宋体"/>
          <w:sz w:val="24"/>
          <w:highlight w:val="none"/>
        </w:rPr>
        <w:t>合同价款总额</w:t>
      </w:r>
      <w:r>
        <w:rPr>
          <w:rFonts w:hint="eastAsia" w:ascii="宋体" w:hAnsi="宋体" w:eastAsia="宋体" w:cs="宋体"/>
          <w:kern w:val="0"/>
          <w:sz w:val="24"/>
          <w:highlight w:val="none"/>
        </w:rPr>
        <w:t>的</w:t>
      </w:r>
      <w:r>
        <w:rPr>
          <w:rFonts w:hint="eastAsia" w:ascii="宋体" w:hAnsi="宋体" w:cs="宋体"/>
          <w:kern w:val="0"/>
          <w:sz w:val="24"/>
          <w:highlight w:val="none"/>
          <w:lang w:val="en-US" w:eastAsia="zh-CN"/>
        </w:rPr>
        <w:t>1</w:t>
      </w:r>
      <w:r>
        <w:rPr>
          <w:rFonts w:hint="eastAsia" w:ascii="宋体" w:hAnsi="宋体" w:eastAsia="宋体" w:cs="宋体"/>
          <w:kern w:val="0"/>
          <w:sz w:val="24"/>
          <w:highlight w:val="none"/>
        </w:rPr>
        <w:t>0%</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2）开发软件安装并培训完成后15工作日内，甲方向乙方支付合同价款总额的50%，（3）服务期满，甲方验收合格后，甲方向乙方支付合同价款总额的30%。</w:t>
      </w:r>
    </w:p>
    <w:p>
      <w:pPr>
        <w:numPr>
          <w:ilvl w:val="1"/>
          <w:numId w:val="17"/>
        </w:numPr>
        <w:tabs>
          <w:tab w:val="left" w:pos="525"/>
          <w:tab w:val="left" w:pos="945"/>
        </w:tabs>
        <w:spacing w:line="460" w:lineRule="exact"/>
        <w:ind w:left="0" w:firstLine="527"/>
        <w:rPr>
          <w:rFonts w:ascii="宋体" w:hAnsi="宋体"/>
          <w:bCs/>
          <w:sz w:val="24"/>
          <w:szCs w:val="24"/>
        </w:rPr>
      </w:pPr>
      <w:r>
        <w:rPr>
          <w:rFonts w:hint="eastAsia" w:ascii="宋体" w:hAnsi="宋体"/>
          <w:bCs/>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pPr>
        <w:numPr>
          <w:ilvl w:val="1"/>
          <w:numId w:val="17"/>
        </w:numPr>
        <w:tabs>
          <w:tab w:val="left" w:pos="525"/>
          <w:tab w:val="left" w:pos="630"/>
          <w:tab w:val="left" w:pos="735"/>
          <w:tab w:val="left" w:pos="945"/>
        </w:tabs>
        <w:spacing w:line="360" w:lineRule="auto"/>
        <w:ind w:left="0" w:firstLine="525"/>
        <w:rPr>
          <w:rFonts w:ascii="宋体" w:hAnsi="宋体"/>
          <w:bCs/>
          <w:sz w:val="24"/>
          <w:szCs w:val="24"/>
        </w:rPr>
      </w:pPr>
      <w:r>
        <w:rPr>
          <w:rFonts w:hint="eastAsia" w:ascii="宋体" w:hAnsi="宋体"/>
          <w:bCs/>
          <w:sz w:val="24"/>
        </w:rPr>
        <w:t>根据国家扶持中小企业的有关政策，在我中心组织的采购项目中标的供应商，如需要政府采购合同融资，请按锡财购【2020】17号文件执行。</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中标、成交供应商可根据自身情况，自行决定是否选择采用合同融资形式，在无锡政府采购网——政采贷专栏提供的银行名录内自主选择合作银行。</w:t>
      </w:r>
    </w:p>
    <w:p>
      <w:pPr>
        <w:numPr>
          <w:ilvl w:val="1"/>
          <w:numId w:val="17"/>
        </w:numPr>
        <w:tabs>
          <w:tab w:val="left" w:pos="525"/>
          <w:tab w:val="left" w:pos="630"/>
          <w:tab w:val="left" w:pos="735"/>
          <w:tab w:val="left" w:pos="945"/>
        </w:tabs>
        <w:spacing w:line="360" w:lineRule="auto"/>
        <w:ind w:left="0" w:firstLine="525"/>
        <w:rPr>
          <w:rFonts w:ascii="宋体" w:hAnsi="宋体"/>
          <w:bCs/>
          <w:sz w:val="24"/>
          <w:szCs w:val="22"/>
        </w:rPr>
      </w:pPr>
      <w:r>
        <w:rPr>
          <w:rFonts w:hint="eastAsia" w:ascii="宋体" w:hAnsi="宋体"/>
          <w:bCs/>
          <w:sz w:val="24"/>
          <w:szCs w:val="22"/>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numPr>
          <w:ilvl w:val="1"/>
          <w:numId w:val="17"/>
        </w:numPr>
        <w:tabs>
          <w:tab w:val="left" w:pos="525"/>
          <w:tab w:val="left" w:pos="945"/>
        </w:tabs>
        <w:spacing w:line="460" w:lineRule="exact"/>
        <w:ind w:left="0" w:firstLine="527"/>
        <w:rPr>
          <w:rFonts w:ascii="宋体"/>
          <w:color w:val="000000" w:themeColor="text1"/>
          <w:kern w:val="0"/>
          <w:sz w:val="24"/>
          <w:szCs w:val="24"/>
          <w:u w:color="000000"/>
          <w14:textFill>
            <w14:solidFill>
              <w14:schemeClr w14:val="tx1"/>
            </w14:solidFill>
          </w14:textFill>
        </w:rPr>
      </w:pPr>
      <w:r>
        <w:rPr>
          <w:rFonts w:hint="eastAsia" w:ascii="宋体" w:hAnsi="宋体"/>
          <w:bCs/>
          <w:sz w:val="24"/>
          <w:szCs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pPr>
        <w:numPr>
          <w:ilvl w:val="1"/>
          <w:numId w:val="17"/>
        </w:numPr>
        <w:tabs>
          <w:tab w:val="left" w:pos="525"/>
          <w:tab w:val="left" w:pos="630"/>
          <w:tab w:val="left" w:pos="735"/>
          <w:tab w:val="left" w:pos="945"/>
        </w:tabs>
        <w:spacing w:line="360" w:lineRule="auto"/>
        <w:ind w:left="0" w:firstLine="525"/>
        <w:rPr>
          <w:rFonts w:hint="eastAsia" w:ascii="宋体" w:hAnsi="宋体"/>
          <w:bCs/>
          <w:sz w:val="24"/>
        </w:rPr>
      </w:pPr>
      <w:r>
        <w:rPr>
          <w:rFonts w:hint="eastAsia" w:ascii="宋体" w:hAnsi="宋体"/>
          <w:bCs/>
          <w:sz w:val="24"/>
        </w:rPr>
        <w:t>依据《政府采购促进中小企业发展管理办法》规定享受扶持政策获得政府采购合同的，小微企业不得将合同分包给大中型企业，中型企业不得将合同分包给大型企业。</w:t>
      </w:r>
    </w:p>
    <w:p>
      <w:pPr>
        <w:numPr>
          <w:ilvl w:val="1"/>
          <w:numId w:val="17"/>
        </w:numPr>
        <w:tabs>
          <w:tab w:val="left" w:pos="525"/>
          <w:tab w:val="left" w:pos="630"/>
          <w:tab w:val="left" w:pos="735"/>
          <w:tab w:val="left" w:pos="945"/>
        </w:tabs>
        <w:spacing w:line="360" w:lineRule="auto"/>
        <w:ind w:left="0" w:firstLine="525"/>
        <w:rPr>
          <w:rFonts w:ascii="宋体" w:hAnsi="宋体"/>
          <w:bCs/>
          <w:sz w:val="24"/>
        </w:rPr>
      </w:pPr>
      <w:r>
        <w:rPr>
          <w:rFonts w:hint="eastAsia" w:ascii="宋体" w:hAnsi="宋体"/>
          <w:bCs/>
          <w:sz w:val="24"/>
        </w:rPr>
        <w:t>开标后，投标人须自行准备设备（包括但不限于笔记本电脑、无线网络）登录“政府采购交易管理一体化系统”，按招标文件规定时间解密后，在评标过程中保持在线，等待评标委员会的询标和评标结果，中途不得离开。如未按要求应答，由此所产生的损失及风险由投标人自行承担。</w:t>
      </w:r>
    </w:p>
    <w:p>
      <w:pPr>
        <w:pStyle w:val="3"/>
      </w:pPr>
    </w:p>
    <w:p>
      <w:pPr>
        <w:spacing w:line="360" w:lineRule="auto"/>
        <w:jc w:val="center"/>
        <w:rPr>
          <w:rFonts w:hint="eastAsia" w:ascii="黑体" w:eastAsia="黑体"/>
          <w:bCs/>
          <w:color w:val="000000" w:themeColor="text1"/>
          <w:sz w:val="28"/>
          <w:szCs w:val="28"/>
          <w14:textFill>
            <w14:solidFill>
              <w14:schemeClr w14:val="tx1"/>
            </w14:solidFill>
          </w14:textFill>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3"/>
        <w:rPr>
          <w:rFonts w:hint="eastAsia"/>
        </w:rPr>
      </w:pPr>
    </w:p>
    <w:p>
      <w:pPr>
        <w:spacing w:line="360" w:lineRule="auto"/>
        <w:jc w:val="center"/>
        <w:rPr>
          <w:rFonts w:ascii="黑体" w:hAnsi="宋体" w:eastAsia="黑体"/>
          <w:b/>
          <w:color w:val="000000"/>
          <w:sz w:val="28"/>
          <w:szCs w:val="28"/>
        </w:rPr>
      </w:pPr>
      <w:r>
        <w:rPr>
          <w:rFonts w:hint="eastAsia" w:ascii="黑体" w:eastAsia="黑体"/>
          <w:bCs/>
          <w:color w:val="000000"/>
          <w:sz w:val="28"/>
          <w:szCs w:val="28"/>
        </w:rPr>
        <w:t>四．合同书（格式文本）</w:t>
      </w:r>
    </w:p>
    <w:p>
      <w:pPr>
        <w:snapToGrid w:val="0"/>
        <w:spacing w:line="288" w:lineRule="auto"/>
        <w:jc w:val="center"/>
        <w:rPr>
          <w:rFonts w:hint="eastAsia" w:ascii="黑体" w:hAnsi="宋体" w:eastAsia="黑体"/>
          <w:b/>
          <w:color w:val="000000"/>
          <w:sz w:val="28"/>
          <w:szCs w:val="28"/>
        </w:rPr>
      </w:pPr>
      <w:r>
        <w:rPr>
          <w:rFonts w:hint="eastAsia" w:ascii="黑体" w:hAnsi="宋体" w:eastAsia="黑体"/>
          <w:b/>
          <w:color w:val="000000"/>
          <w:sz w:val="28"/>
          <w:szCs w:val="28"/>
        </w:rPr>
        <w:t>合同书(货物）格式条款</w:t>
      </w:r>
    </w:p>
    <w:p>
      <w:pPr>
        <w:snapToGrid w:val="0"/>
        <w:spacing w:line="288" w:lineRule="auto"/>
        <w:ind w:firstLine="480" w:firstLineChars="200"/>
        <w:jc w:val="left"/>
        <w:rPr>
          <w:rFonts w:hint="eastAsia" w:ascii="黑体" w:hAnsi="宋体" w:eastAsia="黑体"/>
          <w:b/>
          <w:color w:val="000000"/>
          <w:sz w:val="28"/>
          <w:szCs w:val="28"/>
        </w:rPr>
      </w:pPr>
      <w:r>
        <w:rPr>
          <w:rFonts w:hint="eastAsia" w:ascii="宋体" w:hAnsi="宋体"/>
          <w:b/>
          <w:color w:val="000000"/>
          <w:sz w:val="24"/>
          <w:szCs w:val="24"/>
        </w:rPr>
        <w:t>根据《中华人民共和国政府采购法》及相关法规、《中华人民共和国民法典》，遵循平等、自愿、公平和诚实信用的原则，甲乙双方就项目（项目编号：</w:t>
      </w:r>
      <w:r>
        <w:rPr>
          <w:rFonts w:hint="eastAsia" w:ascii="宋体" w:hAnsi="宋体"/>
          <w:b/>
          <w:color w:val="000000"/>
          <w:sz w:val="24"/>
          <w:szCs w:val="24"/>
          <w:u w:val="single"/>
        </w:rPr>
        <w:t xml:space="preserve">          </w:t>
      </w:r>
      <w:r>
        <w:rPr>
          <w:rFonts w:hint="eastAsia" w:ascii="宋体" w:hAnsi="宋体"/>
          <w:b/>
          <w:color w:val="000000"/>
          <w:sz w:val="24"/>
          <w:szCs w:val="24"/>
        </w:rPr>
        <w:t xml:space="preserve"> ）采购及有关事项协商一致，共同达成如下协议：</w:t>
      </w:r>
    </w:p>
    <w:p>
      <w:pPr>
        <w:snapToGrid w:val="0"/>
        <w:spacing w:line="288" w:lineRule="auto"/>
        <w:rPr>
          <w:rFonts w:hint="eastAsia" w:ascii="宋体" w:hAnsi="Calibri"/>
          <w:bCs/>
          <w:color w:val="000000"/>
          <w:sz w:val="24"/>
          <w:szCs w:val="24"/>
          <w:u w:val="single"/>
        </w:rPr>
      </w:pPr>
      <w:r>
        <w:rPr>
          <w:rFonts w:hint="eastAsia" w:ascii="宋体" w:hAnsi="宋体"/>
          <w:bCs/>
          <w:color w:val="000000"/>
          <w:sz w:val="24"/>
          <w:szCs w:val="24"/>
        </w:rPr>
        <w:t>需方（采购人）：</w:t>
      </w:r>
    </w:p>
    <w:p>
      <w:pPr>
        <w:snapToGrid w:val="0"/>
        <w:spacing w:line="288" w:lineRule="auto"/>
        <w:rPr>
          <w:rFonts w:hint="eastAsia" w:ascii="宋体"/>
          <w:bCs/>
          <w:color w:val="000000"/>
          <w:sz w:val="24"/>
          <w:szCs w:val="24"/>
          <w:u w:val="single"/>
        </w:rPr>
      </w:pPr>
      <w:r>
        <w:rPr>
          <w:rFonts w:hint="eastAsia" w:ascii="宋体" w:hAnsi="宋体"/>
          <w:bCs/>
          <w:color w:val="000000"/>
          <w:sz w:val="24"/>
          <w:szCs w:val="24"/>
        </w:rPr>
        <w:t>供方（中标方）：</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一、采购项目编号：</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二、采购项目名称：</w:t>
      </w:r>
    </w:p>
    <w:p>
      <w:pPr>
        <w:tabs>
          <w:tab w:val="left" w:pos="210"/>
          <w:tab w:val="left" w:pos="840"/>
          <w:tab w:val="left" w:pos="1260"/>
        </w:tabs>
        <w:snapToGrid w:val="0"/>
        <w:spacing w:line="288" w:lineRule="auto"/>
        <w:ind w:left="420" w:leftChars="200"/>
        <w:rPr>
          <w:rFonts w:hint="eastAsia" w:ascii="宋体"/>
          <w:bCs/>
          <w:color w:val="000000"/>
          <w:sz w:val="24"/>
          <w:szCs w:val="24"/>
        </w:rPr>
      </w:pPr>
      <w:r>
        <w:rPr>
          <w:rFonts w:hint="eastAsia" w:ascii="宋体" w:hAnsi="宋体"/>
          <w:bCs/>
          <w:color w:val="000000"/>
          <w:sz w:val="24"/>
          <w:szCs w:val="24"/>
        </w:rPr>
        <w:t>三、中标（成交）金额：</w:t>
      </w:r>
      <w:r>
        <w:rPr>
          <w:rFonts w:hint="eastAsia" w:ascii="宋体" w:hAnsi="宋体"/>
          <w:bCs/>
          <w:color w:val="000000"/>
          <w:sz w:val="24"/>
          <w:szCs w:val="24"/>
          <w:u w:val="single"/>
        </w:rPr>
        <w:t xml:space="preserve">                       </w:t>
      </w:r>
      <w:r>
        <w:rPr>
          <w:rFonts w:hint="eastAsia" w:ascii="宋体" w:hAnsi="宋体"/>
          <w:bCs/>
          <w:color w:val="000000"/>
          <w:sz w:val="24"/>
          <w:szCs w:val="24"/>
        </w:rPr>
        <w:t>（大写）；</w:t>
      </w:r>
      <w:r>
        <w:rPr>
          <w:rFonts w:hint="eastAsia" w:ascii="宋体" w:hAnsi="宋体"/>
          <w:bCs/>
          <w:color w:val="000000"/>
          <w:sz w:val="24"/>
          <w:szCs w:val="24"/>
          <w:u w:val="single"/>
        </w:rPr>
        <w:t xml:space="preserve">                  </w:t>
      </w:r>
      <w:r>
        <w:rPr>
          <w:rFonts w:hint="eastAsia" w:ascii="宋体" w:hAnsi="宋体"/>
          <w:bCs/>
          <w:color w:val="000000"/>
          <w:sz w:val="24"/>
          <w:szCs w:val="24"/>
        </w:rPr>
        <w:t>（小写）；</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四、交货期或完工期：</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五、项目整体质保期：</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六、交货地点和方式：</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七、货款支付步骤和办法：</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八、合同书不可分割部分：</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招标（采购）文件、投标（报价）文件、合同条款及中标</w:t>
      </w:r>
      <w:r>
        <w:rPr>
          <w:rFonts w:hint="eastAsia" w:ascii="宋体" w:hAnsi="宋体"/>
          <w:color w:val="000000"/>
          <w:sz w:val="24"/>
          <w:szCs w:val="24"/>
        </w:rPr>
        <w:t>（成交）</w:t>
      </w:r>
      <w:r>
        <w:rPr>
          <w:rFonts w:hint="eastAsia" w:ascii="宋体" w:hAnsi="宋体"/>
          <w:bCs/>
          <w:color w:val="000000"/>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hint="eastAsia" w:ascii="宋体" w:hAnsi="宋体"/>
          <w:color w:val="000000"/>
          <w:sz w:val="24"/>
          <w:szCs w:val="24"/>
        </w:rPr>
      </w:pPr>
      <w:r>
        <w:rPr>
          <w:rFonts w:hint="eastAsia" w:ascii="宋体" w:hAnsi="宋体"/>
          <w:color w:val="000000"/>
          <w:sz w:val="24"/>
          <w:szCs w:val="24"/>
        </w:rPr>
        <w:t>九、合同书组成：</w:t>
      </w:r>
    </w:p>
    <w:p>
      <w:pPr>
        <w:tabs>
          <w:tab w:val="left" w:pos="210"/>
          <w:tab w:val="left" w:pos="735"/>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color w:val="000000"/>
          <w:sz w:val="24"/>
          <w:szCs w:val="24"/>
        </w:rPr>
        <w:t>合同书由格式条款</w:t>
      </w:r>
      <w:r>
        <w:rPr>
          <w:rFonts w:hint="eastAsia" w:ascii="宋体" w:hAnsi="宋体"/>
          <w:bCs/>
          <w:color w:val="000000"/>
          <w:sz w:val="24"/>
          <w:szCs w:val="24"/>
        </w:rPr>
        <w:t>和合同条款二部分组成。合同条款应当包含法定必备条款和采购需求的所有内容，并应与“合同书不可分割部分”的内容一致，包括但不限于</w:t>
      </w:r>
      <w:r>
        <w:rPr>
          <w:rFonts w:hint="eastAsia" w:ascii="宋体" w:hAnsi="宋体"/>
          <w:color w:val="000000"/>
          <w:sz w:val="24"/>
          <w:szCs w:val="24"/>
        </w:rPr>
        <w:t>合同类型,</w:t>
      </w:r>
      <w:r>
        <w:rPr>
          <w:rFonts w:hint="eastAsia" w:ascii="宋体" w:hAnsi="宋体"/>
          <w:bCs/>
          <w:color w:val="000000"/>
          <w:sz w:val="24"/>
          <w:szCs w:val="24"/>
        </w:rPr>
        <w:t>标的名称、采购标的质量、数量，履行时间、地点和方式，包装方式，履约保证金要求，价款或报酬、付款进度安排、</w:t>
      </w:r>
      <w:r>
        <w:rPr>
          <w:rFonts w:hint="eastAsia" w:ascii="宋体" w:hAnsi="宋体" w:cs="宋体"/>
          <w:color w:val="000000"/>
          <w:sz w:val="24"/>
          <w:szCs w:val="24"/>
        </w:rPr>
        <w:t>与履约验收挂钩的资金支付条件及时间</w:t>
      </w:r>
      <w:r>
        <w:rPr>
          <w:rFonts w:hint="eastAsia" w:ascii="宋体" w:hAnsi="宋体"/>
          <w:bCs/>
          <w:color w:val="000000"/>
          <w:sz w:val="24"/>
          <w:szCs w:val="24"/>
        </w:rPr>
        <w:t>，验收、交付标准和方法，质量保修范围和保修期，违约责任与解决争议的方法，甲乙双方权利与义务，合同分包要求等。</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十、合同书生效及注意事项：</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一、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十二、根据《政府采购法》第四十九、五十条规定，甲乙双方不得擅自变更、中止或终止合同。</w:t>
      </w:r>
    </w:p>
    <w:p>
      <w:pPr>
        <w:snapToGrid w:val="0"/>
        <w:spacing w:line="288" w:lineRule="auto"/>
        <w:jc w:val="right"/>
        <w:rPr>
          <w:rFonts w:hint="eastAsia" w:ascii="宋体" w:hAnsi="宋体"/>
          <w:bCs/>
          <w:color w:val="000000"/>
          <w:sz w:val="24"/>
          <w:szCs w:val="24"/>
        </w:rPr>
      </w:pPr>
      <w:r>
        <w:rPr>
          <w:rFonts w:hint="eastAsia" w:ascii="宋体" w:hAnsi="宋体"/>
          <w:bCs/>
          <w:color w:val="000000"/>
          <w:sz w:val="24"/>
          <w:szCs w:val="24"/>
        </w:rPr>
        <w:t>见证方：</w:t>
      </w:r>
      <w:r>
        <w:rPr>
          <w:rFonts w:hint="eastAsia" w:ascii="宋体" w:hAnsi="宋体"/>
          <w:bCs/>
          <w:color w:val="000000" w:themeColor="text1"/>
          <w:sz w:val="24"/>
          <w:szCs w:val="24"/>
          <w14:textFill>
            <w14:solidFill>
              <w14:schemeClr w14:val="tx1"/>
            </w14:solidFill>
          </w14:textFill>
        </w:rPr>
        <w:t>无锡市公共资源交易中心梁溪分中心（盖章）</w:t>
      </w:r>
    </w:p>
    <w:p>
      <w:pPr>
        <w:wordWrap w:val="0"/>
        <w:snapToGrid w:val="0"/>
        <w:spacing w:line="288" w:lineRule="auto"/>
        <w:ind w:right="960" w:firstLine="4080" w:firstLineChars="1700"/>
        <w:rPr>
          <w:rFonts w:hint="eastAsia" w:ascii="宋体" w:hAnsi="宋体"/>
          <w:bCs/>
          <w:color w:val="000000"/>
          <w:sz w:val="24"/>
          <w:szCs w:val="24"/>
        </w:rPr>
      </w:pPr>
      <w:r>
        <w:rPr>
          <w:rFonts w:hint="eastAsia" w:ascii="宋体" w:hAnsi="宋体"/>
          <w:bCs/>
          <w:color w:val="000000"/>
          <w:sz w:val="24"/>
          <w:szCs w:val="24"/>
        </w:rPr>
        <w:t xml:space="preserve">见证人：                          </w:t>
      </w:r>
    </w:p>
    <w:p>
      <w:pPr>
        <w:snapToGrid w:val="0"/>
        <w:spacing w:line="288" w:lineRule="auto"/>
        <w:jc w:val="right"/>
        <w:rPr>
          <w:rFonts w:hint="eastAsia" w:ascii="宋体" w:hAnsi="宋体"/>
          <w:bCs/>
          <w:color w:val="000000"/>
          <w:sz w:val="24"/>
          <w:szCs w:val="24"/>
        </w:rPr>
      </w:pPr>
      <w:r>
        <w:rPr>
          <w:rFonts w:hint="eastAsia" w:ascii="宋体" w:hAnsi="宋体"/>
          <w:bCs/>
          <w:color w:val="000000"/>
          <w:sz w:val="24"/>
          <w:szCs w:val="24"/>
        </w:rPr>
        <w:t xml:space="preserve">     年   月   日</w:t>
      </w:r>
    </w:p>
    <w:p>
      <w:pPr>
        <w:snapToGrid w:val="0"/>
        <w:spacing w:line="288" w:lineRule="auto"/>
        <w:jc w:val="center"/>
        <w:rPr>
          <w:rFonts w:hint="eastAsia" w:ascii="黑体" w:hAnsi="宋体" w:eastAsia="黑体"/>
          <w:b/>
          <w:color w:val="000000"/>
          <w:sz w:val="28"/>
          <w:szCs w:val="28"/>
        </w:rPr>
      </w:pPr>
    </w:p>
    <w:p>
      <w:pPr>
        <w:snapToGrid w:val="0"/>
        <w:spacing w:line="288" w:lineRule="auto"/>
        <w:jc w:val="center"/>
        <w:rPr>
          <w:rFonts w:hint="eastAsia" w:ascii="黑体" w:hAnsi="宋体" w:eastAsia="黑体"/>
          <w:b/>
          <w:color w:val="000000"/>
          <w:sz w:val="28"/>
          <w:szCs w:val="28"/>
        </w:rPr>
      </w:pPr>
      <w:r>
        <w:rPr>
          <w:rFonts w:hint="eastAsia" w:ascii="黑体" w:hAnsi="宋体" w:eastAsia="黑体"/>
          <w:b/>
          <w:color w:val="000000"/>
          <w:sz w:val="28"/>
          <w:szCs w:val="28"/>
        </w:rPr>
        <w:t>合同书（服务）格式条款</w:t>
      </w:r>
    </w:p>
    <w:p>
      <w:pPr>
        <w:snapToGrid w:val="0"/>
        <w:spacing w:line="288" w:lineRule="auto"/>
        <w:ind w:firstLine="480" w:firstLineChars="200"/>
        <w:rPr>
          <w:rFonts w:hint="eastAsia" w:ascii="黑体" w:hAnsi="Calibri" w:eastAsia="黑体"/>
          <w:b/>
          <w:color w:val="000000"/>
          <w:sz w:val="28"/>
          <w:szCs w:val="28"/>
        </w:rPr>
      </w:pPr>
      <w:r>
        <w:rPr>
          <w:rFonts w:hint="eastAsia" w:ascii="宋体" w:hAnsi="宋体"/>
          <w:b/>
          <w:color w:val="000000"/>
          <w:sz w:val="24"/>
          <w:szCs w:val="24"/>
        </w:rPr>
        <w:t>根据《中华人民共和国政府采购法》及相关法规、《中华人民共和国民法典》，遵循平等、自愿、公平和诚实信用的原则，甲乙双方就项目（项目编号：</w:t>
      </w:r>
      <w:r>
        <w:rPr>
          <w:rFonts w:hint="eastAsia" w:ascii="宋体" w:hAnsi="宋体"/>
          <w:b/>
          <w:color w:val="000000"/>
          <w:sz w:val="24"/>
          <w:szCs w:val="24"/>
          <w:u w:val="single"/>
        </w:rPr>
        <w:t xml:space="preserve">        </w:t>
      </w:r>
      <w:r>
        <w:rPr>
          <w:rFonts w:hint="eastAsia" w:ascii="宋体" w:hAnsi="宋体"/>
          <w:b/>
          <w:color w:val="000000"/>
          <w:sz w:val="24"/>
          <w:szCs w:val="24"/>
        </w:rPr>
        <w:t xml:space="preserve"> ）实施及有关事项协商一致，共同达成如下协议：</w:t>
      </w:r>
    </w:p>
    <w:p>
      <w:pPr>
        <w:snapToGrid w:val="0"/>
        <w:spacing w:line="288" w:lineRule="auto"/>
        <w:rPr>
          <w:rFonts w:hint="eastAsia" w:ascii="宋体"/>
          <w:bCs/>
          <w:color w:val="000000"/>
          <w:sz w:val="24"/>
          <w:szCs w:val="24"/>
          <w:u w:val="single"/>
        </w:rPr>
      </w:pPr>
      <w:r>
        <w:rPr>
          <w:rFonts w:hint="eastAsia" w:ascii="宋体" w:hAnsi="宋体"/>
          <w:bCs/>
          <w:color w:val="000000"/>
          <w:sz w:val="24"/>
          <w:szCs w:val="24"/>
        </w:rPr>
        <w:t>需方（采购人）：</w:t>
      </w:r>
    </w:p>
    <w:p>
      <w:pPr>
        <w:snapToGrid w:val="0"/>
        <w:spacing w:line="288" w:lineRule="auto"/>
        <w:rPr>
          <w:rFonts w:hint="eastAsia" w:ascii="宋体" w:hAnsi="宋体"/>
          <w:bCs/>
          <w:color w:val="000000"/>
          <w:sz w:val="24"/>
          <w:szCs w:val="24"/>
        </w:rPr>
      </w:pPr>
      <w:r>
        <w:rPr>
          <w:rFonts w:hint="eastAsia" w:ascii="宋体" w:hAnsi="宋体"/>
          <w:bCs/>
          <w:color w:val="000000"/>
          <w:sz w:val="24"/>
          <w:szCs w:val="24"/>
        </w:rPr>
        <w:t>供方（中标方）：</w:t>
      </w:r>
    </w:p>
    <w:p>
      <w:pPr>
        <w:snapToGrid w:val="0"/>
        <w:spacing w:line="288" w:lineRule="auto"/>
        <w:ind w:firstLine="480" w:firstLineChars="200"/>
        <w:rPr>
          <w:rFonts w:hint="eastAsia" w:ascii="宋体" w:hAnsi="Calibri"/>
          <w:bCs/>
          <w:color w:val="000000"/>
          <w:sz w:val="24"/>
          <w:szCs w:val="24"/>
          <w:u w:val="single"/>
        </w:rPr>
      </w:pPr>
      <w:r>
        <w:rPr>
          <w:rFonts w:hint="eastAsia" w:ascii="宋体" w:hAnsi="宋体"/>
          <w:bCs/>
          <w:color w:val="000000"/>
          <w:sz w:val="24"/>
          <w:szCs w:val="24"/>
        </w:rPr>
        <w:t>一、采购项目编号：</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二、采购项目名称：</w:t>
      </w:r>
    </w:p>
    <w:p>
      <w:pPr>
        <w:tabs>
          <w:tab w:val="left" w:pos="210"/>
          <w:tab w:val="left" w:pos="840"/>
          <w:tab w:val="left" w:pos="1260"/>
        </w:tabs>
        <w:snapToGrid w:val="0"/>
        <w:spacing w:line="288" w:lineRule="auto"/>
        <w:ind w:left="420" w:leftChars="200"/>
        <w:rPr>
          <w:rFonts w:hint="eastAsia" w:ascii="宋体"/>
          <w:bCs/>
          <w:color w:val="000000"/>
          <w:sz w:val="24"/>
          <w:szCs w:val="24"/>
        </w:rPr>
      </w:pPr>
      <w:r>
        <w:rPr>
          <w:rFonts w:hint="eastAsia" w:ascii="宋体" w:hAnsi="宋体"/>
          <w:bCs/>
          <w:color w:val="000000"/>
          <w:sz w:val="24"/>
          <w:szCs w:val="24"/>
        </w:rPr>
        <w:t>三、中标（成交）金额：</w:t>
      </w:r>
      <w:r>
        <w:rPr>
          <w:rFonts w:hint="eastAsia" w:ascii="宋体" w:hAnsi="宋体"/>
          <w:bCs/>
          <w:color w:val="000000"/>
          <w:sz w:val="24"/>
          <w:szCs w:val="24"/>
          <w:u w:val="single"/>
        </w:rPr>
        <w:t xml:space="preserve">                    </w:t>
      </w:r>
      <w:r>
        <w:rPr>
          <w:rFonts w:hint="eastAsia" w:ascii="宋体" w:hAnsi="宋体"/>
          <w:bCs/>
          <w:color w:val="000000"/>
          <w:sz w:val="24"/>
          <w:szCs w:val="24"/>
        </w:rPr>
        <w:t>（大写）；</w:t>
      </w:r>
      <w:r>
        <w:rPr>
          <w:rFonts w:hint="eastAsia" w:ascii="宋体" w:hAnsi="宋体"/>
          <w:bCs/>
          <w:color w:val="000000"/>
          <w:sz w:val="24"/>
          <w:szCs w:val="24"/>
          <w:u w:val="single"/>
        </w:rPr>
        <w:t xml:space="preserve">                 </w:t>
      </w:r>
      <w:r>
        <w:rPr>
          <w:rFonts w:hint="eastAsia" w:ascii="宋体" w:hAnsi="宋体"/>
          <w:bCs/>
          <w:color w:val="000000"/>
          <w:sz w:val="24"/>
          <w:szCs w:val="24"/>
        </w:rPr>
        <w:t>（小写）；</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四、项目服务期限：</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五、项目整体免费服务期：</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六、货款支付步骤和办法：</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七、合同书不可分割部分：</w:t>
      </w:r>
    </w:p>
    <w:p>
      <w:pPr>
        <w:tabs>
          <w:tab w:val="left" w:pos="210"/>
          <w:tab w:val="left" w:pos="420"/>
          <w:tab w:val="left" w:pos="1155"/>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招标（采购）文件、投标（报价）文件、合同条款及中标</w:t>
      </w:r>
      <w:r>
        <w:rPr>
          <w:rFonts w:hint="eastAsia" w:ascii="宋体" w:hAnsi="宋体"/>
          <w:color w:val="000000"/>
          <w:sz w:val="24"/>
          <w:szCs w:val="24"/>
        </w:rPr>
        <w:t>（成交）</w:t>
      </w:r>
      <w:r>
        <w:rPr>
          <w:rFonts w:hint="eastAsia" w:ascii="宋体" w:hAnsi="宋体"/>
          <w:bCs/>
          <w:color w:val="000000"/>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hint="eastAsia" w:ascii="宋体" w:hAnsi="宋体"/>
          <w:color w:val="000000"/>
          <w:sz w:val="24"/>
          <w:szCs w:val="24"/>
        </w:rPr>
      </w:pPr>
      <w:r>
        <w:rPr>
          <w:rFonts w:hint="eastAsia" w:ascii="宋体" w:hAnsi="宋体"/>
          <w:color w:val="000000"/>
          <w:sz w:val="24"/>
          <w:szCs w:val="24"/>
        </w:rPr>
        <w:t>八、合同书组成：</w:t>
      </w:r>
    </w:p>
    <w:p>
      <w:pPr>
        <w:tabs>
          <w:tab w:val="left" w:pos="210"/>
          <w:tab w:val="left" w:pos="735"/>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color w:val="000000"/>
          <w:sz w:val="24"/>
          <w:szCs w:val="24"/>
        </w:rPr>
        <w:t>合同书由格式条款</w:t>
      </w:r>
      <w:r>
        <w:rPr>
          <w:rFonts w:hint="eastAsia" w:ascii="宋体" w:hAnsi="宋体"/>
          <w:bCs/>
          <w:color w:val="000000"/>
          <w:sz w:val="24"/>
          <w:szCs w:val="24"/>
        </w:rPr>
        <w:t>和合同条款二部分组成。合同条款应当包含法定必备条款和采购需求的所有内容，并应与“合同书不可分割部分”的内容一致，包括但不限于标的名称、采购标的质量、规模，知识产权归属和处理方式，履行期限、地点和方式，包装方式，履约保证金要求，价款或报酬、付款进度安排、</w:t>
      </w:r>
      <w:r>
        <w:rPr>
          <w:rFonts w:hint="eastAsia" w:ascii="宋体" w:hAnsi="宋体" w:cs="宋体"/>
          <w:color w:val="000000"/>
          <w:sz w:val="24"/>
          <w:szCs w:val="24"/>
        </w:rPr>
        <w:t>与履约验收挂钩的资金支付条件及时间</w:t>
      </w:r>
      <w:r>
        <w:rPr>
          <w:rFonts w:hint="eastAsia" w:ascii="宋体" w:hAnsi="宋体"/>
          <w:bCs/>
          <w:color w:val="000000"/>
          <w:sz w:val="24"/>
          <w:szCs w:val="24"/>
        </w:rPr>
        <w:t>，验收、交付标准和方法，质量保修范围和保修期，违约责任与解决争议的方法，甲乙双方权利与义务，合同分包要求，</w:t>
      </w:r>
      <w:r>
        <w:rPr>
          <w:rFonts w:hint="eastAsia" w:ascii="宋体" w:hAnsi="宋体"/>
          <w:color w:val="000000"/>
          <w:sz w:val="24"/>
          <w:szCs w:val="24"/>
        </w:rPr>
        <w:t>合同类型</w:t>
      </w:r>
      <w:r>
        <w:rPr>
          <w:rFonts w:hint="eastAsia" w:ascii="宋体" w:hAnsi="宋体"/>
          <w:bCs/>
          <w:color w:val="000000"/>
          <w:sz w:val="24"/>
          <w:szCs w:val="24"/>
        </w:rPr>
        <w:t>等。</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九、合同书生效及注意事项：</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十一、根据《政府采购法》第四十九、五十条规定，甲乙双方不得擅自变更、中止或终止合同。</w:t>
      </w:r>
    </w:p>
    <w:p>
      <w:pPr>
        <w:snapToGrid w:val="0"/>
        <w:spacing w:line="288" w:lineRule="auto"/>
        <w:jc w:val="right"/>
        <w:rPr>
          <w:rFonts w:hint="eastAsia" w:ascii="宋体" w:hAnsi="宋体"/>
          <w:bCs/>
          <w:color w:val="000000"/>
          <w:sz w:val="24"/>
          <w:szCs w:val="24"/>
        </w:rPr>
      </w:pPr>
      <w:r>
        <w:rPr>
          <w:rFonts w:hint="eastAsia" w:ascii="宋体" w:hAnsi="宋体"/>
          <w:bCs/>
          <w:color w:val="000000"/>
          <w:sz w:val="24"/>
          <w:szCs w:val="24"/>
        </w:rPr>
        <w:t>见证方：</w:t>
      </w:r>
      <w:r>
        <w:rPr>
          <w:rFonts w:hint="eastAsia" w:ascii="宋体" w:hAnsi="宋体"/>
          <w:bCs/>
          <w:color w:val="000000" w:themeColor="text1"/>
          <w:sz w:val="24"/>
          <w:szCs w:val="24"/>
          <w14:textFill>
            <w14:solidFill>
              <w14:schemeClr w14:val="tx1"/>
            </w14:solidFill>
          </w14:textFill>
        </w:rPr>
        <w:t>无锡市公共资源交易中心梁溪分中心（盖章）</w:t>
      </w:r>
    </w:p>
    <w:p>
      <w:pPr>
        <w:wordWrap w:val="0"/>
        <w:snapToGrid w:val="0"/>
        <w:spacing w:line="288" w:lineRule="auto"/>
        <w:ind w:right="1920"/>
        <w:jc w:val="center"/>
        <w:rPr>
          <w:rFonts w:hint="eastAsia" w:ascii="宋体" w:hAnsi="宋体"/>
          <w:bCs/>
          <w:color w:val="000000"/>
          <w:sz w:val="24"/>
          <w:szCs w:val="24"/>
        </w:rPr>
      </w:pPr>
      <w:r>
        <w:rPr>
          <w:rFonts w:hint="eastAsia" w:ascii="宋体" w:hAnsi="宋体"/>
          <w:bCs/>
          <w:color w:val="000000"/>
          <w:sz w:val="24"/>
          <w:szCs w:val="24"/>
        </w:rPr>
        <w:t xml:space="preserve">                            见证人：                  </w:t>
      </w:r>
    </w:p>
    <w:p>
      <w:pPr>
        <w:snapToGrid w:val="0"/>
        <w:spacing w:line="288" w:lineRule="auto"/>
        <w:jc w:val="right"/>
        <w:rPr>
          <w:rFonts w:hint="eastAsia" w:ascii="宋体" w:hAnsi="宋体"/>
          <w:bCs/>
          <w:color w:val="000000"/>
          <w:sz w:val="24"/>
          <w:szCs w:val="24"/>
        </w:rPr>
      </w:pPr>
      <w:r>
        <w:rPr>
          <w:rFonts w:hint="eastAsia" w:ascii="宋体" w:hAnsi="宋体"/>
          <w:bCs/>
          <w:color w:val="000000"/>
          <w:sz w:val="24"/>
          <w:szCs w:val="24"/>
        </w:rPr>
        <w:t xml:space="preserve">   年   月    日</w:t>
      </w:r>
    </w:p>
    <w:p>
      <w:pPr>
        <w:pStyle w:val="3"/>
      </w:pPr>
    </w:p>
    <w:p>
      <w:pPr>
        <w:pStyle w:val="3"/>
      </w:pPr>
    </w:p>
    <w:p>
      <w:pPr>
        <w:pStyle w:val="3"/>
      </w:pPr>
    </w:p>
    <w:p>
      <w:pPr>
        <w:pStyle w:val="3"/>
      </w:pPr>
    </w:p>
    <w:p>
      <w:pPr>
        <w:spacing w:line="360" w:lineRule="auto"/>
        <w:jc w:val="center"/>
        <w:rPr>
          <w:rFonts w:ascii="黑体" w:eastAsia="黑体"/>
          <w:bCs/>
          <w:color w:val="000000"/>
          <w:sz w:val="28"/>
          <w:szCs w:val="28"/>
        </w:rPr>
      </w:pPr>
      <w:r>
        <w:rPr>
          <w:rFonts w:hint="eastAsia" w:ascii="黑体" w:eastAsia="黑体"/>
          <w:bCs/>
          <w:color w:val="000000"/>
          <w:sz w:val="28"/>
          <w:szCs w:val="28"/>
        </w:rPr>
        <w:t>五．合同条款</w:t>
      </w:r>
    </w:p>
    <w:p>
      <w:pPr>
        <w:snapToGrid w:val="0"/>
        <w:spacing w:line="336" w:lineRule="auto"/>
        <w:ind w:firstLine="480" w:firstLineChars="200"/>
        <w:jc w:val="center"/>
        <w:rPr>
          <w:rFonts w:hint="eastAsia" w:ascii="宋体" w:hAnsi="宋体"/>
          <w:bCs/>
          <w:color w:val="000000"/>
          <w:sz w:val="24"/>
          <w:szCs w:val="24"/>
        </w:rPr>
      </w:pPr>
      <w:r>
        <w:rPr>
          <w:rFonts w:hint="eastAsia" w:ascii="宋体" w:hAnsi="宋体"/>
          <w:bCs/>
          <w:color w:val="000000"/>
          <w:sz w:val="24"/>
          <w:szCs w:val="24"/>
        </w:rPr>
        <w:t>（根据相关法律规定以及采购文件确定事项订立）</w:t>
      </w:r>
    </w:p>
    <w:p>
      <w:pPr>
        <w:snapToGrid w:val="0"/>
        <w:spacing w:line="336" w:lineRule="auto"/>
        <w:ind w:firstLine="525"/>
        <w:rPr>
          <w:rFonts w:hint="eastAsia" w:ascii="宋体" w:hAnsi="Calibri"/>
          <w:bCs/>
          <w:color w:val="000000"/>
          <w:sz w:val="24"/>
          <w:szCs w:val="24"/>
        </w:rPr>
      </w:pPr>
      <w:r>
        <w:rPr>
          <w:rFonts w:hint="eastAsia" w:ascii="宋体" w:hAnsi="宋体"/>
          <w:bCs/>
          <w:color w:val="000000"/>
          <w:sz w:val="24"/>
          <w:szCs w:val="24"/>
        </w:rPr>
        <w:t>（一）合同内容：需方向供方购买。</w:t>
      </w:r>
    </w:p>
    <w:p>
      <w:pPr>
        <w:snapToGrid w:val="0"/>
        <w:spacing w:line="336" w:lineRule="auto"/>
        <w:ind w:firstLine="525"/>
        <w:rPr>
          <w:rFonts w:hint="eastAsia" w:ascii="宋体"/>
          <w:bCs/>
          <w:color w:val="000000"/>
          <w:sz w:val="24"/>
          <w:szCs w:val="24"/>
        </w:rPr>
      </w:pPr>
      <w:r>
        <w:rPr>
          <w:rFonts w:hint="eastAsia" w:ascii="宋体" w:hAnsi="宋体"/>
          <w:bCs/>
          <w:color w:val="000000"/>
          <w:sz w:val="24"/>
          <w:szCs w:val="24"/>
        </w:rPr>
        <w:t>（二）价格及支付：</w:t>
      </w:r>
    </w:p>
    <w:p>
      <w:pPr>
        <w:tabs>
          <w:tab w:val="left" w:pos="525"/>
          <w:tab w:val="left" w:pos="1050"/>
          <w:tab w:val="left" w:pos="1155"/>
        </w:tabs>
        <w:snapToGrid w:val="0"/>
        <w:spacing w:line="336" w:lineRule="auto"/>
        <w:ind w:firstLine="523" w:firstLineChars="218"/>
        <w:rPr>
          <w:rFonts w:hint="eastAsia" w:ascii="宋体"/>
          <w:bCs/>
          <w:color w:val="000000"/>
          <w:sz w:val="24"/>
          <w:szCs w:val="24"/>
        </w:rPr>
      </w:pPr>
      <w:r>
        <w:rPr>
          <w:rFonts w:hint="eastAsia" w:ascii="宋体" w:hAnsi="宋体"/>
          <w:bCs/>
          <w:color w:val="000000"/>
          <w:sz w:val="24"/>
          <w:szCs w:val="24"/>
        </w:rPr>
        <w:t>1. 按此次中标价格执行，合同总标的额为</w:t>
      </w:r>
      <w:r>
        <w:rPr>
          <w:rFonts w:hint="eastAsia" w:ascii="宋体" w:hAnsi="宋体"/>
          <w:bCs/>
          <w:color w:val="000000"/>
          <w:sz w:val="24"/>
          <w:szCs w:val="24"/>
          <w:u w:val="single"/>
        </w:rPr>
        <w:t xml:space="preserve">        </w:t>
      </w:r>
      <w:r>
        <w:rPr>
          <w:rFonts w:hint="eastAsia" w:ascii="宋体" w:hAnsi="宋体"/>
          <w:bCs/>
          <w:color w:val="000000"/>
          <w:sz w:val="24"/>
          <w:szCs w:val="24"/>
        </w:rPr>
        <w:t>元。</w:t>
      </w:r>
    </w:p>
    <w:p>
      <w:pPr>
        <w:numPr>
          <w:ilvl w:val="1"/>
          <w:numId w:val="18"/>
        </w:numPr>
        <w:tabs>
          <w:tab w:val="left" w:pos="945"/>
          <w:tab w:val="left" w:pos="1770"/>
          <w:tab w:val="left" w:pos="2100"/>
        </w:tabs>
        <w:snapToGrid w:val="0"/>
        <w:spacing w:line="336" w:lineRule="auto"/>
        <w:ind w:left="0" w:firstLine="525"/>
        <w:rPr>
          <w:rFonts w:hint="eastAsia" w:ascii="宋体"/>
          <w:bCs/>
          <w:color w:val="000000"/>
          <w:sz w:val="24"/>
          <w:szCs w:val="24"/>
        </w:rPr>
      </w:pPr>
      <w:r>
        <w:rPr>
          <w:rFonts w:hint="eastAsia" w:ascii="宋体" w:hAnsi="宋体"/>
          <w:bCs/>
          <w:color w:val="000000"/>
          <w:sz w:val="24"/>
          <w:szCs w:val="24"/>
        </w:rPr>
        <w:t>付款方式：</w:t>
      </w:r>
    </w:p>
    <w:p>
      <w:pPr>
        <w:numPr>
          <w:ilvl w:val="1"/>
          <w:numId w:val="18"/>
        </w:numPr>
        <w:tabs>
          <w:tab w:val="left" w:pos="945"/>
          <w:tab w:val="left" w:pos="1770"/>
          <w:tab w:val="left" w:pos="2100"/>
        </w:tabs>
        <w:snapToGrid w:val="0"/>
        <w:spacing w:line="336" w:lineRule="auto"/>
        <w:ind w:left="0" w:firstLine="525"/>
        <w:rPr>
          <w:rFonts w:hint="eastAsia" w:ascii="宋体"/>
          <w:bCs/>
          <w:color w:val="000000"/>
          <w:sz w:val="24"/>
          <w:szCs w:val="24"/>
        </w:rPr>
      </w:pPr>
      <w:r>
        <w:rPr>
          <w:rFonts w:hint="eastAsia" w:ascii="宋体" w:hAnsi="宋体"/>
          <w:bCs/>
          <w:color w:val="000000"/>
          <w:sz w:val="24"/>
          <w:szCs w:val="24"/>
        </w:rPr>
        <w:t>履约保证金的缴纳和退付：</w:t>
      </w:r>
    </w:p>
    <w:p>
      <w:pPr>
        <w:tabs>
          <w:tab w:val="left" w:pos="945"/>
          <w:tab w:val="left" w:pos="2100"/>
        </w:tabs>
        <w:snapToGrid w:val="0"/>
        <w:spacing w:line="336" w:lineRule="auto"/>
        <w:ind w:firstLine="480" w:firstLineChars="200"/>
        <w:rPr>
          <w:rFonts w:hint="eastAsia" w:ascii="宋体" w:hAnsi="宋体"/>
          <w:bCs/>
          <w:color w:val="000000"/>
          <w:sz w:val="24"/>
          <w:szCs w:val="24"/>
        </w:rPr>
      </w:pPr>
      <w:r>
        <w:rPr>
          <w:rFonts w:hint="eastAsia" w:ascii="宋体" w:hAnsi="宋体"/>
          <w:bCs/>
          <w:color w:val="000000"/>
          <w:sz w:val="24"/>
          <w:szCs w:val="24"/>
        </w:rPr>
        <w:t>本项目是/否向采购人缴纳履约保证金：</w:t>
      </w:r>
      <w:r>
        <w:rPr>
          <w:rFonts w:hint="eastAsia" w:ascii="宋体" w:hAnsi="宋体"/>
          <w:bCs/>
          <w:color w:val="000000"/>
          <w:sz w:val="24"/>
          <w:szCs w:val="24"/>
          <w:u w:val="single"/>
        </w:rPr>
        <w:t xml:space="preserve">           </w:t>
      </w:r>
      <w:r>
        <w:rPr>
          <w:rFonts w:hint="eastAsia" w:ascii="宋体" w:hAnsi="宋体"/>
          <w:bCs/>
          <w:color w:val="000000"/>
          <w:sz w:val="24"/>
          <w:szCs w:val="24"/>
        </w:rPr>
        <w:t xml:space="preserve"> 。</w:t>
      </w:r>
    </w:p>
    <w:p>
      <w:pPr>
        <w:tabs>
          <w:tab w:val="left" w:pos="945"/>
          <w:tab w:val="left" w:pos="2100"/>
        </w:tabs>
        <w:snapToGrid w:val="0"/>
        <w:spacing w:line="336" w:lineRule="auto"/>
        <w:ind w:firstLine="480" w:firstLineChars="200"/>
        <w:rPr>
          <w:rFonts w:hint="eastAsia" w:ascii="宋体" w:hAnsi="宋体"/>
          <w:bCs/>
          <w:color w:val="000000"/>
          <w:sz w:val="24"/>
          <w:szCs w:val="24"/>
        </w:rPr>
      </w:pPr>
      <w:r>
        <w:rPr>
          <w:rFonts w:hint="eastAsia" w:ascii="宋体" w:hAnsi="宋体"/>
          <w:bCs/>
          <w:color w:val="000000"/>
          <w:sz w:val="24"/>
          <w:szCs w:val="24"/>
        </w:rPr>
        <w:t>履约保证金缴纳金额：</w:t>
      </w:r>
      <w:r>
        <w:rPr>
          <w:rFonts w:hint="eastAsia" w:ascii="宋体" w:hAnsi="宋体"/>
          <w:bCs/>
          <w:color w:val="000000"/>
          <w:sz w:val="24"/>
          <w:szCs w:val="24"/>
          <w:u w:val="single"/>
        </w:rPr>
        <w:t xml:space="preserve">                         </w:t>
      </w:r>
      <w:r>
        <w:rPr>
          <w:rFonts w:hint="eastAsia" w:ascii="宋体" w:hAnsi="宋体"/>
          <w:bCs/>
          <w:color w:val="000000"/>
          <w:sz w:val="24"/>
          <w:szCs w:val="24"/>
        </w:rPr>
        <w:t>元。</w:t>
      </w:r>
    </w:p>
    <w:p>
      <w:pPr>
        <w:tabs>
          <w:tab w:val="left" w:pos="945"/>
          <w:tab w:val="left" w:pos="2100"/>
        </w:tabs>
        <w:snapToGrid w:val="0"/>
        <w:spacing w:line="336" w:lineRule="auto"/>
        <w:ind w:firstLine="480" w:firstLineChars="200"/>
        <w:rPr>
          <w:rFonts w:hint="eastAsia" w:ascii="宋体" w:hAnsi="宋体"/>
          <w:bCs/>
          <w:color w:val="000000"/>
          <w:sz w:val="24"/>
          <w:szCs w:val="22"/>
        </w:rPr>
      </w:pPr>
      <w:r>
        <w:rPr>
          <w:rFonts w:hint="eastAsia" w:ascii="宋体" w:hAnsi="宋体"/>
          <w:bCs/>
          <w:color w:val="000000"/>
          <w:sz w:val="24"/>
          <w:szCs w:val="24"/>
        </w:rPr>
        <w:t>履约保证金的缴纳时间：</w:t>
      </w:r>
      <w:r>
        <w:rPr>
          <w:rFonts w:hint="eastAsia" w:ascii="宋体" w:hAnsi="宋体"/>
          <w:bCs/>
          <w:color w:val="000000"/>
          <w:sz w:val="24"/>
          <w:szCs w:val="24"/>
          <w:u w:val="single"/>
        </w:rPr>
        <w:t xml:space="preserve">       </w:t>
      </w:r>
      <w:r>
        <w:rPr>
          <w:rFonts w:hint="eastAsia" w:ascii="宋体" w:hAnsi="宋体"/>
          <w:bCs/>
          <w:color w:val="000000"/>
          <w:sz w:val="24"/>
          <w:szCs w:val="24"/>
        </w:rPr>
        <w:t>，缴纳形式：</w:t>
      </w:r>
      <w:r>
        <w:rPr>
          <w:rFonts w:hint="eastAsia" w:ascii="宋体" w:hAnsi="宋体"/>
          <w:bCs/>
          <w:color w:val="000000"/>
          <w:sz w:val="24"/>
          <w:szCs w:val="24"/>
          <w:u w:val="single"/>
        </w:rPr>
        <w:t xml:space="preserve">      </w:t>
      </w:r>
      <w:r>
        <w:rPr>
          <w:rFonts w:hint="eastAsia" w:ascii="宋体" w:hAnsi="宋体"/>
          <w:bCs/>
          <w:color w:val="000000"/>
          <w:sz w:val="24"/>
        </w:rPr>
        <w:t>。</w:t>
      </w:r>
    </w:p>
    <w:p>
      <w:pPr>
        <w:tabs>
          <w:tab w:val="left" w:pos="945"/>
          <w:tab w:val="left" w:pos="2100"/>
        </w:tabs>
        <w:snapToGrid w:val="0"/>
        <w:spacing w:line="336" w:lineRule="auto"/>
        <w:ind w:firstLine="480" w:firstLineChars="200"/>
        <w:rPr>
          <w:rFonts w:hint="eastAsia" w:ascii="宋体" w:hAnsi="宋体"/>
          <w:bCs/>
          <w:color w:val="000000"/>
          <w:sz w:val="24"/>
        </w:rPr>
      </w:pPr>
      <w:r>
        <w:rPr>
          <w:rFonts w:hint="eastAsia" w:ascii="宋体" w:hAnsi="宋体"/>
          <w:bCs/>
          <w:color w:val="000000"/>
          <w:sz w:val="24"/>
          <w:szCs w:val="24"/>
        </w:rPr>
        <w:t>履约保证金的退付时间：</w:t>
      </w:r>
      <w:r>
        <w:rPr>
          <w:rFonts w:hint="eastAsia" w:ascii="宋体" w:hAnsi="宋体"/>
          <w:bCs/>
          <w:color w:val="000000"/>
          <w:sz w:val="24"/>
          <w:szCs w:val="24"/>
          <w:u w:val="single"/>
        </w:rPr>
        <w:t xml:space="preserve">       </w:t>
      </w:r>
      <w:r>
        <w:rPr>
          <w:rFonts w:hint="eastAsia" w:ascii="宋体" w:hAnsi="宋体"/>
          <w:bCs/>
          <w:color w:val="000000"/>
          <w:sz w:val="24"/>
          <w:szCs w:val="24"/>
        </w:rPr>
        <w:t>，退付办法：</w:t>
      </w:r>
      <w:r>
        <w:rPr>
          <w:rFonts w:hint="eastAsia" w:ascii="宋体" w:hAnsi="宋体"/>
          <w:bCs/>
          <w:color w:val="000000"/>
          <w:sz w:val="24"/>
          <w:szCs w:val="24"/>
          <w:u w:val="single"/>
        </w:rPr>
        <w:t xml:space="preserve">      </w:t>
      </w:r>
      <w:r>
        <w:rPr>
          <w:rFonts w:hint="eastAsia" w:ascii="宋体" w:hAnsi="宋体"/>
          <w:bCs/>
          <w:color w:val="000000"/>
          <w:sz w:val="24"/>
        </w:rPr>
        <w:t>。</w:t>
      </w:r>
    </w:p>
    <w:p>
      <w:pPr>
        <w:tabs>
          <w:tab w:val="left" w:pos="945"/>
          <w:tab w:val="left" w:pos="2100"/>
        </w:tabs>
        <w:snapToGrid w:val="0"/>
        <w:spacing w:line="336" w:lineRule="auto"/>
        <w:ind w:firstLine="480" w:firstLineChars="200"/>
        <w:rPr>
          <w:rFonts w:hint="eastAsia" w:ascii="宋体" w:hAnsi="宋体"/>
          <w:bCs/>
          <w:color w:val="000000"/>
          <w:sz w:val="24"/>
        </w:rPr>
      </w:pPr>
      <w:r>
        <w:rPr>
          <w:rFonts w:hint="eastAsia" w:ascii="宋体" w:hAnsi="宋体"/>
          <w:bCs/>
          <w:color w:val="000000"/>
          <w:sz w:val="24"/>
        </w:rPr>
        <w:t>履约保证金不予退还的情形：</w:t>
      </w:r>
      <w:r>
        <w:rPr>
          <w:rFonts w:hint="eastAsia" w:ascii="宋体" w:hAnsi="宋体"/>
          <w:bCs/>
          <w:color w:val="000000"/>
          <w:sz w:val="24"/>
          <w:u w:val="single"/>
        </w:rPr>
        <w:t xml:space="preserve">                     </w:t>
      </w:r>
      <w:r>
        <w:rPr>
          <w:rFonts w:hint="eastAsia" w:ascii="宋体" w:hAnsi="宋体"/>
          <w:bCs/>
          <w:color w:val="000000"/>
          <w:sz w:val="24"/>
        </w:rPr>
        <w:t>。</w:t>
      </w:r>
    </w:p>
    <w:p>
      <w:pPr>
        <w:tabs>
          <w:tab w:val="left" w:pos="945"/>
          <w:tab w:val="left" w:pos="2100"/>
        </w:tabs>
        <w:snapToGrid w:val="0"/>
        <w:spacing w:line="336" w:lineRule="auto"/>
        <w:ind w:firstLine="480" w:firstLineChars="200"/>
        <w:rPr>
          <w:rFonts w:hint="eastAsia" w:ascii="宋体" w:hAnsi="Calibri"/>
          <w:bCs/>
          <w:color w:val="000000"/>
          <w:sz w:val="24"/>
          <w:szCs w:val="24"/>
        </w:rPr>
      </w:pPr>
      <w:r>
        <w:rPr>
          <w:rFonts w:hint="eastAsia" w:ascii="宋体" w:hAnsi="宋体"/>
          <w:bCs/>
          <w:color w:val="000000"/>
          <w:sz w:val="24"/>
        </w:rPr>
        <w:t>逾期退还履约保证金的违约责任：</w:t>
      </w:r>
      <w:r>
        <w:rPr>
          <w:rFonts w:hint="eastAsia" w:ascii="宋体" w:hAnsi="宋体"/>
          <w:bCs/>
          <w:color w:val="000000"/>
          <w:sz w:val="24"/>
          <w:u w:val="single"/>
        </w:rPr>
        <w:t xml:space="preserve">                 </w:t>
      </w:r>
      <w:r>
        <w:rPr>
          <w:rFonts w:hint="eastAsia" w:ascii="宋体" w:hAnsi="宋体"/>
          <w:bCs/>
          <w:color w:val="000000"/>
          <w:sz w:val="24"/>
        </w:rPr>
        <w:t>。</w:t>
      </w:r>
    </w:p>
    <w:p>
      <w:pPr>
        <w:tabs>
          <w:tab w:val="left" w:pos="0"/>
          <w:tab w:val="left" w:pos="13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（三）知识产权</w:t>
      </w:r>
    </w:p>
    <w:p>
      <w:pPr>
        <w:tabs>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pPr>
        <w:tabs>
          <w:tab w:val="left" w:pos="73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（四）质量要求与检验：</w:t>
      </w:r>
    </w:p>
    <w:p>
      <w:pPr>
        <w:tabs>
          <w:tab w:val="left" w:pos="525"/>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1.供方应严格按照招标文件的有关规定和供方投标文件提供合格的货物及服务。</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2.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pPr>
        <w:tabs>
          <w:tab w:val="left" w:pos="420"/>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3.货物的到货验收包括：数量、外观、质量、性能、随机备件、装箱单、质量证书等随机资料及包装完整无破损。</w:t>
      </w:r>
    </w:p>
    <w:p>
      <w:pPr>
        <w:tabs>
          <w:tab w:val="left" w:pos="1050"/>
          <w:tab w:val="left" w:pos="1155"/>
        </w:tabs>
        <w:snapToGrid w:val="0"/>
        <w:spacing w:line="336" w:lineRule="auto"/>
        <w:ind w:firstLine="480" w:firstLineChars="200"/>
        <w:rPr>
          <w:rFonts w:hint="eastAsia" w:ascii="宋体" w:hAnsi="宋体"/>
          <w:bCs/>
          <w:color w:val="000000"/>
          <w:sz w:val="24"/>
          <w:szCs w:val="24"/>
        </w:rPr>
      </w:pPr>
      <w:r>
        <w:rPr>
          <w:rFonts w:hint="eastAsia" w:ascii="宋体" w:hAnsi="宋体"/>
          <w:bCs/>
          <w:color w:val="000000"/>
          <w:sz w:val="24"/>
          <w:szCs w:val="24"/>
        </w:rPr>
        <w:t>4.货物和系统调试验收标准：</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按行业通行标准、厂方出厂标准、招标文件要求和供方投标文件的承诺，并不低于国家相关标准。</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5.货物运到需方指定地点并经需方验证签收后，由于需方保管不善造成的质量问题，供方应负责修理，但有关费用由需方承担。</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6.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7.需方不得擅自变更招投标文件约定的性能、指标等相关内容，如有变更应按《中华人民共和国政府采购法》、财政部《政府采购货物和服务招标投标管理办法》的相关程序执行。</w:t>
      </w:r>
    </w:p>
    <w:p>
      <w:pPr>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（五）交货条件：</w:t>
      </w:r>
    </w:p>
    <w:p>
      <w:pPr>
        <w:tabs>
          <w:tab w:val="left" w:pos="42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1.交货日期（或完工期）：</w:t>
      </w:r>
    </w:p>
    <w:p>
      <w:pPr>
        <w:tabs>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2.供方在验收时应先用信函、传真、电子邮件等书面方式通知需方。</w:t>
      </w:r>
    </w:p>
    <w:p>
      <w:pPr>
        <w:tabs>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货物的外观、包装、运输应按国家有关规定或相关部颁标准执行。如因供方包装或运输不当等原因造成损坏或丢失，应由供方负责调换或补缺，如因此导致供方逾期交付货物的，供方还应承担逾期交付的违约责任。</w:t>
      </w:r>
    </w:p>
    <w:p>
      <w:pPr>
        <w:tabs>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4.货物交货时，所有货物必须带有货物质量检验合格证书、中文质保单、装箱单、中文货物安装使用说明书。其它附件所有部件必须原包装。</w:t>
      </w:r>
    </w:p>
    <w:p>
      <w:pPr>
        <w:tabs>
          <w:tab w:val="left" w:pos="945"/>
          <w:tab w:val="left" w:pos="1155"/>
        </w:tabs>
        <w:snapToGrid w:val="0"/>
        <w:spacing w:line="336" w:lineRule="auto"/>
        <w:ind w:left="2" w:firstLine="480" w:firstLineChars="200"/>
        <w:rPr>
          <w:rFonts w:hint="eastAsia" w:ascii="宋体"/>
          <w:bCs/>
          <w:color w:val="000000"/>
          <w:sz w:val="24"/>
          <w:szCs w:val="24"/>
        </w:rPr>
      </w:pPr>
      <w:r>
        <w:rPr>
          <w:rFonts w:hint="eastAsia" w:ascii="宋体" w:hAnsi="宋体"/>
          <w:bCs/>
          <w:color w:val="000000"/>
          <w:sz w:val="24"/>
          <w:szCs w:val="24"/>
        </w:rPr>
        <w:t>5.运输及到货地点：由供方负责办理运输并承担所有费用，直接送到需方指定地点，即：以合同书上的地点为准。</w:t>
      </w:r>
    </w:p>
    <w:p>
      <w:pPr>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（六）安装调试及售后服务：</w:t>
      </w:r>
    </w:p>
    <w:p>
      <w:pPr>
        <w:tabs>
          <w:tab w:val="left" w:pos="525"/>
          <w:tab w:val="left" w:pos="840"/>
          <w:tab w:val="left" w:pos="945"/>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1.供方负责本项目的安装和调试，并保证其提供的货物符合国家、行业、地方、招投标文件及合同规定的质量、性能和标准，并正确且安全地安装。</w:t>
      </w:r>
    </w:p>
    <w:p>
      <w:pPr>
        <w:tabs>
          <w:tab w:val="left" w:pos="525"/>
          <w:tab w:val="left" w:pos="840"/>
          <w:tab w:val="left" w:pos="945"/>
          <w:tab w:val="left" w:pos="1050"/>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2.供方提供的服务全部按照国家有关法律法规规章和“三包”规定以及按招标文件要求和供方投标文件中的承诺执行。</w:t>
      </w:r>
    </w:p>
    <w:p>
      <w:pPr>
        <w:tabs>
          <w:tab w:val="left" w:pos="525"/>
          <w:tab w:val="left" w:pos="840"/>
          <w:tab w:val="left" w:pos="945"/>
          <w:tab w:val="left" w:pos="1050"/>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3.质保期后的货物维护由双方协商再定。</w:t>
      </w:r>
    </w:p>
    <w:p>
      <w:pPr>
        <w:tabs>
          <w:tab w:val="left" w:pos="525"/>
          <w:tab w:val="left" w:pos="840"/>
          <w:tab w:val="left" w:pos="945"/>
          <w:tab w:val="left" w:pos="1050"/>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4.需方应向供方现场调试的技术人员及维修人员提供方便条件，有关费用由供方负责。</w:t>
      </w:r>
    </w:p>
    <w:p>
      <w:pPr>
        <w:tabs>
          <w:tab w:val="left" w:pos="525"/>
          <w:tab w:val="left" w:pos="840"/>
          <w:tab w:val="left" w:pos="945"/>
          <w:tab w:val="left" w:pos="1050"/>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5.需方如要求供方提供招标文件及供方投标文件以外的其它服务，其费用另定。</w:t>
      </w:r>
    </w:p>
    <w:p>
      <w:pPr>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（七）违约责任：</w:t>
      </w:r>
    </w:p>
    <w:p>
      <w:pPr>
        <w:tabs>
          <w:tab w:val="left" w:pos="0"/>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pPr>
        <w:tabs>
          <w:tab w:val="left" w:pos="0"/>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2.如供方逾期交货且未经需方同意延长交货时间，除不可抗力外，每逾期一日，供方应按照逾期交货金额的万分之五的标准累计计算向需方支付违约金。逾期超过20个工作日的，需方有权依照法律程序解除合同，需方如已支付费用的，供方全部返还，且供方应按照合同总价的30%向需方支付违约金，如给需方造成损失的，还应赔偿损失。</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3.需方无正当理由逾期付款时，每逾期一日，需方应按照逾期付款金额的万分之五的标准累计计算向供方支付违约金。</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4.由于需方的原因要求延期交货，需方应按规定承付货款，并承担供方提供的代为保管费。（有关仓储规定另议）</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5.供方如无不可抗力，又未履行招标文件、投标文件和合同条款的，一经查实，由供方赔偿由此给需方造成的损失，并按照合同总价的30%向需方支付违约金，因招、投标产生的其他责任及后果按招标文件的相关要求及处理方式执行。</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6.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20%向需方支付违约金，如给需方造成其他损失的，供方还应负责赔偿。</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7.如遭遇不可抗力事件，遭遇不可抗力的一方应尽快以书面形式将不可抗力的情况和原因通知另一方，并积极采取措施防止损失扩大。因不可抗力造成的损失，供、需双方按照法律规定处理。</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8.招标文件及合同中所述之“不可抗力”系指不可预见、不可避免、不可克服的事件，包括但不限于：战争、洪水、台风、地震及其他法律、法规规定的事件。</w:t>
      </w:r>
    </w:p>
    <w:p>
      <w:pPr>
        <w:pStyle w:val="101"/>
        <w:numPr>
          <w:ilvl w:val="0"/>
          <w:numId w:val="19"/>
        </w:numPr>
        <w:snapToGrid w:val="0"/>
        <w:spacing w:line="336" w:lineRule="auto"/>
        <w:ind w:firstLineChars="0"/>
        <w:rPr>
          <w:rFonts w:hint="eastAsia" w:ascii="宋体"/>
          <w:bCs/>
          <w:color w:val="000000"/>
          <w:sz w:val="24"/>
          <w:szCs w:val="24"/>
        </w:rPr>
      </w:pPr>
      <w:r>
        <w:rPr>
          <w:rFonts w:hint="eastAsia" w:ascii="宋体" w:hAnsi="宋体"/>
          <w:bCs/>
          <w:color w:val="000000"/>
          <w:sz w:val="24"/>
          <w:szCs w:val="24"/>
        </w:rPr>
        <w:t>合同生效及其它：</w:t>
      </w:r>
    </w:p>
    <w:p>
      <w:pPr>
        <w:tabs>
          <w:tab w:val="left" w:pos="0"/>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1.合同经供需双方代表签字并盖章，且在无锡市</w:t>
      </w:r>
      <w:r>
        <w:rPr>
          <w:rFonts w:hint="eastAsia" w:ascii="宋体" w:hAnsi="宋体"/>
          <w:bCs/>
          <w:color w:val="000000"/>
          <w:sz w:val="24"/>
          <w:szCs w:val="24"/>
          <w:lang w:val="en-US" w:eastAsia="zh-CN"/>
        </w:rPr>
        <w:t>公共资源交易中心梁溪分中心</w:t>
      </w:r>
      <w:r>
        <w:rPr>
          <w:rFonts w:hint="eastAsia" w:ascii="宋体" w:hAnsi="宋体"/>
          <w:bCs/>
          <w:color w:val="000000"/>
          <w:sz w:val="24"/>
          <w:szCs w:val="24"/>
        </w:rPr>
        <w:t>见证后即生效。</w:t>
      </w:r>
    </w:p>
    <w:p>
      <w:pPr>
        <w:tabs>
          <w:tab w:val="left" w:pos="0"/>
          <w:tab w:val="left" w:pos="315"/>
          <w:tab w:val="left" w:pos="525"/>
          <w:tab w:val="left" w:pos="945"/>
        </w:tabs>
        <w:snapToGrid w:val="0"/>
        <w:spacing w:line="336" w:lineRule="auto"/>
        <w:ind w:firstLine="480" w:firstLineChars="200"/>
        <w:rPr>
          <w:rFonts w:hint="eastAsia" w:ascii="宋体" w:hAnsi="宋体"/>
          <w:bCs/>
          <w:color w:val="000000"/>
          <w:sz w:val="24"/>
          <w:szCs w:val="24"/>
        </w:rPr>
      </w:pPr>
      <w:r>
        <w:rPr>
          <w:rFonts w:hint="eastAsia" w:ascii="宋体" w:hAnsi="宋体"/>
          <w:bCs/>
          <w:color w:val="000000"/>
          <w:sz w:val="24"/>
          <w:szCs w:val="24"/>
        </w:rPr>
        <w:t>2.合同签订后供需双方即直接产生权利与义务的关系，合同执行过程中出现的问题应按照合同约定、法律法规的规定办理。在合同履行过程中，双方如有争议，</w:t>
      </w:r>
      <w:r>
        <w:rPr>
          <w:rFonts w:hint="eastAsia" w:ascii="宋体" w:hAnsi="宋体"/>
          <w:color w:val="000000"/>
          <w:sz w:val="24"/>
          <w:szCs w:val="24"/>
        </w:rPr>
        <w:t>由供需双方协商处理，若协商不成，</w:t>
      </w:r>
      <w:r>
        <w:rPr>
          <w:rFonts w:hint="eastAsia" w:ascii="宋体" w:hAnsi="宋体"/>
          <w:bCs/>
          <w:color w:val="000000"/>
          <w:sz w:val="24"/>
          <w:szCs w:val="24"/>
        </w:rPr>
        <w:t>可选择以下方式处理：</w:t>
      </w:r>
    </w:p>
    <w:p>
      <w:pPr>
        <w:tabs>
          <w:tab w:val="left" w:pos="0"/>
          <w:tab w:val="left" w:pos="315"/>
          <w:tab w:val="left" w:pos="525"/>
          <w:tab w:val="left" w:pos="945"/>
        </w:tabs>
        <w:snapToGrid w:val="0"/>
        <w:spacing w:line="336" w:lineRule="auto"/>
        <w:ind w:firstLine="480" w:firstLineChars="200"/>
        <w:rPr>
          <w:rFonts w:hint="eastAsia" w:ascii="宋体" w:hAnsi="宋体"/>
          <w:color w:val="000000"/>
          <w:sz w:val="24"/>
          <w:szCs w:val="24"/>
        </w:rPr>
      </w:pPr>
      <w:r>
        <w:rPr>
          <w:rFonts w:hint="eastAsia" w:ascii="宋体" w:hAnsi="宋体"/>
          <w:color w:val="000000"/>
          <w:sz w:val="24"/>
          <w:szCs w:val="24"/>
        </w:rPr>
        <w:t>（1）向无锡仲裁委员会申请仲裁。</w:t>
      </w:r>
    </w:p>
    <w:p>
      <w:pPr>
        <w:tabs>
          <w:tab w:val="left" w:pos="0"/>
          <w:tab w:val="left" w:pos="315"/>
          <w:tab w:val="left" w:pos="525"/>
          <w:tab w:val="left" w:pos="945"/>
        </w:tabs>
        <w:snapToGrid w:val="0"/>
        <w:spacing w:line="336" w:lineRule="auto"/>
        <w:ind w:firstLine="480" w:firstLineChars="200"/>
        <w:rPr>
          <w:rFonts w:hint="eastAsia" w:ascii="宋体" w:hAnsi="Calibri"/>
          <w:color w:val="000000"/>
          <w:sz w:val="24"/>
          <w:szCs w:val="24"/>
        </w:rPr>
      </w:pPr>
      <w:r>
        <w:rPr>
          <w:rFonts w:hint="eastAsia" w:ascii="宋体" w:hAnsi="宋体"/>
          <w:color w:val="000000"/>
          <w:sz w:val="24"/>
          <w:szCs w:val="24"/>
        </w:rPr>
        <w:t>（2）向需方所在地法院提起诉讼。</w:t>
      </w:r>
    </w:p>
    <w:p>
      <w:pPr>
        <w:tabs>
          <w:tab w:val="left" w:pos="0"/>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3.合同在执行过程中出现的未尽事宜，双方在不违背本合同和招标文件的原则下协商解决，协商结果以书面形式签订补充协议，且补充协议与本合同具有同等效力。</w:t>
      </w:r>
    </w:p>
    <w:p>
      <w:pPr>
        <w:tabs>
          <w:tab w:val="left" w:pos="0"/>
          <w:tab w:val="left" w:pos="315"/>
          <w:tab w:val="left" w:pos="525"/>
          <w:tab w:val="left" w:pos="945"/>
        </w:tabs>
        <w:snapToGrid w:val="0"/>
        <w:spacing w:line="336" w:lineRule="auto"/>
        <w:ind w:firstLine="480" w:firstLineChars="200"/>
        <w:rPr>
          <w:rFonts w:hint="eastAsia" w:ascii="宋体" w:hAnsi="宋体"/>
          <w:color w:val="000000"/>
          <w:sz w:val="24"/>
          <w:szCs w:val="24"/>
        </w:rPr>
      </w:pPr>
      <w:r>
        <w:rPr>
          <w:rFonts w:hint="eastAsia" w:ascii="宋体" w:hAnsi="宋体"/>
          <w:color w:val="000000"/>
          <w:sz w:val="24"/>
          <w:szCs w:val="24"/>
        </w:rPr>
        <w:t>4.合同中未有约定的按照有关的法律法规以及国家行业标准或技术文件规定予以解决。</w:t>
      </w:r>
    </w:p>
    <w:p>
      <w:pPr>
        <w:tabs>
          <w:tab w:val="left" w:pos="0"/>
          <w:tab w:val="left" w:pos="315"/>
          <w:tab w:val="left" w:pos="525"/>
          <w:tab w:val="left" w:pos="945"/>
        </w:tabs>
        <w:snapToGrid w:val="0"/>
        <w:spacing w:line="336" w:lineRule="auto"/>
        <w:ind w:firstLine="480" w:firstLineChars="200"/>
        <w:rPr>
          <w:rFonts w:hint="eastAsia" w:ascii="宋体" w:hAnsi="宋体"/>
          <w:bCs/>
          <w:color w:val="000000"/>
          <w:sz w:val="24"/>
          <w:szCs w:val="24"/>
        </w:rPr>
      </w:pPr>
      <w:r>
        <w:rPr>
          <w:rFonts w:hint="eastAsia" w:ascii="宋体" w:hAnsi="宋体"/>
          <w:bCs/>
          <w:color w:val="000000"/>
          <w:sz w:val="24"/>
          <w:szCs w:val="24"/>
        </w:rPr>
        <w:t>5.供需双方确认：对本合同条款及后果均已知悉，一致确认不存在欺诈、胁迫、乘人之危、重大误解、显失公平等任何可能导致合同无效或被撤销的情形。</w:t>
      </w:r>
    </w:p>
    <w:p>
      <w:pPr>
        <w:snapToGrid w:val="0"/>
        <w:spacing w:line="336" w:lineRule="auto"/>
        <w:ind w:firstLine="480" w:firstLineChars="200"/>
        <w:jc w:val="center"/>
        <w:rPr>
          <w:rFonts w:hint="eastAsia" w:ascii="宋体" w:hAnsi="宋体"/>
          <w:bCs/>
          <w:color w:val="000000"/>
          <w:sz w:val="24"/>
          <w:szCs w:val="24"/>
        </w:rPr>
      </w:pPr>
    </w:p>
    <w:p>
      <w:pPr>
        <w:snapToGrid w:val="0"/>
        <w:spacing w:line="336" w:lineRule="auto"/>
        <w:rPr>
          <w:rFonts w:hint="eastAsia" w:ascii="宋体" w:hAnsi="Calibri"/>
          <w:bCs/>
          <w:color w:val="000000"/>
          <w:sz w:val="24"/>
          <w:szCs w:val="24"/>
          <w:u w:val="single"/>
        </w:rPr>
      </w:pPr>
      <w:r>
        <w:rPr>
          <w:rFonts w:hint="eastAsia" w:ascii="宋体" w:hAnsi="宋体"/>
          <w:bCs/>
          <w:color w:val="000000"/>
          <w:sz w:val="24"/>
          <w:szCs w:val="24"/>
        </w:rPr>
        <w:t>需方（采购人）：（签章）                   供方（中标方）：（签章）</w:t>
      </w:r>
    </w:p>
    <w:p>
      <w:pPr>
        <w:snapToGrid w:val="0"/>
        <w:spacing w:line="336" w:lineRule="auto"/>
        <w:rPr>
          <w:rFonts w:hint="eastAsia" w:ascii="宋体" w:hAnsi="宋体"/>
          <w:bCs/>
          <w:color w:val="000000"/>
          <w:sz w:val="24"/>
          <w:szCs w:val="24"/>
        </w:rPr>
      </w:pPr>
      <w:r>
        <w:rPr>
          <w:rFonts w:hint="eastAsia" w:ascii="宋体" w:hAnsi="宋体"/>
          <w:bCs/>
          <w:color w:val="000000"/>
          <w:sz w:val="24"/>
          <w:szCs w:val="24"/>
        </w:rPr>
        <w:t>法定（授权）代表人：                     法定（授权）代表人：</w:t>
      </w:r>
    </w:p>
    <w:p>
      <w:pPr>
        <w:snapToGrid w:val="0"/>
        <w:spacing w:line="336" w:lineRule="auto"/>
        <w:rPr>
          <w:rFonts w:hint="eastAsia" w:ascii="宋体" w:hAnsi="宋体"/>
          <w:bCs/>
          <w:color w:val="000000"/>
          <w:sz w:val="24"/>
          <w:szCs w:val="24"/>
          <w:u w:val="single"/>
        </w:rPr>
      </w:pPr>
      <w:r>
        <w:rPr>
          <w:rFonts w:hint="eastAsia" w:ascii="宋体" w:hAnsi="宋体"/>
          <w:bCs/>
          <w:color w:val="000000"/>
          <w:sz w:val="24"/>
          <w:szCs w:val="24"/>
        </w:rPr>
        <w:t>地址：                                   地址：</w:t>
      </w:r>
    </w:p>
    <w:p>
      <w:pPr>
        <w:snapToGrid w:val="0"/>
        <w:spacing w:line="336" w:lineRule="auto"/>
        <w:ind w:firstLine="480" w:firstLineChars="200"/>
        <w:rPr>
          <w:rFonts w:hint="eastAsia" w:ascii="宋体" w:hAnsi="Calibri"/>
          <w:bCs/>
          <w:color w:val="000000"/>
          <w:sz w:val="24"/>
          <w:szCs w:val="24"/>
          <w:u w:val="single"/>
        </w:rPr>
      </w:pPr>
      <w:r>
        <w:rPr>
          <w:rFonts w:hint="eastAsia" w:ascii="宋体" w:hAnsi="宋体"/>
          <w:bCs/>
          <w:color w:val="000000"/>
          <w:sz w:val="24"/>
          <w:szCs w:val="24"/>
        </w:rPr>
        <w:t>年    月    日                           年      月       日</w:t>
      </w:r>
    </w:p>
    <w:p>
      <w:pPr>
        <w:snapToGrid w:val="0"/>
        <w:spacing w:line="336" w:lineRule="auto"/>
        <w:ind w:firstLine="480" w:firstLineChars="200"/>
        <w:rPr>
          <w:rFonts w:hint="eastAsia" w:ascii="宋体" w:hAnsi="宋体"/>
          <w:bCs/>
          <w:color w:val="000000"/>
          <w:sz w:val="24"/>
          <w:szCs w:val="24"/>
          <w:u w:val="single"/>
        </w:rPr>
      </w:pPr>
      <w:r>
        <w:rPr>
          <w:rFonts w:hint="eastAsia" w:ascii="宋体" w:hAnsi="宋体"/>
          <w:bCs/>
          <w:color w:val="000000"/>
          <w:sz w:val="24"/>
          <w:szCs w:val="24"/>
        </w:rPr>
        <w:t xml:space="preserve">                                     供方户名：</w:t>
      </w:r>
    </w:p>
    <w:p>
      <w:pPr>
        <w:snapToGrid w:val="0"/>
        <w:spacing w:line="336" w:lineRule="auto"/>
        <w:rPr>
          <w:rFonts w:hint="eastAsia" w:ascii="宋体" w:hAnsi="宋体"/>
          <w:bCs/>
          <w:color w:val="000000"/>
          <w:sz w:val="24"/>
          <w:szCs w:val="24"/>
          <w:u w:val="single"/>
        </w:rPr>
      </w:pPr>
      <w:r>
        <w:rPr>
          <w:rFonts w:hint="eastAsia" w:ascii="宋体" w:hAnsi="宋体"/>
          <w:bCs/>
          <w:color w:val="000000"/>
          <w:sz w:val="24"/>
          <w:szCs w:val="24"/>
        </w:rPr>
        <w:t xml:space="preserve">                                         供方开户银行：</w:t>
      </w:r>
    </w:p>
    <w:p>
      <w:pPr>
        <w:snapToGrid w:val="0"/>
        <w:spacing w:line="336" w:lineRule="auto"/>
        <w:ind w:firstLine="480" w:firstLineChars="200"/>
        <w:rPr>
          <w:rFonts w:hint="eastAsia" w:ascii="宋体" w:hAnsi="宋体"/>
          <w:bCs/>
          <w:color w:val="000000"/>
          <w:sz w:val="24"/>
          <w:szCs w:val="24"/>
        </w:rPr>
      </w:pPr>
      <w:r>
        <w:rPr>
          <w:rFonts w:hint="eastAsia" w:ascii="宋体" w:hAnsi="宋体"/>
          <w:bCs/>
          <w:color w:val="000000"/>
          <w:sz w:val="24"/>
          <w:szCs w:val="24"/>
        </w:rPr>
        <w:t xml:space="preserve">                                     供方帐号：</w:t>
      </w:r>
    </w:p>
    <w:p>
      <w:pPr>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六.附件</w:t>
      </w:r>
    </w:p>
    <w:p>
      <w:pPr>
        <w:jc w:val="left"/>
        <w:rPr>
          <w:rFonts w:ascii="黑体" w:eastAsia="黑体"/>
          <w:bCs/>
          <w:color w:val="000000" w:themeColor="text1"/>
          <w:sz w:val="24"/>
          <w:szCs w:val="24"/>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附件一：评分标准</w:t>
      </w:r>
    </w:p>
    <w:p>
      <w:pPr>
        <w:numPr>
          <w:ilvl w:val="4"/>
          <w:numId w:val="16"/>
        </w:numPr>
        <w:tabs>
          <w:tab w:val="left" w:pos="420"/>
          <w:tab w:val="left" w:pos="525"/>
          <w:tab w:val="left" w:pos="945"/>
          <w:tab w:val="left" w:pos="1155"/>
          <w:tab w:val="left" w:pos="3823"/>
        </w:tabs>
        <w:spacing w:line="360" w:lineRule="auto"/>
        <w:ind w:left="0" w:firstLine="523" w:firstLineChars="218"/>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价格（</w:t>
      </w:r>
      <w:r>
        <w:rPr>
          <w:rFonts w:hint="eastAsia" w:ascii="宋体" w:hAnsi="宋体"/>
          <w:b/>
          <w:bCs/>
          <w:color w:val="000000" w:themeColor="text1"/>
          <w:sz w:val="24"/>
          <w:szCs w:val="24"/>
          <w:lang w:val="en-US" w:eastAsia="zh-CN"/>
          <w14:textFill>
            <w14:solidFill>
              <w14:schemeClr w14:val="tx1"/>
            </w14:solidFill>
          </w14:textFill>
        </w:rPr>
        <w:t>20</w:t>
      </w:r>
      <w:r>
        <w:rPr>
          <w:rFonts w:hint="eastAsia" w:ascii="宋体" w:hAnsi="宋体"/>
          <w:b/>
          <w:bCs/>
          <w:color w:val="000000" w:themeColor="text1"/>
          <w:sz w:val="24"/>
          <w:szCs w:val="24"/>
          <w14:textFill>
            <w14:solidFill>
              <w14:schemeClr w14:val="tx1"/>
            </w14:solidFill>
          </w14:textFill>
        </w:rPr>
        <w:t>分）：</w:t>
      </w:r>
      <w:r>
        <w:rPr>
          <w:rFonts w:ascii="宋体" w:hAnsi="宋体"/>
          <w:b/>
          <w:bCs/>
          <w:color w:val="000000" w:themeColor="text1"/>
          <w:sz w:val="24"/>
          <w:szCs w:val="24"/>
          <w14:textFill>
            <w14:solidFill>
              <w14:schemeClr w14:val="tx1"/>
            </w14:solidFill>
          </w14:textFill>
        </w:rPr>
        <w:t xml:space="preserve"> </w:t>
      </w:r>
    </w:p>
    <w:p>
      <w:pPr>
        <w:tabs>
          <w:tab w:val="left" w:pos="945"/>
          <w:tab w:val="left" w:pos="1155"/>
        </w:tabs>
        <w:spacing w:line="360" w:lineRule="auto"/>
        <w:ind w:firstLine="566" w:firstLineChars="236"/>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tabs>
          <w:tab w:val="left" w:pos="945"/>
          <w:tab w:val="left" w:pos="1155"/>
        </w:tabs>
        <w:spacing w:line="360" w:lineRule="auto"/>
        <w:ind w:firstLine="566" w:firstLineChars="236"/>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投标报价得分</w:t>
      </w:r>
      <w:r>
        <w:rPr>
          <w:rFonts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评标基准价／投标报价</w:t>
      </w:r>
      <w:r>
        <w:rPr>
          <w:rFonts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×价格权值×</w:t>
      </w:r>
      <w:r>
        <w:rPr>
          <w:rFonts w:ascii="宋体" w:hAnsi="宋体"/>
          <w:bCs/>
          <w:color w:val="000000" w:themeColor="text1"/>
          <w:sz w:val="24"/>
          <w:szCs w:val="24"/>
          <w14:textFill>
            <w14:solidFill>
              <w14:schemeClr w14:val="tx1"/>
            </w14:solidFill>
          </w14:textFill>
        </w:rPr>
        <w:t>100</w:t>
      </w:r>
      <w:r>
        <w:rPr>
          <w:rFonts w:hint="eastAsia" w:ascii="宋体" w:hAnsi="宋体"/>
          <w:bCs/>
          <w:color w:val="000000" w:themeColor="text1"/>
          <w:sz w:val="24"/>
          <w:szCs w:val="24"/>
          <w14:textFill>
            <w14:solidFill>
              <w14:schemeClr w14:val="tx1"/>
            </w14:solidFill>
          </w14:textFill>
        </w:rPr>
        <w:t>。</w:t>
      </w:r>
    </w:p>
    <w:p>
      <w:pPr>
        <w:numPr>
          <w:ilvl w:val="4"/>
          <w:numId w:val="16"/>
        </w:numPr>
        <w:tabs>
          <w:tab w:val="left" w:pos="420"/>
          <w:tab w:val="left" w:pos="525"/>
          <w:tab w:val="left" w:pos="945"/>
          <w:tab w:val="left" w:pos="1155"/>
        </w:tabs>
        <w:spacing w:line="360" w:lineRule="auto"/>
        <w:ind w:left="0" w:firstLine="480" w:firstLineChars="200"/>
        <w:outlineLvl w:val="2"/>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投标人综合情况（</w:t>
      </w:r>
      <w:r>
        <w:rPr>
          <w:rFonts w:hint="eastAsia" w:ascii="宋体" w:hAnsi="宋体"/>
          <w:b/>
          <w:bCs/>
          <w:color w:val="000000" w:themeColor="text1"/>
          <w:sz w:val="24"/>
          <w:szCs w:val="24"/>
          <w:lang w:val="en-US" w:eastAsia="zh-CN"/>
          <w14:textFill>
            <w14:solidFill>
              <w14:schemeClr w14:val="tx1"/>
            </w14:solidFill>
          </w14:textFill>
        </w:rPr>
        <w:t>18</w:t>
      </w:r>
      <w:r>
        <w:rPr>
          <w:rFonts w:hint="eastAsia" w:ascii="宋体" w:hAnsi="宋体"/>
          <w:b/>
          <w:bCs/>
          <w:color w:val="000000" w:themeColor="text1"/>
          <w:sz w:val="24"/>
          <w:szCs w:val="24"/>
          <w14:textFill>
            <w14:solidFill>
              <w14:schemeClr w14:val="tx1"/>
            </w14:solidFill>
          </w14:textFill>
        </w:rPr>
        <w:t>分）：</w:t>
      </w:r>
      <w:r>
        <w:rPr>
          <w:rFonts w:hint="eastAsia" w:ascii="宋体" w:hAnsi="宋体"/>
          <w:b/>
          <w:bCs/>
          <w:color w:val="000000" w:themeColor="text1"/>
          <w:sz w:val="24"/>
          <w:szCs w:val="24"/>
          <w:lang w:val="en-US" w:eastAsia="zh-CN"/>
          <w14:textFill>
            <w14:solidFill>
              <w14:schemeClr w14:val="tx1"/>
            </w14:solidFill>
          </w14:textFill>
        </w:rPr>
        <w:t>相关证书及合同原件</w:t>
      </w:r>
      <w:r>
        <w:rPr>
          <w:rFonts w:hint="eastAsia" w:ascii="宋体" w:hAnsi="宋体" w:cs="宋体"/>
          <w:b/>
          <w:bCs/>
          <w:sz w:val="24"/>
        </w:rPr>
        <w:t>上传至投标系统中</w:t>
      </w:r>
    </w:p>
    <w:p>
      <w:pPr>
        <w:tabs>
          <w:tab w:val="left" w:pos="945"/>
          <w:tab w:val="left" w:pos="1155"/>
        </w:tabs>
        <w:spacing w:line="360" w:lineRule="auto"/>
        <w:ind w:firstLine="480" w:firstLineChars="200"/>
        <w:rPr>
          <w:rFonts w:hint="eastAsia" w:ascii="宋体" w:hAnsi="宋体"/>
          <w:bCs/>
          <w:sz w:val="24"/>
          <w:szCs w:val="24"/>
        </w:rPr>
      </w:pPr>
      <w:r>
        <w:rPr>
          <w:rFonts w:hint="eastAsia" w:ascii="宋体" w:hAnsi="宋体" w:eastAsia="宋体" w:cs="Times New Roman"/>
          <w:bCs/>
          <w:sz w:val="24"/>
          <w:szCs w:val="24"/>
        </w:rPr>
        <w:t>①  证书（</w:t>
      </w:r>
      <w:r>
        <w:rPr>
          <w:rFonts w:hint="eastAsia" w:ascii="宋体" w:hAnsi="宋体" w:cs="Times New Roman"/>
          <w:bCs/>
          <w:sz w:val="24"/>
          <w:szCs w:val="24"/>
          <w:lang w:val="en-US" w:eastAsia="zh-CN"/>
        </w:rPr>
        <w:t>1</w:t>
      </w:r>
      <w:r>
        <w:rPr>
          <w:rFonts w:hint="eastAsia" w:ascii="宋体" w:hAnsi="宋体" w:eastAsia="宋体" w:cs="Times New Roman"/>
          <w:bCs/>
          <w:sz w:val="24"/>
          <w:szCs w:val="24"/>
        </w:rPr>
        <w:t>分）：</w:t>
      </w:r>
      <w:r>
        <w:rPr>
          <w:rFonts w:hint="eastAsia" w:ascii="宋体" w:hAnsi="宋体"/>
          <w:bCs/>
          <w:sz w:val="24"/>
          <w:szCs w:val="24"/>
        </w:rPr>
        <w:t>投标人具备有</w:t>
      </w:r>
      <w:r>
        <w:rPr>
          <w:rFonts w:hint="eastAsia" w:ascii="宋体" w:hAnsi="宋体"/>
          <w:bCs/>
          <w:sz w:val="24"/>
          <w:szCs w:val="24"/>
          <w:lang w:val="en-US" w:eastAsia="zh-CN"/>
        </w:rPr>
        <w:t>ISO9001质量管理体系认证证书的得1分</w:t>
      </w:r>
      <w:r>
        <w:rPr>
          <w:rFonts w:hint="eastAsia" w:ascii="宋体" w:hAnsi="宋体"/>
          <w:bCs/>
          <w:sz w:val="24"/>
          <w:szCs w:val="24"/>
        </w:rPr>
        <w:t>；</w:t>
      </w:r>
    </w:p>
    <w:p>
      <w:pPr>
        <w:tabs>
          <w:tab w:val="left" w:pos="945"/>
          <w:tab w:val="left" w:pos="1155"/>
        </w:tabs>
        <w:spacing w:line="360" w:lineRule="auto"/>
        <w:ind w:firstLine="480" w:firstLineChars="200"/>
        <w:rPr>
          <w:rFonts w:hint="eastAsia" w:ascii="宋体" w:hAnsi="宋体"/>
          <w:bCs/>
          <w:sz w:val="24"/>
          <w:szCs w:val="24"/>
        </w:rPr>
      </w:pPr>
      <w:r>
        <w:rPr>
          <w:rFonts w:hint="eastAsia" w:ascii="宋体" w:hAnsi="宋体"/>
          <w:bCs/>
          <w:sz w:val="24"/>
          <w:szCs w:val="24"/>
          <w:highlight w:val="none"/>
        </w:rPr>
        <w:t>② 业绩（</w:t>
      </w:r>
      <w:r>
        <w:rPr>
          <w:rFonts w:hint="eastAsia" w:ascii="宋体" w:hAnsi="宋体"/>
          <w:bCs/>
          <w:sz w:val="24"/>
          <w:szCs w:val="24"/>
          <w:highlight w:val="none"/>
          <w:lang w:val="en-US" w:eastAsia="zh-CN"/>
        </w:rPr>
        <w:t>6</w:t>
      </w:r>
      <w:r>
        <w:rPr>
          <w:rFonts w:hint="eastAsia" w:ascii="宋体" w:hAnsi="宋体"/>
          <w:bCs/>
          <w:sz w:val="24"/>
          <w:szCs w:val="24"/>
          <w:highlight w:val="none"/>
        </w:rPr>
        <w:t>分）：提供</w:t>
      </w:r>
      <w:r>
        <w:rPr>
          <w:rFonts w:hint="eastAsia" w:ascii="宋体" w:hAnsi="宋体" w:cs="宋体"/>
          <w:sz w:val="24"/>
          <w:highlight w:val="none"/>
          <w:lang w:val="en-US" w:eastAsia="zh-CN"/>
        </w:rPr>
        <w:t>类似</w:t>
      </w:r>
      <w:r>
        <w:rPr>
          <w:rFonts w:hint="eastAsia" w:ascii="宋体" w:hAnsi="宋体"/>
          <w:bCs/>
          <w:sz w:val="24"/>
          <w:szCs w:val="24"/>
          <w:highlight w:val="none"/>
        </w:rPr>
        <w:t>成功</w:t>
      </w:r>
      <w:r>
        <w:rPr>
          <w:rFonts w:hint="eastAsia" w:ascii="宋体" w:hAnsi="宋体"/>
          <w:bCs/>
          <w:sz w:val="24"/>
          <w:szCs w:val="24"/>
        </w:rPr>
        <w:t>案例的合同，每提供1个得</w:t>
      </w:r>
      <w:r>
        <w:rPr>
          <w:rFonts w:hint="eastAsia" w:ascii="宋体" w:hAnsi="宋体"/>
          <w:bCs/>
          <w:sz w:val="24"/>
          <w:szCs w:val="24"/>
          <w:lang w:val="en-US" w:eastAsia="zh-CN"/>
        </w:rPr>
        <w:t>2</w:t>
      </w:r>
      <w:r>
        <w:rPr>
          <w:rFonts w:hint="eastAsia" w:ascii="宋体" w:hAnsi="宋体"/>
          <w:bCs/>
          <w:sz w:val="24"/>
          <w:szCs w:val="24"/>
        </w:rPr>
        <w:t>分，最高得</w:t>
      </w:r>
      <w:r>
        <w:rPr>
          <w:rFonts w:hint="eastAsia" w:ascii="宋体" w:hAnsi="宋体"/>
          <w:bCs/>
          <w:sz w:val="24"/>
          <w:szCs w:val="24"/>
          <w:lang w:val="en-US" w:eastAsia="zh-CN"/>
        </w:rPr>
        <w:t>6</w:t>
      </w:r>
      <w:r>
        <w:rPr>
          <w:rFonts w:hint="eastAsia" w:ascii="宋体" w:hAnsi="宋体"/>
          <w:bCs/>
          <w:sz w:val="24"/>
          <w:szCs w:val="24"/>
        </w:rPr>
        <w:t>分。</w:t>
      </w:r>
    </w:p>
    <w:p>
      <w:pPr>
        <w:pStyle w:val="3"/>
        <w:spacing w:line="360" w:lineRule="auto"/>
        <w:ind w:firstLine="480" w:firstLineChars="200"/>
        <w:rPr>
          <w:rFonts w:ascii="宋体" w:hAnsi="宋体"/>
          <w:b/>
          <w:sz w:val="24"/>
          <w:szCs w:val="24"/>
        </w:rPr>
      </w:pPr>
      <w:r>
        <w:rPr>
          <w:rFonts w:hint="eastAsia" w:ascii="宋体" w:hAnsi="宋体"/>
          <w:sz w:val="24"/>
          <w:szCs w:val="24"/>
        </w:rPr>
        <w:t>③项目人员配置（</w:t>
      </w:r>
      <w:r>
        <w:rPr>
          <w:rFonts w:hint="eastAsia" w:ascii="宋体" w:hAnsi="宋体"/>
          <w:sz w:val="24"/>
          <w:szCs w:val="24"/>
          <w:lang w:val="en-US" w:eastAsia="zh-CN"/>
        </w:rPr>
        <w:t>10</w:t>
      </w:r>
      <w:r>
        <w:rPr>
          <w:rFonts w:hint="eastAsia" w:ascii="宋体" w:hAnsi="宋体"/>
          <w:sz w:val="24"/>
          <w:szCs w:val="24"/>
        </w:rPr>
        <w:t>分）：以投标人填列的《项目人员配置清单》及按要求提供的证明材料为准。</w:t>
      </w:r>
      <w:r>
        <w:rPr>
          <w:rFonts w:ascii="宋体" w:hAnsi="宋体"/>
          <w:sz w:val="24"/>
        </w:rPr>
        <w:t>未提供者不得分，同一人不得累计计分。</w:t>
      </w:r>
    </w:p>
    <w:p>
      <w:pPr>
        <w:pStyle w:val="3"/>
        <w:numPr>
          <w:ilvl w:val="0"/>
          <w:numId w:val="0"/>
        </w:numPr>
        <w:spacing w:line="360" w:lineRule="auto"/>
        <w:ind w:firstLine="480" w:firstLineChars="200"/>
        <w:rPr>
          <w:rFonts w:hint="eastAsia" w:ascii="宋体" w:hAnsi="宋体"/>
          <w:sz w:val="24"/>
          <w:szCs w:val="24"/>
        </w:rPr>
      </w:pPr>
      <w:r>
        <w:rPr>
          <w:rFonts w:hint="eastAsia" w:ascii="宋体" w:hAnsi="宋体"/>
          <w:sz w:val="24"/>
          <w:szCs w:val="24"/>
          <w:lang w:val="en-US" w:eastAsia="zh-CN"/>
        </w:rPr>
        <w:t>a.</w:t>
      </w:r>
      <w:r>
        <w:rPr>
          <w:rFonts w:hint="eastAsia" w:ascii="宋体" w:hAnsi="宋体"/>
          <w:sz w:val="24"/>
          <w:szCs w:val="24"/>
        </w:rPr>
        <w:t>项目</w:t>
      </w:r>
      <w:r>
        <w:rPr>
          <w:rFonts w:hint="eastAsia" w:ascii="宋体" w:hAnsi="宋体"/>
          <w:sz w:val="24"/>
          <w:szCs w:val="24"/>
          <w:lang w:eastAsia="zh-CN"/>
        </w:rPr>
        <w:t>、</w:t>
      </w:r>
      <w:r>
        <w:rPr>
          <w:rFonts w:hint="eastAsia" w:ascii="宋体" w:hAnsi="宋体"/>
          <w:sz w:val="24"/>
          <w:szCs w:val="24"/>
          <w:lang w:val="en-US" w:eastAsia="zh-CN"/>
        </w:rPr>
        <w:t>技术</w:t>
      </w:r>
      <w:r>
        <w:rPr>
          <w:rFonts w:hint="eastAsia" w:ascii="宋体" w:hAnsi="宋体"/>
          <w:sz w:val="24"/>
          <w:szCs w:val="24"/>
        </w:rPr>
        <w:t>负责人</w:t>
      </w:r>
      <w:r>
        <w:rPr>
          <w:rFonts w:hint="eastAsia" w:ascii="宋体" w:hAnsi="宋体"/>
          <w:sz w:val="24"/>
          <w:szCs w:val="24"/>
          <w:lang w:eastAsia="zh-CN"/>
        </w:rPr>
        <w:t>（</w:t>
      </w:r>
      <w:r>
        <w:rPr>
          <w:rFonts w:hint="eastAsia" w:ascii="宋体" w:hAnsi="宋体"/>
          <w:sz w:val="24"/>
          <w:szCs w:val="24"/>
          <w:lang w:val="en-US" w:eastAsia="zh-CN"/>
        </w:rPr>
        <w:t>5分</w:t>
      </w:r>
      <w:r>
        <w:rPr>
          <w:rFonts w:hint="eastAsia" w:ascii="宋体" w:hAnsi="宋体"/>
          <w:sz w:val="24"/>
          <w:szCs w:val="24"/>
          <w:lang w:eastAsia="zh-CN"/>
        </w:rPr>
        <w:t>）</w:t>
      </w:r>
      <w:r>
        <w:rPr>
          <w:rFonts w:hint="eastAsia" w:ascii="宋体" w:hAnsi="宋体"/>
          <w:sz w:val="24"/>
          <w:szCs w:val="24"/>
        </w:rPr>
        <w:t>：</w:t>
      </w:r>
      <w:r>
        <w:rPr>
          <w:rFonts w:ascii="宋体" w:hAnsi="宋体"/>
          <w:sz w:val="24"/>
        </w:rPr>
        <w:t>项目负责人具有</w:t>
      </w:r>
      <w:r>
        <w:rPr>
          <w:rFonts w:hint="eastAsia" w:ascii="宋体" w:hAnsi="宋体"/>
          <w:sz w:val="24"/>
          <w:lang w:val="en-US" w:eastAsia="zh-CN"/>
        </w:rPr>
        <w:t>计算机相关专业</w:t>
      </w:r>
      <w:r>
        <w:rPr>
          <w:rFonts w:hint="eastAsia" w:ascii="宋体" w:hAnsi="宋体"/>
          <w:sz w:val="24"/>
          <w:lang w:eastAsia="zh-CN"/>
        </w:rPr>
        <w:t>高级软件工程师</w:t>
      </w:r>
      <w:r>
        <w:rPr>
          <w:rFonts w:ascii="宋体" w:hAnsi="宋体"/>
          <w:sz w:val="24"/>
        </w:rPr>
        <w:t>的得 3 分。技术负责人</w:t>
      </w:r>
      <w:r>
        <w:rPr>
          <w:rFonts w:hint="eastAsia" w:ascii="宋体" w:hAnsi="宋体"/>
          <w:sz w:val="24"/>
        </w:rPr>
        <w:t>具有</w:t>
      </w:r>
      <w:r>
        <w:rPr>
          <w:rFonts w:hint="eastAsia" w:ascii="宋体" w:hAnsi="宋体"/>
          <w:sz w:val="24"/>
          <w:lang w:val="en-US" w:eastAsia="zh-CN"/>
        </w:rPr>
        <w:t>软件测试</w:t>
      </w:r>
      <w:r>
        <w:rPr>
          <w:rFonts w:hint="eastAsia" w:ascii="宋体" w:hAnsi="宋体"/>
          <w:sz w:val="24"/>
          <w:lang w:eastAsia="zh-CN"/>
        </w:rPr>
        <w:t>系统集成项目管理工程师中级及以上职称的得</w:t>
      </w:r>
      <w:r>
        <w:rPr>
          <w:rFonts w:hint="eastAsia" w:ascii="宋体" w:hAnsi="宋体"/>
          <w:sz w:val="24"/>
          <w:lang w:val="en-US" w:eastAsia="zh-CN"/>
        </w:rPr>
        <w:t>2分</w:t>
      </w:r>
      <w:r>
        <w:rPr>
          <w:rFonts w:ascii="宋体" w:hAnsi="宋体"/>
          <w:sz w:val="24"/>
        </w:rPr>
        <w:t>。</w:t>
      </w:r>
      <w:r>
        <w:rPr>
          <w:rFonts w:hint="eastAsia" w:ascii="宋体" w:hAnsi="宋体"/>
          <w:sz w:val="24"/>
          <w:szCs w:val="24"/>
        </w:rPr>
        <w:t>提供人员相关证书及投标人为其连续六个月(至少包含近六个月中任意一个月份(不含投标当月))缴纳社保的证明，不提供者不得分。</w:t>
      </w:r>
      <w:bookmarkStart w:id="24" w:name="_GoBack"/>
      <w:bookmarkEnd w:id="24"/>
    </w:p>
    <w:p>
      <w:pPr>
        <w:pStyle w:val="3"/>
        <w:numPr>
          <w:ilvl w:val="0"/>
          <w:numId w:val="0"/>
        </w:numPr>
        <w:spacing w:line="360" w:lineRule="auto"/>
        <w:ind w:firstLine="480" w:firstLineChars="200"/>
      </w:pPr>
      <w:r>
        <w:rPr>
          <w:rFonts w:hint="eastAsia" w:ascii="宋体" w:hAnsi="宋体" w:eastAsia="宋体" w:cs="Times New Roman"/>
          <w:sz w:val="24"/>
          <w:lang w:val="en-US" w:eastAsia="zh-CN"/>
        </w:rPr>
        <w:t>b.项目成员（</w:t>
      </w:r>
      <w:r>
        <w:rPr>
          <w:rFonts w:hint="eastAsia" w:ascii="宋体" w:hAnsi="宋体" w:cs="Times New Roman"/>
          <w:sz w:val="24"/>
          <w:lang w:val="en-US" w:eastAsia="zh-CN"/>
        </w:rPr>
        <w:t>6</w:t>
      </w:r>
      <w:r>
        <w:rPr>
          <w:rFonts w:hint="eastAsia" w:ascii="宋体" w:hAnsi="宋体" w:eastAsia="宋体" w:cs="Times New Roman"/>
          <w:sz w:val="24"/>
          <w:lang w:val="en-US" w:eastAsia="zh-CN"/>
        </w:rPr>
        <w:t>分）：项目组成员具有1名及以上数据库系统工程师中级职称得</w:t>
      </w:r>
      <w:r>
        <w:rPr>
          <w:rFonts w:hint="eastAsia" w:ascii="宋体" w:hAnsi="宋体" w:cs="Times New Roman"/>
          <w:sz w:val="24"/>
          <w:lang w:val="en-US" w:eastAsia="zh-CN"/>
        </w:rPr>
        <w:t>2</w:t>
      </w:r>
      <w:r>
        <w:rPr>
          <w:rFonts w:hint="eastAsia" w:ascii="宋体" w:hAnsi="宋体" w:eastAsia="宋体" w:cs="Times New Roman"/>
          <w:sz w:val="24"/>
          <w:lang w:val="en-US" w:eastAsia="zh-CN"/>
        </w:rPr>
        <w:t>分；项目组成员具有1名及以上中级软件技术系统集成项目管理工程和1名及以上中级软件设计师得</w:t>
      </w:r>
      <w:r>
        <w:rPr>
          <w:rFonts w:hint="eastAsia" w:ascii="宋体" w:hAnsi="宋体" w:cs="Times New Roman"/>
          <w:sz w:val="24"/>
          <w:lang w:val="en-US" w:eastAsia="zh-CN"/>
        </w:rPr>
        <w:t>2</w:t>
      </w:r>
      <w:r>
        <w:rPr>
          <w:rFonts w:hint="eastAsia" w:ascii="宋体" w:hAnsi="宋体" w:eastAsia="宋体" w:cs="Times New Roman"/>
          <w:sz w:val="24"/>
          <w:lang w:val="en-US" w:eastAsia="zh-CN"/>
        </w:rPr>
        <w:t>分；项目组成员具有2名及以上中级测绘工程师的得</w:t>
      </w:r>
      <w:r>
        <w:rPr>
          <w:rFonts w:hint="eastAsia" w:ascii="宋体" w:hAnsi="宋体" w:cs="Times New Roman"/>
          <w:sz w:val="24"/>
          <w:lang w:val="en-US" w:eastAsia="zh-CN"/>
        </w:rPr>
        <w:t>2</w:t>
      </w:r>
      <w:r>
        <w:rPr>
          <w:rFonts w:hint="eastAsia" w:ascii="宋体" w:hAnsi="宋体" w:eastAsia="宋体" w:cs="Times New Roman"/>
          <w:sz w:val="24"/>
          <w:lang w:val="en-US" w:eastAsia="zh-CN"/>
        </w:rPr>
        <w:t>分；提供相关证书及投标人为其连续三个月(至少包含近三个月中任意一个月份(不含投标当月))缴纳社保的证明复印件，不提供者不得分。</w:t>
      </w:r>
    </w:p>
    <w:p>
      <w:pPr>
        <w:tabs>
          <w:tab w:val="left" w:pos="945"/>
          <w:tab w:val="left" w:pos="1155"/>
        </w:tabs>
        <w:spacing w:line="360" w:lineRule="auto"/>
        <w:ind w:firstLine="480" w:firstLineChars="200"/>
        <w:rPr>
          <w:rFonts w:ascii="宋体" w:hAnsi="宋体"/>
          <w:bCs/>
          <w:sz w:val="24"/>
          <w:szCs w:val="24"/>
        </w:rPr>
      </w:pPr>
      <w:r>
        <w:rPr>
          <w:rFonts w:ascii="宋体" w:hAnsi="宋体"/>
          <w:b/>
          <w:bCs/>
          <w:sz w:val="24"/>
          <w:szCs w:val="24"/>
        </w:rPr>
        <w:t>（</w:t>
      </w:r>
      <w:r>
        <w:rPr>
          <w:rFonts w:hint="eastAsia" w:ascii="宋体" w:hAnsi="宋体"/>
          <w:b/>
          <w:bCs/>
          <w:sz w:val="24"/>
          <w:szCs w:val="24"/>
        </w:rPr>
        <w:t>3</w:t>
      </w:r>
      <w:r>
        <w:rPr>
          <w:rFonts w:ascii="宋体" w:hAnsi="宋体"/>
          <w:b/>
          <w:bCs/>
          <w:sz w:val="24"/>
          <w:szCs w:val="24"/>
        </w:rPr>
        <w:t>）</w:t>
      </w:r>
      <w:r>
        <w:rPr>
          <w:rFonts w:hint="eastAsia" w:ascii="宋体" w:hAnsi="宋体"/>
          <w:b/>
          <w:bCs/>
          <w:sz w:val="24"/>
          <w:szCs w:val="24"/>
        </w:rPr>
        <w:t xml:space="preserve"> 技术与服务方案（</w:t>
      </w:r>
      <w:r>
        <w:rPr>
          <w:rFonts w:hint="eastAsia" w:ascii="宋体" w:hAnsi="宋体"/>
          <w:b/>
          <w:bCs/>
          <w:sz w:val="24"/>
          <w:szCs w:val="24"/>
          <w:lang w:val="en-US" w:eastAsia="zh-CN"/>
        </w:rPr>
        <w:t>60</w:t>
      </w:r>
      <w:r>
        <w:rPr>
          <w:rFonts w:hint="eastAsia" w:ascii="宋体" w:hAnsi="宋体"/>
          <w:b/>
          <w:bCs/>
          <w:sz w:val="24"/>
          <w:szCs w:val="24"/>
        </w:rPr>
        <w:t>分）</w:t>
      </w:r>
      <w:r>
        <w:rPr>
          <w:rFonts w:hint="eastAsia" w:ascii="宋体" w:hAnsi="宋体"/>
          <w:bCs/>
          <w:sz w:val="24"/>
          <w:szCs w:val="24"/>
        </w:rPr>
        <w:t>：</w:t>
      </w:r>
      <w:r>
        <w:rPr>
          <w:rFonts w:ascii="宋体" w:hAnsi="宋体"/>
          <w:bCs/>
          <w:sz w:val="24"/>
          <w:szCs w:val="24"/>
        </w:rPr>
        <w:t xml:space="preserve"> </w:t>
      </w:r>
      <w:r>
        <w:rPr>
          <w:rFonts w:hint="eastAsia" w:ascii="宋体" w:hAnsi="宋体"/>
          <w:b/>
          <w:bCs/>
          <w:color w:val="000000" w:themeColor="text1"/>
          <w:sz w:val="24"/>
          <w:szCs w:val="24"/>
          <w:lang w:val="en-US" w:eastAsia="zh-CN"/>
          <w14:textFill>
            <w14:solidFill>
              <w14:schemeClr w14:val="tx1"/>
            </w14:solidFill>
          </w14:textFill>
        </w:rPr>
        <w:t>相关内容</w:t>
      </w:r>
      <w:r>
        <w:rPr>
          <w:rFonts w:hint="eastAsia" w:ascii="宋体" w:hAnsi="宋体" w:cs="宋体"/>
          <w:b/>
          <w:bCs/>
          <w:sz w:val="24"/>
        </w:rPr>
        <w:t>上传至投标系统中</w:t>
      </w:r>
    </w:p>
    <w:p>
      <w:pPr>
        <w:adjustRightInd w:val="0"/>
        <w:snapToGrid w:val="0"/>
        <w:spacing w:line="276"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rPr>
        <w:t xml:space="preserve">① </w:t>
      </w:r>
      <w:r>
        <w:rPr>
          <w:rFonts w:hint="eastAsia" w:ascii="Arial" w:hAnsi="宋体" w:cs="Arial"/>
          <w:bCs/>
          <w:kern w:val="28"/>
          <w:sz w:val="24"/>
        </w:rPr>
        <w:t>技术方案完备性</w:t>
      </w:r>
      <w:r>
        <w:rPr>
          <w:rFonts w:hint="eastAsia" w:ascii="宋体" w:hAnsi="宋体"/>
          <w:sz w:val="24"/>
          <w:szCs w:val="24"/>
          <w:lang w:eastAsia="zh-CN"/>
        </w:rPr>
        <w:t>（</w:t>
      </w:r>
      <w:r>
        <w:rPr>
          <w:rFonts w:hint="eastAsia" w:ascii="宋体" w:hAnsi="宋体"/>
          <w:sz w:val="24"/>
          <w:szCs w:val="24"/>
          <w:lang w:val="en-US" w:eastAsia="zh-CN"/>
        </w:rPr>
        <w:t>12分</w:t>
      </w:r>
      <w:r>
        <w:rPr>
          <w:rFonts w:hint="eastAsia" w:ascii="宋体" w:hAnsi="宋体"/>
          <w:sz w:val="24"/>
          <w:szCs w:val="24"/>
          <w:lang w:eastAsia="zh-CN"/>
        </w:rPr>
        <w:t>）</w:t>
      </w:r>
      <w:r>
        <w:rPr>
          <w:rFonts w:hint="eastAsia" w:ascii="宋体" w:hAnsi="宋体"/>
          <w:sz w:val="24"/>
          <w:szCs w:val="24"/>
          <w:lang w:val="en-US" w:eastAsia="zh-CN"/>
        </w:rPr>
        <w:t>:</w:t>
      </w:r>
    </w:p>
    <w:p>
      <w:pPr>
        <w:pStyle w:val="3"/>
        <w:numPr>
          <w:ilvl w:val="0"/>
          <w:numId w:val="0"/>
        </w:num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A.（</w:t>
      </w:r>
      <w:r>
        <w:rPr>
          <w:rFonts w:hint="eastAsia" w:ascii="宋体" w:hAnsi="宋体" w:cs="Times New Roman"/>
          <w:sz w:val="24"/>
          <w:lang w:val="en-US" w:eastAsia="zh-CN"/>
        </w:rPr>
        <w:t>6</w:t>
      </w:r>
      <w:r>
        <w:rPr>
          <w:rFonts w:hint="eastAsia" w:ascii="宋体" w:hAnsi="宋体" w:eastAsia="宋体" w:cs="Times New Roman"/>
          <w:sz w:val="24"/>
          <w:lang w:val="en-US" w:eastAsia="zh-CN"/>
        </w:rPr>
        <w:t>分）根据投标方案是否完全满足招标内容、技术路线的先进性、合理性，技术实施方案是否完备等内容酌情打分，优秀</w:t>
      </w:r>
      <w:r>
        <w:rPr>
          <w:rFonts w:hint="eastAsia" w:ascii="宋体" w:hAnsi="宋体" w:cs="Times New Roman"/>
          <w:sz w:val="24"/>
          <w:lang w:val="en-US" w:eastAsia="zh-CN"/>
        </w:rPr>
        <w:t>5-6</w:t>
      </w:r>
      <w:r>
        <w:rPr>
          <w:rFonts w:hint="eastAsia" w:ascii="宋体" w:hAnsi="宋体" w:eastAsia="宋体" w:cs="Times New Roman"/>
          <w:sz w:val="24"/>
          <w:lang w:val="en-US" w:eastAsia="zh-CN"/>
        </w:rPr>
        <w:t>分，良好3-4分，一般2分。</w:t>
      </w:r>
    </w:p>
    <w:p>
      <w:pPr>
        <w:pStyle w:val="3"/>
        <w:numPr>
          <w:ilvl w:val="0"/>
          <w:numId w:val="0"/>
        </w:num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B.（</w:t>
      </w:r>
      <w:r>
        <w:rPr>
          <w:rFonts w:hint="eastAsia" w:ascii="宋体" w:hAnsi="宋体" w:cs="Times New Roman"/>
          <w:sz w:val="24"/>
          <w:lang w:val="en-US" w:eastAsia="zh-CN"/>
        </w:rPr>
        <w:t>6</w:t>
      </w:r>
      <w:r>
        <w:rPr>
          <w:rFonts w:hint="eastAsia" w:ascii="宋体" w:hAnsi="宋体" w:eastAsia="宋体" w:cs="Times New Roman"/>
          <w:sz w:val="24"/>
          <w:lang w:val="en-US" w:eastAsia="zh-CN"/>
        </w:rPr>
        <w:t>分）根据技术方案中能够解决关键技术问题，对本项目的技术难点、风险分析是否准确，是否有创新举措等内容酌情打分，优秀</w:t>
      </w:r>
      <w:r>
        <w:rPr>
          <w:rFonts w:hint="eastAsia" w:ascii="宋体" w:hAnsi="宋体" w:cs="Times New Roman"/>
          <w:sz w:val="24"/>
          <w:lang w:val="en-US" w:eastAsia="zh-CN"/>
        </w:rPr>
        <w:t>5-6</w:t>
      </w:r>
      <w:r>
        <w:rPr>
          <w:rFonts w:hint="eastAsia" w:ascii="宋体" w:hAnsi="宋体" w:eastAsia="宋体" w:cs="Times New Roman"/>
          <w:sz w:val="24"/>
          <w:lang w:val="en-US" w:eastAsia="zh-CN"/>
        </w:rPr>
        <w:t>分，良好3-4分，一般2分。</w:t>
      </w:r>
    </w:p>
    <w:p>
      <w:pPr>
        <w:pStyle w:val="3"/>
        <w:numPr>
          <w:ilvl w:val="0"/>
          <w:numId w:val="0"/>
        </w:num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② 技术方案开放性（</w:t>
      </w:r>
      <w:r>
        <w:rPr>
          <w:rFonts w:hint="eastAsia" w:ascii="宋体" w:hAnsi="宋体" w:cs="Times New Roman"/>
          <w:sz w:val="24"/>
          <w:lang w:val="en-US" w:eastAsia="zh-CN"/>
        </w:rPr>
        <w:t>22</w:t>
      </w:r>
      <w:r>
        <w:rPr>
          <w:rFonts w:hint="eastAsia" w:ascii="宋体" w:hAnsi="宋体" w:eastAsia="宋体" w:cs="Times New Roman"/>
          <w:sz w:val="24"/>
          <w:lang w:val="en-US" w:eastAsia="zh-CN"/>
        </w:rPr>
        <w:t>分）：</w:t>
      </w:r>
    </w:p>
    <w:p>
      <w:pPr>
        <w:pStyle w:val="3"/>
        <w:numPr>
          <w:ilvl w:val="0"/>
          <w:numId w:val="0"/>
        </w:num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A.标准化与规范化（</w:t>
      </w:r>
      <w:r>
        <w:rPr>
          <w:rFonts w:hint="eastAsia" w:ascii="宋体" w:hAnsi="宋体" w:cs="Times New Roman"/>
          <w:sz w:val="24"/>
          <w:lang w:val="en-US" w:eastAsia="zh-CN"/>
        </w:rPr>
        <w:t>8</w:t>
      </w:r>
      <w:r>
        <w:rPr>
          <w:rFonts w:hint="eastAsia" w:ascii="宋体" w:hAnsi="宋体" w:eastAsia="宋体" w:cs="Times New Roman"/>
          <w:sz w:val="24"/>
          <w:lang w:val="en-US" w:eastAsia="zh-CN"/>
        </w:rPr>
        <w:t>分）：是否能依据我局现行规定制定相关图层、参数规则、输出表格等标准，上述标准是否可灵活配置等内容酌情打分，优秀</w:t>
      </w:r>
      <w:r>
        <w:rPr>
          <w:rFonts w:hint="eastAsia" w:ascii="宋体" w:hAnsi="宋体" w:cs="Times New Roman"/>
          <w:sz w:val="24"/>
          <w:lang w:val="en-US" w:eastAsia="zh-CN"/>
        </w:rPr>
        <w:t>7-8</w:t>
      </w:r>
      <w:r>
        <w:rPr>
          <w:rFonts w:hint="eastAsia" w:ascii="宋体" w:hAnsi="宋体" w:eastAsia="宋体" w:cs="Times New Roman"/>
          <w:sz w:val="24"/>
          <w:lang w:val="en-US" w:eastAsia="zh-CN"/>
        </w:rPr>
        <w:t>分，良好</w:t>
      </w:r>
      <w:r>
        <w:rPr>
          <w:rFonts w:hint="eastAsia" w:ascii="宋体" w:hAnsi="宋体" w:cs="Times New Roman"/>
          <w:sz w:val="24"/>
          <w:lang w:val="en-US" w:eastAsia="zh-CN"/>
        </w:rPr>
        <w:t>5-6</w:t>
      </w:r>
      <w:r>
        <w:rPr>
          <w:rFonts w:hint="eastAsia" w:ascii="宋体" w:hAnsi="宋体" w:eastAsia="宋体" w:cs="Times New Roman"/>
          <w:sz w:val="24"/>
          <w:lang w:val="en-US" w:eastAsia="zh-CN"/>
        </w:rPr>
        <w:t>分，一般</w:t>
      </w:r>
      <w:r>
        <w:rPr>
          <w:rFonts w:hint="eastAsia" w:ascii="宋体" w:hAnsi="宋体" w:cs="Times New Roman"/>
          <w:sz w:val="24"/>
          <w:lang w:val="en-US" w:eastAsia="zh-CN"/>
        </w:rPr>
        <w:t>3-4</w:t>
      </w:r>
      <w:r>
        <w:rPr>
          <w:rFonts w:hint="eastAsia" w:ascii="宋体" w:hAnsi="宋体" w:eastAsia="宋体" w:cs="Times New Roman"/>
          <w:sz w:val="24"/>
          <w:lang w:val="en-US" w:eastAsia="zh-CN"/>
        </w:rPr>
        <w:t>分。</w:t>
      </w:r>
    </w:p>
    <w:p>
      <w:pPr>
        <w:pStyle w:val="3"/>
        <w:numPr>
          <w:ilvl w:val="0"/>
          <w:numId w:val="0"/>
        </w:num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B.数据格式开放性（</w:t>
      </w:r>
      <w:r>
        <w:rPr>
          <w:rFonts w:hint="eastAsia" w:ascii="宋体" w:hAnsi="宋体" w:cs="Times New Roman"/>
          <w:sz w:val="24"/>
          <w:lang w:val="en-US" w:eastAsia="zh-CN"/>
        </w:rPr>
        <w:t>7</w:t>
      </w:r>
      <w:r>
        <w:rPr>
          <w:rFonts w:hint="eastAsia" w:ascii="宋体" w:hAnsi="宋体" w:eastAsia="宋体" w:cs="Times New Roman"/>
          <w:sz w:val="24"/>
          <w:lang w:val="en-US" w:eastAsia="zh-CN"/>
        </w:rPr>
        <w:t>分）：根据规整后的方案图形格式是否公开透明，是否可以被AutoCAD等通用软件直接识别等内容酌情打分，优秀</w:t>
      </w:r>
      <w:r>
        <w:rPr>
          <w:rFonts w:hint="eastAsia" w:ascii="宋体" w:hAnsi="宋体" w:cs="Times New Roman"/>
          <w:sz w:val="24"/>
          <w:lang w:val="en-US" w:eastAsia="zh-CN"/>
        </w:rPr>
        <w:t>6-7</w:t>
      </w:r>
      <w:r>
        <w:rPr>
          <w:rFonts w:hint="eastAsia" w:ascii="宋体" w:hAnsi="宋体" w:eastAsia="宋体" w:cs="Times New Roman"/>
          <w:sz w:val="24"/>
          <w:lang w:val="en-US" w:eastAsia="zh-CN"/>
        </w:rPr>
        <w:t>分，良好</w:t>
      </w:r>
      <w:r>
        <w:rPr>
          <w:rFonts w:hint="eastAsia" w:ascii="宋体" w:hAnsi="宋体" w:cs="Times New Roman"/>
          <w:sz w:val="24"/>
          <w:lang w:val="en-US" w:eastAsia="zh-CN"/>
        </w:rPr>
        <w:t>4-5</w:t>
      </w:r>
      <w:r>
        <w:rPr>
          <w:rFonts w:hint="eastAsia" w:ascii="宋体" w:hAnsi="宋体" w:eastAsia="宋体" w:cs="Times New Roman"/>
          <w:sz w:val="24"/>
          <w:lang w:val="en-US" w:eastAsia="zh-CN"/>
        </w:rPr>
        <w:t>分，一般</w:t>
      </w:r>
      <w:r>
        <w:rPr>
          <w:rFonts w:hint="eastAsia" w:ascii="宋体" w:hAnsi="宋体" w:cs="Times New Roman"/>
          <w:sz w:val="24"/>
          <w:lang w:val="en-US" w:eastAsia="zh-CN"/>
        </w:rPr>
        <w:t>3</w:t>
      </w:r>
      <w:r>
        <w:rPr>
          <w:rFonts w:hint="eastAsia" w:ascii="宋体" w:hAnsi="宋体" w:eastAsia="宋体" w:cs="Times New Roman"/>
          <w:sz w:val="24"/>
          <w:lang w:val="en-US" w:eastAsia="zh-CN"/>
        </w:rPr>
        <w:t>分。</w:t>
      </w:r>
    </w:p>
    <w:p>
      <w:pPr>
        <w:pStyle w:val="3"/>
        <w:numPr>
          <w:ilvl w:val="0"/>
          <w:numId w:val="0"/>
        </w:num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C.配套软件开放性（</w:t>
      </w:r>
      <w:r>
        <w:rPr>
          <w:rFonts w:hint="eastAsia" w:ascii="宋体" w:hAnsi="宋体" w:cs="Times New Roman"/>
          <w:sz w:val="24"/>
          <w:lang w:val="en-US" w:eastAsia="zh-CN"/>
        </w:rPr>
        <w:t>7</w:t>
      </w:r>
      <w:r>
        <w:rPr>
          <w:rFonts w:hint="eastAsia" w:ascii="宋体" w:hAnsi="宋体" w:eastAsia="宋体" w:cs="Times New Roman"/>
          <w:sz w:val="24"/>
          <w:lang w:val="en-US" w:eastAsia="zh-CN"/>
        </w:rPr>
        <w:t>分）：根据是否具备前端设计软件，是否前端设计软件的成果无需规整，可以直接审查等内容酌情打分，优秀</w:t>
      </w:r>
      <w:r>
        <w:rPr>
          <w:rFonts w:hint="eastAsia" w:ascii="宋体" w:hAnsi="宋体" w:cs="Times New Roman"/>
          <w:sz w:val="24"/>
          <w:lang w:val="en-US" w:eastAsia="zh-CN"/>
        </w:rPr>
        <w:t>6-7</w:t>
      </w:r>
      <w:r>
        <w:rPr>
          <w:rFonts w:hint="eastAsia" w:ascii="宋体" w:hAnsi="宋体" w:eastAsia="宋体" w:cs="Times New Roman"/>
          <w:sz w:val="24"/>
          <w:lang w:val="en-US" w:eastAsia="zh-CN"/>
        </w:rPr>
        <w:t>分，良好</w:t>
      </w:r>
      <w:r>
        <w:rPr>
          <w:rFonts w:hint="eastAsia" w:ascii="宋体" w:hAnsi="宋体" w:cs="Times New Roman"/>
          <w:sz w:val="24"/>
          <w:lang w:val="en-US" w:eastAsia="zh-CN"/>
        </w:rPr>
        <w:t>4-5</w:t>
      </w:r>
      <w:r>
        <w:rPr>
          <w:rFonts w:hint="eastAsia" w:ascii="宋体" w:hAnsi="宋体" w:eastAsia="宋体" w:cs="Times New Roman"/>
          <w:sz w:val="24"/>
          <w:lang w:val="en-US" w:eastAsia="zh-CN"/>
        </w:rPr>
        <w:t>分，一般</w:t>
      </w:r>
      <w:r>
        <w:rPr>
          <w:rFonts w:hint="eastAsia" w:ascii="宋体" w:hAnsi="宋体" w:cs="Times New Roman"/>
          <w:sz w:val="24"/>
          <w:lang w:val="en-US" w:eastAsia="zh-CN"/>
        </w:rPr>
        <w:t>3</w:t>
      </w:r>
      <w:r>
        <w:rPr>
          <w:rFonts w:hint="eastAsia" w:ascii="宋体" w:hAnsi="宋体" w:eastAsia="宋体" w:cs="Times New Roman"/>
          <w:sz w:val="24"/>
          <w:lang w:val="en-US" w:eastAsia="zh-CN"/>
        </w:rPr>
        <w:t>分。</w:t>
      </w:r>
    </w:p>
    <w:p>
      <w:pPr>
        <w:pStyle w:val="3"/>
        <w:numPr>
          <w:ilvl w:val="0"/>
          <w:numId w:val="0"/>
        </w:num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③ 技术方案先进性（</w:t>
      </w:r>
      <w:r>
        <w:rPr>
          <w:rFonts w:hint="eastAsia" w:ascii="宋体" w:hAnsi="宋体" w:cs="Times New Roman"/>
          <w:sz w:val="24"/>
          <w:lang w:val="en-US" w:eastAsia="zh-CN"/>
        </w:rPr>
        <w:t>22</w:t>
      </w:r>
      <w:r>
        <w:rPr>
          <w:rFonts w:hint="eastAsia" w:ascii="宋体" w:hAnsi="宋体" w:eastAsia="宋体" w:cs="Times New Roman"/>
          <w:sz w:val="24"/>
          <w:lang w:val="en-US" w:eastAsia="zh-CN"/>
        </w:rPr>
        <w:t>分）：</w:t>
      </w:r>
    </w:p>
    <w:p>
      <w:pPr>
        <w:pStyle w:val="3"/>
        <w:numPr>
          <w:ilvl w:val="0"/>
          <w:numId w:val="0"/>
        </w:num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A.软件平台支持（6分）：根据是否直接支持多版本的AutoCAD（2008-2021）软件上进行方案规整、审查等功能内容酌情打分，优秀5-6分，良好3-4分，一般2分。</w:t>
      </w:r>
    </w:p>
    <w:p>
      <w:pPr>
        <w:pStyle w:val="3"/>
        <w:numPr>
          <w:ilvl w:val="0"/>
          <w:numId w:val="0"/>
        </w:num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B.方案规整（</w:t>
      </w:r>
      <w:r>
        <w:rPr>
          <w:rFonts w:hint="eastAsia" w:ascii="宋体" w:hAnsi="宋体" w:cs="Times New Roman"/>
          <w:sz w:val="24"/>
          <w:lang w:val="en-US" w:eastAsia="zh-CN"/>
        </w:rPr>
        <w:t>6</w:t>
      </w:r>
      <w:r>
        <w:rPr>
          <w:rFonts w:hint="eastAsia" w:ascii="宋体" w:hAnsi="宋体" w:eastAsia="宋体" w:cs="Times New Roman"/>
          <w:sz w:val="24"/>
          <w:lang w:val="en-US" w:eastAsia="zh-CN"/>
        </w:rPr>
        <w:t>分）：根据是否具有描绘、跟踪、搜索、扣减、转换等多种方案规整模式、方法和功能等技术内容酌情打分，优秀5-6分，良好3-4分，一般2分。</w:t>
      </w:r>
    </w:p>
    <w:p>
      <w:pPr>
        <w:pStyle w:val="3"/>
        <w:numPr>
          <w:ilvl w:val="0"/>
          <w:numId w:val="0"/>
        </w:num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C.方案初检（</w:t>
      </w:r>
      <w:r>
        <w:rPr>
          <w:rFonts w:hint="eastAsia" w:ascii="宋体" w:hAnsi="宋体" w:cs="Times New Roman"/>
          <w:sz w:val="24"/>
          <w:lang w:val="en-US" w:eastAsia="zh-CN"/>
        </w:rPr>
        <w:t>5</w:t>
      </w:r>
      <w:r>
        <w:rPr>
          <w:rFonts w:hint="eastAsia" w:ascii="宋体" w:hAnsi="宋体" w:eastAsia="宋体" w:cs="Times New Roman"/>
          <w:sz w:val="24"/>
          <w:lang w:val="en-US" w:eastAsia="zh-CN"/>
        </w:rPr>
        <w:t>分）：根据能否提供针对总平面、建筑单体成果图形文件检测、图层检测、标注检测、实体检测等内容进行自动初检等技术内容酌情打分，优秀5分，良好3-4分，一般2分。</w:t>
      </w:r>
    </w:p>
    <w:p>
      <w:pPr>
        <w:pStyle w:val="3"/>
        <w:numPr>
          <w:ilvl w:val="0"/>
          <w:numId w:val="0"/>
        </w:numPr>
        <w:spacing w:line="360" w:lineRule="auto"/>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D.方案审查（</w:t>
      </w:r>
      <w:r>
        <w:rPr>
          <w:rFonts w:hint="eastAsia" w:ascii="宋体" w:hAnsi="宋体" w:cs="Times New Roman"/>
          <w:sz w:val="24"/>
          <w:lang w:val="en-US" w:eastAsia="zh-CN"/>
        </w:rPr>
        <w:t>5</w:t>
      </w:r>
      <w:r>
        <w:rPr>
          <w:rFonts w:hint="eastAsia" w:ascii="宋体" w:hAnsi="宋体" w:eastAsia="宋体" w:cs="Times New Roman"/>
          <w:sz w:val="24"/>
          <w:lang w:val="en-US" w:eastAsia="zh-CN"/>
        </w:rPr>
        <w:t>分）：根据是否具有标注样式检测、图纸版本差异对比、单体审查中能否根据幢号、楼层等分别计算各类建筑面积、建筑面积公摊、总平和单体方案综合出报告等技术内容酌情打分，优秀5分，良好3-4分，一般2分。</w:t>
      </w:r>
    </w:p>
    <w:p>
      <w:pPr>
        <w:pStyle w:val="3"/>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④</w:t>
      </w:r>
      <w:r>
        <w:rPr>
          <w:rFonts w:hint="eastAsia" w:ascii="宋体" w:hAnsi="宋体" w:eastAsia="宋体" w:cs="Times New Roman"/>
          <w:sz w:val="24"/>
          <w:szCs w:val="24"/>
          <w:lang w:val="en-US" w:eastAsia="zh-CN"/>
        </w:rPr>
        <w:t xml:space="preserve"> 售后服务（</w:t>
      </w:r>
      <w:r>
        <w:rPr>
          <w:rFonts w:hint="eastAsia" w:ascii="宋体" w:hAnsi="宋体" w:cs="Times New Roman"/>
          <w:sz w:val="24"/>
          <w:szCs w:val="24"/>
          <w:lang w:val="en-US" w:eastAsia="zh-CN"/>
        </w:rPr>
        <w:t>4</w:t>
      </w:r>
      <w:r>
        <w:rPr>
          <w:rFonts w:hint="eastAsia" w:ascii="宋体" w:hAnsi="宋体" w:eastAsia="宋体" w:cs="Times New Roman"/>
          <w:sz w:val="24"/>
          <w:szCs w:val="24"/>
          <w:lang w:val="en-US" w:eastAsia="zh-CN"/>
        </w:rPr>
        <w:t>分）：根据实施方案的计划管理、质量管理、进度管理以及培训工作方案是否全面、合理、可行等内容酌情打分，优秀</w:t>
      </w:r>
      <w:r>
        <w:rPr>
          <w:rFonts w:hint="eastAsia" w:ascii="宋体" w:hAnsi="宋体" w:cs="Times New Roman"/>
          <w:sz w:val="24"/>
          <w:szCs w:val="24"/>
          <w:lang w:val="en-US" w:eastAsia="zh-CN"/>
        </w:rPr>
        <w:t>4</w:t>
      </w:r>
      <w:r>
        <w:rPr>
          <w:rFonts w:hint="eastAsia" w:ascii="宋体" w:hAnsi="宋体" w:eastAsia="宋体" w:cs="Times New Roman"/>
          <w:sz w:val="24"/>
          <w:szCs w:val="24"/>
          <w:lang w:val="en-US" w:eastAsia="zh-CN"/>
        </w:rPr>
        <w:t>分，良好3分，一般2分。</w:t>
      </w:r>
    </w:p>
    <w:p>
      <w:pPr>
        <w:tabs>
          <w:tab w:val="left" w:pos="945"/>
          <w:tab w:val="left" w:pos="1155"/>
        </w:tabs>
        <w:spacing w:line="360" w:lineRule="auto"/>
        <w:ind w:firstLine="480" w:firstLineChars="200"/>
        <w:rPr>
          <w:rFonts w:hint="eastAsia" w:ascii="宋体" w:hAnsi="宋体"/>
          <w:b/>
          <w:bCs/>
          <w:color w:val="000000" w:themeColor="text1"/>
          <w:sz w:val="24"/>
          <w:szCs w:val="24"/>
          <w14:textFill>
            <w14:solidFill>
              <w14:schemeClr w14:val="tx1"/>
            </w14:solidFill>
          </w14:textFill>
        </w:rPr>
      </w:pPr>
      <w:r>
        <w:rPr>
          <w:rFonts w:hint="eastAsia" w:ascii="宋体"/>
          <w:b/>
          <w:bCs/>
          <w:sz w:val="24"/>
          <w:szCs w:val="24"/>
        </w:rPr>
        <w:t>（4）投标文件的评价（2分）：</w:t>
      </w:r>
      <w:r>
        <w:rPr>
          <w:rFonts w:hint="eastAsia" w:ascii="宋体"/>
          <w:bCs/>
          <w:sz w:val="24"/>
          <w:szCs w:val="24"/>
        </w:rPr>
        <w:t>制作规范性和表述清晰程度。</w:t>
      </w:r>
    </w:p>
    <w:p>
      <w:pPr>
        <w:tabs>
          <w:tab w:val="left" w:pos="945"/>
          <w:tab w:val="left" w:pos="1155"/>
        </w:tabs>
        <w:spacing w:line="360" w:lineRule="auto"/>
        <w:ind w:firstLine="480" w:firstLineChars="200"/>
        <w:rPr>
          <w:rFonts w:ascii="宋体" w:hAnsi="宋体" w:cs="宋体"/>
          <w:sz w:val="24"/>
          <w:szCs w:val="24"/>
        </w:rPr>
      </w:pPr>
      <w:r>
        <w:rPr>
          <w:rFonts w:hint="eastAsia" w:ascii="宋体" w:hAnsi="宋体"/>
          <w:b/>
          <w:bCs/>
          <w:color w:val="000000" w:themeColor="text1"/>
          <w:sz w:val="24"/>
          <w:szCs w:val="24"/>
          <w14:textFill>
            <w14:solidFill>
              <w14:schemeClr w14:val="tx1"/>
            </w14:solidFill>
          </w14:textFill>
        </w:rPr>
        <w:t>（</w:t>
      </w:r>
      <w:r>
        <w:rPr>
          <w:rFonts w:hint="eastAsia" w:ascii="宋体" w:hAnsi="宋体"/>
          <w:b/>
          <w:bCs/>
          <w:color w:val="000000" w:themeColor="text1"/>
          <w:sz w:val="24"/>
          <w:szCs w:val="24"/>
          <w:lang w:val="en-US" w:eastAsia="zh-CN"/>
          <w14:textFill>
            <w14:solidFill>
              <w14:schemeClr w14:val="tx1"/>
            </w14:solidFill>
          </w14:textFill>
        </w:rPr>
        <w:t>5</w:t>
      </w:r>
      <w:r>
        <w:rPr>
          <w:rFonts w:hint="eastAsia" w:ascii="宋体" w:hAnsi="宋体"/>
          <w:b/>
          <w:bCs/>
          <w:color w:val="000000" w:themeColor="text1"/>
          <w:sz w:val="24"/>
          <w:szCs w:val="24"/>
          <w14:textFill>
            <w14:solidFill>
              <w14:schemeClr w14:val="tx1"/>
            </w14:solidFill>
          </w14:textFill>
        </w:rPr>
        <w:t>）加分因素：</w:t>
      </w:r>
      <w:r>
        <w:rPr>
          <w:rFonts w:hint="eastAsia" w:ascii="宋体" w:hAnsi="宋体" w:cs="宋体"/>
          <w:sz w:val="24"/>
          <w:szCs w:val="24"/>
        </w:rPr>
        <w:t>依据财政部、发展改革委发布的《节能产品政府采购品目清单》和财政部、</w:t>
      </w:r>
    </w:p>
    <w:p>
      <w:pPr>
        <w:tabs>
          <w:tab w:val="left" w:pos="945"/>
          <w:tab w:val="left" w:pos="1155"/>
        </w:tabs>
        <w:spacing w:line="360" w:lineRule="auto"/>
        <w:rPr>
          <w:rFonts w:ascii="宋体" w:hAnsi="宋体" w:cs="宋体"/>
          <w:sz w:val="24"/>
          <w:szCs w:val="24"/>
        </w:rPr>
      </w:pPr>
      <w:r>
        <w:rPr>
          <w:rFonts w:hint="eastAsia" w:ascii="宋体" w:hAnsi="宋体" w:cs="宋体"/>
          <w:sz w:val="24"/>
          <w:szCs w:val="24"/>
        </w:rPr>
        <w:t>生态环境部发布的《环境标志产品政府采购品目清单》，投标产品为政府采购节能（政府强制采购节能产品除外）、环保产品分别加1分（投标时须提供所投产品由国家确定的认证机构出具的、处于有效期之内的节能产品认证证书复印件、环境标志产品认证证书复印件，否则不得分）。</w:t>
      </w:r>
    </w:p>
    <w:p>
      <w:pPr>
        <w:jc w:val="left"/>
        <w:rPr>
          <w:rFonts w:hint="eastAsia" w:ascii="黑体" w:eastAsia="黑体"/>
          <w:bCs/>
          <w:color w:val="000000" w:themeColor="text1"/>
          <w:sz w:val="24"/>
          <w:szCs w:val="24"/>
          <w14:textFill>
            <w14:solidFill>
              <w14:schemeClr w14:val="tx1"/>
            </w14:solidFill>
          </w14:textFill>
        </w:rPr>
      </w:pPr>
    </w:p>
    <w:p>
      <w:pPr>
        <w:pStyle w:val="3"/>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3"/>
        <w:rPr>
          <w:rFonts w:hint="eastAsia"/>
        </w:rPr>
      </w:pPr>
    </w:p>
    <w:p>
      <w:pPr>
        <w:jc w:val="left"/>
        <w:rPr>
          <w:rFonts w:ascii="黑体" w:eastAsia="黑体"/>
          <w:bCs/>
          <w:color w:val="000000" w:themeColor="text1"/>
          <w:sz w:val="24"/>
          <w:szCs w:val="24"/>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附件二：投标文件格式</w:t>
      </w:r>
    </w:p>
    <w:p>
      <w:pPr>
        <w:rPr>
          <w:rFonts w:ascii="黑体" w:eastAsia="黑体"/>
          <w:bCs/>
          <w:color w:val="000000" w:themeColor="text1"/>
          <w:sz w:val="32"/>
          <w14:textFill>
            <w14:solidFill>
              <w14:schemeClr w14:val="tx1"/>
            </w14:solidFill>
          </w14:textFill>
        </w:rPr>
      </w:pPr>
    </w:p>
    <w:p>
      <w:pPr>
        <w:pStyle w:val="3"/>
      </w:pPr>
    </w:p>
    <w:p>
      <w:pPr>
        <w:rPr>
          <w:rFonts w:ascii="黑体" w:eastAsia="黑体"/>
          <w:bCs/>
          <w:color w:val="000000" w:themeColor="text1"/>
          <w:sz w:val="3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投</w:t>
      </w:r>
    </w:p>
    <w:p>
      <w:pPr>
        <w:jc w:val="center"/>
        <w:rPr>
          <w:rFonts w:ascii="黑体" w:eastAsia="黑体"/>
          <w:bCs/>
          <w:color w:val="000000" w:themeColor="text1"/>
          <w:sz w:val="7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标</w:t>
      </w:r>
    </w:p>
    <w:p>
      <w:pPr>
        <w:jc w:val="center"/>
        <w:rPr>
          <w:rFonts w:ascii="黑体" w:eastAsia="黑体"/>
          <w:bCs/>
          <w:color w:val="000000" w:themeColor="text1"/>
          <w:sz w:val="7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文</w:t>
      </w:r>
    </w:p>
    <w:p>
      <w:pPr>
        <w:jc w:val="center"/>
        <w:rPr>
          <w:rFonts w:ascii="黑体" w:eastAsia="黑体"/>
          <w:bCs/>
          <w:color w:val="000000" w:themeColor="text1"/>
          <w:sz w:val="52"/>
          <w:szCs w:val="5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件</w:t>
      </w:r>
    </w:p>
    <w:p>
      <w:pPr>
        <w:rPr>
          <w:rFonts w:ascii="楷体_GB2312" w:eastAsia="楷体_GB2312"/>
          <w:bCs/>
          <w:color w:val="000000" w:themeColor="text1"/>
          <w:sz w:val="72"/>
          <w14:textFill>
            <w14:solidFill>
              <w14:schemeClr w14:val="tx1"/>
            </w14:solidFill>
          </w14:textFill>
        </w:rPr>
      </w:pPr>
    </w:p>
    <w:p>
      <w:pPr>
        <w:rPr>
          <w:rFonts w:ascii="楷体_GB2312" w:eastAsia="楷体_GB2312"/>
          <w:bCs/>
          <w:color w:val="000000" w:themeColor="text1"/>
          <w:sz w:val="28"/>
          <w14:textFill>
            <w14:solidFill>
              <w14:schemeClr w14:val="tx1"/>
            </w14:solidFill>
          </w14:textFill>
        </w:rPr>
      </w:pPr>
    </w:p>
    <w:p>
      <w:pPr>
        <w:ind w:firstLine="2715"/>
        <w:rPr>
          <w:rFonts w:hint="eastAsia"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采购项目编号：</w:t>
      </w:r>
      <w:r>
        <w:rPr>
          <w:rFonts w:hint="eastAsia" w:ascii="黑体" w:eastAsia="黑体"/>
          <w:bCs/>
          <w:color w:val="000000" w:themeColor="text1"/>
          <w:sz w:val="28"/>
          <w:szCs w:val="28"/>
          <w:lang w:eastAsia="zh-CN"/>
          <w14:textFill>
            <w14:solidFill>
              <w14:schemeClr w14:val="tx1"/>
            </w14:solidFill>
          </w14:textFill>
        </w:rPr>
        <w:t>LXZC2021-044</w:t>
      </w:r>
    </w:p>
    <w:p>
      <w:pPr>
        <w:ind w:firstLine="2703"/>
        <w:rPr>
          <w:rFonts w:hint="eastAsia"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采购项目名称：</w:t>
      </w:r>
      <w:r>
        <w:rPr>
          <w:rFonts w:hint="eastAsia" w:ascii="黑体" w:eastAsia="黑体"/>
          <w:bCs/>
          <w:color w:val="000000" w:themeColor="text1"/>
          <w:sz w:val="28"/>
          <w:szCs w:val="28"/>
          <w:lang w:eastAsia="zh-CN"/>
          <w14:textFill>
            <w14:solidFill>
              <w14:schemeClr w14:val="tx1"/>
            </w14:solidFill>
          </w14:textFill>
        </w:rPr>
        <w:t>无锡市梁溪区规划建筑设计方案智能审查系统</w:t>
      </w:r>
    </w:p>
    <w:p>
      <w:pPr>
        <w:ind w:firstLine="2703"/>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投标人：</w:t>
      </w:r>
    </w:p>
    <w:p>
      <w:pPr>
        <w:rPr>
          <w:rFonts w:ascii="黑体" w:eastAsia="黑体"/>
          <w:bCs/>
          <w:color w:val="000000" w:themeColor="text1"/>
          <w:sz w:val="32"/>
          <w14:textFill>
            <w14:solidFill>
              <w14:schemeClr w14:val="tx1"/>
            </w14:solidFill>
          </w14:textFill>
        </w:rPr>
      </w:pPr>
    </w:p>
    <w:p>
      <w:pPr>
        <w:jc w:val="center"/>
        <w:rPr>
          <w:rFonts w:ascii="黑体" w:eastAsia="黑体"/>
          <w:bCs/>
          <w:color w:val="000000" w:themeColor="text1"/>
          <w:sz w:val="36"/>
          <w:szCs w:val="36"/>
          <w14:textFill>
            <w14:solidFill>
              <w14:schemeClr w14:val="tx1"/>
            </w14:solidFill>
          </w14:textFill>
        </w:rPr>
      </w:pPr>
      <w:r>
        <w:rPr>
          <w:rFonts w:hint="eastAsia" w:ascii="黑体" w:eastAsia="黑体"/>
          <w:bCs/>
          <w:color w:val="000000" w:themeColor="text1"/>
          <w:sz w:val="36"/>
          <w:szCs w:val="36"/>
          <w14:textFill>
            <w14:solidFill>
              <w14:schemeClr w14:val="tx1"/>
            </w14:solidFill>
          </w14:textFill>
        </w:rPr>
        <w:t>二○二一年</w:t>
      </w:r>
      <w:r>
        <w:rPr>
          <w:rFonts w:ascii="黑体" w:eastAsia="黑体"/>
          <w:bCs/>
          <w:color w:val="000000" w:themeColor="text1"/>
          <w:sz w:val="36"/>
          <w:szCs w:val="36"/>
          <w14:textFill>
            <w14:solidFill>
              <w14:schemeClr w14:val="tx1"/>
            </w14:solidFill>
          </w14:textFill>
        </w:rPr>
        <w:t xml:space="preserve">  </w:t>
      </w:r>
      <w:r>
        <w:rPr>
          <w:rFonts w:hint="eastAsia" w:ascii="黑体" w:eastAsia="黑体"/>
          <w:bCs/>
          <w:color w:val="000000" w:themeColor="text1"/>
          <w:sz w:val="36"/>
          <w:szCs w:val="36"/>
          <w14:textFill>
            <w14:solidFill>
              <w14:schemeClr w14:val="tx1"/>
            </w14:solidFill>
          </w14:textFill>
        </w:rPr>
        <w:t>月</w:t>
      </w:r>
      <w:r>
        <w:rPr>
          <w:rFonts w:ascii="黑体" w:eastAsia="黑体"/>
          <w:bCs/>
          <w:color w:val="000000" w:themeColor="text1"/>
          <w:sz w:val="36"/>
          <w:szCs w:val="36"/>
          <w14:textFill>
            <w14:solidFill>
              <w14:schemeClr w14:val="tx1"/>
            </w14:solidFill>
          </w14:textFill>
        </w:rPr>
        <w:t xml:space="preserve">  </w:t>
      </w:r>
      <w:r>
        <w:rPr>
          <w:rFonts w:hint="eastAsia" w:ascii="黑体" w:eastAsia="黑体"/>
          <w:bCs/>
          <w:color w:val="000000" w:themeColor="text1"/>
          <w:sz w:val="36"/>
          <w:szCs w:val="36"/>
          <w14:textFill>
            <w14:solidFill>
              <w14:schemeClr w14:val="tx1"/>
            </w14:solidFill>
          </w14:textFill>
        </w:rPr>
        <w:t>日</w:t>
      </w:r>
    </w:p>
    <w:p>
      <w:pPr>
        <w:outlineLvl w:val="0"/>
        <w:rPr>
          <w:rFonts w:ascii="黑体" w:hAnsi="宋体" w:eastAsia="黑体"/>
          <w:bCs/>
          <w:color w:val="000000" w:themeColor="text1"/>
          <w:sz w:val="24"/>
          <w:szCs w:val="24"/>
          <w14:textFill>
            <w14:solidFill>
              <w14:schemeClr w14:val="tx1"/>
            </w14:solidFill>
          </w14:textFill>
        </w:rPr>
      </w:pPr>
      <w:bookmarkStart w:id="20" w:name="一．报价函（格式）"/>
      <w:bookmarkEnd w:id="20"/>
    </w:p>
    <w:p>
      <w:pPr>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pStyle w:val="2"/>
      </w:pPr>
    </w:p>
    <w:p>
      <w:pPr>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（一）投标函（格式）：</w:t>
      </w:r>
    </w:p>
    <w:p>
      <w:pPr>
        <w:outlineLvl w:val="0"/>
        <w:rPr>
          <w:rFonts w:ascii="宋体"/>
          <w:b/>
          <w:bCs/>
          <w:color w:val="000000" w:themeColor="text1"/>
          <w:sz w:val="24"/>
          <w:szCs w:val="24"/>
          <w14:textFill>
            <w14:solidFill>
              <w14:schemeClr w14:val="tx1"/>
            </w14:solidFill>
          </w14:textFill>
        </w:rPr>
      </w:pPr>
    </w:p>
    <w:p>
      <w:pPr>
        <w:spacing w:line="360" w:lineRule="auto"/>
        <w:jc w:val="center"/>
        <w:rPr>
          <w:rFonts w:ascii="宋体"/>
          <w:bCs/>
          <w:color w:val="000000" w:themeColor="text1"/>
          <w:sz w:val="24"/>
          <w:szCs w:val="24"/>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投标函</w:t>
      </w:r>
    </w:p>
    <w:p>
      <w:pPr>
        <w:spacing w:line="360" w:lineRule="auto"/>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致无锡市公共资源交易中心梁溪分中心：</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我方收到贵方编号</w:t>
      </w:r>
      <w:r>
        <w:rPr>
          <w:rFonts w:hint="eastAsia" w:ascii="宋体" w:hAnsi="宋体"/>
          <w:bCs/>
          <w:color w:val="000000" w:themeColor="text1"/>
          <w:sz w:val="24"/>
          <w:szCs w:val="24"/>
          <w:lang w:eastAsia="zh-CN"/>
          <w14:textFill>
            <w14:solidFill>
              <w14:schemeClr w14:val="tx1"/>
            </w14:solidFill>
          </w14:textFill>
        </w:rPr>
        <w:t>LXZC2021-044</w:t>
      </w:r>
      <w:r>
        <w:rPr>
          <w:rFonts w:hint="eastAsia" w:ascii="宋体" w:hAnsi="宋体"/>
          <w:bCs/>
          <w:color w:val="000000" w:themeColor="text1"/>
          <w:sz w:val="24"/>
          <w:szCs w:val="24"/>
          <w14:textFill>
            <w14:solidFill>
              <w14:schemeClr w14:val="tx1"/>
            </w14:solidFill>
          </w14:textFill>
        </w:rPr>
        <w:t>招标文件，经仔细阅读和研究，我方决定参加此项目的投标。</w:t>
      </w:r>
    </w:p>
    <w:p>
      <w:pPr>
        <w:numPr>
          <w:ilvl w:val="0"/>
          <w:numId w:val="20"/>
        </w:numPr>
        <w:tabs>
          <w:tab w:val="left" w:pos="315"/>
          <w:tab w:val="left" w:pos="840"/>
          <w:tab w:val="left" w:pos="945"/>
          <w:tab w:val="left" w:pos="1050"/>
          <w:tab w:val="left" w:pos="126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我方愿意按照招标文件的一切要求，提供本项目的投标，投标总价见《开标一览表》。</w:t>
      </w:r>
    </w:p>
    <w:p>
      <w:pPr>
        <w:numPr>
          <w:ilvl w:val="0"/>
          <w:numId w:val="20"/>
        </w:numPr>
        <w:tabs>
          <w:tab w:val="left" w:pos="0"/>
          <w:tab w:val="left" w:pos="315"/>
          <w:tab w:val="left" w:pos="525"/>
          <w:tab w:val="left" w:pos="840"/>
          <w:tab w:val="left" w:pos="945"/>
          <w:tab w:val="left" w:pos="1050"/>
          <w:tab w:val="clear" w:pos="552"/>
        </w:tabs>
        <w:spacing w:line="360" w:lineRule="auto"/>
        <w:ind w:left="0" w:firstLine="523" w:firstLineChars="218"/>
        <w:rPr>
          <w:rStyle w:val="29"/>
          <w:rFonts w:hAnsi="Times New Roman" w:cs="Times New Roman"/>
          <w:bCs/>
          <w:color w:val="000000" w:themeColor="text1"/>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我方愿意提供无锡市公共资源交易中心梁溪分中心在招标文件中要求的文件、资料。</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我方同意按招标文件中的规定，本投标文件投标的有效期限为开标之日起</w:t>
      </w:r>
      <w:r>
        <w:rPr>
          <w:rFonts w:ascii="宋体" w:hAnsi="宋体"/>
          <w:bCs/>
          <w:color w:val="000000" w:themeColor="text1"/>
          <w:sz w:val="24"/>
          <w:szCs w:val="24"/>
          <w14:textFill>
            <w14:solidFill>
              <w14:schemeClr w14:val="tx1"/>
            </w14:solidFill>
          </w14:textFill>
        </w:rPr>
        <w:t>90</w:t>
      </w:r>
      <w:r>
        <w:rPr>
          <w:rFonts w:hint="eastAsia" w:ascii="宋体" w:hAnsi="宋体"/>
          <w:bCs/>
          <w:color w:val="000000" w:themeColor="text1"/>
          <w:sz w:val="24"/>
          <w:szCs w:val="24"/>
          <w14:textFill>
            <w14:solidFill>
              <w14:schemeClr w14:val="tx1"/>
            </w14:solidFill>
          </w14:textFill>
        </w:rPr>
        <w:t>天。</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如果我方的投标文件被接受，我方将履行招标文件中规定的每一项要求，按期、按质、按量，完成交货任务。</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我方认为贵中心有权决定中标者。</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我方愿意遵守《中华人民共和国政府采购法》，并按《中华人民共和国</w:t>
      </w:r>
      <w:r>
        <w:rPr>
          <w:rFonts w:hint="eastAsia" w:ascii="宋体" w:hAnsi="宋体"/>
          <w:bCs/>
          <w:color w:val="000000" w:themeColor="text1"/>
          <w:sz w:val="24"/>
          <w:szCs w:val="24"/>
          <w:lang w:val="en-US" w:eastAsia="zh-CN"/>
          <w14:textFill>
            <w14:solidFill>
              <w14:schemeClr w14:val="tx1"/>
            </w14:solidFill>
          </w14:textFill>
        </w:rPr>
        <w:t>民法典</w:t>
      </w:r>
      <w:r>
        <w:rPr>
          <w:rFonts w:hint="eastAsia" w:ascii="宋体" w:hAnsi="宋体"/>
          <w:bCs/>
          <w:color w:val="000000" w:themeColor="text1"/>
          <w:sz w:val="24"/>
          <w:szCs w:val="24"/>
          <w14:textFill>
            <w14:solidFill>
              <w14:schemeClr w14:val="tx1"/>
            </w14:solidFill>
          </w14:textFill>
        </w:rPr>
        <w:t>》、财政部《政府采购货物和服务招标投标管理办法》</w:t>
      </w:r>
      <w:r>
        <w:rPr>
          <w:rFonts w:hint="eastAsia" w:ascii="宋体" w:hAnsi="宋体"/>
          <w:color w:val="000000" w:themeColor="text1"/>
          <w:sz w:val="24"/>
          <w:szCs w:val="24"/>
          <w14:textFill>
            <w14:solidFill>
              <w14:schemeClr w14:val="tx1"/>
            </w14:solidFill>
          </w14:textFill>
        </w:rPr>
        <w:t>和</w:t>
      </w:r>
      <w:r>
        <w:rPr>
          <w:rFonts w:hint="eastAsia" w:ascii="宋体" w:hAnsi="宋体"/>
          <w:bCs/>
          <w:color w:val="000000" w:themeColor="text1"/>
          <w:sz w:val="24"/>
          <w:szCs w:val="24"/>
          <w14:textFill>
            <w14:solidFill>
              <w14:schemeClr w14:val="tx1"/>
            </w14:solidFill>
          </w14:textFill>
        </w:rPr>
        <w:t>合同条款履行自己的全部责任。</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我方认可并遵守招标文件的所有规定，放弃对招标文件提出质疑的权利。</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我方愿意按招标文件的规定提交《投标（报价）承诺函》。如我方在投标截止期后撤回投标及中标后拒绝遵守投标承诺或拒绝在规定的时间内与采购人签订合同，则接受政府采购监督管理部门的处理。</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如果我方被确定为中标供应商，我方愿意</w:t>
      </w:r>
      <w:r>
        <w:rPr>
          <w:rFonts w:hint="eastAsia" w:ascii="宋体" w:hAnsi="宋体"/>
          <w:color w:val="000000" w:themeColor="text1"/>
          <w:sz w:val="24"/>
          <w:szCs w:val="24"/>
          <w14:textFill>
            <w14:solidFill>
              <w14:schemeClr w14:val="tx1"/>
            </w14:solidFill>
          </w14:textFill>
        </w:rPr>
        <w:t>向</w:t>
      </w:r>
      <w:r>
        <w:rPr>
          <w:rFonts w:hint="eastAsia" w:ascii="宋体" w:hAnsi="宋体"/>
          <w:bCs/>
          <w:color w:val="000000" w:themeColor="text1"/>
          <w:sz w:val="24"/>
          <w:szCs w:val="24"/>
          <w14:textFill>
            <w14:solidFill>
              <w14:schemeClr w14:val="tx1"/>
            </w14:solidFill>
          </w14:textFill>
        </w:rPr>
        <w:t>采购人交纳履约保证金。且我方如无不可抗力，又未履行招标文件、投标文件和合同条款的，一经查实，我方愿意赔偿由此而造成的一切损失，并同意接受按招标文件的相关要求对我方进行的处理。</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pPr>
        <w:spacing w:line="360" w:lineRule="auto"/>
        <w:ind w:firstLine="720" w:firstLineChars="300"/>
        <w:rPr>
          <w:rFonts w:ascii="宋体"/>
          <w:bCs/>
          <w:color w:val="000000" w:themeColor="text1"/>
          <w:sz w:val="24"/>
          <w:szCs w:val="24"/>
          <w14:textFill>
            <w14:solidFill>
              <w14:schemeClr w14:val="tx1"/>
            </w14:solidFill>
          </w14:textFill>
        </w:rPr>
      </w:pP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投标人（盖章）：</w:t>
      </w:r>
      <w:r>
        <w:rPr>
          <w:rFonts w:ascii="宋体" w:hAnsi="宋体"/>
          <w:bCs/>
          <w:color w:val="000000" w:themeColor="text1"/>
          <w:sz w:val="24"/>
          <w:szCs w:val="24"/>
          <w14:textFill>
            <w14:solidFill>
              <w14:schemeClr w14:val="tx1"/>
            </w14:solidFill>
          </w14:textFill>
        </w:rPr>
        <w:t xml:space="preserve">     </w:t>
      </w: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电话：</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传真：</w:t>
      </w:r>
    </w:p>
    <w:p>
      <w:pPr>
        <w:spacing w:line="40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通讯地址：</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邮编：</w:t>
      </w:r>
    </w:p>
    <w:p>
      <w:pPr>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（二）（投标人）关于资格的声明函（格式）：</w:t>
      </w:r>
    </w:p>
    <w:p>
      <w:pPr>
        <w:spacing w:line="360" w:lineRule="auto"/>
        <w:rPr>
          <w:rFonts w:ascii="黑体" w:eastAsia="黑体"/>
          <w:bCs/>
          <w:color w:val="000000" w:themeColor="text1"/>
          <w:sz w:val="36"/>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bookmarkStart w:id="21" w:name="报价方关于资格的声明函（格式）"/>
      <w:bookmarkEnd w:id="21"/>
      <w:r>
        <w:rPr>
          <w:rFonts w:hint="eastAsia" w:ascii="黑体" w:eastAsia="黑体"/>
          <w:bCs/>
          <w:color w:val="000000" w:themeColor="text1"/>
          <w:sz w:val="28"/>
          <w:szCs w:val="28"/>
          <w14:textFill>
            <w14:solidFill>
              <w14:schemeClr w14:val="tx1"/>
            </w14:solidFill>
          </w14:textFill>
        </w:rPr>
        <w:t>关于资格的声明函</w:t>
      </w:r>
    </w:p>
    <w:p>
      <w:pPr>
        <w:jc w:val="center"/>
        <w:rPr>
          <w:rFonts w:ascii="黑体" w:eastAsia="黑体"/>
          <w:bCs/>
          <w:color w:val="000000" w:themeColor="text1"/>
          <w:sz w:val="32"/>
          <w14:textFill>
            <w14:solidFill>
              <w14:schemeClr w14:val="tx1"/>
            </w14:solidFill>
          </w14:textFill>
        </w:rPr>
      </w:pPr>
    </w:p>
    <w:p>
      <w:pPr>
        <w:spacing w:line="480" w:lineRule="auto"/>
        <w:jc w:val="center"/>
        <w:rPr>
          <w:rFonts w:ascii="宋体"/>
          <w:bCs/>
          <w:color w:val="000000" w:themeColor="text1"/>
          <w:sz w:val="24"/>
          <w:szCs w:val="24"/>
          <w14:textFill>
            <w14:solidFill>
              <w14:schemeClr w14:val="tx1"/>
            </w14:solidFill>
          </w14:textFill>
        </w:rPr>
      </w:pPr>
      <w:r>
        <w:rPr>
          <w:rFonts w:ascii="楷体_GB2312" w:eastAsia="楷体_GB2312"/>
          <w:bCs/>
          <w:color w:val="000000" w:themeColor="text1"/>
          <w:sz w:val="30"/>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采购项目编号：</w:t>
      </w:r>
    </w:p>
    <w:p>
      <w:pPr>
        <w:tabs>
          <w:tab w:val="left" w:pos="6300"/>
        </w:tabs>
        <w:spacing w:line="480" w:lineRule="auto"/>
        <w:jc w:val="center"/>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日期：</w:t>
      </w:r>
    </w:p>
    <w:p>
      <w:pPr>
        <w:spacing w:line="480" w:lineRule="auto"/>
        <w:jc w:val="center"/>
        <w:rPr>
          <w:rFonts w:ascii="宋体"/>
          <w:bCs/>
          <w:color w:val="000000" w:themeColor="text1"/>
          <w:sz w:val="24"/>
          <w:szCs w:val="24"/>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无锡市公共资源交易中心梁溪分中心：</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p>
    <w:p>
      <w:pPr>
        <w:spacing w:line="48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我公司（单位）参加本次项目（</w:t>
      </w:r>
      <w:r>
        <w:rPr>
          <w:rFonts w:hint="eastAsia" w:ascii="黑体" w:eastAsia="黑体"/>
          <w:bCs/>
          <w:color w:val="000000" w:themeColor="text1"/>
          <w:sz w:val="24"/>
          <w:szCs w:val="24"/>
          <w:lang w:eastAsia="zh-CN"/>
          <w14:textFill>
            <w14:solidFill>
              <w14:schemeClr w14:val="tx1"/>
            </w14:solidFill>
          </w14:textFill>
        </w:rPr>
        <w:t>LXZC2021-044</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政府采购活动前三年内，在经营活动中没有重大违法记录，我公司（单位）愿针对本次项目（</w:t>
      </w:r>
      <w:r>
        <w:rPr>
          <w:rFonts w:hint="eastAsia" w:ascii="黑体" w:eastAsia="黑体"/>
          <w:bCs/>
          <w:color w:val="000000" w:themeColor="text1"/>
          <w:sz w:val="24"/>
          <w:szCs w:val="24"/>
          <w:lang w:eastAsia="zh-CN"/>
          <w14:textFill>
            <w14:solidFill>
              <w14:schemeClr w14:val="tx1"/>
            </w14:solidFill>
          </w14:textFill>
        </w:rPr>
        <w:t>LXZC2021-044</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进行投标，投标文件中所有关于投标资格的文件、证明、陈述均是真实的、准确的。若有违背，我公司（单位）</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愿意承担由此而产生的一切后果。</w:t>
      </w:r>
    </w:p>
    <w:p>
      <w:pPr>
        <w:spacing w:line="480" w:lineRule="auto"/>
        <w:rPr>
          <w:rFonts w:ascii="宋体"/>
          <w:bCs/>
          <w:color w:val="000000" w:themeColor="text1"/>
          <w:sz w:val="24"/>
          <w:szCs w:val="24"/>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投标人（盖章）：</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80" w:lineRule="auto"/>
        <w:rPr>
          <w:rFonts w:asci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20" w:firstLineChars="200"/>
        <w:outlineLvl w:val="0"/>
        <w:rPr>
          <w:rFonts w:ascii="黑体" w:hAnsi="宋体" w:eastAsia="黑体"/>
          <w:bCs/>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备注：上述所称“重大违法记录”,是指供应商因违法经营受到刑事处罚或者责令停产停业、吊销许可证或者执照、较大数额罚款等行政处罚。</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（三）（投标人）法定代表人授权委托书（格式）：</w:t>
      </w:r>
    </w:p>
    <w:p>
      <w:pPr>
        <w:outlineLvl w:val="0"/>
        <w:rPr>
          <w:rFonts w:ascii="黑体" w:eastAsia="黑体"/>
          <w:bCs/>
          <w:color w:val="000000" w:themeColor="text1"/>
          <w:sz w:val="28"/>
          <w:szCs w:val="28"/>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法定代表人授权委托书</w:t>
      </w:r>
    </w:p>
    <w:p>
      <w:pPr>
        <w:spacing w:line="360" w:lineRule="auto"/>
        <w:jc w:val="center"/>
        <w:rPr>
          <w:rFonts w:ascii="楷体_GB2312" w:eastAsia="楷体_GB2312"/>
          <w:bCs/>
          <w:color w:val="000000" w:themeColor="text1"/>
          <w:sz w:val="36"/>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ascii="楷体_GB2312" w:eastAsia="楷体_GB2312"/>
          <w:bCs/>
          <w:color w:val="000000" w:themeColor="text1"/>
          <w:sz w:val="30"/>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采购项目编号：</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日期：</w:t>
      </w:r>
    </w:p>
    <w:p>
      <w:pPr>
        <w:spacing w:line="600" w:lineRule="exact"/>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无锡市公共资源交易中心梁溪分中心：</w:t>
      </w:r>
    </w:p>
    <w:p>
      <w:pPr>
        <w:spacing w:line="580" w:lineRule="exact"/>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系中华人民共和国合法公司（单位），特授权</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代表我公司（单位）全权办理针对本项目（</w:t>
      </w:r>
      <w:r>
        <w:rPr>
          <w:rFonts w:hint="eastAsia" w:ascii="黑体" w:eastAsia="黑体"/>
          <w:bCs/>
          <w:color w:val="000000" w:themeColor="text1"/>
          <w:sz w:val="24"/>
          <w:szCs w:val="24"/>
          <w:lang w:eastAsia="zh-CN"/>
          <w14:textFill>
            <w14:solidFill>
              <w14:schemeClr w14:val="tx1"/>
            </w14:solidFill>
          </w14:textFill>
        </w:rPr>
        <w:t>LXZC2021-044</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的投标、参与开标、评标、签约等具体工作，并签署全部有关的文件、协议及合同。</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我公司（单位）对被授权代表的签名负全部责任。</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被授权代表情况：</w:t>
      </w:r>
    </w:p>
    <w:p>
      <w:pPr>
        <w:spacing w:line="580" w:lineRule="exact"/>
        <w:ind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姓名：</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性别：</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电话：</w:t>
      </w:r>
    </w:p>
    <w:p>
      <w:pPr>
        <w:spacing w:line="580" w:lineRule="exact"/>
        <w:ind w:firstLine="3240" w:firstLineChars="1350"/>
        <w:rPr>
          <w:rFonts w:ascii="宋体"/>
          <w:bCs/>
          <w:color w:val="000000" w:themeColor="text1"/>
          <w:sz w:val="24"/>
          <w:szCs w:val="24"/>
          <w14:textFill>
            <w14:solidFill>
              <w14:schemeClr w14:val="tx1"/>
            </w14:solidFill>
          </w14:textFill>
        </w:rPr>
      </w:pPr>
    </w:p>
    <w:p>
      <w:pPr>
        <w:spacing w:line="580" w:lineRule="exact"/>
        <w:ind w:firstLine="3240" w:firstLineChars="1350"/>
        <w:rPr>
          <w:rFonts w:ascii="宋体"/>
          <w:bCs/>
          <w:color w:val="000000" w:themeColor="text1"/>
          <w:sz w:val="24"/>
          <w:szCs w:val="24"/>
          <w14:textFill>
            <w14:solidFill>
              <w14:schemeClr w14:val="tx1"/>
            </w14:solidFill>
          </w14:textFill>
        </w:rPr>
      </w:pPr>
    </w:p>
    <w:p>
      <w:pPr>
        <w:spacing w:line="580" w:lineRule="exact"/>
        <w:ind w:firstLine="3240" w:firstLineChars="135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单位名称（盖章）：</w:t>
      </w:r>
    </w:p>
    <w:p>
      <w:pPr>
        <w:spacing w:line="580" w:lineRule="exact"/>
        <w:ind w:firstLine="4080" w:firstLineChars="17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法定代表人（签字或盖章）：</w:t>
      </w:r>
    </w:p>
    <w:p>
      <w:pPr>
        <w:spacing w:line="580" w:lineRule="exact"/>
        <w:ind w:firstLine="420"/>
        <w:rPr>
          <w:rFonts w:ascii="宋体"/>
          <w:bCs/>
          <w:color w:val="000000" w:themeColor="text1"/>
          <w:sz w:val="24"/>
          <w:szCs w:val="24"/>
          <w14:textFill>
            <w14:solidFill>
              <w14:schemeClr w14:val="tx1"/>
            </w14:solidFill>
          </w14:textFill>
        </w:rPr>
      </w:pPr>
    </w:p>
    <w:p>
      <w:pPr>
        <w:spacing w:line="580" w:lineRule="exact"/>
        <w:ind w:firstLine="420"/>
        <w:rPr>
          <w:rFonts w:asci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3"/>
      </w:pPr>
    </w:p>
    <w:p>
      <w:pPr>
        <w:pStyle w:val="4"/>
      </w:pPr>
    </w:p>
    <w:p>
      <w:pPr>
        <w:ind w:firstLine="480" w:firstLineChars="200"/>
        <w:outlineLvl w:val="0"/>
        <w:rPr>
          <w:rFonts w:hint="eastAsia"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（四）（投标人）中小企业声明函（格式）：</w:t>
      </w:r>
    </w:p>
    <w:p>
      <w:pPr>
        <w:spacing w:line="480" w:lineRule="auto"/>
        <w:rPr>
          <w:rFonts w:ascii="宋体"/>
          <w:bCs/>
          <w:color w:val="000000" w:themeColor="text1"/>
          <w:sz w:val="24"/>
          <w:szCs w:val="24"/>
          <w14:textFill>
            <w14:solidFill>
              <w14:schemeClr w14:val="tx1"/>
            </w14:solidFill>
          </w14:textFill>
        </w:rPr>
      </w:pPr>
    </w:p>
    <w:p>
      <w:pPr>
        <w:jc w:val="center"/>
        <w:rPr>
          <w:rFonts w:ascii="黑体" w:eastAsia="黑体"/>
          <w:bCs/>
          <w:sz w:val="28"/>
          <w:szCs w:val="28"/>
        </w:rPr>
      </w:pPr>
      <w:r>
        <w:rPr>
          <w:rFonts w:hint="eastAsia" w:ascii="黑体" w:eastAsia="黑体"/>
          <w:bCs/>
          <w:sz w:val="28"/>
          <w:szCs w:val="28"/>
        </w:rPr>
        <w:t>中小企业声明函（服务）</w:t>
      </w:r>
    </w:p>
    <w:p>
      <w:pPr>
        <w:spacing w:line="580" w:lineRule="exact"/>
        <w:ind w:firstLine="480" w:firstLineChars="200"/>
        <w:rPr>
          <w:rFonts w:ascii="宋体" w:hAnsi="宋体"/>
          <w:bCs/>
          <w:sz w:val="24"/>
          <w:szCs w:val="24"/>
        </w:rPr>
      </w:pPr>
      <w:r>
        <w:rPr>
          <w:rFonts w:hint="eastAsia" w:ascii="宋体" w:hAnsi="宋体"/>
          <w:bCs/>
          <w:sz w:val="24"/>
          <w:szCs w:val="24"/>
        </w:rPr>
        <w:t xml:space="preserve">本公司（联合体）郑重声明，根据《政府采购促进中小企业发展管理办法》（财库﹝2020﹞46 号）的规定，本公司 </w:t>
      </w:r>
      <w:r>
        <w:rPr>
          <w:rFonts w:hint="eastAsia" w:ascii="宋体" w:hAnsi="宋体"/>
          <w:bCs/>
          <w:sz w:val="24"/>
          <w:szCs w:val="24"/>
          <w:u w:val="single"/>
        </w:rPr>
        <w:t>（联合体）</w:t>
      </w:r>
      <w:r>
        <w:rPr>
          <w:rFonts w:hint="eastAsia" w:ascii="宋体" w:hAnsi="宋体"/>
          <w:bCs/>
          <w:sz w:val="24"/>
          <w:szCs w:val="24"/>
        </w:rPr>
        <w:t>参加</w:t>
      </w:r>
      <w:r>
        <w:rPr>
          <w:rFonts w:hint="eastAsia" w:ascii="宋体" w:hAnsi="宋体"/>
          <w:bCs/>
          <w:sz w:val="24"/>
          <w:szCs w:val="24"/>
          <w:u w:val="single"/>
        </w:rPr>
        <w:t>（单位名称）</w:t>
      </w:r>
      <w:r>
        <w:rPr>
          <w:rFonts w:hint="eastAsia" w:ascii="宋体" w:hAnsi="宋体"/>
          <w:bCs/>
          <w:sz w:val="24"/>
          <w:szCs w:val="24"/>
        </w:rPr>
        <w:t>的</w:t>
      </w:r>
      <w:r>
        <w:rPr>
          <w:rFonts w:hint="eastAsia" w:ascii="宋体" w:hAnsi="宋体"/>
          <w:bCs/>
          <w:sz w:val="24"/>
          <w:szCs w:val="24"/>
          <w:u w:val="single"/>
        </w:rPr>
        <w:t>（项目名称）</w:t>
      </w:r>
      <w:r>
        <w:rPr>
          <w:rFonts w:hint="eastAsia" w:ascii="宋体" w:hAnsi="宋体"/>
          <w:bCs/>
          <w:sz w:val="24"/>
          <w:szCs w:val="24"/>
        </w:rPr>
        <w:t>采购活动，服务全部由符合政策要求的中小企业承接。相关企业（含联合体中的中小企业、签订分包意向协议的中小企业）的具体情况如下：</w:t>
      </w:r>
    </w:p>
    <w:p>
      <w:pPr>
        <w:spacing w:line="580" w:lineRule="exact"/>
        <w:ind w:firstLine="480" w:firstLineChars="200"/>
        <w:rPr>
          <w:rFonts w:ascii="宋体" w:hAnsi="宋体"/>
          <w:bCs/>
          <w:sz w:val="24"/>
          <w:szCs w:val="24"/>
        </w:rPr>
      </w:pPr>
      <w:r>
        <w:rPr>
          <w:rFonts w:hint="eastAsia" w:ascii="宋体" w:hAnsi="宋体"/>
          <w:bCs/>
          <w:sz w:val="24"/>
          <w:szCs w:val="24"/>
        </w:rPr>
        <w:t>1.</w:t>
      </w:r>
      <w:r>
        <w:rPr>
          <w:rFonts w:hint="eastAsia" w:ascii="宋体" w:hAnsi="宋体"/>
          <w:bCs/>
          <w:sz w:val="24"/>
          <w:szCs w:val="24"/>
          <w:u w:val="single"/>
        </w:rPr>
        <w:t xml:space="preserve"> （标的名称） </w:t>
      </w:r>
      <w:r>
        <w:rPr>
          <w:rFonts w:hint="eastAsia" w:ascii="宋体" w:hAnsi="宋体"/>
          <w:bCs/>
          <w:sz w:val="24"/>
          <w:szCs w:val="24"/>
        </w:rPr>
        <w:t>，属于</w:t>
      </w:r>
      <w:r>
        <w:rPr>
          <w:rFonts w:hint="eastAsia" w:ascii="宋体" w:hAnsi="宋体"/>
          <w:bCs/>
          <w:sz w:val="24"/>
          <w:szCs w:val="24"/>
          <w:u w:val="single"/>
        </w:rPr>
        <w:t>（采购文件中明确的所属行业）</w:t>
      </w:r>
      <w:r>
        <w:rPr>
          <w:rFonts w:hint="eastAsia" w:ascii="宋体" w:hAnsi="宋体"/>
          <w:bCs/>
          <w:sz w:val="24"/>
          <w:szCs w:val="24"/>
        </w:rPr>
        <w:t>； 承建（承接）企业为</w:t>
      </w:r>
      <w:r>
        <w:rPr>
          <w:rFonts w:hint="eastAsia" w:ascii="宋体" w:hAnsi="宋体"/>
          <w:bCs/>
          <w:sz w:val="24"/>
          <w:szCs w:val="24"/>
          <w:u w:val="single"/>
        </w:rPr>
        <w:t>（企业名称）</w:t>
      </w:r>
      <w:r>
        <w:rPr>
          <w:rFonts w:hint="eastAsia" w:ascii="宋体" w:hAnsi="宋体"/>
          <w:bCs/>
          <w:sz w:val="24"/>
          <w:szCs w:val="24"/>
        </w:rPr>
        <w:t>，从业人员</w:t>
      </w:r>
      <w:r>
        <w:rPr>
          <w:rFonts w:hint="eastAsia" w:ascii="宋体" w:hAnsi="宋体"/>
          <w:bCs/>
          <w:sz w:val="24"/>
          <w:szCs w:val="24"/>
          <w:u w:val="single"/>
        </w:rPr>
        <w:t xml:space="preserve">    </w:t>
      </w:r>
      <w:r>
        <w:rPr>
          <w:rFonts w:hint="eastAsia" w:ascii="宋体" w:hAnsi="宋体"/>
          <w:bCs/>
          <w:sz w:val="24"/>
          <w:szCs w:val="24"/>
        </w:rPr>
        <w:t>人，营业收入为</w:t>
      </w:r>
      <w:r>
        <w:rPr>
          <w:rFonts w:hint="eastAsia" w:ascii="宋体" w:hAnsi="宋体"/>
          <w:bCs/>
          <w:sz w:val="24"/>
          <w:szCs w:val="24"/>
          <w:u w:val="single"/>
        </w:rPr>
        <w:t xml:space="preserve">     </w:t>
      </w:r>
      <w:r>
        <w:rPr>
          <w:rFonts w:hint="eastAsia" w:ascii="宋体" w:hAnsi="宋体"/>
          <w:bCs/>
          <w:sz w:val="24"/>
          <w:szCs w:val="24"/>
        </w:rPr>
        <w:t>万元，资产总额为</w:t>
      </w:r>
      <w:r>
        <w:rPr>
          <w:rFonts w:hint="eastAsia" w:ascii="宋体" w:hAnsi="宋体"/>
          <w:bCs/>
          <w:sz w:val="24"/>
          <w:szCs w:val="24"/>
          <w:u w:val="single"/>
        </w:rPr>
        <w:t xml:space="preserve">     </w:t>
      </w:r>
      <w:r>
        <w:rPr>
          <w:rFonts w:hint="eastAsia" w:ascii="宋体" w:hAnsi="宋体"/>
          <w:bCs/>
          <w:sz w:val="24"/>
          <w:szCs w:val="24"/>
        </w:rPr>
        <w:t>万元，属于</w:t>
      </w:r>
      <w:r>
        <w:rPr>
          <w:rFonts w:hint="eastAsia" w:ascii="宋体" w:hAnsi="宋体"/>
          <w:bCs/>
          <w:sz w:val="24"/>
          <w:szCs w:val="24"/>
          <w:u w:val="single"/>
        </w:rPr>
        <w:t>（中型企业、 小型企业、微型企业）</w:t>
      </w: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2.</w:t>
      </w:r>
      <w:r>
        <w:rPr>
          <w:rFonts w:hint="eastAsia" w:ascii="宋体" w:hAnsi="宋体"/>
          <w:bCs/>
          <w:sz w:val="24"/>
          <w:szCs w:val="24"/>
          <w:u w:val="single"/>
        </w:rPr>
        <w:t xml:space="preserve"> （标的名称） </w:t>
      </w:r>
      <w:r>
        <w:rPr>
          <w:rFonts w:hint="eastAsia" w:ascii="宋体" w:hAnsi="宋体"/>
          <w:bCs/>
          <w:sz w:val="24"/>
          <w:szCs w:val="24"/>
        </w:rPr>
        <w:t>，属于</w:t>
      </w:r>
      <w:r>
        <w:rPr>
          <w:rFonts w:hint="eastAsia" w:ascii="宋体" w:hAnsi="宋体"/>
          <w:bCs/>
          <w:sz w:val="24"/>
          <w:szCs w:val="24"/>
          <w:u w:val="single"/>
        </w:rPr>
        <w:t>（采购文件中明确的所属行业）</w:t>
      </w:r>
      <w:r>
        <w:rPr>
          <w:rFonts w:hint="eastAsia" w:ascii="宋体" w:hAnsi="宋体"/>
          <w:bCs/>
          <w:sz w:val="24"/>
          <w:szCs w:val="24"/>
        </w:rPr>
        <w:t>； 承建（承接）企业为</w:t>
      </w:r>
      <w:r>
        <w:rPr>
          <w:rFonts w:hint="eastAsia" w:ascii="宋体" w:hAnsi="宋体"/>
          <w:bCs/>
          <w:sz w:val="24"/>
          <w:szCs w:val="24"/>
          <w:u w:val="single"/>
        </w:rPr>
        <w:t>（企业名称）</w:t>
      </w:r>
      <w:r>
        <w:rPr>
          <w:rFonts w:hint="eastAsia" w:ascii="宋体" w:hAnsi="宋体"/>
          <w:bCs/>
          <w:sz w:val="24"/>
          <w:szCs w:val="24"/>
        </w:rPr>
        <w:t>，从业人员</w:t>
      </w:r>
      <w:r>
        <w:rPr>
          <w:rFonts w:hint="eastAsia" w:ascii="宋体" w:hAnsi="宋体"/>
          <w:bCs/>
          <w:sz w:val="24"/>
          <w:szCs w:val="24"/>
          <w:u w:val="single"/>
        </w:rPr>
        <w:t xml:space="preserve">    </w:t>
      </w:r>
      <w:r>
        <w:rPr>
          <w:rFonts w:hint="eastAsia" w:ascii="宋体" w:hAnsi="宋体"/>
          <w:bCs/>
          <w:sz w:val="24"/>
          <w:szCs w:val="24"/>
        </w:rPr>
        <w:t>人，营业收入为</w:t>
      </w:r>
      <w:r>
        <w:rPr>
          <w:rFonts w:hint="eastAsia" w:ascii="宋体" w:hAnsi="宋体"/>
          <w:bCs/>
          <w:sz w:val="24"/>
          <w:szCs w:val="24"/>
          <w:u w:val="single"/>
        </w:rPr>
        <w:t xml:space="preserve">     </w:t>
      </w:r>
      <w:r>
        <w:rPr>
          <w:rFonts w:hint="eastAsia" w:ascii="宋体" w:hAnsi="宋体"/>
          <w:bCs/>
          <w:sz w:val="24"/>
          <w:szCs w:val="24"/>
        </w:rPr>
        <w:t>万元，资产总额为</w:t>
      </w:r>
      <w:r>
        <w:rPr>
          <w:rFonts w:hint="eastAsia" w:ascii="宋体" w:hAnsi="宋体"/>
          <w:bCs/>
          <w:sz w:val="24"/>
          <w:szCs w:val="24"/>
          <w:u w:val="single"/>
        </w:rPr>
        <w:t xml:space="preserve">     </w:t>
      </w:r>
      <w:r>
        <w:rPr>
          <w:rFonts w:hint="eastAsia" w:ascii="宋体" w:hAnsi="宋体"/>
          <w:bCs/>
          <w:sz w:val="24"/>
          <w:szCs w:val="24"/>
        </w:rPr>
        <w:t>万元，属于</w:t>
      </w:r>
      <w:r>
        <w:rPr>
          <w:rFonts w:hint="eastAsia" w:ascii="宋体" w:hAnsi="宋体"/>
          <w:bCs/>
          <w:sz w:val="24"/>
          <w:szCs w:val="24"/>
          <w:u w:val="single"/>
        </w:rPr>
        <w:t>（中型企业、 小型企业、微型企业）</w:t>
      </w: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以上企业，不属于大企业的分支机构，不存在控股股东为大企业的情形，也不存在与大企业的负责人为同一人的情形。 本企业对上述声明内容的真实性负责。如有虚假，将依 法承担相应责任。</w:t>
      </w:r>
    </w:p>
    <w:p>
      <w:pPr>
        <w:outlineLvl w:val="0"/>
        <w:rPr>
          <w:rFonts w:ascii="黑体" w:hAnsi="宋体" w:eastAsia="黑体"/>
          <w:bCs/>
          <w:sz w:val="24"/>
          <w:szCs w:val="24"/>
        </w:rPr>
      </w:pPr>
    </w:p>
    <w:p>
      <w:pPr>
        <w:outlineLvl w:val="0"/>
        <w:rPr>
          <w:rFonts w:ascii="黑体" w:hAnsi="宋体" w:eastAsia="黑体"/>
          <w:bCs/>
          <w:sz w:val="24"/>
          <w:szCs w:val="24"/>
        </w:rPr>
      </w:pPr>
      <w:r>
        <w:rPr>
          <w:rFonts w:hint="eastAsia" w:ascii="黑体" w:hAnsi="宋体" w:eastAsia="黑体"/>
          <w:bCs/>
          <w:sz w:val="24"/>
          <w:szCs w:val="24"/>
        </w:rPr>
        <w:t xml:space="preserve"> </w:t>
      </w:r>
    </w:p>
    <w:p>
      <w:pPr>
        <w:outlineLvl w:val="0"/>
        <w:rPr>
          <w:rFonts w:ascii="黑体" w:hAnsi="宋体" w:eastAsia="黑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企业名称（盖章）：</w:t>
      </w:r>
    </w:p>
    <w:p>
      <w:pPr>
        <w:spacing w:line="360" w:lineRule="auto"/>
        <w:ind w:firstLine="4800" w:firstLineChars="2000"/>
        <w:rPr>
          <w:rFonts w:ascii="宋体" w:hAnsi="宋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日　　　　　　期：</w:t>
      </w:r>
    </w:p>
    <w:p>
      <w:pPr>
        <w:spacing w:line="360" w:lineRule="auto"/>
        <w:rPr>
          <w:rFonts w:ascii="宋体" w:hAnsi="宋体"/>
          <w:bCs/>
          <w:sz w:val="24"/>
          <w:szCs w:val="24"/>
        </w:rPr>
      </w:pPr>
    </w:p>
    <w:p>
      <w:pPr>
        <w:spacing w:line="360" w:lineRule="auto"/>
        <w:ind w:firstLine="420" w:firstLineChars="200"/>
      </w:pPr>
      <w:r>
        <w:rPr>
          <w:rFonts w:hint="eastAsia"/>
        </w:rPr>
        <w:t>注：</w:t>
      </w:r>
      <w:r>
        <w:t>1.</w:t>
      </w:r>
      <w:r>
        <w:rPr>
          <w:rFonts w:hint="eastAsia"/>
        </w:rPr>
        <w:t>从业人员、营业收入、资产总额填报上一年度数据，无上一年度数据的新成立企业可不填报。</w:t>
      </w:r>
    </w:p>
    <w:p>
      <w:pPr>
        <w:spacing w:line="360" w:lineRule="auto"/>
        <w:ind w:firstLine="420" w:firstLineChars="200"/>
      </w:pPr>
      <w:r>
        <w:t>2.</w:t>
      </w:r>
      <w:r>
        <w:rPr>
          <w:rFonts w:hint="eastAsia"/>
        </w:rPr>
        <w:t>中标供应商的《中小企业声明函》将随中标公告进行公示。供应商按照本办法规定提供声明函内容不实的，属于提供虚假材料谋取中标、成交，依照《中华人民共和国政府采购法》等国家有关规定追究相应责任。</w:t>
      </w:r>
    </w:p>
    <w:p>
      <w:pPr>
        <w:spacing w:line="360" w:lineRule="auto"/>
        <w:rPr>
          <w:color w:val="000000" w:themeColor="text1"/>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（五）</w:t>
      </w:r>
      <w:bookmarkStart w:id="22" w:name="OLE_LINK13"/>
      <w:bookmarkStart w:id="23" w:name="OLE_LINK14"/>
      <w:r>
        <w:rPr>
          <w:rFonts w:hint="eastAsia" w:ascii="黑体" w:hAnsi="宋体" w:eastAsia="黑体"/>
          <w:bCs/>
          <w:color w:val="000000" w:themeColor="text1"/>
          <w:sz w:val="24"/>
          <w:szCs w:val="24"/>
          <w14:textFill>
            <w14:solidFill>
              <w14:schemeClr w14:val="tx1"/>
            </w14:solidFill>
          </w14:textFill>
        </w:rPr>
        <w:t>（投标人）残疾人福利性单位声明函（格式）：</w:t>
      </w:r>
    </w:p>
    <w:bookmarkEnd w:id="22"/>
    <w:bookmarkEnd w:id="23"/>
    <w:p>
      <w:pPr>
        <w:spacing w:line="588" w:lineRule="exact"/>
        <w:rPr>
          <w:rFonts w:ascii="仿宋_GB2312" w:eastAsia="仿宋_GB2312"/>
          <w:b/>
          <w:color w:val="000000" w:themeColor="text1"/>
          <w:spacing w:val="6"/>
          <w:sz w:val="30"/>
          <w:szCs w:val="30"/>
          <w14:textFill>
            <w14:solidFill>
              <w14:schemeClr w14:val="tx1"/>
            </w14:solidFill>
          </w14:textFill>
        </w:rPr>
      </w:pPr>
    </w:p>
    <w:p>
      <w:pPr>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残疾人福利性单位声明函</w:t>
      </w:r>
    </w:p>
    <w:p>
      <w:pPr>
        <w:jc w:val="center"/>
        <w:rPr>
          <w:rFonts w:ascii="黑体" w:eastAsia="黑体"/>
          <w:bCs/>
          <w:color w:val="000000" w:themeColor="text1"/>
          <w:sz w:val="28"/>
          <w:szCs w:val="28"/>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本单位对上述声明的真实性负责。如有虚假，将依法承担相应责任。</w:t>
      </w: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单位名称（盖章）：</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日  期：</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pStyle w:val="3"/>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2"/>
        <w:rPr>
          <w:rFonts w:ascii="黑体" w:hAnsi="宋体" w:eastAsia="黑体"/>
          <w:bCs/>
          <w:sz w:val="24"/>
          <w:szCs w:val="24"/>
        </w:rPr>
      </w:pPr>
      <w:r>
        <w:rPr>
          <w:rFonts w:hint="eastAsia" w:ascii="黑体" w:hAnsi="宋体" w:eastAsia="黑体"/>
          <w:bCs/>
          <w:sz w:val="24"/>
          <w:szCs w:val="24"/>
        </w:rPr>
        <w:t>（六）承诺书（格式）：</w:t>
      </w:r>
    </w:p>
    <w:p>
      <w:pPr>
        <w:rPr>
          <w:rFonts w:ascii="黑体" w:eastAsia="黑体"/>
          <w:bCs/>
          <w:sz w:val="28"/>
          <w:szCs w:val="28"/>
        </w:rPr>
      </w:pPr>
    </w:p>
    <w:p>
      <w:pPr>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服务保障承诺书</w:t>
      </w:r>
    </w:p>
    <w:p>
      <w:pPr>
        <w:spacing w:line="48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（投标人名称）针</w:t>
      </w:r>
      <w:r>
        <w:rPr>
          <w:rFonts w:hint="eastAsia" w:ascii="宋体" w:hAnsi="宋体"/>
          <w:bCs/>
          <w:color w:val="000000" w:themeColor="text1"/>
          <w:sz w:val="24"/>
          <w:szCs w:val="24"/>
          <w14:textFill>
            <w14:solidFill>
              <w14:schemeClr w14:val="tx1"/>
            </w14:solidFill>
          </w14:textFill>
        </w:rPr>
        <w:t>对本项目（LXZC2021-0</w:t>
      </w:r>
      <w:r>
        <w:rPr>
          <w:rFonts w:hint="eastAsia" w:ascii="宋体" w:hAnsi="宋体"/>
          <w:bCs/>
          <w:color w:val="000000" w:themeColor="text1"/>
          <w:sz w:val="24"/>
          <w:szCs w:val="24"/>
          <w:lang w:val="en-US" w:eastAsia="zh-CN"/>
          <w14:textFill>
            <w14:solidFill>
              <w14:schemeClr w14:val="tx1"/>
            </w14:solidFill>
          </w14:textFill>
        </w:rPr>
        <w:t>44</w:t>
      </w:r>
      <w:r>
        <w:rPr>
          <w:rFonts w:hint="eastAsia" w:ascii="宋体" w:hAnsi="宋体"/>
          <w:bCs/>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在此承诺：</w:t>
      </w:r>
    </w:p>
    <w:p>
      <w:pPr>
        <w:spacing w:line="480" w:lineRule="auto"/>
        <w:rPr>
          <w:rFonts w:ascii="宋体" w:hAnsi="宋体"/>
          <w:color w:val="000000" w:themeColor="text1"/>
          <w:sz w:val="24"/>
          <w:szCs w:val="24"/>
          <w14:textFill>
            <w14:solidFill>
              <w14:schemeClr w14:val="tx1"/>
            </w14:solidFill>
          </w14:textFill>
        </w:rPr>
      </w:pPr>
    </w:p>
    <w:p>
      <w:pPr>
        <w:tabs>
          <w:tab w:val="left" w:pos="945"/>
        </w:tabs>
        <w:spacing w:line="360" w:lineRule="auto"/>
        <w:ind w:firstLine="465"/>
        <w:rPr>
          <w:rFonts w:ascii="宋体" w:hAnsi="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本公司（单位）</w:t>
      </w:r>
      <w:r>
        <w:rPr>
          <w:rFonts w:hint="eastAsia" w:ascii="宋体" w:hAnsi="宋体"/>
          <w:bCs/>
          <w:color w:val="000000" w:themeColor="text1"/>
          <w:sz w:val="24"/>
          <w:szCs w:val="24"/>
          <w14:textFill>
            <w14:solidFill>
              <w14:schemeClr w14:val="tx1"/>
            </w14:solidFill>
          </w14:textFill>
        </w:rPr>
        <w:t>具备履行合同所必需的设备和专业技术能力；</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本公司未被“</w:t>
      </w:r>
      <w:r>
        <w:rPr>
          <w:rFonts w:hint="eastAsia" w:ascii="宋体" w:hAnsi="宋体"/>
          <w:bCs/>
          <w:color w:val="000000" w:themeColor="text1"/>
          <w:sz w:val="24"/>
          <w:szCs w:val="24"/>
          <w14:textFill>
            <w14:solidFill>
              <w14:schemeClr w14:val="tx1"/>
            </w14:solidFill>
          </w14:textFill>
        </w:rPr>
        <w:t>信用中国</w:t>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网站（</w:t>
      </w:r>
      <w:r>
        <w:fldChar w:fldCharType="begin"/>
      </w:r>
      <w:r>
        <w:instrText xml:space="preserve"> HYPERLINK "http://www.creditchina.gov.cn" </w:instrText>
      </w:r>
      <w:r>
        <w:fldChar w:fldCharType="separate"/>
      </w:r>
      <w:r>
        <w:rPr>
          <w:rStyle w:val="30"/>
          <w:rFonts w:hint="eastAsia" w:ascii="宋体" w:hAnsi="宋体"/>
          <w:bCs/>
          <w:color w:val="000000" w:themeColor="text1"/>
          <w:sz w:val="24"/>
          <w:szCs w:val="24"/>
          <w14:textFill>
            <w14:solidFill>
              <w14:schemeClr w14:val="tx1"/>
            </w14:solidFill>
          </w14:textFill>
        </w:rPr>
        <w:t>www.creditchina.gov.cn</w:t>
      </w:r>
      <w:r>
        <w:rPr>
          <w:rStyle w:val="30"/>
          <w:rFonts w:hint="eastAsia" w:ascii="宋体" w:hAnsi="宋体"/>
          <w:bCs/>
          <w:color w:val="000000" w:themeColor="text1"/>
          <w:sz w:val="24"/>
          <w:szCs w:val="24"/>
          <w14:textFill>
            <w14:solidFill>
              <w14:schemeClr w14:val="tx1"/>
            </w14:solidFill>
          </w14:textFill>
        </w:rPr>
        <w:fldChar w:fldCharType="end"/>
      </w:r>
      <w:r>
        <w:rPr>
          <w:rFonts w:hint="eastAsia" w:ascii="宋体" w:hAnsi="宋体"/>
          <w:bCs/>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列入失信被执行人、重大税收违法案件当事人名单、政府采购严重违法失信行为记录名单。</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p>
      <w:pPr>
        <w:tabs>
          <w:tab w:val="left" w:pos="945"/>
        </w:tabs>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p>
      <w:pPr>
        <w:tabs>
          <w:tab w:val="left" w:pos="945"/>
        </w:tabs>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p>
    <w:p>
      <w:pPr>
        <w:spacing w:line="480" w:lineRule="auto"/>
        <w:ind w:firstLine="960" w:firstLineChars="4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w:t>
      </w:r>
    </w:p>
    <w:p>
      <w:pPr>
        <w:spacing w:line="480" w:lineRule="auto"/>
        <w:ind w:firstLine="960" w:firstLineChars="4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如违背上述承诺，本公司</w:t>
      </w:r>
      <w:r>
        <w:rPr>
          <w:rFonts w:hint="eastAsia" w:ascii="宋体" w:hAnsi="宋体"/>
          <w:color w:val="000000" w:themeColor="text1"/>
          <w:sz w:val="24"/>
          <w:szCs w:val="24"/>
          <w14:textFill>
            <w14:solidFill>
              <w14:schemeClr w14:val="tx1"/>
            </w14:solidFill>
          </w14:textFill>
        </w:rPr>
        <w:t>（单位）</w:t>
      </w:r>
      <w:r>
        <w:rPr>
          <w:rFonts w:hint="eastAsia" w:ascii="宋体" w:hAnsi="宋体"/>
          <w:bCs/>
          <w:color w:val="000000" w:themeColor="text1"/>
          <w:sz w:val="24"/>
          <w:szCs w:val="24"/>
          <w14:textFill>
            <w14:solidFill>
              <w14:schemeClr w14:val="tx1"/>
            </w14:solidFill>
          </w14:textFill>
        </w:rPr>
        <w:t>将承担一切法律责任。</w:t>
      </w:r>
    </w:p>
    <w:p>
      <w:pPr>
        <w:spacing w:line="480" w:lineRule="auto"/>
        <w:rPr>
          <w:rFonts w:ascii="宋体" w:hAnsi="宋体"/>
          <w:bCs/>
          <w:color w:val="000000" w:themeColor="text1"/>
          <w:sz w:val="24"/>
          <w:szCs w:val="24"/>
          <w14:textFill>
            <w14:solidFill>
              <w14:schemeClr w14:val="tx1"/>
            </w14:solidFill>
          </w14:textFill>
        </w:rPr>
      </w:pPr>
    </w:p>
    <w:p>
      <w:pPr>
        <w:spacing w:line="480" w:lineRule="auto"/>
        <w:ind w:firstLine="3720" w:firstLineChars="155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w:t>
      </w:r>
      <w:r>
        <w:rPr>
          <w:rFonts w:hint="eastAsia" w:ascii="宋体" w:hAnsi="宋体"/>
          <w:bCs/>
          <w:color w:val="000000" w:themeColor="text1"/>
          <w:sz w:val="24"/>
          <w:szCs w:val="24"/>
          <w14:textFill>
            <w14:solidFill>
              <w14:schemeClr w14:val="tx1"/>
            </w14:solidFill>
          </w14:textFill>
        </w:rPr>
        <w:t>（盖章）：</w:t>
      </w:r>
    </w:p>
    <w:p>
      <w:pPr>
        <w:spacing w:line="48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80" w:lineRule="auto"/>
        <w:ind w:firstLine="480" w:firstLineChars="200"/>
        <w:rPr>
          <w:rFonts w:ascii="宋体" w:hAnsi="宋体"/>
          <w:bCs/>
          <w:color w:val="000000" w:themeColor="text1"/>
          <w:sz w:val="24"/>
          <w:szCs w:val="24"/>
          <w14:textFill>
            <w14:solidFill>
              <w14:schemeClr w14:val="tx1"/>
            </w14:solidFill>
          </w14:textFill>
        </w:rPr>
      </w:pPr>
    </w:p>
    <w:p>
      <w:pPr>
        <w:ind w:firstLine="420" w:firstLineChars="200"/>
        <w:outlineLvl w:val="0"/>
        <w:rPr>
          <w:rFonts w:ascii="黑体" w:hAnsi="宋体" w:eastAsia="黑体"/>
          <w:bCs/>
          <w:color w:val="000000" w:themeColor="text1"/>
          <w:sz w:val="24"/>
          <w:szCs w:val="24"/>
          <w14:textFill>
            <w14:solidFill>
              <w14:schemeClr w14:val="tx1"/>
            </w14:solidFill>
          </w14:textFill>
        </w:rPr>
      </w:pPr>
      <w:r>
        <w:rPr>
          <w:rFonts w:hint="eastAsia" w:ascii="宋体" w:hAnsi="宋体"/>
          <w:bCs/>
          <w:color w:val="000000" w:themeColor="text1"/>
          <w:szCs w:val="21"/>
          <w14:textFill>
            <w14:solidFill>
              <w14:schemeClr w14:val="tx1"/>
            </w14:solidFill>
          </w14:textFill>
        </w:rPr>
        <w:t>注：以上内容由投标单位根据采购要求自行完善。</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（七）开标一览表（格式）：</w:t>
      </w:r>
    </w:p>
    <w:p>
      <w:pPr>
        <w:outlineLvl w:val="0"/>
        <w:rPr>
          <w:rFonts w:ascii="黑体" w:eastAsia="黑体"/>
          <w:bCs/>
          <w:color w:val="000000" w:themeColor="text1"/>
          <w:sz w:val="28"/>
          <w:szCs w:val="28"/>
          <w14:textFill>
            <w14:solidFill>
              <w14:schemeClr w14:val="tx1"/>
            </w14:solidFill>
          </w14:textFill>
        </w:rPr>
      </w:pPr>
    </w:p>
    <w:p>
      <w:pPr>
        <w:outlineLvl w:val="0"/>
        <w:rPr>
          <w:rFonts w:ascii="黑体" w:eastAsia="黑体"/>
          <w:bCs/>
          <w:color w:val="000000" w:themeColor="text1"/>
          <w:sz w:val="28"/>
          <w:szCs w:val="28"/>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开标一览表</w:t>
      </w:r>
      <w:r>
        <w:rPr>
          <w:rFonts w:ascii="黑体" w:eastAsia="黑体"/>
          <w:bCs/>
          <w:color w:val="000000" w:themeColor="text1"/>
          <w:sz w:val="28"/>
          <w:szCs w:val="28"/>
          <w14:textFill>
            <w14:solidFill>
              <w14:schemeClr w14:val="tx1"/>
            </w14:solidFill>
          </w14:textFill>
        </w:rPr>
        <w:t xml:space="preserve"> </w:t>
      </w:r>
    </w:p>
    <w:p>
      <w:pPr>
        <w:jc w:val="center"/>
        <w:outlineLvl w:val="0"/>
        <w:rPr>
          <w:rFonts w:ascii="黑体" w:eastAsia="黑体"/>
          <w:bCs/>
          <w:color w:val="000000" w:themeColor="text1"/>
          <w:sz w:val="28"/>
          <w:szCs w:val="28"/>
          <w14:textFill>
            <w14:solidFill>
              <w14:schemeClr w14:val="tx1"/>
            </w14:solidFill>
          </w14:textFill>
        </w:rPr>
      </w:pPr>
    </w:p>
    <w:p>
      <w:pPr>
        <w:spacing w:line="360" w:lineRule="auto"/>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LXZC2021-044</w:t>
      </w:r>
    </w:p>
    <w:tbl>
      <w:tblPr>
        <w:tblStyle w:val="24"/>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pPr>
              <w:autoSpaceDE w:val="0"/>
              <w:autoSpaceDN w:val="0"/>
              <w:adjustRightInd w:val="0"/>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项目名称</w:t>
            </w:r>
          </w:p>
        </w:tc>
        <w:tc>
          <w:tcPr>
            <w:tcW w:w="4515" w:type="dxa"/>
            <w:vAlign w:val="center"/>
          </w:tcPr>
          <w:p>
            <w:pPr>
              <w:autoSpaceDE w:val="0"/>
              <w:autoSpaceDN w:val="0"/>
              <w:adjustRightInd w:val="0"/>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投标总报价</w:t>
            </w:r>
            <w:r>
              <w:rPr>
                <w:rFonts w:ascii="宋体" w:hAnsi="宋体"/>
                <w:b/>
                <w:bCs/>
                <w:color w:val="000000" w:themeColor="text1"/>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小写</w:t>
            </w:r>
            <w:r>
              <w:rPr>
                <w:rFonts w:ascii="宋体" w:hAnsi="宋体"/>
                <w:b/>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pPr>
              <w:pStyle w:val="95"/>
              <w:spacing w:line="400" w:lineRule="exact"/>
              <w:jc w:val="center"/>
              <w:rPr>
                <w:rFonts w:hint="eastAsia" w:hAnsi="宋体" w:eastAsia="宋体"/>
                <w:bCs/>
                <w:color w:val="000000" w:themeColor="text1"/>
                <w:szCs w:val="24"/>
                <w:lang w:eastAsia="zh-CN"/>
                <w14:textFill>
                  <w14:solidFill>
                    <w14:schemeClr w14:val="tx1"/>
                  </w14:solidFill>
                </w14:textFill>
              </w:rPr>
            </w:pPr>
            <w:r>
              <w:rPr>
                <w:rFonts w:hint="eastAsia" w:hAnsi="宋体"/>
                <w:bCs/>
                <w:color w:val="000000" w:themeColor="text1"/>
                <w:szCs w:val="24"/>
                <w:lang w:eastAsia="zh-CN"/>
                <w14:textFill>
                  <w14:solidFill>
                    <w14:schemeClr w14:val="tx1"/>
                  </w14:solidFill>
                </w14:textFill>
              </w:rPr>
              <w:t>无锡市梁溪区规划建筑设计方案智能审查系统</w:t>
            </w:r>
          </w:p>
        </w:tc>
        <w:tc>
          <w:tcPr>
            <w:tcW w:w="4515" w:type="dxa"/>
            <w:vAlign w:val="center"/>
          </w:tcPr>
          <w:p>
            <w:pPr>
              <w:pStyle w:val="95"/>
              <w:rPr>
                <w:rFonts w:hAnsi="宋体"/>
                <w:b/>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2"/>
            <w:vAlign w:val="center"/>
          </w:tcPr>
          <w:p>
            <w:pPr>
              <w:rPr>
                <w:rFonts w:ascii="宋体"/>
                <w:bCs/>
                <w:color w:val="000000" w:themeColor="text1"/>
                <w:sz w:val="24"/>
                <w:szCs w:val="24"/>
                <w14:textFill>
                  <w14:solidFill>
                    <w14:schemeClr w14:val="tx1"/>
                  </w14:solidFill>
                </w14:textFill>
              </w:rPr>
            </w:pPr>
            <w:r>
              <w:rPr>
                <w:rFonts w:hint="eastAsia" w:ascii="黑体" w:eastAsia="黑体"/>
                <w:color w:val="000000" w:themeColor="text1"/>
                <w:sz w:val="24"/>
                <w14:textFill>
                  <w14:solidFill>
                    <w14:schemeClr w14:val="tx1"/>
                  </w14:solidFill>
                </w14:textFill>
              </w:rPr>
              <w:t>投标总报价（大写）</w:t>
            </w:r>
            <w:r>
              <w:rPr>
                <w:rFonts w:hint="eastAsia" w:ascii="宋体" w:hAnsi="宋体"/>
                <w:bCs/>
                <w:color w:val="000000" w:themeColor="text1"/>
                <w:kern w:val="0"/>
                <w:sz w:val="24"/>
                <w:szCs w:val="24"/>
                <w:u w:color="000000"/>
                <w14:textFill>
                  <w14:solidFill>
                    <w14:schemeClr w14:val="tx1"/>
                  </w14:solidFill>
                </w14:textFill>
              </w:rPr>
              <w:t>：　　　</w:t>
            </w:r>
          </w:p>
        </w:tc>
      </w:tr>
    </w:tbl>
    <w:p>
      <w:pPr>
        <w:spacing w:before="5"/>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spacing w:line="400" w:lineRule="exact"/>
        <w:rPr>
          <w:rFonts w:ascii="黑体" w:eastAsia="黑体"/>
          <w:bCs/>
          <w:color w:val="000000" w:themeColor="text1"/>
          <w:sz w:val="32"/>
          <w14:textFill>
            <w14:solidFill>
              <w14:schemeClr w14:val="tx1"/>
            </w14:solidFill>
          </w14:textFill>
        </w:rPr>
      </w:pPr>
    </w:p>
    <w:p>
      <w:pPr>
        <w:spacing w:line="400" w:lineRule="exact"/>
        <w:rPr>
          <w:rFonts w:ascii="黑体" w:eastAsia="黑体"/>
          <w:bCs/>
          <w:color w:val="000000" w:themeColor="text1"/>
          <w:sz w:val="32"/>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ind w:firstLine="480" w:firstLineChars="200"/>
        <w:outlineLvl w:val="0"/>
        <w:rPr>
          <w:rFonts w:hint="eastAsia" w:ascii="黑体" w:hAnsi="宋体" w:eastAsia="黑体"/>
          <w:bCs/>
          <w:color w:val="000000" w:themeColor="text1"/>
          <w:sz w:val="24"/>
          <w:szCs w:val="24"/>
          <w14:textFill>
            <w14:solidFill>
              <w14:schemeClr w14:val="tx1"/>
            </w14:solidFill>
          </w14:textFill>
        </w:rPr>
      </w:pPr>
    </w:p>
    <w:p>
      <w:pPr>
        <w:pStyle w:val="2"/>
        <w:rPr>
          <w:rFonts w:hint="eastAsia" w:ascii="黑体" w:hAnsi="宋体" w:eastAsia="黑体"/>
          <w:bCs/>
          <w:color w:val="000000" w:themeColor="text1"/>
          <w:sz w:val="24"/>
          <w:szCs w:val="24"/>
          <w14:textFill>
            <w14:solidFill>
              <w14:schemeClr w14:val="tx1"/>
            </w14:solidFill>
          </w14:textFill>
        </w:rPr>
      </w:pPr>
    </w:p>
    <w:p>
      <w:pPr>
        <w:pStyle w:val="3"/>
        <w:rPr>
          <w:rFonts w:hint="eastAsia" w:ascii="黑体" w:hAnsi="宋体" w:eastAsia="黑体"/>
          <w:bCs/>
          <w:color w:val="000000" w:themeColor="text1"/>
          <w:sz w:val="24"/>
          <w:szCs w:val="24"/>
          <w14:textFill>
            <w14:solidFill>
              <w14:schemeClr w14:val="tx1"/>
            </w14:solidFill>
          </w14:textFill>
        </w:rPr>
      </w:pPr>
    </w:p>
    <w:p>
      <w:pPr>
        <w:pStyle w:val="4"/>
        <w:rPr>
          <w:rFonts w:hint="eastAsia"/>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（八）明细报价表（格式）：</w:t>
      </w:r>
    </w:p>
    <w:p>
      <w:pPr>
        <w:spacing w:line="400" w:lineRule="exact"/>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明细报价表</w:t>
      </w:r>
    </w:p>
    <w:p>
      <w:pPr>
        <w:spacing w:line="400" w:lineRule="exact"/>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LXZC2021-044</w:t>
      </w:r>
    </w:p>
    <w:tbl>
      <w:tblPr>
        <w:tblStyle w:val="24"/>
        <w:tblW w:w="997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0"/>
        <w:gridCol w:w="210"/>
        <w:gridCol w:w="840"/>
        <w:gridCol w:w="945"/>
        <w:gridCol w:w="2572"/>
        <w:gridCol w:w="473"/>
        <w:gridCol w:w="525"/>
        <w:gridCol w:w="630"/>
        <w:gridCol w:w="1287"/>
        <w:gridCol w:w="708"/>
        <w:gridCol w:w="567"/>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420" w:type="dxa"/>
            <w:noWrap/>
            <w:tcMar>
              <w:top w:w="15" w:type="dxa"/>
              <w:left w:w="15" w:type="dxa"/>
              <w:bottom w:w="0" w:type="dxa"/>
              <w:right w:w="15" w:type="dxa"/>
            </w:tcMar>
            <w:vAlign w:val="center"/>
          </w:tcPr>
          <w:p>
            <w:pPr>
              <w:spacing w:before="5"/>
              <w:jc w:val="center"/>
              <w:rPr>
                <w:sz w:val="18"/>
              </w:rPr>
            </w:pPr>
            <w:r>
              <w:rPr>
                <w:rFonts w:hint="eastAsia"/>
                <w:sz w:val="18"/>
              </w:rPr>
              <w:t>序号</w:t>
            </w:r>
          </w:p>
        </w:tc>
        <w:tc>
          <w:tcPr>
            <w:tcW w:w="1050" w:type="dxa"/>
            <w:gridSpan w:val="2"/>
            <w:noWrap/>
            <w:tcMar>
              <w:top w:w="15" w:type="dxa"/>
              <w:left w:w="15" w:type="dxa"/>
              <w:bottom w:w="0" w:type="dxa"/>
              <w:right w:w="15" w:type="dxa"/>
            </w:tcMar>
            <w:vAlign w:val="center"/>
          </w:tcPr>
          <w:p>
            <w:pPr>
              <w:spacing w:before="5"/>
              <w:jc w:val="center"/>
              <w:rPr>
                <w:sz w:val="18"/>
                <w:u w:color="FF0000"/>
              </w:rPr>
            </w:pPr>
            <w:r>
              <w:rPr>
                <w:rFonts w:hint="eastAsia"/>
                <w:sz w:val="18"/>
              </w:rPr>
              <w:t>名称</w:t>
            </w:r>
          </w:p>
        </w:tc>
        <w:tc>
          <w:tcPr>
            <w:tcW w:w="945" w:type="dxa"/>
            <w:noWrap/>
            <w:tcMar>
              <w:top w:w="15" w:type="dxa"/>
              <w:left w:w="15" w:type="dxa"/>
              <w:bottom w:w="0" w:type="dxa"/>
              <w:right w:w="15" w:type="dxa"/>
            </w:tcMar>
            <w:vAlign w:val="center"/>
          </w:tcPr>
          <w:p>
            <w:pPr>
              <w:spacing w:before="5"/>
              <w:jc w:val="center"/>
              <w:rPr>
                <w:sz w:val="18"/>
                <w:u w:color="FF0000"/>
              </w:rPr>
            </w:pPr>
            <w:r>
              <w:rPr>
                <w:rFonts w:hint="eastAsia"/>
                <w:sz w:val="18"/>
                <w:u w:color="FF0000"/>
              </w:rPr>
              <w:t>品牌型号</w:t>
            </w:r>
          </w:p>
        </w:tc>
        <w:tc>
          <w:tcPr>
            <w:tcW w:w="3045" w:type="dxa"/>
            <w:gridSpan w:val="2"/>
            <w:noWrap/>
            <w:tcMar>
              <w:top w:w="15" w:type="dxa"/>
              <w:left w:w="15" w:type="dxa"/>
              <w:bottom w:w="0" w:type="dxa"/>
              <w:right w:w="15" w:type="dxa"/>
            </w:tcMar>
            <w:vAlign w:val="center"/>
          </w:tcPr>
          <w:p>
            <w:pPr>
              <w:spacing w:before="5"/>
              <w:jc w:val="center"/>
              <w:rPr>
                <w:sz w:val="18"/>
              </w:rPr>
            </w:pPr>
            <w:r>
              <w:rPr>
                <w:rFonts w:hint="eastAsia"/>
                <w:sz w:val="18"/>
                <w:u w:color="FF0000"/>
              </w:rPr>
              <w:t>性能指标</w:t>
            </w:r>
          </w:p>
        </w:tc>
        <w:tc>
          <w:tcPr>
            <w:tcW w:w="525" w:type="dxa"/>
            <w:tcMar>
              <w:top w:w="15" w:type="dxa"/>
              <w:left w:w="15" w:type="dxa"/>
              <w:bottom w:w="0" w:type="dxa"/>
              <w:right w:w="15" w:type="dxa"/>
            </w:tcMar>
            <w:vAlign w:val="center"/>
          </w:tcPr>
          <w:p>
            <w:pPr>
              <w:spacing w:before="5"/>
              <w:jc w:val="center"/>
              <w:rPr>
                <w:sz w:val="18"/>
              </w:rPr>
            </w:pPr>
            <w:r>
              <w:rPr>
                <w:rFonts w:hint="eastAsia"/>
                <w:sz w:val="18"/>
              </w:rPr>
              <w:t>数量</w:t>
            </w:r>
          </w:p>
        </w:tc>
        <w:tc>
          <w:tcPr>
            <w:tcW w:w="630" w:type="dxa"/>
            <w:noWrap/>
            <w:tcMar>
              <w:top w:w="15" w:type="dxa"/>
              <w:left w:w="15" w:type="dxa"/>
              <w:bottom w:w="0" w:type="dxa"/>
              <w:right w:w="15" w:type="dxa"/>
            </w:tcMar>
            <w:vAlign w:val="center"/>
          </w:tcPr>
          <w:p>
            <w:pPr>
              <w:spacing w:before="5"/>
              <w:jc w:val="center"/>
              <w:rPr>
                <w:sz w:val="18"/>
              </w:rPr>
            </w:pPr>
            <w:r>
              <w:rPr>
                <w:rFonts w:hint="eastAsia"/>
                <w:sz w:val="18"/>
              </w:rPr>
              <w:t>产地</w:t>
            </w:r>
          </w:p>
        </w:tc>
        <w:tc>
          <w:tcPr>
            <w:tcW w:w="1287" w:type="dxa"/>
            <w:vAlign w:val="center"/>
          </w:tcPr>
          <w:p>
            <w:pPr>
              <w:spacing w:before="5"/>
              <w:jc w:val="center"/>
              <w:rPr>
                <w:sz w:val="18"/>
              </w:rPr>
            </w:pPr>
            <w:r>
              <w:rPr>
                <w:rFonts w:hint="eastAsia"/>
                <w:sz w:val="18"/>
              </w:rPr>
              <w:t>是否属于</w:t>
            </w:r>
            <w:r>
              <w:rPr>
                <w:sz w:val="18"/>
              </w:rPr>
              <w:t xml:space="preserve">     </w:t>
            </w:r>
            <w:r>
              <w:rPr>
                <w:rFonts w:hint="eastAsia"/>
                <w:sz w:val="18"/>
              </w:rPr>
              <w:t>小、微型企业（或监狱企业、残疾人福利性单位）产品</w:t>
            </w:r>
          </w:p>
        </w:tc>
        <w:tc>
          <w:tcPr>
            <w:tcW w:w="708" w:type="dxa"/>
            <w:noWrap/>
            <w:tcMar>
              <w:top w:w="15" w:type="dxa"/>
              <w:left w:w="15" w:type="dxa"/>
              <w:bottom w:w="0" w:type="dxa"/>
              <w:right w:w="15" w:type="dxa"/>
            </w:tcMar>
            <w:vAlign w:val="center"/>
          </w:tcPr>
          <w:p>
            <w:pPr>
              <w:spacing w:before="5"/>
              <w:jc w:val="center"/>
              <w:rPr>
                <w:sz w:val="18"/>
              </w:rPr>
            </w:pPr>
            <w:r>
              <w:rPr>
                <w:rFonts w:hint="eastAsia"/>
                <w:sz w:val="18"/>
              </w:rPr>
              <w:t>质保期</w:t>
            </w:r>
          </w:p>
        </w:tc>
        <w:tc>
          <w:tcPr>
            <w:tcW w:w="567" w:type="dxa"/>
            <w:vAlign w:val="center"/>
          </w:tcPr>
          <w:p>
            <w:pPr>
              <w:spacing w:before="5"/>
              <w:jc w:val="center"/>
              <w:rPr>
                <w:sz w:val="18"/>
              </w:rPr>
            </w:pPr>
            <w:r>
              <w:rPr>
                <w:rFonts w:hint="eastAsia"/>
                <w:sz w:val="18"/>
              </w:rPr>
              <w:t>单报价</w:t>
            </w:r>
          </w:p>
        </w:tc>
        <w:tc>
          <w:tcPr>
            <w:tcW w:w="798" w:type="dxa"/>
            <w:vAlign w:val="center"/>
          </w:tcPr>
          <w:p>
            <w:pPr>
              <w:spacing w:before="5"/>
              <w:jc w:val="center"/>
              <w:rPr>
                <w:sz w:val="18"/>
              </w:rPr>
            </w:pPr>
            <w:r>
              <w:rPr>
                <w:rFonts w:hint="eastAsia"/>
                <w:sz w:val="18"/>
              </w:rPr>
              <w:t>分项</w:t>
            </w:r>
            <w:r>
              <w:rPr>
                <w:sz w:val="18"/>
              </w:rPr>
              <w:t xml:space="preserve">   </w:t>
            </w:r>
            <w:r>
              <w:rPr>
                <w:rFonts w:hint="eastAsia"/>
                <w:sz w:val="18"/>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8" w:hRule="atLeast"/>
        </w:trPr>
        <w:tc>
          <w:tcPr>
            <w:tcW w:w="420" w:type="dxa"/>
            <w:noWrap/>
            <w:tcMar>
              <w:top w:w="15" w:type="dxa"/>
              <w:left w:w="15" w:type="dxa"/>
              <w:bottom w:w="0" w:type="dxa"/>
              <w:right w:w="15" w:type="dxa"/>
            </w:tcMar>
            <w:vAlign w:val="center"/>
          </w:tcPr>
          <w:p>
            <w:pPr>
              <w:pStyle w:val="18"/>
              <w:pBdr>
                <w:bottom w:val="none" w:color="auto" w:sz="0" w:space="0"/>
              </w:pBdr>
              <w:tabs>
                <w:tab w:val="clear" w:pos="4153"/>
                <w:tab w:val="clear" w:pos="8306"/>
              </w:tabs>
              <w:snapToGrid/>
              <w:spacing w:before="5"/>
              <w:rPr>
                <w:rFonts w:ascii="宋体"/>
              </w:rPr>
            </w:pPr>
          </w:p>
        </w:tc>
        <w:tc>
          <w:tcPr>
            <w:tcW w:w="1050" w:type="dxa"/>
            <w:gridSpan w:val="2"/>
            <w:noWrap/>
            <w:tcMar>
              <w:top w:w="15" w:type="dxa"/>
              <w:left w:w="15" w:type="dxa"/>
              <w:bottom w:w="0" w:type="dxa"/>
              <w:right w:w="15" w:type="dxa"/>
            </w:tcMar>
            <w:vAlign w:val="center"/>
          </w:tcPr>
          <w:p>
            <w:pPr>
              <w:pStyle w:val="18"/>
              <w:pBdr>
                <w:bottom w:val="none" w:color="auto" w:sz="0" w:space="0"/>
              </w:pBdr>
              <w:tabs>
                <w:tab w:val="clear" w:pos="4153"/>
                <w:tab w:val="clear" w:pos="8306"/>
              </w:tabs>
              <w:snapToGrid/>
              <w:rPr>
                <w:rFonts w:ascii="宋体"/>
                <w:bCs/>
              </w:rPr>
            </w:pPr>
          </w:p>
        </w:tc>
        <w:tc>
          <w:tcPr>
            <w:tcW w:w="945" w:type="dxa"/>
            <w:tcMar>
              <w:top w:w="15" w:type="dxa"/>
              <w:left w:w="15" w:type="dxa"/>
              <w:bottom w:w="0" w:type="dxa"/>
              <w:right w:w="15" w:type="dxa"/>
            </w:tcMar>
            <w:vAlign w:val="center"/>
          </w:tcPr>
          <w:p>
            <w:pPr>
              <w:pStyle w:val="18"/>
              <w:pBdr>
                <w:bottom w:val="none" w:color="auto" w:sz="0" w:space="0"/>
              </w:pBdr>
              <w:tabs>
                <w:tab w:val="clear" w:pos="4153"/>
                <w:tab w:val="clear" w:pos="8306"/>
              </w:tabs>
              <w:snapToGrid/>
              <w:rPr>
                <w:rFonts w:ascii="宋体"/>
                <w:bCs/>
              </w:rPr>
            </w:pPr>
          </w:p>
        </w:tc>
        <w:tc>
          <w:tcPr>
            <w:tcW w:w="3045" w:type="dxa"/>
            <w:gridSpan w:val="2"/>
            <w:tcMar>
              <w:top w:w="15" w:type="dxa"/>
              <w:left w:w="15" w:type="dxa"/>
              <w:bottom w:w="0" w:type="dxa"/>
              <w:right w:w="15" w:type="dxa"/>
            </w:tcMar>
          </w:tcPr>
          <w:p>
            <w:pPr>
              <w:jc w:val="center"/>
              <w:rPr>
                <w:rFonts w:ascii="宋体"/>
                <w:bCs/>
                <w:sz w:val="18"/>
              </w:rPr>
            </w:pPr>
          </w:p>
        </w:tc>
        <w:tc>
          <w:tcPr>
            <w:tcW w:w="525" w:type="dxa"/>
            <w:tcMar>
              <w:top w:w="15" w:type="dxa"/>
              <w:left w:w="15" w:type="dxa"/>
              <w:bottom w:w="0" w:type="dxa"/>
              <w:right w:w="15" w:type="dxa"/>
            </w:tcMar>
            <w:vAlign w:val="center"/>
          </w:tcPr>
          <w:p>
            <w:pPr>
              <w:jc w:val="center"/>
              <w:rPr>
                <w:rFonts w:ascii="宋体"/>
                <w:bCs/>
                <w:sz w:val="18"/>
              </w:rPr>
            </w:pPr>
          </w:p>
        </w:tc>
        <w:tc>
          <w:tcPr>
            <w:tcW w:w="630"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1287" w:type="dxa"/>
            <w:vAlign w:val="center"/>
          </w:tcPr>
          <w:p>
            <w:pPr>
              <w:jc w:val="center"/>
              <w:rPr>
                <w:rFonts w:ascii="黑体" w:hAnsi="宋体" w:eastAsia="黑体"/>
                <w:b/>
                <w:bCs/>
                <w:sz w:val="24"/>
                <w:szCs w:val="24"/>
              </w:rPr>
            </w:pPr>
          </w:p>
        </w:tc>
        <w:tc>
          <w:tcPr>
            <w:tcW w:w="708"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567" w:type="dxa"/>
            <w:vAlign w:val="center"/>
          </w:tcPr>
          <w:p>
            <w:pPr>
              <w:jc w:val="center"/>
              <w:rPr>
                <w:rFonts w:ascii="黑体" w:hAnsi="宋体" w:eastAsia="黑体"/>
                <w:b/>
                <w:bCs/>
                <w:sz w:val="24"/>
                <w:szCs w:val="24"/>
              </w:rPr>
            </w:pPr>
          </w:p>
        </w:tc>
        <w:tc>
          <w:tcPr>
            <w:tcW w:w="798" w:type="dxa"/>
            <w:vAlign w:val="center"/>
          </w:tcPr>
          <w:p>
            <w:pPr>
              <w:jc w:val="center"/>
              <w:rPr>
                <w:rFonts w:ascii="黑体" w:hAnsi="宋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9" w:hRule="atLeast"/>
        </w:trPr>
        <w:tc>
          <w:tcPr>
            <w:tcW w:w="420" w:type="dxa"/>
            <w:noWrap/>
            <w:tcMar>
              <w:top w:w="15" w:type="dxa"/>
              <w:left w:w="15" w:type="dxa"/>
              <w:bottom w:w="0" w:type="dxa"/>
              <w:right w:w="15" w:type="dxa"/>
            </w:tcMar>
            <w:vAlign w:val="center"/>
          </w:tcPr>
          <w:p>
            <w:pPr>
              <w:jc w:val="center"/>
              <w:rPr>
                <w:rFonts w:ascii="宋体"/>
                <w:sz w:val="18"/>
              </w:rPr>
            </w:pPr>
          </w:p>
        </w:tc>
        <w:tc>
          <w:tcPr>
            <w:tcW w:w="1050" w:type="dxa"/>
            <w:gridSpan w:val="2"/>
            <w:noWrap/>
            <w:tcMar>
              <w:top w:w="15" w:type="dxa"/>
              <w:left w:w="15" w:type="dxa"/>
              <w:bottom w:w="0" w:type="dxa"/>
              <w:right w:w="15" w:type="dxa"/>
            </w:tcMar>
            <w:vAlign w:val="center"/>
          </w:tcPr>
          <w:p>
            <w:pPr>
              <w:jc w:val="center"/>
              <w:rPr>
                <w:rFonts w:ascii="宋体"/>
              </w:rPr>
            </w:pPr>
          </w:p>
        </w:tc>
        <w:tc>
          <w:tcPr>
            <w:tcW w:w="945" w:type="dxa"/>
            <w:tcMar>
              <w:top w:w="15" w:type="dxa"/>
              <w:left w:w="15" w:type="dxa"/>
              <w:bottom w:w="0" w:type="dxa"/>
              <w:right w:w="15" w:type="dxa"/>
            </w:tcMar>
            <w:vAlign w:val="center"/>
          </w:tcPr>
          <w:p>
            <w:pPr>
              <w:pStyle w:val="18"/>
              <w:pBdr>
                <w:bottom w:val="none" w:color="auto" w:sz="0" w:space="0"/>
              </w:pBdr>
              <w:tabs>
                <w:tab w:val="clear" w:pos="4153"/>
                <w:tab w:val="clear" w:pos="8306"/>
              </w:tabs>
              <w:snapToGrid/>
              <w:rPr>
                <w:rFonts w:ascii="宋体"/>
                <w:bCs/>
              </w:rPr>
            </w:pPr>
          </w:p>
        </w:tc>
        <w:tc>
          <w:tcPr>
            <w:tcW w:w="3045" w:type="dxa"/>
            <w:gridSpan w:val="2"/>
            <w:tcMar>
              <w:top w:w="15" w:type="dxa"/>
              <w:left w:w="15" w:type="dxa"/>
              <w:bottom w:w="0" w:type="dxa"/>
              <w:right w:w="15" w:type="dxa"/>
            </w:tcMar>
            <w:vAlign w:val="center"/>
          </w:tcPr>
          <w:p>
            <w:pPr>
              <w:jc w:val="center"/>
              <w:rPr>
                <w:rFonts w:ascii="宋体"/>
                <w:bCs/>
                <w:sz w:val="18"/>
              </w:rPr>
            </w:pPr>
          </w:p>
        </w:tc>
        <w:tc>
          <w:tcPr>
            <w:tcW w:w="525" w:type="dxa"/>
            <w:tcMar>
              <w:top w:w="15" w:type="dxa"/>
              <w:left w:w="15" w:type="dxa"/>
              <w:bottom w:w="0" w:type="dxa"/>
              <w:right w:w="15" w:type="dxa"/>
            </w:tcMar>
            <w:vAlign w:val="center"/>
          </w:tcPr>
          <w:p>
            <w:pPr>
              <w:jc w:val="center"/>
              <w:rPr>
                <w:rFonts w:ascii="宋体"/>
                <w:bCs/>
                <w:sz w:val="18"/>
              </w:rPr>
            </w:pPr>
          </w:p>
        </w:tc>
        <w:tc>
          <w:tcPr>
            <w:tcW w:w="630"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1287" w:type="dxa"/>
            <w:vAlign w:val="center"/>
          </w:tcPr>
          <w:p>
            <w:pPr>
              <w:jc w:val="center"/>
              <w:rPr>
                <w:rFonts w:ascii="黑体" w:hAnsi="宋体" w:eastAsia="黑体"/>
                <w:b/>
                <w:bCs/>
                <w:sz w:val="24"/>
                <w:szCs w:val="24"/>
              </w:rPr>
            </w:pPr>
          </w:p>
        </w:tc>
        <w:tc>
          <w:tcPr>
            <w:tcW w:w="708"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567" w:type="dxa"/>
            <w:vAlign w:val="center"/>
          </w:tcPr>
          <w:p>
            <w:pPr>
              <w:jc w:val="center"/>
              <w:rPr>
                <w:rFonts w:ascii="黑体" w:hAnsi="宋体" w:eastAsia="黑体"/>
                <w:b/>
                <w:bCs/>
                <w:sz w:val="24"/>
                <w:szCs w:val="24"/>
              </w:rPr>
            </w:pPr>
          </w:p>
        </w:tc>
        <w:tc>
          <w:tcPr>
            <w:tcW w:w="798" w:type="dxa"/>
            <w:vAlign w:val="center"/>
          </w:tcPr>
          <w:p>
            <w:pPr>
              <w:jc w:val="center"/>
              <w:rPr>
                <w:rFonts w:ascii="黑体" w:hAnsi="宋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415" w:type="dxa"/>
            <w:gridSpan w:val="4"/>
            <w:noWrap/>
            <w:tcMar>
              <w:top w:w="15" w:type="dxa"/>
              <w:left w:w="15" w:type="dxa"/>
              <w:bottom w:w="0" w:type="dxa"/>
              <w:right w:w="15" w:type="dxa"/>
            </w:tcMar>
            <w:vAlign w:val="center"/>
          </w:tcPr>
          <w:p>
            <w:pPr>
              <w:pStyle w:val="18"/>
              <w:pBdr>
                <w:bottom w:val="none" w:color="auto" w:sz="0" w:space="0"/>
              </w:pBdr>
              <w:tabs>
                <w:tab w:val="clear" w:pos="4153"/>
                <w:tab w:val="clear" w:pos="8306"/>
              </w:tabs>
              <w:snapToGrid/>
              <w:rPr>
                <w:rFonts w:ascii="宋体"/>
                <w:b/>
                <w:bCs/>
                <w:sz w:val="24"/>
              </w:rPr>
            </w:pPr>
            <w:r>
              <w:rPr>
                <w:rFonts w:hint="eastAsia" w:ascii="宋体"/>
                <w:b/>
                <w:bCs/>
                <w:sz w:val="24"/>
              </w:rPr>
              <w:t>完工期</w:t>
            </w:r>
          </w:p>
        </w:tc>
        <w:tc>
          <w:tcPr>
            <w:tcW w:w="7560" w:type="dxa"/>
            <w:gridSpan w:val="8"/>
            <w:tcMar>
              <w:top w:w="15" w:type="dxa"/>
              <w:left w:w="15" w:type="dxa"/>
              <w:bottom w:w="0" w:type="dxa"/>
              <w:right w:w="15" w:type="dxa"/>
            </w:tcMar>
            <w:vAlign w:val="center"/>
          </w:tcPr>
          <w:p>
            <w:pPr>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415" w:type="dxa"/>
            <w:gridSpan w:val="4"/>
            <w:noWrap/>
            <w:tcMar>
              <w:top w:w="15" w:type="dxa"/>
              <w:left w:w="15" w:type="dxa"/>
              <w:bottom w:w="0" w:type="dxa"/>
              <w:right w:w="15" w:type="dxa"/>
            </w:tcMar>
            <w:vAlign w:val="center"/>
          </w:tcPr>
          <w:p>
            <w:pPr>
              <w:pStyle w:val="18"/>
              <w:pBdr>
                <w:bottom w:val="none" w:color="auto" w:sz="0" w:space="0"/>
              </w:pBdr>
              <w:tabs>
                <w:tab w:val="clear" w:pos="4153"/>
                <w:tab w:val="clear" w:pos="8306"/>
              </w:tabs>
              <w:snapToGrid/>
              <w:rPr>
                <w:rFonts w:ascii="宋体"/>
                <w:b/>
                <w:bCs/>
                <w:sz w:val="24"/>
              </w:rPr>
            </w:pPr>
            <w:r>
              <w:rPr>
                <w:rFonts w:hint="eastAsia" w:ascii="宋体"/>
                <w:b/>
                <w:bCs/>
                <w:sz w:val="24"/>
              </w:rPr>
              <w:t>项目整体质保期</w:t>
            </w:r>
          </w:p>
        </w:tc>
        <w:tc>
          <w:tcPr>
            <w:tcW w:w="7560" w:type="dxa"/>
            <w:gridSpan w:val="8"/>
            <w:tcMar>
              <w:top w:w="15" w:type="dxa"/>
              <w:left w:w="15" w:type="dxa"/>
              <w:bottom w:w="0" w:type="dxa"/>
              <w:right w:w="15" w:type="dxa"/>
            </w:tcMar>
            <w:vAlign w:val="center"/>
          </w:tcPr>
          <w:p>
            <w:pPr>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trPr>
        <w:tc>
          <w:tcPr>
            <w:tcW w:w="4987" w:type="dxa"/>
            <w:gridSpan w:val="5"/>
            <w:noWrap/>
            <w:tcMar>
              <w:top w:w="15" w:type="dxa"/>
              <w:left w:w="15" w:type="dxa"/>
              <w:bottom w:w="0" w:type="dxa"/>
              <w:right w:w="15" w:type="dxa"/>
            </w:tcMar>
            <w:vAlign w:val="center"/>
          </w:tcPr>
          <w:p>
            <w:pPr>
              <w:jc w:val="center"/>
              <w:rPr>
                <w:rFonts w:ascii="宋体"/>
                <w:b/>
                <w:bCs/>
                <w:sz w:val="24"/>
              </w:rPr>
            </w:pPr>
            <w:r>
              <w:rPr>
                <w:rFonts w:hint="eastAsia" w:ascii="宋体"/>
                <w:b/>
                <w:bCs/>
                <w:sz w:val="24"/>
              </w:rPr>
              <w:t>其中属于小、微型企业产品的价格合计（小写）</w:t>
            </w:r>
          </w:p>
        </w:tc>
        <w:tc>
          <w:tcPr>
            <w:tcW w:w="4988" w:type="dxa"/>
            <w:gridSpan w:val="7"/>
            <w:vAlign w:val="center"/>
          </w:tcPr>
          <w:p>
            <w:pP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trPr>
        <w:tc>
          <w:tcPr>
            <w:tcW w:w="4987" w:type="dxa"/>
            <w:gridSpan w:val="5"/>
            <w:noWrap/>
            <w:tcMar>
              <w:top w:w="15" w:type="dxa"/>
              <w:left w:w="15" w:type="dxa"/>
              <w:bottom w:w="0" w:type="dxa"/>
              <w:right w:w="15" w:type="dxa"/>
            </w:tcMar>
            <w:vAlign w:val="center"/>
          </w:tcPr>
          <w:p>
            <w:pPr>
              <w:jc w:val="center"/>
              <w:rPr>
                <w:rFonts w:ascii="宋体"/>
                <w:b/>
                <w:bCs/>
                <w:sz w:val="24"/>
              </w:rPr>
            </w:pPr>
            <w:r>
              <w:rPr>
                <w:rFonts w:hint="eastAsia" w:ascii="宋体"/>
                <w:b/>
                <w:bCs/>
                <w:sz w:val="24"/>
              </w:rPr>
              <w:t>其中属监狱企业的价格合计（小写）</w:t>
            </w:r>
          </w:p>
        </w:tc>
        <w:tc>
          <w:tcPr>
            <w:tcW w:w="4988" w:type="dxa"/>
            <w:gridSpan w:val="7"/>
            <w:vAlign w:val="center"/>
          </w:tcPr>
          <w:p>
            <w:pP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trPr>
        <w:tc>
          <w:tcPr>
            <w:tcW w:w="4987" w:type="dxa"/>
            <w:gridSpan w:val="5"/>
            <w:noWrap/>
            <w:tcMar>
              <w:top w:w="15" w:type="dxa"/>
              <w:left w:w="15" w:type="dxa"/>
              <w:bottom w:w="0" w:type="dxa"/>
              <w:right w:w="15" w:type="dxa"/>
            </w:tcMar>
            <w:vAlign w:val="center"/>
          </w:tcPr>
          <w:p>
            <w:pPr>
              <w:jc w:val="center"/>
              <w:rPr>
                <w:rFonts w:ascii="宋体"/>
                <w:b/>
                <w:bCs/>
                <w:sz w:val="24"/>
              </w:rPr>
            </w:pPr>
            <w:r>
              <w:rPr>
                <w:rFonts w:hint="eastAsia" w:ascii="宋体"/>
                <w:b/>
                <w:bCs/>
                <w:sz w:val="24"/>
              </w:rPr>
              <w:t>其中属残疾人福利性单位的价格合计（小写）</w:t>
            </w:r>
          </w:p>
        </w:tc>
        <w:tc>
          <w:tcPr>
            <w:tcW w:w="4988" w:type="dxa"/>
            <w:gridSpan w:val="7"/>
            <w:vAlign w:val="center"/>
          </w:tcPr>
          <w:p>
            <w:pP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630" w:type="dxa"/>
            <w:gridSpan w:val="2"/>
            <w:vMerge w:val="restart"/>
            <w:vAlign w:val="center"/>
          </w:tcPr>
          <w:p>
            <w:pPr>
              <w:pStyle w:val="20"/>
              <w:spacing w:line="400" w:lineRule="exact"/>
              <w:ind w:firstLine="120" w:firstLineChars="50"/>
              <w:rPr>
                <w:rFonts w:ascii="宋体"/>
                <w:b/>
                <w:bCs/>
                <w:sz w:val="24"/>
                <w:szCs w:val="24"/>
              </w:rPr>
            </w:pPr>
            <w:r>
              <w:rPr>
                <w:rFonts w:hint="eastAsia" w:ascii="宋体" w:hAnsi="宋体"/>
                <w:b/>
                <w:bCs/>
                <w:sz w:val="24"/>
                <w:szCs w:val="24"/>
              </w:rPr>
              <w:t>服</w:t>
            </w:r>
          </w:p>
          <w:p>
            <w:pPr>
              <w:pStyle w:val="20"/>
              <w:spacing w:line="400" w:lineRule="exact"/>
              <w:rPr>
                <w:rFonts w:ascii="宋体"/>
                <w:b/>
                <w:bCs/>
                <w:sz w:val="24"/>
                <w:szCs w:val="24"/>
              </w:rPr>
            </w:pPr>
          </w:p>
          <w:p>
            <w:pPr>
              <w:pStyle w:val="20"/>
              <w:spacing w:line="400" w:lineRule="exact"/>
              <w:ind w:firstLine="120" w:firstLineChars="50"/>
              <w:rPr>
                <w:rFonts w:ascii="宋体"/>
                <w:b/>
                <w:bCs/>
                <w:sz w:val="24"/>
                <w:szCs w:val="24"/>
              </w:rPr>
            </w:pPr>
            <w:r>
              <w:rPr>
                <w:rFonts w:hint="eastAsia" w:ascii="宋体" w:hAnsi="宋体"/>
                <w:b/>
                <w:bCs/>
                <w:sz w:val="24"/>
                <w:szCs w:val="24"/>
              </w:rPr>
              <w:t>务</w:t>
            </w:r>
          </w:p>
          <w:p>
            <w:pPr>
              <w:pStyle w:val="20"/>
              <w:spacing w:line="400" w:lineRule="exact"/>
              <w:rPr>
                <w:rFonts w:ascii="宋体"/>
                <w:b/>
                <w:bCs/>
                <w:sz w:val="24"/>
                <w:szCs w:val="24"/>
              </w:rPr>
            </w:pPr>
          </w:p>
          <w:p>
            <w:pPr>
              <w:pStyle w:val="20"/>
              <w:spacing w:line="400" w:lineRule="exact"/>
              <w:ind w:firstLine="120" w:firstLineChars="50"/>
              <w:rPr>
                <w:rFonts w:ascii="宋体"/>
                <w:b/>
                <w:bCs/>
                <w:sz w:val="24"/>
                <w:szCs w:val="24"/>
              </w:rPr>
            </w:pPr>
            <w:r>
              <w:rPr>
                <w:rFonts w:hint="eastAsia" w:ascii="宋体" w:hAnsi="宋体"/>
                <w:b/>
                <w:bCs/>
                <w:sz w:val="24"/>
                <w:szCs w:val="24"/>
              </w:rPr>
              <w:t>承</w:t>
            </w:r>
          </w:p>
          <w:p>
            <w:pPr>
              <w:pStyle w:val="20"/>
              <w:spacing w:line="400" w:lineRule="exact"/>
              <w:rPr>
                <w:rFonts w:ascii="宋体"/>
                <w:b/>
                <w:bCs/>
                <w:sz w:val="24"/>
                <w:szCs w:val="24"/>
              </w:rPr>
            </w:pPr>
          </w:p>
          <w:p>
            <w:pPr>
              <w:pStyle w:val="20"/>
              <w:spacing w:line="400" w:lineRule="exact"/>
              <w:ind w:firstLine="120" w:firstLineChars="50"/>
              <w:rPr>
                <w:rFonts w:ascii="宋体"/>
                <w:bCs/>
                <w:sz w:val="24"/>
                <w:szCs w:val="24"/>
              </w:rPr>
            </w:pPr>
            <w:r>
              <w:rPr>
                <w:rFonts w:hint="eastAsia" w:ascii="宋体" w:hAnsi="宋体"/>
                <w:b/>
                <w:bCs/>
                <w:sz w:val="24"/>
                <w:szCs w:val="24"/>
              </w:rPr>
              <w:t>诺</w:t>
            </w:r>
          </w:p>
        </w:tc>
        <w:tc>
          <w:tcPr>
            <w:tcW w:w="9345" w:type="dxa"/>
            <w:gridSpan w:val="10"/>
            <w:vAlign w:val="center"/>
          </w:tcPr>
          <w:p>
            <w:pPr>
              <w:numPr>
                <w:ilvl w:val="0"/>
                <w:numId w:val="21"/>
              </w:numPr>
              <w:rPr>
                <w:rFonts w:ascii="宋体"/>
                <w:bCs/>
                <w:sz w:val="24"/>
                <w:szCs w:val="24"/>
              </w:rPr>
            </w:pPr>
            <w:r>
              <w:rPr>
                <w:rFonts w:hint="eastAsia" w:ascii="宋体" w:hAnsi="宋体"/>
                <w:bCs/>
                <w:sz w:val="24"/>
                <w:szCs w:val="24"/>
              </w:rPr>
              <w:t>质量</w:t>
            </w:r>
            <w:r>
              <w:rPr>
                <w:rFonts w:ascii="宋体" w:hAnsi="宋体"/>
                <w:bCs/>
                <w:sz w:val="24"/>
                <w:szCs w:val="24"/>
              </w:rPr>
              <w:t xml:space="preserve"> 2.</w:t>
            </w:r>
            <w:r>
              <w:rPr>
                <w:rFonts w:hint="eastAsia" w:ascii="宋体" w:hAnsi="宋体"/>
                <w:bCs/>
                <w:sz w:val="24"/>
                <w:szCs w:val="24"/>
              </w:rPr>
              <w:t>安装</w:t>
            </w:r>
            <w:r>
              <w:rPr>
                <w:rFonts w:ascii="宋体" w:hAnsi="宋体"/>
                <w:bCs/>
                <w:sz w:val="24"/>
                <w:szCs w:val="24"/>
              </w:rPr>
              <w:t xml:space="preserve"> 3."</w:t>
            </w:r>
            <w:r>
              <w:rPr>
                <w:rFonts w:hint="eastAsia" w:ascii="宋体" w:hAnsi="宋体"/>
                <w:bCs/>
                <w:sz w:val="24"/>
                <w:szCs w:val="24"/>
              </w:rPr>
              <w:t>三包</w:t>
            </w:r>
            <w:r>
              <w:rPr>
                <w:rFonts w:ascii="宋体" w:hAnsi="宋体"/>
                <w:bCs/>
                <w:sz w:val="24"/>
                <w:szCs w:val="24"/>
              </w:rPr>
              <w:t>"(</w:t>
            </w:r>
            <w:r>
              <w:rPr>
                <w:rFonts w:hint="eastAsia" w:ascii="宋体" w:hAnsi="宋体"/>
                <w:bCs/>
                <w:sz w:val="24"/>
                <w:szCs w:val="24"/>
              </w:rPr>
              <w:t>包修、包退、包换</w:t>
            </w:r>
            <w:r>
              <w:rPr>
                <w:rFonts w:ascii="宋体" w:hAnsi="宋体"/>
                <w:bCs/>
                <w:sz w:val="24"/>
                <w:szCs w:val="24"/>
              </w:rPr>
              <w:t>)4</w:t>
            </w:r>
            <w:r>
              <w:rPr>
                <w:rFonts w:ascii="宋体"/>
                <w:bCs/>
                <w:sz w:val="24"/>
                <w:szCs w:val="24"/>
              </w:rPr>
              <w:t>.</w:t>
            </w:r>
            <w:r>
              <w:rPr>
                <w:rFonts w:hint="eastAsia" w:ascii="宋体" w:hAnsi="宋体"/>
                <w:bCs/>
                <w:sz w:val="24"/>
                <w:szCs w:val="24"/>
              </w:rPr>
              <w:t>其他承诺</w:t>
            </w:r>
          </w:p>
          <w:p>
            <w:pPr>
              <w:rPr>
                <w:rFonts w:ascii="宋体"/>
                <w:bCs/>
                <w:sz w:val="24"/>
                <w:szCs w:val="24"/>
              </w:rPr>
            </w:pPr>
            <w:r>
              <w:rPr>
                <w:rFonts w:hint="eastAsia" w:ascii="宋体" w:hAnsi="宋体"/>
                <w:bCs/>
                <w:sz w:val="24"/>
                <w:szCs w:val="24"/>
              </w:rPr>
              <w:t>（以上是主要承诺，供投标人参考，投标人应在满足招标文件要求的基础上，根据自己单位的情况作出具体承诺）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5" w:hRule="atLeast"/>
        </w:trPr>
        <w:tc>
          <w:tcPr>
            <w:tcW w:w="630" w:type="dxa"/>
            <w:gridSpan w:val="2"/>
            <w:vMerge w:val="continue"/>
            <w:vAlign w:val="center"/>
          </w:tcPr>
          <w:p>
            <w:pPr>
              <w:pStyle w:val="20"/>
              <w:spacing w:line="400" w:lineRule="exact"/>
              <w:rPr>
                <w:rFonts w:ascii="宋体"/>
                <w:bCs/>
                <w:sz w:val="24"/>
                <w:szCs w:val="24"/>
              </w:rPr>
            </w:pPr>
          </w:p>
        </w:tc>
        <w:tc>
          <w:tcPr>
            <w:tcW w:w="9345" w:type="dxa"/>
            <w:gridSpan w:val="10"/>
            <w:vAlign w:val="center"/>
          </w:tcPr>
          <w:p>
            <w:pPr>
              <w:rPr>
                <w:rFonts w:ascii="宋体"/>
                <w:bCs/>
                <w:sz w:val="24"/>
                <w:szCs w:val="24"/>
              </w:rPr>
            </w:pPr>
          </w:p>
        </w:tc>
      </w:tr>
    </w:tbl>
    <w:p>
      <w:pPr>
        <w:spacing w:before="5" w:line="560" w:lineRule="atLeast"/>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spacing w:line="400" w:lineRule="exact"/>
        <w:outlineLvl w:val="0"/>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提醒：请各投标人尽可能携带明细报价表的电子文档。</w:t>
      </w:r>
    </w:p>
    <w:p>
      <w:pPr>
        <w:spacing w:line="400" w:lineRule="exact"/>
        <w:outlineLvl w:val="0"/>
        <w:rPr>
          <w:rFonts w:ascii="宋体"/>
          <w:bCs/>
          <w:color w:val="000000" w:themeColor="text1"/>
          <w:szCs w:val="21"/>
          <w14:textFill>
            <w14:solidFill>
              <w14:schemeClr w14:val="tx1"/>
            </w14:solidFill>
          </w14:textFill>
        </w:rPr>
      </w:pPr>
      <w:r>
        <w:rPr>
          <w:rFonts w:hint="eastAsia" w:ascii="宋体" w:hAnsi="宋体"/>
          <w:b/>
          <w:szCs w:val="21"/>
        </w:rPr>
        <w:t>注：</w:t>
      </w:r>
      <w:r>
        <w:rPr>
          <w:rFonts w:hint="eastAsia" w:ascii="宋体" w:hAnsi="宋体"/>
          <w:bCs/>
          <w:szCs w:val="21"/>
        </w:rPr>
        <w:t>（</w:t>
      </w:r>
      <w:r>
        <w:rPr>
          <w:rFonts w:ascii="宋体" w:hAnsi="宋体"/>
          <w:bCs/>
          <w:szCs w:val="21"/>
        </w:rPr>
        <w:t>1</w:t>
      </w:r>
      <w:r>
        <w:rPr>
          <w:rFonts w:hint="eastAsia" w:ascii="宋体" w:hAnsi="宋体"/>
          <w:bCs/>
          <w:szCs w:val="21"/>
        </w:rPr>
        <w:t>）</w:t>
      </w:r>
      <w:r>
        <w:rPr>
          <w:rFonts w:hint="eastAsia" w:ascii="宋体" w:hAnsi="宋体"/>
          <w:bCs/>
          <w:color w:val="000000" w:themeColor="text1"/>
          <w:szCs w:val="21"/>
          <w14:textFill>
            <w14:solidFill>
              <w14:schemeClr w14:val="tx1"/>
            </w14:solidFill>
          </w14:textFill>
        </w:rPr>
        <w:t>投标人应当根据“项目技术要求和有关说明”的内容在上表中详细填写；</w:t>
      </w:r>
    </w:p>
    <w:p>
      <w:pPr>
        <w:spacing w:line="400" w:lineRule="exact"/>
        <w:ind w:firstLine="315" w:firstLineChars="150"/>
        <w:outlineLvl w:val="0"/>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）表格不够可自行延长。</w:t>
      </w:r>
    </w:p>
    <w:p>
      <w:pPr>
        <w:spacing w:line="400" w:lineRule="exact"/>
        <w:outlineLvl w:val="0"/>
        <w:rPr>
          <w:rFonts w:ascii="宋体"/>
          <w:bCs/>
          <w:color w:val="000000" w:themeColor="text1"/>
          <w:szCs w:val="21"/>
          <w14:textFill>
            <w14:solidFill>
              <w14:schemeClr w14:val="tx1"/>
            </w14:solidFill>
          </w14:textFill>
        </w:rPr>
      </w:pPr>
    </w:p>
    <w:p>
      <w:pPr>
        <w:ind w:firstLine="420" w:firstLineChars="175"/>
        <w:outlineLvl w:val="0"/>
        <w:rPr>
          <w:rFonts w:hint="eastAsia" w:ascii="黑体" w:hAnsi="宋体" w:eastAsia="黑体"/>
          <w:bCs/>
          <w:color w:val="000000" w:themeColor="text1"/>
          <w:sz w:val="24"/>
          <w:szCs w:val="24"/>
          <w14:textFill>
            <w14:solidFill>
              <w14:schemeClr w14:val="tx1"/>
            </w14:solidFill>
          </w14:textFill>
        </w:rPr>
      </w:pPr>
    </w:p>
    <w:p>
      <w:pPr>
        <w:ind w:firstLine="420" w:firstLineChars="175"/>
        <w:outlineLvl w:val="0"/>
        <w:rPr>
          <w:rFonts w:hint="eastAsia" w:ascii="黑体" w:hAnsi="宋体" w:eastAsia="黑体"/>
          <w:bCs/>
          <w:color w:val="000000" w:themeColor="text1"/>
          <w:sz w:val="24"/>
          <w:szCs w:val="24"/>
          <w14:textFill>
            <w14:solidFill>
              <w14:schemeClr w14:val="tx1"/>
            </w14:solidFill>
          </w14:textFill>
        </w:rPr>
      </w:pPr>
    </w:p>
    <w:p>
      <w:pPr>
        <w:ind w:firstLine="420" w:firstLineChars="175"/>
        <w:outlineLvl w:val="0"/>
        <w:rPr>
          <w:rFonts w:hint="eastAsia" w:ascii="黑体" w:hAnsi="宋体" w:eastAsia="黑体"/>
          <w:bCs/>
          <w:color w:val="000000" w:themeColor="text1"/>
          <w:sz w:val="24"/>
          <w:szCs w:val="24"/>
          <w14:textFill>
            <w14:solidFill>
              <w14:schemeClr w14:val="tx1"/>
            </w14:solidFill>
          </w14:textFill>
        </w:rPr>
      </w:pPr>
    </w:p>
    <w:p>
      <w:pPr>
        <w:outlineLvl w:val="0"/>
        <w:rPr>
          <w:rFonts w:hint="eastAsia" w:ascii="黑体" w:hAnsi="宋体" w:eastAsia="黑体"/>
          <w:bCs/>
          <w:color w:val="000000" w:themeColor="text1"/>
          <w:sz w:val="24"/>
          <w:szCs w:val="24"/>
          <w14:textFill>
            <w14:solidFill>
              <w14:schemeClr w14:val="tx1"/>
            </w14:solidFill>
          </w14:textFill>
        </w:rPr>
      </w:pPr>
    </w:p>
    <w:p>
      <w:pPr>
        <w:ind w:firstLine="420" w:firstLineChars="175"/>
        <w:outlineLvl w:val="0"/>
        <w:rPr>
          <w:rFonts w:hint="eastAsia" w:ascii="黑体" w:hAnsi="宋体" w:eastAsia="黑体"/>
          <w:bCs/>
          <w:color w:val="000000" w:themeColor="text1"/>
          <w:sz w:val="24"/>
          <w:szCs w:val="24"/>
          <w14:textFill>
            <w14:solidFill>
              <w14:schemeClr w14:val="tx1"/>
            </w14:solidFill>
          </w14:textFill>
        </w:rPr>
      </w:pPr>
    </w:p>
    <w:p>
      <w:pPr>
        <w:ind w:firstLine="420" w:firstLineChars="175"/>
        <w:outlineLvl w:val="0"/>
        <w:rPr>
          <w:rFonts w:hint="eastAsia" w:ascii="黑体" w:hAnsi="宋体" w:eastAsia="黑体"/>
          <w:bCs/>
          <w:color w:val="000000" w:themeColor="text1"/>
          <w:sz w:val="24"/>
          <w:szCs w:val="24"/>
          <w14:textFill>
            <w14:solidFill>
              <w14:schemeClr w14:val="tx1"/>
            </w14:solidFill>
          </w14:textFill>
        </w:rPr>
      </w:pPr>
    </w:p>
    <w:p>
      <w:pPr>
        <w:ind w:firstLine="420" w:firstLineChars="175"/>
        <w:outlineLvl w:val="0"/>
        <w:rPr>
          <w:rFonts w:hint="eastAsia" w:ascii="黑体" w:hAnsi="宋体" w:eastAsia="黑体"/>
          <w:bCs/>
          <w:color w:val="000000" w:themeColor="text1"/>
          <w:sz w:val="24"/>
          <w:szCs w:val="24"/>
          <w14:textFill>
            <w14:solidFill>
              <w14:schemeClr w14:val="tx1"/>
            </w14:solidFill>
          </w14:textFill>
        </w:rPr>
      </w:pPr>
    </w:p>
    <w:p>
      <w:pPr>
        <w:ind w:firstLine="420" w:firstLineChars="175"/>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（九）投标偏离表（格式）：</w:t>
      </w:r>
    </w:p>
    <w:p>
      <w:pPr>
        <w:ind w:firstLine="490" w:firstLineChars="175"/>
        <w:jc w:val="center"/>
        <w:outlineLvl w:val="0"/>
        <w:rPr>
          <w:rFonts w:ascii="黑体" w:eastAsia="黑体"/>
          <w:bCs/>
          <w:color w:val="000000" w:themeColor="text1"/>
          <w:sz w:val="28"/>
          <w:szCs w:val="28"/>
          <w14:textFill>
            <w14:solidFill>
              <w14:schemeClr w14:val="tx1"/>
            </w14:solidFill>
          </w14:textFill>
        </w:rPr>
      </w:pPr>
    </w:p>
    <w:p>
      <w:pPr>
        <w:ind w:firstLine="490" w:firstLineChars="175"/>
        <w:jc w:val="center"/>
        <w:outlineLvl w:val="0"/>
        <w:rPr>
          <w:rFonts w:ascii="黑体" w:eastAsia="黑体"/>
          <w:bCs/>
          <w:color w:val="000000" w:themeColor="text1"/>
          <w:sz w:val="28"/>
          <w:szCs w:val="28"/>
          <w14:textFill>
            <w14:solidFill>
              <w14:schemeClr w14:val="tx1"/>
            </w14:solidFill>
          </w14:textFill>
        </w:rPr>
      </w:pPr>
    </w:p>
    <w:p>
      <w:pPr>
        <w:ind w:firstLine="490" w:firstLineChars="175"/>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投标偏离表</w:t>
      </w:r>
    </w:p>
    <w:p>
      <w:pPr>
        <w:spacing w:line="400" w:lineRule="exact"/>
        <w:jc w:val="center"/>
        <w:outlineLvl w:val="0"/>
        <w:rPr>
          <w:rFonts w:ascii="黑体" w:eastAsia="黑体"/>
          <w:bCs/>
          <w:color w:val="000000" w:themeColor="text1"/>
          <w:sz w:val="28"/>
          <w:szCs w:val="28"/>
          <w14:textFill>
            <w14:solidFill>
              <w14:schemeClr w14:val="tx1"/>
            </w14:solidFill>
          </w14:textFill>
        </w:rPr>
      </w:pPr>
    </w:p>
    <w:p>
      <w:pPr>
        <w:spacing w:line="400" w:lineRule="exact"/>
        <w:jc w:val="center"/>
        <w:outlineLvl w:val="0"/>
        <w:rPr>
          <w:rFonts w:ascii="黑体" w:eastAsia="黑体"/>
          <w:bCs/>
          <w:color w:val="000000" w:themeColor="text1"/>
          <w:sz w:val="28"/>
          <w:szCs w:val="28"/>
          <w14:textFill>
            <w14:solidFill>
              <w14:schemeClr w14:val="tx1"/>
            </w14:solidFill>
          </w14:textFill>
        </w:rPr>
      </w:pPr>
    </w:p>
    <w:p>
      <w:pPr>
        <w:spacing w:line="400" w:lineRule="exact"/>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LXZC2021-044</w:t>
      </w:r>
    </w:p>
    <w:p>
      <w:pPr>
        <w:spacing w:line="400" w:lineRule="exact"/>
        <w:rPr>
          <w:rFonts w:ascii="黑体" w:eastAsia="黑体"/>
          <w:bCs/>
          <w:color w:val="000000" w:themeColor="text1"/>
          <w:sz w:val="24"/>
          <w:szCs w:val="24"/>
          <w14:textFill>
            <w14:solidFill>
              <w14:schemeClr w14:val="tx1"/>
            </w14:solidFill>
          </w14:textFill>
        </w:rPr>
      </w:pPr>
    </w:p>
    <w:tbl>
      <w:tblPr>
        <w:tblStyle w:val="24"/>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14:textFill>
                  <w14:solidFill>
                    <w14:schemeClr w14:val="tx1"/>
                  </w14:solidFill>
                </w14:textFill>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14:textFill>
                  <w14:solidFill>
                    <w14:schemeClr w14:val="tx1"/>
                  </w14:solidFill>
                </w14:textFill>
              </w:rPr>
            </w:pPr>
          </w:p>
        </w:tc>
      </w:tr>
    </w:tbl>
    <w:p>
      <w:pPr>
        <w:rPr>
          <w:rFonts w:ascii="宋体"/>
          <w:b/>
          <w:color w:val="000000" w:themeColor="text1"/>
          <w:sz w:val="24"/>
          <w:szCs w:val="24"/>
          <w14:textFill>
            <w14:solidFill>
              <w14:schemeClr w14:val="tx1"/>
            </w14:solidFill>
          </w14:textFill>
        </w:rPr>
      </w:pPr>
    </w:p>
    <w:p>
      <w:pP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rPr>
          <w:rFonts w:ascii="宋体"/>
          <w:bCs/>
          <w:color w:val="000000" w:themeColor="text1"/>
          <w:sz w:val="30"/>
          <w14:textFill>
            <w14:solidFill>
              <w14:schemeClr w14:val="tx1"/>
            </w14:solidFill>
          </w14:textFill>
        </w:rPr>
      </w:pPr>
    </w:p>
    <w:p>
      <w:pPr>
        <w:ind w:firstLine="420" w:firstLineChars="175"/>
        <w:outlineLvl w:val="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注：（</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）本表不得删除；</w:t>
      </w:r>
    </w:p>
    <w:p>
      <w:pPr>
        <w:ind w:firstLine="420" w:firstLineChars="175"/>
        <w:outlineLvl w:val="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）如无任何技术偏离，请于本表 “偏离说明”中注明“无偏离”；</w:t>
      </w:r>
    </w:p>
    <w:p>
      <w:pPr>
        <w:ind w:firstLine="420" w:firstLineChars="175"/>
        <w:outlineLvl w:val="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（3）如有技术偏离项，请于本表中列明偏离内容，如需要可自行延长，其余无偏离内容不须赘述。</w:t>
      </w:r>
    </w:p>
    <w:p>
      <w:pPr>
        <w:rPr>
          <w:rFonts w:ascii="宋体"/>
          <w:bCs/>
          <w:color w:val="000000" w:themeColor="text1"/>
          <w:sz w:val="30"/>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spacing w:after="312" w:afterLines="100"/>
        <w:jc w:val="left"/>
        <w:outlineLvl w:val="1"/>
        <w:rPr>
          <w:rFonts w:ascii="黑体" w:hAnsi="Calibri" w:eastAsia="黑体"/>
          <w:bCs/>
          <w:sz w:val="24"/>
          <w:szCs w:val="24"/>
        </w:rPr>
      </w:pPr>
    </w:p>
    <w:p>
      <w:pPr>
        <w:pStyle w:val="2"/>
      </w:pPr>
    </w:p>
    <w:p>
      <w:pPr>
        <w:outlineLvl w:val="2"/>
        <w:rPr>
          <w:rFonts w:hint="eastAsia" w:ascii="黑体" w:hAnsi="宋体" w:eastAsia="黑体"/>
          <w:bCs/>
          <w:sz w:val="24"/>
          <w:szCs w:val="24"/>
        </w:rPr>
      </w:pPr>
    </w:p>
    <w:p>
      <w:pPr>
        <w:outlineLvl w:val="2"/>
        <w:rPr>
          <w:rFonts w:ascii="黑体" w:hAnsi="宋体" w:eastAsia="黑体"/>
          <w:bCs/>
          <w:sz w:val="24"/>
          <w:szCs w:val="24"/>
        </w:rPr>
      </w:pPr>
      <w:r>
        <w:rPr>
          <w:rFonts w:hint="eastAsia" w:ascii="黑体" w:hAnsi="宋体" w:eastAsia="黑体"/>
          <w:bCs/>
          <w:sz w:val="24"/>
          <w:szCs w:val="24"/>
        </w:rPr>
        <w:t>（十）项目人员配置清单（格式）：</w:t>
      </w:r>
    </w:p>
    <w:p>
      <w:pPr>
        <w:spacing w:line="400" w:lineRule="exact"/>
        <w:rPr>
          <w:rFonts w:ascii="黑体" w:hAnsi="Calibri" w:eastAsia="黑体"/>
          <w:bCs/>
          <w:sz w:val="28"/>
          <w:szCs w:val="28"/>
        </w:rPr>
      </w:pPr>
    </w:p>
    <w:p>
      <w:pPr>
        <w:spacing w:line="400" w:lineRule="exact"/>
        <w:jc w:val="center"/>
        <w:rPr>
          <w:rFonts w:ascii="黑体" w:eastAsia="黑体"/>
          <w:bCs/>
          <w:sz w:val="28"/>
          <w:szCs w:val="28"/>
        </w:rPr>
      </w:pPr>
      <w:r>
        <w:rPr>
          <w:rFonts w:hint="eastAsia" w:ascii="黑体" w:eastAsia="黑体"/>
          <w:bCs/>
          <w:sz w:val="28"/>
          <w:szCs w:val="28"/>
        </w:rPr>
        <w:t>项目人员配置清单</w:t>
      </w:r>
    </w:p>
    <w:p>
      <w:pPr>
        <w:spacing w:line="400" w:lineRule="exact"/>
        <w:jc w:val="center"/>
        <w:rPr>
          <w:rFonts w:ascii="黑体" w:eastAsia="黑体"/>
          <w:bCs/>
          <w:sz w:val="28"/>
          <w:szCs w:val="28"/>
        </w:rPr>
      </w:pPr>
    </w:p>
    <w:p>
      <w:pPr>
        <w:spacing w:line="580" w:lineRule="exact"/>
        <w:rPr>
          <w:rFonts w:hint="eastAsia" w:ascii="黑体" w:eastAsia="黑体"/>
          <w:bCs/>
          <w:sz w:val="24"/>
          <w:szCs w:val="24"/>
          <w:highlight w:val="yellow"/>
          <w:lang w:eastAsia="zh-CN"/>
        </w:rPr>
      </w:pPr>
      <w:r>
        <w:rPr>
          <w:rFonts w:hint="eastAsia" w:ascii="黑体" w:eastAsia="黑体"/>
          <w:bCs/>
          <w:sz w:val="24"/>
          <w:szCs w:val="24"/>
        </w:rPr>
        <w:t>投标人名称（盖章）                                  采购项目编号：</w:t>
      </w:r>
      <w:r>
        <w:rPr>
          <w:rFonts w:hint="eastAsia" w:ascii="黑体" w:eastAsia="黑体"/>
          <w:bCs/>
          <w:sz w:val="24"/>
          <w:szCs w:val="24"/>
          <w:lang w:eastAsia="zh-CN"/>
        </w:rPr>
        <w:t>LXZC2021-044</w:t>
      </w:r>
    </w:p>
    <w:tbl>
      <w:tblPr>
        <w:tblStyle w:val="24"/>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26"/>
        <w:gridCol w:w="793"/>
        <w:gridCol w:w="2585"/>
        <w:gridCol w:w="1459"/>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76" w:type="dxa"/>
            <w:vAlign w:val="center"/>
          </w:tcPr>
          <w:p>
            <w:pPr>
              <w:rPr>
                <w:b/>
                <w:bCs/>
                <w:sz w:val="24"/>
                <w:szCs w:val="24"/>
              </w:rPr>
            </w:pPr>
            <w:r>
              <w:rPr>
                <w:rFonts w:hint="eastAsia"/>
                <w:b/>
                <w:bCs/>
                <w:sz w:val="24"/>
                <w:szCs w:val="24"/>
              </w:rPr>
              <w:t>序号</w:t>
            </w:r>
          </w:p>
        </w:tc>
        <w:tc>
          <w:tcPr>
            <w:tcW w:w="1626" w:type="dxa"/>
            <w:vAlign w:val="center"/>
          </w:tcPr>
          <w:p>
            <w:pPr>
              <w:rPr>
                <w:b/>
                <w:bCs/>
                <w:sz w:val="24"/>
                <w:szCs w:val="24"/>
              </w:rPr>
            </w:pPr>
            <w:r>
              <w:rPr>
                <w:rFonts w:hint="eastAsia"/>
                <w:b/>
                <w:bCs/>
                <w:sz w:val="24"/>
                <w:szCs w:val="24"/>
              </w:rPr>
              <w:t>姓名</w:t>
            </w:r>
          </w:p>
        </w:tc>
        <w:tc>
          <w:tcPr>
            <w:tcW w:w="793" w:type="dxa"/>
            <w:vAlign w:val="center"/>
          </w:tcPr>
          <w:p>
            <w:pPr>
              <w:rPr>
                <w:b/>
                <w:bCs/>
                <w:sz w:val="24"/>
                <w:szCs w:val="24"/>
              </w:rPr>
            </w:pPr>
            <w:r>
              <w:rPr>
                <w:rFonts w:hint="eastAsia"/>
                <w:b/>
                <w:bCs/>
                <w:sz w:val="24"/>
                <w:szCs w:val="24"/>
              </w:rPr>
              <w:t>年龄</w:t>
            </w:r>
          </w:p>
        </w:tc>
        <w:tc>
          <w:tcPr>
            <w:tcW w:w="2585" w:type="dxa"/>
            <w:vAlign w:val="center"/>
          </w:tcPr>
          <w:p>
            <w:pPr>
              <w:rPr>
                <w:b/>
                <w:bCs/>
                <w:sz w:val="24"/>
                <w:szCs w:val="24"/>
              </w:rPr>
            </w:pPr>
            <w:r>
              <w:rPr>
                <w:rFonts w:hint="eastAsia"/>
                <w:b/>
                <w:bCs/>
                <w:sz w:val="24"/>
                <w:szCs w:val="24"/>
              </w:rPr>
              <w:t>本项目职责</w:t>
            </w:r>
          </w:p>
        </w:tc>
        <w:tc>
          <w:tcPr>
            <w:tcW w:w="1459" w:type="dxa"/>
            <w:vAlign w:val="center"/>
          </w:tcPr>
          <w:p>
            <w:pPr>
              <w:rPr>
                <w:b/>
                <w:bCs/>
                <w:sz w:val="24"/>
                <w:szCs w:val="24"/>
              </w:rPr>
            </w:pPr>
            <w:r>
              <w:rPr>
                <w:rFonts w:hint="eastAsia"/>
                <w:b/>
                <w:bCs/>
                <w:sz w:val="24"/>
                <w:szCs w:val="24"/>
              </w:rPr>
              <w:t>个人经验</w:t>
            </w:r>
          </w:p>
        </w:tc>
        <w:tc>
          <w:tcPr>
            <w:tcW w:w="1977" w:type="dxa"/>
            <w:vAlign w:val="center"/>
          </w:tcPr>
          <w:p>
            <w:pPr>
              <w:rPr>
                <w:b/>
                <w:bCs/>
                <w:sz w:val="24"/>
                <w:szCs w:val="24"/>
              </w:rPr>
            </w:pPr>
            <w:r>
              <w:rPr>
                <w:rFonts w:hint="eastAsia"/>
                <w:b/>
                <w:bCs/>
                <w:sz w:val="24"/>
                <w:szCs w:val="24"/>
              </w:rPr>
              <w:t>证书名称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bl>
    <w:p>
      <w:pPr>
        <w:rPr>
          <w:rFonts w:ascii="Calibri" w:hAnsi="Calibri"/>
          <w:b/>
          <w:bCs/>
          <w:sz w:val="24"/>
          <w:szCs w:val="24"/>
        </w:rPr>
      </w:pPr>
      <w:r>
        <w:rPr>
          <w:rFonts w:hint="eastAsia"/>
          <w:b/>
          <w:bCs/>
          <w:sz w:val="24"/>
          <w:szCs w:val="24"/>
        </w:rPr>
        <w:t>法定代表人或法定代表人授权代表签字或盖章：</w:t>
      </w:r>
    </w:p>
    <w:p>
      <w:pPr>
        <w:rPr>
          <w:rFonts w:ascii="宋体" w:hAnsi="宋体"/>
          <w:bCs/>
          <w:szCs w:val="21"/>
        </w:rPr>
      </w:pPr>
    </w:p>
    <w:p>
      <w:pPr>
        <w:rPr>
          <w:rFonts w:ascii="宋体" w:hAnsi="宋体"/>
          <w:bCs/>
          <w:szCs w:val="21"/>
        </w:rPr>
      </w:pPr>
      <w:r>
        <w:rPr>
          <w:rFonts w:hint="eastAsia" w:ascii="宋体" w:hAnsi="宋体"/>
          <w:bCs/>
          <w:szCs w:val="21"/>
        </w:rPr>
        <w:t>注：1. 表格不够可自行延长。</w:t>
      </w:r>
    </w:p>
    <w:p>
      <w:pPr>
        <w:spacing w:after="312" w:afterLines="100"/>
        <w:jc w:val="left"/>
        <w:outlineLvl w:val="1"/>
        <w:rPr>
          <w:rFonts w:ascii="宋体" w:hAnsi="宋体"/>
          <w:bCs/>
          <w:szCs w:val="21"/>
        </w:rPr>
      </w:pPr>
      <w:r>
        <w:rPr>
          <w:rFonts w:hint="eastAsia" w:ascii="宋体" w:hAnsi="宋体"/>
          <w:bCs/>
          <w:szCs w:val="21"/>
        </w:rPr>
        <w:t>2. 人员相关证明材料应按招标文件要求提供，并附在本表之后。</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pacing w:line="480" w:lineRule="auto"/>
        <w:rPr>
          <w:rFonts w:ascii="宋体"/>
          <w:bCs/>
          <w:color w:val="000000" w:themeColor="text1"/>
          <w:sz w:val="24"/>
          <w:szCs w:val="24"/>
          <w14:textFill>
            <w14:solidFill>
              <w14:schemeClr w14:val="tx1"/>
            </w14:solidFill>
          </w14:textFill>
        </w:rPr>
      </w:pPr>
    </w:p>
    <w:sectPr>
      <w:headerReference r:id="rId3" w:type="default"/>
      <w:footerReference r:id="rId4" w:type="default"/>
      <w:footerReference r:id="rId5" w:type="even"/>
      <w:pgSz w:w="11906" w:h="16838"/>
      <w:pgMar w:top="567" w:right="851" w:bottom="567" w:left="1134" w:header="624" w:footer="907" w:gutter="0"/>
      <w:pgNumType w:start="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17</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1</w:t>
    </w:r>
    <w:r>
      <w:rPr>
        <w:rStyle w:val="27"/>
      </w:rP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1"/>
        <w:szCs w:val="21"/>
      </w:rPr>
    </w:pPr>
    <w:r>
      <w:rPr>
        <w:rFonts w:hint="eastAsia" w:ascii="华文新魏" w:hAnsi="华文中宋" w:eastAsia="华文新魏"/>
        <w:sz w:val="21"/>
        <w:szCs w:val="21"/>
        <w:lang w:eastAsia="zh-CN"/>
      </w:rPr>
      <w:t>LXZC2021-044</w:t>
    </w:r>
    <w:r>
      <w:rPr>
        <w:rFonts w:hint="eastAsia" w:ascii="华文新魏" w:hAnsi="华文中宋" w:eastAsia="华文新魏"/>
        <w:sz w:val="21"/>
        <w:szCs w:val="21"/>
        <w:lang w:val="en-US" w:eastAsia="zh-CN"/>
      </w:rPr>
      <w:t xml:space="preserve">   </w:t>
    </w:r>
    <w:r>
      <w:rPr>
        <w:rFonts w:hint="eastAsia" w:eastAsia="华文新魏"/>
        <w:sz w:val="21"/>
        <w:szCs w:val="21"/>
        <w:lang w:eastAsia="zh-CN"/>
      </w:rPr>
      <w:t>无锡市梁溪区规划建筑设计方案智能审查系统</w:t>
    </w:r>
    <w:r>
      <w:rPr>
        <w:rFonts w:hint="eastAsia" w:eastAsia="华文新魏"/>
        <w:sz w:val="21"/>
        <w:szCs w:val="21"/>
        <w:lang w:val="en-US" w:eastAsia="zh-CN"/>
      </w:rPr>
      <w:t xml:space="preserve">      </w:t>
    </w:r>
    <w:r>
      <w:rPr>
        <w:rFonts w:hint="eastAsia" w:eastAsia="华文新魏"/>
        <w:sz w:val="21"/>
        <w:szCs w:val="21"/>
      </w:rPr>
      <w:t>无锡市公共资源交易中心梁溪分中心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rFonts w:hint="default" w:ascii="宋体" w:hAnsi="宋体" w:eastAsia="宋体" w:cs="Times New Roman"/>
        <w:b w:val="0"/>
        <w:bCs w:val="0"/>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1">
    <w:nsid w:val="10926BFE"/>
    <w:multiLevelType w:val="multilevel"/>
    <w:tmpl w:val="10926BFE"/>
    <w:lvl w:ilvl="0" w:tentative="0">
      <w:start w:val="1"/>
      <w:numFmt w:val="japaneseCounting"/>
      <w:lvlText w:val="（%1）"/>
      <w:lvlJc w:val="left"/>
      <w:pPr>
        <w:tabs>
          <w:tab w:val="left" w:pos="1080"/>
        </w:tabs>
        <w:ind w:left="1080" w:hanging="1080"/>
      </w:pPr>
      <w:rPr>
        <w:rFonts w:hint="eastAsia" w:cs="Times New Roman"/>
      </w:rPr>
    </w:lvl>
    <w:lvl w:ilvl="1" w:tentative="0">
      <w:start w:val="1"/>
      <w:numFmt w:val="decimal"/>
      <w:lvlText w:val="%2."/>
      <w:lvlJc w:val="left"/>
      <w:pPr>
        <w:tabs>
          <w:tab w:val="left" w:pos="360"/>
        </w:tabs>
        <w:ind w:left="360" w:hanging="360"/>
      </w:pPr>
      <w:rPr>
        <w:rFonts w:hint="eastAsia" w:cs="Times New Roman"/>
        <w:color w:val="00000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rPr>
    </w:lvl>
  </w:abstractNum>
  <w:abstractNum w:abstractNumId="3">
    <w:nsid w:val="26D85E2D"/>
    <w:multiLevelType w:val="multilevel"/>
    <w:tmpl w:val="26D85E2D"/>
    <w:lvl w:ilvl="0" w:tentative="0">
      <w:start w:val="1"/>
      <w:numFmt w:val="decimal"/>
      <w:lvlText w:val="%1．"/>
      <w:lvlJc w:val="left"/>
      <w:pPr>
        <w:tabs>
          <w:tab w:val="left" w:pos="898"/>
        </w:tabs>
        <w:ind w:left="898" w:hanging="720"/>
      </w:pPr>
      <w:rPr>
        <w:rFonts w:hint="eastAsia"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30C36D78"/>
    <w:multiLevelType w:val="singleLevel"/>
    <w:tmpl w:val="30C36D78"/>
    <w:lvl w:ilvl="0" w:tentative="0">
      <w:start w:val="1"/>
      <w:numFmt w:val="decimal"/>
      <w:lvlText w:val="%1．"/>
      <w:lvlJc w:val="left"/>
      <w:pPr>
        <w:tabs>
          <w:tab w:val="left" w:pos="552"/>
        </w:tabs>
        <w:ind w:left="552" w:hanging="420"/>
      </w:pPr>
      <w:rPr>
        <w:rFonts w:hint="eastAsia" w:cs="Times New Roman"/>
      </w:rPr>
    </w:lvl>
  </w:abstractNum>
  <w:abstractNum w:abstractNumId="5">
    <w:nsid w:val="33713120"/>
    <w:multiLevelType w:val="singleLevel"/>
    <w:tmpl w:val="33713120"/>
    <w:lvl w:ilvl="0" w:tentative="0">
      <w:start w:val="1"/>
      <w:numFmt w:val="decimal"/>
      <w:lvlText w:val="%1."/>
      <w:lvlJc w:val="left"/>
      <w:pPr>
        <w:tabs>
          <w:tab w:val="left" w:pos="210"/>
        </w:tabs>
        <w:ind w:left="210" w:hanging="210"/>
      </w:pPr>
      <w:rPr>
        <w:rFonts w:hint="default" w:ascii="Times New Roman" w:cs="Times New Roman"/>
      </w:rPr>
    </w:lvl>
  </w:abstractNum>
  <w:abstractNum w:abstractNumId="6">
    <w:nsid w:val="38705783"/>
    <w:multiLevelType w:val="singleLevel"/>
    <w:tmpl w:val="38705783"/>
    <w:lvl w:ilvl="0" w:tentative="0">
      <w:start w:val="1"/>
      <w:numFmt w:val="decimal"/>
      <w:lvlText w:val="%1．"/>
      <w:lvlJc w:val="left"/>
      <w:pPr>
        <w:tabs>
          <w:tab w:val="left" w:pos="552"/>
        </w:tabs>
        <w:ind w:left="552" w:hanging="420"/>
      </w:pPr>
      <w:rPr>
        <w:rFonts w:hint="eastAsia" w:cs="Times New Roman"/>
      </w:rPr>
    </w:lvl>
  </w:abstractNum>
  <w:abstractNum w:abstractNumId="7">
    <w:nsid w:val="3AE63A52"/>
    <w:multiLevelType w:val="singleLevel"/>
    <w:tmpl w:val="3AE63A52"/>
    <w:lvl w:ilvl="0" w:tentative="0">
      <w:start w:val="1"/>
      <w:numFmt w:val="decimal"/>
      <w:lvlText w:val="%1."/>
      <w:lvlJc w:val="left"/>
      <w:pPr>
        <w:tabs>
          <w:tab w:val="left" w:pos="762"/>
        </w:tabs>
        <w:ind w:left="762" w:hanging="210"/>
      </w:pPr>
      <w:rPr>
        <w:rFonts w:cs="Times New Roman"/>
      </w:rPr>
    </w:lvl>
  </w:abstractNum>
  <w:abstractNum w:abstractNumId="8">
    <w:nsid w:val="3EC72376"/>
    <w:multiLevelType w:val="multilevel"/>
    <w:tmpl w:val="3EC72376"/>
    <w:lvl w:ilvl="0" w:tentative="0">
      <w:start w:val="8"/>
      <w:numFmt w:val="japaneseCounting"/>
      <w:lvlText w:val="（%1）"/>
      <w:lvlJc w:val="left"/>
      <w:pPr>
        <w:ind w:left="1239" w:hanging="720"/>
      </w:pPr>
      <w:rPr>
        <w:rFonts w:hAnsi="宋体"/>
      </w:rPr>
    </w:lvl>
    <w:lvl w:ilvl="1" w:tentative="0">
      <w:start w:val="1"/>
      <w:numFmt w:val="lowerLetter"/>
      <w:lvlText w:val="%2)"/>
      <w:lvlJc w:val="left"/>
      <w:pPr>
        <w:ind w:left="1359" w:hanging="420"/>
      </w:pPr>
    </w:lvl>
    <w:lvl w:ilvl="2" w:tentative="0">
      <w:start w:val="1"/>
      <w:numFmt w:val="lowerRoman"/>
      <w:lvlText w:val="%3."/>
      <w:lvlJc w:val="right"/>
      <w:pPr>
        <w:ind w:left="1779" w:hanging="420"/>
      </w:pPr>
    </w:lvl>
    <w:lvl w:ilvl="3" w:tentative="0">
      <w:start w:val="1"/>
      <w:numFmt w:val="decimal"/>
      <w:lvlText w:val="%4."/>
      <w:lvlJc w:val="left"/>
      <w:pPr>
        <w:ind w:left="2199" w:hanging="420"/>
      </w:pPr>
    </w:lvl>
    <w:lvl w:ilvl="4" w:tentative="0">
      <w:start w:val="1"/>
      <w:numFmt w:val="lowerLetter"/>
      <w:lvlText w:val="%5)"/>
      <w:lvlJc w:val="left"/>
      <w:pPr>
        <w:ind w:left="2619" w:hanging="420"/>
      </w:pPr>
    </w:lvl>
    <w:lvl w:ilvl="5" w:tentative="0">
      <w:start w:val="1"/>
      <w:numFmt w:val="lowerRoman"/>
      <w:lvlText w:val="%6."/>
      <w:lvlJc w:val="right"/>
      <w:pPr>
        <w:ind w:left="3039" w:hanging="420"/>
      </w:pPr>
    </w:lvl>
    <w:lvl w:ilvl="6" w:tentative="0">
      <w:start w:val="1"/>
      <w:numFmt w:val="decimal"/>
      <w:lvlText w:val="%7."/>
      <w:lvlJc w:val="left"/>
      <w:pPr>
        <w:ind w:left="3459" w:hanging="420"/>
      </w:pPr>
    </w:lvl>
    <w:lvl w:ilvl="7" w:tentative="0">
      <w:start w:val="1"/>
      <w:numFmt w:val="lowerLetter"/>
      <w:lvlText w:val="%8)"/>
      <w:lvlJc w:val="left"/>
      <w:pPr>
        <w:ind w:left="3879" w:hanging="420"/>
      </w:pPr>
    </w:lvl>
    <w:lvl w:ilvl="8" w:tentative="0">
      <w:start w:val="1"/>
      <w:numFmt w:val="lowerRoman"/>
      <w:lvlText w:val="%9."/>
      <w:lvlJc w:val="right"/>
      <w:pPr>
        <w:ind w:left="4299" w:hanging="420"/>
      </w:pPr>
    </w:lvl>
  </w:abstractNum>
  <w:abstractNum w:abstractNumId="9">
    <w:nsid w:val="41DC48F5"/>
    <w:multiLevelType w:val="multilevel"/>
    <w:tmpl w:val="41DC48F5"/>
    <w:lvl w:ilvl="0" w:tentative="0">
      <w:start w:val="1"/>
      <w:numFmt w:val="decimal"/>
      <w:lvlText w:val="%1．"/>
      <w:lvlJc w:val="left"/>
      <w:pPr>
        <w:tabs>
          <w:tab w:val="left" w:pos="898"/>
        </w:tabs>
        <w:ind w:left="898" w:hanging="720"/>
      </w:pPr>
      <w:rPr>
        <w:rFonts w:hint="eastAsia" w:cs="Times New Roman"/>
        <w:color w:val="000000"/>
      </w:rPr>
    </w:lvl>
    <w:lvl w:ilvl="1" w:tentative="0">
      <w:start w:val="3"/>
      <w:numFmt w:val="decimal"/>
      <w:lvlText w:val="%2."/>
      <w:lvlJc w:val="left"/>
      <w:pPr>
        <w:tabs>
          <w:tab w:val="left" w:pos="958"/>
        </w:tabs>
        <w:ind w:left="958" w:hanging="360"/>
      </w:pPr>
      <w:rPr>
        <w:rFonts w:hint="default" w:cs="Times New Roman"/>
      </w:rPr>
    </w:lvl>
    <w:lvl w:ilvl="2" w:tentative="0">
      <w:start w:val="1"/>
      <w:numFmt w:val="decimalEnclosedCircle"/>
      <w:lvlText w:val="%3"/>
      <w:lvlJc w:val="left"/>
      <w:pPr>
        <w:tabs>
          <w:tab w:val="left" w:pos="1378"/>
        </w:tabs>
        <w:ind w:left="1378" w:hanging="360"/>
      </w:pPr>
      <w:rPr>
        <w:rFonts w:hint="default" w:cs="Times New Roman"/>
        <w:color w:val="auto"/>
      </w:rPr>
    </w:lvl>
    <w:lvl w:ilvl="3" w:tentative="0">
      <w:start w:val="1"/>
      <w:numFmt w:val="decimal"/>
      <w:lvlText w:val="%4."/>
      <w:lvlJc w:val="left"/>
      <w:pPr>
        <w:tabs>
          <w:tab w:val="left" w:pos="1858"/>
        </w:tabs>
        <w:ind w:left="1858" w:hanging="420"/>
      </w:pPr>
      <w:rPr>
        <w:rFonts w:cs="Times New Roman"/>
      </w:rPr>
    </w:lvl>
    <w:lvl w:ilvl="4" w:tentative="0">
      <w:start w:val="1"/>
      <w:numFmt w:val="lowerLetter"/>
      <w:lvlText w:val="%5)"/>
      <w:lvlJc w:val="left"/>
      <w:pPr>
        <w:tabs>
          <w:tab w:val="left" w:pos="2278"/>
        </w:tabs>
        <w:ind w:left="2278" w:hanging="420"/>
      </w:pPr>
      <w:rPr>
        <w:rFonts w:cs="Times New Roman"/>
      </w:rPr>
    </w:lvl>
    <w:lvl w:ilvl="5" w:tentative="0">
      <w:start w:val="1"/>
      <w:numFmt w:val="lowerRoman"/>
      <w:lvlText w:val="%6."/>
      <w:lvlJc w:val="right"/>
      <w:pPr>
        <w:tabs>
          <w:tab w:val="left" w:pos="2698"/>
        </w:tabs>
        <w:ind w:left="2698" w:hanging="420"/>
      </w:pPr>
      <w:rPr>
        <w:rFonts w:cs="Times New Roman"/>
      </w:rPr>
    </w:lvl>
    <w:lvl w:ilvl="6" w:tentative="0">
      <w:start w:val="1"/>
      <w:numFmt w:val="decimal"/>
      <w:lvlText w:val="%7."/>
      <w:lvlJc w:val="left"/>
      <w:pPr>
        <w:tabs>
          <w:tab w:val="left" w:pos="3118"/>
        </w:tabs>
        <w:ind w:left="3118" w:hanging="420"/>
      </w:pPr>
      <w:rPr>
        <w:rFonts w:cs="Times New Roman"/>
      </w:rPr>
    </w:lvl>
    <w:lvl w:ilvl="7" w:tentative="0">
      <w:start w:val="1"/>
      <w:numFmt w:val="lowerLetter"/>
      <w:lvlText w:val="%8)"/>
      <w:lvlJc w:val="left"/>
      <w:pPr>
        <w:tabs>
          <w:tab w:val="left" w:pos="3538"/>
        </w:tabs>
        <w:ind w:left="3538" w:hanging="420"/>
      </w:pPr>
      <w:rPr>
        <w:rFonts w:cs="Times New Roman"/>
      </w:rPr>
    </w:lvl>
    <w:lvl w:ilvl="8" w:tentative="0">
      <w:start w:val="1"/>
      <w:numFmt w:val="lowerRoman"/>
      <w:lvlText w:val="%9."/>
      <w:lvlJc w:val="right"/>
      <w:pPr>
        <w:tabs>
          <w:tab w:val="left" w:pos="3958"/>
        </w:tabs>
        <w:ind w:left="3958" w:hanging="420"/>
      </w:pPr>
      <w:rPr>
        <w:rFonts w:cs="Times New Roman"/>
      </w:rPr>
    </w:lvl>
  </w:abstractNum>
  <w:abstractNum w:abstractNumId="10">
    <w:nsid w:val="4FE82BE3"/>
    <w:multiLevelType w:val="multilevel"/>
    <w:tmpl w:val="4FE82BE3"/>
    <w:lvl w:ilvl="0" w:tentative="0">
      <w:start w:val="1"/>
      <w:numFmt w:val="decimalEnclosedCircle"/>
      <w:lvlText w:val="%1"/>
      <w:lvlJc w:val="left"/>
      <w:pPr>
        <w:tabs>
          <w:tab w:val="left" w:pos="881"/>
        </w:tabs>
        <w:ind w:left="881" w:hanging="360"/>
      </w:pPr>
      <w:rPr>
        <w:rFonts w:ascii="宋体" w:hAnsi="宋体" w:eastAsia="宋体" w:cs="Times New Roman"/>
      </w:rPr>
    </w:lvl>
    <w:lvl w:ilvl="1" w:tentative="0">
      <w:start w:val="1"/>
      <w:numFmt w:val="lowerLetter"/>
      <w:lvlText w:val="%2)"/>
      <w:lvlJc w:val="left"/>
      <w:pPr>
        <w:tabs>
          <w:tab w:val="left" w:pos="1361"/>
        </w:tabs>
        <w:ind w:left="1361" w:hanging="420"/>
      </w:pPr>
      <w:rPr>
        <w:rFonts w:cs="Times New Roman"/>
      </w:rPr>
    </w:lvl>
    <w:lvl w:ilvl="2" w:tentative="0">
      <w:start w:val="1"/>
      <w:numFmt w:val="lowerRoman"/>
      <w:lvlText w:val="%3."/>
      <w:lvlJc w:val="right"/>
      <w:pPr>
        <w:tabs>
          <w:tab w:val="left" w:pos="1781"/>
        </w:tabs>
        <w:ind w:left="1781" w:hanging="420"/>
      </w:pPr>
      <w:rPr>
        <w:rFonts w:cs="Times New Roman"/>
      </w:rPr>
    </w:lvl>
    <w:lvl w:ilvl="3" w:tentative="0">
      <w:start w:val="1"/>
      <w:numFmt w:val="decimal"/>
      <w:lvlText w:val="%4."/>
      <w:lvlJc w:val="left"/>
      <w:pPr>
        <w:tabs>
          <w:tab w:val="left" w:pos="2201"/>
        </w:tabs>
        <w:ind w:left="2201" w:hanging="420"/>
      </w:pPr>
      <w:rPr>
        <w:rFonts w:cs="Times New Roman"/>
      </w:rPr>
    </w:lvl>
    <w:lvl w:ilvl="4" w:tentative="0">
      <w:start w:val="1"/>
      <w:numFmt w:val="lowerLetter"/>
      <w:lvlText w:val="%5)"/>
      <w:lvlJc w:val="left"/>
      <w:pPr>
        <w:tabs>
          <w:tab w:val="left" w:pos="2621"/>
        </w:tabs>
        <w:ind w:left="2621" w:hanging="420"/>
      </w:pPr>
      <w:rPr>
        <w:rFonts w:cs="Times New Roman"/>
      </w:rPr>
    </w:lvl>
    <w:lvl w:ilvl="5" w:tentative="0">
      <w:start w:val="1"/>
      <w:numFmt w:val="lowerRoman"/>
      <w:lvlText w:val="%6."/>
      <w:lvlJc w:val="right"/>
      <w:pPr>
        <w:tabs>
          <w:tab w:val="left" w:pos="3041"/>
        </w:tabs>
        <w:ind w:left="3041" w:hanging="420"/>
      </w:pPr>
      <w:rPr>
        <w:rFonts w:cs="Times New Roman"/>
      </w:rPr>
    </w:lvl>
    <w:lvl w:ilvl="6" w:tentative="0">
      <w:start w:val="1"/>
      <w:numFmt w:val="decimal"/>
      <w:lvlText w:val="%7."/>
      <w:lvlJc w:val="left"/>
      <w:pPr>
        <w:tabs>
          <w:tab w:val="left" w:pos="3461"/>
        </w:tabs>
        <w:ind w:left="3461" w:hanging="420"/>
      </w:pPr>
      <w:rPr>
        <w:rFonts w:cs="Times New Roman"/>
      </w:rPr>
    </w:lvl>
    <w:lvl w:ilvl="7" w:tentative="0">
      <w:start w:val="1"/>
      <w:numFmt w:val="lowerLetter"/>
      <w:lvlText w:val="%8)"/>
      <w:lvlJc w:val="left"/>
      <w:pPr>
        <w:tabs>
          <w:tab w:val="left" w:pos="3881"/>
        </w:tabs>
        <w:ind w:left="3881" w:hanging="420"/>
      </w:pPr>
      <w:rPr>
        <w:rFonts w:cs="Times New Roman"/>
      </w:rPr>
    </w:lvl>
    <w:lvl w:ilvl="8" w:tentative="0">
      <w:start w:val="1"/>
      <w:numFmt w:val="lowerRoman"/>
      <w:lvlText w:val="%9."/>
      <w:lvlJc w:val="right"/>
      <w:pPr>
        <w:tabs>
          <w:tab w:val="left" w:pos="4301"/>
        </w:tabs>
        <w:ind w:left="4301" w:hanging="420"/>
      </w:pPr>
      <w:rPr>
        <w:rFonts w:cs="Times New Roman"/>
      </w:rPr>
    </w:lvl>
  </w:abstractNum>
  <w:abstractNum w:abstractNumId="11">
    <w:nsid w:val="566E099F"/>
    <w:multiLevelType w:val="multilevel"/>
    <w:tmpl w:val="566E099F"/>
    <w:lvl w:ilvl="0" w:tentative="0">
      <w:start w:val="1"/>
      <w:numFmt w:val="decimalEnclosedCircle"/>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630C1BC3"/>
    <w:multiLevelType w:val="multilevel"/>
    <w:tmpl w:val="630C1BC3"/>
    <w:lvl w:ilvl="0" w:tentative="0">
      <w:start w:val="1"/>
      <w:numFmt w:val="decimal"/>
      <w:lvlText w:val="%1."/>
      <w:lvlJc w:val="left"/>
      <w:pPr>
        <w:tabs>
          <w:tab w:val="left" w:pos="510"/>
        </w:tabs>
        <w:ind w:left="510" w:hanging="360"/>
      </w:pPr>
      <w:rPr>
        <w:rFonts w:hint="eastAsia" w:cs="Times New Roman"/>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420"/>
        </w:tabs>
        <w:ind w:left="420" w:hanging="420"/>
      </w:pPr>
      <w:rPr>
        <w:rFonts w:hint="eastAsia" w:cs="Times New Roman"/>
      </w:rPr>
    </w:lvl>
    <w:lvl w:ilvl="5" w:tentative="0">
      <w:start w:val="10"/>
      <w:numFmt w:val="japaneseCounting"/>
      <w:lvlText w:val="（%6）"/>
      <w:lvlJc w:val="left"/>
      <w:pPr>
        <w:ind w:left="2970" w:hanging="720"/>
      </w:pPr>
      <w:rPr>
        <w:rFonts w:hint="default" w:cs="Times New Roman"/>
      </w:rPr>
    </w:lvl>
    <w:lvl w:ilvl="6" w:tentative="0">
      <w:start w:val="1"/>
      <w:numFmt w:val="decimal"/>
      <w:lvlText w:val="%7."/>
      <w:lvlJc w:val="left"/>
      <w:pPr>
        <w:tabs>
          <w:tab w:val="left" w:pos="3090"/>
        </w:tabs>
        <w:ind w:left="3090" w:hanging="420"/>
      </w:pPr>
      <w:rPr>
        <w:rFonts w:cs="Times New Roman"/>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13">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666030AB"/>
    <w:multiLevelType w:val="multilevel"/>
    <w:tmpl w:val="666030AB"/>
    <w:lvl w:ilvl="0" w:tentative="0">
      <w:start w:val="1"/>
      <w:numFmt w:val="decimal"/>
      <w:lvlText w:val="（%1）"/>
      <w:lvlJc w:val="left"/>
      <w:pPr>
        <w:tabs>
          <w:tab w:val="left" w:pos="1710"/>
        </w:tabs>
        <w:ind w:left="1710" w:hanging="720"/>
      </w:pPr>
      <w:rPr>
        <w:rFonts w:hint="eastAsia" w:cs="Times New Roman"/>
      </w:rPr>
    </w:lvl>
    <w:lvl w:ilvl="1" w:tentative="0">
      <w:start w:val="2"/>
      <w:numFmt w:val="decimal"/>
      <w:lvlText w:val="%2."/>
      <w:lvlJc w:val="left"/>
      <w:pPr>
        <w:tabs>
          <w:tab w:val="left" w:pos="1770"/>
        </w:tabs>
        <w:ind w:left="1770" w:hanging="360"/>
      </w:pPr>
      <w:rPr>
        <w:rFonts w:hint="default" w:cs="Times New Roman"/>
      </w:rPr>
    </w:lvl>
    <w:lvl w:ilvl="2" w:tentative="0">
      <w:start w:val="1"/>
      <w:numFmt w:val="lowerRoman"/>
      <w:lvlText w:val="%3."/>
      <w:lvlJc w:val="right"/>
      <w:pPr>
        <w:tabs>
          <w:tab w:val="left" w:pos="2250"/>
        </w:tabs>
        <w:ind w:left="2250" w:hanging="420"/>
      </w:pPr>
      <w:rPr>
        <w:rFonts w:cs="Times New Roman"/>
      </w:rPr>
    </w:lvl>
    <w:lvl w:ilvl="3" w:tentative="0">
      <w:start w:val="1"/>
      <w:numFmt w:val="decimal"/>
      <w:lvlText w:val="%4."/>
      <w:lvlJc w:val="left"/>
      <w:pPr>
        <w:tabs>
          <w:tab w:val="left" w:pos="2670"/>
        </w:tabs>
        <w:ind w:left="2670" w:hanging="420"/>
      </w:pPr>
      <w:rPr>
        <w:rFonts w:cs="Times New Roman"/>
      </w:rPr>
    </w:lvl>
    <w:lvl w:ilvl="4" w:tentative="0">
      <w:start w:val="1"/>
      <w:numFmt w:val="lowerLetter"/>
      <w:lvlText w:val="%5)"/>
      <w:lvlJc w:val="left"/>
      <w:pPr>
        <w:tabs>
          <w:tab w:val="left" w:pos="3090"/>
        </w:tabs>
        <w:ind w:left="3090" w:hanging="420"/>
      </w:pPr>
      <w:rPr>
        <w:rFonts w:cs="Times New Roman"/>
      </w:rPr>
    </w:lvl>
    <w:lvl w:ilvl="5" w:tentative="0">
      <w:start w:val="1"/>
      <w:numFmt w:val="lowerRoman"/>
      <w:lvlText w:val="%6."/>
      <w:lvlJc w:val="right"/>
      <w:pPr>
        <w:tabs>
          <w:tab w:val="left" w:pos="3510"/>
        </w:tabs>
        <w:ind w:left="3510" w:hanging="420"/>
      </w:pPr>
      <w:rPr>
        <w:rFonts w:cs="Times New Roman"/>
      </w:rPr>
    </w:lvl>
    <w:lvl w:ilvl="6" w:tentative="0">
      <w:start w:val="1"/>
      <w:numFmt w:val="decimal"/>
      <w:lvlText w:val="%7."/>
      <w:lvlJc w:val="left"/>
      <w:pPr>
        <w:tabs>
          <w:tab w:val="left" w:pos="3930"/>
        </w:tabs>
        <w:ind w:left="3930" w:hanging="420"/>
      </w:pPr>
      <w:rPr>
        <w:rFonts w:cs="Times New Roman"/>
      </w:rPr>
    </w:lvl>
    <w:lvl w:ilvl="7" w:tentative="0">
      <w:start w:val="1"/>
      <w:numFmt w:val="lowerLetter"/>
      <w:lvlText w:val="%8)"/>
      <w:lvlJc w:val="left"/>
      <w:pPr>
        <w:tabs>
          <w:tab w:val="left" w:pos="4350"/>
        </w:tabs>
        <w:ind w:left="4350" w:hanging="420"/>
      </w:pPr>
      <w:rPr>
        <w:rFonts w:cs="Times New Roman"/>
      </w:rPr>
    </w:lvl>
    <w:lvl w:ilvl="8" w:tentative="0">
      <w:start w:val="1"/>
      <w:numFmt w:val="lowerRoman"/>
      <w:lvlText w:val="%9."/>
      <w:lvlJc w:val="right"/>
      <w:pPr>
        <w:tabs>
          <w:tab w:val="left" w:pos="4770"/>
        </w:tabs>
        <w:ind w:left="4770" w:hanging="420"/>
      </w:pPr>
      <w:rPr>
        <w:rFonts w:cs="Times New Roman"/>
      </w:rPr>
    </w:lvl>
  </w:abstractNum>
  <w:abstractNum w:abstractNumId="15">
    <w:nsid w:val="691E62C6"/>
    <w:multiLevelType w:val="multilevel"/>
    <w:tmpl w:val="691E62C6"/>
    <w:lvl w:ilvl="0" w:tentative="0">
      <w:start w:val="2"/>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6">
    <w:nsid w:val="6EE101FC"/>
    <w:multiLevelType w:val="singleLevel"/>
    <w:tmpl w:val="6EE101FC"/>
    <w:lvl w:ilvl="0" w:tentative="0">
      <w:start w:val="1"/>
      <w:numFmt w:val="decimal"/>
      <w:lvlText w:val="%1．"/>
      <w:lvlJc w:val="left"/>
      <w:pPr>
        <w:tabs>
          <w:tab w:val="left" w:pos="570"/>
        </w:tabs>
        <w:ind w:left="570" w:hanging="420"/>
      </w:pPr>
      <w:rPr>
        <w:rFonts w:hint="eastAsia" w:cs="Times New Roman"/>
      </w:rPr>
    </w:lvl>
  </w:abstractNum>
  <w:abstractNum w:abstractNumId="17">
    <w:nsid w:val="71D54D18"/>
    <w:multiLevelType w:val="multilevel"/>
    <w:tmpl w:val="71D54D18"/>
    <w:lvl w:ilvl="0" w:tentative="0">
      <w:start w:val="1"/>
      <w:numFmt w:val="upperLetter"/>
      <w:pStyle w:val="9"/>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
    <w:nsid w:val="7A672089"/>
    <w:multiLevelType w:val="singleLevel"/>
    <w:tmpl w:val="7A672089"/>
    <w:lvl w:ilvl="0" w:tentative="0">
      <w:start w:val="1"/>
      <w:numFmt w:val="decimal"/>
      <w:lvlText w:val="%1."/>
      <w:lvlJc w:val="left"/>
      <w:pPr>
        <w:tabs>
          <w:tab w:val="left" w:pos="762"/>
        </w:tabs>
        <w:ind w:left="762" w:hanging="210"/>
      </w:pPr>
      <w:rPr>
        <w:rFonts w:hint="eastAsia" w:cs="Times New Roman"/>
      </w:rPr>
    </w:lvl>
  </w:abstractNum>
  <w:num w:numId="1">
    <w:abstractNumId w:val="17"/>
  </w:num>
  <w:num w:numId="2">
    <w:abstractNumId w:val="15"/>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8"/>
    <w:lvlOverride w:ilvl="0">
      <w:startOverride w:val="1"/>
    </w:lvlOverride>
  </w:num>
  <w:num w:numId="7">
    <w:abstractNumId w:val="7"/>
    <w:lvlOverride w:ilvl="0">
      <w:startOverride w:val="1"/>
    </w:lvlOverride>
  </w:num>
  <w:num w:numId="8">
    <w:abstractNumId w:val="1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num>
  <w:num w:numId="13">
    <w:abstractNumId w:val="16"/>
  </w:num>
  <w:num w:numId="14">
    <w:abstractNumId w:val="14"/>
  </w:num>
  <w:num w:numId="15">
    <w:abstractNumId w:val="6"/>
  </w:num>
  <w:num w:numId="16">
    <w:abstractNumId w:val="12"/>
  </w:num>
  <w:num w:numId="17">
    <w:abstractNumId w:val="1"/>
  </w:num>
  <w:num w:numId="1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E7C"/>
    <w:rsid w:val="00000246"/>
    <w:rsid w:val="0000147A"/>
    <w:rsid w:val="00001D91"/>
    <w:rsid w:val="000025FD"/>
    <w:rsid w:val="0000630B"/>
    <w:rsid w:val="0000706E"/>
    <w:rsid w:val="0001062E"/>
    <w:rsid w:val="000109A3"/>
    <w:rsid w:val="0001120F"/>
    <w:rsid w:val="000114F5"/>
    <w:rsid w:val="0001198A"/>
    <w:rsid w:val="00015719"/>
    <w:rsid w:val="00016B3F"/>
    <w:rsid w:val="00017561"/>
    <w:rsid w:val="00017773"/>
    <w:rsid w:val="00017BE8"/>
    <w:rsid w:val="00017E5F"/>
    <w:rsid w:val="0002028A"/>
    <w:rsid w:val="00020AA6"/>
    <w:rsid w:val="00021B38"/>
    <w:rsid w:val="00021C55"/>
    <w:rsid w:val="00021D3D"/>
    <w:rsid w:val="0002482E"/>
    <w:rsid w:val="0002495A"/>
    <w:rsid w:val="000273DF"/>
    <w:rsid w:val="000337EB"/>
    <w:rsid w:val="00033B04"/>
    <w:rsid w:val="00034340"/>
    <w:rsid w:val="00035F23"/>
    <w:rsid w:val="00036986"/>
    <w:rsid w:val="00037074"/>
    <w:rsid w:val="00037E14"/>
    <w:rsid w:val="0004115C"/>
    <w:rsid w:val="0004138A"/>
    <w:rsid w:val="000413ED"/>
    <w:rsid w:val="000415CD"/>
    <w:rsid w:val="00042DB2"/>
    <w:rsid w:val="000433BF"/>
    <w:rsid w:val="00043493"/>
    <w:rsid w:val="0004377B"/>
    <w:rsid w:val="00044F01"/>
    <w:rsid w:val="00047103"/>
    <w:rsid w:val="000478D6"/>
    <w:rsid w:val="000501C8"/>
    <w:rsid w:val="000508F5"/>
    <w:rsid w:val="00052D27"/>
    <w:rsid w:val="00053810"/>
    <w:rsid w:val="00053B23"/>
    <w:rsid w:val="00055172"/>
    <w:rsid w:val="000561D6"/>
    <w:rsid w:val="00056FF7"/>
    <w:rsid w:val="00057B7C"/>
    <w:rsid w:val="0006076C"/>
    <w:rsid w:val="000608B0"/>
    <w:rsid w:val="000628EE"/>
    <w:rsid w:val="000659F4"/>
    <w:rsid w:val="000675AF"/>
    <w:rsid w:val="000678F3"/>
    <w:rsid w:val="00067E9F"/>
    <w:rsid w:val="0007120B"/>
    <w:rsid w:val="0007339C"/>
    <w:rsid w:val="000734BB"/>
    <w:rsid w:val="00074792"/>
    <w:rsid w:val="00075491"/>
    <w:rsid w:val="000759A3"/>
    <w:rsid w:val="00075DD9"/>
    <w:rsid w:val="000763A3"/>
    <w:rsid w:val="00076BD2"/>
    <w:rsid w:val="000821F9"/>
    <w:rsid w:val="00082FEF"/>
    <w:rsid w:val="0008355D"/>
    <w:rsid w:val="00083932"/>
    <w:rsid w:val="00083FE1"/>
    <w:rsid w:val="0008519B"/>
    <w:rsid w:val="00085876"/>
    <w:rsid w:val="00087758"/>
    <w:rsid w:val="0009023A"/>
    <w:rsid w:val="000903B2"/>
    <w:rsid w:val="00092396"/>
    <w:rsid w:val="0009595E"/>
    <w:rsid w:val="000A0304"/>
    <w:rsid w:val="000A0558"/>
    <w:rsid w:val="000A0D51"/>
    <w:rsid w:val="000A0F85"/>
    <w:rsid w:val="000A10E2"/>
    <w:rsid w:val="000A1660"/>
    <w:rsid w:val="000A1817"/>
    <w:rsid w:val="000A32EA"/>
    <w:rsid w:val="000A4837"/>
    <w:rsid w:val="000A54CD"/>
    <w:rsid w:val="000A6749"/>
    <w:rsid w:val="000A720C"/>
    <w:rsid w:val="000B1D13"/>
    <w:rsid w:val="000B1DF3"/>
    <w:rsid w:val="000B3D4D"/>
    <w:rsid w:val="000B3E3B"/>
    <w:rsid w:val="000B5F16"/>
    <w:rsid w:val="000B67A4"/>
    <w:rsid w:val="000C052C"/>
    <w:rsid w:val="000C074F"/>
    <w:rsid w:val="000C5496"/>
    <w:rsid w:val="000D0BC6"/>
    <w:rsid w:val="000D15A8"/>
    <w:rsid w:val="000D2FE0"/>
    <w:rsid w:val="000D31F8"/>
    <w:rsid w:val="000D3C7B"/>
    <w:rsid w:val="000D3F2B"/>
    <w:rsid w:val="000D41B9"/>
    <w:rsid w:val="000D450D"/>
    <w:rsid w:val="000D547B"/>
    <w:rsid w:val="000D55BC"/>
    <w:rsid w:val="000D6935"/>
    <w:rsid w:val="000D71CB"/>
    <w:rsid w:val="000E08A3"/>
    <w:rsid w:val="000E0F29"/>
    <w:rsid w:val="000E127E"/>
    <w:rsid w:val="000E57EB"/>
    <w:rsid w:val="000E7D8B"/>
    <w:rsid w:val="000F0B78"/>
    <w:rsid w:val="000F138B"/>
    <w:rsid w:val="000F16DF"/>
    <w:rsid w:val="000F1B4D"/>
    <w:rsid w:val="000F2375"/>
    <w:rsid w:val="000F423D"/>
    <w:rsid w:val="000F520D"/>
    <w:rsid w:val="000F63CA"/>
    <w:rsid w:val="000F6A18"/>
    <w:rsid w:val="000F71F0"/>
    <w:rsid w:val="000F73AC"/>
    <w:rsid w:val="00100E48"/>
    <w:rsid w:val="00101CE7"/>
    <w:rsid w:val="00101FF8"/>
    <w:rsid w:val="00103EC7"/>
    <w:rsid w:val="001055CE"/>
    <w:rsid w:val="00107877"/>
    <w:rsid w:val="00110500"/>
    <w:rsid w:val="00110CB5"/>
    <w:rsid w:val="001114B4"/>
    <w:rsid w:val="001114FF"/>
    <w:rsid w:val="001134ED"/>
    <w:rsid w:val="001140DE"/>
    <w:rsid w:val="00115415"/>
    <w:rsid w:val="001157CA"/>
    <w:rsid w:val="0011597E"/>
    <w:rsid w:val="00115ACD"/>
    <w:rsid w:val="00115D18"/>
    <w:rsid w:val="00116412"/>
    <w:rsid w:val="00120A0A"/>
    <w:rsid w:val="0012114A"/>
    <w:rsid w:val="001216AB"/>
    <w:rsid w:val="001220ED"/>
    <w:rsid w:val="00122112"/>
    <w:rsid w:val="001249B8"/>
    <w:rsid w:val="001249E7"/>
    <w:rsid w:val="0012542C"/>
    <w:rsid w:val="0012629F"/>
    <w:rsid w:val="00127B0D"/>
    <w:rsid w:val="00127F9B"/>
    <w:rsid w:val="00130664"/>
    <w:rsid w:val="001325B8"/>
    <w:rsid w:val="00132D94"/>
    <w:rsid w:val="0013301B"/>
    <w:rsid w:val="00133BEC"/>
    <w:rsid w:val="001342A6"/>
    <w:rsid w:val="0013468C"/>
    <w:rsid w:val="00134735"/>
    <w:rsid w:val="00134EBB"/>
    <w:rsid w:val="00135B43"/>
    <w:rsid w:val="00135FC3"/>
    <w:rsid w:val="001370A7"/>
    <w:rsid w:val="00137695"/>
    <w:rsid w:val="001379D5"/>
    <w:rsid w:val="00137B77"/>
    <w:rsid w:val="00140BF2"/>
    <w:rsid w:val="00140D27"/>
    <w:rsid w:val="00141545"/>
    <w:rsid w:val="001415E2"/>
    <w:rsid w:val="0014180E"/>
    <w:rsid w:val="00142075"/>
    <w:rsid w:val="00142503"/>
    <w:rsid w:val="00142AD5"/>
    <w:rsid w:val="00142ADA"/>
    <w:rsid w:val="001433FF"/>
    <w:rsid w:val="00143722"/>
    <w:rsid w:val="0014621F"/>
    <w:rsid w:val="00146CEA"/>
    <w:rsid w:val="00150326"/>
    <w:rsid w:val="001505DA"/>
    <w:rsid w:val="001516CA"/>
    <w:rsid w:val="00152DF6"/>
    <w:rsid w:val="00154F32"/>
    <w:rsid w:val="00155484"/>
    <w:rsid w:val="001560CD"/>
    <w:rsid w:val="0015678F"/>
    <w:rsid w:val="00156D8F"/>
    <w:rsid w:val="00156F98"/>
    <w:rsid w:val="0016033E"/>
    <w:rsid w:val="00161C78"/>
    <w:rsid w:val="0016340B"/>
    <w:rsid w:val="0016356D"/>
    <w:rsid w:val="0016461F"/>
    <w:rsid w:val="0016484D"/>
    <w:rsid w:val="00165BA1"/>
    <w:rsid w:val="0016602F"/>
    <w:rsid w:val="00166298"/>
    <w:rsid w:val="00170996"/>
    <w:rsid w:val="001713BF"/>
    <w:rsid w:val="0017312D"/>
    <w:rsid w:val="00174FDC"/>
    <w:rsid w:val="0017630E"/>
    <w:rsid w:val="001763FA"/>
    <w:rsid w:val="0017682B"/>
    <w:rsid w:val="001777FF"/>
    <w:rsid w:val="00180444"/>
    <w:rsid w:val="00181B67"/>
    <w:rsid w:val="00183235"/>
    <w:rsid w:val="00184556"/>
    <w:rsid w:val="0018524B"/>
    <w:rsid w:val="00185A0C"/>
    <w:rsid w:val="00186545"/>
    <w:rsid w:val="00191007"/>
    <w:rsid w:val="00191F46"/>
    <w:rsid w:val="001924D5"/>
    <w:rsid w:val="00192C20"/>
    <w:rsid w:val="00193BBC"/>
    <w:rsid w:val="0019535E"/>
    <w:rsid w:val="001961C4"/>
    <w:rsid w:val="00196523"/>
    <w:rsid w:val="00197530"/>
    <w:rsid w:val="001A02BB"/>
    <w:rsid w:val="001A17D5"/>
    <w:rsid w:val="001A1C67"/>
    <w:rsid w:val="001A31B2"/>
    <w:rsid w:val="001A3575"/>
    <w:rsid w:val="001A5089"/>
    <w:rsid w:val="001A54D0"/>
    <w:rsid w:val="001A5A56"/>
    <w:rsid w:val="001A7E8E"/>
    <w:rsid w:val="001B1BB4"/>
    <w:rsid w:val="001B2471"/>
    <w:rsid w:val="001B2D81"/>
    <w:rsid w:val="001B36AD"/>
    <w:rsid w:val="001B3FB8"/>
    <w:rsid w:val="001B5D8F"/>
    <w:rsid w:val="001B676F"/>
    <w:rsid w:val="001B6791"/>
    <w:rsid w:val="001B794E"/>
    <w:rsid w:val="001C25B0"/>
    <w:rsid w:val="001C467D"/>
    <w:rsid w:val="001C6217"/>
    <w:rsid w:val="001C66C0"/>
    <w:rsid w:val="001C6C8F"/>
    <w:rsid w:val="001C77DE"/>
    <w:rsid w:val="001D2039"/>
    <w:rsid w:val="001D34E9"/>
    <w:rsid w:val="001D37D9"/>
    <w:rsid w:val="001D3FC1"/>
    <w:rsid w:val="001D40E8"/>
    <w:rsid w:val="001D428C"/>
    <w:rsid w:val="001D46D2"/>
    <w:rsid w:val="001D4EA7"/>
    <w:rsid w:val="001D5F8D"/>
    <w:rsid w:val="001D64DC"/>
    <w:rsid w:val="001E0112"/>
    <w:rsid w:val="001E104F"/>
    <w:rsid w:val="001E3929"/>
    <w:rsid w:val="001E3F25"/>
    <w:rsid w:val="001E6915"/>
    <w:rsid w:val="001E773C"/>
    <w:rsid w:val="001E7BB0"/>
    <w:rsid w:val="001E7F04"/>
    <w:rsid w:val="001F067F"/>
    <w:rsid w:val="001F11D1"/>
    <w:rsid w:val="001F24EF"/>
    <w:rsid w:val="001F36C0"/>
    <w:rsid w:val="001F452C"/>
    <w:rsid w:val="001F5C10"/>
    <w:rsid w:val="001F5FCA"/>
    <w:rsid w:val="001F7677"/>
    <w:rsid w:val="001F7D09"/>
    <w:rsid w:val="0020143F"/>
    <w:rsid w:val="0020238F"/>
    <w:rsid w:val="00202489"/>
    <w:rsid w:val="00207130"/>
    <w:rsid w:val="002077E3"/>
    <w:rsid w:val="002077FB"/>
    <w:rsid w:val="00207EB8"/>
    <w:rsid w:val="00210A92"/>
    <w:rsid w:val="00211CAB"/>
    <w:rsid w:val="0021273C"/>
    <w:rsid w:val="002128BA"/>
    <w:rsid w:val="00212FE6"/>
    <w:rsid w:val="00213848"/>
    <w:rsid w:val="00213926"/>
    <w:rsid w:val="00214951"/>
    <w:rsid w:val="00216CCD"/>
    <w:rsid w:val="002207BB"/>
    <w:rsid w:val="00222DDA"/>
    <w:rsid w:val="00223423"/>
    <w:rsid w:val="0022348D"/>
    <w:rsid w:val="0022355E"/>
    <w:rsid w:val="0022603E"/>
    <w:rsid w:val="0022676E"/>
    <w:rsid w:val="00227686"/>
    <w:rsid w:val="00227A8D"/>
    <w:rsid w:val="002315FF"/>
    <w:rsid w:val="002324F7"/>
    <w:rsid w:val="00232E8C"/>
    <w:rsid w:val="00232FE0"/>
    <w:rsid w:val="00232FE1"/>
    <w:rsid w:val="0023308C"/>
    <w:rsid w:val="002348B8"/>
    <w:rsid w:val="002361A4"/>
    <w:rsid w:val="002367B7"/>
    <w:rsid w:val="00236826"/>
    <w:rsid w:val="00237D5F"/>
    <w:rsid w:val="002401C6"/>
    <w:rsid w:val="0024070E"/>
    <w:rsid w:val="0024107B"/>
    <w:rsid w:val="00242072"/>
    <w:rsid w:val="002440C5"/>
    <w:rsid w:val="0024486B"/>
    <w:rsid w:val="002449A6"/>
    <w:rsid w:val="0024551F"/>
    <w:rsid w:val="00246798"/>
    <w:rsid w:val="00246976"/>
    <w:rsid w:val="00247A5D"/>
    <w:rsid w:val="00250EA8"/>
    <w:rsid w:val="0025328C"/>
    <w:rsid w:val="00255CD8"/>
    <w:rsid w:val="0025660D"/>
    <w:rsid w:val="0025745D"/>
    <w:rsid w:val="00257F56"/>
    <w:rsid w:val="00261791"/>
    <w:rsid w:val="002631F1"/>
    <w:rsid w:val="00264143"/>
    <w:rsid w:val="002648B7"/>
    <w:rsid w:val="002662DF"/>
    <w:rsid w:val="00266E9A"/>
    <w:rsid w:val="00267ADA"/>
    <w:rsid w:val="00267BA6"/>
    <w:rsid w:val="00270D2F"/>
    <w:rsid w:val="002729FF"/>
    <w:rsid w:val="00273B24"/>
    <w:rsid w:val="002746EF"/>
    <w:rsid w:val="00274FAC"/>
    <w:rsid w:val="00275375"/>
    <w:rsid w:val="00275BBB"/>
    <w:rsid w:val="00276963"/>
    <w:rsid w:val="00281F9F"/>
    <w:rsid w:val="0028360F"/>
    <w:rsid w:val="00283739"/>
    <w:rsid w:val="00284497"/>
    <w:rsid w:val="002851A9"/>
    <w:rsid w:val="00285EAB"/>
    <w:rsid w:val="00286DC7"/>
    <w:rsid w:val="00286ED3"/>
    <w:rsid w:val="00290DCC"/>
    <w:rsid w:val="00290E4E"/>
    <w:rsid w:val="00293D39"/>
    <w:rsid w:val="002942C7"/>
    <w:rsid w:val="002944C4"/>
    <w:rsid w:val="002958A6"/>
    <w:rsid w:val="00296A9C"/>
    <w:rsid w:val="002971A4"/>
    <w:rsid w:val="002A02BF"/>
    <w:rsid w:val="002A13B1"/>
    <w:rsid w:val="002A188E"/>
    <w:rsid w:val="002A1DB1"/>
    <w:rsid w:val="002A377E"/>
    <w:rsid w:val="002A5832"/>
    <w:rsid w:val="002A6836"/>
    <w:rsid w:val="002A6E33"/>
    <w:rsid w:val="002A6E8E"/>
    <w:rsid w:val="002B01B1"/>
    <w:rsid w:val="002B258A"/>
    <w:rsid w:val="002B2828"/>
    <w:rsid w:val="002B2B3F"/>
    <w:rsid w:val="002B5169"/>
    <w:rsid w:val="002B6F45"/>
    <w:rsid w:val="002B72D5"/>
    <w:rsid w:val="002B7325"/>
    <w:rsid w:val="002B7C1F"/>
    <w:rsid w:val="002C022F"/>
    <w:rsid w:val="002C083F"/>
    <w:rsid w:val="002C0C73"/>
    <w:rsid w:val="002C3203"/>
    <w:rsid w:val="002C47B8"/>
    <w:rsid w:val="002C4932"/>
    <w:rsid w:val="002C4ED1"/>
    <w:rsid w:val="002C5A28"/>
    <w:rsid w:val="002C66DF"/>
    <w:rsid w:val="002C75D2"/>
    <w:rsid w:val="002C7E00"/>
    <w:rsid w:val="002D1F87"/>
    <w:rsid w:val="002D25E3"/>
    <w:rsid w:val="002D4BC6"/>
    <w:rsid w:val="002D514E"/>
    <w:rsid w:val="002D5423"/>
    <w:rsid w:val="002D59FE"/>
    <w:rsid w:val="002D76C3"/>
    <w:rsid w:val="002E17E6"/>
    <w:rsid w:val="002E2C8F"/>
    <w:rsid w:val="002E2E31"/>
    <w:rsid w:val="002E32BA"/>
    <w:rsid w:val="002E3B4A"/>
    <w:rsid w:val="002E3E8F"/>
    <w:rsid w:val="002E6FC2"/>
    <w:rsid w:val="002E750F"/>
    <w:rsid w:val="002F0DF6"/>
    <w:rsid w:val="002F0E5A"/>
    <w:rsid w:val="002F1FCF"/>
    <w:rsid w:val="002F2CDB"/>
    <w:rsid w:val="002F34AC"/>
    <w:rsid w:val="002F3630"/>
    <w:rsid w:val="002F3CFA"/>
    <w:rsid w:val="002F6D1C"/>
    <w:rsid w:val="002F76A5"/>
    <w:rsid w:val="002F7E34"/>
    <w:rsid w:val="002F7FF5"/>
    <w:rsid w:val="00301905"/>
    <w:rsid w:val="00301A3A"/>
    <w:rsid w:val="00301B22"/>
    <w:rsid w:val="003028BB"/>
    <w:rsid w:val="00303700"/>
    <w:rsid w:val="00303805"/>
    <w:rsid w:val="00303BF6"/>
    <w:rsid w:val="0030475C"/>
    <w:rsid w:val="0030556D"/>
    <w:rsid w:val="00305C33"/>
    <w:rsid w:val="003064B0"/>
    <w:rsid w:val="003110F6"/>
    <w:rsid w:val="00312F1D"/>
    <w:rsid w:val="00315A53"/>
    <w:rsid w:val="003161EE"/>
    <w:rsid w:val="00316BAA"/>
    <w:rsid w:val="003173ED"/>
    <w:rsid w:val="0032161A"/>
    <w:rsid w:val="0032321C"/>
    <w:rsid w:val="0032379D"/>
    <w:rsid w:val="003246ED"/>
    <w:rsid w:val="00325468"/>
    <w:rsid w:val="003262E0"/>
    <w:rsid w:val="003266BE"/>
    <w:rsid w:val="003267A0"/>
    <w:rsid w:val="00326D9D"/>
    <w:rsid w:val="003278D9"/>
    <w:rsid w:val="003278F8"/>
    <w:rsid w:val="00330A28"/>
    <w:rsid w:val="00330CEA"/>
    <w:rsid w:val="003321B6"/>
    <w:rsid w:val="00332F17"/>
    <w:rsid w:val="00333562"/>
    <w:rsid w:val="00333E01"/>
    <w:rsid w:val="00335C64"/>
    <w:rsid w:val="00337DE7"/>
    <w:rsid w:val="003400E8"/>
    <w:rsid w:val="0034072C"/>
    <w:rsid w:val="00340FB5"/>
    <w:rsid w:val="003417A7"/>
    <w:rsid w:val="00341A6F"/>
    <w:rsid w:val="003429AF"/>
    <w:rsid w:val="00342F27"/>
    <w:rsid w:val="00342F91"/>
    <w:rsid w:val="0034382F"/>
    <w:rsid w:val="00343EB2"/>
    <w:rsid w:val="00345191"/>
    <w:rsid w:val="00345668"/>
    <w:rsid w:val="00345BBF"/>
    <w:rsid w:val="0034780A"/>
    <w:rsid w:val="00351605"/>
    <w:rsid w:val="00354D54"/>
    <w:rsid w:val="00354F1D"/>
    <w:rsid w:val="00356153"/>
    <w:rsid w:val="00356350"/>
    <w:rsid w:val="003576D5"/>
    <w:rsid w:val="00357AF3"/>
    <w:rsid w:val="0036070F"/>
    <w:rsid w:val="00361D10"/>
    <w:rsid w:val="00365474"/>
    <w:rsid w:val="00366DD7"/>
    <w:rsid w:val="00370036"/>
    <w:rsid w:val="00370357"/>
    <w:rsid w:val="00373193"/>
    <w:rsid w:val="00373D65"/>
    <w:rsid w:val="003743C6"/>
    <w:rsid w:val="00374D3A"/>
    <w:rsid w:val="003752C5"/>
    <w:rsid w:val="00375422"/>
    <w:rsid w:val="00375E21"/>
    <w:rsid w:val="00376811"/>
    <w:rsid w:val="00377A17"/>
    <w:rsid w:val="00377F15"/>
    <w:rsid w:val="00381716"/>
    <w:rsid w:val="00381ADD"/>
    <w:rsid w:val="00382D5B"/>
    <w:rsid w:val="00383FE1"/>
    <w:rsid w:val="00384AF2"/>
    <w:rsid w:val="0038583E"/>
    <w:rsid w:val="00386422"/>
    <w:rsid w:val="00386986"/>
    <w:rsid w:val="00386E83"/>
    <w:rsid w:val="0038781C"/>
    <w:rsid w:val="003907F4"/>
    <w:rsid w:val="0039098E"/>
    <w:rsid w:val="003913ED"/>
    <w:rsid w:val="0039162F"/>
    <w:rsid w:val="00392160"/>
    <w:rsid w:val="00394CB7"/>
    <w:rsid w:val="0039567B"/>
    <w:rsid w:val="00397A33"/>
    <w:rsid w:val="003A0095"/>
    <w:rsid w:val="003A00C5"/>
    <w:rsid w:val="003A10BC"/>
    <w:rsid w:val="003A18D0"/>
    <w:rsid w:val="003A2BD5"/>
    <w:rsid w:val="003A3A2C"/>
    <w:rsid w:val="003A4592"/>
    <w:rsid w:val="003A487A"/>
    <w:rsid w:val="003A65F0"/>
    <w:rsid w:val="003A7D5B"/>
    <w:rsid w:val="003A7F3C"/>
    <w:rsid w:val="003B43CB"/>
    <w:rsid w:val="003B44EE"/>
    <w:rsid w:val="003B5AEB"/>
    <w:rsid w:val="003B5BBB"/>
    <w:rsid w:val="003C00DF"/>
    <w:rsid w:val="003C1A31"/>
    <w:rsid w:val="003C3B7E"/>
    <w:rsid w:val="003C6D60"/>
    <w:rsid w:val="003D013C"/>
    <w:rsid w:val="003D0C63"/>
    <w:rsid w:val="003D1208"/>
    <w:rsid w:val="003D1B73"/>
    <w:rsid w:val="003D1E90"/>
    <w:rsid w:val="003D27C8"/>
    <w:rsid w:val="003D382D"/>
    <w:rsid w:val="003D3D26"/>
    <w:rsid w:val="003D4DF3"/>
    <w:rsid w:val="003D5168"/>
    <w:rsid w:val="003D52B6"/>
    <w:rsid w:val="003D614B"/>
    <w:rsid w:val="003D7D28"/>
    <w:rsid w:val="003E0FEE"/>
    <w:rsid w:val="003E1E26"/>
    <w:rsid w:val="003E2274"/>
    <w:rsid w:val="003E2502"/>
    <w:rsid w:val="003E3CAD"/>
    <w:rsid w:val="003E45B3"/>
    <w:rsid w:val="003E463A"/>
    <w:rsid w:val="003E6770"/>
    <w:rsid w:val="003E6C63"/>
    <w:rsid w:val="003F0265"/>
    <w:rsid w:val="003F042C"/>
    <w:rsid w:val="003F18A7"/>
    <w:rsid w:val="003F1DC0"/>
    <w:rsid w:val="003F211A"/>
    <w:rsid w:val="003F2583"/>
    <w:rsid w:val="003F275D"/>
    <w:rsid w:val="003F368D"/>
    <w:rsid w:val="003F488A"/>
    <w:rsid w:val="003F4C40"/>
    <w:rsid w:val="003F67DB"/>
    <w:rsid w:val="003F6E28"/>
    <w:rsid w:val="003F6F53"/>
    <w:rsid w:val="00400E7A"/>
    <w:rsid w:val="00401A10"/>
    <w:rsid w:val="0040646E"/>
    <w:rsid w:val="004068CE"/>
    <w:rsid w:val="004069E3"/>
    <w:rsid w:val="004108B9"/>
    <w:rsid w:val="00411679"/>
    <w:rsid w:val="00412433"/>
    <w:rsid w:val="00413A41"/>
    <w:rsid w:val="004151CD"/>
    <w:rsid w:val="00415C12"/>
    <w:rsid w:val="00415DB4"/>
    <w:rsid w:val="0041721B"/>
    <w:rsid w:val="0042067B"/>
    <w:rsid w:val="00420D5C"/>
    <w:rsid w:val="00421E06"/>
    <w:rsid w:val="00422670"/>
    <w:rsid w:val="0042287D"/>
    <w:rsid w:val="004245E2"/>
    <w:rsid w:val="004252C2"/>
    <w:rsid w:val="004254C6"/>
    <w:rsid w:val="0042575B"/>
    <w:rsid w:val="00425B79"/>
    <w:rsid w:val="00427D4D"/>
    <w:rsid w:val="004310BB"/>
    <w:rsid w:val="0043176A"/>
    <w:rsid w:val="00431A41"/>
    <w:rsid w:val="00432284"/>
    <w:rsid w:val="00432CE6"/>
    <w:rsid w:val="00433985"/>
    <w:rsid w:val="004364D2"/>
    <w:rsid w:val="00436691"/>
    <w:rsid w:val="0043693B"/>
    <w:rsid w:val="004376F3"/>
    <w:rsid w:val="0044045C"/>
    <w:rsid w:val="0044248A"/>
    <w:rsid w:val="00442B37"/>
    <w:rsid w:val="00443933"/>
    <w:rsid w:val="00443F3A"/>
    <w:rsid w:val="0044416F"/>
    <w:rsid w:val="00445407"/>
    <w:rsid w:val="004457E9"/>
    <w:rsid w:val="00446C07"/>
    <w:rsid w:val="00446E41"/>
    <w:rsid w:val="004471F4"/>
    <w:rsid w:val="00450D74"/>
    <w:rsid w:val="0045303A"/>
    <w:rsid w:val="00454522"/>
    <w:rsid w:val="00456CE4"/>
    <w:rsid w:val="00457829"/>
    <w:rsid w:val="004606BB"/>
    <w:rsid w:val="00461E85"/>
    <w:rsid w:val="00464446"/>
    <w:rsid w:val="00465547"/>
    <w:rsid w:val="00466C61"/>
    <w:rsid w:val="00466C68"/>
    <w:rsid w:val="00466FF6"/>
    <w:rsid w:val="00471153"/>
    <w:rsid w:val="004718EB"/>
    <w:rsid w:val="00471BEE"/>
    <w:rsid w:val="00474894"/>
    <w:rsid w:val="00474B80"/>
    <w:rsid w:val="00475F5A"/>
    <w:rsid w:val="004771C8"/>
    <w:rsid w:val="00480B26"/>
    <w:rsid w:val="00480F7A"/>
    <w:rsid w:val="00480FA5"/>
    <w:rsid w:val="00481FF4"/>
    <w:rsid w:val="00483D19"/>
    <w:rsid w:val="00484A31"/>
    <w:rsid w:val="00484A86"/>
    <w:rsid w:val="00484B4F"/>
    <w:rsid w:val="00484E12"/>
    <w:rsid w:val="00486792"/>
    <w:rsid w:val="00486DF9"/>
    <w:rsid w:val="00487FD0"/>
    <w:rsid w:val="0049077D"/>
    <w:rsid w:val="0049089D"/>
    <w:rsid w:val="004908B6"/>
    <w:rsid w:val="0049285A"/>
    <w:rsid w:val="004934D2"/>
    <w:rsid w:val="00493A67"/>
    <w:rsid w:val="00494131"/>
    <w:rsid w:val="00494147"/>
    <w:rsid w:val="00494451"/>
    <w:rsid w:val="004946A6"/>
    <w:rsid w:val="004951AE"/>
    <w:rsid w:val="0049616F"/>
    <w:rsid w:val="004A08C7"/>
    <w:rsid w:val="004A0BFE"/>
    <w:rsid w:val="004A0D9E"/>
    <w:rsid w:val="004A142B"/>
    <w:rsid w:val="004A301D"/>
    <w:rsid w:val="004A6EBC"/>
    <w:rsid w:val="004A6F5F"/>
    <w:rsid w:val="004B0EE0"/>
    <w:rsid w:val="004B368F"/>
    <w:rsid w:val="004C1FCD"/>
    <w:rsid w:val="004C2D6E"/>
    <w:rsid w:val="004C3CF6"/>
    <w:rsid w:val="004D24E1"/>
    <w:rsid w:val="004D465A"/>
    <w:rsid w:val="004D5017"/>
    <w:rsid w:val="004D5679"/>
    <w:rsid w:val="004D7089"/>
    <w:rsid w:val="004E0C55"/>
    <w:rsid w:val="004E134F"/>
    <w:rsid w:val="004E14A3"/>
    <w:rsid w:val="004E1D99"/>
    <w:rsid w:val="004E4FDC"/>
    <w:rsid w:val="004E553F"/>
    <w:rsid w:val="004E7735"/>
    <w:rsid w:val="004F0254"/>
    <w:rsid w:val="004F1377"/>
    <w:rsid w:val="004F24E1"/>
    <w:rsid w:val="004F6C92"/>
    <w:rsid w:val="004F70AB"/>
    <w:rsid w:val="004F7C8E"/>
    <w:rsid w:val="004F7E7C"/>
    <w:rsid w:val="00500824"/>
    <w:rsid w:val="00500988"/>
    <w:rsid w:val="00504747"/>
    <w:rsid w:val="00505A0C"/>
    <w:rsid w:val="00505A3E"/>
    <w:rsid w:val="00505EED"/>
    <w:rsid w:val="00506F49"/>
    <w:rsid w:val="00507275"/>
    <w:rsid w:val="0050757E"/>
    <w:rsid w:val="00507CBA"/>
    <w:rsid w:val="00510D49"/>
    <w:rsid w:val="0051101B"/>
    <w:rsid w:val="00512140"/>
    <w:rsid w:val="00512842"/>
    <w:rsid w:val="00513825"/>
    <w:rsid w:val="005139C5"/>
    <w:rsid w:val="00513C97"/>
    <w:rsid w:val="0051458D"/>
    <w:rsid w:val="005161C7"/>
    <w:rsid w:val="00516DA3"/>
    <w:rsid w:val="005171BA"/>
    <w:rsid w:val="005216E8"/>
    <w:rsid w:val="00524771"/>
    <w:rsid w:val="00525EE8"/>
    <w:rsid w:val="00526635"/>
    <w:rsid w:val="00526663"/>
    <w:rsid w:val="005307C0"/>
    <w:rsid w:val="0053112E"/>
    <w:rsid w:val="00531631"/>
    <w:rsid w:val="00532F27"/>
    <w:rsid w:val="0053384A"/>
    <w:rsid w:val="00533A04"/>
    <w:rsid w:val="00534BD2"/>
    <w:rsid w:val="00535A37"/>
    <w:rsid w:val="00536676"/>
    <w:rsid w:val="005366CE"/>
    <w:rsid w:val="00540837"/>
    <w:rsid w:val="005428E4"/>
    <w:rsid w:val="00543864"/>
    <w:rsid w:val="00546A7D"/>
    <w:rsid w:val="0054764E"/>
    <w:rsid w:val="00547E66"/>
    <w:rsid w:val="005511F6"/>
    <w:rsid w:val="00551C32"/>
    <w:rsid w:val="00553F0C"/>
    <w:rsid w:val="005546CD"/>
    <w:rsid w:val="00554D9C"/>
    <w:rsid w:val="00556985"/>
    <w:rsid w:val="005621D7"/>
    <w:rsid w:val="00562F3D"/>
    <w:rsid w:val="005648A1"/>
    <w:rsid w:val="00564AB9"/>
    <w:rsid w:val="00566461"/>
    <w:rsid w:val="00567001"/>
    <w:rsid w:val="005678D2"/>
    <w:rsid w:val="00567F6A"/>
    <w:rsid w:val="00570209"/>
    <w:rsid w:val="0057055B"/>
    <w:rsid w:val="00570D8F"/>
    <w:rsid w:val="00571195"/>
    <w:rsid w:val="005725AE"/>
    <w:rsid w:val="00572726"/>
    <w:rsid w:val="00573166"/>
    <w:rsid w:val="005731B1"/>
    <w:rsid w:val="00573737"/>
    <w:rsid w:val="005743B9"/>
    <w:rsid w:val="00574969"/>
    <w:rsid w:val="00574FCC"/>
    <w:rsid w:val="00576210"/>
    <w:rsid w:val="005765AF"/>
    <w:rsid w:val="0057715A"/>
    <w:rsid w:val="00581E4C"/>
    <w:rsid w:val="00582186"/>
    <w:rsid w:val="005846B8"/>
    <w:rsid w:val="00586362"/>
    <w:rsid w:val="00587797"/>
    <w:rsid w:val="00590030"/>
    <w:rsid w:val="00593D6C"/>
    <w:rsid w:val="00594273"/>
    <w:rsid w:val="00597DCA"/>
    <w:rsid w:val="005A08EC"/>
    <w:rsid w:val="005A26B3"/>
    <w:rsid w:val="005A37D5"/>
    <w:rsid w:val="005A4F42"/>
    <w:rsid w:val="005A51B0"/>
    <w:rsid w:val="005A78C3"/>
    <w:rsid w:val="005B2FF8"/>
    <w:rsid w:val="005B31C5"/>
    <w:rsid w:val="005B338A"/>
    <w:rsid w:val="005B35E0"/>
    <w:rsid w:val="005B35F5"/>
    <w:rsid w:val="005B42D4"/>
    <w:rsid w:val="005B4C7D"/>
    <w:rsid w:val="005C2427"/>
    <w:rsid w:val="005D0E08"/>
    <w:rsid w:val="005D1E46"/>
    <w:rsid w:val="005D2545"/>
    <w:rsid w:val="005D349D"/>
    <w:rsid w:val="005D47D0"/>
    <w:rsid w:val="005D4B2D"/>
    <w:rsid w:val="005D4FE6"/>
    <w:rsid w:val="005E00C5"/>
    <w:rsid w:val="005E0217"/>
    <w:rsid w:val="005E0D2A"/>
    <w:rsid w:val="005E13A9"/>
    <w:rsid w:val="005E2C18"/>
    <w:rsid w:val="005E30AE"/>
    <w:rsid w:val="005E552C"/>
    <w:rsid w:val="005E5EE3"/>
    <w:rsid w:val="005E690D"/>
    <w:rsid w:val="005E7C09"/>
    <w:rsid w:val="005F0241"/>
    <w:rsid w:val="005F1140"/>
    <w:rsid w:val="005F17AB"/>
    <w:rsid w:val="005F31D9"/>
    <w:rsid w:val="005F3BE0"/>
    <w:rsid w:val="005F5251"/>
    <w:rsid w:val="005F5DCA"/>
    <w:rsid w:val="00600134"/>
    <w:rsid w:val="00600773"/>
    <w:rsid w:val="006013D2"/>
    <w:rsid w:val="00602D8C"/>
    <w:rsid w:val="0060311E"/>
    <w:rsid w:val="00605DAD"/>
    <w:rsid w:val="00606242"/>
    <w:rsid w:val="006072C5"/>
    <w:rsid w:val="00607910"/>
    <w:rsid w:val="00607BA0"/>
    <w:rsid w:val="0061007C"/>
    <w:rsid w:val="00611FEC"/>
    <w:rsid w:val="006148B5"/>
    <w:rsid w:val="006154F5"/>
    <w:rsid w:val="00616A47"/>
    <w:rsid w:val="00620079"/>
    <w:rsid w:val="00620485"/>
    <w:rsid w:val="00620A36"/>
    <w:rsid w:val="00621C62"/>
    <w:rsid w:val="006238C0"/>
    <w:rsid w:val="00624A75"/>
    <w:rsid w:val="00624C64"/>
    <w:rsid w:val="006269CE"/>
    <w:rsid w:val="006305CC"/>
    <w:rsid w:val="006307FA"/>
    <w:rsid w:val="00633B7B"/>
    <w:rsid w:val="00633F6A"/>
    <w:rsid w:val="00634F47"/>
    <w:rsid w:val="00635A61"/>
    <w:rsid w:val="00635BF9"/>
    <w:rsid w:val="006430EB"/>
    <w:rsid w:val="00643478"/>
    <w:rsid w:val="006454D1"/>
    <w:rsid w:val="00647F9D"/>
    <w:rsid w:val="00654040"/>
    <w:rsid w:val="00655545"/>
    <w:rsid w:val="0065576A"/>
    <w:rsid w:val="00656143"/>
    <w:rsid w:val="00657D5D"/>
    <w:rsid w:val="00661105"/>
    <w:rsid w:val="00662F89"/>
    <w:rsid w:val="00663348"/>
    <w:rsid w:val="0066429F"/>
    <w:rsid w:val="00665036"/>
    <w:rsid w:val="00665BEC"/>
    <w:rsid w:val="00665E70"/>
    <w:rsid w:val="00666F26"/>
    <w:rsid w:val="0067179B"/>
    <w:rsid w:val="0067254F"/>
    <w:rsid w:val="00673E20"/>
    <w:rsid w:val="006741ED"/>
    <w:rsid w:val="00674C0C"/>
    <w:rsid w:val="00675125"/>
    <w:rsid w:val="00675D76"/>
    <w:rsid w:val="00675DF4"/>
    <w:rsid w:val="00676D5D"/>
    <w:rsid w:val="0067751A"/>
    <w:rsid w:val="0067784B"/>
    <w:rsid w:val="00677921"/>
    <w:rsid w:val="00677BD3"/>
    <w:rsid w:val="00680595"/>
    <w:rsid w:val="0068066A"/>
    <w:rsid w:val="00680D68"/>
    <w:rsid w:val="00681970"/>
    <w:rsid w:val="006854E7"/>
    <w:rsid w:val="00686705"/>
    <w:rsid w:val="00686AC1"/>
    <w:rsid w:val="006875CD"/>
    <w:rsid w:val="0069037D"/>
    <w:rsid w:val="00691746"/>
    <w:rsid w:val="00691D37"/>
    <w:rsid w:val="00691D3D"/>
    <w:rsid w:val="00693C97"/>
    <w:rsid w:val="0069470F"/>
    <w:rsid w:val="006947E1"/>
    <w:rsid w:val="006957F7"/>
    <w:rsid w:val="00695DF2"/>
    <w:rsid w:val="00696FE7"/>
    <w:rsid w:val="0069725F"/>
    <w:rsid w:val="006A1417"/>
    <w:rsid w:val="006A14A6"/>
    <w:rsid w:val="006A18FB"/>
    <w:rsid w:val="006A2651"/>
    <w:rsid w:val="006A26CE"/>
    <w:rsid w:val="006A2FED"/>
    <w:rsid w:val="006A6536"/>
    <w:rsid w:val="006A6B4B"/>
    <w:rsid w:val="006A6D2B"/>
    <w:rsid w:val="006B01BF"/>
    <w:rsid w:val="006B0AC7"/>
    <w:rsid w:val="006B0EAC"/>
    <w:rsid w:val="006B1BA1"/>
    <w:rsid w:val="006B231D"/>
    <w:rsid w:val="006B356E"/>
    <w:rsid w:val="006B3ACE"/>
    <w:rsid w:val="006B47D4"/>
    <w:rsid w:val="006B5F96"/>
    <w:rsid w:val="006C0427"/>
    <w:rsid w:val="006C0726"/>
    <w:rsid w:val="006C0F43"/>
    <w:rsid w:val="006C1AE3"/>
    <w:rsid w:val="006C26B5"/>
    <w:rsid w:val="006C50B8"/>
    <w:rsid w:val="006C5A39"/>
    <w:rsid w:val="006C6541"/>
    <w:rsid w:val="006D0265"/>
    <w:rsid w:val="006D02B6"/>
    <w:rsid w:val="006D0A58"/>
    <w:rsid w:val="006D1843"/>
    <w:rsid w:val="006D24C0"/>
    <w:rsid w:val="006D306C"/>
    <w:rsid w:val="006D3585"/>
    <w:rsid w:val="006D3C91"/>
    <w:rsid w:val="006D3E52"/>
    <w:rsid w:val="006D53D7"/>
    <w:rsid w:val="006D6FC6"/>
    <w:rsid w:val="006D7459"/>
    <w:rsid w:val="006D7B92"/>
    <w:rsid w:val="006E022C"/>
    <w:rsid w:val="006E66CF"/>
    <w:rsid w:val="006E7AE1"/>
    <w:rsid w:val="006E7BE0"/>
    <w:rsid w:val="006F0495"/>
    <w:rsid w:val="006F07C4"/>
    <w:rsid w:val="006F0AEA"/>
    <w:rsid w:val="006F3373"/>
    <w:rsid w:val="006F3D88"/>
    <w:rsid w:val="006F5943"/>
    <w:rsid w:val="006F596F"/>
    <w:rsid w:val="006F684A"/>
    <w:rsid w:val="006F6EF1"/>
    <w:rsid w:val="007003D6"/>
    <w:rsid w:val="00700CFA"/>
    <w:rsid w:val="00701B45"/>
    <w:rsid w:val="007021D1"/>
    <w:rsid w:val="00703BA4"/>
    <w:rsid w:val="0070494F"/>
    <w:rsid w:val="0070510F"/>
    <w:rsid w:val="007053A8"/>
    <w:rsid w:val="007064B3"/>
    <w:rsid w:val="0070654B"/>
    <w:rsid w:val="00706E92"/>
    <w:rsid w:val="0070744A"/>
    <w:rsid w:val="0071115D"/>
    <w:rsid w:val="0071137D"/>
    <w:rsid w:val="00711518"/>
    <w:rsid w:val="0071160F"/>
    <w:rsid w:val="00711871"/>
    <w:rsid w:val="00714E50"/>
    <w:rsid w:val="007153F2"/>
    <w:rsid w:val="00715B8A"/>
    <w:rsid w:val="00716ACF"/>
    <w:rsid w:val="007170F9"/>
    <w:rsid w:val="00720FBA"/>
    <w:rsid w:val="00721544"/>
    <w:rsid w:val="00723164"/>
    <w:rsid w:val="007232CC"/>
    <w:rsid w:val="00723AA8"/>
    <w:rsid w:val="0072555B"/>
    <w:rsid w:val="0072663B"/>
    <w:rsid w:val="00726DC6"/>
    <w:rsid w:val="00731190"/>
    <w:rsid w:val="00731D56"/>
    <w:rsid w:val="00732933"/>
    <w:rsid w:val="00732E3E"/>
    <w:rsid w:val="00733B9E"/>
    <w:rsid w:val="00734B99"/>
    <w:rsid w:val="0073537E"/>
    <w:rsid w:val="007356E3"/>
    <w:rsid w:val="00735BCB"/>
    <w:rsid w:val="007378DD"/>
    <w:rsid w:val="0074052E"/>
    <w:rsid w:val="00740BFF"/>
    <w:rsid w:val="00741249"/>
    <w:rsid w:val="007416D8"/>
    <w:rsid w:val="00742115"/>
    <w:rsid w:val="0074348B"/>
    <w:rsid w:val="007436EA"/>
    <w:rsid w:val="00747A14"/>
    <w:rsid w:val="00753A03"/>
    <w:rsid w:val="00755518"/>
    <w:rsid w:val="007557FA"/>
    <w:rsid w:val="00756228"/>
    <w:rsid w:val="00756C45"/>
    <w:rsid w:val="00757541"/>
    <w:rsid w:val="0075791B"/>
    <w:rsid w:val="00761D75"/>
    <w:rsid w:val="00762761"/>
    <w:rsid w:val="00763178"/>
    <w:rsid w:val="0076420B"/>
    <w:rsid w:val="00765417"/>
    <w:rsid w:val="00765B12"/>
    <w:rsid w:val="007662BD"/>
    <w:rsid w:val="0077093F"/>
    <w:rsid w:val="00770C40"/>
    <w:rsid w:val="0077153E"/>
    <w:rsid w:val="007718BF"/>
    <w:rsid w:val="00771FEF"/>
    <w:rsid w:val="007724CA"/>
    <w:rsid w:val="00773007"/>
    <w:rsid w:val="00774ACA"/>
    <w:rsid w:val="00774AEE"/>
    <w:rsid w:val="007753FC"/>
    <w:rsid w:val="00776CD4"/>
    <w:rsid w:val="0077738B"/>
    <w:rsid w:val="007802EB"/>
    <w:rsid w:val="00781315"/>
    <w:rsid w:val="00782B9F"/>
    <w:rsid w:val="007837C5"/>
    <w:rsid w:val="0078413C"/>
    <w:rsid w:val="00784BC3"/>
    <w:rsid w:val="00784E18"/>
    <w:rsid w:val="00785CF7"/>
    <w:rsid w:val="007866D7"/>
    <w:rsid w:val="00786716"/>
    <w:rsid w:val="007901C3"/>
    <w:rsid w:val="00790817"/>
    <w:rsid w:val="00791757"/>
    <w:rsid w:val="00794A8E"/>
    <w:rsid w:val="00794D6E"/>
    <w:rsid w:val="00795B1A"/>
    <w:rsid w:val="007965A8"/>
    <w:rsid w:val="0079664A"/>
    <w:rsid w:val="007A09DF"/>
    <w:rsid w:val="007A1225"/>
    <w:rsid w:val="007A286B"/>
    <w:rsid w:val="007A5DBC"/>
    <w:rsid w:val="007A6B68"/>
    <w:rsid w:val="007B026A"/>
    <w:rsid w:val="007B1029"/>
    <w:rsid w:val="007B23BA"/>
    <w:rsid w:val="007B4639"/>
    <w:rsid w:val="007B4BEB"/>
    <w:rsid w:val="007B4F30"/>
    <w:rsid w:val="007C1290"/>
    <w:rsid w:val="007C136B"/>
    <w:rsid w:val="007C3058"/>
    <w:rsid w:val="007C4B3A"/>
    <w:rsid w:val="007C4C5B"/>
    <w:rsid w:val="007C5FE0"/>
    <w:rsid w:val="007D0FEE"/>
    <w:rsid w:val="007D14D2"/>
    <w:rsid w:val="007D2125"/>
    <w:rsid w:val="007D261B"/>
    <w:rsid w:val="007D2986"/>
    <w:rsid w:val="007D37E9"/>
    <w:rsid w:val="007D4749"/>
    <w:rsid w:val="007D528B"/>
    <w:rsid w:val="007D69F9"/>
    <w:rsid w:val="007D7A0C"/>
    <w:rsid w:val="007E02E1"/>
    <w:rsid w:val="007E1905"/>
    <w:rsid w:val="007E2B01"/>
    <w:rsid w:val="007E3B09"/>
    <w:rsid w:val="007E4FFD"/>
    <w:rsid w:val="007E51F8"/>
    <w:rsid w:val="007E6D7D"/>
    <w:rsid w:val="007E78C3"/>
    <w:rsid w:val="007E79C1"/>
    <w:rsid w:val="007F2346"/>
    <w:rsid w:val="007F2720"/>
    <w:rsid w:val="007F29E7"/>
    <w:rsid w:val="007F2B97"/>
    <w:rsid w:val="007F3466"/>
    <w:rsid w:val="00801FD5"/>
    <w:rsid w:val="0080345A"/>
    <w:rsid w:val="008059DC"/>
    <w:rsid w:val="00806AF7"/>
    <w:rsid w:val="008102BB"/>
    <w:rsid w:val="00810859"/>
    <w:rsid w:val="008117F0"/>
    <w:rsid w:val="00811AD5"/>
    <w:rsid w:val="008129BA"/>
    <w:rsid w:val="00813E35"/>
    <w:rsid w:val="00814559"/>
    <w:rsid w:val="00814D70"/>
    <w:rsid w:val="00816081"/>
    <w:rsid w:val="008163BC"/>
    <w:rsid w:val="008164CC"/>
    <w:rsid w:val="008203E3"/>
    <w:rsid w:val="008213DD"/>
    <w:rsid w:val="00822188"/>
    <w:rsid w:val="00823805"/>
    <w:rsid w:val="00824263"/>
    <w:rsid w:val="008248D5"/>
    <w:rsid w:val="00824FF0"/>
    <w:rsid w:val="0082798D"/>
    <w:rsid w:val="00831163"/>
    <w:rsid w:val="00832059"/>
    <w:rsid w:val="00832F12"/>
    <w:rsid w:val="008332BB"/>
    <w:rsid w:val="008335B1"/>
    <w:rsid w:val="0083436E"/>
    <w:rsid w:val="00834761"/>
    <w:rsid w:val="008361C7"/>
    <w:rsid w:val="00836DA2"/>
    <w:rsid w:val="008375A9"/>
    <w:rsid w:val="00837FF4"/>
    <w:rsid w:val="008414C3"/>
    <w:rsid w:val="00842243"/>
    <w:rsid w:val="008434FA"/>
    <w:rsid w:val="00844558"/>
    <w:rsid w:val="00845B7E"/>
    <w:rsid w:val="00845CBB"/>
    <w:rsid w:val="00845ECD"/>
    <w:rsid w:val="008462FF"/>
    <w:rsid w:val="008475B8"/>
    <w:rsid w:val="00850060"/>
    <w:rsid w:val="00850B8C"/>
    <w:rsid w:val="00850E7E"/>
    <w:rsid w:val="0085216D"/>
    <w:rsid w:val="00852BE8"/>
    <w:rsid w:val="00852F8F"/>
    <w:rsid w:val="00853527"/>
    <w:rsid w:val="008552AF"/>
    <w:rsid w:val="00855B28"/>
    <w:rsid w:val="00856949"/>
    <w:rsid w:val="00857C33"/>
    <w:rsid w:val="00862FF8"/>
    <w:rsid w:val="00863BB7"/>
    <w:rsid w:val="008660AB"/>
    <w:rsid w:val="0086622A"/>
    <w:rsid w:val="00866685"/>
    <w:rsid w:val="008677B4"/>
    <w:rsid w:val="00867F80"/>
    <w:rsid w:val="0087260B"/>
    <w:rsid w:val="00877279"/>
    <w:rsid w:val="008805C2"/>
    <w:rsid w:val="008805D9"/>
    <w:rsid w:val="008813DC"/>
    <w:rsid w:val="008814D7"/>
    <w:rsid w:val="00885A6F"/>
    <w:rsid w:val="00886632"/>
    <w:rsid w:val="00890432"/>
    <w:rsid w:val="00891D6F"/>
    <w:rsid w:val="00891F03"/>
    <w:rsid w:val="0089204B"/>
    <w:rsid w:val="00892916"/>
    <w:rsid w:val="00893D2F"/>
    <w:rsid w:val="008940E5"/>
    <w:rsid w:val="00894628"/>
    <w:rsid w:val="0089568C"/>
    <w:rsid w:val="00897B69"/>
    <w:rsid w:val="008A18A0"/>
    <w:rsid w:val="008A20D7"/>
    <w:rsid w:val="008A3145"/>
    <w:rsid w:val="008A3376"/>
    <w:rsid w:val="008A4233"/>
    <w:rsid w:val="008A42B7"/>
    <w:rsid w:val="008A5F21"/>
    <w:rsid w:val="008B207D"/>
    <w:rsid w:val="008B21CA"/>
    <w:rsid w:val="008B409C"/>
    <w:rsid w:val="008B52DE"/>
    <w:rsid w:val="008B600A"/>
    <w:rsid w:val="008B6320"/>
    <w:rsid w:val="008B68F0"/>
    <w:rsid w:val="008C0A9E"/>
    <w:rsid w:val="008C175F"/>
    <w:rsid w:val="008C3098"/>
    <w:rsid w:val="008C4E25"/>
    <w:rsid w:val="008C5E44"/>
    <w:rsid w:val="008C7FB5"/>
    <w:rsid w:val="008D0610"/>
    <w:rsid w:val="008D0E7F"/>
    <w:rsid w:val="008D17D1"/>
    <w:rsid w:val="008D3F88"/>
    <w:rsid w:val="008D3FDC"/>
    <w:rsid w:val="008D4698"/>
    <w:rsid w:val="008D5023"/>
    <w:rsid w:val="008D591B"/>
    <w:rsid w:val="008D6C24"/>
    <w:rsid w:val="008D76E3"/>
    <w:rsid w:val="008E0D15"/>
    <w:rsid w:val="008E0E62"/>
    <w:rsid w:val="008E103A"/>
    <w:rsid w:val="008E1F16"/>
    <w:rsid w:val="008E26DC"/>
    <w:rsid w:val="008E33DB"/>
    <w:rsid w:val="008E5AB3"/>
    <w:rsid w:val="008E6C63"/>
    <w:rsid w:val="008F0CEC"/>
    <w:rsid w:val="008F290D"/>
    <w:rsid w:val="008F3DE2"/>
    <w:rsid w:val="008F50E9"/>
    <w:rsid w:val="008F54BE"/>
    <w:rsid w:val="008F7B29"/>
    <w:rsid w:val="0090037A"/>
    <w:rsid w:val="00901C26"/>
    <w:rsid w:val="0090265A"/>
    <w:rsid w:val="009032B5"/>
    <w:rsid w:val="00903C6E"/>
    <w:rsid w:val="009065A8"/>
    <w:rsid w:val="0091119C"/>
    <w:rsid w:val="00911238"/>
    <w:rsid w:val="0091156B"/>
    <w:rsid w:val="00911B98"/>
    <w:rsid w:val="00911E1B"/>
    <w:rsid w:val="00914789"/>
    <w:rsid w:val="0091553C"/>
    <w:rsid w:val="009157ED"/>
    <w:rsid w:val="00920566"/>
    <w:rsid w:val="009211B1"/>
    <w:rsid w:val="009232B2"/>
    <w:rsid w:val="00924DF5"/>
    <w:rsid w:val="0092558F"/>
    <w:rsid w:val="0092591C"/>
    <w:rsid w:val="009269AA"/>
    <w:rsid w:val="009318C9"/>
    <w:rsid w:val="009326AA"/>
    <w:rsid w:val="00933073"/>
    <w:rsid w:val="009330B7"/>
    <w:rsid w:val="00933CDD"/>
    <w:rsid w:val="00934C92"/>
    <w:rsid w:val="00937925"/>
    <w:rsid w:val="00940116"/>
    <w:rsid w:val="00942218"/>
    <w:rsid w:val="00942C45"/>
    <w:rsid w:val="00943130"/>
    <w:rsid w:val="009431C0"/>
    <w:rsid w:val="00943640"/>
    <w:rsid w:val="0094434D"/>
    <w:rsid w:val="00944833"/>
    <w:rsid w:val="00946561"/>
    <w:rsid w:val="0094670E"/>
    <w:rsid w:val="00952AD5"/>
    <w:rsid w:val="00953453"/>
    <w:rsid w:val="00953B22"/>
    <w:rsid w:val="00953B30"/>
    <w:rsid w:val="009543BA"/>
    <w:rsid w:val="00954E63"/>
    <w:rsid w:val="00956CB9"/>
    <w:rsid w:val="00956F12"/>
    <w:rsid w:val="00956F47"/>
    <w:rsid w:val="00960338"/>
    <w:rsid w:val="00960923"/>
    <w:rsid w:val="00960BBF"/>
    <w:rsid w:val="00960F86"/>
    <w:rsid w:val="0096151C"/>
    <w:rsid w:val="0096210E"/>
    <w:rsid w:val="00962AAF"/>
    <w:rsid w:val="00964610"/>
    <w:rsid w:val="00966282"/>
    <w:rsid w:val="009674AD"/>
    <w:rsid w:val="00967978"/>
    <w:rsid w:val="009702C9"/>
    <w:rsid w:val="00973F64"/>
    <w:rsid w:val="00974F4E"/>
    <w:rsid w:val="0097527A"/>
    <w:rsid w:val="00975A16"/>
    <w:rsid w:val="00976155"/>
    <w:rsid w:val="00977210"/>
    <w:rsid w:val="00977FB7"/>
    <w:rsid w:val="0098060F"/>
    <w:rsid w:val="00980AA7"/>
    <w:rsid w:val="0098334D"/>
    <w:rsid w:val="00983C58"/>
    <w:rsid w:val="009842E6"/>
    <w:rsid w:val="00984371"/>
    <w:rsid w:val="009870A4"/>
    <w:rsid w:val="00990A65"/>
    <w:rsid w:val="0099105E"/>
    <w:rsid w:val="009912B6"/>
    <w:rsid w:val="00992A17"/>
    <w:rsid w:val="00993835"/>
    <w:rsid w:val="00993A07"/>
    <w:rsid w:val="0099436C"/>
    <w:rsid w:val="00995284"/>
    <w:rsid w:val="00996463"/>
    <w:rsid w:val="00997BC2"/>
    <w:rsid w:val="009A0469"/>
    <w:rsid w:val="009A1364"/>
    <w:rsid w:val="009A1F99"/>
    <w:rsid w:val="009A2607"/>
    <w:rsid w:val="009A2BB0"/>
    <w:rsid w:val="009A4836"/>
    <w:rsid w:val="009A5B3F"/>
    <w:rsid w:val="009A7A86"/>
    <w:rsid w:val="009B0631"/>
    <w:rsid w:val="009B1A3C"/>
    <w:rsid w:val="009B1C75"/>
    <w:rsid w:val="009B2C5E"/>
    <w:rsid w:val="009B3214"/>
    <w:rsid w:val="009B3987"/>
    <w:rsid w:val="009B3C71"/>
    <w:rsid w:val="009B47D8"/>
    <w:rsid w:val="009B4D49"/>
    <w:rsid w:val="009C035B"/>
    <w:rsid w:val="009C0EDA"/>
    <w:rsid w:val="009C135D"/>
    <w:rsid w:val="009C1BCF"/>
    <w:rsid w:val="009C407D"/>
    <w:rsid w:val="009C421A"/>
    <w:rsid w:val="009C5A46"/>
    <w:rsid w:val="009D0983"/>
    <w:rsid w:val="009D1C62"/>
    <w:rsid w:val="009D2BFA"/>
    <w:rsid w:val="009D2DE1"/>
    <w:rsid w:val="009D559A"/>
    <w:rsid w:val="009D5C14"/>
    <w:rsid w:val="009E00E3"/>
    <w:rsid w:val="009E3A43"/>
    <w:rsid w:val="009E4AD0"/>
    <w:rsid w:val="009E7985"/>
    <w:rsid w:val="009E7FE1"/>
    <w:rsid w:val="009F08A4"/>
    <w:rsid w:val="009F2676"/>
    <w:rsid w:val="009F2F08"/>
    <w:rsid w:val="009F31D0"/>
    <w:rsid w:val="009F3A04"/>
    <w:rsid w:val="009F469E"/>
    <w:rsid w:val="009F477A"/>
    <w:rsid w:val="009F55BC"/>
    <w:rsid w:val="009F5EE4"/>
    <w:rsid w:val="009F73AD"/>
    <w:rsid w:val="009F74D5"/>
    <w:rsid w:val="009F7EA7"/>
    <w:rsid w:val="00A0005C"/>
    <w:rsid w:val="00A02F27"/>
    <w:rsid w:val="00A031A9"/>
    <w:rsid w:val="00A03260"/>
    <w:rsid w:val="00A0424C"/>
    <w:rsid w:val="00A04EF8"/>
    <w:rsid w:val="00A05270"/>
    <w:rsid w:val="00A055E9"/>
    <w:rsid w:val="00A0604B"/>
    <w:rsid w:val="00A077F8"/>
    <w:rsid w:val="00A10379"/>
    <w:rsid w:val="00A10B6D"/>
    <w:rsid w:val="00A12DEE"/>
    <w:rsid w:val="00A138E6"/>
    <w:rsid w:val="00A14F91"/>
    <w:rsid w:val="00A17180"/>
    <w:rsid w:val="00A20209"/>
    <w:rsid w:val="00A20A19"/>
    <w:rsid w:val="00A20E5A"/>
    <w:rsid w:val="00A21E2E"/>
    <w:rsid w:val="00A236C6"/>
    <w:rsid w:val="00A24097"/>
    <w:rsid w:val="00A24807"/>
    <w:rsid w:val="00A255EB"/>
    <w:rsid w:val="00A26EE7"/>
    <w:rsid w:val="00A27139"/>
    <w:rsid w:val="00A309F1"/>
    <w:rsid w:val="00A32622"/>
    <w:rsid w:val="00A33061"/>
    <w:rsid w:val="00A33BF3"/>
    <w:rsid w:val="00A33FF6"/>
    <w:rsid w:val="00A35C07"/>
    <w:rsid w:val="00A37FAE"/>
    <w:rsid w:val="00A4046B"/>
    <w:rsid w:val="00A408EE"/>
    <w:rsid w:val="00A44A6B"/>
    <w:rsid w:val="00A455B4"/>
    <w:rsid w:val="00A46C9D"/>
    <w:rsid w:val="00A47043"/>
    <w:rsid w:val="00A508BA"/>
    <w:rsid w:val="00A52FEA"/>
    <w:rsid w:val="00A60A71"/>
    <w:rsid w:val="00A60B54"/>
    <w:rsid w:val="00A6368B"/>
    <w:rsid w:val="00A63743"/>
    <w:rsid w:val="00A639FA"/>
    <w:rsid w:val="00A644EB"/>
    <w:rsid w:val="00A65105"/>
    <w:rsid w:val="00A67B9E"/>
    <w:rsid w:val="00A70619"/>
    <w:rsid w:val="00A70998"/>
    <w:rsid w:val="00A71900"/>
    <w:rsid w:val="00A7324A"/>
    <w:rsid w:val="00A741DC"/>
    <w:rsid w:val="00A74343"/>
    <w:rsid w:val="00A7466F"/>
    <w:rsid w:val="00A74762"/>
    <w:rsid w:val="00A756A4"/>
    <w:rsid w:val="00A76599"/>
    <w:rsid w:val="00A76DF9"/>
    <w:rsid w:val="00A77709"/>
    <w:rsid w:val="00A80680"/>
    <w:rsid w:val="00A810B2"/>
    <w:rsid w:val="00A8162F"/>
    <w:rsid w:val="00A85A96"/>
    <w:rsid w:val="00A85C2E"/>
    <w:rsid w:val="00A86781"/>
    <w:rsid w:val="00A87379"/>
    <w:rsid w:val="00A90E88"/>
    <w:rsid w:val="00A918CC"/>
    <w:rsid w:val="00A91A81"/>
    <w:rsid w:val="00A91D21"/>
    <w:rsid w:val="00A923BE"/>
    <w:rsid w:val="00A92F78"/>
    <w:rsid w:val="00A94114"/>
    <w:rsid w:val="00A9533E"/>
    <w:rsid w:val="00A96321"/>
    <w:rsid w:val="00A973F4"/>
    <w:rsid w:val="00AA002C"/>
    <w:rsid w:val="00AA0574"/>
    <w:rsid w:val="00AA0F44"/>
    <w:rsid w:val="00AA1C32"/>
    <w:rsid w:val="00AA25FC"/>
    <w:rsid w:val="00AA395B"/>
    <w:rsid w:val="00AA3C9A"/>
    <w:rsid w:val="00AA4968"/>
    <w:rsid w:val="00AA4AFD"/>
    <w:rsid w:val="00AA5C75"/>
    <w:rsid w:val="00AA6704"/>
    <w:rsid w:val="00AA7CA8"/>
    <w:rsid w:val="00AA7DB5"/>
    <w:rsid w:val="00AB0108"/>
    <w:rsid w:val="00AB02A9"/>
    <w:rsid w:val="00AB22E7"/>
    <w:rsid w:val="00AB27E0"/>
    <w:rsid w:val="00AB328B"/>
    <w:rsid w:val="00AB3831"/>
    <w:rsid w:val="00AB3E07"/>
    <w:rsid w:val="00AB45DF"/>
    <w:rsid w:val="00AB7BBC"/>
    <w:rsid w:val="00AB7DB0"/>
    <w:rsid w:val="00AC1902"/>
    <w:rsid w:val="00AC3CD5"/>
    <w:rsid w:val="00AC3DC8"/>
    <w:rsid w:val="00AC5B4A"/>
    <w:rsid w:val="00AC5B5A"/>
    <w:rsid w:val="00AC64E2"/>
    <w:rsid w:val="00AC6D0D"/>
    <w:rsid w:val="00AC7809"/>
    <w:rsid w:val="00AD1A42"/>
    <w:rsid w:val="00AD209E"/>
    <w:rsid w:val="00AD3153"/>
    <w:rsid w:val="00AD333B"/>
    <w:rsid w:val="00AD5DE4"/>
    <w:rsid w:val="00AD798A"/>
    <w:rsid w:val="00AD7B9E"/>
    <w:rsid w:val="00AE0B11"/>
    <w:rsid w:val="00AE1E85"/>
    <w:rsid w:val="00AE2B29"/>
    <w:rsid w:val="00AE3A69"/>
    <w:rsid w:val="00AE4340"/>
    <w:rsid w:val="00AE4978"/>
    <w:rsid w:val="00AE5478"/>
    <w:rsid w:val="00AE5B35"/>
    <w:rsid w:val="00AE5B51"/>
    <w:rsid w:val="00AE6521"/>
    <w:rsid w:val="00AE6C14"/>
    <w:rsid w:val="00AF03C7"/>
    <w:rsid w:val="00AF0D90"/>
    <w:rsid w:val="00AF1725"/>
    <w:rsid w:val="00AF1983"/>
    <w:rsid w:val="00AF1998"/>
    <w:rsid w:val="00AF2A2E"/>
    <w:rsid w:val="00AF2BB5"/>
    <w:rsid w:val="00AF494A"/>
    <w:rsid w:val="00AF5A4A"/>
    <w:rsid w:val="00AF60A6"/>
    <w:rsid w:val="00AF7F42"/>
    <w:rsid w:val="00B0061E"/>
    <w:rsid w:val="00B01186"/>
    <w:rsid w:val="00B01C37"/>
    <w:rsid w:val="00B01F34"/>
    <w:rsid w:val="00B0291B"/>
    <w:rsid w:val="00B046B6"/>
    <w:rsid w:val="00B05133"/>
    <w:rsid w:val="00B059C6"/>
    <w:rsid w:val="00B05B59"/>
    <w:rsid w:val="00B06CCE"/>
    <w:rsid w:val="00B078EF"/>
    <w:rsid w:val="00B1099B"/>
    <w:rsid w:val="00B10B1E"/>
    <w:rsid w:val="00B10D04"/>
    <w:rsid w:val="00B12087"/>
    <w:rsid w:val="00B13B8E"/>
    <w:rsid w:val="00B13ED6"/>
    <w:rsid w:val="00B16021"/>
    <w:rsid w:val="00B162E1"/>
    <w:rsid w:val="00B166ED"/>
    <w:rsid w:val="00B16CC5"/>
    <w:rsid w:val="00B17204"/>
    <w:rsid w:val="00B17A18"/>
    <w:rsid w:val="00B17F7E"/>
    <w:rsid w:val="00B2025D"/>
    <w:rsid w:val="00B2051C"/>
    <w:rsid w:val="00B211CB"/>
    <w:rsid w:val="00B225F0"/>
    <w:rsid w:val="00B2318E"/>
    <w:rsid w:val="00B2362C"/>
    <w:rsid w:val="00B242FA"/>
    <w:rsid w:val="00B25B37"/>
    <w:rsid w:val="00B27A4E"/>
    <w:rsid w:val="00B27B62"/>
    <w:rsid w:val="00B305D4"/>
    <w:rsid w:val="00B322FB"/>
    <w:rsid w:val="00B32CC4"/>
    <w:rsid w:val="00B33A4E"/>
    <w:rsid w:val="00B34225"/>
    <w:rsid w:val="00B347C4"/>
    <w:rsid w:val="00B3560E"/>
    <w:rsid w:val="00B37879"/>
    <w:rsid w:val="00B37ED1"/>
    <w:rsid w:val="00B41F9C"/>
    <w:rsid w:val="00B429D2"/>
    <w:rsid w:val="00B42F3D"/>
    <w:rsid w:val="00B436EE"/>
    <w:rsid w:val="00B476C1"/>
    <w:rsid w:val="00B479C2"/>
    <w:rsid w:val="00B50938"/>
    <w:rsid w:val="00B50DD2"/>
    <w:rsid w:val="00B51381"/>
    <w:rsid w:val="00B52016"/>
    <w:rsid w:val="00B54A57"/>
    <w:rsid w:val="00B54BD2"/>
    <w:rsid w:val="00B55A91"/>
    <w:rsid w:val="00B56432"/>
    <w:rsid w:val="00B579DE"/>
    <w:rsid w:val="00B57D3D"/>
    <w:rsid w:val="00B60AAA"/>
    <w:rsid w:val="00B6131D"/>
    <w:rsid w:val="00B61769"/>
    <w:rsid w:val="00B63BCC"/>
    <w:rsid w:val="00B63EE0"/>
    <w:rsid w:val="00B64FB8"/>
    <w:rsid w:val="00B65A06"/>
    <w:rsid w:val="00B66134"/>
    <w:rsid w:val="00B66BBA"/>
    <w:rsid w:val="00B677C0"/>
    <w:rsid w:val="00B70F26"/>
    <w:rsid w:val="00B71AF3"/>
    <w:rsid w:val="00B71B7A"/>
    <w:rsid w:val="00B73367"/>
    <w:rsid w:val="00B73818"/>
    <w:rsid w:val="00B74A6C"/>
    <w:rsid w:val="00B74B72"/>
    <w:rsid w:val="00B76245"/>
    <w:rsid w:val="00B76934"/>
    <w:rsid w:val="00B7705E"/>
    <w:rsid w:val="00B80016"/>
    <w:rsid w:val="00B83975"/>
    <w:rsid w:val="00B85566"/>
    <w:rsid w:val="00B8707F"/>
    <w:rsid w:val="00B877F5"/>
    <w:rsid w:val="00B92170"/>
    <w:rsid w:val="00B9261C"/>
    <w:rsid w:val="00B93677"/>
    <w:rsid w:val="00B95690"/>
    <w:rsid w:val="00B95C8D"/>
    <w:rsid w:val="00B9640F"/>
    <w:rsid w:val="00B96C75"/>
    <w:rsid w:val="00BA0EBD"/>
    <w:rsid w:val="00BA2E8D"/>
    <w:rsid w:val="00BA350E"/>
    <w:rsid w:val="00BA3F68"/>
    <w:rsid w:val="00BA40ED"/>
    <w:rsid w:val="00BA5CB5"/>
    <w:rsid w:val="00BA64B0"/>
    <w:rsid w:val="00BA6EE8"/>
    <w:rsid w:val="00BA6FFE"/>
    <w:rsid w:val="00BB0293"/>
    <w:rsid w:val="00BB0FA7"/>
    <w:rsid w:val="00BB1F6A"/>
    <w:rsid w:val="00BB4BE6"/>
    <w:rsid w:val="00BB5167"/>
    <w:rsid w:val="00BB5414"/>
    <w:rsid w:val="00BB584B"/>
    <w:rsid w:val="00BB6273"/>
    <w:rsid w:val="00BC0493"/>
    <w:rsid w:val="00BC0542"/>
    <w:rsid w:val="00BC0FB1"/>
    <w:rsid w:val="00BC17A9"/>
    <w:rsid w:val="00BC1ACD"/>
    <w:rsid w:val="00BC23BF"/>
    <w:rsid w:val="00BC241C"/>
    <w:rsid w:val="00BC44B3"/>
    <w:rsid w:val="00BD0212"/>
    <w:rsid w:val="00BD0252"/>
    <w:rsid w:val="00BD0C1F"/>
    <w:rsid w:val="00BD4D64"/>
    <w:rsid w:val="00BD5943"/>
    <w:rsid w:val="00BD69F5"/>
    <w:rsid w:val="00BE1413"/>
    <w:rsid w:val="00BE1865"/>
    <w:rsid w:val="00BE362D"/>
    <w:rsid w:val="00BE3D9A"/>
    <w:rsid w:val="00BE6241"/>
    <w:rsid w:val="00BE64B8"/>
    <w:rsid w:val="00BF004E"/>
    <w:rsid w:val="00BF0260"/>
    <w:rsid w:val="00BF05F1"/>
    <w:rsid w:val="00BF1158"/>
    <w:rsid w:val="00BF47AB"/>
    <w:rsid w:val="00BF582C"/>
    <w:rsid w:val="00BF5D01"/>
    <w:rsid w:val="00BF648B"/>
    <w:rsid w:val="00BF6BD5"/>
    <w:rsid w:val="00BF6F23"/>
    <w:rsid w:val="00C0070A"/>
    <w:rsid w:val="00C024C4"/>
    <w:rsid w:val="00C06614"/>
    <w:rsid w:val="00C07F3B"/>
    <w:rsid w:val="00C11B81"/>
    <w:rsid w:val="00C130BC"/>
    <w:rsid w:val="00C131D9"/>
    <w:rsid w:val="00C13B1E"/>
    <w:rsid w:val="00C15A50"/>
    <w:rsid w:val="00C173DA"/>
    <w:rsid w:val="00C23A83"/>
    <w:rsid w:val="00C23F49"/>
    <w:rsid w:val="00C2492F"/>
    <w:rsid w:val="00C26B8E"/>
    <w:rsid w:val="00C2778A"/>
    <w:rsid w:val="00C31C3D"/>
    <w:rsid w:val="00C341B5"/>
    <w:rsid w:val="00C3441A"/>
    <w:rsid w:val="00C34B0E"/>
    <w:rsid w:val="00C34F36"/>
    <w:rsid w:val="00C3541F"/>
    <w:rsid w:val="00C35A15"/>
    <w:rsid w:val="00C35DA2"/>
    <w:rsid w:val="00C36BD9"/>
    <w:rsid w:val="00C373A3"/>
    <w:rsid w:val="00C3745C"/>
    <w:rsid w:val="00C43A56"/>
    <w:rsid w:val="00C4534C"/>
    <w:rsid w:val="00C46232"/>
    <w:rsid w:val="00C4683A"/>
    <w:rsid w:val="00C47EF1"/>
    <w:rsid w:val="00C47F5A"/>
    <w:rsid w:val="00C510E8"/>
    <w:rsid w:val="00C518BD"/>
    <w:rsid w:val="00C51CAD"/>
    <w:rsid w:val="00C528EF"/>
    <w:rsid w:val="00C52EC7"/>
    <w:rsid w:val="00C5307F"/>
    <w:rsid w:val="00C568AE"/>
    <w:rsid w:val="00C57536"/>
    <w:rsid w:val="00C578F8"/>
    <w:rsid w:val="00C60A73"/>
    <w:rsid w:val="00C60E14"/>
    <w:rsid w:val="00C611C1"/>
    <w:rsid w:val="00C62367"/>
    <w:rsid w:val="00C64F96"/>
    <w:rsid w:val="00C66AA2"/>
    <w:rsid w:val="00C673A2"/>
    <w:rsid w:val="00C719DB"/>
    <w:rsid w:val="00C7200E"/>
    <w:rsid w:val="00C72A62"/>
    <w:rsid w:val="00C73077"/>
    <w:rsid w:val="00C74B78"/>
    <w:rsid w:val="00C7557F"/>
    <w:rsid w:val="00C756A5"/>
    <w:rsid w:val="00C75ABD"/>
    <w:rsid w:val="00C8052F"/>
    <w:rsid w:val="00C81BE0"/>
    <w:rsid w:val="00C82094"/>
    <w:rsid w:val="00C82F5D"/>
    <w:rsid w:val="00C837A8"/>
    <w:rsid w:val="00C845F9"/>
    <w:rsid w:val="00C84C68"/>
    <w:rsid w:val="00C86F5E"/>
    <w:rsid w:val="00C87EFD"/>
    <w:rsid w:val="00C91A00"/>
    <w:rsid w:val="00C9231F"/>
    <w:rsid w:val="00C92350"/>
    <w:rsid w:val="00C92A08"/>
    <w:rsid w:val="00C93CB0"/>
    <w:rsid w:val="00C947AD"/>
    <w:rsid w:val="00CA0A8A"/>
    <w:rsid w:val="00CA1E81"/>
    <w:rsid w:val="00CA2423"/>
    <w:rsid w:val="00CA2606"/>
    <w:rsid w:val="00CA2712"/>
    <w:rsid w:val="00CA3456"/>
    <w:rsid w:val="00CA3904"/>
    <w:rsid w:val="00CA4075"/>
    <w:rsid w:val="00CA6508"/>
    <w:rsid w:val="00CA6A38"/>
    <w:rsid w:val="00CA6CC8"/>
    <w:rsid w:val="00CB03B0"/>
    <w:rsid w:val="00CB082B"/>
    <w:rsid w:val="00CB0F47"/>
    <w:rsid w:val="00CB1677"/>
    <w:rsid w:val="00CB1F0C"/>
    <w:rsid w:val="00CB36FB"/>
    <w:rsid w:val="00CB3968"/>
    <w:rsid w:val="00CB3BDB"/>
    <w:rsid w:val="00CB3EA1"/>
    <w:rsid w:val="00CB5647"/>
    <w:rsid w:val="00CB5DED"/>
    <w:rsid w:val="00CB7C43"/>
    <w:rsid w:val="00CC0E8F"/>
    <w:rsid w:val="00CC1705"/>
    <w:rsid w:val="00CC352F"/>
    <w:rsid w:val="00CC5ABD"/>
    <w:rsid w:val="00CC6621"/>
    <w:rsid w:val="00CD12D8"/>
    <w:rsid w:val="00CD2ED3"/>
    <w:rsid w:val="00CE2543"/>
    <w:rsid w:val="00CE2AEF"/>
    <w:rsid w:val="00CE3BC0"/>
    <w:rsid w:val="00CE5A69"/>
    <w:rsid w:val="00CF0907"/>
    <w:rsid w:val="00CF1422"/>
    <w:rsid w:val="00CF1D90"/>
    <w:rsid w:val="00CF2540"/>
    <w:rsid w:val="00CF2CC8"/>
    <w:rsid w:val="00CF3701"/>
    <w:rsid w:val="00CF42E2"/>
    <w:rsid w:val="00CF46C6"/>
    <w:rsid w:val="00CF571F"/>
    <w:rsid w:val="00CF5C04"/>
    <w:rsid w:val="00CF6C33"/>
    <w:rsid w:val="00CF748F"/>
    <w:rsid w:val="00CF7504"/>
    <w:rsid w:val="00D0034D"/>
    <w:rsid w:val="00D0287C"/>
    <w:rsid w:val="00D033ED"/>
    <w:rsid w:val="00D036FE"/>
    <w:rsid w:val="00D04083"/>
    <w:rsid w:val="00D04A58"/>
    <w:rsid w:val="00D05889"/>
    <w:rsid w:val="00D065BE"/>
    <w:rsid w:val="00D06D81"/>
    <w:rsid w:val="00D077CD"/>
    <w:rsid w:val="00D07D83"/>
    <w:rsid w:val="00D07E40"/>
    <w:rsid w:val="00D1024B"/>
    <w:rsid w:val="00D10502"/>
    <w:rsid w:val="00D1231A"/>
    <w:rsid w:val="00D123B7"/>
    <w:rsid w:val="00D1286D"/>
    <w:rsid w:val="00D14268"/>
    <w:rsid w:val="00D15621"/>
    <w:rsid w:val="00D17D11"/>
    <w:rsid w:val="00D22D9C"/>
    <w:rsid w:val="00D2437B"/>
    <w:rsid w:val="00D2466D"/>
    <w:rsid w:val="00D2517F"/>
    <w:rsid w:val="00D25D22"/>
    <w:rsid w:val="00D27E15"/>
    <w:rsid w:val="00D31088"/>
    <w:rsid w:val="00D31830"/>
    <w:rsid w:val="00D31A08"/>
    <w:rsid w:val="00D33D98"/>
    <w:rsid w:val="00D40863"/>
    <w:rsid w:val="00D419B2"/>
    <w:rsid w:val="00D41DB7"/>
    <w:rsid w:val="00D43BBE"/>
    <w:rsid w:val="00D45FD8"/>
    <w:rsid w:val="00D460AE"/>
    <w:rsid w:val="00D462AD"/>
    <w:rsid w:val="00D46BEE"/>
    <w:rsid w:val="00D47B56"/>
    <w:rsid w:val="00D50792"/>
    <w:rsid w:val="00D51408"/>
    <w:rsid w:val="00D521FC"/>
    <w:rsid w:val="00D523A0"/>
    <w:rsid w:val="00D5244E"/>
    <w:rsid w:val="00D52923"/>
    <w:rsid w:val="00D529D8"/>
    <w:rsid w:val="00D52DBC"/>
    <w:rsid w:val="00D63103"/>
    <w:rsid w:val="00D653C2"/>
    <w:rsid w:val="00D654F3"/>
    <w:rsid w:val="00D6658C"/>
    <w:rsid w:val="00D66E76"/>
    <w:rsid w:val="00D67B8B"/>
    <w:rsid w:val="00D70AC9"/>
    <w:rsid w:val="00D73717"/>
    <w:rsid w:val="00D75555"/>
    <w:rsid w:val="00D80461"/>
    <w:rsid w:val="00D819E3"/>
    <w:rsid w:val="00D83C17"/>
    <w:rsid w:val="00D840CF"/>
    <w:rsid w:val="00D841B8"/>
    <w:rsid w:val="00D84236"/>
    <w:rsid w:val="00D86754"/>
    <w:rsid w:val="00D86985"/>
    <w:rsid w:val="00D879F9"/>
    <w:rsid w:val="00D87CDF"/>
    <w:rsid w:val="00D90916"/>
    <w:rsid w:val="00D90A62"/>
    <w:rsid w:val="00D91E5B"/>
    <w:rsid w:val="00D93658"/>
    <w:rsid w:val="00D95289"/>
    <w:rsid w:val="00D96941"/>
    <w:rsid w:val="00D96BB7"/>
    <w:rsid w:val="00D9749B"/>
    <w:rsid w:val="00D97B09"/>
    <w:rsid w:val="00DA0465"/>
    <w:rsid w:val="00DA3893"/>
    <w:rsid w:val="00DA4017"/>
    <w:rsid w:val="00DA4281"/>
    <w:rsid w:val="00DA46C4"/>
    <w:rsid w:val="00DA4CE7"/>
    <w:rsid w:val="00DA5B9B"/>
    <w:rsid w:val="00DA738F"/>
    <w:rsid w:val="00DA746E"/>
    <w:rsid w:val="00DB078F"/>
    <w:rsid w:val="00DB4740"/>
    <w:rsid w:val="00DB5276"/>
    <w:rsid w:val="00DB55BD"/>
    <w:rsid w:val="00DB7236"/>
    <w:rsid w:val="00DC0333"/>
    <w:rsid w:val="00DC16E2"/>
    <w:rsid w:val="00DC61A3"/>
    <w:rsid w:val="00DD0BB2"/>
    <w:rsid w:val="00DD1864"/>
    <w:rsid w:val="00DD1909"/>
    <w:rsid w:val="00DD2CD4"/>
    <w:rsid w:val="00DD3A90"/>
    <w:rsid w:val="00DD3DE8"/>
    <w:rsid w:val="00DD4E6B"/>
    <w:rsid w:val="00DD7C6C"/>
    <w:rsid w:val="00DD7F2A"/>
    <w:rsid w:val="00DE0FD6"/>
    <w:rsid w:val="00DE174C"/>
    <w:rsid w:val="00DE2F87"/>
    <w:rsid w:val="00DE3425"/>
    <w:rsid w:val="00DE38EC"/>
    <w:rsid w:val="00DE5647"/>
    <w:rsid w:val="00DE69A6"/>
    <w:rsid w:val="00DE6F8C"/>
    <w:rsid w:val="00DE7DDC"/>
    <w:rsid w:val="00DF012F"/>
    <w:rsid w:val="00DF0AC1"/>
    <w:rsid w:val="00DF12E9"/>
    <w:rsid w:val="00DF2AD5"/>
    <w:rsid w:val="00DF42D5"/>
    <w:rsid w:val="00DF4B0E"/>
    <w:rsid w:val="00DF6BD3"/>
    <w:rsid w:val="00DF7FC2"/>
    <w:rsid w:val="00E01B49"/>
    <w:rsid w:val="00E02679"/>
    <w:rsid w:val="00E03001"/>
    <w:rsid w:val="00E05ECB"/>
    <w:rsid w:val="00E075F9"/>
    <w:rsid w:val="00E11B89"/>
    <w:rsid w:val="00E11E78"/>
    <w:rsid w:val="00E128B5"/>
    <w:rsid w:val="00E142CB"/>
    <w:rsid w:val="00E1503B"/>
    <w:rsid w:val="00E16B73"/>
    <w:rsid w:val="00E2036B"/>
    <w:rsid w:val="00E20E30"/>
    <w:rsid w:val="00E20EE1"/>
    <w:rsid w:val="00E24007"/>
    <w:rsid w:val="00E241C0"/>
    <w:rsid w:val="00E26201"/>
    <w:rsid w:val="00E278AF"/>
    <w:rsid w:val="00E27F76"/>
    <w:rsid w:val="00E30388"/>
    <w:rsid w:val="00E32845"/>
    <w:rsid w:val="00E339D6"/>
    <w:rsid w:val="00E33BFB"/>
    <w:rsid w:val="00E33F3D"/>
    <w:rsid w:val="00E34861"/>
    <w:rsid w:val="00E351C2"/>
    <w:rsid w:val="00E35260"/>
    <w:rsid w:val="00E373E9"/>
    <w:rsid w:val="00E41D4E"/>
    <w:rsid w:val="00E41D7C"/>
    <w:rsid w:val="00E4308E"/>
    <w:rsid w:val="00E43E21"/>
    <w:rsid w:val="00E440AA"/>
    <w:rsid w:val="00E4560F"/>
    <w:rsid w:val="00E50287"/>
    <w:rsid w:val="00E5168C"/>
    <w:rsid w:val="00E520CB"/>
    <w:rsid w:val="00E52638"/>
    <w:rsid w:val="00E53760"/>
    <w:rsid w:val="00E53C6A"/>
    <w:rsid w:val="00E54250"/>
    <w:rsid w:val="00E55274"/>
    <w:rsid w:val="00E569A8"/>
    <w:rsid w:val="00E602BB"/>
    <w:rsid w:val="00E62BC3"/>
    <w:rsid w:val="00E632E5"/>
    <w:rsid w:val="00E66095"/>
    <w:rsid w:val="00E664A0"/>
    <w:rsid w:val="00E665F7"/>
    <w:rsid w:val="00E66DDB"/>
    <w:rsid w:val="00E712DD"/>
    <w:rsid w:val="00E72082"/>
    <w:rsid w:val="00E723C9"/>
    <w:rsid w:val="00E72B8D"/>
    <w:rsid w:val="00E75A54"/>
    <w:rsid w:val="00E76D94"/>
    <w:rsid w:val="00E76F49"/>
    <w:rsid w:val="00E77FCA"/>
    <w:rsid w:val="00E80AA7"/>
    <w:rsid w:val="00E833AE"/>
    <w:rsid w:val="00E834FA"/>
    <w:rsid w:val="00E83C2F"/>
    <w:rsid w:val="00E83F3B"/>
    <w:rsid w:val="00E86538"/>
    <w:rsid w:val="00E86619"/>
    <w:rsid w:val="00E87A8D"/>
    <w:rsid w:val="00E91021"/>
    <w:rsid w:val="00E91A58"/>
    <w:rsid w:val="00E92A68"/>
    <w:rsid w:val="00E93248"/>
    <w:rsid w:val="00E94172"/>
    <w:rsid w:val="00E9433D"/>
    <w:rsid w:val="00E94DDA"/>
    <w:rsid w:val="00E94EAA"/>
    <w:rsid w:val="00E95353"/>
    <w:rsid w:val="00E954C4"/>
    <w:rsid w:val="00E96D7C"/>
    <w:rsid w:val="00EA00B1"/>
    <w:rsid w:val="00EA01BC"/>
    <w:rsid w:val="00EA02C5"/>
    <w:rsid w:val="00EA1982"/>
    <w:rsid w:val="00EA1C3B"/>
    <w:rsid w:val="00EA1F5F"/>
    <w:rsid w:val="00EA2589"/>
    <w:rsid w:val="00EA2ABC"/>
    <w:rsid w:val="00EA2DD7"/>
    <w:rsid w:val="00EA2E6F"/>
    <w:rsid w:val="00EA3176"/>
    <w:rsid w:val="00EA3D85"/>
    <w:rsid w:val="00EA4171"/>
    <w:rsid w:val="00EA4E10"/>
    <w:rsid w:val="00EA5259"/>
    <w:rsid w:val="00EA5C60"/>
    <w:rsid w:val="00EB0D06"/>
    <w:rsid w:val="00EB1839"/>
    <w:rsid w:val="00EB184F"/>
    <w:rsid w:val="00EB1FFF"/>
    <w:rsid w:val="00EB282A"/>
    <w:rsid w:val="00EB43F3"/>
    <w:rsid w:val="00EB4466"/>
    <w:rsid w:val="00EB7E64"/>
    <w:rsid w:val="00EC0F59"/>
    <w:rsid w:val="00EC3B33"/>
    <w:rsid w:val="00EC5263"/>
    <w:rsid w:val="00EC5925"/>
    <w:rsid w:val="00EC67CA"/>
    <w:rsid w:val="00ED0067"/>
    <w:rsid w:val="00ED0997"/>
    <w:rsid w:val="00ED1C49"/>
    <w:rsid w:val="00ED20BC"/>
    <w:rsid w:val="00ED2EA4"/>
    <w:rsid w:val="00ED2F1B"/>
    <w:rsid w:val="00ED528A"/>
    <w:rsid w:val="00ED5C08"/>
    <w:rsid w:val="00ED6660"/>
    <w:rsid w:val="00ED72D1"/>
    <w:rsid w:val="00EE0B9A"/>
    <w:rsid w:val="00EE184F"/>
    <w:rsid w:val="00EE1882"/>
    <w:rsid w:val="00EE1E88"/>
    <w:rsid w:val="00EE3034"/>
    <w:rsid w:val="00EE4558"/>
    <w:rsid w:val="00EE4C35"/>
    <w:rsid w:val="00EF2E4B"/>
    <w:rsid w:val="00EF31A5"/>
    <w:rsid w:val="00EF39CB"/>
    <w:rsid w:val="00EF3B39"/>
    <w:rsid w:val="00EF599D"/>
    <w:rsid w:val="00EF5C38"/>
    <w:rsid w:val="00EF5E3D"/>
    <w:rsid w:val="00EF67DB"/>
    <w:rsid w:val="00EF75E9"/>
    <w:rsid w:val="00F03D1C"/>
    <w:rsid w:val="00F0645A"/>
    <w:rsid w:val="00F078AE"/>
    <w:rsid w:val="00F10200"/>
    <w:rsid w:val="00F107CE"/>
    <w:rsid w:val="00F10B84"/>
    <w:rsid w:val="00F11FFB"/>
    <w:rsid w:val="00F123CA"/>
    <w:rsid w:val="00F12CD0"/>
    <w:rsid w:val="00F1301D"/>
    <w:rsid w:val="00F134FE"/>
    <w:rsid w:val="00F13960"/>
    <w:rsid w:val="00F14F34"/>
    <w:rsid w:val="00F1782B"/>
    <w:rsid w:val="00F21372"/>
    <w:rsid w:val="00F2295C"/>
    <w:rsid w:val="00F26591"/>
    <w:rsid w:val="00F265FB"/>
    <w:rsid w:val="00F2680B"/>
    <w:rsid w:val="00F26A9A"/>
    <w:rsid w:val="00F26E8E"/>
    <w:rsid w:val="00F30CB2"/>
    <w:rsid w:val="00F346B6"/>
    <w:rsid w:val="00F3551D"/>
    <w:rsid w:val="00F369AF"/>
    <w:rsid w:val="00F37656"/>
    <w:rsid w:val="00F409A4"/>
    <w:rsid w:val="00F425D4"/>
    <w:rsid w:val="00F441FF"/>
    <w:rsid w:val="00F45CD1"/>
    <w:rsid w:val="00F470BB"/>
    <w:rsid w:val="00F51083"/>
    <w:rsid w:val="00F52C39"/>
    <w:rsid w:val="00F608A5"/>
    <w:rsid w:val="00F61A9F"/>
    <w:rsid w:val="00F624C1"/>
    <w:rsid w:val="00F62D0C"/>
    <w:rsid w:val="00F63386"/>
    <w:rsid w:val="00F63C51"/>
    <w:rsid w:val="00F63F54"/>
    <w:rsid w:val="00F6619B"/>
    <w:rsid w:val="00F668F4"/>
    <w:rsid w:val="00F67841"/>
    <w:rsid w:val="00F7068E"/>
    <w:rsid w:val="00F70CBA"/>
    <w:rsid w:val="00F7286F"/>
    <w:rsid w:val="00F75AC4"/>
    <w:rsid w:val="00F7766E"/>
    <w:rsid w:val="00F77CE7"/>
    <w:rsid w:val="00F80220"/>
    <w:rsid w:val="00F807DE"/>
    <w:rsid w:val="00F80CF3"/>
    <w:rsid w:val="00F80FB7"/>
    <w:rsid w:val="00F80FCF"/>
    <w:rsid w:val="00F821F9"/>
    <w:rsid w:val="00F82523"/>
    <w:rsid w:val="00F83F40"/>
    <w:rsid w:val="00F86150"/>
    <w:rsid w:val="00F868D6"/>
    <w:rsid w:val="00F916D7"/>
    <w:rsid w:val="00F919D1"/>
    <w:rsid w:val="00F91D57"/>
    <w:rsid w:val="00F9252C"/>
    <w:rsid w:val="00F92D79"/>
    <w:rsid w:val="00F92F16"/>
    <w:rsid w:val="00F94965"/>
    <w:rsid w:val="00F94F90"/>
    <w:rsid w:val="00F95120"/>
    <w:rsid w:val="00F967F0"/>
    <w:rsid w:val="00FA15B6"/>
    <w:rsid w:val="00FA1C28"/>
    <w:rsid w:val="00FA3555"/>
    <w:rsid w:val="00FA5345"/>
    <w:rsid w:val="00FA597C"/>
    <w:rsid w:val="00FA5E1F"/>
    <w:rsid w:val="00FA62A6"/>
    <w:rsid w:val="00FA6F8F"/>
    <w:rsid w:val="00FA73AB"/>
    <w:rsid w:val="00FB01EC"/>
    <w:rsid w:val="00FB134D"/>
    <w:rsid w:val="00FB3165"/>
    <w:rsid w:val="00FB3F82"/>
    <w:rsid w:val="00FB7E2B"/>
    <w:rsid w:val="00FC2C23"/>
    <w:rsid w:val="00FC444D"/>
    <w:rsid w:val="00FD1E53"/>
    <w:rsid w:val="00FD298A"/>
    <w:rsid w:val="00FD2D44"/>
    <w:rsid w:val="00FD3A7C"/>
    <w:rsid w:val="00FD4551"/>
    <w:rsid w:val="00FD5795"/>
    <w:rsid w:val="00FE1267"/>
    <w:rsid w:val="00FE3FA2"/>
    <w:rsid w:val="00FE417E"/>
    <w:rsid w:val="00FE53AA"/>
    <w:rsid w:val="00FE5645"/>
    <w:rsid w:val="00FE6952"/>
    <w:rsid w:val="00FE7793"/>
    <w:rsid w:val="00FF046E"/>
    <w:rsid w:val="00FF04C6"/>
    <w:rsid w:val="00FF1AA1"/>
    <w:rsid w:val="00FF5877"/>
    <w:rsid w:val="00FF58F3"/>
    <w:rsid w:val="02DA6455"/>
    <w:rsid w:val="057C6CDB"/>
    <w:rsid w:val="05AB3BFA"/>
    <w:rsid w:val="05B01190"/>
    <w:rsid w:val="07CF3FC6"/>
    <w:rsid w:val="07D451D8"/>
    <w:rsid w:val="0A31516B"/>
    <w:rsid w:val="0C5122A7"/>
    <w:rsid w:val="0EFF4157"/>
    <w:rsid w:val="0FCD114C"/>
    <w:rsid w:val="103D29B5"/>
    <w:rsid w:val="10E9717C"/>
    <w:rsid w:val="11EF2379"/>
    <w:rsid w:val="14347172"/>
    <w:rsid w:val="144E4536"/>
    <w:rsid w:val="152F261A"/>
    <w:rsid w:val="15455E1E"/>
    <w:rsid w:val="177F44D2"/>
    <w:rsid w:val="1927054B"/>
    <w:rsid w:val="19A91B18"/>
    <w:rsid w:val="1AC6444B"/>
    <w:rsid w:val="1B072DED"/>
    <w:rsid w:val="1BE7774A"/>
    <w:rsid w:val="1F296D6F"/>
    <w:rsid w:val="1F3132CD"/>
    <w:rsid w:val="1FA9036A"/>
    <w:rsid w:val="24C824AB"/>
    <w:rsid w:val="257E5E15"/>
    <w:rsid w:val="260E57EE"/>
    <w:rsid w:val="26B27660"/>
    <w:rsid w:val="27304548"/>
    <w:rsid w:val="27700955"/>
    <w:rsid w:val="27C65230"/>
    <w:rsid w:val="29FC7E86"/>
    <w:rsid w:val="2A924567"/>
    <w:rsid w:val="2AA15F6C"/>
    <w:rsid w:val="2D760C8A"/>
    <w:rsid w:val="2EA769CB"/>
    <w:rsid w:val="30731619"/>
    <w:rsid w:val="33D005E9"/>
    <w:rsid w:val="35F141C8"/>
    <w:rsid w:val="36432A19"/>
    <w:rsid w:val="373B5614"/>
    <w:rsid w:val="373D34D1"/>
    <w:rsid w:val="37481270"/>
    <w:rsid w:val="376D3618"/>
    <w:rsid w:val="378F7E6C"/>
    <w:rsid w:val="39376F18"/>
    <w:rsid w:val="3C2B783E"/>
    <w:rsid w:val="3FBA19D1"/>
    <w:rsid w:val="44A150FA"/>
    <w:rsid w:val="454C3374"/>
    <w:rsid w:val="457A626D"/>
    <w:rsid w:val="45EF402C"/>
    <w:rsid w:val="479F23E0"/>
    <w:rsid w:val="47DF5014"/>
    <w:rsid w:val="49A915EC"/>
    <w:rsid w:val="4A3B127B"/>
    <w:rsid w:val="4BC36D42"/>
    <w:rsid w:val="4C055CDB"/>
    <w:rsid w:val="4C9C521E"/>
    <w:rsid w:val="4D75306D"/>
    <w:rsid w:val="4D7E6E04"/>
    <w:rsid w:val="4F0B1A05"/>
    <w:rsid w:val="4F8B7944"/>
    <w:rsid w:val="50BC25DF"/>
    <w:rsid w:val="50CC29AB"/>
    <w:rsid w:val="50E93C19"/>
    <w:rsid w:val="5263207E"/>
    <w:rsid w:val="545A4114"/>
    <w:rsid w:val="55C005FB"/>
    <w:rsid w:val="586265BA"/>
    <w:rsid w:val="596156EB"/>
    <w:rsid w:val="5A5D3470"/>
    <w:rsid w:val="5B7761CC"/>
    <w:rsid w:val="5C910DBE"/>
    <w:rsid w:val="5E597FC5"/>
    <w:rsid w:val="5EAE48AD"/>
    <w:rsid w:val="610A7648"/>
    <w:rsid w:val="618F1684"/>
    <w:rsid w:val="62597BAE"/>
    <w:rsid w:val="62A16FB7"/>
    <w:rsid w:val="65103A5C"/>
    <w:rsid w:val="656E3556"/>
    <w:rsid w:val="65E50332"/>
    <w:rsid w:val="65FD3687"/>
    <w:rsid w:val="6725235E"/>
    <w:rsid w:val="6728578C"/>
    <w:rsid w:val="67CC7317"/>
    <w:rsid w:val="681B668F"/>
    <w:rsid w:val="68F67B61"/>
    <w:rsid w:val="6E94578A"/>
    <w:rsid w:val="6EE429BB"/>
    <w:rsid w:val="71261EB7"/>
    <w:rsid w:val="71B90088"/>
    <w:rsid w:val="723F69DB"/>
    <w:rsid w:val="73510F80"/>
    <w:rsid w:val="76561B79"/>
    <w:rsid w:val="79C155C0"/>
    <w:rsid w:val="79C269D0"/>
    <w:rsid w:val="7AF03F36"/>
    <w:rsid w:val="7B340AAD"/>
    <w:rsid w:val="7B3819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32"/>
    <w:qFormat/>
    <w:uiPriority w:val="99"/>
    <w:pPr>
      <w:keepNext/>
      <w:jc w:val="center"/>
      <w:outlineLvl w:val="0"/>
    </w:pPr>
    <w:rPr>
      <w:b/>
      <w:bCs/>
      <w:kern w:val="44"/>
      <w:sz w:val="44"/>
      <w:szCs w:val="44"/>
    </w:rPr>
  </w:style>
  <w:style w:type="paragraph" w:styleId="6">
    <w:name w:val="heading 2"/>
    <w:basedOn w:val="1"/>
    <w:next w:val="1"/>
    <w:link w:val="33"/>
    <w:qFormat/>
    <w:uiPriority w:val="99"/>
    <w:pPr>
      <w:keepNext/>
      <w:jc w:val="center"/>
      <w:outlineLvl w:val="1"/>
    </w:pPr>
    <w:rPr>
      <w:rFonts w:ascii="Cambria" w:hAnsi="Cambria"/>
      <w:b/>
      <w:bCs/>
      <w:kern w:val="0"/>
      <w:sz w:val="32"/>
      <w:szCs w:val="32"/>
    </w:rPr>
  </w:style>
  <w:style w:type="paragraph" w:styleId="7">
    <w:name w:val="heading 3"/>
    <w:basedOn w:val="1"/>
    <w:next w:val="1"/>
    <w:link w:val="34"/>
    <w:qFormat/>
    <w:uiPriority w:val="99"/>
    <w:pPr>
      <w:keepNext/>
      <w:jc w:val="center"/>
      <w:outlineLvl w:val="2"/>
    </w:pPr>
    <w:rPr>
      <w:b/>
      <w:bCs/>
      <w:kern w:val="0"/>
      <w:sz w:val="32"/>
      <w:szCs w:val="32"/>
    </w:rPr>
  </w:style>
  <w:style w:type="paragraph" w:styleId="8">
    <w:name w:val="heading 4"/>
    <w:basedOn w:val="1"/>
    <w:next w:val="1"/>
    <w:link w:val="35"/>
    <w:qFormat/>
    <w:uiPriority w:val="99"/>
    <w:pPr>
      <w:keepNext/>
      <w:jc w:val="center"/>
      <w:outlineLvl w:val="3"/>
    </w:pPr>
    <w:rPr>
      <w:rFonts w:ascii="Cambria" w:hAnsi="Cambria"/>
      <w:b/>
      <w:bCs/>
      <w:kern w:val="0"/>
      <w:sz w:val="28"/>
      <w:szCs w:val="28"/>
    </w:rPr>
  </w:style>
  <w:style w:type="paragraph" w:styleId="9">
    <w:name w:val="heading 5"/>
    <w:basedOn w:val="1"/>
    <w:next w:val="1"/>
    <w:link w:val="36"/>
    <w:qFormat/>
    <w:uiPriority w:val="99"/>
    <w:pPr>
      <w:keepNext/>
      <w:numPr>
        <w:ilvl w:val="0"/>
        <w:numId w:val="1"/>
      </w:numPr>
      <w:outlineLvl w:val="4"/>
    </w:pPr>
    <w:rPr>
      <w:rFonts w:ascii="楷体_GB2312" w:eastAsia="楷体_GB2312"/>
      <w:bCs/>
      <w:sz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jc w:val="left"/>
    </w:pPr>
    <w:rPr>
      <w:kern w:val="21"/>
    </w:rPr>
  </w:style>
  <w:style w:type="paragraph" w:styleId="3">
    <w:name w:val="Body Text"/>
    <w:basedOn w:val="1"/>
    <w:next w:val="4"/>
    <w:link w:val="41"/>
    <w:qFormat/>
    <w:uiPriority w:val="99"/>
    <w:rPr>
      <w:kern w:val="0"/>
      <w:sz w:val="20"/>
    </w:rPr>
  </w:style>
  <w:style w:type="paragraph" w:styleId="4">
    <w:name w:val="List"/>
    <w:basedOn w:val="1"/>
    <w:semiHidden/>
    <w:qFormat/>
    <w:uiPriority w:val="99"/>
    <w:pPr>
      <w:ind w:left="200" w:hanging="200" w:hangingChars="200"/>
      <w:contextualSpacing/>
    </w:pPr>
  </w:style>
  <w:style w:type="paragraph" w:styleId="10">
    <w:name w:val="Normal Indent"/>
    <w:basedOn w:val="1"/>
    <w:qFormat/>
    <w:uiPriority w:val="99"/>
    <w:pPr>
      <w:ind w:firstLine="420"/>
    </w:pPr>
  </w:style>
  <w:style w:type="paragraph" w:styleId="11">
    <w:name w:val="Document Map"/>
    <w:basedOn w:val="1"/>
    <w:link w:val="97"/>
    <w:semiHidden/>
    <w:qFormat/>
    <w:uiPriority w:val="99"/>
    <w:pPr>
      <w:shd w:val="clear" w:color="auto" w:fill="000080"/>
    </w:pPr>
    <w:rPr>
      <w:kern w:val="0"/>
      <w:sz w:val="2"/>
    </w:rPr>
  </w:style>
  <w:style w:type="paragraph" w:styleId="12">
    <w:name w:val="annotation text"/>
    <w:basedOn w:val="1"/>
    <w:link w:val="105"/>
    <w:unhideWhenUsed/>
    <w:qFormat/>
    <w:uiPriority w:val="99"/>
    <w:pPr>
      <w:jc w:val="left"/>
    </w:pPr>
  </w:style>
  <w:style w:type="paragraph" w:styleId="13">
    <w:name w:val="Body Text Indent"/>
    <w:basedOn w:val="1"/>
    <w:link w:val="38"/>
    <w:qFormat/>
    <w:uiPriority w:val="99"/>
    <w:pPr>
      <w:ind w:firstLine="576"/>
    </w:pPr>
    <w:rPr>
      <w:kern w:val="0"/>
      <w:sz w:val="20"/>
    </w:rPr>
  </w:style>
  <w:style w:type="paragraph" w:styleId="14">
    <w:name w:val="Date"/>
    <w:basedOn w:val="1"/>
    <w:next w:val="1"/>
    <w:link w:val="37"/>
    <w:qFormat/>
    <w:uiPriority w:val="99"/>
    <w:rPr>
      <w:kern w:val="0"/>
      <w:sz w:val="20"/>
    </w:rPr>
  </w:style>
  <w:style w:type="paragraph" w:styleId="15">
    <w:name w:val="Body Text Indent 2"/>
    <w:basedOn w:val="1"/>
    <w:link w:val="42"/>
    <w:qFormat/>
    <w:uiPriority w:val="99"/>
    <w:pPr>
      <w:ind w:left="900"/>
    </w:pPr>
    <w:rPr>
      <w:kern w:val="0"/>
      <w:sz w:val="20"/>
    </w:rPr>
  </w:style>
  <w:style w:type="paragraph" w:styleId="16">
    <w:name w:val="Balloon Text"/>
    <w:basedOn w:val="1"/>
    <w:link w:val="104"/>
    <w:semiHidden/>
    <w:unhideWhenUsed/>
    <w:qFormat/>
    <w:uiPriority w:val="99"/>
    <w:rPr>
      <w:sz w:val="18"/>
      <w:szCs w:val="18"/>
    </w:rPr>
  </w:style>
  <w:style w:type="paragraph" w:styleId="17">
    <w:name w:val="footer"/>
    <w:basedOn w:val="1"/>
    <w:link w:val="39"/>
    <w:qFormat/>
    <w:uiPriority w:val="99"/>
    <w:pPr>
      <w:tabs>
        <w:tab w:val="center" w:pos="4153"/>
        <w:tab w:val="right" w:pos="8306"/>
      </w:tabs>
      <w:snapToGrid w:val="0"/>
      <w:jc w:val="left"/>
    </w:pPr>
    <w:rPr>
      <w:kern w:val="0"/>
      <w:sz w:val="18"/>
      <w:szCs w:val="18"/>
    </w:rPr>
  </w:style>
  <w:style w:type="paragraph" w:styleId="18">
    <w:name w:val="header"/>
    <w:basedOn w:val="1"/>
    <w:link w:val="40"/>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Body Text Indent 3"/>
    <w:basedOn w:val="1"/>
    <w:link w:val="43"/>
    <w:qFormat/>
    <w:uiPriority w:val="99"/>
    <w:pPr>
      <w:ind w:left="359" w:leftChars="171" w:firstLine="359" w:firstLineChars="171"/>
    </w:pPr>
    <w:rPr>
      <w:kern w:val="0"/>
      <w:sz w:val="16"/>
      <w:szCs w:val="16"/>
    </w:rPr>
  </w:style>
  <w:style w:type="paragraph" w:styleId="20">
    <w:name w:val="Body Text 2"/>
    <w:basedOn w:val="1"/>
    <w:link w:val="98"/>
    <w:qFormat/>
    <w:uiPriority w:val="99"/>
    <w:pPr>
      <w:spacing w:after="120" w:line="480" w:lineRule="auto"/>
    </w:pPr>
    <w:rPr>
      <w:kern w:val="0"/>
      <w:sz w:val="20"/>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annotation subject"/>
    <w:basedOn w:val="12"/>
    <w:next w:val="12"/>
    <w:link w:val="106"/>
    <w:semiHidden/>
    <w:unhideWhenUsed/>
    <w:qFormat/>
    <w:uiPriority w:val="99"/>
    <w:rPr>
      <w:b/>
      <w:bCs/>
    </w:rPr>
  </w:style>
  <w:style w:type="paragraph" w:styleId="23">
    <w:name w:val="Body Text First Indent 2"/>
    <w:basedOn w:val="13"/>
    <w:link w:val="109"/>
    <w:qFormat/>
    <w:uiPriority w:val="99"/>
    <w:pPr>
      <w:spacing w:after="120"/>
      <w:ind w:left="420" w:leftChars="200" w:firstLine="420" w:firstLineChars="200"/>
    </w:pPr>
    <w:rPr>
      <w:kern w:val="2"/>
      <w:sz w:val="21"/>
    </w:rPr>
  </w:style>
  <w:style w:type="character" w:styleId="26">
    <w:name w:val="Strong"/>
    <w:qFormat/>
    <w:uiPriority w:val="99"/>
    <w:rPr>
      <w:rFonts w:cs="Times New Roman"/>
      <w:b/>
      <w:bCs/>
    </w:rPr>
  </w:style>
  <w:style w:type="character" w:styleId="27">
    <w:name w:val="page number"/>
    <w:qFormat/>
    <w:uiPriority w:val="99"/>
    <w:rPr>
      <w:rFonts w:cs="Times New Roman"/>
    </w:rPr>
  </w:style>
  <w:style w:type="character" w:styleId="28">
    <w:name w:val="FollowedHyperlink"/>
    <w:qFormat/>
    <w:uiPriority w:val="99"/>
    <w:rPr>
      <w:rFonts w:cs="Times New Roman"/>
      <w:color w:val="auto"/>
      <w:u w:val="none"/>
    </w:rPr>
  </w:style>
  <w:style w:type="character" w:styleId="29">
    <w:name w:val="HTML Typewriter"/>
    <w:qFormat/>
    <w:uiPriority w:val="99"/>
    <w:rPr>
      <w:rFonts w:ascii="宋体" w:hAnsi="宋体" w:eastAsia="宋体" w:cs="宋体"/>
      <w:sz w:val="24"/>
      <w:szCs w:val="24"/>
    </w:rPr>
  </w:style>
  <w:style w:type="character" w:styleId="30">
    <w:name w:val="Hyperlink"/>
    <w:qFormat/>
    <w:uiPriority w:val="99"/>
    <w:rPr>
      <w:rFonts w:cs="Times New Roman"/>
      <w:color w:val="auto"/>
      <w:u w:val="none"/>
    </w:rPr>
  </w:style>
  <w:style w:type="character" w:styleId="31">
    <w:name w:val="annotation reference"/>
    <w:basedOn w:val="25"/>
    <w:semiHidden/>
    <w:unhideWhenUsed/>
    <w:qFormat/>
    <w:uiPriority w:val="99"/>
    <w:rPr>
      <w:sz w:val="21"/>
      <w:szCs w:val="21"/>
    </w:rPr>
  </w:style>
  <w:style w:type="character" w:customStyle="1" w:styleId="32">
    <w:name w:val="标题 1 Char"/>
    <w:link w:val="5"/>
    <w:qFormat/>
    <w:locked/>
    <w:uiPriority w:val="99"/>
    <w:rPr>
      <w:rFonts w:cs="Times New Roman"/>
      <w:b/>
      <w:bCs/>
      <w:kern w:val="44"/>
      <w:sz w:val="44"/>
      <w:szCs w:val="44"/>
    </w:rPr>
  </w:style>
  <w:style w:type="character" w:customStyle="1" w:styleId="33">
    <w:name w:val="标题 2 Char"/>
    <w:link w:val="6"/>
    <w:semiHidden/>
    <w:qFormat/>
    <w:locked/>
    <w:uiPriority w:val="99"/>
    <w:rPr>
      <w:rFonts w:ascii="Cambria" w:hAnsi="Cambria" w:eastAsia="宋体" w:cs="Times New Roman"/>
      <w:b/>
      <w:bCs/>
      <w:sz w:val="32"/>
      <w:szCs w:val="32"/>
    </w:rPr>
  </w:style>
  <w:style w:type="character" w:customStyle="1" w:styleId="34">
    <w:name w:val="标题 3 Char"/>
    <w:link w:val="7"/>
    <w:semiHidden/>
    <w:qFormat/>
    <w:locked/>
    <w:uiPriority w:val="99"/>
    <w:rPr>
      <w:rFonts w:cs="Times New Roman"/>
      <w:b/>
      <w:bCs/>
      <w:sz w:val="32"/>
      <w:szCs w:val="32"/>
    </w:rPr>
  </w:style>
  <w:style w:type="character" w:customStyle="1" w:styleId="35">
    <w:name w:val="标题 4 Char"/>
    <w:link w:val="8"/>
    <w:semiHidden/>
    <w:qFormat/>
    <w:locked/>
    <w:uiPriority w:val="99"/>
    <w:rPr>
      <w:rFonts w:ascii="Cambria" w:hAnsi="Cambria" w:eastAsia="宋体" w:cs="Times New Roman"/>
      <w:b/>
      <w:bCs/>
      <w:sz w:val="28"/>
      <w:szCs w:val="28"/>
    </w:rPr>
  </w:style>
  <w:style w:type="character" w:customStyle="1" w:styleId="36">
    <w:name w:val="标题 5 Char"/>
    <w:link w:val="9"/>
    <w:qFormat/>
    <w:locked/>
    <w:uiPriority w:val="99"/>
    <w:rPr>
      <w:rFonts w:ascii="楷体_GB2312" w:eastAsia="楷体_GB2312"/>
      <w:bCs/>
      <w:kern w:val="2"/>
      <w:sz w:val="28"/>
    </w:rPr>
  </w:style>
  <w:style w:type="character" w:customStyle="1" w:styleId="37">
    <w:name w:val="日期 Char"/>
    <w:link w:val="14"/>
    <w:semiHidden/>
    <w:qFormat/>
    <w:locked/>
    <w:uiPriority w:val="99"/>
    <w:rPr>
      <w:rFonts w:cs="Times New Roman"/>
      <w:sz w:val="20"/>
      <w:szCs w:val="20"/>
    </w:rPr>
  </w:style>
  <w:style w:type="character" w:customStyle="1" w:styleId="38">
    <w:name w:val="正文文本缩进 Char"/>
    <w:link w:val="13"/>
    <w:semiHidden/>
    <w:qFormat/>
    <w:locked/>
    <w:uiPriority w:val="99"/>
    <w:rPr>
      <w:rFonts w:cs="Times New Roman"/>
      <w:sz w:val="20"/>
      <w:szCs w:val="20"/>
    </w:rPr>
  </w:style>
  <w:style w:type="character" w:customStyle="1" w:styleId="39">
    <w:name w:val="页脚 Char"/>
    <w:link w:val="17"/>
    <w:semiHidden/>
    <w:qFormat/>
    <w:locked/>
    <w:uiPriority w:val="99"/>
    <w:rPr>
      <w:rFonts w:cs="Times New Roman"/>
      <w:sz w:val="18"/>
      <w:szCs w:val="18"/>
    </w:rPr>
  </w:style>
  <w:style w:type="character" w:customStyle="1" w:styleId="40">
    <w:name w:val="页眉 Char"/>
    <w:link w:val="18"/>
    <w:qFormat/>
    <w:locked/>
    <w:uiPriority w:val="99"/>
    <w:rPr>
      <w:rFonts w:cs="Times New Roman"/>
      <w:sz w:val="18"/>
      <w:szCs w:val="18"/>
    </w:rPr>
  </w:style>
  <w:style w:type="character" w:customStyle="1" w:styleId="41">
    <w:name w:val="正文文本 Char"/>
    <w:link w:val="3"/>
    <w:semiHidden/>
    <w:qFormat/>
    <w:locked/>
    <w:uiPriority w:val="99"/>
    <w:rPr>
      <w:rFonts w:cs="Times New Roman"/>
      <w:sz w:val="20"/>
      <w:szCs w:val="20"/>
    </w:rPr>
  </w:style>
  <w:style w:type="character" w:customStyle="1" w:styleId="42">
    <w:name w:val="正文文本缩进 2 Char"/>
    <w:link w:val="15"/>
    <w:semiHidden/>
    <w:qFormat/>
    <w:locked/>
    <w:uiPriority w:val="99"/>
    <w:rPr>
      <w:rFonts w:cs="Times New Roman"/>
      <w:sz w:val="20"/>
      <w:szCs w:val="20"/>
    </w:rPr>
  </w:style>
  <w:style w:type="character" w:customStyle="1" w:styleId="43">
    <w:name w:val="正文文本缩进 3 Char"/>
    <w:link w:val="19"/>
    <w:semiHidden/>
    <w:qFormat/>
    <w:locked/>
    <w:uiPriority w:val="99"/>
    <w:rPr>
      <w:rFonts w:cs="Times New Roman"/>
      <w:sz w:val="16"/>
      <w:szCs w:val="16"/>
    </w:rPr>
  </w:style>
  <w:style w:type="paragraph" w:customStyle="1" w:styleId="44">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45">
    <w:name w:val="font6"/>
    <w:basedOn w:val="1"/>
    <w:qFormat/>
    <w:uiPriority w:val="99"/>
    <w:pPr>
      <w:widowControl/>
      <w:spacing w:before="100" w:beforeAutospacing="1" w:after="100" w:afterAutospacing="1"/>
      <w:jc w:val="left"/>
    </w:pPr>
    <w:rPr>
      <w:rFonts w:ascii="宋体" w:hAnsi="宋体"/>
      <w:b/>
      <w:bCs/>
      <w:kern w:val="0"/>
      <w:sz w:val="20"/>
    </w:rPr>
  </w:style>
  <w:style w:type="paragraph" w:customStyle="1" w:styleId="46">
    <w:name w:val="font7"/>
    <w:basedOn w:val="1"/>
    <w:qFormat/>
    <w:uiPriority w:val="99"/>
    <w:pPr>
      <w:widowControl/>
      <w:spacing w:before="100" w:beforeAutospacing="1" w:after="100" w:afterAutospacing="1"/>
      <w:jc w:val="left"/>
    </w:pPr>
    <w:rPr>
      <w:b/>
      <w:bCs/>
      <w:i/>
      <w:iCs/>
      <w:kern w:val="0"/>
      <w:sz w:val="20"/>
    </w:rPr>
  </w:style>
  <w:style w:type="paragraph" w:customStyle="1" w:styleId="47">
    <w:name w:val="font8"/>
    <w:basedOn w:val="1"/>
    <w:qFormat/>
    <w:uiPriority w:val="99"/>
    <w:pPr>
      <w:widowControl/>
      <w:spacing w:before="100" w:beforeAutospacing="1" w:after="100" w:afterAutospacing="1"/>
      <w:jc w:val="left"/>
    </w:pPr>
    <w:rPr>
      <w:rFonts w:ascii="宋体" w:hAnsi="宋体"/>
      <w:b/>
      <w:bCs/>
      <w:i/>
      <w:iCs/>
      <w:kern w:val="0"/>
      <w:sz w:val="20"/>
    </w:rPr>
  </w:style>
  <w:style w:type="paragraph" w:customStyle="1" w:styleId="48">
    <w:name w:val="font9"/>
    <w:basedOn w:val="1"/>
    <w:qFormat/>
    <w:uiPriority w:val="99"/>
    <w:pPr>
      <w:widowControl/>
      <w:spacing w:before="100" w:beforeAutospacing="1" w:after="100" w:afterAutospacing="1"/>
      <w:jc w:val="left"/>
    </w:pPr>
    <w:rPr>
      <w:b/>
      <w:bCs/>
      <w:kern w:val="0"/>
      <w:sz w:val="20"/>
    </w:rPr>
  </w:style>
  <w:style w:type="paragraph" w:customStyle="1" w:styleId="49">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50">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5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2">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53">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4">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5">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56">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57">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59">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60">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61">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62">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63">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4">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65">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66">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7">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68">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9">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0">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1">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2">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3">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4">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5">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6">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7">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8">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79">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80">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81">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82">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3">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4">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5">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6">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7">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8">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89">
    <w:name w:val="font10"/>
    <w:basedOn w:val="1"/>
    <w:qFormat/>
    <w:uiPriority w:val="99"/>
    <w:pPr>
      <w:widowControl/>
      <w:spacing w:before="100" w:beforeAutospacing="1" w:after="100" w:afterAutospacing="1"/>
      <w:jc w:val="left"/>
    </w:pPr>
    <w:rPr>
      <w:rFonts w:ascii="楷体_GB2312" w:hAnsi="宋体" w:eastAsia="楷体_GB2312"/>
      <w:b/>
      <w:bCs/>
      <w:kern w:val="0"/>
      <w:sz w:val="18"/>
      <w:szCs w:val="18"/>
    </w:rPr>
  </w:style>
  <w:style w:type="paragraph" w:customStyle="1" w:styleId="90">
    <w:name w:val="font11"/>
    <w:basedOn w:val="1"/>
    <w:qFormat/>
    <w:uiPriority w:val="99"/>
    <w:pPr>
      <w:widowControl/>
      <w:spacing w:before="100" w:beforeAutospacing="1" w:after="100" w:afterAutospacing="1"/>
      <w:jc w:val="left"/>
    </w:pPr>
    <w:rPr>
      <w:b/>
      <w:bCs/>
      <w:kern w:val="0"/>
      <w:sz w:val="18"/>
      <w:szCs w:val="18"/>
    </w:rPr>
  </w:style>
  <w:style w:type="paragraph" w:customStyle="1" w:styleId="91">
    <w:name w:val="font12"/>
    <w:basedOn w:val="1"/>
    <w:qFormat/>
    <w:uiPriority w:val="99"/>
    <w:pPr>
      <w:widowControl/>
      <w:spacing w:before="100" w:beforeAutospacing="1" w:after="100" w:afterAutospacing="1"/>
      <w:jc w:val="left"/>
    </w:pPr>
    <w:rPr>
      <w:rFonts w:ascii="宋体" w:hAnsi="宋体"/>
      <w:kern w:val="0"/>
      <w:sz w:val="36"/>
      <w:szCs w:val="36"/>
    </w:rPr>
  </w:style>
  <w:style w:type="paragraph" w:customStyle="1" w:styleId="92">
    <w:name w:val="font13"/>
    <w:basedOn w:val="1"/>
    <w:qFormat/>
    <w:uiPriority w:val="99"/>
    <w:pPr>
      <w:widowControl/>
      <w:spacing w:before="100" w:beforeAutospacing="1" w:after="100" w:afterAutospacing="1"/>
      <w:jc w:val="left"/>
    </w:pPr>
    <w:rPr>
      <w:i/>
      <w:iCs/>
      <w:kern w:val="0"/>
      <w:sz w:val="36"/>
      <w:szCs w:val="36"/>
    </w:rPr>
  </w:style>
  <w:style w:type="paragraph" w:customStyle="1" w:styleId="93">
    <w:name w:val="font14"/>
    <w:basedOn w:val="1"/>
    <w:qFormat/>
    <w:uiPriority w:val="99"/>
    <w:pPr>
      <w:widowControl/>
      <w:spacing w:before="100" w:beforeAutospacing="1" w:after="100" w:afterAutospacing="1"/>
      <w:jc w:val="left"/>
    </w:pPr>
    <w:rPr>
      <w:kern w:val="0"/>
      <w:sz w:val="36"/>
      <w:szCs w:val="36"/>
    </w:rPr>
  </w:style>
  <w:style w:type="character" w:customStyle="1" w:styleId="94">
    <w:name w:val="case31"/>
    <w:qFormat/>
    <w:uiPriority w:val="99"/>
    <w:rPr>
      <w:rFonts w:cs="Times New Roman"/>
      <w:spacing w:val="390"/>
      <w:sz w:val="21"/>
      <w:szCs w:val="21"/>
    </w:rPr>
  </w:style>
  <w:style w:type="paragraph" w:customStyle="1" w:styleId="95">
    <w:name w:val="普通文字"/>
    <w:basedOn w:val="1"/>
    <w:next w:val="1"/>
    <w:qFormat/>
    <w:uiPriority w:val="99"/>
    <w:rPr>
      <w:rFonts w:ascii="宋体"/>
      <w:kern w:val="0"/>
      <w:sz w:val="24"/>
      <w:u w:color="000000"/>
    </w:rPr>
  </w:style>
  <w:style w:type="paragraph" w:customStyle="1" w:styleId="96">
    <w:name w:val="默认段落字体 Para Char"/>
    <w:basedOn w:val="1"/>
    <w:qFormat/>
    <w:uiPriority w:val="99"/>
    <w:pPr>
      <w:tabs>
        <w:tab w:val="left" w:pos="552"/>
      </w:tabs>
      <w:ind w:left="552" w:hanging="420"/>
    </w:pPr>
    <w:rPr>
      <w:sz w:val="24"/>
      <w:szCs w:val="24"/>
    </w:rPr>
  </w:style>
  <w:style w:type="character" w:customStyle="1" w:styleId="97">
    <w:name w:val="文档结构图 Char"/>
    <w:link w:val="11"/>
    <w:semiHidden/>
    <w:qFormat/>
    <w:locked/>
    <w:uiPriority w:val="99"/>
    <w:rPr>
      <w:rFonts w:cs="Times New Roman"/>
      <w:sz w:val="2"/>
    </w:rPr>
  </w:style>
  <w:style w:type="character" w:customStyle="1" w:styleId="98">
    <w:name w:val="正文文本 2 Char"/>
    <w:link w:val="20"/>
    <w:semiHidden/>
    <w:qFormat/>
    <w:locked/>
    <w:uiPriority w:val="99"/>
    <w:rPr>
      <w:rFonts w:cs="Times New Roman"/>
      <w:sz w:val="20"/>
      <w:szCs w:val="20"/>
    </w:rPr>
  </w:style>
  <w:style w:type="paragraph" w:customStyle="1" w:styleId="99">
    <w:name w:val="Char Char Char Char"/>
    <w:basedOn w:val="11"/>
    <w:qFormat/>
    <w:uiPriority w:val="99"/>
    <w:pPr>
      <w:adjustRightInd w:val="0"/>
      <w:snapToGrid w:val="0"/>
      <w:spacing w:line="360" w:lineRule="auto"/>
    </w:pPr>
    <w:rPr>
      <w:rFonts w:ascii="Tahoma" w:hAnsi="Tahoma"/>
      <w:sz w:val="24"/>
      <w:szCs w:val="24"/>
    </w:rPr>
  </w:style>
  <w:style w:type="paragraph" w:customStyle="1" w:styleId="100">
    <w:name w:val="Char Char1 Char Char Char Char"/>
    <w:basedOn w:val="11"/>
    <w:qFormat/>
    <w:uiPriority w:val="99"/>
    <w:pPr>
      <w:adjustRightInd w:val="0"/>
      <w:spacing w:line="436" w:lineRule="exact"/>
      <w:ind w:left="357"/>
      <w:jc w:val="left"/>
      <w:outlineLvl w:val="3"/>
    </w:pPr>
    <w:rPr>
      <w:rFonts w:ascii="Tahoma" w:hAnsi="Tahoma"/>
      <w:b/>
      <w:sz w:val="24"/>
      <w:szCs w:val="24"/>
    </w:rPr>
  </w:style>
  <w:style w:type="paragraph" w:styleId="101">
    <w:name w:val="List Paragraph"/>
    <w:basedOn w:val="1"/>
    <w:qFormat/>
    <w:uiPriority w:val="0"/>
    <w:pPr>
      <w:ind w:firstLine="420" w:firstLineChars="200"/>
    </w:pPr>
  </w:style>
  <w:style w:type="character" w:customStyle="1" w:styleId="102">
    <w:name w:val="apple-converted-space"/>
    <w:basedOn w:val="25"/>
    <w:qFormat/>
    <w:uiPriority w:val="0"/>
  </w:style>
  <w:style w:type="character" w:customStyle="1" w:styleId="103">
    <w:name w:val="grame"/>
    <w:basedOn w:val="25"/>
    <w:qFormat/>
    <w:uiPriority w:val="0"/>
  </w:style>
  <w:style w:type="character" w:customStyle="1" w:styleId="104">
    <w:name w:val="批注框文本 Char"/>
    <w:link w:val="16"/>
    <w:semiHidden/>
    <w:qFormat/>
    <w:uiPriority w:val="99"/>
    <w:rPr>
      <w:kern w:val="2"/>
      <w:sz w:val="18"/>
      <w:szCs w:val="18"/>
    </w:rPr>
  </w:style>
  <w:style w:type="character" w:customStyle="1" w:styleId="105">
    <w:name w:val="批注文字 Char"/>
    <w:basedOn w:val="25"/>
    <w:link w:val="12"/>
    <w:qFormat/>
    <w:uiPriority w:val="99"/>
    <w:rPr>
      <w:kern w:val="2"/>
      <w:sz w:val="21"/>
    </w:rPr>
  </w:style>
  <w:style w:type="character" w:customStyle="1" w:styleId="106">
    <w:name w:val="批注主题 Char"/>
    <w:basedOn w:val="105"/>
    <w:link w:val="22"/>
    <w:semiHidden/>
    <w:qFormat/>
    <w:uiPriority w:val="99"/>
    <w:rPr>
      <w:b/>
      <w:bCs/>
      <w:kern w:val="2"/>
      <w:sz w:val="21"/>
    </w:rPr>
  </w:style>
  <w:style w:type="character" w:styleId="107">
    <w:name w:val="Placeholder Text"/>
    <w:basedOn w:val="25"/>
    <w:unhideWhenUsed/>
    <w:qFormat/>
    <w:uiPriority w:val="99"/>
    <w:rPr>
      <w:color w:val="808080"/>
    </w:rPr>
  </w:style>
  <w:style w:type="paragraph" w:customStyle="1" w:styleId="108">
    <w:name w:val="Char Char2 Char"/>
    <w:basedOn w:val="1"/>
    <w:qFormat/>
    <w:uiPriority w:val="0"/>
    <w:pPr>
      <w:keepNext/>
      <w:keepLines/>
      <w:pageBreakBefore/>
      <w:tabs>
        <w:tab w:val="left" w:pos="390"/>
      </w:tabs>
      <w:ind w:left="390" w:hanging="390"/>
    </w:pPr>
    <w:rPr>
      <w:rFonts w:ascii="Tahoma" w:hAnsi="Tahoma"/>
      <w:sz w:val="24"/>
    </w:rPr>
  </w:style>
  <w:style w:type="character" w:customStyle="1" w:styleId="109">
    <w:name w:val="正文首行缩进 2 Char"/>
    <w:basedOn w:val="38"/>
    <w:link w:val="23"/>
    <w:qFormat/>
    <w:uiPriority w:val="99"/>
    <w:rPr>
      <w:rFonts w:ascii="Times New Roman" w:hAnsi="Times New Roman" w:cs="Times New Roman"/>
      <w:kern w:val="2"/>
      <w:sz w:val="21"/>
      <w:szCs w:val="20"/>
    </w:rPr>
  </w:style>
  <w:style w:type="paragraph" w:customStyle="1" w:styleId="110">
    <w:name w:val="Default"/>
    <w:qFormat/>
    <w:uiPriority w:val="99"/>
    <w:pPr>
      <w:widowControl w:val="0"/>
      <w:autoSpaceDE w:val="0"/>
      <w:autoSpaceDN w:val="0"/>
      <w:adjustRightInd w:val="0"/>
    </w:pPr>
    <w:rPr>
      <w:rFonts w:ascii="Verdana" w:hAnsi="Verdana" w:eastAsia="宋体" w:cs="Times New Roman"/>
      <w:color w:val="000000"/>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customXml" Target="ink/ink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1-12-29T15:45:03"/>
    </inkml:context>
    <inkml:brush xml:id="br0">
      <inkml:brushProperty name="width" value="0.03528" units="cm"/>
      <inkml:brushProperty name="height" value="0.03528" units="cm"/>
      <inkml:brushProperty name="color" value="#0000ff"/>
      <inkml:brushProperty name="fitToCurve" value="1"/>
    </inkml:brush>
  </inkml:definitions>
  <inkml:trace contextRef="#ctx0" brushRef="#br0">0 0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6BE318-6876-4C5A-91AA-AB205AE7D3F9}">
  <ds:schemaRefs/>
</ds:datastoreItem>
</file>

<file path=docProps/app.xml><?xml version="1.0" encoding="utf-8"?>
<Properties xmlns="http://schemas.openxmlformats.org/officeDocument/2006/extended-properties" xmlns:vt="http://schemas.openxmlformats.org/officeDocument/2006/docPropsVTypes">
  <Template>邀请招标书</Template>
  <Company>LenovoCop</Company>
  <Pages>38</Pages>
  <Words>13038</Words>
  <Characters>14083</Characters>
  <Lines>782</Lines>
  <Paragraphs>695</Paragraphs>
  <TotalTime>1</TotalTime>
  <ScaleCrop>false</ScaleCrop>
  <LinksUpToDate>false</LinksUpToDate>
  <CharactersWithSpaces>26426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2021-07-07T03:14:00Z</dcterms:created>
  <dc:creator>win10</dc:creator>
  <cp:lastModifiedBy>DELL</cp:lastModifiedBy>
  <cp:lastPrinted>2016-12-26T01:31:00Z</cp:lastPrinted>
  <dcterms:modified xsi:type="dcterms:W3CDTF">2021-12-29T07:45:03Z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B01798326D93413590AFCB9CDEEF522B</vt:lpwstr>
  </property>
</Properties>
</file>