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0"/>
        </w:tabs>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采购需求</w:t>
      </w:r>
    </w:p>
    <w:p>
      <w:pPr>
        <w:autoSpaceDE w:val="0"/>
        <w:autoSpaceDN w:val="0"/>
        <w:adjustRightInd w:val="0"/>
        <w:snapToGrid w:val="0"/>
        <w:spacing w:line="360" w:lineRule="auto"/>
        <w:rPr>
          <w:rFonts w:hint="eastAsia" w:ascii="宋体" w:hAnsi="宋体" w:cs="TimesNewRomanPSMT"/>
          <w:b/>
          <w:bCs/>
          <w:kern w:val="0"/>
          <w:sz w:val="24"/>
          <w:szCs w:val="24"/>
          <w:highlight w:val="none"/>
          <w:lang w:val="zh-CN"/>
        </w:rPr>
      </w:pPr>
      <w:r>
        <w:rPr>
          <w:rFonts w:hint="eastAsia" w:ascii="宋体" w:hAnsi="宋体" w:cs="TimesNewRomanPSMT"/>
          <w:b/>
          <w:bCs/>
          <w:kern w:val="0"/>
          <w:sz w:val="24"/>
          <w:szCs w:val="24"/>
          <w:highlight w:val="none"/>
          <w:lang w:val="zh-CN"/>
        </w:rPr>
        <w:t>一、项目概况：</w:t>
      </w:r>
    </w:p>
    <w:p>
      <w:pPr>
        <w:autoSpaceDE w:val="0"/>
        <w:autoSpaceDN w:val="0"/>
        <w:adjustRightInd w:val="0"/>
        <w:snapToGrid w:val="0"/>
        <w:spacing w:line="360" w:lineRule="auto"/>
        <w:ind w:firstLine="480" w:firstLineChars="200"/>
        <w:rPr>
          <w:rFonts w:ascii="宋体" w:hAnsi="宋体" w:cs="TimesNewRomanPSMT"/>
          <w:kern w:val="0"/>
          <w:sz w:val="24"/>
          <w:szCs w:val="24"/>
          <w:highlight w:val="none"/>
        </w:rPr>
      </w:pPr>
      <w:r>
        <w:rPr>
          <w:rFonts w:hint="eastAsia" w:ascii="宋体" w:hAnsi="宋体" w:cs="TimesNewRomanPSMT"/>
          <w:kern w:val="0"/>
          <w:sz w:val="24"/>
          <w:szCs w:val="24"/>
          <w:highlight w:val="none"/>
          <w:lang w:val="zh-CN"/>
        </w:rPr>
        <w:t>为进一步规范</w:t>
      </w:r>
      <w:r>
        <w:rPr>
          <w:rFonts w:hint="eastAsia" w:ascii="宋体" w:hAnsi="宋体" w:cs="TimesNewRomanPSMT"/>
          <w:kern w:val="0"/>
          <w:sz w:val="24"/>
          <w:szCs w:val="24"/>
          <w:highlight w:val="none"/>
          <w:lang w:val="en-US" w:eastAsia="zh-CN"/>
        </w:rPr>
        <w:t>区政府门岗秩序维护、车辆管理工作</w:t>
      </w:r>
      <w:r>
        <w:rPr>
          <w:rFonts w:hint="eastAsia" w:ascii="宋体" w:hAnsi="宋体" w:cs="TimesNewRomanPSMT"/>
          <w:kern w:val="0"/>
          <w:sz w:val="24"/>
          <w:szCs w:val="24"/>
          <w:highlight w:val="none"/>
          <w:lang w:val="zh-CN"/>
        </w:rPr>
        <w:t>，确保</w:t>
      </w:r>
      <w:r>
        <w:rPr>
          <w:rFonts w:hint="eastAsia" w:ascii="宋体" w:hAnsi="宋体" w:cs="TimesNewRomanPSMT"/>
          <w:kern w:val="0"/>
          <w:sz w:val="24"/>
          <w:szCs w:val="24"/>
          <w:highlight w:val="none"/>
          <w:lang w:val="en-US" w:eastAsia="zh-CN"/>
        </w:rPr>
        <w:t>大院内部</w:t>
      </w:r>
      <w:r>
        <w:rPr>
          <w:rFonts w:hint="eastAsia" w:ascii="宋体" w:hAnsi="宋体" w:cs="TimesNewRomanPSMT"/>
          <w:kern w:val="0"/>
          <w:sz w:val="24"/>
          <w:szCs w:val="24"/>
          <w:highlight w:val="none"/>
          <w:lang w:val="zh-CN"/>
        </w:rPr>
        <w:t>安全畅通，主要负责</w:t>
      </w:r>
      <w:r>
        <w:rPr>
          <w:rFonts w:hint="eastAsia" w:ascii="宋体" w:hAnsi="宋体" w:eastAsia="宋体" w:cs="宋体"/>
          <w:color w:val="auto"/>
          <w:kern w:val="0"/>
          <w:sz w:val="24"/>
          <w:highlight w:val="none"/>
          <w:lang w:eastAsia="zh-CN"/>
        </w:rPr>
        <w:t>机关大院</w:t>
      </w:r>
      <w:r>
        <w:rPr>
          <w:rFonts w:hint="eastAsia" w:ascii="宋体" w:hAnsi="宋体" w:cs="TimesNewRomanPSMT"/>
          <w:kern w:val="0"/>
          <w:sz w:val="24"/>
          <w:szCs w:val="24"/>
          <w:highlight w:val="none"/>
          <w:lang w:val="zh-CN"/>
        </w:rPr>
        <w:t>指定</w:t>
      </w:r>
      <w:r>
        <w:rPr>
          <w:rFonts w:hint="eastAsia" w:ascii="宋体" w:hAnsi="宋体" w:cs="TimesNewRomanPSMT"/>
          <w:kern w:val="0"/>
          <w:sz w:val="24"/>
          <w:szCs w:val="24"/>
          <w:highlight w:val="none"/>
          <w:lang w:val="en-US" w:eastAsia="zh-CN"/>
        </w:rPr>
        <w:t>区域</w:t>
      </w:r>
      <w:r>
        <w:rPr>
          <w:rFonts w:hint="eastAsia" w:ascii="宋体" w:hAnsi="宋体" w:cs="TimesNewRomanPSMT"/>
          <w:kern w:val="0"/>
          <w:sz w:val="24"/>
          <w:szCs w:val="24"/>
          <w:highlight w:val="none"/>
          <w:lang w:val="zh-CN"/>
        </w:rPr>
        <w:t>的</w:t>
      </w:r>
      <w:r>
        <w:rPr>
          <w:rFonts w:hint="eastAsia" w:ascii="宋体" w:hAnsi="宋体" w:cs="TimesNewRomanPSMT"/>
          <w:kern w:val="0"/>
          <w:sz w:val="24"/>
          <w:szCs w:val="24"/>
          <w:highlight w:val="none"/>
          <w:lang w:val="en-US" w:eastAsia="zh-CN"/>
        </w:rPr>
        <w:t>秩序维护</w:t>
      </w:r>
      <w:r>
        <w:rPr>
          <w:rFonts w:hint="eastAsia" w:ascii="宋体" w:hAnsi="宋体" w:cs="TimesNewRomanPSMT"/>
          <w:kern w:val="0"/>
          <w:sz w:val="24"/>
          <w:szCs w:val="24"/>
          <w:highlight w:val="none"/>
          <w:lang w:val="zh-CN"/>
        </w:rPr>
        <w:t>工作，并按照</w:t>
      </w:r>
      <w:r>
        <w:rPr>
          <w:rFonts w:hint="eastAsia" w:ascii="宋体" w:hAnsi="宋体" w:cs="TimesNewRomanPSMT"/>
          <w:kern w:val="0"/>
          <w:sz w:val="24"/>
          <w:szCs w:val="24"/>
          <w:highlight w:val="none"/>
          <w:lang w:val="en-US" w:eastAsia="zh-CN"/>
        </w:rPr>
        <w:t>机关职务局</w:t>
      </w:r>
      <w:r>
        <w:rPr>
          <w:rFonts w:hint="eastAsia" w:ascii="宋体" w:hAnsi="宋体" w:cs="TimesNewRomanPSMT"/>
          <w:kern w:val="0"/>
          <w:sz w:val="24"/>
          <w:szCs w:val="24"/>
          <w:highlight w:val="none"/>
          <w:lang w:val="zh-CN"/>
        </w:rPr>
        <w:t>的管理模式对秩序维护员进行监督管理，依据双方确认的岗位职责要求，执行安全防范任务，承担相应的服务责任。</w:t>
      </w:r>
      <w:r>
        <w:rPr>
          <w:rFonts w:hint="eastAsia" w:ascii="宋体" w:hAnsi="宋体" w:cs="TimesNewRomanPSMT"/>
          <w:kern w:val="0"/>
          <w:sz w:val="24"/>
          <w:szCs w:val="24"/>
          <w:highlight w:val="none"/>
        </w:rPr>
        <w:t>主要包括：机关大院秩序维护服务主要负责机关大院内门岗秩序维护及车辆停车管理，服务期限为一年，服务质量达到国家及行业合格标准及采购人要求。</w:t>
      </w:r>
    </w:p>
    <w:p>
      <w:pPr>
        <w:autoSpaceDE w:val="0"/>
        <w:autoSpaceDN w:val="0"/>
        <w:adjustRightInd w:val="0"/>
        <w:snapToGrid w:val="0"/>
        <w:spacing w:line="360" w:lineRule="auto"/>
        <w:rPr>
          <w:rFonts w:hint="eastAsia" w:ascii="宋体" w:hAnsi="宋体" w:cs="TimesNewRomanPSMT"/>
          <w:b/>
          <w:bCs/>
          <w:kern w:val="0"/>
          <w:sz w:val="24"/>
          <w:szCs w:val="24"/>
          <w:highlight w:val="none"/>
          <w:lang w:val="zh-CN"/>
        </w:rPr>
      </w:pPr>
      <w:r>
        <w:rPr>
          <w:rFonts w:hint="eastAsia" w:ascii="宋体" w:hAnsi="宋体" w:cs="TimesNewRomanPSMT"/>
          <w:b/>
          <w:bCs/>
          <w:kern w:val="0"/>
          <w:sz w:val="24"/>
          <w:szCs w:val="24"/>
          <w:highlight w:val="none"/>
          <w:lang w:val="zh-CN"/>
        </w:rPr>
        <w:t>二、秩序</w:t>
      </w:r>
      <w:r>
        <w:rPr>
          <w:rFonts w:hint="eastAsia" w:ascii="宋体" w:hAnsi="宋体" w:cs="TimesNewRomanPSMT"/>
          <w:b/>
          <w:bCs/>
          <w:kern w:val="0"/>
          <w:sz w:val="24"/>
          <w:szCs w:val="24"/>
          <w:highlight w:val="none"/>
          <w:lang w:val="en-US" w:eastAsia="zh-CN"/>
        </w:rPr>
        <w:t>维护</w:t>
      </w:r>
      <w:r>
        <w:rPr>
          <w:rFonts w:hint="eastAsia" w:ascii="宋体" w:hAnsi="宋体" w:cs="TimesNewRomanPSMT"/>
          <w:b/>
          <w:bCs/>
          <w:kern w:val="0"/>
          <w:sz w:val="24"/>
          <w:szCs w:val="24"/>
          <w:highlight w:val="none"/>
          <w:lang w:val="zh-CN"/>
        </w:rPr>
        <w:t>服务内容：</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1、秩序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要求：</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主要负责惠山区</w:t>
      </w:r>
      <w:r>
        <w:rPr>
          <w:rFonts w:hint="eastAsia" w:ascii="宋体" w:hAnsi="宋体" w:cs="TimesNewRomanPSMT"/>
          <w:kern w:val="0"/>
          <w:sz w:val="24"/>
          <w:szCs w:val="24"/>
          <w:highlight w:val="none"/>
          <w:lang w:val="en-US" w:eastAsia="zh-CN"/>
        </w:rPr>
        <w:t>区政府机关大院</w:t>
      </w:r>
      <w:r>
        <w:rPr>
          <w:rFonts w:hint="eastAsia" w:ascii="宋体" w:hAnsi="宋体" w:cs="TimesNewRomanPSMT"/>
          <w:kern w:val="0"/>
          <w:sz w:val="24"/>
          <w:szCs w:val="24"/>
          <w:highlight w:val="none"/>
          <w:lang w:val="zh-CN"/>
        </w:rPr>
        <w:t>项目指定地段的秩序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工作，并按照惠山区</w:t>
      </w:r>
      <w:r>
        <w:rPr>
          <w:rFonts w:hint="eastAsia" w:ascii="宋体" w:hAnsi="宋体" w:cs="TimesNewRomanPSMT"/>
          <w:kern w:val="0"/>
          <w:sz w:val="24"/>
          <w:szCs w:val="24"/>
          <w:highlight w:val="none"/>
          <w:lang w:val="en-US" w:eastAsia="zh-CN"/>
        </w:rPr>
        <w:t>区政府机关服务中心</w:t>
      </w:r>
      <w:r>
        <w:rPr>
          <w:rFonts w:hint="eastAsia" w:ascii="宋体" w:hAnsi="宋体" w:cs="TimesNewRomanPSMT"/>
          <w:kern w:val="0"/>
          <w:sz w:val="24"/>
          <w:szCs w:val="24"/>
          <w:highlight w:val="none"/>
          <w:lang w:val="zh-CN"/>
        </w:rPr>
        <w:t>的管理模式对秩序维护员进行监督管理，依据双方确认的岗位职责要求，执行安全防范任务，承担相应的服务责任。</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2、秩序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内容：</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a、服务内容：</w:t>
      </w:r>
    </w:p>
    <w:p>
      <w:pPr>
        <w:autoSpaceDE w:val="0"/>
        <w:autoSpaceDN w:val="0"/>
        <w:adjustRightInd w:val="0"/>
        <w:snapToGrid w:val="0"/>
        <w:spacing w:line="360" w:lineRule="auto"/>
        <w:ind w:firstLine="480" w:firstLineChars="200"/>
        <w:rPr>
          <w:rFonts w:hint="eastAsia"/>
          <w:highlight w:val="none"/>
          <w:lang w:val="zh-CN"/>
        </w:rPr>
      </w:pPr>
      <w:r>
        <w:rPr>
          <w:rFonts w:hint="eastAsia" w:ascii="宋体" w:hAnsi="宋体" w:cs="TimesNewRomanPSMT"/>
          <w:kern w:val="0"/>
          <w:sz w:val="24"/>
          <w:szCs w:val="24"/>
          <w:highlight w:val="none"/>
          <w:lang w:val="zh-CN"/>
        </w:rPr>
        <w:t>（1）熟悉</w:t>
      </w:r>
      <w:r>
        <w:rPr>
          <w:rFonts w:hint="eastAsia" w:ascii="宋体" w:hAnsi="宋体" w:cs="TimesNewRomanPSMT"/>
          <w:kern w:val="0"/>
          <w:sz w:val="24"/>
          <w:szCs w:val="24"/>
          <w:highlight w:val="none"/>
          <w:lang w:val="en-US" w:eastAsia="zh-CN"/>
        </w:rPr>
        <w:t>区政府门岗周边</w:t>
      </w:r>
      <w:r>
        <w:rPr>
          <w:rFonts w:hint="eastAsia" w:ascii="宋体" w:hAnsi="宋体" w:cs="TimesNewRomanPSMT"/>
          <w:kern w:val="0"/>
          <w:sz w:val="24"/>
          <w:szCs w:val="24"/>
          <w:highlight w:val="none"/>
          <w:lang w:val="zh-CN"/>
        </w:rPr>
        <w:t>环境</w:t>
      </w:r>
      <w:r>
        <w:rPr>
          <w:rFonts w:hint="eastAsia" w:ascii="宋体" w:hAnsi="宋体" w:cs="TimesNewRomanPSMT"/>
          <w:kern w:val="0"/>
          <w:sz w:val="24"/>
          <w:szCs w:val="24"/>
          <w:highlight w:val="none"/>
          <w:lang w:val="en-US" w:eastAsia="zh-CN"/>
        </w:rPr>
        <w:t>及人员</w:t>
      </w:r>
      <w:r>
        <w:rPr>
          <w:rFonts w:hint="eastAsia" w:ascii="宋体" w:hAnsi="宋体" w:cs="TimesNewRomanPSMT"/>
          <w:kern w:val="0"/>
          <w:sz w:val="24"/>
          <w:szCs w:val="24"/>
          <w:highlight w:val="none"/>
          <w:lang w:val="zh-CN"/>
        </w:rPr>
        <w:t>，能处理和应对停车秩序管理工作，熟悉、掌握各类</w:t>
      </w:r>
      <w:r>
        <w:rPr>
          <w:rFonts w:hint="eastAsia" w:ascii="宋体" w:hAnsi="宋体" w:cs="TimesNewRomanPSMT"/>
          <w:kern w:val="0"/>
          <w:sz w:val="24"/>
          <w:szCs w:val="24"/>
          <w:highlight w:val="none"/>
          <w:lang w:val="en-US" w:eastAsia="zh-CN"/>
        </w:rPr>
        <w:t>上访</w:t>
      </w:r>
      <w:r>
        <w:rPr>
          <w:rFonts w:hint="eastAsia" w:ascii="宋体" w:hAnsi="宋体" w:cs="TimesNewRomanPSMT"/>
          <w:kern w:val="0"/>
          <w:sz w:val="24"/>
          <w:szCs w:val="24"/>
          <w:highlight w:val="none"/>
          <w:lang w:val="zh-CN"/>
        </w:rPr>
        <w:t>、治安案件等突发事件的应急处置方法；</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（2）负责</w:t>
      </w:r>
      <w:r>
        <w:rPr>
          <w:rFonts w:hint="eastAsia" w:ascii="宋体" w:hAnsi="宋体" w:cs="TimesNewRomanPSMT"/>
          <w:kern w:val="0"/>
          <w:sz w:val="24"/>
          <w:szCs w:val="24"/>
          <w:highlight w:val="none"/>
          <w:lang w:val="en-US" w:eastAsia="zh-CN"/>
        </w:rPr>
        <w:t>大院车辆进出管理、</w:t>
      </w:r>
      <w:r>
        <w:rPr>
          <w:rFonts w:hint="eastAsia" w:ascii="宋体" w:hAnsi="宋体" w:cs="TimesNewRomanPSMT"/>
          <w:kern w:val="0"/>
          <w:sz w:val="24"/>
          <w:szCs w:val="24"/>
          <w:highlight w:val="none"/>
          <w:lang w:val="zh-CN"/>
        </w:rPr>
        <w:t>停放秩序管理工作；</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（3）负责</w:t>
      </w:r>
      <w:r>
        <w:rPr>
          <w:rFonts w:hint="eastAsia" w:ascii="宋体" w:hAnsi="宋体" w:cs="TimesNewRomanPSMT"/>
          <w:kern w:val="0"/>
          <w:sz w:val="24"/>
          <w:szCs w:val="24"/>
          <w:highlight w:val="none"/>
          <w:lang w:val="en-US" w:eastAsia="zh-CN"/>
        </w:rPr>
        <w:t>大院人员进出管理、登记询问</w:t>
      </w:r>
      <w:r>
        <w:rPr>
          <w:rFonts w:hint="eastAsia" w:ascii="宋体" w:hAnsi="宋体" w:cs="TimesNewRomanPSMT"/>
          <w:kern w:val="0"/>
          <w:sz w:val="24"/>
          <w:szCs w:val="24"/>
          <w:highlight w:val="none"/>
          <w:lang w:val="zh-CN"/>
        </w:rPr>
        <w:t>工作；</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（4）负责</w:t>
      </w:r>
      <w:r>
        <w:rPr>
          <w:rFonts w:hint="eastAsia" w:ascii="宋体" w:hAnsi="宋体" w:cs="TimesNewRomanPSMT"/>
          <w:kern w:val="0"/>
          <w:sz w:val="24"/>
          <w:szCs w:val="24"/>
          <w:highlight w:val="none"/>
          <w:lang w:val="en-US" w:eastAsia="zh-CN"/>
        </w:rPr>
        <w:t>大院内巡视、巡查、打点</w:t>
      </w:r>
      <w:r>
        <w:rPr>
          <w:rFonts w:hint="eastAsia" w:ascii="宋体" w:hAnsi="宋体" w:cs="TimesNewRomanPSMT"/>
          <w:kern w:val="0"/>
          <w:sz w:val="24"/>
          <w:szCs w:val="24"/>
          <w:highlight w:val="none"/>
          <w:lang w:val="zh-CN"/>
        </w:rPr>
        <w:t>工作；</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（5）</w:t>
      </w:r>
      <w:r>
        <w:rPr>
          <w:rFonts w:hint="eastAsia" w:ascii="宋体" w:hAnsi="宋体" w:cs="TimesNewRomanPSMT"/>
          <w:kern w:val="0"/>
          <w:sz w:val="24"/>
          <w:szCs w:val="24"/>
          <w:highlight w:val="none"/>
        </w:rPr>
        <w:t>无锡市惠山区机关服务中心</w:t>
      </w:r>
      <w:r>
        <w:rPr>
          <w:rFonts w:hint="eastAsia" w:ascii="宋体" w:hAnsi="宋体" w:cs="TimesNewRomanPSMT"/>
          <w:kern w:val="0"/>
          <w:sz w:val="24"/>
          <w:szCs w:val="24"/>
          <w:highlight w:val="none"/>
          <w:lang w:val="zh-CN"/>
        </w:rPr>
        <w:t>交办的其他事项。</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 xml:space="preserve"> b、服务质量标准：</w:t>
      </w:r>
    </w:p>
    <w:p>
      <w:pPr>
        <w:pStyle w:val="8"/>
        <w:ind w:firstLine="480"/>
        <w:rPr>
          <w:highlight w:val="none"/>
        </w:rPr>
      </w:pPr>
      <w:r>
        <w:rPr>
          <w:rFonts w:hint="eastAsia" w:ascii="宋体" w:hAnsi="宋体" w:cs="TimesNewRomanPSMT"/>
          <w:kern w:val="0"/>
          <w:sz w:val="24"/>
          <w:szCs w:val="24"/>
          <w:highlight w:val="none"/>
        </w:rPr>
        <w:t>（1）中标后人员最低配备要求：</w:t>
      </w:r>
    </w:p>
    <w:tbl>
      <w:tblPr>
        <w:tblStyle w:val="6"/>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26"/>
        <w:gridCol w:w="740"/>
        <w:gridCol w:w="5236"/>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3" w:type="dxa"/>
            <w:vMerge w:val="restart"/>
            <w:noWrap w:val="0"/>
            <w:vAlign w:val="center"/>
          </w:tcPr>
          <w:p>
            <w:pPr>
              <w:autoSpaceDE w:val="0"/>
              <w:autoSpaceDN w:val="0"/>
              <w:adjustRightInd w:val="0"/>
              <w:snapToGrid w:val="0"/>
              <w:spacing w:line="360" w:lineRule="auto"/>
              <w:jc w:val="center"/>
              <w:rPr>
                <w:rFonts w:ascii="宋体" w:hAnsi="宋体" w:cs="TimesNewRomanPSMT"/>
                <w:kern w:val="0"/>
                <w:sz w:val="24"/>
                <w:szCs w:val="24"/>
                <w:highlight w:val="none"/>
              </w:rPr>
            </w:pPr>
            <w:r>
              <w:rPr>
                <w:rFonts w:hint="eastAsia" w:ascii="宋体" w:hAnsi="宋体" w:cs="TimesNewRomanPSMT"/>
                <w:kern w:val="0"/>
                <w:sz w:val="24"/>
                <w:szCs w:val="24"/>
                <w:highlight w:val="none"/>
              </w:rPr>
              <w:t>人员配备</w:t>
            </w:r>
          </w:p>
        </w:tc>
        <w:tc>
          <w:tcPr>
            <w:tcW w:w="1126" w:type="dxa"/>
            <w:noWrap w:val="0"/>
            <w:vAlign w:val="center"/>
          </w:tcPr>
          <w:p>
            <w:pPr>
              <w:autoSpaceDE w:val="0"/>
              <w:autoSpaceDN w:val="0"/>
              <w:adjustRightInd w:val="0"/>
              <w:snapToGrid w:val="0"/>
              <w:spacing w:line="360" w:lineRule="auto"/>
              <w:jc w:val="center"/>
              <w:rPr>
                <w:rFonts w:ascii="宋体" w:hAnsi="宋体" w:cs="TimesNewRomanPSMT"/>
                <w:kern w:val="0"/>
                <w:sz w:val="24"/>
                <w:szCs w:val="24"/>
                <w:highlight w:val="none"/>
              </w:rPr>
            </w:pPr>
            <w:r>
              <w:rPr>
                <w:rFonts w:hint="eastAsia" w:ascii="宋体" w:hAnsi="宋体" w:cs="TimesNewRomanPSMT"/>
                <w:kern w:val="0"/>
                <w:sz w:val="24"/>
                <w:szCs w:val="24"/>
                <w:highlight w:val="none"/>
              </w:rPr>
              <w:t>职位</w:t>
            </w:r>
          </w:p>
        </w:tc>
        <w:tc>
          <w:tcPr>
            <w:tcW w:w="740" w:type="dxa"/>
            <w:noWrap w:val="0"/>
            <w:vAlign w:val="center"/>
          </w:tcPr>
          <w:p>
            <w:pPr>
              <w:autoSpaceDE w:val="0"/>
              <w:autoSpaceDN w:val="0"/>
              <w:adjustRightInd w:val="0"/>
              <w:snapToGrid w:val="0"/>
              <w:spacing w:line="360" w:lineRule="auto"/>
              <w:jc w:val="center"/>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数量</w:t>
            </w:r>
          </w:p>
        </w:tc>
        <w:tc>
          <w:tcPr>
            <w:tcW w:w="5236" w:type="dxa"/>
            <w:noWrap w:val="0"/>
            <w:vAlign w:val="center"/>
          </w:tcPr>
          <w:p>
            <w:pPr>
              <w:autoSpaceDE w:val="0"/>
              <w:autoSpaceDN w:val="0"/>
              <w:adjustRightInd w:val="0"/>
              <w:snapToGrid w:val="0"/>
              <w:spacing w:line="360" w:lineRule="auto"/>
              <w:jc w:val="center"/>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要求</w:t>
            </w:r>
          </w:p>
        </w:tc>
        <w:tc>
          <w:tcPr>
            <w:tcW w:w="1372" w:type="dxa"/>
            <w:noWrap w:val="0"/>
            <w:vAlign w:val="center"/>
          </w:tcPr>
          <w:p>
            <w:pPr>
              <w:autoSpaceDE w:val="0"/>
              <w:autoSpaceDN w:val="0"/>
              <w:adjustRightInd w:val="0"/>
              <w:snapToGrid w:val="0"/>
              <w:jc w:val="center"/>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23" w:type="dxa"/>
            <w:vMerge w:val="continue"/>
            <w:noWrap w:val="0"/>
            <w:vAlign w:val="center"/>
          </w:tcPr>
          <w:p>
            <w:pPr>
              <w:autoSpaceDE w:val="0"/>
              <w:autoSpaceDN w:val="0"/>
              <w:adjustRightInd w:val="0"/>
              <w:snapToGrid w:val="0"/>
              <w:spacing w:line="360" w:lineRule="auto"/>
              <w:jc w:val="center"/>
              <w:rPr>
                <w:rFonts w:hint="eastAsia" w:ascii="宋体" w:hAnsi="宋体" w:cs="TimesNewRomanPSMT"/>
                <w:kern w:val="0"/>
                <w:sz w:val="24"/>
                <w:szCs w:val="24"/>
                <w:highlight w:val="none"/>
                <w:lang w:val="zh-CN"/>
              </w:rPr>
            </w:pPr>
          </w:p>
        </w:tc>
        <w:tc>
          <w:tcPr>
            <w:tcW w:w="1126" w:type="dxa"/>
            <w:noWrap w:val="0"/>
            <w:vAlign w:val="center"/>
          </w:tcPr>
          <w:p>
            <w:pPr>
              <w:autoSpaceDE w:val="0"/>
              <w:autoSpaceDN w:val="0"/>
              <w:adjustRightInd w:val="0"/>
              <w:snapToGrid w:val="0"/>
              <w:jc w:val="center"/>
              <w:rPr>
                <w:rFonts w:ascii="宋体" w:hAnsi="宋体" w:cs="TimesNewRomanPSMT"/>
                <w:kern w:val="0"/>
                <w:sz w:val="24"/>
                <w:szCs w:val="24"/>
                <w:highlight w:val="none"/>
              </w:rPr>
            </w:pPr>
            <w:r>
              <w:rPr>
                <w:rFonts w:hint="eastAsia" w:ascii="宋体" w:hAnsi="宋体" w:cs="TimesNewRomanPSMT"/>
                <w:kern w:val="0"/>
                <w:sz w:val="24"/>
                <w:szCs w:val="24"/>
                <w:highlight w:val="none"/>
                <w:lang w:val="en-US" w:eastAsia="zh-CN"/>
              </w:rPr>
              <w:t>秩序领班</w:t>
            </w:r>
          </w:p>
        </w:tc>
        <w:tc>
          <w:tcPr>
            <w:tcW w:w="740" w:type="dxa"/>
            <w:noWrap w:val="0"/>
            <w:vAlign w:val="center"/>
          </w:tcPr>
          <w:p>
            <w:pPr>
              <w:autoSpaceDE w:val="0"/>
              <w:autoSpaceDN w:val="0"/>
              <w:adjustRightInd w:val="0"/>
              <w:snapToGrid w:val="0"/>
              <w:jc w:val="center"/>
              <w:rPr>
                <w:rFonts w:ascii="宋体" w:hAnsi="宋体" w:cs="TimesNewRomanPSMT"/>
                <w:kern w:val="0"/>
                <w:sz w:val="24"/>
                <w:szCs w:val="24"/>
                <w:highlight w:val="none"/>
              </w:rPr>
            </w:pPr>
            <w:r>
              <w:rPr>
                <w:rFonts w:hint="eastAsia" w:ascii="宋体" w:hAnsi="宋体" w:cs="TimesNewRomanPSMT"/>
                <w:kern w:val="0"/>
                <w:sz w:val="24"/>
                <w:szCs w:val="24"/>
                <w:highlight w:val="none"/>
              </w:rPr>
              <w:t>1人</w:t>
            </w:r>
          </w:p>
        </w:tc>
        <w:tc>
          <w:tcPr>
            <w:tcW w:w="5236" w:type="dxa"/>
            <w:noWrap w:val="0"/>
            <w:vAlign w:val="center"/>
          </w:tcPr>
          <w:p>
            <w:pPr>
              <w:autoSpaceDE w:val="0"/>
              <w:autoSpaceDN w:val="0"/>
              <w:adjustRightInd w:val="0"/>
              <w:snapToGrid w:val="0"/>
              <w:jc w:val="left"/>
              <w:rPr>
                <w:rFonts w:ascii="宋体" w:hAnsi="宋体" w:cs="TimesNewRomanPSMT"/>
                <w:kern w:val="0"/>
                <w:sz w:val="24"/>
                <w:szCs w:val="24"/>
                <w:highlight w:val="none"/>
              </w:rPr>
            </w:pPr>
            <w:r>
              <w:rPr>
                <w:rFonts w:hint="eastAsia" w:ascii="宋体" w:hAnsi="宋体"/>
                <w:sz w:val="24"/>
                <w:highlight w:val="none"/>
                <w:lang w:val="en-US" w:eastAsia="zh-CN"/>
              </w:rPr>
              <w:t>男性，</w:t>
            </w:r>
            <w:r>
              <w:rPr>
                <w:rFonts w:hint="eastAsia" w:ascii="宋体" w:hAnsi="宋体"/>
                <w:sz w:val="24"/>
                <w:highlight w:val="none"/>
              </w:rPr>
              <w:t>有</w:t>
            </w:r>
            <w:r>
              <w:rPr>
                <w:rFonts w:hint="eastAsia" w:ascii="宋体" w:hAnsi="宋体"/>
                <w:sz w:val="24"/>
                <w:highlight w:val="none"/>
                <w:lang w:val="en-US" w:eastAsia="zh-CN"/>
              </w:rPr>
              <w:t>3</w:t>
            </w:r>
            <w:r>
              <w:rPr>
                <w:rFonts w:hint="eastAsia" w:ascii="宋体" w:hAnsi="宋体"/>
                <w:sz w:val="24"/>
                <w:highlight w:val="none"/>
              </w:rPr>
              <w:t>年以上同岗位工作经验，</w:t>
            </w:r>
            <w:r>
              <w:rPr>
                <w:rFonts w:hint="eastAsia" w:ascii="宋体" w:hAnsi="宋体"/>
                <w:sz w:val="24"/>
                <w:highlight w:val="none"/>
                <w:lang w:val="en-US" w:eastAsia="zh-CN"/>
              </w:rPr>
              <w:t>大专及</w:t>
            </w:r>
            <w:r>
              <w:rPr>
                <w:rFonts w:hint="eastAsia" w:ascii="宋体" w:hAnsi="宋体"/>
                <w:sz w:val="24"/>
                <w:highlight w:val="none"/>
              </w:rPr>
              <w:t>以上，身高在1米75以上</w:t>
            </w:r>
            <w:r>
              <w:rPr>
                <w:rFonts w:hint="eastAsia" w:ascii="宋体" w:hAnsi="宋体" w:cs="TimesNewRomanPSMT"/>
                <w:kern w:val="0"/>
                <w:sz w:val="24"/>
                <w:szCs w:val="24"/>
                <w:highlight w:val="none"/>
                <w:lang w:val="en-US" w:eastAsia="zh-CN"/>
              </w:rPr>
              <w:t>，</w:t>
            </w:r>
            <w:r>
              <w:rPr>
                <w:rFonts w:hint="eastAsia" w:ascii="宋体" w:hAnsi="宋体" w:cs="TimesNewRomanPSMT"/>
                <w:kern w:val="0"/>
                <w:sz w:val="24"/>
                <w:szCs w:val="24"/>
                <w:highlight w:val="none"/>
              </w:rPr>
              <w:t>具备一定的法律知识和善于沟通、处事应变的能力；具有相应的公关意识，能妥善处理协调各种关系；能组织协调各部门完成任务；能协调部门之间关系，调动一切积极因素，完成下达的目标和任务。</w:t>
            </w:r>
          </w:p>
        </w:tc>
        <w:tc>
          <w:tcPr>
            <w:tcW w:w="1372" w:type="dxa"/>
            <w:noWrap w:val="0"/>
            <w:vAlign w:val="center"/>
          </w:tcPr>
          <w:p>
            <w:pPr>
              <w:autoSpaceDE w:val="0"/>
              <w:autoSpaceDN w:val="0"/>
              <w:adjustRightInd w:val="0"/>
              <w:snapToGrid w:val="0"/>
              <w:jc w:val="center"/>
              <w:rPr>
                <w:rFonts w:ascii="宋体" w:hAnsi="宋体" w:cs="TimesNewRomanPSMT"/>
                <w:kern w:val="0"/>
                <w:sz w:val="24"/>
                <w:szCs w:val="24"/>
                <w:highlight w:val="none"/>
              </w:rPr>
            </w:pPr>
            <w:r>
              <w:rPr>
                <w:rFonts w:hint="eastAsia" w:ascii="宋体" w:hAnsi="宋体" w:cs="TimesNewRomanPSMT"/>
                <w:kern w:val="0"/>
                <w:sz w:val="24"/>
                <w:szCs w:val="24"/>
                <w:highlight w:val="none"/>
                <w:lang w:val="en-US" w:eastAsia="zh-CN"/>
              </w:rPr>
              <w:t>40</w:t>
            </w:r>
            <w:r>
              <w:rPr>
                <w:rFonts w:hint="eastAsia" w:ascii="宋体" w:hAnsi="宋体" w:cs="TimesNewRomanPSMT"/>
                <w:kern w:val="0"/>
                <w:sz w:val="24"/>
                <w:szCs w:val="24"/>
                <w:highlight w:val="none"/>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23" w:type="dxa"/>
            <w:vMerge w:val="continue"/>
            <w:noWrap w:val="0"/>
            <w:vAlign w:val="center"/>
          </w:tcPr>
          <w:p>
            <w:pPr>
              <w:autoSpaceDE w:val="0"/>
              <w:autoSpaceDN w:val="0"/>
              <w:adjustRightInd w:val="0"/>
              <w:snapToGrid w:val="0"/>
              <w:spacing w:line="360" w:lineRule="auto"/>
              <w:jc w:val="center"/>
              <w:rPr>
                <w:rFonts w:hint="eastAsia" w:ascii="宋体" w:hAnsi="宋体" w:cs="TimesNewRomanPSMT"/>
                <w:kern w:val="0"/>
                <w:sz w:val="24"/>
                <w:szCs w:val="24"/>
                <w:highlight w:val="none"/>
                <w:lang w:val="zh-CN"/>
              </w:rPr>
            </w:pPr>
          </w:p>
        </w:tc>
        <w:tc>
          <w:tcPr>
            <w:tcW w:w="1126" w:type="dxa"/>
            <w:noWrap w:val="0"/>
            <w:vAlign w:val="center"/>
          </w:tcPr>
          <w:p>
            <w:pPr>
              <w:autoSpaceDE w:val="0"/>
              <w:autoSpaceDN w:val="0"/>
              <w:adjustRightInd w:val="0"/>
              <w:snapToGrid w:val="0"/>
              <w:jc w:val="center"/>
              <w:rPr>
                <w:rFonts w:ascii="宋体" w:hAnsi="宋体" w:cs="TimesNewRomanPSMT"/>
                <w:kern w:val="0"/>
                <w:sz w:val="24"/>
                <w:szCs w:val="24"/>
                <w:highlight w:val="none"/>
              </w:rPr>
            </w:pPr>
            <w:r>
              <w:rPr>
                <w:rFonts w:hint="eastAsia" w:ascii="宋体" w:hAnsi="宋体" w:cs="TimesNewRomanPSMT"/>
                <w:kern w:val="0"/>
                <w:sz w:val="24"/>
                <w:szCs w:val="24"/>
                <w:highlight w:val="none"/>
              </w:rPr>
              <w:t>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rPr>
              <w:t>员</w:t>
            </w:r>
          </w:p>
        </w:tc>
        <w:tc>
          <w:tcPr>
            <w:tcW w:w="740" w:type="dxa"/>
            <w:noWrap w:val="0"/>
            <w:vAlign w:val="center"/>
          </w:tcPr>
          <w:p>
            <w:pPr>
              <w:autoSpaceDE w:val="0"/>
              <w:autoSpaceDN w:val="0"/>
              <w:adjustRightInd w:val="0"/>
              <w:snapToGrid w:val="0"/>
              <w:jc w:val="center"/>
              <w:rPr>
                <w:rFonts w:ascii="宋体" w:hAnsi="宋体" w:cs="TimesNewRomanPSMT"/>
                <w:kern w:val="0"/>
                <w:sz w:val="24"/>
                <w:szCs w:val="24"/>
                <w:highlight w:val="none"/>
              </w:rPr>
            </w:pPr>
            <w:r>
              <w:rPr>
                <w:rFonts w:hint="eastAsia" w:ascii="宋体" w:hAnsi="宋体" w:cs="TimesNewRomanPSMT"/>
                <w:kern w:val="0"/>
                <w:sz w:val="24"/>
                <w:szCs w:val="24"/>
                <w:highlight w:val="none"/>
                <w:lang w:val="en-US" w:eastAsia="zh-CN"/>
              </w:rPr>
              <w:t>10</w:t>
            </w:r>
            <w:r>
              <w:rPr>
                <w:rFonts w:hint="eastAsia" w:ascii="宋体" w:hAnsi="宋体" w:cs="TimesNewRomanPSMT"/>
                <w:kern w:val="0"/>
                <w:sz w:val="24"/>
                <w:szCs w:val="24"/>
                <w:highlight w:val="none"/>
              </w:rPr>
              <w:t>人</w:t>
            </w:r>
          </w:p>
        </w:tc>
        <w:tc>
          <w:tcPr>
            <w:tcW w:w="5236" w:type="dxa"/>
            <w:noWrap w:val="0"/>
            <w:vAlign w:val="center"/>
          </w:tcPr>
          <w:p>
            <w:pPr>
              <w:autoSpaceDE w:val="0"/>
              <w:autoSpaceDN w:val="0"/>
              <w:adjustRightInd w:val="0"/>
              <w:snapToGrid w:val="0"/>
              <w:jc w:val="left"/>
              <w:rPr>
                <w:rFonts w:ascii="宋体" w:hAnsi="宋体" w:cs="TimesNewRomanPSMT"/>
                <w:kern w:val="0"/>
                <w:sz w:val="24"/>
                <w:szCs w:val="24"/>
                <w:highlight w:val="none"/>
              </w:rPr>
            </w:pPr>
            <w:r>
              <w:rPr>
                <w:rFonts w:hint="eastAsia" w:ascii="宋体" w:hAnsi="宋体"/>
                <w:sz w:val="24"/>
                <w:highlight w:val="none"/>
                <w:lang w:val="en-US" w:eastAsia="zh-CN"/>
              </w:rPr>
              <w:t>男性，</w:t>
            </w:r>
            <w:r>
              <w:rPr>
                <w:rFonts w:hint="eastAsia" w:ascii="宋体" w:hAnsi="宋体"/>
                <w:sz w:val="24"/>
                <w:highlight w:val="none"/>
              </w:rPr>
              <w:t>有</w:t>
            </w:r>
            <w:r>
              <w:rPr>
                <w:rFonts w:hint="eastAsia" w:ascii="宋体" w:hAnsi="宋体"/>
                <w:sz w:val="24"/>
                <w:highlight w:val="none"/>
                <w:lang w:val="en-US" w:eastAsia="zh-CN"/>
              </w:rPr>
              <w:t>1</w:t>
            </w:r>
            <w:r>
              <w:rPr>
                <w:rFonts w:hint="eastAsia" w:ascii="宋体" w:hAnsi="宋体"/>
                <w:sz w:val="24"/>
                <w:highlight w:val="none"/>
              </w:rPr>
              <w:t>年以上同岗位工作经验，高中学历达到</w:t>
            </w:r>
            <w:r>
              <w:rPr>
                <w:rFonts w:hint="eastAsia" w:ascii="宋体" w:hAnsi="宋体"/>
                <w:sz w:val="24"/>
                <w:highlight w:val="none"/>
                <w:lang w:val="en-US" w:eastAsia="zh-CN"/>
              </w:rPr>
              <w:t>8</w:t>
            </w:r>
            <w:r>
              <w:rPr>
                <w:rFonts w:hint="eastAsia" w:ascii="宋体" w:hAnsi="宋体"/>
                <w:sz w:val="24"/>
                <w:highlight w:val="none"/>
              </w:rPr>
              <w:t>0%以上，身高在1米75以上</w:t>
            </w:r>
            <w:r>
              <w:rPr>
                <w:rFonts w:hint="eastAsia" w:ascii="宋体" w:hAnsi="宋体" w:cs="TimesNewRomanPSMT"/>
                <w:kern w:val="0"/>
                <w:sz w:val="24"/>
                <w:szCs w:val="24"/>
                <w:highlight w:val="none"/>
                <w:lang w:val="en-US" w:eastAsia="zh-CN"/>
              </w:rPr>
              <w:t>，</w:t>
            </w:r>
            <w:r>
              <w:rPr>
                <w:rFonts w:hint="eastAsia" w:ascii="宋体" w:hAnsi="宋体" w:cs="TimesNewRomanPSMT"/>
                <w:kern w:val="0"/>
                <w:sz w:val="24"/>
                <w:szCs w:val="24"/>
                <w:highlight w:val="none"/>
              </w:rPr>
              <w:t>身心健康，能胜任岗位需要，品行良好，遵守采购人各项规章制度和行为规范。</w:t>
            </w:r>
          </w:p>
        </w:tc>
        <w:tc>
          <w:tcPr>
            <w:tcW w:w="1372" w:type="dxa"/>
            <w:noWrap w:val="0"/>
            <w:vAlign w:val="center"/>
          </w:tcPr>
          <w:p>
            <w:pPr>
              <w:autoSpaceDE w:val="0"/>
              <w:autoSpaceDN w:val="0"/>
              <w:adjustRightInd w:val="0"/>
              <w:snapToGrid w:val="0"/>
              <w:jc w:val="center"/>
              <w:rPr>
                <w:rFonts w:hint="eastAsia" w:ascii="宋体" w:hAnsi="宋体" w:cs="TimesNewRomanPSMT"/>
                <w:kern w:val="0"/>
                <w:sz w:val="24"/>
                <w:szCs w:val="24"/>
                <w:highlight w:val="none"/>
              </w:rPr>
            </w:pPr>
            <w:r>
              <w:rPr>
                <w:rFonts w:hint="eastAsia" w:ascii="宋体" w:hAnsi="宋体" w:cs="TimesNewRomanPSMT"/>
                <w:kern w:val="0"/>
                <w:sz w:val="24"/>
                <w:szCs w:val="24"/>
                <w:highlight w:val="none"/>
                <w:lang w:val="en-US" w:eastAsia="zh-CN"/>
              </w:rPr>
              <w:t>40</w:t>
            </w:r>
            <w:r>
              <w:rPr>
                <w:rFonts w:hint="eastAsia" w:ascii="宋体" w:hAnsi="宋体" w:cs="TimesNewRomanPSMT"/>
                <w:kern w:val="0"/>
                <w:sz w:val="24"/>
                <w:szCs w:val="24"/>
                <w:highlight w:val="none"/>
              </w:rPr>
              <w:t>周岁以下</w:t>
            </w:r>
          </w:p>
        </w:tc>
      </w:tr>
    </w:tbl>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en-US" w:eastAsia="zh-CN"/>
        </w:rPr>
      </w:pPr>
      <w:r>
        <w:rPr>
          <w:rFonts w:hint="eastAsia" w:ascii="宋体" w:hAnsi="宋体" w:cs="TimesNewRomanPSMT"/>
          <w:kern w:val="0"/>
          <w:sz w:val="24"/>
          <w:szCs w:val="24"/>
          <w:highlight w:val="none"/>
          <w:lang w:val="zh-CN"/>
        </w:rPr>
        <w:t>注：中标供应商与招标人签订服务合同时需提供本项目的人员配置表、</w:t>
      </w:r>
      <w:r>
        <w:rPr>
          <w:rFonts w:hint="eastAsia" w:ascii="宋体" w:hAnsi="宋体" w:cs="TimesNewRomanPSMT"/>
          <w:kern w:val="0"/>
          <w:sz w:val="24"/>
          <w:szCs w:val="24"/>
          <w:highlight w:val="none"/>
          <w:lang w:val="en-US" w:eastAsia="zh-CN"/>
        </w:rPr>
        <w:t>配置</w:t>
      </w:r>
      <w:r>
        <w:rPr>
          <w:rFonts w:hint="eastAsia" w:ascii="宋体" w:hAnsi="宋体" w:cs="TimesNewRomanPSMT"/>
          <w:kern w:val="0"/>
          <w:sz w:val="24"/>
          <w:szCs w:val="24"/>
          <w:highlight w:val="none"/>
          <w:lang w:val="zh-CN"/>
        </w:rPr>
        <w:t>人员劳动合同及中标供应商为其购买的</w:t>
      </w:r>
      <w:r>
        <w:rPr>
          <w:rFonts w:hint="eastAsia" w:ascii="宋体" w:hAnsi="宋体" w:cs="TimesNewRomanPSMT"/>
          <w:kern w:val="0"/>
          <w:sz w:val="24"/>
          <w:szCs w:val="24"/>
          <w:highlight w:val="none"/>
          <w:lang w:val="en-US" w:eastAsia="zh-CN"/>
        </w:rPr>
        <w:t>社保及公积金的证明文件。</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3、岗位职业操守与劳动纪律</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（1）秩序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员须按照</w:t>
      </w:r>
      <w:r>
        <w:rPr>
          <w:rFonts w:hint="eastAsia" w:ascii="宋体" w:hAnsi="宋体" w:cs="TimesNewRomanPSMT"/>
          <w:kern w:val="0"/>
          <w:sz w:val="24"/>
          <w:szCs w:val="24"/>
          <w:highlight w:val="none"/>
          <w:lang w:val="en-US" w:eastAsia="zh-CN"/>
        </w:rPr>
        <w:t>机关事务管理局</w:t>
      </w:r>
      <w:r>
        <w:rPr>
          <w:rFonts w:hint="eastAsia" w:ascii="宋体" w:hAnsi="宋体" w:cs="TimesNewRomanPSMT"/>
          <w:kern w:val="0"/>
          <w:sz w:val="24"/>
          <w:szCs w:val="24"/>
          <w:highlight w:val="none"/>
          <w:lang w:val="zh-CN"/>
        </w:rPr>
        <w:t>穿戴统一的秩序维护员服装、佩带统一的秩序维护员标志并佩带胸卡，着装必须整洁、整齐，注意仪表、仪容，不得留胡须、蓄长发，上岗时不得戴墨镜。</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（2）秩序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员</w:t>
      </w:r>
      <w:r>
        <w:rPr>
          <w:rFonts w:hint="eastAsia" w:ascii="宋体" w:hAnsi="宋体" w:cs="TimesNewRomanPSMT"/>
          <w:kern w:val="0"/>
          <w:sz w:val="24"/>
          <w:szCs w:val="24"/>
          <w:highlight w:val="none"/>
          <w:lang w:val="en-US" w:eastAsia="zh-CN"/>
        </w:rPr>
        <w:t>负责的内部大院</w:t>
      </w:r>
      <w:r>
        <w:rPr>
          <w:rFonts w:hint="eastAsia" w:ascii="宋体" w:hAnsi="宋体" w:cs="TimesNewRomanPSMT"/>
          <w:kern w:val="0"/>
          <w:sz w:val="24"/>
          <w:szCs w:val="24"/>
          <w:highlight w:val="none"/>
          <w:lang w:val="zh-CN"/>
        </w:rPr>
        <w:t>车辆应按</w:t>
      </w:r>
      <w:r>
        <w:rPr>
          <w:rFonts w:hint="eastAsia" w:ascii="宋体" w:hAnsi="宋体" w:cs="TimesNewRomanPSMT"/>
          <w:kern w:val="0"/>
          <w:sz w:val="24"/>
          <w:szCs w:val="24"/>
          <w:highlight w:val="none"/>
          <w:lang w:val="en-US" w:eastAsia="zh-CN"/>
        </w:rPr>
        <w:t>大院内</w:t>
      </w:r>
      <w:r>
        <w:rPr>
          <w:rFonts w:hint="eastAsia" w:ascii="宋体" w:hAnsi="宋体" w:cs="TimesNewRomanPSMT"/>
          <w:kern w:val="0"/>
          <w:sz w:val="24"/>
          <w:szCs w:val="24"/>
          <w:highlight w:val="none"/>
          <w:lang w:val="zh-CN"/>
        </w:rPr>
        <w:t>要求在指定地点整齐停放。</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（3）秩序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员在工作期间应坚守岗位、尽职尽责，不得擅离职守，不得闲聊、打闹，不得干私活，不得看书、看报，不得下棋、打牌，不得会私客，不得酗酒、抽烟、打瞌睡。</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（4）秩序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员在工作期间应严格遵守作息制度，不得迟到、早退，不得脱岗、旷工。</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（5）秩序</w:t>
      </w:r>
      <w:r>
        <w:rPr>
          <w:rFonts w:hint="eastAsia" w:ascii="宋体" w:hAnsi="宋体" w:cs="TimesNewRomanPSMT"/>
          <w:kern w:val="0"/>
          <w:sz w:val="24"/>
          <w:szCs w:val="24"/>
          <w:highlight w:val="none"/>
          <w:lang w:val="en-US" w:eastAsia="zh-CN"/>
        </w:rPr>
        <w:t>维护</w:t>
      </w:r>
      <w:r>
        <w:rPr>
          <w:rFonts w:hint="eastAsia" w:ascii="宋体" w:hAnsi="宋体" w:cs="TimesNewRomanPSMT"/>
          <w:kern w:val="0"/>
          <w:sz w:val="24"/>
          <w:szCs w:val="24"/>
          <w:highlight w:val="none"/>
          <w:lang w:val="zh-CN"/>
        </w:rPr>
        <w:t>员在工作期间应坚持文明服务、礼貌用语，处理问题要分清是非、坚持原则、实事求是、以理服人、态度和蔼，不讲污言秽语、不刁难群众，严禁打人、骂人、侮辱人格等侵权行为。</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（6）秩序维护员应遵纪守法、秉公办事，不得侵犯群众的合法权益，严禁以权谋私、徇私舞弊。</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（7）秩序维护员应做好详细的交接班记录、值班巡逻记录，以备检查。</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（8）秩序维护员上岗时未经许可不得擅自换岗，有事不能上岗者应提前一天向管理人员请假，经批准方可换岗、离岗，同时服务公司须向</w:t>
      </w:r>
      <w:r>
        <w:rPr>
          <w:rFonts w:hint="eastAsia" w:ascii="宋体" w:hAnsi="宋体" w:cs="TimesNewRomanPSMT"/>
          <w:kern w:val="0"/>
          <w:sz w:val="24"/>
          <w:szCs w:val="24"/>
          <w:highlight w:val="none"/>
          <w:lang w:val="en-US" w:eastAsia="zh-CN"/>
        </w:rPr>
        <w:t>机关服务中心</w:t>
      </w:r>
      <w:r>
        <w:rPr>
          <w:rFonts w:hint="eastAsia" w:ascii="宋体" w:hAnsi="宋体" w:cs="TimesNewRomanPSMT"/>
          <w:kern w:val="0"/>
          <w:sz w:val="24"/>
          <w:szCs w:val="24"/>
          <w:highlight w:val="none"/>
          <w:lang w:val="zh-CN"/>
        </w:rPr>
        <w:t>汇报换岗情况，若</w:t>
      </w:r>
      <w:r>
        <w:rPr>
          <w:rFonts w:hint="eastAsia" w:ascii="宋体" w:hAnsi="宋体" w:cs="TimesNewRomanPSMT"/>
          <w:kern w:val="0"/>
          <w:sz w:val="24"/>
          <w:szCs w:val="24"/>
          <w:highlight w:val="none"/>
          <w:lang w:val="en-US" w:eastAsia="zh-CN"/>
        </w:rPr>
        <w:t>机关服务中心</w:t>
      </w:r>
      <w:r>
        <w:rPr>
          <w:rFonts w:hint="eastAsia" w:ascii="宋体" w:hAnsi="宋体" w:cs="TimesNewRomanPSMT"/>
          <w:kern w:val="0"/>
          <w:sz w:val="24"/>
          <w:szCs w:val="24"/>
          <w:highlight w:val="none"/>
          <w:lang w:val="zh-CN"/>
        </w:rPr>
        <w:t>发现擅自换岗、离岗情况将严格按考核制度扣分。</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lang w:val="zh-CN"/>
        </w:rPr>
      </w:pPr>
      <w:r>
        <w:rPr>
          <w:rFonts w:hint="eastAsia" w:ascii="宋体" w:hAnsi="宋体" w:cs="TimesNewRomanPSMT"/>
          <w:kern w:val="0"/>
          <w:sz w:val="24"/>
          <w:szCs w:val="24"/>
          <w:highlight w:val="none"/>
          <w:lang w:val="zh-CN"/>
        </w:rPr>
        <w:t>（9）秩序维护员相互之间应和睦相处，杜绝争吵、打骂等违纪现象。</w:t>
      </w:r>
    </w:p>
    <w:p>
      <w:pPr>
        <w:autoSpaceDE w:val="0"/>
        <w:autoSpaceDN w:val="0"/>
        <w:adjustRightInd w:val="0"/>
        <w:snapToGrid w:val="0"/>
        <w:spacing w:line="360" w:lineRule="auto"/>
        <w:ind w:firstLine="480" w:firstLineChars="200"/>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三、其他要求</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成交供应商必须在取得成交资格后30日内，按采购需求中最低人员配置要求，将人员配置齐全，如未能按期配置齐全，视为成交供应商放弃成交资格，采购人有权取消其成交资格,并由第二中标候选供应商顺序替补为成交供应商，并与采购人签订合同。采购人也可以重新招标。给采购人造成的损失，原成交供应商还应当予以赔偿。</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成交供应商按管理要求严格落实人员数量配备齐全，做到专岗专人；项目管理人员必须专职；作业期间作业人员或管理人员的变动必须在3个工作日内书面报告采购人；</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根据《中华人民共和国劳动合同法》、《中华人民共和国社会保险法》、《住房公积金管理条例》,成交供应商必须依法规范用工，符合规定条件的人员须签订劳动合同,依法参加社会保险、缴存住房公积金，未退休人员工资应不低于最新公布的磋商供应商所在地最低工资标准。</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投标人须按规定为上述所有人员缴纳社会保险、提供相关福利等，现场所有人员工资、社保及福利等必须符合国家及地方相关政策最低要求，不享受特殊社保政策；不符合相关要求的，作无效投标文件处理。</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投标报价包括但不仅限于人员费用（工资、福利、培训、社会保险、</w:t>
      </w:r>
      <w:r>
        <w:rPr>
          <w:rFonts w:hint="eastAsia" w:ascii="宋体" w:hAnsi="宋体" w:cs="宋体"/>
          <w:bCs/>
          <w:sz w:val="24"/>
          <w:szCs w:val="24"/>
          <w:highlight w:val="none"/>
          <w:lang w:val="en-US" w:eastAsia="zh-CN"/>
        </w:rPr>
        <w:t>公积金、</w:t>
      </w:r>
      <w:r>
        <w:rPr>
          <w:rFonts w:hint="eastAsia" w:ascii="宋体" w:hAnsi="宋体" w:cs="宋体"/>
          <w:bCs/>
          <w:sz w:val="24"/>
          <w:szCs w:val="24"/>
          <w:highlight w:val="none"/>
        </w:rPr>
        <w:t>人身意外伤害险、服装费、高温费、劳保用品费等）、服务所用设备工具购置及维修费用、服务所用材料消耗费用、突击费用（临时加班加点产生的费用）、管理费用、利润、税金、政策性文件规定及合同包含的所有风险（包括但不限于遇最低工资调整、物价上涨、重大活动、检查、突发情况、税费调整、统计误差等）、责任等各项应有费用。</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人报价为一年管理期的总价格，投标人应充分考虑涨价因素，在合同执行中不再更改或调整价格。所有根据合同或其他原因，应由投标人支付的所有税收和其它费用，须根据投标时国家及有关部门规定的费用、招标文件中规定的不可竞争费用以及其他有关资料进行计算，并列入投标人呈报的总价金额中。本合同实施过程中，投标人由于投标人的失误的漏项，不允许再补列，也不承担任何经济责任。</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各投标人须对项目进行现场踏勘，认识到现状与项目招标要求存在的差异，投标报价时充分考虑在</w:t>
      </w:r>
      <w:r>
        <w:rPr>
          <w:rFonts w:hint="eastAsia" w:ascii="宋体" w:hAnsi="宋体" w:cs="宋体"/>
          <w:bCs/>
          <w:sz w:val="24"/>
          <w:szCs w:val="24"/>
          <w:highlight w:val="none"/>
          <w:lang w:val="en-US" w:eastAsia="zh-CN"/>
        </w:rPr>
        <w:t>7个工作日</w:t>
      </w:r>
      <w:r>
        <w:rPr>
          <w:rFonts w:hint="eastAsia" w:ascii="宋体" w:hAnsi="宋体" w:cs="宋体"/>
          <w:bCs/>
          <w:sz w:val="24"/>
          <w:szCs w:val="24"/>
          <w:highlight w:val="none"/>
        </w:rPr>
        <w:t>内将作业质量提升至项目招标要求所需成本。</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中标单位为全部秩序管理人员（包括管理人员）购买</w:t>
      </w:r>
      <w:r>
        <w:rPr>
          <w:rFonts w:hint="eastAsia" w:ascii="宋体" w:hAnsi="宋体" w:cs="宋体"/>
          <w:bCs/>
          <w:sz w:val="24"/>
          <w:szCs w:val="24"/>
          <w:highlight w:val="none"/>
          <w:lang w:val="en-US" w:eastAsia="zh-CN"/>
        </w:rPr>
        <w:t>社保及公积金</w:t>
      </w:r>
      <w:r>
        <w:rPr>
          <w:rFonts w:hint="eastAsia" w:ascii="宋体" w:hAnsi="宋体" w:cs="宋体"/>
          <w:bCs/>
          <w:sz w:val="24"/>
          <w:szCs w:val="24"/>
          <w:highlight w:val="none"/>
        </w:rPr>
        <w:t>，须报给采购人备案管理</w:t>
      </w:r>
      <w:r>
        <w:rPr>
          <w:rFonts w:hint="eastAsia" w:ascii="宋体" w:hAnsi="宋体" w:cs="宋体"/>
          <w:bCs/>
          <w:sz w:val="24"/>
          <w:szCs w:val="24"/>
          <w:highlight w:val="none"/>
          <w:lang w:val="en-US" w:eastAsia="zh-CN"/>
        </w:rPr>
        <w:t>并作为结算凭证</w:t>
      </w:r>
      <w:r>
        <w:rPr>
          <w:rFonts w:hint="eastAsia" w:ascii="宋体" w:hAnsi="宋体" w:cs="宋体"/>
          <w:bCs/>
          <w:sz w:val="24"/>
          <w:szCs w:val="24"/>
          <w:highlight w:val="none"/>
        </w:rPr>
        <w:t>，如果没有达到要求比例的则相应扣除费用。</w:t>
      </w:r>
    </w:p>
    <w:p>
      <w:pPr>
        <w:numPr>
          <w:ilvl w:val="0"/>
          <w:numId w:val="2"/>
        </w:numPr>
        <w:tabs>
          <w:tab w:val="left" w:pos="1050"/>
        </w:tabs>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考核机制：由惠山区</w:t>
      </w:r>
      <w:r>
        <w:rPr>
          <w:rFonts w:hint="eastAsia" w:ascii="宋体" w:hAnsi="宋体" w:cs="宋体"/>
          <w:bCs/>
          <w:sz w:val="24"/>
          <w:szCs w:val="24"/>
          <w:highlight w:val="none"/>
          <w:lang w:val="en-US" w:eastAsia="zh-CN"/>
        </w:rPr>
        <w:t>机关服务中心</w:t>
      </w:r>
      <w:bookmarkStart w:id="0" w:name="_GoBack"/>
      <w:bookmarkEnd w:id="0"/>
      <w:r>
        <w:rPr>
          <w:rFonts w:hint="eastAsia" w:ascii="宋体" w:hAnsi="宋体" w:cs="宋体"/>
          <w:bCs/>
          <w:sz w:val="24"/>
          <w:szCs w:val="24"/>
          <w:highlight w:val="none"/>
        </w:rPr>
        <w:t>每个月月底对中标人进行考核，考核依据《</w:t>
      </w:r>
      <w:r>
        <w:rPr>
          <w:rFonts w:hint="eastAsia" w:ascii="宋体" w:hAnsi="宋体" w:cs="宋体"/>
          <w:bCs/>
          <w:sz w:val="24"/>
          <w:szCs w:val="24"/>
          <w:highlight w:val="none"/>
          <w:lang w:val="en-US" w:eastAsia="zh-CN"/>
        </w:rPr>
        <w:t>区政府门岗秩序维护</w:t>
      </w:r>
      <w:r>
        <w:rPr>
          <w:rFonts w:hint="eastAsia" w:ascii="宋体" w:hAnsi="宋体" w:cs="宋体"/>
          <w:bCs/>
          <w:sz w:val="24"/>
          <w:szCs w:val="24"/>
          <w:highlight w:val="none"/>
        </w:rPr>
        <w:t>管理考核细则》，根据考核情况，考核分数≥90分视为考核合格；80分≤考核分数＜90分，扣除当月度合同价款的10%作为罚款；70分≤考核分数＜80分，扣除当月度合同价款的20%作为罚款；考核分数＜70分，扣除当月度合同价款的20%作为罚款且解除合同。</w:t>
      </w:r>
      <w:r>
        <w:rPr>
          <w:rFonts w:hint="eastAsia" w:ascii="宋体" w:hAnsi="宋体" w:cs="宋体"/>
          <w:bCs/>
          <w:sz w:val="24"/>
          <w:szCs w:val="24"/>
          <w:highlight w:val="none"/>
        </w:rPr>
        <w:t>（月度合同价款由合同总价款/12个月服务期限得出）</w:t>
      </w:r>
      <w:r>
        <w:rPr>
          <w:rFonts w:hint="eastAsia" w:ascii="宋体" w:hAnsi="宋体" w:cs="宋体"/>
          <w:bCs/>
          <w:sz w:val="24"/>
          <w:szCs w:val="24"/>
          <w:highlight w:val="none"/>
        </w:rPr>
        <w:t>。</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zh-CN"/>
        </w:rPr>
      </w:pPr>
      <w:r>
        <w:rPr>
          <w:rFonts w:hint="eastAsia" w:ascii="宋体" w:hAnsi="宋体" w:cs="宋体"/>
          <w:bCs/>
          <w:sz w:val="24"/>
          <w:szCs w:val="24"/>
          <w:highlight w:val="none"/>
          <w:lang w:val="en-US" w:eastAsia="zh-CN"/>
        </w:rPr>
        <w:t>10、</w:t>
      </w:r>
      <w:r>
        <w:rPr>
          <w:rFonts w:hint="eastAsia" w:ascii="宋体" w:hAnsi="宋体" w:cs="宋体"/>
          <w:bCs/>
          <w:sz w:val="24"/>
          <w:szCs w:val="24"/>
          <w:highlight w:val="none"/>
        </w:rPr>
        <w:t>付款方式</w:t>
      </w:r>
      <w:r>
        <w:rPr>
          <w:rFonts w:hint="eastAsia" w:ascii="宋体" w:hAnsi="宋体" w:cs="宋体"/>
          <w:bCs/>
          <w:sz w:val="24"/>
          <w:szCs w:val="24"/>
          <w:highlight w:val="none"/>
        </w:rPr>
        <w:t>：</w:t>
      </w:r>
      <w:r>
        <w:rPr>
          <w:rFonts w:ascii="宋体" w:hAnsi="宋体" w:eastAsia="宋体" w:cs="宋体"/>
          <w:bCs/>
          <w:sz w:val="24"/>
          <w:szCs w:val="24"/>
          <w:highlight w:val="none"/>
        </w:rPr>
        <w:t>合同签订后</w:t>
      </w:r>
      <w:r>
        <w:rPr>
          <w:rFonts w:hint="eastAsia" w:ascii="宋体" w:hAnsi="宋体" w:eastAsia="宋体" w:cs="宋体"/>
          <w:bCs/>
          <w:sz w:val="24"/>
          <w:szCs w:val="24"/>
          <w:highlight w:val="none"/>
          <w:lang w:val="en-US" w:eastAsia="zh-CN"/>
        </w:rPr>
        <w:t>预付合同金额的10%（</w:t>
      </w:r>
      <w:r>
        <w:rPr>
          <w:rFonts w:hint="eastAsia" w:ascii="宋体" w:hAnsi="宋体" w:eastAsia="宋体" w:cs="宋体"/>
          <w:bCs/>
          <w:sz w:val="24"/>
          <w:szCs w:val="24"/>
          <w:highlight w:val="none"/>
        </w:rPr>
        <w:t>预付款在项目第一</w:t>
      </w:r>
      <w:r>
        <w:rPr>
          <w:rFonts w:hint="eastAsia" w:ascii="宋体" w:hAnsi="宋体" w:eastAsia="宋体" w:cs="宋体"/>
          <w:bCs/>
          <w:sz w:val="24"/>
          <w:szCs w:val="24"/>
          <w:highlight w:val="none"/>
          <w:lang w:val="en-US" w:eastAsia="zh-CN"/>
        </w:rPr>
        <w:t>季度</w:t>
      </w:r>
      <w:r>
        <w:rPr>
          <w:rFonts w:hint="eastAsia" w:ascii="宋体" w:hAnsi="宋体" w:eastAsia="宋体" w:cs="宋体"/>
          <w:bCs/>
          <w:sz w:val="24"/>
          <w:szCs w:val="24"/>
          <w:highlight w:val="none"/>
        </w:rPr>
        <w:t>请款时一次性扣回</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余款按季度考核后每季度支付一次。</w:t>
      </w:r>
      <w:r>
        <w:rPr>
          <w:rFonts w:ascii="宋体" w:hAnsi="宋体" w:eastAsia="宋体" w:cs="宋体"/>
          <w:bCs/>
          <w:sz w:val="24"/>
          <w:szCs w:val="24"/>
          <w:highlight w:val="none"/>
        </w:rPr>
        <w:t>乙方应于每次付款前提供足额合规的发票，否则甲方有权相应顺延付款而无需承担逾期付款责任</w:t>
      </w:r>
      <w:r>
        <w:rPr>
          <w:rFonts w:hint="eastAsia" w:ascii="宋体" w:hAnsi="宋体" w:eastAsia="宋体" w:cs="宋体"/>
          <w:bCs/>
          <w:sz w:val="24"/>
          <w:szCs w:val="24"/>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401FC"/>
    <w:multiLevelType w:val="multilevel"/>
    <w:tmpl w:val="552401FC"/>
    <w:lvl w:ilvl="0" w:tentative="0">
      <w:start w:val="1"/>
      <w:numFmt w:val="bullet"/>
      <w:pStyle w:val="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1">
    <w:nsid w:val="5922A8B4"/>
    <w:multiLevelType w:val="singleLevel"/>
    <w:tmpl w:val="5922A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OTcwNDk4ZWQwMWZlOTcyZDBhNmU0NWVkNzE2NDYifQ=="/>
  </w:docVars>
  <w:rsids>
    <w:rsidRoot w:val="6A3B1F6D"/>
    <w:rsid w:val="6A3B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afterLines="0" w:line="440" w:lineRule="exact"/>
      <w:ind w:firstLine="420" w:firstLineChars="100"/>
    </w:pPr>
    <w:rPr>
      <w:rFonts w:ascii="宋体" w:eastAsia="宋体"/>
      <w:kern w:val="2"/>
      <w:sz w:val="24"/>
      <w:szCs w:val="28"/>
    </w:rPr>
  </w:style>
  <w:style w:type="paragraph" w:styleId="3">
    <w:name w:val="Body Text"/>
    <w:basedOn w:val="1"/>
    <w:next w:val="4"/>
    <w:qFormat/>
    <w:uiPriority w:val="99"/>
    <w:pPr>
      <w:autoSpaceDE w:val="0"/>
      <w:autoSpaceDN w:val="0"/>
      <w:adjustRightInd w:val="0"/>
    </w:pPr>
    <w:rPr>
      <w:rFonts w:ascii="仿宋_GB2312" w:eastAsia="仿宋_GB2312"/>
      <w:kern w:val="0"/>
      <w:sz w:val="28"/>
      <w:szCs w:val="20"/>
    </w:rPr>
  </w:style>
  <w:style w:type="paragraph" w:styleId="4">
    <w:name w:val="List"/>
    <w:basedOn w:val="1"/>
    <w:qFormat/>
    <w:uiPriority w:val="0"/>
    <w:pPr>
      <w:numPr>
        <w:ilvl w:val="0"/>
        <w:numId w:val="1"/>
      </w:numPr>
      <w:autoSpaceDE w:val="0"/>
      <w:autoSpaceDN w:val="0"/>
      <w:adjustRightInd w:val="0"/>
      <w:spacing w:after="20" w:line="288" w:lineRule="auto"/>
      <w:textAlignment w:val="baseline"/>
    </w:pPr>
    <w:rPr>
      <w:kern w:val="0"/>
      <w:szCs w:val="20"/>
      <w:lang w:val="en-GB"/>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2023-04-03T08:07:00Z</dcterms:created>
  <dc:creator>black and white</dc:creator>
  <cp:lastModifiedBy>black and white</cp:lastModifiedBy>
  <dcterms:modified xsi:type="dcterms:W3CDTF">2023-04-03T08:11:01Z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D7D2D29B56A8454DA1BB95E8F414E177</vt:lpwstr>
  </property>
</Properties>
</file>