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562" w:firstLineChars="200"/>
        <w:jc w:val="center"/>
        <w:rPr>
          <w:rFonts w:hint="default" w:ascii="宋体" w:hAnsi="宋体" w:eastAsia="宋体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采购需求</w:t>
      </w:r>
    </w:p>
    <w:p>
      <w:pPr>
        <w:pStyle w:val="9"/>
        <w:numPr>
          <w:ilvl w:val="0"/>
          <w:numId w:val="1"/>
        </w:numPr>
        <w:adjustRightInd w:val="0"/>
        <w:snapToGrid w:val="0"/>
        <w:spacing w:line="360" w:lineRule="auto"/>
        <w:rPr>
          <w:rFonts w:ascii="宋体" w:hAnsi="宋体"/>
          <w:b/>
          <w:bCs w:val="0"/>
          <w:sz w:val="24"/>
        </w:rPr>
      </w:pPr>
      <w:r>
        <w:rPr>
          <w:rFonts w:hint="eastAsia" w:ascii="宋体" w:hAnsi="宋体"/>
          <w:b/>
          <w:bCs w:val="0"/>
          <w:sz w:val="24"/>
        </w:rPr>
        <w:t>项目概况</w:t>
      </w:r>
    </w:p>
    <w:p>
      <w:pPr>
        <w:pStyle w:val="9"/>
        <w:numPr>
          <w:ilvl w:val="0"/>
          <w:numId w:val="2"/>
        </w:numPr>
        <w:adjustRightInd w:val="0"/>
        <w:snapToGrid w:val="0"/>
        <w:spacing w:line="360" w:lineRule="auto"/>
        <w:rPr>
          <w:rFonts w:ascii="宋体" w:hAnsi="宋体"/>
          <w:bCs/>
          <w:sz w:val="24"/>
          <w:lang w:eastAsia="zh-CN"/>
        </w:rPr>
      </w:pPr>
      <w:r>
        <w:rPr>
          <w:rFonts w:hint="eastAsia" w:ascii="宋体" w:hAnsi="宋体"/>
          <w:b/>
          <w:bCs w:val="0"/>
          <w:sz w:val="24"/>
          <w:lang w:eastAsia="zh-CN"/>
        </w:rPr>
        <w:t>项目名称：</w:t>
      </w:r>
      <w:r>
        <w:rPr>
          <w:rFonts w:hint="eastAsia" w:ascii="宋体" w:hAnsi="宋体"/>
          <w:bCs/>
          <w:sz w:val="24"/>
          <w:lang w:eastAsia="zh-CN"/>
        </w:rPr>
        <w:t>葛埭社区（葛埭桥）居民点建设规划</w:t>
      </w:r>
    </w:p>
    <w:p>
      <w:pPr>
        <w:pStyle w:val="9"/>
        <w:numPr>
          <w:ilvl w:val="0"/>
          <w:numId w:val="2"/>
        </w:numPr>
        <w:adjustRightInd w:val="0"/>
        <w:snapToGrid w:val="0"/>
        <w:spacing w:line="360" w:lineRule="auto"/>
        <w:rPr>
          <w:rFonts w:ascii="宋体" w:hAnsi="宋体"/>
          <w:bCs/>
          <w:sz w:val="24"/>
          <w:lang w:eastAsia="zh-CN"/>
        </w:rPr>
      </w:pPr>
      <w:r>
        <w:rPr>
          <w:rFonts w:hint="eastAsia" w:ascii="宋体" w:hAnsi="宋体"/>
          <w:b/>
          <w:bCs w:val="0"/>
          <w:sz w:val="24"/>
          <w:lang w:val="en-US" w:eastAsia="zh-CN"/>
        </w:rPr>
        <w:t>规划</w:t>
      </w:r>
      <w:r>
        <w:rPr>
          <w:rFonts w:hint="eastAsia" w:ascii="宋体" w:hAnsi="宋体"/>
          <w:b/>
          <w:bCs w:val="0"/>
          <w:sz w:val="24"/>
          <w:lang w:eastAsia="zh-CN"/>
        </w:rPr>
        <w:t>范围：</w:t>
      </w:r>
      <w:r>
        <w:rPr>
          <w:rFonts w:hint="eastAsia" w:ascii="宋体" w:hAnsi="宋体"/>
          <w:bCs/>
          <w:sz w:val="24"/>
          <w:lang w:eastAsia="zh-CN"/>
        </w:rPr>
        <w:t>项目位于无锡市滨湖区雪浪街道葛埭社区东南侧，南侧紧邻长广溪国家湿地公园，本次规划范围为《无锡市滨湖区雪浪街道葛埭社区村庄规划》（2</w:t>
      </w:r>
      <w:r>
        <w:rPr>
          <w:rFonts w:ascii="宋体" w:hAnsi="宋体"/>
          <w:bCs/>
          <w:sz w:val="24"/>
          <w:lang w:eastAsia="zh-CN"/>
        </w:rPr>
        <w:t>022-2035</w:t>
      </w:r>
      <w:r>
        <w:rPr>
          <w:rFonts w:hint="eastAsia" w:ascii="宋体" w:hAnsi="宋体"/>
          <w:bCs/>
          <w:sz w:val="24"/>
          <w:lang w:eastAsia="zh-CN"/>
        </w:rPr>
        <w:t>年）中划定的葛埭桥居民点及其周边的建设用地，总规划面积约为</w:t>
      </w:r>
      <w:r>
        <w:rPr>
          <w:rFonts w:ascii="宋体" w:hAnsi="宋体"/>
          <w:bCs/>
          <w:sz w:val="24"/>
          <w:lang w:eastAsia="zh-CN"/>
        </w:rPr>
        <w:t>66700</w:t>
      </w:r>
      <w:r>
        <w:rPr>
          <w:rFonts w:hint="eastAsia" w:ascii="宋体" w:hAnsi="宋体"/>
          <w:bCs/>
          <w:sz w:val="24"/>
          <w:lang w:eastAsia="zh-CN"/>
        </w:rPr>
        <w:t>平方米，其中居民点建筑设计面积约</w:t>
      </w:r>
      <w:r>
        <w:rPr>
          <w:rFonts w:ascii="宋体" w:hAnsi="宋体"/>
          <w:bCs/>
          <w:sz w:val="24"/>
          <w:lang w:eastAsia="zh-CN"/>
        </w:rPr>
        <w:t>26460</w:t>
      </w:r>
      <w:r>
        <w:rPr>
          <w:rFonts w:hint="eastAsia" w:ascii="宋体" w:hAnsi="宋体"/>
          <w:bCs/>
          <w:sz w:val="24"/>
          <w:lang w:eastAsia="zh-CN"/>
        </w:rPr>
        <w:t>平方米。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/>
          <w:bCs/>
          <w:sz w:val="24"/>
        </w:rPr>
      </w:pPr>
      <w:r>
        <w:rPr>
          <w:rFonts w:ascii="宋体" w:hAnsi="宋体"/>
          <w:bCs/>
          <w:sz w:val="24"/>
        </w:rPr>
        <w:drawing>
          <wp:inline distT="0" distB="0" distL="0" distR="0">
            <wp:extent cx="5273675" cy="3529965"/>
            <wp:effectExtent l="0" t="0" r="317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rcRect t="4082" b="392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/>
          <w:b/>
          <w:bCs w:val="0"/>
          <w:sz w:val="24"/>
        </w:rPr>
      </w:pPr>
      <w:r>
        <w:rPr>
          <w:rFonts w:hint="eastAsia" w:ascii="宋体" w:hAnsi="宋体"/>
          <w:b/>
          <w:bCs w:val="0"/>
          <w:sz w:val="24"/>
        </w:rPr>
        <w:t>二、规划背景和目标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/>
          <w:b/>
          <w:bCs w:val="0"/>
          <w:sz w:val="24"/>
        </w:rPr>
      </w:pPr>
      <w:r>
        <w:rPr>
          <w:rFonts w:hint="eastAsia" w:ascii="宋体" w:hAnsi="宋体"/>
          <w:b/>
          <w:bCs w:val="0"/>
          <w:sz w:val="24"/>
          <w:lang w:val="en-US" w:eastAsia="zh-CN"/>
        </w:rPr>
        <w:t>1、</w:t>
      </w:r>
      <w:r>
        <w:rPr>
          <w:rFonts w:hint="eastAsia" w:ascii="宋体" w:hAnsi="宋体"/>
          <w:b/>
          <w:bCs w:val="0"/>
          <w:sz w:val="24"/>
        </w:rPr>
        <w:t>规划背景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随着国土空间规划编制的推进，葛埭社区已形成村庄规划“一张图”，已明确划定村域范围内的建设空间、生态空间和农业空间。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结合乡村振兴发展诉求，需对居民点的生态、生产、生活空间进行优化，对居民点未来建设发展提出明确的方向和措施，引导乡村建设，塑造良好的居住和生活空间。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/>
          <w:b/>
          <w:bCs w:val="0"/>
          <w:sz w:val="24"/>
        </w:rPr>
      </w:pPr>
      <w:r>
        <w:rPr>
          <w:rFonts w:hint="eastAsia" w:ascii="宋体" w:hAnsi="宋体"/>
          <w:b/>
          <w:bCs w:val="0"/>
          <w:sz w:val="24"/>
          <w:lang w:val="en-US" w:eastAsia="zh-CN"/>
        </w:rPr>
        <w:t>3、</w:t>
      </w:r>
      <w:r>
        <w:rPr>
          <w:rFonts w:hint="eastAsia" w:ascii="宋体" w:hAnsi="宋体"/>
          <w:b/>
          <w:bCs w:val="0"/>
          <w:sz w:val="24"/>
        </w:rPr>
        <w:t>规划目标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结合居民点文化特色和保护要求，对村庄未来的发展提出明确的整治和建设目标和方式，针对现状保留区域、新建区域、周边的农田区域分别提出建设发展建议和措施，优化居民点整体规划发展布局，营造宜居、宜游的江南水乡的居名点。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/>
          <w:b/>
          <w:bCs w:val="0"/>
          <w:sz w:val="24"/>
        </w:rPr>
      </w:pPr>
      <w:r>
        <w:rPr>
          <w:rFonts w:hint="eastAsia" w:ascii="宋体" w:hAnsi="宋体"/>
          <w:b/>
          <w:bCs w:val="0"/>
          <w:sz w:val="24"/>
        </w:rPr>
        <w:t>三、规划内容及要求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  <w:lang w:val="en-US" w:eastAsia="zh-CN"/>
        </w:rPr>
        <w:t>1、</w:t>
      </w:r>
      <w:r>
        <w:rPr>
          <w:rFonts w:hint="eastAsia" w:ascii="宋体" w:hAnsi="宋体"/>
          <w:bCs/>
          <w:sz w:val="24"/>
        </w:rPr>
        <w:t>摸清现状情况。全面掌握居民点内现状的发展情况、各设施配套情况等，同时需摸清居民点内乡村人口、户数、宅基地、年龄结构、就业状况等现状底册数据，为居民点建设发展提供支撑。明确村民的发展诉求，提升居住的生活环境和品质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  <w:lang w:val="en-US" w:eastAsia="zh-CN"/>
        </w:rPr>
        <w:t>2、</w:t>
      </w:r>
      <w:r>
        <w:rPr>
          <w:rFonts w:hint="eastAsia" w:ascii="宋体" w:hAnsi="宋体"/>
          <w:bCs/>
          <w:sz w:val="24"/>
        </w:rPr>
        <w:t>打造有在地文化特色的农房及乡村景观。挖掘文化特质，对居民点特有的文化特色进行研究，并了解现状文化遗存及保护情况，对居民点特色塑造提供支撑。研究设计符合农村生产和生活习惯的农宅户型，提升居住品质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Theme="minorEastAsia" w:hAnsiTheme="minorEastAsia" w:eastAsiaTheme="minorEastAsia"/>
          <w:sz w:val="24"/>
          <w:lang w:val="en-US" w:eastAsia="zh-CN"/>
        </w:rPr>
        <w:t>3、</w:t>
      </w:r>
      <w:r>
        <w:rPr>
          <w:rFonts w:hint="eastAsia" w:asciiTheme="minorEastAsia" w:hAnsiTheme="minorEastAsia" w:eastAsiaTheme="minorEastAsia"/>
          <w:sz w:val="24"/>
        </w:rPr>
        <w:t>完成村庄总体平面布局，</w:t>
      </w:r>
      <w:r>
        <w:rPr>
          <w:rFonts w:hint="eastAsia" w:ascii="宋体" w:hAnsi="宋体"/>
          <w:bCs/>
          <w:sz w:val="24"/>
        </w:rPr>
        <w:t>优化道路系统、生活配套等设施布局、对其空间发展提升具体的建设措施、同时对周边的新建区域及农田区域提出发展方向和建设措施，最终完成能够指导居民点整治建设的完整成果。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/>
          <w:b/>
          <w:bCs w:val="0"/>
          <w:sz w:val="24"/>
        </w:rPr>
      </w:pPr>
      <w:r>
        <w:rPr>
          <w:rFonts w:hint="eastAsia" w:ascii="宋体" w:hAnsi="宋体"/>
          <w:b/>
          <w:bCs w:val="0"/>
          <w:sz w:val="24"/>
        </w:rPr>
        <w:t>四、规划成果内容（包括但不限于）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1.</w:t>
      </w:r>
      <w:r>
        <w:rPr>
          <w:rFonts w:hint="eastAsia"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 xml:space="preserve">背景研读 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></w:t>
      </w:r>
      <w:r>
        <w:rPr>
          <w:rFonts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>政策解读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></w:t>
      </w:r>
      <w:r>
        <w:rPr>
          <w:rFonts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>区位分析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></w:t>
      </w:r>
      <w:r>
        <w:rPr>
          <w:rFonts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>相关规划解读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2.</w:t>
      </w:r>
      <w:r>
        <w:rPr>
          <w:rFonts w:hint="eastAsia"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>现状分析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></w:t>
      </w:r>
      <w:r>
        <w:rPr>
          <w:rFonts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>现状人口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></w:t>
      </w:r>
      <w:r>
        <w:rPr>
          <w:rFonts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>现状条件分析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>特色研究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></w:t>
      </w:r>
      <w:r>
        <w:rPr>
          <w:rFonts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>村民意愿调查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3. 规划总则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></w:t>
      </w:r>
      <w:r>
        <w:rPr>
          <w:rFonts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>规划原则、目标</w:t>
      </w:r>
    </w:p>
    <w:p>
      <w:pPr>
        <w:adjustRightInd w:val="0"/>
        <w:snapToGrid w:val="0"/>
        <w:spacing w:line="360" w:lineRule="auto"/>
        <w:ind w:firstLine="240" w:firstLineChars="1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></w:t>
      </w:r>
      <w:r>
        <w:rPr>
          <w:rFonts w:hint="eastAsia" w:asciiTheme="minorEastAsia" w:hAnsiTheme="minorEastAsia" w:eastAsiaTheme="minorEastAsia"/>
          <w:sz w:val="24"/>
        </w:rPr>
        <w:t>4．村庄风貌引导</w:t>
      </w:r>
    </w:p>
    <w:p>
      <w:pPr>
        <w:adjustRightInd w:val="0"/>
        <w:snapToGrid w:val="0"/>
        <w:spacing w:line="360" w:lineRule="auto"/>
        <w:ind w:firstLine="849" w:firstLineChars="354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村庄（居民点）总体布局与相关分析</w:t>
      </w:r>
    </w:p>
    <w:p>
      <w:pPr>
        <w:adjustRightInd w:val="0"/>
        <w:snapToGrid w:val="0"/>
        <w:spacing w:line="360" w:lineRule="auto"/>
        <w:ind w:firstLine="849" w:firstLineChars="354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农房建筑设计与引导</w:t>
      </w:r>
    </w:p>
    <w:p>
      <w:pPr>
        <w:adjustRightInd w:val="0"/>
        <w:snapToGrid w:val="0"/>
        <w:spacing w:line="360" w:lineRule="auto"/>
        <w:ind w:firstLine="849" w:firstLineChars="354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公共服务设施规划与建设引导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></w:t>
      </w:r>
      <w:r>
        <w:rPr>
          <w:rFonts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>基础配套设施规划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 xml:space="preserve"> </w:t>
      </w:r>
      <w:r>
        <w:rPr>
          <w:rFonts w:hint="eastAsia" w:asciiTheme="minorEastAsia" w:hAnsiTheme="minorEastAsia" w:eastAsiaTheme="minorEastAsia"/>
          <w:sz w:val="24"/>
        </w:rPr>
        <w:t>乡村景观设计引导</w:t>
      </w:r>
    </w:p>
    <w:p>
      <w:pPr>
        <w:adjustRightInd w:val="0"/>
        <w:snapToGrid w:val="0"/>
        <w:spacing w:line="360" w:lineRule="auto"/>
        <w:ind w:firstLine="849" w:firstLineChars="354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历史文化保护特色风貌引导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5．居民点建筑方案设计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 xml:space="preserve"> 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</w:rPr>
        <w:t xml:space="preserve"> 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</w:rPr>
        <w:t>总平面图；</w:t>
      </w:r>
    </w:p>
    <w:p>
      <w:pPr>
        <w:adjustRightInd w:val="0"/>
        <w:snapToGrid w:val="0"/>
        <w:spacing w:line="360" w:lineRule="auto"/>
        <w:ind w:firstLine="960" w:firstLineChars="400"/>
        <w:rPr>
          <w:rFonts w:hint="eastAsia"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设计说明及技术经济指标</w:t>
      </w:r>
    </w:p>
    <w:p>
      <w:pPr>
        <w:adjustRightInd w:val="0"/>
        <w:snapToGrid w:val="0"/>
        <w:spacing w:line="360" w:lineRule="auto"/>
        <w:ind w:firstLine="960" w:firstLineChars="400"/>
        <w:rPr>
          <w:rFonts w:hint="eastAsia"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效果图（鸟瞰和局部透视图等）</w:t>
      </w:r>
    </w:p>
    <w:p>
      <w:pPr>
        <w:adjustRightInd w:val="0"/>
        <w:snapToGrid w:val="0"/>
        <w:spacing w:line="360" w:lineRule="auto"/>
        <w:ind w:firstLine="960" w:firstLineChars="400"/>
        <w:rPr>
          <w:rFonts w:hint="eastAsia"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功能、交通、消防、停车、景观、日照等分析图</w:t>
      </w:r>
    </w:p>
    <w:p>
      <w:pPr>
        <w:adjustRightInd w:val="0"/>
        <w:snapToGrid w:val="0"/>
        <w:spacing w:line="360" w:lineRule="auto"/>
        <w:ind w:firstLine="960" w:firstLineChars="400"/>
        <w:rPr>
          <w:rFonts w:hint="eastAsia"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各单体平、立、剖面图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/>
          <w:sz w:val="24"/>
        </w:rPr>
      </w:pP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</w:rPr>
        <w:t>备注：以上内容会根据项目实际需求有所调整。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/>
          <w:b/>
          <w:bCs w:val="0"/>
          <w:sz w:val="24"/>
        </w:rPr>
      </w:pPr>
      <w:r>
        <w:rPr>
          <w:rFonts w:hint="eastAsia" w:ascii="宋体" w:hAnsi="宋体"/>
          <w:b/>
          <w:bCs w:val="0"/>
          <w:sz w:val="24"/>
        </w:rPr>
        <w:t>五、工作计划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时间安排：</w:t>
      </w:r>
      <w:r>
        <w:rPr>
          <w:rFonts w:ascii="宋体" w:hAnsi="宋体"/>
          <w:bCs/>
          <w:sz w:val="24"/>
        </w:rPr>
        <w:t>6</w:t>
      </w:r>
      <w:r>
        <w:rPr>
          <w:rFonts w:hint="eastAsia" w:ascii="宋体" w:hAnsi="宋体"/>
          <w:bCs/>
          <w:sz w:val="24"/>
        </w:rPr>
        <w:t>0天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/>
          <w:b/>
          <w:bCs w:val="0"/>
          <w:sz w:val="24"/>
        </w:rPr>
      </w:pPr>
      <w:r>
        <w:rPr>
          <w:rFonts w:hint="eastAsia" w:ascii="宋体" w:hAnsi="宋体"/>
          <w:b/>
          <w:bCs w:val="0"/>
          <w:sz w:val="24"/>
        </w:rPr>
        <w:t>（一）第一阶段工作（2</w:t>
      </w:r>
      <w:r>
        <w:rPr>
          <w:rFonts w:ascii="宋体" w:hAnsi="宋体"/>
          <w:b/>
          <w:bCs w:val="0"/>
          <w:sz w:val="24"/>
        </w:rPr>
        <w:t>0</w:t>
      </w:r>
      <w:r>
        <w:rPr>
          <w:rFonts w:hint="eastAsia" w:ascii="宋体" w:hAnsi="宋体"/>
          <w:b/>
          <w:bCs w:val="0"/>
          <w:sz w:val="24"/>
        </w:rPr>
        <w:t>个日历日内完成）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1.基础资料分析，综合评估用地价值，确定重点与突破问题，制定初步规划框架。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2.初稿撰写，及时与</w:t>
      </w:r>
      <w:r>
        <w:rPr>
          <w:rFonts w:hint="eastAsia" w:ascii="宋体" w:hAnsi="宋体"/>
          <w:bCs/>
          <w:sz w:val="24"/>
          <w:lang w:eastAsia="zh-CN"/>
        </w:rPr>
        <w:t>采购人</w:t>
      </w:r>
      <w:r>
        <w:rPr>
          <w:rFonts w:hint="eastAsia" w:ascii="宋体" w:hAnsi="宋体"/>
          <w:bCs/>
          <w:sz w:val="24"/>
        </w:rPr>
        <w:t>开展沟通，保证大方向一致稳定。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3.提交初步成果，在</w:t>
      </w:r>
      <w:r>
        <w:rPr>
          <w:rFonts w:hint="eastAsia" w:ascii="宋体" w:hAnsi="宋体"/>
          <w:bCs/>
          <w:sz w:val="24"/>
          <w:lang w:eastAsia="zh-CN"/>
        </w:rPr>
        <w:t>采购人</w:t>
      </w:r>
      <w:r>
        <w:rPr>
          <w:rFonts w:hint="eastAsia" w:ascii="宋体" w:hAnsi="宋体"/>
          <w:bCs/>
          <w:sz w:val="24"/>
        </w:rPr>
        <w:t>内部广泛征求意见。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</w:rPr>
        <w:t>4.根据反馈意见进一步修改，完善后提交中期成果。</w:t>
      </w:r>
    </w:p>
    <w:p>
      <w:pPr>
        <w:adjustRightInd w:val="0"/>
        <w:snapToGrid w:val="0"/>
        <w:spacing w:line="360" w:lineRule="auto"/>
        <w:ind w:firstLine="482" w:firstLineChars="200"/>
        <w:rPr>
          <w:rFonts w:ascii="宋体" w:hAnsi="宋体"/>
          <w:b/>
          <w:bCs w:val="0"/>
          <w:sz w:val="24"/>
        </w:rPr>
      </w:pPr>
      <w:r>
        <w:rPr>
          <w:rFonts w:hint="eastAsia" w:ascii="宋体" w:hAnsi="宋体"/>
          <w:b/>
          <w:bCs w:val="0"/>
          <w:sz w:val="24"/>
        </w:rPr>
        <w:t>（二）第二阶段工作（</w:t>
      </w:r>
      <w:r>
        <w:rPr>
          <w:rFonts w:ascii="宋体" w:hAnsi="宋体"/>
          <w:b/>
          <w:bCs w:val="0"/>
          <w:sz w:val="24"/>
        </w:rPr>
        <w:t>40</w:t>
      </w:r>
      <w:r>
        <w:rPr>
          <w:rFonts w:hint="eastAsia" w:ascii="宋体" w:hAnsi="宋体"/>
          <w:b/>
          <w:bCs w:val="0"/>
          <w:sz w:val="24"/>
        </w:rPr>
        <w:t>个日历日内完成）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宋体" w:hAnsi="宋体"/>
          <w:bCs/>
          <w:sz w:val="24"/>
        </w:rPr>
      </w:pPr>
      <w:r>
        <w:rPr>
          <w:rFonts w:hint="eastAsia" w:ascii="宋体" w:hAnsi="宋体"/>
          <w:bCs/>
          <w:sz w:val="24"/>
          <w:lang w:val="en-US" w:eastAsia="zh-CN"/>
        </w:rPr>
        <w:t>1、</w:t>
      </w:r>
      <w:r>
        <w:rPr>
          <w:rFonts w:hint="eastAsia" w:ascii="宋体" w:hAnsi="宋体"/>
          <w:bCs/>
          <w:sz w:val="24"/>
          <w:lang w:eastAsia="zh-CN"/>
        </w:rPr>
        <w:t>采购人</w:t>
      </w:r>
      <w:r>
        <w:rPr>
          <w:rFonts w:hint="eastAsia" w:ascii="宋体" w:hAnsi="宋体"/>
          <w:bCs/>
          <w:sz w:val="24"/>
        </w:rPr>
        <w:t>内部召开中期研讨会，提出修改建议。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/>
          <w:bCs/>
          <w:sz w:val="24"/>
          <w:lang w:eastAsia="zh-CN"/>
        </w:rPr>
      </w:pPr>
      <w:r>
        <w:rPr>
          <w:rFonts w:hint="eastAsia" w:ascii="宋体" w:hAnsi="宋体"/>
          <w:bCs/>
          <w:sz w:val="24"/>
          <w:lang w:val="en-US" w:eastAsia="zh-CN"/>
        </w:rPr>
        <w:t>2、</w:t>
      </w:r>
      <w:r>
        <w:rPr>
          <w:rFonts w:hint="eastAsia" w:ascii="宋体" w:hAnsi="宋体"/>
          <w:bCs/>
          <w:sz w:val="24"/>
        </w:rPr>
        <w:t>完善后提交成果，根据最终意见修改形成最终定稿，形成发展规划</w:t>
      </w:r>
      <w:r>
        <w:rPr>
          <w:rFonts w:hint="eastAsia" w:ascii="宋体" w:hAnsi="宋体"/>
          <w:bCs/>
          <w:sz w:val="24"/>
          <w:lang w:val="en-US" w:eastAsia="zh-CN"/>
        </w:rPr>
        <w:t>报告（数量5份）、资料光盘（1份）</w:t>
      </w:r>
      <w:r>
        <w:rPr>
          <w:rFonts w:hint="eastAsia" w:ascii="宋体" w:hAnsi="宋体"/>
          <w:bCs/>
          <w:sz w:val="24"/>
        </w:rPr>
        <w:t>和汇报</w:t>
      </w:r>
      <w:r>
        <w:rPr>
          <w:rFonts w:hint="eastAsia" w:ascii="宋体" w:hAnsi="宋体"/>
          <w:bCs/>
          <w:sz w:val="24"/>
          <w:lang w:val="en-US" w:eastAsia="zh-CN"/>
        </w:rPr>
        <w:t>电子文件（*.</w:t>
      </w:r>
      <w:r>
        <w:rPr>
          <w:rFonts w:hint="eastAsia" w:ascii="宋体" w:hAnsi="宋体"/>
          <w:bCs/>
          <w:sz w:val="24"/>
        </w:rPr>
        <w:t>ppt</w:t>
      </w:r>
      <w:r>
        <w:rPr>
          <w:rFonts w:hint="eastAsia" w:ascii="宋体" w:hAnsi="宋体"/>
          <w:bCs/>
          <w:sz w:val="24"/>
          <w:lang w:val="en-US" w:eastAsia="zh-CN"/>
        </w:rPr>
        <w:t>格式）。</w:t>
      </w:r>
    </w:p>
    <w:p>
      <w:pPr>
        <w:spacing w:before="62" w:beforeLines="20" w:after="62" w:afterLines="20" w:line="360" w:lineRule="auto"/>
        <w:ind w:left="-2" w:leftChars="-1"/>
        <w:outlineLvl w:val="0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六、验收标准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采购人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按下列标准和方式对项目成果进行验收：</w:t>
      </w:r>
    </w:p>
    <w:p>
      <w:pPr>
        <w:spacing w:line="360" w:lineRule="auto"/>
        <w:ind w:firstLine="482" w:firstLineChars="200"/>
        <w:outlineLvl w:val="0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1、验收标准：</w:t>
      </w:r>
    </w:p>
    <w:p>
      <w:pPr>
        <w:spacing w:line="360" w:lineRule="auto"/>
        <w:ind w:firstLine="480"/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交付成果应满足《中华人民共和国城乡规划法》、《中华人民共和国土地管理法》、《中华人民共和国环境保护法》等国家及地方有关法律、法规及国务院、省、市各级政府及自然资源部、江苏省自然资源厅对城市更新空间单元提出的新的具体要求。</w:t>
      </w:r>
    </w:p>
    <w:p>
      <w:pPr>
        <w:spacing w:line="360" w:lineRule="auto"/>
        <w:ind w:firstLine="482" w:firstLineChars="200"/>
        <w:outlineLvl w:val="0"/>
        <w:rPr>
          <w:rFonts w:hint="eastAsia" w:ascii="宋体" w:hAnsi="宋体" w:eastAsia="宋体" w:cs="宋体"/>
          <w:b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2、规划成果形式</w:t>
      </w:r>
      <w:r>
        <w:rPr>
          <w:rFonts w:hint="eastAsia" w:ascii="宋体" w:hAnsi="宋体" w:eastAsia="宋体" w:cs="宋体"/>
          <w:b/>
          <w:color w:val="auto"/>
          <w:sz w:val="24"/>
          <w:highlight w:val="none"/>
          <w:lang w:eastAsia="zh-CN"/>
        </w:rPr>
        <w:t>：</w:t>
      </w:r>
    </w:p>
    <w:p>
      <w:pPr>
        <w:pStyle w:val="10"/>
        <w:spacing w:line="360" w:lineRule="auto"/>
        <w:ind w:firstLine="48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成果形式分为纸质成果、电子成果。</w:t>
      </w:r>
    </w:p>
    <w:p>
      <w:pPr>
        <w:spacing w:before="62" w:beforeLines="20" w:after="62" w:afterLines="20" w:line="360" w:lineRule="auto"/>
        <w:ind w:left="-2" w:leftChars="-1"/>
        <w:outlineLvl w:val="0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bookmarkStart w:id="1" w:name="_GoBack"/>
      <w:bookmarkStart w:id="0" w:name="_Hlk113022147"/>
      <w:r>
        <w:rPr>
          <w:rFonts w:hint="eastAsia" w:ascii="宋体" w:hAnsi="宋体" w:eastAsia="宋体" w:cs="宋体"/>
          <w:b/>
          <w:color w:val="auto"/>
          <w:sz w:val="24"/>
          <w:highlight w:val="none"/>
        </w:rPr>
        <w:t>七、付款方式</w:t>
      </w:r>
    </w:p>
    <w:bookmarkEnd w:id="0"/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（1）完成基础资料梳理及现状调研后，</w:t>
      </w: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采购人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支付合同金额的30%</w:t>
      </w:r>
      <w:r>
        <w:rPr>
          <w:rFonts w:hint="eastAsia" w:ascii="宋体" w:hAnsi="宋体" w:cs="宋体"/>
          <w:color w:val="auto"/>
          <w:sz w:val="24"/>
          <w:highlight w:val="none"/>
          <w:lang w:eastAsia="zh-CN"/>
        </w:rPr>
        <w:t>；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（2）完成项目策划文件及初步设计成果后，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采购人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支付合同额的30%；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（3）最终成果待取得无锡市村庄规划批复后，采购人支付合同价款的40%</w:t>
      </w:r>
      <w:r>
        <w:rPr>
          <w:rFonts w:hint="eastAsia" w:ascii="宋体" w:hAnsi="宋体" w:cs="宋体"/>
          <w:color w:val="auto"/>
          <w:sz w:val="24"/>
          <w:highlight w:val="none"/>
          <w:lang w:eastAsia="zh-CN"/>
        </w:rPr>
        <w:t>。</w:t>
      </w:r>
    </w:p>
    <w:bookmarkEnd w:id="1"/>
    <w:p>
      <w:pPr>
        <w:adjustRightInd w:val="0"/>
        <w:snapToGrid w:val="0"/>
        <w:spacing w:line="360" w:lineRule="auto"/>
        <w:ind w:firstLine="480" w:firstLineChars="200"/>
        <w:jc w:val="both"/>
        <w:rPr>
          <w:rFonts w:ascii="宋体" w:hAnsi="宋体"/>
          <w:bCs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7A"/>
    <w:family w:val="modern"/>
    <w:pitch w:val="default"/>
    <w:sig w:usb0="00000283" w:usb1="288F0000" w:usb2="0000000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7B015B"/>
    <w:multiLevelType w:val="multilevel"/>
    <w:tmpl w:val="087B015B"/>
    <w:lvl w:ilvl="0" w:tentative="0">
      <w:start w:val="1"/>
      <w:numFmt w:val="japaneseCounting"/>
      <w:lvlText w:val="%1、"/>
      <w:lvlJc w:val="left"/>
      <w:pPr>
        <w:ind w:left="96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60" w:hanging="440"/>
      </w:pPr>
    </w:lvl>
    <w:lvl w:ilvl="2" w:tentative="0">
      <w:start w:val="1"/>
      <w:numFmt w:val="lowerRoman"/>
      <w:lvlText w:val="%3."/>
      <w:lvlJc w:val="right"/>
      <w:pPr>
        <w:ind w:left="1800" w:hanging="440"/>
      </w:pPr>
    </w:lvl>
    <w:lvl w:ilvl="3" w:tentative="0">
      <w:start w:val="1"/>
      <w:numFmt w:val="decimal"/>
      <w:lvlText w:val="%4."/>
      <w:lvlJc w:val="left"/>
      <w:pPr>
        <w:ind w:left="2240" w:hanging="440"/>
      </w:pPr>
    </w:lvl>
    <w:lvl w:ilvl="4" w:tentative="0">
      <w:start w:val="1"/>
      <w:numFmt w:val="lowerLetter"/>
      <w:lvlText w:val="%5)"/>
      <w:lvlJc w:val="left"/>
      <w:pPr>
        <w:ind w:left="2680" w:hanging="440"/>
      </w:pPr>
    </w:lvl>
    <w:lvl w:ilvl="5" w:tentative="0">
      <w:start w:val="1"/>
      <w:numFmt w:val="lowerRoman"/>
      <w:lvlText w:val="%6."/>
      <w:lvlJc w:val="right"/>
      <w:pPr>
        <w:ind w:left="3120" w:hanging="440"/>
      </w:pPr>
    </w:lvl>
    <w:lvl w:ilvl="6" w:tentative="0">
      <w:start w:val="1"/>
      <w:numFmt w:val="decimal"/>
      <w:lvlText w:val="%7."/>
      <w:lvlJc w:val="left"/>
      <w:pPr>
        <w:ind w:left="3560" w:hanging="440"/>
      </w:pPr>
    </w:lvl>
    <w:lvl w:ilvl="7" w:tentative="0">
      <w:start w:val="1"/>
      <w:numFmt w:val="lowerLetter"/>
      <w:lvlText w:val="%8)"/>
      <w:lvlJc w:val="left"/>
      <w:pPr>
        <w:ind w:left="4000" w:hanging="440"/>
      </w:pPr>
    </w:lvl>
    <w:lvl w:ilvl="8" w:tentative="0">
      <w:start w:val="1"/>
      <w:numFmt w:val="lowerRoman"/>
      <w:lvlText w:val="%9."/>
      <w:lvlJc w:val="right"/>
      <w:pPr>
        <w:ind w:left="4440" w:hanging="440"/>
      </w:pPr>
    </w:lvl>
  </w:abstractNum>
  <w:abstractNum w:abstractNumId="1">
    <w:nsid w:val="1C9F3042"/>
    <w:multiLevelType w:val="multilevel"/>
    <w:tmpl w:val="1C9F3042"/>
    <w:lvl w:ilvl="0" w:tentative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60" w:hanging="440"/>
      </w:pPr>
    </w:lvl>
    <w:lvl w:ilvl="2" w:tentative="0">
      <w:start w:val="1"/>
      <w:numFmt w:val="lowerRoman"/>
      <w:lvlText w:val="%3."/>
      <w:lvlJc w:val="right"/>
      <w:pPr>
        <w:ind w:left="1800" w:hanging="440"/>
      </w:pPr>
    </w:lvl>
    <w:lvl w:ilvl="3" w:tentative="0">
      <w:start w:val="1"/>
      <w:numFmt w:val="decimal"/>
      <w:lvlText w:val="%4."/>
      <w:lvlJc w:val="left"/>
      <w:pPr>
        <w:ind w:left="2240" w:hanging="440"/>
      </w:pPr>
    </w:lvl>
    <w:lvl w:ilvl="4" w:tentative="0">
      <w:start w:val="1"/>
      <w:numFmt w:val="lowerLetter"/>
      <w:lvlText w:val="%5)"/>
      <w:lvlJc w:val="left"/>
      <w:pPr>
        <w:ind w:left="2680" w:hanging="440"/>
      </w:pPr>
    </w:lvl>
    <w:lvl w:ilvl="5" w:tentative="0">
      <w:start w:val="1"/>
      <w:numFmt w:val="lowerRoman"/>
      <w:lvlText w:val="%6."/>
      <w:lvlJc w:val="right"/>
      <w:pPr>
        <w:ind w:left="3120" w:hanging="440"/>
      </w:pPr>
    </w:lvl>
    <w:lvl w:ilvl="6" w:tentative="0">
      <w:start w:val="1"/>
      <w:numFmt w:val="decimal"/>
      <w:lvlText w:val="%7."/>
      <w:lvlJc w:val="left"/>
      <w:pPr>
        <w:ind w:left="3560" w:hanging="440"/>
      </w:pPr>
    </w:lvl>
    <w:lvl w:ilvl="7" w:tentative="0">
      <w:start w:val="1"/>
      <w:numFmt w:val="lowerLetter"/>
      <w:lvlText w:val="%8)"/>
      <w:lvlJc w:val="left"/>
      <w:pPr>
        <w:ind w:left="4000" w:hanging="440"/>
      </w:pPr>
    </w:lvl>
    <w:lvl w:ilvl="8" w:tentative="0">
      <w:start w:val="1"/>
      <w:numFmt w:val="lowerRoman"/>
      <w:lvlText w:val="%9."/>
      <w:lvlJc w:val="right"/>
      <w:pPr>
        <w:ind w:left="444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wODgyNTljNTczZjY3OWI4ZDQ0YzEwY2Q2ZjQ0OTcifQ=="/>
  </w:docVars>
  <w:rsids>
    <w:rsidRoot w:val="70DA218C"/>
    <w:rsid w:val="00006739"/>
    <w:rsid w:val="00023233"/>
    <w:rsid w:val="00056CDF"/>
    <w:rsid w:val="0006481A"/>
    <w:rsid w:val="000B13F4"/>
    <w:rsid w:val="00105855"/>
    <w:rsid w:val="0012661F"/>
    <w:rsid w:val="0017192D"/>
    <w:rsid w:val="00176FFD"/>
    <w:rsid w:val="00196335"/>
    <w:rsid w:val="001A41DF"/>
    <w:rsid w:val="001A4DBB"/>
    <w:rsid w:val="001C5409"/>
    <w:rsid w:val="001E15B0"/>
    <w:rsid w:val="001E2E5F"/>
    <w:rsid w:val="00200492"/>
    <w:rsid w:val="0021664E"/>
    <w:rsid w:val="00220145"/>
    <w:rsid w:val="00234F64"/>
    <w:rsid w:val="00235484"/>
    <w:rsid w:val="00242E3D"/>
    <w:rsid w:val="00252EA0"/>
    <w:rsid w:val="00303B59"/>
    <w:rsid w:val="003338DE"/>
    <w:rsid w:val="003705B1"/>
    <w:rsid w:val="003918C3"/>
    <w:rsid w:val="00395A1B"/>
    <w:rsid w:val="003A5B10"/>
    <w:rsid w:val="003B2DA2"/>
    <w:rsid w:val="003C0334"/>
    <w:rsid w:val="003D6B0F"/>
    <w:rsid w:val="003F7BB7"/>
    <w:rsid w:val="00400EBB"/>
    <w:rsid w:val="00410D3A"/>
    <w:rsid w:val="004157A3"/>
    <w:rsid w:val="004718D9"/>
    <w:rsid w:val="004753B5"/>
    <w:rsid w:val="00487D12"/>
    <w:rsid w:val="00493A7B"/>
    <w:rsid w:val="004B6850"/>
    <w:rsid w:val="004D56E0"/>
    <w:rsid w:val="004E7804"/>
    <w:rsid w:val="00514D98"/>
    <w:rsid w:val="00531732"/>
    <w:rsid w:val="0053428C"/>
    <w:rsid w:val="00544040"/>
    <w:rsid w:val="00561FA8"/>
    <w:rsid w:val="00573A61"/>
    <w:rsid w:val="005823FD"/>
    <w:rsid w:val="005F0534"/>
    <w:rsid w:val="005F6FF1"/>
    <w:rsid w:val="00664D77"/>
    <w:rsid w:val="006A2514"/>
    <w:rsid w:val="006B543C"/>
    <w:rsid w:val="006C07FD"/>
    <w:rsid w:val="006E32F4"/>
    <w:rsid w:val="006F030D"/>
    <w:rsid w:val="006F07D9"/>
    <w:rsid w:val="006F739F"/>
    <w:rsid w:val="00714E41"/>
    <w:rsid w:val="007251BA"/>
    <w:rsid w:val="00736E03"/>
    <w:rsid w:val="007816DD"/>
    <w:rsid w:val="007A7793"/>
    <w:rsid w:val="007B544D"/>
    <w:rsid w:val="007D31B6"/>
    <w:rsid w:val="007E0FA5"/>
    <w:rsid w:val="007E2D3D"/>
    <w:rsid w:val="007E44BF"/>
    <w:rsid w:val="007F40C6"/>
    <w:rsid w:val="008015DD"/>
    <w:rsid w:val="00811DC3"/>
    <w:rsid w:val="0081299D"/>
    <w:rsid w:val="00812CD5"/>
    <w:rsid w:val="00814514"/>
    <w:rsid w:val="0084047F"/>
    <w:rsid w:val="008856A1"/>
    <w:rsid w:val="00891B01"/>
    <w:rsid w:val="00897E9B"/>
    <w:rsid w:val="008B5F87"/>
    <w:rsid w:val="008C7327"/>
    <w:rsid w:val="008D2248"/>
    <w:rsid w:val="008D4466"/>
    <w:rsid w:val="008F6339"/>
    <w:rsid w:val="00906487"/>
    <w:rsid w:val="00967810"/>
    <w:rsid w:val="00967C1E"/>
    <w:rsid w:val="0099435A"/>
    <w:rsid w:val="009C6228"/>
    <w:rsid w:val="009D6573"/>
    <w:rsid w:val="009D7B98"/>
    <w:rsid w:val="00A02083"/>
    <w:rsid w:val="00A04325"/>
    <w:rsid w:val="00A11A77"/>
    <w:rsid w:val="00A142F4"/>
    <w:rsid w:val="00A17930"/>
    <w:rsid w:val="00A33EC4"/>
    <w:rsid w:val="00A42ADB"/>
    <w:rsid w:val="00A513D7"/>
    <w:rsid w:val="00A87E33"/>
    <w:rsid w:val="00AC5EA4"/>
    <w:rsid w:val="00AE0791"/>
    <w:rsid w:val="00AE4F36"/>
    <w:rsid w:val="00AF6BB3"/>
    <w:rsid w:val="00B46A81"/>
    <w:rsid w:val="00BB1618"/>
    <w:rsid w:val="00BD68D7"/>
    <w:rsid w:val="00BE054C"/>
    <w:rsid w:val="00C1622F"/>
    <w:rsid w:val="00C26168"/>
    <w:rsid w:val="00C35A10"/>
    <w:rsid w:val="00C415B9"/>
    <w:rsid w:val="00C4353B"/>
    <w:rsid w:val="00C43A12"/>
    <w:rsid w:val="00C65090"/>
    <w:rsid w:val="00C8567D"/>
    <w:rsid w:val="00C947D4"/>
    <w:rsid w:val="00CA562D"/>
    <w:rsid w:val="00CD4EE9"/>
    <w:rsid w:val="00CF44C2"/>
    <w:rsid w:val="00D022A8"/>
    <w:rsid w:val="00D1604C"/>
    <w:rsid w:val="00D27FA1"/>
    <w:rsid w:val="00D44341"/>
    <w:rsid w:val="00D54241"/>
    <w:rsid w:val="00DA4306"/>
    <w:rsid w:val="00DC309F"/>
    <w:rsid w:val="00DD0E42"/>
    <w:rsid w:val="00DF032C"/>
    <w:rsid w:val="00DF129F"/>
    <w:rsid w:val="00E00F6E"/>
    <w:rsid w:val="00E2737B"/>
    <w:rsid w:val="00E43621"/>
    <w:rsid w:val="00EB5621"/>
    <w:rsid w:val="00EC01F8"/>
    <w:rsid w:val="00EC76A5"/>
    <w:rsid w:val="00ED507B"/>
    <w:rsid w:val="00F1620C"/>
    <w:rsid w:val="00F34DBF"/>
    <w:rsid w:val="00F504DE"/>
    <w:rsid w:val="00F8342B"/>
    <w:rsid w:val="00F8390D"/>
    <w:rsid w:val="00F9028F"/>
    <w:rsid w:val="00F95CB0"/>
    <w:rsid w:val="00FB5A66"/>
    <w:rsid w:val="00FB607E"/>
    <w:rsid w:val="00FB7AD3"/>
    <w:rsid w:val="00FC29DB"/>
    <w:rsid w:val="00FD58AC"/>
    <w:rsid w:val="00FD68EA"/>
    <w:rsid w:val="00FE3FF0"/>
    <w:rsid w:val="00FF479B"/>
    <w:rsid w:val="0E1516DC"/>
    <w:rsid w:val="16257519"/>
    <w:rsid w:val="263519DD"/>
    <w:rsid w:val="2A6660C1"/>
    <w:rsid w:val="322A618B"/>
    <w:rsid w:val="352D221A"/>
    <w:rsid w:val="387E30CF"/>
    <w:rsid w:val="3CC74410"/>
    <w:rsid w:val="6B47294E"/>
    <w:rsid w:val="6B985938"/>
    <w:rsid w:val="6C6A150F"/>
    <w:rsid w:val="70DA218C"/>
    <w:rsid w:val="71E04502"/>
    <w:rsid w:val="745D7260"/>
    <w:rsid w:val="75F06371"/>
    <w:rsid w:val="7EF1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autoSpaceDE w:val="0"/>
      <w:autoSpaceDN w:val="0"/>
      <w:adjustRightInd w:val="0"/>
    </w:pPr>
    <w:rPr>
      <w:rFonts w:ascii="Tahoma" w:hAnsi="新宋体" w:eastAsia="Tahoma" w:cs="新宋体"/>
      <w:kern w:val="0"/>
      <w:sz w:val="28"/>
      <w:szCs w:val="20"/>
    </w:rPr>
  </w:style>
  <w:style w:type="paragraph" w:styleId="3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styleId="9">
    <w:name w:val="List Paragraph"/>
    <w:basedOn w:val="1"/>
    <w:qFormat/>
    <w:uiPriority w:val="34"/>
    <w:pPr>
      <w:jc w:val="left"/>
    </w:pPr>
    <w:rPr>
      <w:rFonts w:asciiTheme="minorHAnsi" w:hAnsiTheme="minorHAnsi" w:eastAsiaTheme="minorEastAsia" w:cstheme="minorBidi"/>
      <w:kern w:val="0"/>
      <w:sz w:val="22"/>
      <w:szCs w:val="22"/>
      <w:lang w:eastAsia="en-US"/>
    </w:rPr>
  </w:style>
  <w:style w:type="paragraph" w:customStyle="1" w:styleId="10">
    <w:name w:val="A用户正文-01"/>
    <w:basedOn w:val="1"/>
    <w:qFormat/>
    <w:uiPriority w:val="0"/>
    <w:pPr>
      <w:widowControl/>
      <w:shd w:val="clear" w:color="auto" w:fill="FFFFFF"/>
      <w:spacing w:line="480" w:lineRule="exact"/>
      <w:ind w:firstLine="200" w:firstLineChars="200"/>
      <w:jc w:val="left"/>
    </w:pPr>
    <w:rPr>
      <w:rFonts w:ascii="Tahoma" w:hAnsi="Cambria" w:eastAsia="Tahoma" w:cs="新宋体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196</Words>
  <Characters>1121</Characters>
  <Lines>9</Lines>
  <Paragraphs>2</Paragraphs>
  <TotalTime>2</TotalTime>
  <ScaleCrop>false</ScaleCrop>
  <LinksUpToDate>false</LinksUpToDate>
  <CharactersWithSpaces>1315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2023-11-29T02:24:00Z</dcterms:created>
  <dc:creator>A  蔡</dc:creator>
  <cp:lastModifiedBy>晶晶</cp:lastModifiedBy>
  <cp:lastPrinted>2023-09-04T02:13:00Z</cp:lastPrinted>
  <dcterms:modified xsi:type="dcterms:W3CDTF">2023-12-05T07:36:21Z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F7CD5C8815F540118F93FCC21CD5A7ED</vt:lpwstr>
  </property>
</Properties>
</file>