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eastAsia="宋体" w:cs="宋体"/>
          <w:b/>
          <w:bCs/>
          <w:color w:val="auto"/>
          <w:sz w:val="32"/>
          <w:szCs w:val="32"/>
          <w:highlight w:val="none"/>
          <w:lang w:val="en-US" w:eastAsia="zh-CN"/>
        </w:rPr>
      </w:pPr>
      <w:r>
        <w:rPr>
          <w:rFonts w:hint="eastAsia" w:ascii="宋体" w:eastAsia="宋体" w:cs="宋体"/>
          <w:b/>
          <w:bCs/>
          <w:color w:val="auto"/>
          <w:sz w:val="32"/>
          <w:szCs w:val="32"/>
          <w:highlight w:val="none"/>
          <w:lang w:val="en-US" w:eastAsia="zh-CN"/>
        </w:rPr>
        <w:t>采购需求</w:t>
      </w:r>
    </w:p>
    <w:p>
      <w:pPr>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投标供应商所投内容必须满足以下要求，不得有负偏离：</w:t>
      </w:r>
    </w:p>
    <w:p>
      <w:pPr>
        <w:numPr>
          <w:numId w:val="0"/>
        </w:numPr>
        <w:outlineLvl w:val="1"/>
        <w:rPr>
          <w:rFonts w:hint="eastAsia" w:ascii="宋体" w:hAnsi="宋体" w:eastAsia="宋体" w:cs="宋体"/>
          <w:bCs/>
          <w:color w:val="auto"/>
          <w:sz w:val="24"/>
          <w:szCs w:val="24"/>
          <w:highlight w:val="none"/>
        </w:rPr>
      </w:pPr>
      <w:r>
        <w:rPr>
          <w:rFonts w:hint="eastAsia" w:hAnsi="宋体" w:cs="宋体"/>
          <w:b/>
          <w:bCs w:val="0"/>
          <w:color w:val="auto"/>
          <w:sz w:val="24"/>
          <w:szCs w:val="24"/>
          <w:highlight w:val="none"/>
          <w:lang w:val="en-US" w:eastAsia="zh-CN"/>
        </w:rPr>
        <w:t>（一）</w:t>
      </w:r>
      <w:r>
        <w:rPr>
          <w:rFonts w:hint="eastAsia" w:ascii="宋体" w:hAnsi="宋体" w:eastAsia="宋体" w:cs="宋体"/>
          <w:b/>
          <w:bCs w:val="0"/>
          <w:color w:val="auto"/>
          <w:sz w:val="24"/>
          <w:szCs w:val="24"/>
          <w:highlight w:val="none"/>
          <w:lang w:val="en-US" w:eastAsia="zh-CN"/>
        </w:rPr>
        <w:t>项目</w:t>
      </w:r>
      <w:r>
        <w:rPr>
          <w:rFonts w:hint="eastAsia" w:hAnsi="宋体" w:eastAsia="宋体" w:cs="宋体"/>
          <w:b/>
          <w:bCs w:val="0"/>
          <w:color w:val="auto"/>
          <w:sz w:val="24"/>
          <w:szCs w:val="24"/>
          <w:highlight w:val="none"/>
          <w:lang w:val="en-US" w:eastAsia="zh-CN"/>
        </w:rPr>
        <w:t>基本</w:t>
      </w:r>
      <w:r>
        <w:rPr>
          <w:rFonts w:hint="eastAsia" w:ascii="宋体" w:hAnsi="宋体" w:eastAsia="宋体" w:cs="宋体"/>
          <w:b/>
          <w:bCs w:val="0"/>
          <w:color w:val="auto"/>
          <w:sz w:val="24"/>
          <w:szCs w:val="24"/>
          <w:highlight w:val="none"/>
          <w:lang w:val="en-US" w:eastAsia="zh-CN"/>
        </w:rPr>
        <w:t>情况</w:t>
      </w:r>
      <w:r>
        <w:rPr>
          <w:rFonts w:hint="eastAsia" w:ascii="宋体" w:hAnsi="宋体" w:eastAsia="宋体" w:cs="宋体"/>
          <w:b/>
          <w:bCs w:val="0"/>
          <w:color w:val="auto"/>
          <w:sz w:val="24"/>
          <w:szCs w:val="24"/>
          <w:highlight w:val="none"/>
        </w:rPr>
        <w:t>：</w:t>
      </w:r>
    </w:p>
    <w:p>
      <w:pPr>
        <w:jc w:val="left"/>
        <w:rPr>
          <w:rFonts w:hint="default"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w:t>
      </w:r>
      <w:r>
        <w:rPr>
          <w:rFonts w:hint="eastAsia" w:ascii="宋体" w:eastAsia="宋体" w:cs="宋体"/>
          <w:color w:val="auto"/>
          <w:sz w:val="24"/>
          <w:szCs w:val="24"/>
          <w:highlight w:val="none"/>
          <w:lang w:val="en-US" w:eastAsia="zh-CN"/>
        </w:rPr>
        <w:t>项目名称：</w:t>
      </w:r>
      <w:r>
        <w:rPr>
          <w:rFonts w:hint="eastAsia" w:eastAsia="宋体" w:cs="宋体"/>
          <w:color w:val="auto"/>
          <w:sz w:val="24"/>
          <w:szCs w:val="24"/>
          <w:highlight w:val="none"/>
          <w:lang w:val="en-US" w:eastAsia="zh-CN"/>
        </w:rPr>
        <w:t>原无锡市泰伯电镀有限公司地块</w:t>
      </w:r>
      <w:r>
        <w:rPr>
          <w:rFonts w:hint="eastAsia" w:ascii="宋体" w:eastAsia="宋体" w:cs="宋体"/>
          <w:color w:val="auto"/>
          <w:sz w:val="24"/>
          <w:szCs w:val="24"/>
          <w:highlight w:val="none"/>
          <w:lang w:val="en-US" w:eastAsia="zh-CN"/>
        </w:rPr>
        <w:t>风险管控项目</w:t>
      </w:r>
    </w:p>
    <w:p>
      <w:pPr>
        <w:jc w:val="left"/>
        <w:rPr>
          <w:rFonts w:hint="default"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2、</w:t>
      </w:r>
      <w:r>
        <w:rPr>
          <w:rFonts w:hint="eastAsia" w:ascii="宋体" w:eastAsia="宋体" w:cs="宋体"/>
          <w:color w:val="auto"/>
          <w:sz w:val="24"/>
          <w:szCs w:val="24"/>
          <w:highlight w:val="none"/>
          <w:lang w:val="en-US" w:eastAsia="zh-CN"/>
        </w:rPr>
        <w:t>项目地点：无锡市</w:t>
      </w:r>
      <w:r>
        <w:rPr>
          <w:rFonts w:hint="eastAsia" w:eastAsia="宋体" w:cs="宋体"/>
          <w:color w:val="auto"/>
          <w:sz w:val="24"/>
          <w:szCs w:val="24"/>
          <w:highlight w:val="none"/>
          <w:lang w:val="en-US" w:eastAsia="zh-CN"/>
        </w:rPr>
        <w:t>新吴区鸿山街道马家里</w:t>
      </w:r>
    </w:p>
    <w:p>
      <w:pPr>
        <w:jc w:val="left"/>
        <w:rPr>
          <w:rFonts w:hint="eastAsia"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3、采购人</w:t>
      </w:r>
      <w:r>
        <w:rPr>
          <w:rFonts w:hint="eastAsia" w:ascii="宋体" w:eastAsia="宋体" w:cs="宋体"/>
          <w:color w:val="auto"/>
          <w:sz w:val="24"/>
          <w:szCs w:val="24"/>
          <w:highlight w:val="none"/>
          <w:lang w:val="en-US" w:eastAsia="zh-CN"/>
        </w:rPr>
        <w:t>：</w:t>
      </w:r>
      <w:r>
        <w:rPr>
          <w:rFonts w:hint="eastAsia" w:eastAsia="宋体" w:cs="宋体"/>
          <w:color w:val="auto"/>
          <w:sz w:val="24"/>
          <w:szCs w:val="24"/>
          <w:highlight w:val="none"/>
          <w:lang w:val="en-US" w:eastAsia="zh-CN"/>
        </w:rPr>
        <w:t>无锡市新吴区人民政府鸿山街道办事处</w:t>
      </w:r>
    </w:p>
    <w:p>
      <w:pPr>
        <w:jc w:val="left"/>
        <w:rPr>
          <w:rFonts w:hint="default" w:eastAsia="宋体" w:cs="宋体"/>
          <w:color w:val="auto"/>
          <w:sz w:val="24"/>
          <w:szCs w:val="24"/>
          <w:highlight w:val="none"/>
          <w:lang w:val="en-US" w:eastAsia="zh-CN"/>
        </w:rPr>
      </w:pPr>
      <w:r>
        <w:rPr>
          <w:rFonts w:hint="eastAsia" w:eastAsia="宋体" w:cs="宋体"/>
          <w:color w:val="auto"/>
          <w:sz w:val="24"/>
          <w:szCs w:val="24"/>
          <w:highlight w:val="none"/>
          <w:lang w:val="en-US" w:eastAsia="zh-CN"/>
        </w:rPr>
        <w:t>4、场地地层特征</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根据《无锡市泰伯电镀有限公司场地调查及风险评估项目场地土层简要调查报告》（编号：20180720）。经岩土工程详细勘察，在勘探孔控制区域内和深度范围内，根据土层的物理力学性质及静力触探曲线特征以及室内土工试验成果，可将场地钻孔深度范围内土层自上而下分为4个工程地质层，区域内水文地质条件分述如下：</w:t>
      </w:r>
    </w:p>
    <w:p>
      <w:pPr>
        <w:keepNext w:val="0"/>
        <w:keepLines w:val="0"/>
        <w:pageBreakBefore w:val="0"/>
        <w:widowControl w:val="0"/>
        <w:kinsoku/>
        <w:wordWrap/>
        <w:overflowPunct/>
        <w:topLinePunct w:val="0"/>
        <w:autoSpaceDE/>
        <w:autoSpaceDN/>
        <w:bidi w:val="0"/>
        <w:adjustRightInd/>
        <w:snapToGrid/>
        <w:jc w:val="left"/>
        <w:textAlignment w:val="auto"/>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地层结构</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①素填土：整个地块分布，杂色，主要成分为粉质黏土，局部区域含建筑垃圾及生活垃圾，松散，极不均匀，层厚差异大，为新近填土，一般厚度1.1～3.9米。</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②黏土：整个地块分布，灰黄色~黄褐色，可塑~硬塑，含少量铁锰结核，无摇振反应，有光泽，干强度高，韧性高，一般厚度3.5～6.3米，双桥静探锥尖阻力qc平均为1.64MPa，侧壁摩阻力fs平均为64kPa。</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③-1粉砂夹粉土：整个地块分布，灰色，主要成分为长石、石英，含少量云母碎片，上部含少量粉土，颗粒级配：粒径0.25～0.075mm占56.6%、粒径0.075～0.005mm占38.0%、粒径小于0.005mm占5.4%，颗粒形状主要为针状、片状和圆状，饱和，中密。一般厚度5.2～8.4米。双桥静探锥尖阻力qc平均为6.19MPa，侧壁摩阻力fs平均为70kPa。</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color w:val="auto"/>
          <w:highlight w:val="none"/>
          <w:lang w:val="en-US" w:eastAsia="zh-CN"/>
        </w:rPr>
      </w:pPr>
      <w:r>
        <w:rPr>
          <w:rFonts w:hint="eastAsia" w:ascii="宋体" w:eastAsia="宋体" w:cs="宋体"/>
          <w:color w:val="auto"/>
          <w:sz w:val="24"/>
          <w:szCs w:val="24"/>
          <w:highlight w:val="none"/>
          <w:lang w:val="en-US" w:eastAsia="zh-CN"/>
        </w:rPr>
        <w:t>③-2粉砂：整个地块分布，中密。双桥静探锥尖阻力qc平均为9.90MPa，侧壁摩阻力fs平均为126kPa。本次勘察该层未揭穿，最大揭露深度7.1m。</w:t>
      </w:r>
    </w:p>
    <w:p>
      <w:pPr>
        <w:jc w:val="left"/>
        <w:rPr>
          <w:rFonts w:hint="eastAsia"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5、</w:t>
      </w:r>
      <w:r>
        <w:rPr>
          <w:rFonts w:hint="eastAsia" w:ascii="宋体" w:eastAsia="宋体" w:cs="宋体"/>
          <w:color w:val="auto"/>
          <w:sz w:val="24"/>
          <w:szCs w:val="24"/>
          <w:highlight w:val="none"/>
          <w:lang w:val="en-US" w:eastAsia="zh-CN"/>
        </w:rPr>
        <w:t>污染情况：</w:t>
      </w:r>
    </w:p>
    <w:p>
      <w:pPr>
        <w:ind w:firstLine="480" w:firstLineChars="200"/>
        <w:jc w:val="left"/>
        <w:rPr>
          <w:rFonts w:hint="default" w:ascii="宋体" w:eastAsia="宋体" w:cs="宋体"/>
          <w:color w:val="auto"/>
          <w:sz w:val="24"/>
          <w:szCs w:val="24"/>
          <w:highlight w:val="none"/>
          <w:lang w:val="en-US" w:eastAsia="zh-CN"/>
        </w:rPr>
      </w:pPr>
      <w:r>
        <w:rPr>
          <w:rFonts w:hint="default" w:ascii="宋体" w:eastAsia="宋体" w:cs="宋体"/>
          <w:color w:val="auto"/>
          <w:sz w:val="24"/>
          <w:szCs w:val="24"/>
          <w:highlight w:val="none"/>
          <w:lang w:val="en-US" w:eastAsia="zh-CN"/>
        </w:rPr>
        <w:t>受无锡市新吴生态环境局（原无锡国家高新技术产业开发区（无锡市新吴区）安全生产监督管理和环境保护局）委托，南京大学环境规划设计研究院股份公司于2018年11月完成了泰伯电镀地块土壤污染状况调查和风险评估工作，主要结论如下：</w:t>
      </w:r>
    </w:p>
    <w:p>
      <w:pPr>
        <w:ind w:firstLine="480" w:firstLineChars="200"/>
        <w:jc w:val="left"/>
        <w:rPr>
          <w:rFonts w:hint="default" w:ascii="宋体" w:eastAsia="宋体" w:cs="宋体"/>
          <w:color w:val="auto"/>
          <w:sz w:val="24"/>
          <w:szCs w:val="24"/>
          <w:highlight w:val="none"/>
          <w:lang w:val="en-US" w:eastAsia="zh-CN"/>
        </w:rPr>
      </w:pPr>
      <w:r>
        <w:rPr>
          <w:rFonts w:hint="default" w:ascii="宋体" w:eastAsia="宋体" w:cs="宋体"/>
          <w:color w:val="auto"/>
          <w:sz w:val="24"/>
          <w:szCs w:val="24"/>
          <w:highlight w:val="none"/>
          <w:lang w:val="en-US" w:eastAsia="zh-CN"/>
        </w:rPr>
        <w:t>1）根据《原无锡市泰伯电镀有限公司场地环境调查报告》，地块内土壤和浅层地下水均受到了明显污染，土壤中氟化物、铬超过了《场地土壤环境风险评价筛选值》（DB11/T811-2011）中的公园与绿地筛选值，六价铬和镍均超过了《土壤环境质量建设用地土壤污染风险管控标准（试行）》（GB36600-2018）中的第二类用地筛选值；浅层地下水中镍超过了《地下水质量标准》（GB/T14848-2017）中IV类水质标准，超出筛选值49.60倍。</w:t>
      </w:r>
    </w:p>
    <w:p>
      <w:pPr>
        <w:ind w:firstLine="480" w:firstLineChars="200"/>
        <w:jc w:val="left"/>
        <w:rPr>
          <w:rFonts w:hint="eastAsia" w:ascii="宋体" w:eastAsia="宋体" w:cs="宋体"/>
          <w:color w:val="auto"/>
          <w:sz w:val="24"/>
          <w:szCs w:val="24"/>
          <w:highlight w:val="none"/>
          <w:lang w:val="en-US" w:eastAsia="zh-CN"/>
        </w:rPr>
      </w:pPr>
      <w:r>
        <w:rPr>
          <w:rFonts w:hint="default" w:ascii="宋体" w:eastAsia="宋体" w:cs="宋体"/>
          <w:color w:val="auto"/>
          <w:sz w:val="24"/>
          <w:szCs w:val="24"/>
          <w:highlight w:val="none"/>
          <w:lang w:val="en-US" w:eastAsia="zh-CN"/>
        </w:rPr>
        <w:t>2）根据《原无锡市泰伯电镀有限公司场地风险评估报告》，二类用地情景下，考虑经口摄入土壤、皮肤接触土壤、吸入土壤颗粒物共3种暴露途径下，土壤中镍、六价铬的人体健康风险均不可接受，六价铬和镍修复或管控标准建议值分别为5.7mg/kg和1449.6mg/kg，建议修复或管控面积分别为1586m</w:t>
      </w:r>
      <w:r>
        <w:rPr>
          <w:rFonts w:hint="default" w:ascii="宋体" w:eastAsia="宋体" w:cs="宋体"/>
          <w:color w:val="auto"/>
          <w:sz w:val="24"/>
          <w:szCs w:val="24"/>
          <w:highlight w:val="none"/>
          <w:vertAlign w:val="superscript"/>
          <w:lang w:val="en-US" w:eastAsia="zh-CN"/>
        </w:rPr>
        <w:t>2</w:t>
      </w:r>
      <w:r>
        <w:rPr>
          <w:rFonts w:hint="default" w:ascii="宋体" w:eastAsia="宋体" w:cs="宋体"/>
          <w:color w:val="auto"/>
          <w:sz w:val="24"/>
          <w:szCs w:val="24"/>
          <w:highlight w:val="none"/>
          <w:lang w:val="en-US" w:eastAsia="zh-CN"/>
        </w:rPr>
        <w:t>和4370m</w:t>
      </w:r>
      <w:r>
        <w:rPr>
          <w:rFonts w:hint="default" w:ascii="宋体" w:eastAsia="宋体" w:cs="宋体"/>
          <w:color w:val="auto"/>
          <w:sz w:val="24"/>
          <w:szCs w:val="24"/>
          <w:highlight w:val="none"/>
          <w:vertAlign w:val="superscript"/>
          <w:lang w:val="en-US" w:eastAsia="zh-CN"/>
        </w:rPr>
        <w:t>2</w:t>
      </w:r>
      <w:r>
        <w:rPr>
          <w:rFonts w:hint="default" w:ascii="宋体" w:eastAsia="宋体" w:cs="宋体"/>
          <w:color w:val="auto"/>
          <w:sz w:val="24"/>
          <w:szCs w:val="24"/>
          <w:highlight w:val="none"/>
          <w:lang w:val="en-US" w:eastAsia="zh-CN"/>
        </w:rPr>
        <w:t>；地下水中关注因子镍无相关暴露途径，其风险区域直接按照超过《地下水质量标准》（GB/T14848-2017）中IV类标准进行划分，地下水管控面积约2301m</w:t>
      </w:r>
      <w:r>
        <w:rPr>
          <w:rFonts w:hint="default" w:ascii="宋体" w:eastAsia="宋体" w:cs="宋体"/>
          <w:color w:val="auto"/>
          <w:sz w:val="24"/>
          <w:szCs w:val="24"/>
          <w:highlight w:val="none"/>
          <w:vertAlign w:val="superscript"/>
          <w:lang w:val="en-US" w:eastAsia="zh-CN"/>
        </w:rPr>
        <w:t>2</w:t>
      </w:r>
      <w:r>
        <w:rPr>
          <w:rFonts w:hint="eastAsia" w:ascii="宋体" w:eastAsia="宋体" w:cs="宋体"/>
          <w:color w:val="auto"/>
          <w:sz w:val="24"/>
          <w:szCs w:val="24"/>
          <w:highlight w:val="none"/>
          <w:lang w:val="en-US" w:eastAsia="zh-CN"/>
        </w:rPr>
        <w:t>。</w:t>
      </w:r>
    </w:p>
    <w:p>
      <w:pPr>
        <w:jc w:val="left"/>
        <w:rPr>
          <w:rFonts w:hint="default"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6、</w:t>
      </w:r>
      <w:r>
        <w:rPr>
          <w:rFonts w:hint="eastAsia" w:ascii="宋体" w:eastAsia="宋体" w:cs="宋体"/>
          <w:color w:val="auto"/>
          <w:sz w:val="24"/>
          <w:szCs w:val="24"/>
          <w:highlight w:val="none"/>
          <w:lang w:val="en-US" w:eastAsia="zh-CN"/>
        </w:rPr>
        <w:t>项目内容：</w:t>
      </w:r>
      <w:r>
        <w:rPr>
          <w:rFonts w:hint="eastAsia" w:eastAsia="宋体" w:cs="宋体"/>
          <w:color w:val="auto"/>
          <w:sz w:val="24"/>
          <w:szCs w:val="24"/>
          <w:highlight w:val="none"/>
          <w:lang w:val="en-US" w:eastAsia="zh-CN"/>
        </w:rPr>
        <w:t>根据实施方案，</w:t>
      </w:r>
      <w:r>
        <w:rPr>
          <w:rFonts w:hint="eastAsia" w:ascii="宋体" w:eastAsia="宋体" w:cs="宋体"/>
          <w:color w:val="auto"/>
          <w:sz w:val="24"/>
          <w:szCs w:val="24"/>
          <w:highlight w:val="none"/>
          <w:lang w:val="en-US" w:eastAsia="zh-CN"/>
        </w:rPr>
        <w:t>对风险管控区域采用垂直阻隔+横向阻隔+制度控制技术，辅以污染物长期监测的手段，达到防止土壤和地下水中污染物向周边迁移扩散的目标。</w:t>
      </w:r>
    </w:p>
    <w:p>
      <w:pPr>
        <w:jc w:val="left"/>
        <w:rPr>
          <w:rFonts w:hint="eastAsia"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7、</w:t>
      </w:r>
      <w:r>
        <w:rPr>
          <w:rFonts w:hint="eastAsia" w:ascii="宋体" w:eastAsia="宋体" w:cs="宋体"/>
          <w:color w:val="auto"/>
          <w:sz w:val="24"/>
          <w:szCs w:val="24"/>
          <w:highlight w:val="none"/>
          <w:lang w:val="en-US" w:eastAsia="zh-CN"/>
        </w:rPr>
        <w:t>项目周期：</w:t>
      </w:r>
      <w:r>
        <w:rPr>
          <w:rFonts w:hint="eastAsia" w:hAnsi="宋体" w:eastAsia="宋体" w:cs="宋体"/>
          <w:color w:val="auto"/>
          <w:kern w:val="2"/>
          <w:sz w:val="24"/>
          <w:szCs w:val="24"/>
          <w:highlight w:val="none"/>
          <w:lang w:val="en-US" w:eastAsia="zh-CN"/>
        </w:rPr>
        <w:t>120</w:t>
      </w:r>
      <w:r>
        <w:rPr>
          <w:rFonts w:hint="eastAsia" w:ascii="宋体" w:hAnsi="宋体" w:eastAsia="宋体" w:cs="宋体"/>
          <w:color w:val="auto"/>
          <w:kern w:val="2"/>
          <w:sz w:val="24"/>
          <w:szCs w:val="24"/>
          <w:highlight w:val="none"/>
          <w:lang w:val="en-US" w:eastAsia="zh-CN"/>
        </w:rPr>
        <w:t>日历天（自签订合同之日起），误期违约金：</w:t>
      </w:r>
      <w:r>
        <w:rPr>
          <w:rFonts w:hint="eastAsia" w:ascii="宋体" w:hAnsi="宋体" w:cs="宋体"/>
          <w:bCs/>
          <w:color w:val="auto"/>
          <w:kern w:val="0"/>
          <w:sz w:val="24"/>
          <w:szCs w:val="24"/>
          <w:highlight w:val="none"/>
        </w:rPr>
        <w:t>合同价的0.05%/天</w:t>
      </w:r>
    </w:p>
    <w:p>
      <w:pPr>
        <w:jc w:val="left"/>
        <w:rPr>
          <w:rFonts w:hint="eastAsia"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8、</w:t>
      </w:r>
      <w:r>
        <w:rPr>
          <w:rFonts w:hint="eastAsia" w:ascii="宋体" w:eastAsia="宋体" w:cs="宋体"/>
          <w:color w:val="auto"/>
          <w:sz w:val="24"/>
          <w:szCs w:val="24"/>
          <w:highlight w:val="none"/>
          <w:lang w:val="en-US" w:eastAsia="zh-CN"/>
        </w:rPr>
        <w:t>质量标准：合格，达到环保部门批准的风险管控目标要求，并通过政府有关部门组织的</w:t>
      </w:r>
      <w:r>
        <w:rPr>
          <w:rFonts w:hint="eastAsia" w:eastAsia="宋体" w:cs="宋体"/>
          <w:color w:val="auto"/>
          <w:sz w:val="24"/>
          <w:szCs w:val="24"/>
          <w:highlight w:val="none"/>
          <w:lang w:val="en-US" w:eastAsia="zh-CN"/>
        </w:rPr>
        <w:t>第三方</w:t>
      </w:r>
      <w:r>
        <w:rPr>
          <w:rFonts w:hint="eastAsia" w:ascii="宋体" w:eastAsia="宋体" w:cs="宋体"/>
          <w:color w:val="auto"/>
          <w:sz w:val="24"/>
          <w:szCs w:val="24"/>
          <w:highlight w:val="none"/>
          <w:lang w:val="en-US" w:eastAsia="zh-CN"/>
        </w:rPr>
        <w:t>效果评估。</w:t>
      </w:r>
    </w:p>
    <w:p>
      <w:pPr>
        <w:numPr>
          <w:numId w:val="0"/>
        </w:numPr>
        <w:outlineLvl w:val="1"/>
        <w:rPr>
          <w:rFonts w:hint="eastAsia" w:ascii="宋体" w:hAnsi="宋体" w:eastAsia="宋体" w:cs="宋体"/>
          <w:b/>
          <w:bCs w:val="0"/>
          <w:color w:val="auto"/>
          <w:sz w:val="24"/>
          <w:szCs w:val="24"/>
          <w:highlight w:val="none"/>
          <w:lang w:val="en-US" w:eastAsia="zh-CN"/>
        </w:rPr>
      </w:pPr>
      <w:r>
        <w:rPr>
          <w:rFonts w:hint="eastAsia" w:hAnsi="宋体" w:cs="宋体"/>
          <w:b/>
          <w:bCs w:val="0"/>
          <w:color w:val="auto"/>
          <w:sz w:val="24"/>
          <w:szCs w:val="24"/>
          <w:highlight w:val="none"/>
          <w:lang w:val="en-US" w:eastAsia="zh-CN"/>
        </w:rPr>
        <w:t>（二）</w:t>
      </w:r>
      <w:r>
        <w:rPr>
          <w:rFonts w:hint="eastAsia" w:ascii="宋体" w:hAnsi="宋体" w:eastAsia="宋体" w:cs="宋体"/>
          <w:b/>
          <w:bCs w:val="0"/>
          <w:color w:val="auto"/>
          <w:sz w:val="24"/>
          <w:szCs w:val="24"/>
          <w:highlight w:val="none"/>
          <w:lang w:val="en-US" w:eastAsia="zh-CN"/>
        </w:rPr>
        <w:t>项目实施背景：</w:t>
      </w:r>
    </w:p>
    <w:p>
      <w:pPr>
        <w:keepNext w:val="0"/>
        <w:keepLines w:val="0"/>
        <w:pageBreakBefore w:val="0"/>
        <w:widowControl w:val="0"/>
        <w:kinsoku/>
        <w:wordWrap/>
        <w:overflowPunct/>
        <w:topLinePunct w:val="0"/>
        <w:autoSpaceDE/>
        <w:autoSpaceDN/>
        <w:bidi w:val="0"/>
        <w:adjustRightInd/>
        <w:snapToGrid/>
        <w:ind w:firstLine="480" w:firstLineChars="200"/>
        <w:jc w:val="left"/>
        <w:textAlignment w:val="auto"/>
        <w:rPr>
          <w:rFonts w:hint="eastAsia" w:ascii="宋体" w:eastAsia="宋体" w:cs="宋体"/>
          <w:color w:val="auto"/>
          <w:sz w:val="24"/>
          <w:szCs w:val="24"/>
          <w:highlight w:val="none"/>
          <w:lang w:val="en-US" w:eastAsia="zh-CN"/>
        </w:rPr>
      </w:pPr>
      <w:bookmarkStart w:id="1" w:name="_GoBack"/>
      <w:r>
        <w:rPr>
          <w:rFonts w:hint="eastAsia" w:eastAsia="宋体" w:cs="宋体"/>
          <w:color w:val="auto"/>
          <w:sz w:val="24"/>
          <w:szCs w:val="24"/>
          <w:highlight w:val="none"/>
          <w:lang w:val="en-US" w:eastAsia="zh-CN"/>
        </w:rPr>
        <w:t>原无锡市泰伯电镀有限公司</w:t>
      </w:r>
      <w:bookmarkEnd w:id="1"/>
      <w:r>
        <w:rPr>
          <w:rFonts w:hint="eastAsia" w:eastAsia="宋体" w:cs="宋体"/>
          <w:color w:val="auto"/>
          <w:sz w:val="24"/>
          <w:szCs w:val="24"/>
          <w:highlight w:val="none"/>
          <w:lang w:val="en-US" w:eastAsia="zh-CN"/>
        </w:rPr>
        <w:t>（以下简称“泰伯电镀”），位于鸿山街道马家里，占地面积约26000m</w:t>
      </w:r>
      <w:r>
        <w:rPr>
          <w:rFonts w:hint="eastAsia" w:eastAsia="宋体" w:cs="宋体"/>
          <w:color w:val="auto"/>
          <w:sz w:val="24"/>
          <w:szCs w:val="24"/>
          <w:highlight w:val="none"/>
          <w:vertAlign w:val="superscript"/>
          <w:lang w:val="en-US" w:eastAsia="zh-CN"/>
        </w:rPr>
        <w:t>2</w:t>
      </w:r>
      <w:r>
        <w:rPr>
          <w:rFonts w:hint="eastAsia" w:eastAsia="宋体" w:cs="宋体"/>
          <w:color w:val="auto"/>
          <w:sz w:val="24"/>
          <w:szCs w:val="24"/>
          <w:highlight w:val="none"/>
          <w:lang w:val="en-US" w:eastAsia="zh-CN"/>
        </w:rPr>
        <w:t>，成立于1983年，是一家专业进行金属制品表面处理与热加工的服务性企业，主要服务内容有镀铜、镀锌、镀镍、镀铬、仿金等，于2009年3月自行停产关闭，目前场地内构筑物及生产设备已完全拆除。根据无锡市规划局新吴区分局《关于商请提供2017年度场地环境调查及风险评估项目五个地块规划用地性质的函》的复函，该调查地块未来拟规划为生态绿地</w:t>
      </w:r>
      <w:r>
        <w:rPr>
          <w:rFonts w:hint="eastAsia" w:ascii="宋体" w:eastAsia="宋体" w:cs="宋体"/>
          <w:color w:val="auto"/>
          <w:sz w:val="24"/>
          <w:szCs w:val="24"/>
          <w:highlight w:val="none"/>
          <w:lang w:val="en-US" w:eastAsia="zh-CN"/>
        </w:rPr>
        <w:t>。</w:t>
      </w:r>
    </w:p>
    <w:p>
      <w:pPr>
        <w:bidi w:val="0"/>
        <w:ind w:left="0" w:leftChars="0" w:firstLine="0" w:firstLineChars="0"/>
        <w:jc w:val="center"/>
        <w:rPr>
          <w:rFonts w:hint="eastAsia"/>
          <w:color w:val="auto"/>
          <w:highlight w:val="none"/>
          <w:lang w:val="en-US" w:eastAsia="zh-CN"/>
        </w:rPr>
      </w:pPr>
      <w:r>
        <w:drawing>
          <wp:inline distT="0" distB="0" distL="114300" distR="114300">
            <wp:extent cx="5418455" cy="8460105"/>
            <wp:effectExtent l="0" t="0" r="1270" b="762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6"/>
                    <a:stretch>
                      <a:fillRect/>
                    </a:stretch>
                  </pic:blipFill>
                  <pic:spPr>
                    <a:xfrm>
                      <a:off x="0" y="0"/>
                      <a:ext cx="5418455" cy="8460105"/>
                    </a:xfrm>
                    <a:prstGeom prst="rect">
                      <a:avLst/>
                    </a:prstGeom>
                    <a:noFill/>
                    <a:ln>
                      <a:noFill/>
                    </a:ln>
                  </pic:spPr>
                </pic:pic>
              </a:graphicData>
            </a:graphic>
          </wp:inline>
        </w:drawing>
      </w:r>
    </w:p>
    <w:p>
      <w:pPr>
        <w:jc w:val="center"/>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地块地理位置图</w:t>
      </w:r>
    </w:p>
    <w:p>
      <w:pPr>
        <w:bidi w:val="0"/>
        <w:ind w:left="0" w:leftChars="0" w:firstLine="0" w:firstLineChars="0"/>
        <w:jc w:val="center"/>
        <w:rPr>
          <w:color w:val="auto"/>
          <w:highlight w:val="none"/>
        </w:rPr>
      </w:pPr>
      <w:r>
        <w:drawing>
          <wp:inline distT="0" distB="0" distL="114300" distR="114300">
            <wp:extent cx="5022215" cy="5039995"/>
            <wp:effectExtent l="0" t="0" r="6985"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5022215" cy="5039995"/>
                    </a:xfrm>
                    <a:prstGeom prst="rect">
                      <a:avLst/>
                    </a:prstGeom>
                    <a:noFill/>
                    <a:ln>
                      <a:noFill/>
                    </a:ln>
                  </pic:spPr>
                </pic:pic>
              </a:graphicData>
            </a:graphic>
          </wp:inline>
        </w:drawing>
      </w:r>
    </w:p>
    <w:p>
      <w:pPr>
        <w:jc w:val="center"/>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地块范围图</w:t>
      </w:r>
    </w:p>
    <w:p>
      <w:pPr>
        <w:jc w:val="center"/>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边界拐点坐标</w:t>
      </w:r>
    </w:p>
    <w:tbl>
      <w:tblPr>
        <w:tblStyle w:val="5"/>
        <w:tblW w:w="4964"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2635"/>
        <w:gridCol w:w="2501"/>
        <w:gridCol w:w="31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1596" w:type="pct"/>
            <w:noWrap w:val="0"/>
            <w:vAlign w:val="center"/>
          </w:tcPr>
          <w:p>
            <w:pPr>
              <w:jc w:val="center"/>
              <w:rPr>
                <w:rFonts w:hint="eastAsia" w:ascii="宋体" w:eastAsia="宋体" w:cs="宋体"/>
                <w:b/>
                <w:bCs/>
                <w:color w:val="auto"/>
                <w:sz w:val="24"/>
                <w:szCs w:val="24"/>
                <w:highlight w:val="none"/>
                <w:lang w:val="en-US" w:eastAsia="zh-CN"/>
              </w:rPr>
            </w:pPr>
            <w:r>
              <w:rPr>
                <w:rFonts w:hint="eastAsia" w:ascii="宋体" w:eastAsia="宋体" w:cs="宋体"/>
                <w:b/>
                <w:bCs/>
                <w:color w:val="auto"/>
                <w:sz w:val="24"/>
                <w:szCs w:val="24"/>
                <w:highlight w:val="none"/>
                <w:lang w:val="en-US" w:eastAsia="zh-CN"/>
              </w:rPr>
              <w:t>编号</w:t>
            </w:r>
          </w:p>
        </w:tc>
        <w:tc>
          <w:tcPr>
            <w:tcW w:w="1514" w:type="pct"/>
            <w:noWrap w:val="0"/>
            <w:vAlign w:val="center"/>
          </w:tcPr>
          <w:p>
            <w:pPr>
              <w:jc w:val="center"/>
              <w:rPr>
                <w:rFonts w:hint="eastAsia" w:ascii="宋体" w:eastAsia="宋体" w:cs="宋体"/>
                <w:b/>
                <w:bCs/>
                <w:color w:val="auto"/>
                <w:sz w:val="24"/>
                <w:szCs w:val="24"/>
                <w:highlight w:val="none"/>
                <w:lang w:val="en-US" w:eastAsia="zh-CN"/>
              </w:rPr>
            </w:pPr>
            <w:r>
              <w:rPr>
                <w:rFonts w:hint="eastAsia" w:ascii="宋体" w:eastAsia="宋体" w:cs="宋体"/>
                <w:b/>
                <w:bCs/>
                <w:color w:val="auto"/>
                <w:sz w:val="24"/>
                <w:szCs w:val="24"/>
                <w:highlight w:val="none"/>
                <w:lang w:val="en-US" w:eastAsia="zh-CN"/>
              </w:rPr>
              <w:t>X坐标</w:t>
            </w:r>
          </w:p>
        </w:tc>
        <w:tc>
          <w:tcPr>
            <w:tcW w:w="1889" w:type="pct"/>
            <w:noWrap w:val="0"/>
            <w:vAlign w:val="center"/>
          </w:tcPr>
          <w:p>
            <w:pPr>
              <w:jc w:val="center"/>
              <w:rPr>
                <w:rFonts w:hint="eastAsia" w:ascii="宋体" w:eastAsia="宋体" w:cs="宋体"/>
                <w:b/>
                <w:bCs/>
                <w:color w:val="auto"/>
                <w:sz w:val="24"/>
                <w:szCs w:val="24"/>
                <w:highlight w:val="none"/>
                <w:lang w:val="en-US" w:eastAsia="zh-CN"/>
              </w:rPr>
            </w:pPr>
            <w:r>
              <w:rPr>
                <w:rFonts w:hint="eastAsia" w:ascii="宋体" w:eastAsia="宋体" w:cs="宋体"/>
                <w:b/>
                <w:bCs/>
                <w:color w:val="auto"/>
                <w:sz w:val="24"/>
                <w:szCs w:val="24"/>
                <w:highlight w:val="none"/>
                <w:lang w:val="en-US" w:eastAsia="zh-CN"/>
              </w:rPr>
              <w:t>Y坐标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545064.2682</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3492459.7289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545197.6185</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3492451.4739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545197.2833</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3492426.2326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545190.6651</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3492358.6296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545176.5443</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3492183.5036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545072.8619</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3492191.9136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545034.6373</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3492194.4226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545002.5333</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3492197.6408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545005.9212</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3492238.6981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trPr>
        <w:tc>
          <w:tcPr>
            <w:tcW w:w="2869" w:type="dxa"/>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1514"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545046.6828</w:t>
            </w:r>
          </w:p>
        </w:tc>
        <w:tc>
          <w:tcPr>
            <w:tcW w:w="1889" w:type="pct"/>
            <w:noWrap w:val="0"/>
            <w:vAlign w:val="center"/>
          </w:tcPr>
          <w:p>
            <w:pPr>
              <w:keepNext w:val="0"/>
              <w:keepLines w:val="0"/>
              <w:widowControl/>
              <w:suppressLineNumbers w:val="0"/>
              <w:jc w:val="center"/>
              <w:textAlignment w:val="center"/>
              <w:rPr>
                <w:rFonts w:hint="eastAsia" w:ascii="宋体" w:eastAsia="宋体" w:cs="宋体"/>
                <w:color w:val="auto"/>
                <w:sz w:val="24"/>
                <w:szCs w:val="24"/>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3492235.9005</w:t>
            </w:r>
          </w:p>
        </w:tc>
      </w:tr>
    </w:tbl>
    <w:p>
      <w:pPr>
        <w:ind w:firstLine="480" w:firstLineChars="200"/>
        <w:jc w:val="both"/>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受无锡市新吴生态环境局（原无锡国家高新技术产业开发区（无锡市新吴区）安全生产监督管理和环境保护局）委托，南京大学环境规划设计研究院股份公司于2018年11月完成了泰伯电镀地块土壤污染状况调查和风险评估工作，主要结论如下：二类用地情景下，考虑经口摄入土壤、皮肤接触土壤、吸入土壤颗粒物共3种暴露途径下，土壤中镍、六价铬的人体健康风险均不可接受，六价铬和镍修复或管控标准建议值分别为5.7mg/kg和1449.6mg/kg，建议修复或管控面积分别为1586m</w:t>
      </w:r>
      <w:r>
        <w:rPr>
          <w:rFonts w:hint="eastAsia" w:ascii="宋体" w:eastAsia="宋体" w:cs="宋体"/>
          <w:color w:val="auto"/>
          <w:sz w:val="24"/>
          <w:szCs w:val="24"/>
          <w:highlight w:val="none"/>
          <w:vertAlign w:val="superscript"/>
          <w:lang w:val="en-US" w:eastAsia="zh-CN"/>
        </w:rPr>
        <w:t>2</w:t>
      </w:r>
      <w:r>
        <w:rPr>
          <w:rFonts w:hint="eastAsia" w:ascii="宋体" w:eastAsia="宋体" w:cs="宋体"/>
          <w:color w:val="auto"/>
          <w:sz w:val="24"/>
          <w:szCs w:val="24"/>
          <w:highlight w:val="none"/>
          <w:lang w:val="en-US" w:eastAsia="zh-CN"/>
        </w:rPr>
        <w:t>和4370m</w:t>
      </w:r>
      <w:r>
        <w:rPr>
          <w:rFonts w:hint="eastAsia" w:ascii="宋体" w:eastAsia="宋体" w:cs="宋体"/>
          <w:color w:val="auto"/>
          <w:sz w:val="24"/>
          <w:szCs w:val="24"/>
          <w:highlight w:val="none"/>
          <w:vertAlign w:val="superscript"/>
          <w:lang w:val="en-US" w:eastAsia="zh-CN"/>
        </w:rPr>
        <w:t>2</w:t>
      </w:r>
      <w:r>
        <w:rPr>
          <w:rFonts w:hint="eastAsia" w:ascii="宋体" w:eastAsia="宋体" w:cs="宋体"/>
          <w:color w:val="auto"/>
          <w:sz w:val="24"/>
          <w:szCs w:val="24"/>
          <w:highlight w:val="none"/>
          <w:lang w:val="en-US" w:eastAsia="zh-CN"/>
        </w:rPr>
        <w:t>；地下水中关注因子镍无相关暴露途径，其风险区域直接按照超过《地下水质量标准》（GB/T14848-2017）中IV类标准进行划分，地下水管控面积约2301m</w:t>
      </w:r>
      <w:r>
        <w:rPr>
          <w:rFonts w:hint="eastAsia" w:ascii="宋体" w:eastAsia="宋体" w:cs="宋体"/>
          <w:color w:val="auto"/>
          <w:sz w:val="24"/>
          <w:szCs w:val="24"/>
          <w:highlight w:val="none"/>
          <w:vertAlign w:val="superscript"/>
          <w:lang w:val="en-US" w:eastAsia="zh-CN"/>
        </w:rPr>
        <w:t>2</w:t>
      </w:r>
      <w:r>
        <w:rPr>
          <w:rFonts w:hint="eastAsia" w:ascii="宋体" w:eastAsia="宋体" w:cs="宋体"/>
          <w:color w:val="auto"/>
          <w:sz w:val="24"/>
          <w:szCs w:val="24"/>
          <w:highlight w:val="none"/>
          <w:lang w:val="en-US" w:eastAsia="zh-CN"/>
        </w:rPr>
        <w:t>。</w:t>
      </w:r>
    </w:p>
    <w:p>
      <w:pPr>
        <w:ind w:firstLine="480" w:firstLineChars="200"/>
        <w:jc w:val="left"/>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为防治污染扩散，按照我国相关法律、法规、标准、规范等文件的要求，以“整体风险管控、污染源消减”为出发点，遵循“安全性、规范性、可行性”的原则，并结合当地的实际情况，制定了地块的风险管控方案，通过组织实施，能够有效控制该地块污染土壤和地下水的环境风险。</w:t>
      </w:r>
    </w:p>
    <w:p>
      <w:pPr>
        <w:numPr>
          <w:numId w:val="0"/>
        </w:numPr>
        <w:outlineLvl w:val="1"/>
        <w:rPr>
          <w:rFonts w:hint="eastAsia" w:ascii="宋体" w:hAnsi="宋体" w:eastAsia="宋体" w:cs="宋体"/>
          <w:b/>
          <w:bCs w:val="0"/>
          <w:color w:val="auto"/>
          <w:sz w:val="24"/>
          <w:szCs w:val="24"/>
          <w:highlight w:val="none"/>
          <w:lang w:val="en-US" w:eastAsia="zh-CN"/>
        </w:rPr>
      </w:pPr>
      <w:r>
        <w:rPr>
          <w:rFonts w:hint="eastAsia" w:hAnsi="宋体" w:cs="宋体"/>
          <w:b/>
          <w:bCs w:val="0"/>
          <w:color w:val="auto"/>
          <w:sz w:val="24"/>
          <w:szCs w:val="24"/>
          <w:highlight w:val="none"/>
          <w:lang w:val="en-US" w:eastAsia="zh-CN"/>
        </w:rPr>
        <w:t>（三）</w:t>
      </w:r>
      <w:r>
        <w:rPr>
          <w:rFonts w:hint="eastAsia" w:ascii="宋体" w:hAnsi="宋体" w:eastAsia="宋体" w:cs="宋体"/>
          <w:b/>
          <w:bCs w:val="0"/>
          <w:color w:val="auto"/>
          <w:sz w:val="24"/>
          <w:szCs w:val="24"/>
          <w:highlight w:val="none"/>
          <w:lang w:val="en-US" w:eastAsia="zh-CN"/>
        </w:rPr>
        <w:t>技术路线：</w:t>
      </w:r>
    </w:p>
    <w:p>
      <w:pPr>
        <w:ind w:firstLine="480" w:firstLineChars="200"/>
        <w:jc w:val="left"/>
        <w:rPr>
          <w:rFonts w:hint="default" w:ascii="宋体" w:eastAsia="宋体" w:cs="宋体"/>
          <w:color w:val="auto"/>
          <w:sz w:val="24"/>
          <w:szCs w:val="24"/>
          <w:highlight w:val="none"/>
          <w:lang w:val="en-US" w:eastAsia="zh-CN"/>
        </w:rPr>
      </w:pPr>
      <w:r>
        <w:rPr>
          <w:rFonts w:hint="default" w:ascii="宋体" w:eastAsia="宋体" w:cs="宋体"/>
          <w:color w:val="auto"/>
          <w:sz w:val="24"/>
          <w:szCs w:val="24"/>
          <w:highlight w:val="none"/>
          <w:lang w:val="en-US" w:eastAsia="zh-CN"/>
        </w:rPr>
        <w:t>本项目按照整体风险管控、高污染区污染物消减的治理思路，选择采用</w:t>
      </w:r>
      <w:r>
        <w:rPr>
          <w:rFonts w:hint="eastAsia" w:eastAsia="宋体" w:cs="宋体"/>
          <w:color w:val="auto"/>
          <w:sz w:val="24"/>
          <w:szCs w:val="24"/>
          <w:highlight w:val="none"/>
          <w:lang w:val="en-US" w:eastAsia="zh-CN"/>
        </w:rPr>
        <w:t>横向管控、纵向管控</w:t>
      </w:r>
      <w:r>
        <w:rPr>
          <w:rFonts w:hint="default" w:ascii="宋体" w:eastAsia="宋体" w:cs="宋体"/>
          <w:color w:val="auto"/>
          <w:sz w:val="24"/>
          <w:szCs w:val="24"/>
          <w:highlight w:val="none"/>
          <w:lang w:val="en-US" w:eastAsia="zh-CN"/>
        </w:rPr>
        <w:t>的技术。详细技术路线如下：</w:t>
      </w:r>
    </w:p>
    <w:p>
      <w:pPr>
        <w:ind w:firstLine="680" w:firstLineChars="200"/>
        <w:jc w:val="center"/>
        <w:rPr>
          <w:rFonts w:hint="default"/>
          <w:color w:val="auto"/>
          <w:highlight w:val="none"/>
          <w:lang w:val="en-US" w:eastAsia="zh-CN"/>
        </w:rPr>
      </w:pPr>
      <w:r>
        <w:drawing>
          <wp:inline distT="0" distB="0" distL="114300" distR="114300">
            <wp:extent cx="3145155" cy="3181985"/>
            <wp:effectExtent l="0" t="0" r="17145" b="184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3145155" cy="3181985"/>
                    </a:xfrm>
                    <a:prstGeom prst="rect">
                      <a:avLst/>
                    </a:prstGeom>
                    <a:noFill/>
                    <a:ln>
                      <a:noFill/>
                    </a:ln>
                  </pic:spPr>
                </pic:pic>
              </a:graphicData>
            </a:graphic>
          </wp:inline>
        </w:drawing>
      </w:r>
    </w:p>
    <w:p>
      <w:pPr>
        <w:jc w:val="center"/>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风险管控总体技术路线图</w:t>
      </w:r>
    </w:p>
    <w:p>
      <w:pPr>
        <w:numPr>
          <w:numId w:val="0"/>
        </w:numPr>
        <w:outlineLvl w:val="1"/>
        <w:rPr>
          <w:rFonts w:hint="eastAsia" w:ascii="宋体" w:hAnsi="宋体" w:eastAsia="宋体" w:cs="宋体"/>
          <w:b/>
          <w:bCs w:val="0"/>
          <w:color w:val="auto"/>
          <w:sz w:val="24"/>
          <w:szCs w:val="24"/>
          <w:highlight w:val="none"/>
          <w:lang w:val="en-US" w:eastAsia="zh-CN"/>
        </w:rPr>
      </w:pPr>
      <w:r>
        <w:rPr>
          <w:rFonts w:hint="eastAsia" w:hAnsi="宋体" w:cs="宋体"/>
          <w:b/>
          <w:bCs w:val="0"/>
          <w:color w:val="auto"/>
          <w:sz w:val="24"/>
          <w:szCs w:val="24"/>
          <w:highlight w:val="none"/>
          <w:lang w:val="en-US" w:eastAsia="zh-CN"/>
        </w:rPr>
        <w:t>（四）</w:t>
      </w:r>
      <w:r>
        <w:rPr>
          <w:rFonts w:hint="eastAsia" w:ascii="宋体" w:hAnsi="宋体" w:eastAsia="宋体" w:cs="宋体"/>
          <w:b/>
          <w:bCs w:val="0"/>
          <w:color w:val="auto"/>
          <w:sz w:val="24"/>
          <w:szCs w:val="24"/>
          <w:highlight w:val="none"/>
          <w:lang w:val="en-US" w:eastAsia="zh-CN"/>
        </w:rPr>
        <w:t>项目范围：</w:t>
      </w:r>
    </w:p>
    <w:p>
      <w:pPr>
        <w:ind w:firstLine="480" w:firstLineChars="200"/>
        <w:jc w:val="left"/>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风险管控范围</w:t>
      </w:r>
      <w:r>
        <w:rPr>
          <w:rFonts w:hint="eastAsia" w:cs="宋体"/>
          <w:color w:val="auto"/>
          <w:sz w:val="24"/>
          <w:szCs w:val="24"/>
          <w:highlight w:val="none"/>
          <w:lang w:val="en-US" w:eastAsia="zh-CN"/>
        </w:rPr>
        <w:t>：</w:t>
      </w:r>
      <w:r>
        <w:rPr>
          <w:rFonts w:hint="default" w:ascii="宋体" w:eastAsia="宋体" w:cs="宋体"/>
          <w:color w:val="auto"/>
          <w:sz w:val="24"/>
          <w:szCs w:val="24"/>
          <w:highlight w:val="none"/>
          <w:lang w:val="en-US" w:eastAsia="zh-CN"/>
        </w:rPr>
        <w:t>本地块土壤风险管控关注因子为镍和六价铬，地下水风险管控关注因子为镍，土壤管控区域面积为7282m</w:t>
      </w:r>
      <w:r>
        <w:rPr>
          <w:rFonts w:hint="default" w:ascii="宋体" w:eastAsia="宋体" w:cs="宋体"/>
          <w:color w:val="auto"/>
          <w:sz w:val="24"/>
          <w:szCs w:val="24"/>
          <w:highlight w:val="none"/>
          <w:vertAlign w:val="superscript"/>
          <w:lang w:val="en-US" w:eastAsia="zh-CN"/>
        </w:rPr>
        <w:t>2</w:t>
      </w:r>
      <w:r>
        <w:rPr>
          <w:rFonts w:hint="default" w:ascii="宋体" w:eastAsia="宋体" w:cs="宋体"/>
          <w:color w:val="auto"/>
          <w:sz w:val="24"/>
          <w:szCs w:val="24"/>
          <w:highlight w:val="none"/>
          <w:lang w:val="en-US" w:eastAsia="zh-CN"/>
        </w:rPr>
        <w:t>（其中内层管控区域面积为2378m</w:t>
      </w:r>
      <w:r>
        <w:rPr>
          <w:rFonts w:hint="default" w:ascii="宋体" w:eastAsia="宋体" w:cs="宋体"/>
          <w:color w:val="auto"/>
          <w:sz w:val="24"/>
          <w:szCs w:val="24"/>
          <w:highlight w:val="none"/>
          <w:vertAlign w:val="superscript"/>
          <w:lang w:val="en-US" w:eastAsia="zh-CN"/>
        </w:rPr>
        <w:t>2</w:t>
      </w:r>
      <w:r>
        <w:rPr>
          <w:rFonts w:hint="default" w:ascii="宋体" w:eastAsia="宋体" w:cs="宋体"/>
          <w:color w:val="auto"/>
          <w:sz w:val="24"/>
          <w:szCs w:val="24"/>
          <w:highlight w:val="none"/>
          <w:lang w:val="en-US" w:eastAsia="zh-CN"/>
        </w:rPr>
        <w:t>），地下水隔离面积为3767m</w:t>
      </w:r>
      <w:r>
        <w:rPr>
          <w:rFonts w:hint="default" w:ascii="宋体" w:eastAsia="宋体" w:cs="宋体"/>
          <w:color w:val="auto"/>
          <w:sz w:val="24"/>
          <w:szCs w:val="24"/>
          <w:highlight w:val="none"/>
          <w:vertAlign w:val="superscript"/>
          <w:lang w:val="en-US" w:eastAsia="zh-CN"/>
        </w:rPr>
        <w:t>2</w:t>
      </w:r>
      <w:r>
        <w:rPr>
          <w:rFonts w:hint="default" w:ascii="宋体" w:eastAsia="宋体" w:cs="宋体"/>
          <w:color w:val="auto"/>
          <w:sz w:val="24"/>
          <w:szCs w:val="24"/>
          <w:highlight w:val="none"/>
          <w:lang w:val="en-US" w:eastAsia="zh-CN"/>
        </w:rPr>
        <w:t>。拟对隔离区域表层做隔离敷设。由于项目地块地势较高，且下游区域为农田和地表水，在管控工程周边设雨水导排系统，便于表层排水，防止积水。</w:t>
      </w:r>
      <w:bookmarkStart w:id="0" w:name="_Toc18719"/>
    </w:p>
    <w:bookmarkEnd w:id="0"/>
    <w:p>
      <w:pPr>
        <w:numPr>
          <w:numId w:val="0"/>
        </w:numPr>
        <w:outlineLvl w:val="1"/>
        <w:rPr>
          <w:rFonts w:hint="eastAsia" w:ascii="宋体" w:hAnsi="宋体" w:eastAsia="宋体" w:cs="宋体"/>
          <w:b/>
          <w:bCs w:val="0"/>
          <w:color w:val="auto"/>
          <w:sz w:val="24"/>
          <w:szCs w:val="24"/>
          <w:highlight w:val="none"/>
          <w:lang w:val="en-US" w:eastAsia="zh-CN"/>
        </w:rPr>
      </w:pPr>
      <w:r>
        <w:rPr>
          <w:rFonts w:hint="eastAsia" w:hAnsi="宋体" w:cs="宋体"/>
          <w:b/>
          <w:bCs w:val="0"/>
          <w:color w:val="auto"/>
          <w:sz w:val="24"/>
          <w:szCs w:val="24"/>
          <w:highlight w:val="none"/>
          <w:lang w:val="en-US" w:eastAsia="zh-CN"/>
        </w:rPr>
        <w:t>（五）</w:t>
      </w:r>
      <w:r>
        <w:rPr>
          <w:rFonts w:hint="eastAsia" w:ascii="宋体" w:hAnsi="宋体" w:eastAsia="宋体" w:cs="宋体"/>
          <w:b/>
          <w:bCs w:val="0"/>
          <w:color w:val="auto"/>
          <w:sz w:val="24"/>
          <w:szCs w:val="24"/>
          <w:highlight w:val="none"/>
          <w:lang w:val="en-US" w:eastAsia="zh-CN"/>
        </w:rPr>
        <w:t>质量目标（第三方效果评估标准）：</w:t>
      </w:r>
    </w:p>
    <w:p>
      <w:pPr>
        <w:ind w:firstLine="480" w:firstLineChars="200"/>
        <w:jc w:val="left"/>
        <w:rPr>
          <w:rFonts w:hint="eastAsia" w:ascii="宋体" w:eastAsia="宋体" w:cs="宋体"/>
          <w:color w:val="auto"/>
          <w:sz w:val="24"/>
          <w:szCs w:val="24"/>
          <w:highlight w:val="none"/>
          <w:lang w:val="en-US" w:eastAsia="zh-CN"/>
        </w:rPr>
      </w:pPr>
      <w:r>
        <w:rPr>
          <w:rFonts w:hint="eastAsia" w:ascii="宋体" w:eastAsia="宋体" w:cs="宋体"/>
          <w:color w:val="auto"/>
          <w:sz w:val="24"/>
          <w:szCs w:val="24"/>
          <w:highlight w:val="none"/>
          <w:lang w:val="en-US" w:eastAsia="zh-CN"/>
        </w:rPr>
        <w:t>为了达到阻隔污染物扩散的目的，对于本项目原位阻隔性能指标，主要包括以下内容：</w:t>
      </w:r>
    </w:p>
    <w:p>
      <w:pPr>
        <w:ind w:firstLine="480" w:firstLineChars="200"/>
        <w:jc w:val="left"/>
        <w:rPr>
          <w:rFonts w:hint="eastAsia"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（1）</w:t>
      </w:r>
      <w:r>
        <w:rPr>
          <w:rFonts w:hint="eastAsia" w:ascii="宋体" w:eastAsia="宋体" w:cs="宋体"/>
          <w:color w:val="auto"/>
          <w:sz w:val="24"/>
          <w:szCs w:val="24"/>
          <w:highlight w:val="none"/>
          <w:lang w:val="en-US" w:eastAsia="zh-CN"/>
        </w:rPr>
        <w:t>阻隔系统渗透系数不大于10-7cm/s；</w:t>
      </w:r>
    </w:p>
    <w:p>
      <w:pPr>
        <w:ind w:firstLine="480" w:firstLineChars="200"/>
        <w:jc w:val="left"/>
        <w:rPr>
          <w:rFonts w:hint="eastAsia"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（2）</w:t>
      </w:r>
      <w:r>
        <w:rPr>
          <w:rFonts w:hint="eastAsia" w:ascii="宋体" w:eastAsia="宋体" w:cs="宋体"/>
          <w:color w:val="auto"/>
          <w:sz w:val="24"/>
          <w:szCs w:val="24"/>
          <w:highlight w:val="none"/>
          <w:lang w:val="en-US" w:eastAsia="zh-CN"/>
        </w:rPr>
        <w:t>垂直阻隔底部嵌入阻隔目标含水层底板深度不小于1m；</w:t>
      </w:r>
    </w:p>
    <w:p>
      <w:pPr>
        <w:ind w:firstLine="480" w:firstLineChars="200"/>
        <w:jc w:val="left"/>
        <w:rPr>
          <w:rFonts w:hint="eastAsia" w:ascii="宋体" w:eastAsia="宋体" w:cs="宋体"/>
          <w:color w:val="auto"/>
          <w:sz w:val="24"/>
          <w:szCs w:val="24"/>
          <w:highlight w:val="none"/>
          <w:lang w:val="en-US" w:eastAsia="zh-CN"/>
        </w:rPr>
      </w:pPr>
      <w:r>
        <w:rPr>
          <w:rFonts w:hint="eastAsia" w:eastAsia="宋体" w:cs="宋体"/>
          <w:color w:val="auto"/>
          <w:sz w:val="24"/>
          <w:szCs w:val="24"/>
          <w:highlight w:val="none"/>
          <w:lang w:val="en-US" w:eastAsia="zh-CN"/>
        </w:rPr>
        <w:t>（3）</w:t>
      </w:r>
      <w:r>
        <w:rPr>
          <w:rFonts w:hint="eastAsia" w:ascii="宋体" w:eastAsia="宋体" w:cs="宋体"/>
          <w:color w:val="auto"/>
          <w:sz w:val="24"/>
          <w:szCs w:val="24"/>
          <w:highlight w:val="none"/>
          <w:lang w:val="en-US" w:eastAsia="zh-CN"/>
        </w:rPr>
        <w:t>阻隔系统连续、完整，不存在污染物渗漏。</w:t>
      </w:r>
    </w:p>
    <w:p>
      <w:pPr>
        <w:numPr>
          <w:numId w:val="0"/>
        </w:numPr>
        <w:outlineLvl w:val="1"/>
        <w:rPr>
          <w:rFonts w:hint="eastAsia" w:ascii="宋体" w:hAnsi="宋体" w:eastAsia="宋体" w:cs="宋体"/>
          <w:b/>
          <w:bCs w:val="0"/>
          <w:color w:val="auto"/>
          <w:sz w:val="24"/>
          <w:szCs w:val="24"/>
          <w:highlight w:val="none"/>
          <w:lang w:val="en-US" w:eastAsia="zh-CN"/>
        </w:rPr>
      </w:pPr>
      <w:r>
        <w:rPr>
          <w:rFonts w:hint="eastAsia" w:hAnsi="宋体" w:cs="宋体"/>
          <w:b/>
          <w:bCs w:val="0"/>
          <w:color w:val="auto"/>
          <w:sz w:val="24"/>
          <w:szCs w:val="24"/>
          <w:highlight w:val="none"/>
          <w:lang w:val="en-US" w:eastAsia="zh-CN"/>
        </w:rPr>
        <w:t>（六）</w:t>
      </w:r>
      <w:r>
        <w:rPr>
          <w:rFonts w:hint="eastAsia" w:hAnsi="宋体" w:eastAsia="宋体" w:cs="宋体"/>
          <w:b/>
          <w:bCs w:val="0"/>
          <w:color w:val="auto"/>
          <w:sz w:val="24"/>
          <w:szCs w:val="24"/>
          <w:highlight w:val="none"/>
          <w:lang w:val="en-US" w:eastAsia="zh-CN"/>
        </w:rPr>
        <w:t>项目清单及描述</w:t>
      </w:r>
      <w:r>
        <w:rPr>
          <w:rFonts w:hint="eastAsia" w:ascii="宋体" w:hAnsi="宋体" w:eastAsia="宋体" w:cs="宋体"/>
          <w:b/>
          <w:bCs w:val="0"/>
          <w:color w:val="auto"/>
          <w:sz w:val="24"/>
          <w:szCs w:val="24"/>
          <w:highlight w:val="none"/>
          <w:lang w:val="en-US" w:eastAsia="zh-CN"/>
        </w:rPr>
        <w:t>：</w:t>
      </w:r>
    </w:p>
    <w:p>
      <w:pPr>
        <w:pStyle w:val="2"/>
        <w:jc w:val="center"/>
      </w:pPr>
      <w:r>
        <w:drawing>
          <wp:inline distT="0" distB="0" distL="114300" distR="114300">
            <wp:extent cx="4689475" cy="4457065"/>
            <wp:effectExtent l="0" t="0" r="15875" b="635"/>
            <wp:docPr id="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pic:cNvPicPr>
                      <a:picLocks noChangeAspect="1"/>
                    </pic:cNvPicPr>
                  </pic:nvPicPr>
                  <pic:blipFill>
                    <a:blip r:embed="rId9"/>
                    <a:stretch>
                      <a:fillRect/>
                    </a:stretch>
                  </pic:blipFill>
                  <pic:spPr>
                    <a:xfrm>
                      <a:off x="0" y="0"/>
                      <a:ext cx="4689475" cy="4457065"/>
                    </a:xfrm>
                    <a:prstGeom prst="rect">
                      <a:avLst/>
                    </a:prstGeom>
                    <a:noFill/>
                    <a:ln>
                      <a:noFill/>
                    </a:ln>
                  </pic:spPr>
                </pic:pic>
              </a:graphicData>
            </a:graphic>
          </wp:inline>
        </w:drawing>
      </w:r>
    </w:p>
    <w:p>
      <w:pPr>
        <w:pStyle w:val="3"/>
        <w:numPr>
          <w:ilvl w:val="0"/>
          <w:numId w:val="0"/>
        </w:numPr>
        <w:ind w:leftChars="0" w:firstLine="480" w:firstLineChars="200"/>
      </w:pPr>
      <w:r>
        <w:rPr>
          <w:rFonts w:hint="eastAsia"/>
          <w:b w:val="0"/>
          <w:bCs w:val="0"/>
          <w:sz w:val="24"/>
          <w:szCs w:val="24"/>
          <w:lang w:val="en-US" w:eastAsia="zh-CN"/>
        </w:rPr>
        <w:t>注：表中数量仅供参考，实际发生量按实计量。</w:t>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7"/>
    <w:multiLevelType w:val="multilevel"/>
    <w:tmpl w:val="00000017"/>
    <w:lvl w:ilvl="0" w:tentative="0">
      <w:start w:val="1"/>
      <w:numFmt w:val="bullet"/>
      <w:pStyle w:val="3"/>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3165"/>
        </w:tabs>
        <w:ind w:left="3165" w:hanging="420"/>
      </w:pPr>
      <w:rPr>
        <w:rFonts w:hint="default" w:ascii="Wingdings" w:hAnsi="Wingdings"/>
      </w:rPr>
    </w:lvl>
    <w:lvl w:ilvl="2" w:tentative="0">
      <w:start w:val="1"/>
      <w:numFmt w:val="bullet"/>
      <w:lvlText w:val=""/>
      <w:lvlJc w:val="left"/>
      <w:pPr>
        <w:tabs>
          <w:tab w:val="left" w:pos="3585"/>
        </w:tabs>
        <w:ind w:left="3585" w:hanging="420"/>
      </w:pPr>
      <w:rPr>
        <w:rFonts w:hint="default" w:ascii="Wingdings" w:hAnsi="Wingdings"/>
      </w:rPr>
    </w:lvl>
    <w:lvl w:ilvl="3" w:tentative="0">
      <w:start w:val="1"/>
      <w:numFmt w:val="bullet"/>
      <w:lvlText w:val=""/>
      <w:lvlJc w:val="left"/>
      <w:pPr>
        <w:tabs>
          <w:tab w:val="left" w:pos="4005"/>
        </w:tabs>
        <w:ind w:left="4005" w:hanging="420"/>
      </w:pPr>
      <w:rPr>
        <w:rFonts w:hint="default" w:ascii="Wingdings" w:hAnsi="Wingdings"/>
      </w:rPr>
    </w:lvl>
    <w:lvl w:ilvl="4" w:tentative="0">
      <w:start w:val="1"/>
      <w:numFmt w:val="bullet"/>
      <w:lvlText w:val=""/>
      <w:lvlJc w:val="left"/>
      <w:pPr>
        <w:tabs>
          <w:tab w:val="left" w:pos="4425"/>
        </w:tabs>
        <w:ind w:left="4425" w:hanging="420"/>
      </w:pPr>
      <w:rPr>
        <w:rFonts w:hint="default" w:ascii="Wingdings" w:hAnsi="Wingdings"/>
      </w:rPr>
    </w:lvl>
    <w:lvl w:ilvl="5" w:tentative="0">
      <w:start w:val="1"/>
      <w:numFmt w:val="bullet"/>
      <w:lvlText w:val=""/>
      <w:lvlJc w:val="left"/>
      <w:pPr>
        <w:tabs>
          <w:tab w:val="left" w:pos="4845"/>
        </w:tabs>
        <w:ind w:left="4845" w:hanging="420"/>
      </w:pPr>
      <w:rPr>
        <w:rFonts w:hint="default" w:ascii="Wingdings" w:hAnsi="Wingdings"/>
      </w:rPr>
    </w:lvl>
    <w:lvl w:ilvl="6" w:tentative="0">
      <w:start w:val="1"/>
      <w:numFmt w:val="bullet"/>
      <w:lvlText w:val=""/>
      <w:lvlJc w:val="left"/>
      <w:pPr>
        <w:tabs>
          <w:tab w:val="left" w:pos="5265"/>
        </w:tabs>
        <w:ind w:left="5265" w:hanging="420"/>
      </w:pPr>
      <w:rPr>
        <w:rFonts w:hint="default" w:ascii="Wingdings" w:hAnsi="Wingdings"/>
      </w:rPr>
    </w:lvl>
    <w:lvl w:ilvl="7" w:tentative="0">
      <w:start w:val="1"/>
      <w:numFmt w:val="bullet"/>
      <w:lvlText w:val=""/>
      <w:lvlJc w:val="left"/>
      <w:pPr>
        <w:tabs>
          <w:tab w:val="left" w:pos="5685"/>
        </w:tabs>
        <w:ind w:left="5685" w:hanging="420"/>
      </w:pPr>
      <w:rPr>
        <w:rFonts w:hint="default" w:ascii="Wingdings" w:hAnsi="Wingdings"/>
      </w:rPr>
    </w:lvl>
    <w:lvl w:ilvl="8" w:tentative="0">
      <w:start w:val="1"/>
      <w:numFmt w:val="bullet"/>
      <w:lvlText w:val=""/>
      <w:lvlJc w:val="left"/>
      <w:pPr>
        <w:tabs>
          <w:tab w:val="left" w:pos="6105"/>
        </w:tabs>
        <w:ind w:left="6105" w:hanging="420"/>
      </w:pPr>
      <w:rPr>
        <w:rFonts w:hint="default" w:ascii="Wingdings" w:hAnsi="Wingdings"/>
      </w:rPr>
    </w:lvl>
  </w:abstractNum>
  <w:abstractNum w:abstractNumId="1">
    <w:nsid w:val="0000001E"/>
    <w:multiLevelType w:val="multilevel"/>
    <w:tmpl w:val="0000001E"/>
    <w:lvl w:ilvl="0" w:tentative="0">
      <w:start w:val="1"/>
      <w:numFmt w:val="chineseCountingThousand"/>
      <w:pStyle w:val="4"/>
      <w:lvlText w:val="第%1部分"/>
      <w:lvlJc w:val="left"/>
      <w:pPr>
        <w:tabs>
          <w:tab w:val="left" w:pos="3644"/>
        </w:tabs>
        <w:ind w:left="2269" w:hanging="425"/>
      </w:pPr>
      <w:rPr>
        <w:rFonts w:hint="eastAsia"/>
      </w:rPr>
    </w:lvl>
    <w:lvl w:ilvl="1" w:tentative="0">
      <w:start w:val="1"/>
      <w:numFmt w:val="decimal"/>
      <w:isLgl/>
      <w:lvlText w:val="%1.%2"/>
      <w:lvlJc w:val="left"/>
      <w:pPr>
        <w:tabs>
          <w:tab w:val="left" w:pos="567"/>
        </w:tabs>
        <w:ind w:left="567" w:hanging="567"/>
      </w:pPr>
      <w:rPr>
        <w:rFonts w:hint="eastAsia"/>
      </w:rPr>
    </w:lvl>
    <w:lvl w:ilvl="2" w:tentative="0">
      <w:start w:val="1"/>
      <w:numFmt w:val="decimal"/>
      <w:isLgl/>
      <w:lvlText w:val="%1.%2.%3"/>
      <w:lvlJc w:val="left"/>
      <w:pPr>
        <w:tabs>
          <w:tab w:val="left" w:pos="1080"/>
        </w:tabs>
        <w:ind w:left="340" w:hanging="340"/>
      </w:pPr>
      <w:rPr>
        <w:rFonts w:hint="eastAsia"/>
      </w:rPr>
    </w:lvl>
    <w:lvl w:ilvl="3" w:tentative="0">
      <w:start w:val="1"/>
      <w:numFmt w:val="decimal"/>
      <w:isLgl/>
      <w:lvlText w:val="%1.%2.%3.%4"/>
      <w:lvlJc w:val="left"/>
      <w:pPr>
        <w:tabs>
          <w:tab w:val="left" w:pos="851"/>
        </w:tabs>
        <w:ind w:left="851" w:hanging="851"/>
      </w:pPr>
      <w:rPr>
        <w:rFonts w:hint="eastAsia"/>
      </w:rPr>
    </w:lvl>
    <w:lvl w:ilvl="4" w:tentative="0">
      <w:start w:val="1"/>
      <w:numFmt w:val="decimal"/>
      <w:isLgl/>
      <w:lvlText w:val="%1.%2.%3.%4.%5"/>
      <w:lvlJc w:val="left"/>
      <w:pPr>
        <w:tabs>
          <w:tab w:val="left" w:pos="1080"/>
        </w:tabs>
        <w:ind w:left="992" w:hanging="992"/>
      </w:pPr>
      <w:rPr>
        <w:rFonts w:hint="eastAsia"/>
      </w:rPr>
    </w:lvl>
    <w:lvl w:ilvl="5" w:tentative="0">
      <w:start w:val="1"/>
      <w:numFmt w:val="decimal"/>
      <w:isLgl/>
      <w:lvlText w:val="%1.%2.%3.%4.%5.%6"/>
      <w:lvlJc w:val="left"/>
      <w:pPr>
        <w:tabs>
          <w:tab w:val="left" w:pos="1440"/>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Q1MjdlNTU3NDA4ZTNjMjhhNjc4MWYyNTU3NmNhN2YifQ=="/>
  </w:docVars>
  <w:rsids>
    <w:rsidRoot w:val="182A2D8D"/>
    <w:rsid w:val="182A2D8D"/>
    <w:rsid w:val="76F510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jc w:val="both"/>
    </w:pPr>
    <w:rPr>
      <w:rFonts w:ascii="宋体" w:hAnsi="Times New Roman" w:eastAsia="宋体" w:cs="Times New Roman"/>
      <w:sz w:val="34"/>
      <w:lang w:val="en-US" w:eastAsia="zh-CN" w:bidi="ar-SA"/>
    </w:rPr>
  </w:style>
  <w:style w:type="paragraph" w:styleId="4">
    <w:name w:val="heading 1"/>
    <w:basedOn w:val="1"/>
    <w:next w:val="1"/>
    <w:qFormat/>
    <w:uiPriority w:val="0"/>
    <w:pPr>
      <w:keepNext/>
      <w:keepLines/>
      <w:numPr>
        <w:ilvl w:val="0"/>
        <w:numId w:val="1"/>
      </w:numPr>
      <w:tabs>
        <w:tab w:val="left" w:pos="1800"/>
      </w:tabs>
      <w:spacing w:before="340" w:after="330" w:line="578" w:lineRule="auto"/>
      <w:jc w:val="center"/>
      <w:outlineLvl w:val="0"/>
    </w:pPr>
    <w:rPr>
      <w:rFonts w:ascii="黑体" w:eastAsia="黑体"/>
      <w:b/>
      <w:bCs/>
      <w:kern w:val="44"/>
      <w:sz w:val="44"/>
      <w:szCs w:val="44"/>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autoSpaceDE w:val="0"/>
      <w:autoSpaceDN w:val="0"/>
      <w:adjustRightInd w:val="0"/>
    </w:pPr>
    <w:rPr>
      <w:rFonts w:ascii="仿宋_GB2312" w:eastAsia="仿宋_GB2312"/>
      <w:sz w:val="28"/>
    </w:rPr>
  </w:style>
  <w:style w:type="paragraph" w:styleId="3">
    <w:name w:val="List"/>
    <w:basedOn w:val="1"/>
    <w:qFormat/>
    <w:uiPriority w:val="0"/>
    <w:pPr>
      <w:numPr>
        <w:ilvl w:val="0"/>
        <w:numId w:val="2"/>
      </w:numPr>
      <w:autoSpaceDE w:val="0"/>
      <w:autoSpaceDN w:val="0"/>
      <w:adjustRightInd w:val="0"/>
      <w:spacing w:after="20" w:line="288" w:lineRule="auto"/>
      <w:textAlignment w:val="baseline"/>
    </w:pPr>
    <w:rPr>
      <w:kern w:val="0"/>
      <w:szCs w:val="20"/>
      <w:lang w:val="en-GB"/>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2265</Words>
  <Characters>2760</Characters>
  <Lines>0</Lines>
  <Paragraphs>0</Paragraphs>
  <TotalTime>12</TotalTime>
  <ScaleCrop>false</ScaleCrop>
  <LinksUpToDate>false</LinksUpToDate>
  <CharactersWithSpaces>2765</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2023-03-07T08:25:00Z</dcterms:created>
  <dc:creator>倪雨翔</dc:creator>
  <cp:lastModifiedBy>Mr.Zeus</cp:lastModifiedBy>
  <dcterms:modified xsi:type="dcterms:W3CDTF">2023-03-07T08:38:48Z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B23E3D921BF44053970FC4D6BBC0F93A</vt:lpwstr>
  </property>
</Properties>
</file>