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spacing w:before="0" w:line="480" w:lineRule="auto"/>
        <w:ind w:leftChars="0"/>
        <w:jc w:val="center"/>
        <w:rPr>
          <w:rFonts w:hint="eastAsia" w:ascii="宋体" w:hAnsi="宋体" w:eastAsia="宋体" w:cs="宋体"/>
        </w:rPr>
      </w:pPr>
      <w:r>
        <w:rPr>
          <w:rFonts w:hint="eastAsia" w:ascii="宋体" w:hAnsi="宋体" w:eastAsia="宋体" w:cs="宋体"/>
        </w:rPr>
        <w:t>采购需求</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1、项目名称：无锡经开区测绘服务外包项目</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2、项目内容：本次招标是公开择优选择3家乙级及以上资质证书的测绘单位，对招标人的选址测绘、用地综合测量、验线测量、测量成果审核、数据上传入库、房地数据挂接的日常维护等，按招标人提出的测绘要求进行服务，服务期至2025年12月31日止。</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3、项目范围：无锡经济开发区区域面积56.60平方公里，其中华庄街道34.74平方公里，太湖街道21.86平方公里。</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4、中标单位按招标人提出的测绘要求，组织测绘技术人员进行现场数据采集与编辑及内业成图工作，并按约定时限出具合格的测绘成果（包括技术设计、原始测量记录表及原始数据、质量检查报告、技术总结等）。</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5、项目抽检达不到招标人要求的任何一件测绘产品，中标单位应无条件的整改，直到测绘成果质量满足招标人的要求为止，并作为一次不良记录登记在册，一年内有五次不良记录者，将不列入下一年度的合作单位；对不合格的测绘成果，立即终止合作资格；招标人每个年度邀请服务对象对中标单位进行评测，连续两年评测结果最后一名，第三年招标人不在派单给中标单位。</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6、中标单位对招标人合作项目负有保密责任，由于合作测绘项目的需要，招标人提供的控制点成果必须严格执行测绘成果保密管理规定，相关测绘技术人员不得对外提供，否则终止合作。</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7、与招标人合作的测绘成果（包括过程资料、成果资料）归招标人所有，未经招标人批准不得向外提供。</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8、中标单位须派人入驻经开分局服务窗口，服从窗口管理，做好“多测合一”事项的服务工作。</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9、服务要求</w:t>
      </w:r>
    </w:p>
    <w:p>
      <w:pPr>
        <w:tabs>
          <w:tab w:val="left" w:pos="525"/>
          <w:tab w:val="left" w:pos="945"/>
        </w:tabs>
        <w:spacing w:line="360" w:lineRule="auto"/>
        <w:ind w:firstLine="480" w:firstLineChars="200"/>
        <w:rPr>
          <w:rFonts w:hint="eastAsia" w:ascii="宋体" w:hAnsi="宋体" w:cs="宋体"/>
          <w:sz w:val="24"/>
          <w:szCs w:val="22"/>
        </w:rPr>
      </w:pPr>
      <w:bookmarkStart w:id="0" w:name="_GoBack"/>
      <w:bookmarkEnd w:id="0"/>
      <w:r>
        <w:rPr>
          <w:rFonts w:hint="eastAsia" w:ascii="宋体" w:hAnsi="宋体" w:cs="宋体"/>
          <w:sz w:val="24"/>
          <w:szCs w:val="22"/>
        </w:rPr>
        <w:t>1）中标单位须主动接受招标人的指导、检查、监督及协调。</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2）中标单位须无条件接受招标人指派的测量工作范围和测量工作时间安排。</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3）招标人有需要中标单位在现场服务时，中标单位必须在约定时间内到达招标人指定的地点。</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（6）、档案保密管理：有健全的测绘成果及资料档案管理制度、保密制度和相应的设施。</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10、项目商务要求</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（1）、业绩要求：需有同类测绘项目的工作经验。</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（2）、服务期限：合同签订之日起至2025年12月31日止。</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（3）、质量要求：执行《测绘成果质量检查与验收》及招标人的要求。</w:t>
      </w:r>
    </w:p>
    <w:p>
      <w:pPr>
        <w:autoSpaceDE w:val="0"/>
        <w:autoSpaceDN w:val="0"/>
        <w:adjustRightInd w:val="0"/>
        <w:spacing w:line="360" w:lineRule="auto"/>
        <w:ind w:firstLine="480" w:firstLineChars="200"/>
        <w:rPr>
          <w:rFonts w:hint="eastAsia" w:hAnsi="宋体"/>
          <w:sz w:val="24"/>
          <w:lang w:val="zh-CN"/>
        </w:rPr>
      </w:pPr>
      <w:r>
        <w:rPr>
          <w:rFonts w:hint="eastAsia" w:ascii="宋体" w:hAnsi="宋体" w:cs="宋体"/>
          <w:sz w:val="24"/>
          <w:szCs w:val="22"/>
        </w:rPr>
        <w:t>（4）、付款方式：</w:t>
      </w:r>
      <w:r>
        <w:rPr>
          <w:rFonts w:hint="eastAsia" w:hAnsi="宋体"/>
          <w:sz w:val="24"/>
          <w:lang w:val="zh-CN"/>
        </w:rPr>
        <w:t>每年7月、11月各结算一次，招标人收到中标单位的发票后30天内付出。</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（5）、结算方式：3家中标单位测绘总费用每年不超过180万元，低于180万元，按实际工作量结算。</w:t>
      </w:r>
      <w:r>
        <w:rPr>
          <w:rFonts w:hint="eastAsia" w:hAnsi="宋体"/>
          <w:color w:val="000000"/>
          <w:sz w:val="24"/>
          <w:highlight w:val="none"/>
          <w:lang w:val="zh-CN"/>
        </w:rPr>
        <w:t>每年7月、11月各结算一次，招标人收到中标单位的发票后30天内付出。</w:t>
      </w:r>
    </w:p>
    <w:p>
      <w:pPr>
        <w:tabs>
          <w:tab w:val="left" w:pos="525"/>
          <w:tab w:val="left" w:pos="945"/>
        </w:tabs>
        <w:spacing w:line="360" w:lineRule="auto"/>
        <w:ind w:firstLine="480" w:firstLineChars="200"/>
        <w:rPr>
          <w:rFonts w:hint="eastAsia" w:ascii="宋体" w:hAnsi="宋体" w:cs="宋体"/>
          <w:sz w:val="24"/>
          <w:szCs w:val="22"/>
        </w:rPr>
      </w:pPr>
      <w:r>
        <w:rPr>
          <w:rFonts w:hint="eastAsia" w:ascii="宋体" w:hAnsi="宋体" w:cs="宋体"/>
          <w:sz w:val="24"/>
          <w:szCs w:val="22"/>
        </w:rPr>
        <w:t>（6）、收费标准：按照无锡市自然资源和规划局等5个单位联合下发《关于印发〈无锡市区工程建设项目“多测合一”实施方案（试行）〉的通知》文件规定执行。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5MzM5YmFmZDQ1YzYyYzMyODY5MGU5ZDA0ZTNmODQifQ=="/>
  </w:docVars>
  <w:rsids>
    <w:rsidRoot w:val="00000000"/>
    <w:rsid w:val="09A7584F"/>
    <w:rsid w:val="37A04D09"/>
    <w:rsid w:val="39167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1800"/>
      </w:tabs>
      <w:spacing w:before="340" w:after="330" w:line="576" w:lineRule="auto"/>
      <w:ind w:left="425" w:hanging="425"/>
      <w:jc w:val="center"/>
      <w:outlineLvl w:val="0"/>
    </w:pPr>
    <w:rPr>
      <w:rFonts w:ascii="黑体" w:eastAsia="黑体"/>
      <w:b/>
      <w:bCs/>
      <w:kern w:val="44"/>
      <w:sz w:val="44"/>
      <w:szCs w:val="44"/>
    </w:rPr>
  </w:style>
  <w:style w:type="paragraph" w:styleId="2">
    <w:name w:val="heading 4"/>
    <w:basedOn w:val="1"/>
    <w:next w:val="1"/>
    <w:qFormat/>
    <w:uiPriority w:val="0"/>
    <w:pPr>
      <w:keepNext/>
      <w:keepLines/>
      <w:tabs>
        <w:tab w:val="left" w:pos="1222"/>
      </w:tabs>
      <w:spacing w:before="280" w:after="290" w:line="372" w:lineRule="auto"/>
      <w:ind w:left="1134" w:hanging="992"/>
      <w:outlineLvl w:val="3"/>
    </w:pPr>
    <w:rPr>
      <w:rFonts w:ascii="Arial" w:hAnsi="Arial" w:eastAsia="黑体"/>
      <w:b/>
      <w:bCs/>
      <w:kern w:val="0"/>
      <w:sz w:val="28"/>
      <w:szCs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1383</Words>
  <Characters>1420</Characters>
  <Lines>0</Lines>
  <Paragraphs>0</Paragraphs>
  <TotalTime>1</TotalTime>
  <ScaleCrop>false</ScaleCrop>
  <LinksUpToDate>false</LinksUpToDate>
  <CharactersWithSpaces>1420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2023-02-06T05:39:00Z</dcterms:created>
  <dc:creator>A</dc:creator>
  <cp:lastModifiedBy>lwx</cp:lastModifiedBy>
  <dcterms:modified xsi:type="dcterms:W3CDTF">2023-02-06T05:45:48Z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2D3F0C493E9A49D4BB8AE7D0C9A95051</vt:lpwstr>
  </property>
</Properties>
</file>