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方正黑体_GBK" w:hAnsi="方正小标宋_GBK" w:eastAsia="方正黑体_GBK" w:cs="方正小标宋_GBK"/>
          <w:kern w:val="0"/>
          <w:sz w:val="32"/>
          <w:szCs w:val="32"/>
        </w:rPr>
      </w:pPr>
      <w:bookmarkStart w:id="36" w:name="_GoBack"/>
      <w:bookmarkEnd w:id="36"/>
    </w:p>
    <w:p>
      <w:pPr>
        <w:spacing w:before="156" w:beforeLines="50" w:line="58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无锡市城市运行管理服务平台建设</w:t>
      </w:r>
    </w:p>
    <w:p>
      <w:pPr>
        <w:spacing w:after="312" w:afterLines="100" w:line="58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（智慧城管二期）项目采购需求</w:t>
      </w:r>
    </w:p>
    <w:p>
      <w:pPr>
        <w:spacing w:before="156" w:beforeLines="50" w:line="360" w:lineRule="auto"/>
        <w:ind w:firstLine="480" w:firstLineChars="200"/>
        <w:rPr>
          <w:rFonts w:ascii="黑体" w:eastAsia="黑体"/>
          <w:sz w:val="24"/>
          <w:szCs w:val="24"/>
          <w:u w:color="000000"/>
        </w:rPr>
      </w:pPr>
      <w:r>
        <w:rPr>
          <w:rFonts w:hint="eastAsia" w:ascii="黑体" w:eastAsia="黑体"/>
          <w:sz w:val="24"/>
          <w:szCs w:val="24"/>
          <w:u w:color="000000"/>
        </w:rPr>
        <w:t>（一）项目技术要求</w:t>
      </w:r>
    </w:p>
    <w:p>
      <w:pPr>
        <w:pStyle w:val="2"/>
        <w:tabs>
          <w:tab w:val="left" w:pos="284"/>
          <w:tab w:val="clear" w:pos="480"/>
        </w:tabs>
        <w:adjustRightInd w:val="0"/>
        <w:snapToGrid w:val="0"/>
        <w:spacing w:before="0" w:beforeLines="0" w:after="0" w:afterLines="0" w:line="240" w:lineRule="auto"/>
        <w:ind w:left="0" w:firstLine="482" w:firstLineChars="200"/>
        <w:rPr>
          <w:rFonts w:ascii="仿宋_GB2312" w:eastAsia="仿宋_GB2312"/>
          <w:sz w:val="24"/>
          <w:szCs w:val="24"/>
        </w:rPr>
      </w:pPr>
      <w:r>
        <w:rPr>
          <w:rFonts w:hint="eastAsia" w:ascii="仿宋_GB2312" w:eastAsia="仿宋_GB2312"/>
          <w:sz w:val="24"/>
          <w:szCs w:val="24"/>
        </w:rPr>
        <w:t>项目背景</w:t>
      </w:r>
    </w:p>
    <w:p>
      <w:pPr>
        <w:spacing w:line="360" w:lineRule="auto"/>
        <w:ind w:firstLine="480" w:firstLineChars="200"/>
        <w:rPr>
          <w:rFonts w:ascii="宋体" w:hAnsi="宋体"/>
          <w:bCs/>
          <w:sz w:val="24"/>
          <w:szCs w:val="24"/>
        </w:rPr>
      </w:pPr>
      <w:r>
        <w:rPr>
          <w:rFonts w:hint="eastAsia" w:ascii="宋体" w:hAnsi="宋体"/>
          <w:bCs/>
          <w:sz w:val="24"/>
          <w:szCs w:val="24"/>
        </w:rPr>
        <w:t>全国住房和城乡建设工作会议中明确指出，要搭建城市运行管理服务平台，坚持共谋共建共管共评共享，推动城市管理走向城市治理。同时住建部出台了《城市综合管理服务平台建设指南》、《城市综合管理服务平台技术标准》、《城市运行管理服务平台数据标准》以及《城市运行管理服务平台技术标准》等文件，并印发《关于开展城市综合管理服务平台建设和联网工作的通知》（建办督函〔2020〕102号），明确要求2020年底前主要地级以上城市的数字化管理平台要与国家城市运行管理服务平台联网，实现国家、省级、市级平台互联互通，数据同步、业务协同要求。</w:t>
      </w:r>
    </w:p>
    <w:p>
      <w:pPr>
        <w:spacing w:line="360" w:lineRule="auto"/>
        <w:ind w:firstLine="480" w:firstLineChars="200"/>
        <w:rPr>
          <w:rFonts w:ascii="宋体" w:hAnsi="宋体"/>
          <w:bCs/>
          <w:sz w:val="24"/>
          <w:szCs w:val="24"/>
        </w:rPr>
      </w:pPr>
      <w:r>
        <w:rPr>
          <w:rFonts w:hint="eastAsia" w:ascii="宋体" w:hAnsi="宋体"/>
          <w:bCs/>
          <w:sz w:val="24"/>
          <w:szCs w:val="24"/>
        </w:rPr>
        <w:t>无锡市先后出台了《无锡市推动数字经济提速和数字化转型的实施意见》、《无锡市城市运行“一网统管”建设三年行动计划（2022-2024年）》和无锡市《打造“全国最干净城市”三年行动计划（2022—2024年）》等文件，要求以“城市运行安全高效健康、城市管理干净整洁有序、为民服务精准精细精致”为出发点，紧盯科学化、精细化、智能化工作目标，构建纵向对接省级平台和国家平台，联通区（市、县）平台，覆盖市、区、街道（镇）三级，并向社区、网格延伸，与智慧社区综合信息平台、智慧物业管理服务平台等对接；横向整合对接市级相关部门信息系统，汇聚全市城市运行管理服务数据资源，对全市城市运行管理服务工作进行统筹协调、指挥调度、监测预警、监督考核、分析研判和综合评价。</w:t>
      </w:r>
    </w:p>
    <w:p>
      <w:pPr>
        <w:pStyle w:val="2"/>
        <w:tabs>
          <w:tab w:val="left" w:pos="284"/>
          <w:tab w:val="clear" w:pos="480"/>
        </w:tabs>
        <w:adjustRightInd w:val="0"/>
        <w:snapToGrid w:val="0"/>
        <w:spacing w:before="0" w:beforeLines="0" w:after="0" w:afterLines="0" w:line="240" w:lineRule="auto"/>
        <w:ind w:left="0" w:firstLine="482" w:firstLineChars="200"/>
        <w:rPr>
          <w:rFonts w:ascii="仿宋_GB2312" w:eastAsia="仿宋_GB2312"/>
          <w:sz w:val="24"/>
          <w:szCs w:val="24"/>
        </w:rPr>
      </w:pPr>
      <w:r>
        <w:rPr>
          <w:rFonts w:hint="eastAsia" w:ascii="仿宋_GB2312" w:eastAsia="仿宋_GB2312"/>
          <w:sz w:val="24"/>
          <w:szCs w:val="24"/>
        </w:rPr>
        <w:t>系统现状</w:t>
      </w:r>
    </w:p>
    <w:p>
      <w:pPr>
        <w:pStyle w:val="3"/>
        <w:ind w:left="0" w:firstLine="482" w:firstLineChars="200"/>
        <w:rPr>
          <w:rFonts w:ascii="宋体" w:hAnsi="宋体" w:eastAsia="宋体"/>
          <w:b/>
          <w:bCs w:val="0"/>
          <w:sz w:val="24"/>
          <w:szCs w:val="24"/>
        </w:rPr>
      </w:pPr>
      <w:bookmarkStart w:id="0" w:name="_Toc103001355"/>
      <w:bookmarkStart w:id="1" w:name="_Toc120200561"/>
      <w:bookmarkStart w:id="2" w:name="_Toc103503119"/>
      <w:r>
        <w:rPr>
          <w:rFonts w:ascii="宋体" w:hAnsi="宋体" w:eastAsia="宋体"/>
          <w:b/>
          <w:bCs w:val="0"/>
          <w:sz w:val="24"/>
          <w:szCs w:val="24"/>
        </w:rPr>
        <w:t>数据交换系统</w:t>
      </w:r>
      <w:bookmarkEnd w:id="0"/>
      <w:bookmarkEnd w:id="1"/>
      <w:bookmarkEnd w:id="2"/>
    </w:p>
    <w:p>
      <w:pPr>
        <w:spacing w:line="360" w:lineRule="auto"/>
        <w:ind w:firstLine="480" w:firstLineChars="200"/>
        <w:rPr>
          <w:rFonts w:ascii="宋体" w:hAnsi="宋体"/>
          <w:bCs/>
          <w:sz w:val="24"/>
          <w:szCs w:val="24"/>
        </w:rPr>
      </w:pPr>
      <w:r>
        <w:rPr>
          <w:rFonts w:ascii="宋体" w:hAnsi="宋体"/>
          <w:bCs/>
          <w:sz w:val="24"/>
          <w:szCs w:val="24"/>
        </w:rPr>
        <w:t>智慧城管一期项目建设了大数据支撑平台，针对局内业务应用系统的数据交换需要建设了数据交换系统</w:t>
      </w:r>
      <w:r>
        <w:rPr>
          <w:rFonts w:hint="eastAsia" w:ascii="宋体" w:hAnsi="宋体"/>
          <w:bCs/>
          <w:sz w:val="24"/>
          <w:szCs w:val="24"/>
        </w:rPr>
        <w:t>，</w:t>
      </w:r>
      <w:r>
        <w:rPr>
          <w:rFonts w:ascii="宋体" w:hAnsi="宋体"/>
          <w:bCs/>
          <w:sz w:val="24"/>
          <w:szCs w:val="24"/>
        </w:rPr>
        <w:t>可实现城管大数据中心与下级各业务部门应用系统之间互联互通，实现城管数据在业务部门（如法规处、停车处、数字环卫等）应用系统和城管大数据中心数据库之间的双向流动。</w:t>
      </w:r>
    </w:p>
    <w:p>
      <w:pPr>
        <w:pStyle w:val="3"/>
        <w:ind w:left="0" w:firstLine="482" w:firstLineChars="200"/>
        <w:rPr>
          <w:rFonts w:ascii="宋体" w:hAnsi="宋体" w:eastAsia="宋体"/>
          <w:b/>
          <w:bCs w:val="0"/>
          <w:sz w:val="24"/>
          <w:szCs w:val="24"/>
        </w:rPr>
      </w:pPr>
      <w:r>
        <w:rPr>
          <w:rFonts w:ascii="宋体" w:hAnsi="宋体" w:eastAsia="宋体"/>
          <w:b/>
          <w:bCs w:val="0"/>
          <w:sz w:val="24"/>
          <w:szCs w:val="24"/>
        </w:rPr>
        <w:t>数据</w:t>
      </w:r>
      <w:r>
        <w:rPr>
          <w:rFonts w:hint="eastAsia" w:ascii="宋体" w:hAnsi="宋体" w:eastAsia="宋体"/>
          <w:b/>
          <w:bCs w:val="0"/>
          <w:sz w:val="24"/>
          <w:szCs w:val="24"/>
        </w:rPr>
        <w:t>汇聚</w:t>
      </w:r>
      <w:r>
        <w:rPr>
          <w:rFonts w:ascii="宋体" w:hAnsi="宋体" w:eastAsia="宋体"/>
          <w:b/>
          <w:bCs w:val="0"/>
          <w:sz w:val="24"/>
          <w:szCs w:val="24"/>
        </w:rPr>
        <w:t>系统</w:t>
      </w:r>
    </w:p>
    <w:p>
      <w:pPr>
        <w:spacing w:line="360" w:lineRule="auto"/>
        <w:ind w:firstLine="480" w:firstLineChars="200"/>
        <w:rPr>
          <w:rFonts w:ascii="宋体" w:hAnsi="宋体"/>
          <w:bCs/>
          <w:sz w:val="24"/>
          <w:szCs w:val="24"/>
        </w:rPr>
      </w:pPr>
      <w:r>
        <w:rPr>
          <w:rFonts w:hint="eastAsia" w:ascii="宋体" w:hAnsi="宋体"/>
          <w:bCs/>
          <w:sz w:val="24"/>
          <w:szCs w:val="24"/>
        </w:rPr>
        <w:t>现有智慧城管系统没有建设数据汇聚系统，主要通过前置库交换的方式实现城管局内业务系统的数据接入。</w:t>
      </w:r>
    </w:p>
    <w:p>
      <w:pPr>
        <w:pStyle w:val="3"/>
        <w:ind w:left="0" w:firstLine="482" w:firstLineChars="200"/>
        <w:rPr>
          <w:rFonts w:ascii="宋体" w:hAnsi="宋体" w:eastAsia="宋体"/>
          <w:b/>
          <w:bCs w:val="0"/>
          <w:sz w:val="24"/>
          <w:szCs w:val="24"/>
        </w:rPr>
      </w:pPr>
      <w:bookmarkStart w:id="3" w:name="_Toc103503121"/>
      <w:bookmarkStart w:id="4" w:name="_Toc120200563"/>
      <w:r>
        <w:rPr>
          <w:rFonts w:ascii="宋体" w:hAnsi="宋体" w:eastAsia="宋体"/>
          <w:b/>
          <w:bCs w:val="0"/>
          <w:sz w:val="24"/>
          <w:szCs w:val="24"/>
        </w:rPr>
        <w:t>统一工作台</w:t>
      </w:r>
      <w:bookmarkEnd w:id="3"/>
      <w:bookmarkEnd w:id="4"/>
    </w:p>
    <w:p>
      <w:pPr>
        <w:spacing w:line="360" w:lineRule="auto"/>
        <w:ind w:firstLine="480" w:firstLineChars="200"/>
        <w:rPr>
          <w:rFonts w:ascii="宋体" w:hAnsi="宋体"/>
          <w:bCs/>
          <w:sz w:val="24"/>
          <w:szCs w:val="24"/>
        </w:rPr>
      </w:pPr>
      <w:r>
        <w:rPr>
          <w:rFonts w:ascii="宋体" w:hAnsi="宋体"/>
          <w:bCs/>
          <w:sz w:val="24"/>
          <w:szCs w:val="24"/>
        </w:rPr>
        <w:t>智慧城管一期统一管理子系统集成了市城管局自有的11个业务系统</w:t>
      </w:r>
      <w:r>
        <w:rPr>
          <w:rFonts w:hint="eastAsia" w:ascii="宋体" w:hAnsi="宋体"/>
          <w:bCs/>
          <w:sz w:val="24"/>
          <w:szCs w:val="24"/>
        </w:rPr>
        <w:t>，</w:t>
      </w:r>
      <w:r>
        <w:rPr>
          <w:rFonts w:ascii="宋体" w:hAnsi="宋体"/>
          <w:bCs/>
          <w:sz w:val="24"/>
          <w:szCs w:val="24"/>
        </w:rPr>
        <w:t>缺少对国家、省厅、市城运中心等上级单位应用系统以及区县特色应用系统的集成</w:t>
      </w:r>
      <w:r>
        <w:rPr>
          <w:rFonts w:hint="eastAsia" w:ascii="宋体" w:hAnsi="宋体"/>
          <w:bCs/>
          <w:sz w:val="24"/>
          <w:szCs w:val="24"/>
        </w:rPr>
        <w:t>，</w:t>
      </w:r>
      <w:r>
        <w:rPr>
          <w:rFonts w:ascii="宋体" w:hAnsi="宋体"/>
          <w:bCs/>
          <w:sz w:val="24"/>
          <w:szCs w:val="24"/>
        </w:rPr>
        <w:t>没有形成覆盖全局，辐射区县的统一用户体系，且与无锡市一体化协同办公平台没有实现对接。</w:t>
      </w:r>
    </w:p>
    <w:p>
      <w:pPr>
        <w:pStyle w:val="3"/>
        <w:ind w:left="0" w:firstLine="482" w:firstLineChars="200"/>
        <w:rPr>
          <w:rFonts w:ascii="宋体" w:hAnsi="宋体" w:eastAsia="宋体"/>
          <w:b/>
          <w:bCs w:val="0"/>
          <w:sz w:val="24"/>
          <w:szCs w:val="24"/>
        </w:rPr>
      </w:pPr>
      <w:r>
        <w:rPr>
          <w:rFonts w:ascii="宋体" w:hAnsi="宋体" w:eastAsia="宋体"/>
          <w:b/>
          <w:bCs w:val="0"/>
          <w:sz w:val="24"/>
          <w:szCs w:val="24"/>
        </w:rPr>
        <w:t>智慧</w:t>
      </w:r>
      <w:r>
        <w:rPr>
          <w:rFonts w:hint="eastAsia" w:ascii="宋体" w:hAnsi="宋体" w:eastAsia="宋体"/>
          <w:b/>
          <w:bCs w:val="0"/>
          <w:sz w:val="24"/>
          <w:szCs w:val="24"/>
        </w:rPr>
        <w:t>案件</w:t>
      </w:r>
      <w:r>
        <w:rPr>
          <w:rFonts w:ascii="宋体" w:hAnsi="宋体" w:eastAsia="宋体"/>
          <w:b/>
          <w:bCs w:val="0"/>
          <w:sz w:val="24"/>
          <w:szCs w:val="24"/>
        </w:rPr>
        <w:t>系统</w:t>
      </w:r>
    </w:p>
    <w:p>
      <w:pPr>
        <w:spacing w:line="360" w:lineRule="auto"/>
        <w:ind w:firstLine="480" w:firstLineChars="200"/>
        <w:rPr>
          <w:rFonts w:ascii="宋体" w:hAnsi="宋体"/>
          <w:bCs/>
          <w:sz w:val="24"/>
          <w:szCs w:val="24"/>
        </w:rPr>
      </w:pPr>
      <w:r>
        <w:rPr>
          <w:rFonts w:ascii="宋体" w:hAnsi="宋体"/>
          <w:bCs/>
          <w:sz w:val="24"/>
          <w:szCs w:val="24"/>
        </w:rPr>
        <w:t>现有智慧案件系统已基于《优美环境合格区建设》文件要求，实现了市、区、街道、社区四级一体化平台纵向贯通，同时连接市级26个责任单位横向实现协同处置。主要包括以下内容：</w:t>
      </w:r>
    </w:p>
    <w:p>
      <w:pPr>
        <w:spacing w:line="360" w:lineRule="auto"/>
        <w:ind w:firstLine="480" w:firstLineChars="200"/>
        <w:rPr>
          <w:rFonts w:ascii="宋体" w:hAnsi="宋体"/>
          <w:bCs/>
          <w:sz w:val="24"/>
          <w:szCs w:val="24"/>
        </w:rPr>
      </w:pPr>
      <w:r>
        <w:rPr>
          <w:rFonts w:ascii="宋体" w:hAnsi="宋体"/>
          <w:bCs/>
          <w:sz w:val="24"/>
          <w:szCs w:val="24"/>
        </w:rPr>
        <w:t>1、工单分级科学化。依据城市问题影响市容程度、问题发生区域、问题类型等条件，给工单打上“红黄蓝绿”四色标签，按照优先级进行处置整改。</w:t>
      </w:r>
    </w:p>
    <w:p>
      <w:pPr>
        <w:spacing w:line="360" w:lineRule="auto"/>
        <w:ind w:firstLine="480" w:firstLineChars="200"/>
        <w:rPr>
          <w:rFonts w:ascii="宋体" w:hAnsi="宋体"/>
          <w:bCs/>
          <w:sz w:val="24"/>
          <w:szCs w:val="24"/>
        </w:rPr>
      </w:pPr>
      <w:r>
        <w:rPr>
          <w:rFonts w:ascii="宋体" w:hAnsi="宋体"/>
          <w:bCs/>
          <w:sz w:val="24"/>
          <w:szCs w:val="24"/>
        </w:rPr>
        <w:t>2、搭建智能派遣引擎，实现各类符合条件的城市管理问题自动派遣，通过梳理条块职责，完善采集处置规范，86%的工单实现自动交办处置，平均流转时间缩短80%。</w:t>
      </w:r>
    </w:p>
    <w:p>
      <w:pPr>
        <w:spacing w:line="360" w:lineRule="auto"/>
        <w:ind w:firstLine="480" w:firstLineChars="200"/>
        <w:rPr>
          <w:rFonts w:ascii="宋体" w:hAnsi="宋体"/>
          <w:bCs/>
          <w:sz w:val="24"/>
          <w:szCs w:val="24"/>
        </w:rPr>
      </w:pPr>
      <w:r>
        <w:rPr>
          <w:rFonts w:ascii="宋体" w:hAnsi="宋体"/>
          <w:bCs/>
          <w:sz w:val="24"/>
          <w:szCs w:val="24"/>
        </w:rPr>
        <w:t>3、对接物联网智能识别应用平台，获取智能识别预警数据，实现城市管理问题智能采集和处置核查。</w:t>
      </w:r>
    </w:p>
    <w:p>
      <w:pPr>
        <w:spacing w:line="360" w:lineRule="auto"/>
        <w:ind w:firstLine="480" w:firstLineChars="200"/>
        <w:rPr>
          <w:rFonts w:ascii="宋体" w:hAnsi="宋体"/>
          <w:bCs/>
          <w:sz w:val="24"/>
          <w:szCs w:val="24"/>
        </w:rPr>
      </w:pPr>
      <w:r>
        <w:rPr>
          <w:rFonts w:ascii="宋体" w:hAnsi="宋体"/>
          <w:bCs/>
          <w:sz w:val="24"/>
          <w:szCs w:val="24"/>
        </w:rPr>
        <w:t>4、业务流转科学化。在实现市区街道社区的四级平台一体流转的基础上，开创上下交互式的“双向”监管通道，推动实现“基层吹哨，部门报到”，实现治理体系变革。</w:t>
      </w:r>
    </w:p>
    <w:p>
      <w:pPr>
        <w:spacing w:line="360" w:lineRule="auto"/>
        <w:ind w:firstLine="480" w:firstLineChars="200"/>
        <w:rPr>
          <w:rFonts w:ascii="宋体" w:hAnsi="宋体"/>
          <w:bCs/>
          <w:sz w:val="24"/>
          <w:szCs w:val="24"/>
        </w:rPr>
      </w:pPr>
      <w:r>
        <w:rPr>
          <w:rFonts w:ascii="宋体" w:hAnsi="宋体"/>
          <w:bCs/>
          <w:sz w:val="24"/>
          <w:szCs w:val="24"/>
        </w:rPr>
        <w:t xml:space="preserve">5、开发了住宅小区评价模块，实现了对全市有物业小区的评价并根据巡查上报情况自动生成住宅小区考核得分。 </w:t>
      </w:r>
    </w:p>
    <w:p>
      <w:pPr>
        <w:spacing w:line="360" w:lineRule="auto"/>
        <w:ind w:firstLine="480" w:firstLineChars="200"/>
        <w:rPr>
          <w:rFonts w:ascii="宋体" w:hAnsi="宋体"/>
          <w:bCs/>
          <w:sz w:val="24"/>
          <w:szCs w:val="24"/>
        </w:rPr>
      </w:pPr>
      <w:r>
        <w:rPr>
          <w:rFonts w:ascii="宋体" w:hAnsi="宋体"/>
          <w:bCs/>
          <w:sz w:val="24"/>
          <w:szCs w:val="24"/>
        </w:rPr>
        <w:t>6、目前全市6个板块，有4个板块有自建的城管案件系统，用于实现自采问题的发现和处置，经开区和惠山区使用市级平台进行自查自纠。</w:t>
      </w:r>
    </w:p>
    <w:p>
      <w:pPr>
        <w:pStyle w:val="3"/>
        <w:ind w:left="0" w:firstLine="482" w:firstLineChars="200"/>
        <w:rPr>
          <w:rFonts w:ascii="宋体" w:hAnsi="宋体" w:eastAsia="宋体"/>
          <w:b/>
          <w:bCs w:val="0"/>
          <w:sz w:val="24"/>
          <w:szCs w:val="24"/>
        </w:rPr>
      </w:pPr>
      <w:r>
        <w:rPr>
          <w:rFonts w:ascii="宋体" w:hAnsi="宋体" w:eastAsia="宋体"/>
          <w:b/>
          <w:bCs w:val="0"/>
          <w:sz w:val="24"/>
          <w:szCs w:val="24"/>
        </w:rPr>
        <w:t>投诉处置系统</w:t>
      </w:r>
    </w:p>
    <w:p>
      <w:pPr>
        <w:spacing w:line="360" w:lineRule="auto"/>
        <w:ind w:firstLine="480" w:firstLineChars="200"/>
        <w:rPr>
          <w:rFonts w:ascii="宋体" w:hAnsi="宋体"/>
          <w:bCs/>
          <w:sz w:val="24"/>
          <w:szCs w:val="24"/>
        </w:rPr>
      </w:pPr>
      <w:r>
        <w:rPr>
          <w:rFonts w:ascii="宋体" w:hAnsi="宋体"/>
          <w:bCs/>
          <w:sz w:val="24"/>
          <w:szCs w:val="24"/>
        </w:rPr>
        <w:t>目前无锡市城管局仅具备一项与110平台对接的系统，仅覆盖市、区两级，还未涉及到街道。并且其余来源投诉事件（12345、阳光信访等）均需通过电话来转达，再通过微信的方式通知处置单位进行处理，效率低下，可追溯性较差。</w:t>
      </w:r>
    </w:p>
    <w:p>
      <w:pPr>
        <w:pStyle w:val="3"/>
        <w:ind w:left="0" w:firstLine="482" w:firstLineChars="200"/>
        <w:rPr>
          <w:rFonts w:ascii="宋体" w:hAnsi="宋体" w:eastAsia="宋体"/>
          <w:b/>
          <w:bCs w:val="0"/>
          <w:sz w:val="24"/>
          <w:szCs w:val="24"/>
        </w:rPr>
      </w:pPr>
      <w:r>
        <w:rPr>
          <w:rFonts w:ascii="宋体" w:hAnsi="宋体" w:eastAsia="宋体"/>
          <w:b/>
          <w:bCs w:val="0"/>
          <w:sz w:val="24"/>
          <w:szCs w:val="24"/>
        </w:rPr>
        <w:t>值班管理系统</w:t>
      </w:r>
    </w:p>
    <w:p>
      <w:pPr>
        <w:spacing w:line="360" w:lineRule="auto"/>
        <w:ind w:firstLine="480" w:firstLineChars="200"/>
        <w:rPr>
          <w:rFonts w:ascii="宋体" w:hAnsi="宋体"/>
          <w:bCs/>
          <w:sz w:val="24"/>
          <w:szCs w:val="24"/>
        </w:rPr>
      </w:pPr>
      <w:r>
        <w:rPr>
          <w:rFonts w:ascii="宋体" w:hAnsi="宋体"/>
          <w:bCs/>
          <w:sz w:val="24"/>
          <w:szCs w:val="24"/>
        </w:rPr>
        <w:t>无锡市城管局承接城市管理、市容环卫等领域的应急管理职能，需要应对做好人员值班、数据上报、文件流转等工作，目前尚无信息化系统支撑，完全靠人工处置，效率比较低下，亟需信息化手段内支撑。</w:t>
      </w:r>
    </w:p>
    <w:p>
      <w:pPr>
        <w:pStyle w:val="3"/>
        <w:ind w:left="0" w:firstLine="482" w:firstLineChars="200"/>
        <w:rPr>
          <w:rFonts w:ascii="宋体" w:hAnsi="宋体" w:eastAsia="宋体"/>
          <w:b/>
          <w:bCs w:val="0"/>
          <w:sz w:val="24"/>
          <w:szCs w:val="24"/>
        </w:rPr>
      </w:pPr>
      <w:r>
        <w:rPr>
          <w:rFonts w:ascii="宋体" w:hAnsi="宋体" w:eastAsia="宋体"/>
          <w:b/>
          <w:bCs w:val="0"/>
          <w:sz w:val="24"/>
          <w:szCs w:val="24"/>
        </w:rPr>
        <w:t>智慧环卫系统</w:t>
      </w:r>
    </w:p>
    <w:p>
      <w:pPr>
        <w:spacing w:line="360" w:lineRule="auto"/>
        <w:ind w:firstLine="480" w:firstLineChars="200"/>
        <w:rPr>
          <w:rFonts w:ascii="宋体" w:hAnsi="宋体"/>
          <w:bCs/>
          <w:sz w:val="24"/>
          <w:szCs w:val="24"/>
        </w:rPr>
      </w:pPr>
      <w:r>
        <w:rPr>
          <w:rFonts w:ascii="宋体" w:hAnsi="宋体"/>
          <w:bCs/>
          <w:sz w:val="24"/>
          <w:szCs w:val="24"/>
        </w:rPr>
        <w:t>无锡市2013年通过将环卫作业车辆GPS监控系统、垃圾终端处理计量系统、环卫门户网站及局域网内部OA系统等进行整合，同时补充了生活垃圾收集转运、环卫设施监管、终端处置监管、餐厨废弃物收集转运、环卫投诉受理和网络加密U盾等必要的监管功能。随后在2019年对环卫数字监控管理系统进行部分升级，项目建设内容包括建筑垃圾全过程监管、环卫作业质量考核监管平台、智慧公厕管理、生活垃圾收运体系监管改造升级、智慧环卫数据综合分析系统、环卫视频监控系统改造和前期系统数据迁移。</w:t>
      </w:r>
    </w:p>
    <w:p>
      <w:pPr>
        <w:pStyle w:val="3"/>
        <w:ind w:left="0" w:firstLine="482" w:firstLineChars="200"/>
        <w:rPr>
          <w:rFonts w:ascii="宋体" w:hAnsi="宋体" w:eastAsia="宋体"/>
          <w:b/>
          <w:bCs w:val="0"/>
          <w:sz w:val="24"/>
          <w:szCs w:val="24"/>
        </w:rPr>
      </w:pPr>
      <w:r>
        <w:rPr>
          <w:rFonts w:ascii="宋体" w:hAnsi="宋体" w:eastAsia="宋体"/>
          <w:b/>
          <w:bCs w:val="0"/>
          <w:sz w:val="24"/>
          <w:szCs w:val="24"/>
        </w:rPr>
        <w:t>智慧停车系统</w:t>
      </w:r>
    </w:p>
    <w:p>
      <w:pPr>
        <w:spacing w:line="360" w:lineRule="auto"/>
        <w:ind w:firstLine="480" w:firstLineChars="200"/>
        <w:rPr>
          <w:rFonts w:ascii="宋体" w:hAnsi="宋体"/>
          <w:bCs/>
          <w:sz w:val="24"/>
          <w:szCs w:val="24"/>
        </w:rPr>
      </w:pPr>
      <w:r>
        <w:rPr>
          <w:rFonts w:hint="eastAsia" w:ascii="宋体" w:hAnsi="宋体"/>
          <w:bCs/>
          <w:sz w:val="24"/>
          <w:szCs w:val="24"/>
        </w:rPr>
        <w:t>目前智慧停车系统主要实现了以下功能：</w:t>
      </w:r>
    </w:p>
    <w:p>
      <w:pPr>
        <w:spacing w:line="360" w:lineRule="auto"/>
        <w:ind w:firstLine="480" w:firstLineChars="200"/>
        <w:rPr>
          <w:rFonts w:ascii="宋体" w:hAnsi="宋体"/>
          <w:bCs/>
          <w:sz w:val="24"/>
          <w:szCs w:val="24"/>
        </w:rPr>
      </w:pPr>
      <w:r>
        <w:rPr>
          <w:rFonts w:hint="eastAsia" w:ascii="宋体" w:hAnsi="宋体"/>
          <w:bCs/>
          <w:sz w:val="24"/>
          <w:szCs w:val="24"/>
        </w:rPr>
        <w:t>1、统一数据标准建设。进行统一数据标准建设，实现统一数据接口，一是实现后期数据按标准接入，二是实现与其他系统按标准接口进行数据共享。编制无锡市智慧停车综合管理平台的标准数据规范和对接其他平台的接口技术规范</w:t>
      </w:r>
    </w:p>
    <w:p>
      <w:pPr>
        <w:spacing w:line="360" w:lineRule="auto"/>
        <w:ind w:firstLine="480" w:firstLineChars="200"/>
        <w:rPr>
          <w:rFonts w:ascii="宋体" w:hAnsi="宋体"/>
          <w:bCs/>
          <w:sz w:val="24"/>
          <w:szCs w:val="24"/>
        </w:rPr>
      </w:pPr>
      <w:r>
        <w:rPr>
          <w:rFonts w:hint="eastAsia" w:ascii="宋体" w:hAnsi="宋体"/>
          <w:bCs/>
          <w:sz w:val="24"/>
          <w:szCs w:val="24"/>
        </w:rPr>
        <w:t>2、停车静态数据接入。停车数据（静态数据）的采集接入，实现停车场（库）基本信息、位置信息、停车泊位数量、停车场（库）出入口信息、收费政策等信息的采集，用于实现监管、查询、导航等功能。</w:t>
      </w:r>
    </w:p>
    <w:p>
      <w:pPr>
        <w:spacing w:line="360" w:lineRule="auto"/>
        <w:ind w:firstLine="480" w:firstLineChars="200"/>
        <w:rPr>
          <w:rFonts w:ascii="宋体" w:hAnsi="宋体"/>
          <w:bCs/>
          <w:sz w:val="24"/>
          <w:szCs w:val="24"/>
        </w:rPr>
      </w:pPr>
      <w:r>
        <w:rPr>
          <w:rFonts w:hint="eastAsia" w:ascii="宋体" w:hAnsi="宋体"/>
          <w:bCs/>
          <w:sz w:val="24"/>
          <w:szCs w:val="24"/>
        </w:rPr>
        <w:t>3、停车动态数据接入。实现停车场（库）/道路 停车泊位占用情况、停车流水等停车相关动态数据的接入。</w:t>
      </w:r>
    </w:p>
    <w:p>
      <w:pPr>
        <w:spacing w:line="360" w:lineRule="auto"/>
        <w:ind w:firstLine="480" w:firstLineChars="200"/>
        <w:rPr>
          <w:rFonts w:ascii="宋体" w:hAnsi="宋体"/>
          <w:bCs/>
          <w:sz w:val="24"/>
          <w:szCs w:val="24"/>
        </w:rPr>
      </w:pPr>
      <w:r>
        <w:rPr>
          <w:rFonts w:hint="eastAsia" w:ascii="宋体" w:hAnsi="宋体"/>
          <w:bCs/>
          <w:sz w:val="24"/>
          <w:szCs w:val="24"/>
        </w:rPr>
        <w:t>4、停车综合管理。对停车资源实现综合管理，包括数据汇聚展示、监控管理、交易管理、停车管理、运营管理、系统设置等功能。</w:t>
      </w:r>
    </w:p>
    <w:p>
      <w:pPr>
        <w:spacing w:line="360" w:lineRule="auto"/>
        <w:ind w:firstLine="480" w:firstLineChars="200"/>
        <w:rPr>
          <w:rFonts w:ascii="宋体" w:hAnsi="宋体"/>
          <w:bCs/>
          <w:sz w:val="24"/>
          <w:szCs w:val="24"/>
        </w:rPr>
      </w:pPr>
      <w:r>
        <w:rPr>
          <w:rFonts w:hint="eastAsia" w:ascii="宋体" w:hAnsi="宋体"/>
          <w:bCs/>
          <w:sz w:val="24"/>
          <w:szCs w:val="24"/>
        </w:rPr>
        <w:t>5、停车服务。通过手机移动终端为市民提供查找附近停车场、查找目的地停车、停车场库空余车位查询以及支付等功能</w:t>
      </w:r>
    </w:p>
    <w:p>
      <w:pPr>
        <w:spacing w:line="360" w:lineRule="auto"/>
        <w:ind w:firstLine="480" w:firstLineChars="200"/>
        <w:rPr>
          <w:rFonts w:ascii="宋体" w:hAnsi="宋体"/>
          <w:bCs/>
          <w:sz w:val="24"/>
          <w:szCs w:val="24"/>
        </w:rPr>
      </w:pPr>
      <w:r>
        <w:rPr>
          <w:rFonts w:hint="eastAsia" w:ascii="宋体" w:hAnsi="宋体"/>
          <w:bCs/>
          <w:sz w:val="24"/>
          <w:szCs w:val="24"/>
        </w:rPr>
        <w:t>6、数据服务。停车系统产品供应商需负责从无锡市停车数据汇聚平台获取已汇聚的停车场及车辆相关数据，符合相关数据结构。</w:t>
      </w:r>
    </w:p>
    <w:p>
      <w:pPr>
        <w:pStyle w:val="3"/>
        <w:tabs>
          <w:tab w:val="clear" w:pos="993"/>
        </w:tabs>
        <w:ind w:left="0" w:firstLine="482" w:firstLineChars="200"/>
        <w:rPr>
          <w:rFonts w:ascii="宋体" w:hAnsi="宋体" w:eastAsia="宋体"/>
          <w:b/>
          <w:bCs w:val="0"/>
          <w:sz w:val="24"/>
          <w:szCs w:val="24"/>
        </w:rPr>
      </w:pPr>
      <w:r>
        <w:rPr>
          <w:rFonts w:ascii="宋体" w:hAnsi="宋体" w:eastAsia="宋体"/>
          <w:b/>
          <w:bCs w:val="0"/>
          <w:sz w:val="24"/>
          <w:szCs w:val="24"/>
        </w:rPr>
        <w:t>沿街商户生态精准治理系统</w:t>
      </w:r>
    </w:p>
    <w:p>
      <w:pPr>
        <w:spacing w:line="360" w:lineRule="auto"/>
        <w:ind w:firstLine="480" w:firstLineChars="200"/>
        <w:rPr>
          <w:rFonts w:ascii="宋体" w:hAnsi="宋体"/>
          <w:bCs/>
          <w:sz w:val="24"/>
          <w:szCs w:val="24"/>
        </w:rPr>
      </w:pPr>
      <w:r>
        <w:rPr>
          <w:rFonts w:ascii="宋体" w:hAnsi="宋体"/>
          <w:bCs/>
          <w:sz w:val="24"/>
          <w:szCs w:val="24"/>
        </w:rPr>
        <w:t>目前智慧城管在沿街商户管理方面还没有信息化系统支撑，属于短板和空白。市容环卫责任书都是纸质的，没有电子化和数据化，没有信息化系统支撑，缺乏巡查监管考核执法等相关信息化工作流程，导致沿街商户管理工作开展十分困难。</w:t>
      </w:r>
    </w:p>
    <w:p>
      <w:pPr>
        <w:pStyle w:val="3"/>
        <w:tabs>
          <w:tab w:val="clear" w:pos="993"/>
        </w:tabs>
        <w:ind w:left="0" w:firstLine="482" w:firstLineChars="200"/>
        <w:rPr>
          <w:rFonts w:ascii="宋体" w:hAnsi="宋体" w:eastAsia="宋体"/>
          <w:b/>
          <w:bCs w:val="0"/>
          <w:sz w:val="24"/>
          <w:szCs w:val="24"/>
        </w:rPr>
      </w:pPr>
      <w:r>
        <w:rPr>
          <w:rFonts w:ascii="宋体" w:hAnsi="宋体" w:eastAsia="宋体"/>
          <w:b/>
          <w:bCs w:val="0"/>
          <w:sz w:val="24"/>
          <w:szCs w:val="24"/>
        </w:rPr>
        <w:t>执法监督系统</w:t>
      </w:r>
    </w:p>
    <w:p>
      <w:pPr>
        <w:spacing w:line="360" w:lineRule="auto"/>
        <w:ind w:firstLine="480" w:firstLineChars="200"/>
        <w:rPr>
          <w:rFonts w:ascii="宋体" w:hAnsi="宋体"/>
          <w:bCs/>
          <w:sz w:val="24"/>
          <w:szCs w:val="24"/>
        </w:rPr>
      </w:pPr>
      <w:r>
        <w:rPr>
          <w:rFonts w:ascii="宋体" w:hAnsi="宋体"/>
          <w:bCs/>
          <w:sz w:val="24"/>
          <w:szCs w:val="24"/>
        </w:rPr>
        <w:t>无锡城管办案系统由2013年建设开发，办案系统主要功能是满足城管执法支队和各城管分局的简易程序案件和一般程序案件在线办理，支持按分局设置一般案件审批流程，包括办案人员登记、中队长审核、法制员审核、大队长审核，法制科审核、法规处审核、局长审核</w:t>
      </w:r>
      <w:r>
        <w:rPr>
          <w:rFonts w:hint="eastAsia" w:ascii="宋体" w:hAnsi="宋体"/>
          <w:bCs/>
          <w:sz w:val="24"/>
          <w:szCs w:val="24"/>
        </w:rPr>
        <w:t>、</w:t>
      </w:r>
      <w:r>
        <w:rPr>
          <w:rFonts w:ascii="宋体" w:hAnsi="宋体"/>
          <w:bCs/>
          <w:sz w:val="24"/>
          <w:szCs w:val="24"/>
        </w:rPr>
        <w:t>法规管理、案件统计分析、案号管理等功能。</w:t>
      </w:r>
    </w:p>
    <w:p>
      <w:pPr>
        <w:pStyle w:val="3"/>
        <w:tabs>
          <w:tab w:val="clear" w:pos="993"/>
        </w:tabs>
        <w:ind w:left="0" w:firstLine="482" w:firstLineChars="200"/>
        <w:rPr>
          <w:rFonts w:ascii="宋体" w:hAnsi="宋体" w:eastAsia="宋体"/>
          <w:b/>
          <w:bCs w:val="0"/>
          <w:sz w:val="24"/>
          <w:szCs w:val="24"/>
        </w:rPr>
      </w:pPr>
      <w:bookmarkStart w:id="5" w:name="_Toc103001351"/>
      <w:bookmarkStart w:id="6" w:name="_Toc120200570"/>
      <w:bookmarkStart w:id="7" w:name="_Toc103503128"/>
      <w:r>
        <w:rPr>
          <w:rFonts w:ascii="宋体" w:hAnsi="宋体" w:eastAsia="宋体"/>
          <w:b/>
          <w:bCs w:val="0"/>
          <w:sz w:val="24"/>
          <w:szCs w:val="24"/>
        </w:rPr>
        <w:t>城市管理公众服务系统</w:t>
      </w:r>
      <w:bookmarkEnd w:id="5"/>
      <w:bookmarkEnd w:id="6"/>
      <w:bookmarkEnd w:id="7"/>
    </w:p>
    <w:p>
      <w:pPr>
        <w:spacing w:line="360" w:lineRule="auto"/>
        <w:ind w:firstLine="480" w:firstLineChars="200"/>
        <w:rPr>
          <w:rFonts w:ascii="宋体" w:hAnsi="宋体"/>
          <w:bCs/>
          <w:sz w:val="24"/>
          <w:szCs w:val="24"/>
        </w:rPr>
      </w:pPr>
      <w:r>
        <w:rPr>
          <w:rFonts w:ascii="宋体" w:hAnsi="宋体"/>
          <w:bCs/>
          <w:sz w:val="24"/>
          <w:szCs w:val="24"/>
        </w:rPr>
        <w:t>公众可以访问城管官方微信公众号查看城管官方新闻，缺少提供公众诉求、便民服务及满意度评价调查等其他城管相关领域的服务渠道</w:t>
      </w:r>
      <w:r>
        <w:rPr>
          <w:rFonts w:hint="eastAsia" w:ascii="宋体" w:hAnsi="宋体"/>
          <w:bCs/>
          <w:sz w:val="24"/>
          <w:szCs w:val="24"/>
        </w:rPr>
        <w:t>。</w:t>
      </w:r>
    </w:p>
    <w:p>
      <w:pPr>
        <w:pStyle w:val="3"/>
        <w:tabs>
          <w:tab w:val="clear" w:pos="993"/>
        </w:tabs>
        <w:ind w:left="0" w:firstLine="482" w:firstLineChars="200"/>
        <w:rPr>
          <w:rFonts w:ascii="宋体" w:hAnsi="宋体" w:eastAsia="宋体"/>
          <w:b/>
          <w:bCs w:val="0"/>
          <w:sz w:val="24"/>
          <w:szCs w:val="24"/>
        </w:rPr>
      </w:pPr>
      <w:r>
        <w:rPr>
          <w:rFonts w:ascii="宋体" w:hAnsi="宋体" w:eastAsia="宋体"/>
          <w:b/>
          <w:bCs w:val="0"/>
          <w:sz w:val="24"/>
          <w:szCs w:val="24"/>
        </w:rPr>
        <w:t>运行监测系统</w:t>
      </w:r>
    </w:p>
    <w:p>
      <w:pPr>
        <w:spacing w:line="360" w:lineRule="auto"/>
        <w:ind w:firstLine="480" w:firstLineChars="200"/>
        <w:rPr>
          <w:rFonts w:ascii="宋体" w:hAnsi="宋体"/>
          <w:bCs/>
          <w:sz w:val="24"/>
          <w:szCs w:val="24"/>
        </w:rPr>
      </w:pPr>
      <w:r>
        <w:rPr>
          <w:rFonts w:ascii="宋体" w:hAnsi="宋体"/>
          <w:bCs/>
          <w:sz w:val="24"/>
          <w:szCs w:val="24"/>
        </w:rPr>
        <w:t>目前在住建和城市管理领域对城市运行各类事项缺少统一的监测平台，没有相关的信息系统。城管局仅在智慧环卫、智慧停车子系统分散接入了环卫设施和停车场的相关监测数据，数据分散存储与这两个业务子系统，烟囱式运行，无法形成一体化管理。城市管理工作中已经建设或后续将建设的执法记录仪、视频监控物联传感数据、采集员考勤工牌、第三方服务团队的智能手环等设备，均缺少统一的监测管理平台。</w:t>
      </w:r>
    </w:p>
    <w:p>
      <w:pPr>
        <w:pStyle w:val="3"/>
        <w:tabs>
          <w:tab w:val="clear" w:pos="993"/>
        </w:tabs>
        <w:ind w:left="0" w:firstLine="482" w:firstLineChars="200"/>
        <w:rPr>
          <w:rFonts w:ascii="宋体" w:hAnsi="宋体" w:eastAsia="宋体"/>
          <w:b/>
          <w:bCs w:val="0"/>
          <w:sz w:val="24"/>
          <w:szCs w:val="24"/>
        </w:rPr>
      </w:pPr>
      <w:bookmarkStart w:id="8" w:name="_Toc103503130"/>
      <w:bookmarkStart w:id="9" w:name="_Toc120200572"/>
      <w:r>
        <w:rPr>
          <w:rFonts w:ascii="宋体" w:hAnsi="宋体" w:eastAsia="宋体"/>
          <w:b/>
          <w:bCs w:val="0"/>
          <w:sz w:val="24"/>
          <w:szCs w:val="24"/>
        </w:rPr>
        <w:t>城市管理综合评价系统</w:t>
      </w:r>
      <w:bookmarkEnd w:id="8"/>
      <w:bookmarkEnd w:id="9"/>
    </w:p>
    <w:p>
      <w:pPr>
        <w:spacing w:line="360" w:lineRule="auto"/>
        <w:ind w:firstLine="480" w:firstLineChars="200"/>
        <w:rPr>
          <w:rFonts w:ascii="宋体" w:hAnsi="宋体"/>
          <w:bCs/>
          <w:sz w:val="24"/>
          <w:szCs w:val="24"/>
        </w:rPr>
      </w:pPr>
      <w:r>
        <w:rPr>
          <w:rFonts w:hint="eastAsia" w:ascii="宋体" w:hAnsi="宋体"/>
          <w:bCs/>
          <w:sz w:val="24"/>
          <w:szCs w:val="24"/>
        </w:rPr>
        <w:t>目前没有建设</w:t>
      </w:r>
      <w:r>
        <w:rPr>
          <w:rFonts w:ascii="宋体" w:hAnsi="宋体"/>
          <w:bCs/>
          <w:sz w:val="24"/>
          <w:szCs w:val="24"/>
        </w:rPr>
        <w:t>相关信息化</w:t>
      </w:r>
      <w:r>
        <w:rPr>
          <w:rFonts w:hint="eastAsia" w:ascii="宋体" w:hAnsi="宋体"/>
          <w:bCs/>
          <w:sz w:val="24"/>
          <w:szCs w:val="24"/>
        </w:rPr>
        <w:t>综合评价</w:t>
      </w:r>
      <w:r>
        <w:rPr>
          <w:rFonts w:ascii="宋体" w:hAnsi="宋体"/>
          <w:bCs/>
          <w:sz w:val="24"/>
          <w:szCs w:val="24"/>
        </w:rPr>
        <w:t>系统，仅在城管局各子系统内对相关业务进行评价。</w:t>
      </w:r>
    </w:p>
    <w:p>
      <w:pPr>
        <w:pStyle w:val="3"/>
        <w:tabs>
          <w:tab w:val="clear" w:pos="993"/>
        </w:tabs>
        <w:ind w:left="0" w:firstLine="482" w:firstLineChars="200"/>
        <w:rPr>
          <w:rFonts w:ascii="宋体" w:hAnsi="宋体" w:eastAsia="宋体"/>
          <w:b/>
          <w:bCs w:val="0"/>
          <w:sz w:val="24"/>
          <w:szCs w:val="24"/>
        </w:rPr>
      </w:pPr>
      <w:bookmarkStart w:id="10" w:name="_Toc120200573"/>
      <w:bookmarkStart w:id="11" w:name="_Toc103001354"/>
      <w:bookmarkStart w:id="12" w:name="_Toc103503131"/>
      <w:r>
        <w:rPr>
          <w:rFonts w:ascii="宋体" w:hAnsi="宋体" w:eastAsia="宋体"/>
          <w:b/>
          <w:bCs w:val="0"/>
          <w:sz w:val="24"/>
          <w:szCs w:val="24"/>
        </w:rPr>
        <w:t>决策建议系统</w:t>
      </w:r>
      <w:bookmarkEnd w:id="10"/>
      <w:bookmarkEnd w:id="11"/>
      <w:bookmarkEnd w:id="12"/>
    </w:p>
    <w:p>
      <w:pPr>
        <w:spacing w:line="360" w:lineRule="auto"/>
        <w:ind w:firstLine="480" w:firstLineChars="200"/>
        <w:rPr>
          <w:rFonts w:ascii="宋体" w:hAnsi="宋体"/>
          <w:bCs/>
          <w:sz w:val="24"/>
          <w:szCs w:val="24"/>
        </w:rPr>
      </w:pPr>
      <w:r>
        <w:rPr>
          <w:rFonts w:ascii="宋体" w:hAnsi="宋体"/>
          <w:bCs/>
          <w:sz w:val="24"/>
          <w:szCs w:val="24"/>
        </w:rPr>
        <w:t>智慧城管一期建设内容主要围绕无锡市城市精细化管理和优美环境合格区建设工作开展，主要针对城管自有业务。尚未覆盖其他成员单位业务需求，尚无法满足部颁标准关于决策建议系统针对城市运行管理“一网统管”统筹决策方面的要求。智慧城管一期项目建设的大数据分析决策平台，包括智慧城市云图、分析研判子系统、风险预警子系统、BI分析子系统、综合评价分析、城管大数据可视化子系统等内容。</w:t>
      </w:r>
    </w:p>
    <w:p>
      <w:pPr>
        <w:pStyle w:val="2"/>
        <w:tabs>
          <w:tab w:val="left" w:pos="284"/>
          <w:tab w:val="clear" w:pos="480"/>
        </w:tabs>
        <w:adjustRightInd w:val="0"/>
        <w:snapToGrid w:val="0"/>
        <w:spacing w:before="0" w:beforeLines="0" w:after="0" w:afterLines="0" w:line="240" w:lineRule="auto"/>
        <w:ind w:left="0" w:firstLine="482" w:firstLineChars="200"/>
        <w:rPr>
          <w:rFonts w:ascii="仿宋_GB2312" w:eastAsia="仿宋_GB2312"/>
          <w:sz w:val="24"/>
          <w:szCs w:val="24"/>
        </w:rPr>
      </w:pPr>
      <w:bookmarkStart w:id="13" w:name="_Toc48117515"/>
      <w:r>
        <w:rPr>
          <w:rFonts w:hint="eastAsia" w:ascii="仿宋_GB2312" w:eastAsia="仿宋_GB2312"/>
          <w:sz w:val="24"/>
          <w:szCs w:val="24"/>
        </w:rPr>
        <w:t>建设目标</w:t>
      </w:r>
    </w:p>
    <w:p>
      <w:pPr>
        <w:spacing w:line="360" w:lineRule="auto"/>
        <w:ind w:firstLine="480" w:firstLineChars="200"/>
        <w:rPr>
          <w:rFonts w:ascii="宋体" w:hAnsi="宋体"/>
          <w:bCs/>
          <w:sz w:val="24"/>
          <w:szCs w:val="24"/>
        </w:rPr>
      </w:pPr>
      <w:r>
        <w:rPr>
          <w:rFonts w:ascii="宋体" w:hAnsi="宋体"/>
          <w:bCs/>
          <w:sz w:val="24"/>
          <w:szCs w:val="24"/>
        </w:rPr>
        <w:t>以城市运行管理“一网统管”为目标，围绕城市运行安全高效健康、城市管理干净整洁有序、为民服务精准精细精致，以物联网、大数据、人工智能、5G移动通信等前沿技术为支撑，构建“1+1+1+N”的智慧城市运行管理服务体系，通过1套城市数字基础设施、1套城市运行管理服务平台、1套城市运行管理指挥中心、N个智慧应用的建设，加强对城市运行管理服务状况的实时监测、动态分析、统筹协调、指挥监督和综合评价，不断增强人民群众的获得感、幸福感、安全感。</w:t>
      </w:r>
    </w:p>
    <w:p>
      <w:pPr>
        <w:pStyle w:val="3"/>
        <w:tabs>
          <w:tab w:val="clear" w:pos="993"/>
        </w:tabs>
        <w:ind w:left="0" w:firstLine="482" w:firstLineChars="200"/>
        <w:rPr>
          <w:rFonts w:ascii="宋体" w:hAnsi="宋体" w:eastAsia="宋体"/>
          <w:b/>
          <w:bCs w:val="0"/>
          <w:sz w:val="24"/>
          <w:szCs w:val="24"/>
        </w:rPr>
      </w:pPr>
      <w:r>
        <w:rPr>
          <w:rFonts w:ascii="宋体" w:hAnsi="宋体" w:eastAsia="宋体"/>
          <w:b/>
          <w:bCs w:val="0"/>
          <w:sz w:val="24"/>
          <w:szCs w:val="24"/>
        </w:rPr>
        <w:t>夯实信息基础设施</w:t>
      </w:r>
    </w:p>
    <w:p>
      <w:pPr>
        <w:spacing w:line="360" w:lineRule="auto"/>
        <w:ind w:firstLine="480" w:firstLineChars="200"/>
        <w:rPr>
          <w:rFonts w:ascii="宋体" w:hAnsi="宋体"/>
          <w:bCs/>
          <w:sz w:val="24"/>
          <w:szCs w:val="24"/>
        </w:rPr>
      </w:pPr>
      <w:r>
        <w:rPr>
          <w:rFonts w:ascii="宋体" w:hAnsi="宋体"/>
          <w:bCs/>
          <w:sz w:val="24"/>
          <w:szCs w:val="24"/>
        </w:rPr>
        <w:t>通过强化共用基础设施建设，促进感知、通信和计算资源集约，实现云计算、物联网、大数据等新技术的有效应用，集约化建设城市运行管理指挥中心，建立感知网络的共建共享运营机制，建设信息资源的共享交换平台，形成较为完善的信息资源共享机制，强化网络空间安全基础服务，打造立体化的网络安全防护与治理能力。</w:t>
      </w:r>
    </w:p>
    <w:p>
      <w:pPr>
        <w:pStyle w:val="3"/>
        <w:tabs>
          <w:tab w:val="clear" w:pos="993"/>
        </w:tabs>
        <w:ind w:left="0" w:firstLine="482" w:firstLineChars="200"/>
        <w:rPr>
          <w:rFonts w:ascii="宋体" w:hAnsi="宋体" w:eastAsia="宋体"/>
          <w:b/>
          <w:bCs w:val="0"/>
          <w:sz w:val="24"/>
          <w:szCs w:val="24"/>
        </w:rPr>
      </w:pPr>
      <w:r>
        <w:rPr>
          <w:rFonts w:hint="eastAsia" w:ascii="宋体" w:hAnsi="宋体" w:eastAsia="宋体"/>
          <w:b/>
          <w:bCs w:val="0"/>
          <w:sz w:val="24"/>
          <w:szCs w:val="24"/>
        </w:rPr>
        <w:t>提高城市管理水平</w:t>
      </w:r>
    </w:p>
    <w:p>
      <w:pPr>
        <w:spacing w:line="360" w:lineRule="auto"/>
        <w:ind w:firstLine="480" w:firstLineChars="200"/>
        <w:rPr>
          <w:rFonts w:ascii="宋体" w:hAnsi="宋体"/>
          <w:bCs/>
          <w:sz w:val="24"/>
          <w:szCs w:val="24"/>
        </w:rPr>
      </w:pPr>
      <w:r>
        <w:rPr>
          <w:rFonts w:ascii="宋体" w:hAnsi="宋体"/>
          <w:bCs/>
          <w:sz w:val="24"/>
          <w:szCs w:val="24"/>
        </w:rPr>
        <w:t>信息技术和城市管理深度融合，实现问题的集中受理、事件的智能分拨和跟踪督办全流程可视化管控，最终实现一张图辅助决策、综合分析研判、联动指挥等，让城市管理可看、可管、可感知，提高政府行政效能，大幅提升城市管理数字化、精细化水平，实现一网管全城。</w:t>
      </w:r>
    </w:p>
    <w:p>
      <w:pPr>
        <w:pStyle w:val="3"/>
        <w:keepNext w:val="0"/>
        <w:keepLines w:val="0"/>
        <w:numPr>
          <w:ilvl w:val="1"/>
          <w:numId w:val="0"/>
        </w:numPr>
        <w:tabs>
          <w:tab w:val="left" w:pos="142"/>
          <w:tab w:val="left" w:pos="432"/>
          <w:tab w:val="left" w:pos="864"/>
        </w:tabs>
        <w:ind w:firstLine="482" w:firstLineChars="200"/>
        <w:rPr>
          <w:rFonts w:ascii="宋体" w:hAnsi="宋体" w:eastAsia="宋体" w:cstheme="majorHAnsi"/>
          <w:b/>
          <w:bCs w:val="0"/>
          <w:sz w:val="24"/>
          <w:szCs w:val="24"/>
        </w:rPr>
      </w:pPr>
      <w:r>
        <w:rPr>
          <w:rFonts w:hint="eastAsia" w:ascii="宋体" w:hAnsi="宋体" w:eastAsia="宋体" w:cstheme="majorHAnsi"/>
          <w:b/>
          <w:bCs w:val="0"/>
          <w:sz w:val="24"/>
          <w:szCs w:val="24"/>
        </w:rPr>
        <w:t>3.3 提升风险防控能力</w:t>
      </w:r>
    </w:p>
    <w:p>
      <w:pPr>
        <w:spacing w:line="360" w:lineRule="auto"/>
        <w:ind w:firstLine="480" w:firstLineChars="200"/>
        <w:rPr>
          <w:rFonts w:ascii="宋体" w:hAnsi="宋体"/>
          <w:bCs/>
          <w:sz w:val="24"/>
          <w:szCs w:val="24"/>
        </w:rPr>
      </w:pPr>
      <w:r>
        <w:rPr>
          <w:rFonts w:ascii="宋体" w:hAnsi="宋体"/>
          <w:bCs/>
          <w:sz w:val="24"/>
          <w:szCs w:val="24"/>
        </w:rPr>
        <w:t>构建城市建设管理运行状况的实时监测、动态分析、统筹协调、指挥监督和综合评价体系，对城市运行各个领域实时运行信息进行采集，并结合系统设定的阈值区间和时间维度，生成异常预警信息，实现实时监测预警一体化，提升城市运行风险防控能力。</w:t>
      </w:r>
    </w:p>
    <w:p>
      <w:pPr>
        <w:pStyle w:val="3"/>
        <w:keepNext w:val="0"/>
        <w:keepLines w:val="0"/>
        <w:numPr>
          <w:ilvl w:val="1"/>
          <w:numId w:val="0"/>
        </w:numPr>
        <w:tabs>
          <w:tab w:val="left" w:pos="142"/>
          <w:tab w:val="left" w:pos="432"/>
          <w:tab w:val="left" w:pos="864"/>
        </w:tabs>
        <w:ind w:firstLine="482" w:firstLineChars="200"/>
        <w:rPr>
          <w:rFonts w:ascii="宋体" w:hAnsi="宋体" w:eastAsia="宋体" w:cstheme="majorHAnsi"/>
          <w:b/>
          <w:bCs w:val="0"/>
          <w:sz w:val="24"/>
          <w:szCs w:val="24"/>
        </w:rPr>
      </w:pPr>
      <w:r>
        <w:rPr>
          <w:rFonts w:hint="eastAsia" w:ascii="宋体" w:hAnsi="宋体" w:eastAsia="宋体" w:cstheme="majorHAnsi"/>
          <w:b/>
          <w:bCs w:val="0"/>
          <w:sz w:val="24"/>
          <w:szCs w:val="24"/>
        </w:rPr>
        <w:t>3.4 提高公共服务质量</w:t>
      </w:r>
    </w:p>
    <w:p>
      <w:pPr>
        <w:spacing w:line="360" w:lineRule="auto"/>
        <w:ind w:firstLine="480" w:firstLineChars="200"/>
        <w:rPr>
          <w:rFonts w:ascii="宋体" w:hAnsi="宋体"/>
          <w:bCs/>
          <w:sz w:val="24"/>
          <w:szCs w:val="24"/>
        </w:rPr>
      </w:pPr>
      <w:r>
        <w:rPr>
          <w:rFonts w:ascii="宋体" w:hAnsi="宋体"/>
          <w:bCs/>
          <w:sz w:val="24"/>
          <w:szCs w:val="24"/>
        </w:rPr>
        <w:t>城市运行管理服务平台的建设，使得各级业务部门具有充分的信息保证和技术支持手段，来整合服务资源，丰富服务渠道，提高服务效率，改造或者完善工作流程，公共服务领域的信息化应用向深度和广度拓展，使市民获取基本公共服务更加方便、及时、高效，形成以居民为核心的政府服务体系，加快向服务型政府的转变。</w:t>
      </w:r>
    </w:p>
    <w:bookmarkEnd w:id="13"/>
    <w:p>
      <w:pPr>
        <w:pStyle w:val="2"/>
        <w:tabs>
          <w:tab w:val="left" w:pos="284"/>
          <w:tab w:val="clear" w:pos="480"/>
        </w:tabs>
        <w:adjustRightInd w:val="0"/>
        <w:snapToGrid w:val="0"/>
        <w:spacing w:before="0" w:beforeLines="0" w:after="0" w:afterLines="0" w:line="240" w:lineRule="auto"/>
        <w:ind w:left="0" w:firstLine="482" w:firstLineChars="200"/>
        <w:rPr>
          <w:rFonts w:ascii="仿宋_GB2312" w:eastAsia="仿宋_GB2312"/>
          <w:sz w:val="24"/>
          <w:szCs w:val="24"/>
        </w:rPr>
      </w:pPr>
      <w:r>
        <w:rPr>
          <w:rFonts w:hint="eastAsia" w:ascii="仿宋_GB2312" w:eastAsia="仿宋_GB2312"/>
          <w:sz w:val="24"/>
          <w:szCs w:val="24"/>
        </w:rPr>
        <w:t>业务需求及采购要求</w:t>
      </w:r>
    </w:p>
    <w:p>
      <w:pPr>
        <w:spacing w:line="360" w:lineRule="auto"/>
        <w:ind w:firstLine="480" w:firstLineChars="200"/>
        <w:rPr>
          <w:rFonts w:ascii="宋体" w:hAnsi="宋体"/>
          <w:bCs/>
          <w:sz w:val="24"/>
          <w:szCs w:val="24"/>
        </w:rPr>
      </w:pPr>
      <w:r>
        <w:rPr>
          <w:rFonts w:hint="eastAsia" w:ascii="宋体" w:hAnsi="宋体"/>
          <w:bCs/>
          <w:sz w:val="24"/>
          <w:szCs w:val="24"/>
        </w:rPr>
        <w:t>本项目主要采购</w:t>
      </w:r>
      <w:r>
        <w:rPr>
          <w:rFonts w:ascii="宋体" w:hAnsi="宋体"/>
          <w:bCs/>
          <w:sz w:val="24"/>
          <w:szCs w:val="24"/>
        </w:rPr>
        <w:t>内容</w:t>
      </w:r>
      <w:r>
        <w:rPr>
          <w:rFonts w:hint="eastAsia" w:ascii="宋体" w:hAnsi="宋体"/>
          <w:bCs/>
          <w:sz w:val="24"/>
          <w:szCs w:val="24"/>
        </w:rPr>
        <w:t>如</w:t>
      </w:r>
      <w:r>
        <w:rPr>
          <w:rFonts w:ascii="宋体" w:hAnsi="宋体"/>
          <w:bCs/>
          <w:sz w:val="24"/>
          <w:szCs w:val="24"/>
        </w:rPr>
        <w:t>下表所示：</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1"/>
        <w:gridCol w:w="1773"/>
        <w:gridCol w:w="2502"/>
        <w:gridCol w:w="1600"/>
        <w:gridCol w:w="740"/>
        <w:gridCol w:w="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blHeader/>
        </w:trPr>
        <w:tc>
          <w:tcPr>
            <w:tcW w:w="558" w:type="pct"/>
            <w:tcBorders>
              <w:bottom w:val="nil"/>
              <w:right w:val="single" w:color="000000" w:sz="4" w:space="0"/>
            </w:tcBorders>
            <w:shd w:val="clear" w:color="auto" w:fill="E7E6E6"/>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序号</w:t>
            </w:r>
          </w:p>
        </w:tc>
        <w:tc>
          <w:tcPr>
            <w:tcW w:w="1040" w:type="pct"/>
            <w:tcBorders>
              <w:left w:val="single" w:color="000000" w:sz="4" w:space="0"/>
              <w:bottom w:val="nil"/>
              <w:right w:val="single" w:color="000000" w:sz="4" w:space="0"/>
            </w:tcBorders>
            <w:shd w:val="clear" w:color="auto" w:fill="E7E6E6"/>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分类</w:t>
            </w:r>
          </w:p>
        </w:tc>
        <w:tc>
          <w:tcPr>
            <w:tcW w:w="1468" w:type="pct"/>
            <w:tcBorders>
              <w:left w:val="single" w:color="000000" w:sz="4" w:space="0"/>
              <w:bottom w:val="nil"/>
              <w:right w:val="single" w:color="000000" w:sz="4" w:space="0"/>
            </w:tcBorders>
            <w:shd w:val="clear" w:color="auto" w:fill="E7E6E6"/>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采购内容</w:t>
            </w:r>
          </w:p>
        </w:tc>
        <w:tc>
          <w:tcPr>
            <w:tcW w:w="939" w:type="pct"/>
            <w:tcBorders>
              <w:left w:val="single" w:color="000000" w:sz="4" w:space="0"/>
              <w:bottom w:val="nil"/>
              <w:right w:val="single" w:color="000000" w:sz="4" w:space="0"/>
            </w:tcBorders>
            <w:shd w:val="clear" w:color="auto" w:fill="E7E6E6"/>
            <w:vAlign w:val="center"/>
          </w:tcPr>
          <w:p>
            <w:pPr>
              <w:widowControl/>
              <w:spacing w:line="240" w:lineRule="exact"/>
              <w:jc w:val="center"/>
              <w:rPr>
                <w:rFonts w:ascii="宋体" w:hAnsi="宋体" w:cs="宋体"/>
                <w:kern w:val="0"/>
                <w:sz w:val="22"/>
                <w:lang w:bidi="ar"/>
              </w:rPr>
            </w:pPr>
            <w:r>
              <w:rPr>
                <w:rFonts w:hint="eastAsia" w:ascii="宋体" w:hAnsi="宋体" w:cs="宋体"/>
                <w:kern w:val="0"/>
                <w:sz w:val="22"/>
                <w:lang w:bidi="ar"/>
              </w:rPr>
              <w:t>技术要求</w:t>
            </w:r>
          </w:p>
        </w:tc>
        <w:tc>
          <w:tcPr>
            <w:tcW w:w="434" w:type="pct"/>
            <w:tcBorders>
              <w:left w:val="single" w:color="000000" w:sz="4" w:space="0"/>
              <w:bottom w:val="nil"/>
              <w:right w:val="single" w:color="000000" w:sz="4" w:space="0"/>
            </w:tcBorders>
            <w:shd w:val="clear" w:color="auto" w:fill="E7E6E6"/>
          </w:tcPr>
          <w:p>
            <w:pPr>
              <w:widowControl/>
              <w:jc w:val="center"/>
              <w:textAlignment w:val="center"/>
              <w:rPr>
                <w:rFonts w:ascii="宋体" w:hAnsi="宋体" w:cs="宋体"/>
                <w:kern w:val="0"/>
                <w:sz w:val="22"/>
                <w:lang w:bidi="ar"/>
              </w:rPr>
            </w:pPr>
            <w:r>
              <w:rPr>
                <w:rFonts w:hint="eastAsia" w:ascii="宋体" w:hAnsi="宋体" w:cs="宋体"/>
                <w:kern w:val="0"/>
                <w:sz w:val="22"/>
                <w:lang w:bidi="ar"/>
              </w:rPr>
              <w:t>数量</w:t>
            </w:r>
          </w:p>
        </w:tc>
        <w:tc>
          <w:tcPr>
            <w:tcW w:w="559" w:type="pct"/>
            <w:tcBorders>
              <w:left w:val="nil"/>
              <w:bottom w:val="nil"/>
            </w:tcBorders>
            <w:shd w:val="clear" w:color="auto" w:fill="E7E6E6"/>
          </w:tcPr>
          <w:p>
            <w:pPr>
              <w:widowControl/>
              <w:jc w:val="center"/>
              <w:textAlignment w:val="center"/>
              <w:rPr>
                <w:rFonts w:ascii="宋体" w:hAnsi="宋体" w:cs="宋体"/>
                <w:kern w:val="0"/>
                <w:sz w:val="22"/>
                <w:lang w:bidi="ar"/>
              </w:rPr>
            </w:pPr>
            <w:r>
              <w:rPr>
                <w:rFonts w:hint="eastAsia" w:ascii="宋体" w:hAnsi="宋体" w:cs="宋体"/>
                <w:kern w:val="0"/>
                <w:sz w:val="22"/>
                <w:lang w:bidi="ar"/>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1</w:t>
            </w:r>
          </w:p>
        </w:tc>
        <w:tc>
          <w:tcPr>
            <w:tcW w:w="1040"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基础设施</w:t>
            </w: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指挥中心升级改造</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2</w:t>
            </w:r>
          </w:p>
        </w:tc>
        <w:tc>
          <w:tcPr>
            <w:tcW w:w="1040"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设备间更新</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3</w:t>
            </w:r>
          </w:p>
        </w:tc>
        <w:tc>
          <w:tcPr>
            <w:tcW w:w="1040"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智慧环卫设备</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4</w:t>
            </w:r>
          </w:p>
        </w:tc>
        <w:tc>
          <w:tcPr>
            <w:tcW w:w="1040"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沿街商户治理设备</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5</w:t>
            </w:r>
          </w:p>
        </w:tc>
        <w:tc>
          <w:tcPr>
            <w:tcW w:w="1040"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智能识别设备</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6</w:t>
            </w:r>
          </w:p>
        </w:tc>
        <w:tc>
          <w:tcPr>
            <w:tcW w:w="1040"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云资源租赁</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7</w:t>
            </w:r>
          </w:p>
        </w:tc>
        <w:tc>
          <w:tcPr>
            <w:tcW w:w="1040" w:type="pct"/>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网络信息安全保障</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8</w:t>
            </w:r>
          </w:p>
        </w:tc>
        <w:tc>
          <w:tcPr>
            <w:tcW w:w="10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数据资产</w:t>
            </w: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数据交换系统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9</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数据汇聚系统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10</w:t>
            </w:r>
          </w:p>
        </w:tc>
        <w:tc>
          <w:tcPr>
            <w:tcW w:w="10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应用支撑系统</w:t>
            </w: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会议管理平台</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11</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短信发送服务</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12</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信息核验服务</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13</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智能识别算法扩容</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14</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应用维护系统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15</w:t>
            </w:r>
          </w:p>
        </w:tc>
        <w:tc>
          <w:tcPr>
            <w:tcW w:w="10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业务应用系统</w:t>
            </w: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业务指导系统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16</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指挥协调系统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17</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行业应用系统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18</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公众服务系统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19</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运行监测系统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20</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综合评价系统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详见下列描述</w:t>
            </w:r>
          </w:p>
        </w:tc>
        <w:tc>
          <w:tcPr>
            <w:tcW w:w="4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bottom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8" w:type="pct"/>
            <w:tcBorders>
              <w:top w:val="single" w:color="000000" w:sz="4" w:space="0"/>
              <w:right w:val="single" w:color="000000" w:sz="4" w:space="0"/>
            </w:tcBorders>
            <w:shd w:val="clear" w:color="auto" w:fill="auto"/>
            <w:noWrap/>
          </w:tcPr>
          <w:p>
            <w:pPr>
              <w:widowControl/>
              <w:jc w:val="center"/>
              <w:textAlignment w:val="center"/>
              <w:rPr>
                <w:rFonts w:ascii="宋体" w:hAnsi="宋体" w:cs="宋体"/>
                <w:kern w:val="0"/>
                <w:sz w:val="22"/>
                <w:lang w:bidi="ar"/>
              </w:rPr>
            </w:pPr>
            <w:r>
              <w:rPr>
                <w:rFonts w:hint="eastAsia" w:ascii="宋体" w:hAnsi="宋体" w:cs="宋体"/>
                <w:kern w:val="0"/>
                <w:sz w:val="22"/>
                <w:lang w:bidi="ar"/>
              </w:rPr>
              <w:t>21</w:t>
            </w:r>
          </w:p>
        </w:tc>
        <w:tc>
          <w:tcPr>
            <w:tcW w:w="1040" w:type="pct"/>
            <w:vMerge w:val="continue"/>
            <w:tcBorders>
              <w:top w:val="single" w:color="000000" w:sz="4" w:space="0"/>
              <w:left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p>
        </w:tc>
        <w:tc>
          <w:tcPr>
            <w:tcW w:w="1468" w:type="pct"/>
            <w:tcBorders>
              <w:top w:val="single" w:color="000000" w:sz="4" w:space="0"/>
              <w:left w:val="single" w:color="000000" w:sz="4" w:space="0"/>
              <w:right w:val="single" w:color="000000" w:sz="4" w:space="0"/>
            </w:tcBorders>
            <w:shd w:val="clear" w:color="auto" w:fill="auto"/>
            <w:noWrap/>
          </w:tcPr>
          <w:p>
            <w:pPr>
              <w:widowControl/>
              <w:jc w:val="left"/>
              <w:textAlignment w:val="center"/>
              <w:rPr>
                <w:rFonts w:ascii="宋体" w:hAnsi="宋体" w:cs="宋体"/>
                <w:kern w:val="0"/>
                <w:sz w:val="22"/>
                <w:lang w:bidi="ar"/>
              </w:rPr>
            </w:pPr>
            <w:r>
              <w:rPr>
                <w:rFonts w:hint="eastAsia" w:ascii="宋体" w:hAnsi="宋体" w:cs="宋体"/>
                <w:kern w:val="0"/>
                <w:sz w:val="22"/>
                <w:lang w:bidi="ar"/>
              </w:rPr>
              <w:t>决策建议系统</w:t>
            </w:r>
          </w:p>
        </w:tc>
        <w:tc>
          <w:tcPr>
            <w:tcW w:w="939" w:type="pct"/>
            <w:tcBorders>
              <w:top w:val="single" w:color="000000" w:sz="4" w:space="0"/>
              <w:left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见下列描述</w:t>
            </w:r>
          </w:p>
        </w:tc>
        <w:tc>
          <w:tcPr>
            <w:tcW w:w="434" w:type="pct"/>
            <w:tcBorders>
              <w:top w:val="single" w:color="000000" w:sz="4" w:space="0"/>
              <w:left w:val="single" w:color="000000" w:sz="4" w:space="0"/>
              <w:righ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1</w:t>
            </w:r>
          </w:p>
        </w:tc>
        <w:tc>
          <w:tcPr>
            <w:tcW w:w="559" w:type="pct"/>
            <w:tcBorders>
              <w:top w:val="single" w:color="000000" w:sz="4" w:space="0"/>
              <w:left w:val="single" w:color="000000" w:sz="4" w:space="0"/>
            </w:tcBorders>
            <w:shd w:val="clear" w:color="auto" w:fill="auto"/>
          </w:tcPr>
          <w:p>
            <w:pPr>
              <w:widowControl/>
              <w:jc w:val="left"/>
              <w:textAlignment w:val="center"/>
              <w:rPr>
                <w:rFonts w:ascii="宋体" w:hAnsi="宋体" w:cs="宋体"/>
                <w:kern w:val="0"/>
                <w:sz w:val="22"/>
                <w:lang w:bidi="ar"/>
              </w:rPr>
            </w:pPr>
            <w:r>
              <w:rPr>
                <w:rFonts w:hint="eastAsia" w:ascii="宋体" w:hAnsi="宋体" w:cs="宋体"/>
                <w:kern w:val="0"/>
                <w:sz w:val="22"/>
                <w:lang w:bidi="ar"/>
              </w:rPr>
              <w:t>项</w:t>
            </w:r>
          </w:p>
        </w:tc>
      </w:tr>
    </w:tbl>
    <w:p>
      <w:pPr>
        <w:pStyle w:val="3"/>
        <w:keepNext w:val="0"/>
        <w:keepLines w:val="0"/>
        <w:numPr>
          <w:ilvl w:val="1"/>
          <w:numId w:val="0"/>
        </w:numPr>
        <w:tabs>
          <w:tab w:val="left" w:pos="142"/>
          <w:tab w:val="left" w:pos="432"/>
          <w:tab w:val="left" w:pos="864"/>
        </w:tabs>
        <w:ind w:firstLine="482" w:firstLineChars="200"/>
        <w:rPr>
          <w:rFonts w:ascii="宋体" w:hAnsi="宋体" w:eastAsia="宋体" w:cstheme="majorHAnsi"/>
          <w:b/>
          <w:bCs w:val="0"/>
          <w:sz w:val="24"/>
          <w:szCs w:val="24"/>
        </w:rPr>
      </w:pPr>
      <w:r>
        <w:rPr>
          <w:rFonts w:hint="eastAsia" w:ascii="宋体" w:hAnsi="宋体" w:eastAsia="宋体" w:cstheme="majorHAnsi"/>
          <w:b/>
          <w:bCs w:val="0"/>
          <w:sz w:val="24"/>
          <w:szCs w:val="24"/>
        </w:rPr>
        <w:t>4</w:t>
      </w:r>
      <w:r>
        <w:rPr>
          <w:rFonts w:ascii="宋体" w:hAnsi="宋体" w:eastAsia="宋体" w:cstheme="majorHAnsi"/>
          <w:b/>
          <w:bCs w:val="0"/>
          <w:sz w:val="24"/>
          <w:szCs w:val="24"/>
        </w:rPr>
        <w:t xml:space="preserve">.1 </w:t>
      </w:r>
      <w:r>
        <w:rPr>
          <w:rFonts w:hint="eastAsia" w:ascii="宋体" w:hAnsi="宋体" w:eastAsia="宋体" w:cstheme="majorHAnsi"/>
          <w:b/>
          <w:bCs w:val="0"/>
          <w:sz w:val="24"/>
          <w:szCs w:val="24"/>
        </w:rPr>
        <w:t>基础设施</w:t>
      </w:r>
    </w:p>
    <w:p>
      <w:pPr>
        <w:pStyle w:val="4"/>
        <w:ind w:firstLine="482" w:firstLineChars="200"/>
        <w:rPr>
          <w:rFonts w:ascii="宋体" w:hAnsi="宋体" w:eastAsia="宋体"/>
          <w:b/>
          <w:bCs w:val="0"/>
          <w:sz w:val="24"/>
          <w:szCs w:val="24"/>
        </w:rPr>
      </w:pPr>
      <w:r>
        <w:rPr>
          <w:rFonts w:hint="eastAsia" w:ascii="宋体" w:hAnsi="宋体" w:eastAsia="宋体"/>
          <w:b/>
          <w:bCs w:val="0"/>
          <w:sz w:val="24"/>
          <w:szCs w:val="24"/>
        </w:rPr>
        <w:t>指挥中心升级改造</w:t>
      </w:r>
    </w:p>
    <w:p>
      <w:pPr>
        <w:spacing w:line="360" w:lineRule="auto"/>
        <w:ind w:firstLine="480" w:firstLineChars="200"/>
        <w:rPr>
          <w:rFonts w:ascii="宋体" w:hAnsi="宋体"/>
          <w:bCs/>
          <w:sz w:val="24"/>
          <w:szCs w:val="24"/>
        </w:rPr>
      </w:pPr>
      <w:r>
        <w:rPr>
          <w:rFonts w:ascii="宋体" w:hAnsi="宋体"/>
          <w:bCs/>
          <w:sz w:val="24"/>
          <w:szCs w:val="24"/>
        </w:rPr>
        <w:t>为配套指挥调度能力提升，以各类显控技术为核心，营造现代化指挥中心，提升指挥调度水平，提高工作效率。主要包括分布式协作系统建设、会议室改造等。</w:t>
      </w:r>
    </w:p>
    <w:p>
      <w:pPr>
        <w:spacing w:line="360" w:lineRule="auto"/>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指挥中心分布式协作系统</w:t>
      </w:r>
    </w:p>
    <w:p>
      <w:pPr>
        <w:spacing w:line="360" w:lineRule="auto"/>
        <w:ind w:firstLine="480" w:firstLineChars="200"/>
        <w:rPr>
          <w:rFonts w:ascii="宋体" w:hAnsi="宋体"/>
          <w:bCs/>
          <w:sz w:val="24"/>
          <w:szCs w:val="24"/>
        </w:rPr>
      </w:pPr>
      <w:r>
        <w:rPr>
          <w:rFonts w:ascii="宋体" w:hAnsi="宋体"/>
          <w:bCs/>
          <w:sz w:val="24"/>
          <w:szCs w:val="24"/>
        </w:rPr>
        <w:t>依据城管指挥中心应用场景、构建指挥中心业务模型，强调区块化坐席席位设计，配合坐席协作系统，保证各部门使用简单便利的同时，增加人与人之间的紧密配合，提高业务协作能力。</w:t>
      </w:r>
    </w:p>
    <w:p>
      <w:pPr>
        <w:spacing w:line="360" w:lineRule="auto"/>
        <w:ind w:firstLine="480" w:firstLineChars="200"/>
        <w:rPr>
          <w:rFonts w:ascii="宋体" w:hAnsi="宋体"/>
          <w:bCs/>
          <w:sz w:val="24"/>
          <w:szCs w:val="24"/>
        </w:rPr>
      </w:pPr>
      <w:r>
        <w:rPr>
          <w:rFonts w:ascii="宋体" w:hAnsi="宋体"/>
          <w:bCs/>
          <w:sz w:val="24"/>
          <w:szCs w:val="24"/>
        </w:rPr>
        <w:t>通过坐席协作系统实现城管全业务系统的资源化，包括不限于：调度控制系统、分析研判系统、监控平台、视频会议系统等，实现跨网段操作、调用、推送和显示，解决了过去“信息孤岛”的问题，成为各部门之间信息交互的纽带。</w:t>
      </w:r>
    </w:p>
    <w:p>
      <w:pPr>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综合会议室改造</w:t>
      </w:r>
    </w:p>
    <w:p>
      <w:pPr>
        <w:spacing w:line="360" w:lineRule="auto"/>
        <w:ind w:firstLine="480" w:firstLineChars="200"/>
        <w:rPr>
          <w:rFonts w:ascii="宋体" w:hAnsi="宋体"/>
          <w:bCs/>
          <w:sz w:val="24"/>
          <w:szCs w:val="24"/>
        </w:rPr>
      </w:pPr>
      <w:r>
        <w:rPr>
          <w:rFonts w:ascii="宋体" w:hAnsi="宋体"/>
          <w:bCs/>
          <w:sz w:val="24"/>
          <w:szCs w:val="24"/>
        </w:rPr>
        <w:t>城管指挥中心十二楼大会议室现有两块投影幕位于房间北侧两侧，投影机使用已超10年，存在坏点、移位、清晰度不足等问题，本会议室主要用于召开城管局各类中层以上领导参加的会议等，为满足城市管理工作信息发布需求，需要进行更换。</w:t>
      </w:r>
    </w:p>
    <w:p>
      <w:pPr>
        <w:spacing w:line="360" w:lineRule="auto"/>
        <w:ind w:firstLine="480" w:firstLineChars="200"/>
        <w:rPr>
          <w:rFonts w:ascii="宋体" w:hAnsi="宋体"/>
          <w:bCs/>
          <w:sz w:val="24"/>
          <w:szCs w:val="24"/>
        </w:rPr>
      </w:pPr>
      <w:r>
        <w:rPr>
          <w:rFonts w:ascii="宋体" w:hAnsi="宋体"/>
          <w:bCs/>
          <w:sz w:val="24"/>
          <w:szCs w:val="24"/>
        </w:rPr>
        <w:t>对城市管理局十二楼进行相应改造，并搭建活动主席台，由单一会议室改造为综合决策室，可以根据使用需求变更为日常会议室、大型视频会议室、集中学习室、活动室等。</w:t>
      </w:r>
    </w:p>
    <w:p>
      <w:pPr>
        <w:spacing w:line="360" w:lineRule="auto"/>
        <w:ind w:firstLine="480" w:firstLineChars="200"/>
        <w:rPr>
          <w:rFonts w:ascii="宋体" w:hAnsi="宋体"/>
          <w:bCs/>
          <w:sz w:val="24"/>
          <w:szCs w:val="24"/>
        </w:rPr>
      </w:pPr>
      <w:r>
        <w:rPr>
          <w:rFonts w:ascii="宋体" w:hAnsi="宋体"/>
          <w:bCs/>
          <w:sz w:val="24"/>
          <w:szCs w:val="24"/>
        </w:rPr>
        <w:t>会议室两侧视频显示设备两台投影设备更换为86寸液晶显示器，在主席台前方新增两台移动式高清主席台返看显示设备，用于召开市及市（县）区视频会议时主席台上领导观看市（县）区会场画面，同时增加两条永久性高清视频信号线路；</w:t>
      </w:r>
    </w:p>
    <w:p>
      <w:pPr>
        <w:spacing w:line="360" w:lineRule="auto"/>
        <w:ind w:firstLine="480" w:firstLineChars="200"/>
        <w:rPr>
          <w:rFonts w:ascii="宋体" w:hAnsi="宋体"/>
          <w:bCs/>
          <w:sz w:val="24"/>
          <w:szCs w:val="24"/>
        </w:rPr>
      </w:pPr>
      <w:r>
        <w:rPr>
          <w:rFonts w:ascii="宋体" w:hAnsi="宋体"/>
          <w:bCs/>
          <w:sz w:val="24"/>
          <w:szCs w:val="24"/>
        </w:rPr>
        <w:t>会议室增加1台8*8路混插矩阵，用于会场图像、会议终端等视频信号的综合管理和切换；</w:t>
      </w:r>
    </w:p>
    <w:p>
      <w:pPr>
        <w:spacing w:line="360" w:lineRule="auto"/>
        <w:ind w:firstLine="480" w:firstLineChars="200"/>
        <w:rPr>
          <w:rFonts w:ascii="宋体" w:hAnsi="宋体"/>
          <w:bCs/>
          <w:sz w:val="24"/>
          <w:szCs w:val="24"/>
        </w:rPr>
      </w:pPr>
      <w:r>
        <w:rPr>
          <w:rFonts w:ascii="宋体" w:hAnsi="宋体"/>
          <w:bCs/>
          <w:sz w:val="24"/>
          <w:szCs w:val="24"/>
        </w:rPr>
        <w:t>考虑本会议室根据不同的场景模式，席位会相应的进行变化调整，且会议室装修已完成，重新暗敷管线较为困难，本次2台反看显示设备及1台会议摄像机均（利旧）采用可移动支架进行安装，可根据不同会议场景灵活布置。</w:t>
      </w:r>
    </w:p>
    <w:p>
      <w:pPr>
        <w:spacing w:line="360" w:lineRule="auto"/>
        <w:ind w:firstLine="482" w:firstLineChars="200"/>
        <w:rPr>
          <w:rFonts w:ascii="宋体" w:hAnsi="宋体"/>
          <w:b/>
          <w:sz w:val="24"/>
          <w:szCs w:val="24"/>
        </w:rPr>
      </w:pPr>
      <w:r>
        <w:rPr>
          <w:rFonts w:hint="eastAsia" w:ascii="宋体" w:hAnsi="宋体"/>
          <w:b/>
          <w:sz w:val="24"/>
          <w:szCs w:val="24"/>
        </w:rPr>
        <w:t>（3）</w:t>
      </w:r>
      <w:r>
        <w:rPr>
          <w:rFonts w:ascii="宋体" w:hAnsi="宋体"/>
          <w:b/>
          <w:sz w:val="24"/>
          <w:szCs w:val="24"/>
        </w:rPr>
        <w:t>值班信息展示大屏</w:t>
      </w:r>
    </w:p>
    <w:p>
      <w:pPr>
        <w:spacing w:line="360" w:lineRule="auto"/>
        <w:ind w:firstLine="480" w:firstLineChars="200"/>
        <w:rPr>
          <w:rFonts w:ascii="宋体" w:hAnsi="宋体"/>
          <w:bCs/>
          <w:sz w:val="24"/>
          <w:szCs w:val="24"/>
        </w:rPr>
      </w:pPr>
      <w:r>
        <w:rPr>
          <w:rFonts w:ascii="宋体" w:hAnsi="宋体"/>
          <w:bCs/>
          <w:sz w:val="24"/>
          <w:szCs w:val="24"/>
        </w:rPr>
        <w:t>在值班室上方安装1套P2室内全彩屏，用于展示值班信息，包括值班领导、值班长、值班员、天气及温湿度等。</w:t>
      </w:r>
    </w:p>
    <w:p>
      <w:pPr>
        <w:spacing w:line="360" w:lineRule="auto"/>
        <w:ind w:firstLine="480" w:firstLineChars="200"/>
        <w:rPr>
          <w:rFonts w:ascii="宋体" w:hAnsi="宋体"/>
          <w:bCs/>
          <w:sz w:val="24"/>
          <w:szCs w:val="24"/>
        </w:rPr>
      </w:pPr>
      <w:r>
        <w:rPr>
          <w:rFonts w:ascii="宋体" w:hAnsi="宋体"/>
          <w:bCs/>
          <w:sz w:val="24"/>
          <w:szCs w:val="24"/>
        </w:rPr>
        <w:t>整个显示系统采用先进的小间距LED拼接技术，没有拼缝(严格说是肉眼几乎看不见拼缝)，屏幕拼接平整，大屏幕亮度、色度逐点可调，整屏均匀一致；结构紧凑，空间利用效率高。</w:t>
      </w:r>
    </w:p>
    <w:p>
      <w:pPr>
        <w:spacing w:line="360" w:lineRule="auto"/>
        <w:ind w:firstLine="480" w:firstLineChars="200"/>
        <w:rPr>
          <w:rFonts w:ascii="宋体" w:hAnsi="宋体"/>
          <w:bCs/>
          <w:sz w:val="24"/>
          <w:szCs w:val="24"/>
        </w:rPr>
      </w:pPr>
      <w:r>
        <w:rPr>
          <w:rFonts w:ascii="宋体" w:hAnsi="宋体"/>
          <w:bCs/>
          <w:sz w:val="24"/>
          <w:szCs w:val="24"/>
        </w:rPr>
        <w:t>显示屏点间距：2mm；</w:t>
      </w:r>
    </w:p>
    <w:p>
      <w:pPr>
        <w:spacing w:line="360" w:lineRule="auto"/>
        <w:ind w:firstLine="480" w:firstLineChars="200"/>
        <w:rPr>
          <w:rFonts w:ascii="宋体" w:hAnsi="宋体"/>
          <w:bCs/>
          <w:sz w:val="24"/>
          <w:szCs w:val="24"/>
        </w:rPr>
      </w:pPr>
      <w:r>
        <w:rPr>
          <w:rFonts w:ascii="宋体" w:hAnsi="宋体"/>
          <w:bCs/>
          <w:sz w:val="24"/>
          <w:szCs w:val="24"/>
        </w:rPr>
        <w:t>显示屏显示面积2.048平方，尺寸为长3200mm*高640mm。</w:t>
      </w:r>
    </w:p>
    <w:p>
      <w:pPr>
        <w:spacing w:line="360" w:lineRule="auto"/>
        <w:ind w:firstLine="482" w:firstLineChars="200"/>
        <w:rPr>
          <w:rFonts w:ascii="宋体" w:hAnsi="宋体"/>
          <w:b/>
          <w:sz w:val="24"/>
          <w:szCs w:val="24"/>
        </w:rPr>
      </w:pPr>
      <w:r>
        <w:rPr>
          <w:rFonts w:hint="eastAsia" w:ascii="宋体" w:hAnsi="宋体"/>
          <w:b/>
          <w:sz w:val="24"/>
          <w:szCs w:val="24"/>
        </w:rPr>
        <w:t>（4）</w:t>
      </w:r>
      <w:r>
        <w:rPr>
          <w:rFonts w:ascii="宋体" w:hAnsi="宋体"/>
          <w:b/>
          <w:sz w:val="24"/>
          <w:szCs w:val="24"/>
        </w:rPr>
        <w:t>高空智能识别试点建设</w:t>
      </w:r>
    </w:p>
    <w:p>
      <w:pPr>
        <w:spacing w:line="360" w:lineRule="auto"/>
        <w:ind w:firstLine="480" w:firstLineChars="200"/>
        <w:rPr>
          <w:rFonts w:ascii="宋体" w:hAnsi="宋体"/>
          <w:bCs/>
          <w:sz w:val="24"/>
          <w:szCs w:val="24"/>
        </w:rPr>
      </w:pPr>
      <w:r>
        <w:rPr>
          <w:rFonts w:ascii="宋体" w:hAnsi="宋体"/>
          <w:bCs/>
          <w:sz w:val="24"/>
          <w:szCs w:val="24"/>
        </w:rPr>
        <w:t>为提高城市管理效能，探索智能化管理发展方向，在城市管理局顶部建设高空智能识别试点，架设1台高空鹰眼摄像机，接入物联网智能应用系统，实现城市管理智能识别与高空影响结合的探索之路。</w:t>
      </w:r>
    </w:p>
    <w:p>
      <w:pPr>
        <w:pStyle w:val="4"/>
        <w:ind w:firstLine="482" w:firstLineChars="200"/>
        <w:rPr>
          <w:rFonts w:ascii="宋体" w:hAnsi="宋体" w:eastAsia="宋体"/>
          <w:b/>
          <w:bCs w:val="0"/>
          <w:sz w:val="24"/>
          <w:szCs w:val="24"/>
        </w:rPr>
      </w:pPr>
      <w:r>
        <w:rPr>
          <w:rFonts w:hint="eastAsia" w:ascii="宋体" w:hAnsi="宋体" w:eastAsia="宋体"/>
          <w:b/>
          <w:bCs w:val="0"/>
          <w:sz w:val="24"/>
          <w:szCs w:val="24"/>
        </w:rPr>
        <w:t>设备间更新</w:t>
      </w:r>
    </w:p>
    <w:p>
      <w:pPr>
        <w:spacing w:line="360" w:lineRule="auto"/>
        <w:ind w:firstLine="480" w:firstLineChars="200"/>
        <w:rPr>
          <w:rFonts w:ascii="宋体" w:hAnsi="宋体"/>
          <w:bCs/>
          <w:sz w:val="24"/>
          <w:szCs w:val="24"/>
        </w:rPr>
      </w:pPr>
      <w:r>
        <w:rPr>
          <w:rFonts w:ascii="宋体" w:hAnsi="宋体"/>
          <w:bCs/>
          <w:sz w:val="24"/>
          <w:szCs w:val="24"/>
        </w:rPr>
        <w:t>无锡市城管局监督指挥大厅具备一个简易设备间，存放视频会议设备、大厅中控设备等，本期项目对设备间设备及配套工程进行更新。</w:t>
      </w:r>
    </w:p>
    <w:p>
      <w:pPr>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UPS设备更新</w:t>
      </w:r>
    </w:p>
    <w:p>
      <w:pPr>
        <w:spacing w:line="360" w:lineRule="auto"/>
        <w:ind w:firstLine="480" w:firstLineChars="200"/>
        <w:rPr>
          <w:rFonts w:ascii="宋体" w:hAnsi="宋体"/>
          <w:bCs/>
          <w:sz w:val="24"/>
          <w:szCs w:val="24"/>
        </w:rPr>
      </w:pPr>
      <w:r>
        <w:rPr>
          <w:rFonts w:ascii="宋体" w:hAnsi="宋体"/>
          <w:bCs/>
          <w:sz w:val="24"/>
          <w:szCs w:val="24"/>
        </w:rPr>
        <w:t>为了保证设备间的主要设备及系统的安全可靠地运行，必须设置有专用的高质量不间断电源系统（UPS系统），来保障系统在断电后的一段时间内的正常运行与维护。</w:t>
      </w:r>
    </w:p>
    <w:p>
      <w:pPr>
        <w:spacing w:line="360" w:lineRule="auto"/>
        <w:ind w:firstLine="480" w:firstLineChars="200"/>
        <w:rPr>
          <w:rFonts w:ascii="宋体" w:hAnsi="宋体"/>
          <w:bCs/>
          <w:sz w:val="24"/>
          <w:szCs w:val="24"/>
        </w:rPr>
      </w:pPr>
      <w:r>
        <w:rPr>
          <w:rFonts w:ascii="宋体" w:hAnsi="宋体"/>
          <w:bCs/>
          <w:sz w:val="24"/>
          <w:szCs w:val="24"/>
        </w:rPr>
        <w:t>从实际应用出发，在计算机设备关键主机、服务器、网络交换机等处供给UPS不间断电源，而其他设备部分采用普通市电供给，从最大程度上缩小UPS电源供给容量，从而节约投入，达到较高的性能价格比。</w:t>
      </w:r>
    </w:p>
    <w:p>
      <w:pPr>
        <w:spacing w:line="360" w:lineRule="auto"/>
        <w:ind w:firstLine="480" w:firstLineChars="200"/>
        <w:rPr>
          <w:rFonts w:ascii="宋体" w:hAnsi="宋体"/>
          <w:bCs/>
          <w:sz w:val="24"/>
          <w:szCs w:val="24"/>
        </w:rPr>
      </w:pPr>
      <w:r>
        <w:rPr>
          <w:rFonts w:ascii="宋体" w:hAnsi="宋体"/>
          <w:bCs/>
          <w:sz w:val="24"/>
          <w:szCs w:val="24"/>
        </w:rPr>
        <w:t>无锡市城管局现存的UPS的已运行多年，性能无法保障，为确保日常工作以及紧急会议时各项设备运转正常，需要更新高性能UPS设备，为各项设施运行保驾护航。</w:t>
      </w:r>
    </w:p>
    <w:p>
      <w:pPr>
        <w:spacing w:line="360" w:lineRule="auto"/>
        <w:ind w:firstLine="480" w:firstLineChars="200"/>
        <w:rPr>
          <w:rFonts w:ascii="宋体" w:hAnsi="宋体"/>
          <w:bCs/>
          <w:sz w:val="24"/>
          <w:szCs w:val="24"/>
        </w:rPr>
      </w:pPr>
      <w:r>
        <w:rPr>
          <w:rFonts w:ascii="宋体" w:hAnsi="宋体"/>
          <w:bCs/>
          <w:sz w:val="24"/>
          <w:szCs w:val="24"/>
        </w:rPr>
        <w:t>本次UPS设计选用一台三进三出的20KVA UPS作为设备电源保障。系统自带监测功能，UPS输出功率因数0.9，支持在线假负载测试， 16节12V 100AH蓄电池，电池柜及安装材料。</w:t>
      </w:r>
    </w:p>
    <w:p>
      <w:pPr>
        <w:spacing w:line="360" w:lineRule="auto"/>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空调更新及迁移</w:t>
      </w:r>
    </w:p>
    <w:p>
      <w:pPr>
        <w:spacing w:line="360" w:lineRule="auto"/>
        <w:ind w:firstLine="480" w:firstLineChars="200"/>
        <w:rPr>
          <w:rFonts w:ascii="宋体" w:hAnsi="宋体"/>
          <w:bCs/>
          <w:sz w:val="24"/>
          <w:szCs w:val="24"/>
        </w:rPr>
      </w:pPr>
      <w:r>
        <w:rPr>
          <w:rFonts w:ascii="宋体" w:hAnsi="宋体"/>
          <w:bCs/>
          <w:sz w:val="24"/>
          <w:szCs w:val="24"/>
        </w:rPr>
        <w:t>因11F大屏后设备间原有空调无法满足要求，本次项目需新增1台单冷型房间级精密空调，总冷量：≥12.5KW，满足日常的环境需求。</w:t>
      </w:r>
    </w:p>
    <w:p>
      <w:pPr>
        <w:spacing w:line="360" w:lineRule="auto"/>
        <w:ind w:firstLine="480" w:firstLineChars="200"/>
        <w:rPr>
          <w:rFonts w:ascii="宋体" w:hAnsi="宋体"/>
          <w:bCs/>
          <w:sz w:val="24"/>
          <w:szCs w:val="24"/>
        </w:rPr>
      </w:pPr>
      <w:r>
        <w:rPr>
          <w:rFonts w:ascii="宋体" w:hAnsi="宋体"/>
          <w:bCs/>
          <w:sz w:val="24"/>
          <w:szCs w:val="24"/>
        </w:rPr>
        <w:t>需将设备间内原有2台普通空调中的1台迁移至隔壁的更衣室，确保更衣室内温度满足大屏使用的要求。</w:t>
      </w:r>
    </w:p>
    <w:p>
      <w:pPr>
        <w:spacing w:line="360" w:lineRule="auto"/>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新增人脸门禁</w:t>
      </w:r>
    </w:p>
    <w:p>
      <w:pPr>
        <w:spacing w:line="360" w:lineRule="auto"/>
        <w:ind w:firstLine="480" w:firstLineChars="200"/>
        <w:rPr>
          <w:rFonts w:ascii="宋体" w:hAnsi="宋体"/>
          <w:bCs/>
          <w:sz w:val="24"/>
          <w:szCs w:val="24"/>
        </w:rPr>
      </w:pPr>
      <w:r>
        <w:rPr>
          <w:rFonts w:ascii="宋体" w:hAnsi="宋体"/>
          <w:bCs/>
          <w:sz w:val="24"/>
          <w:szCs w:val="24"/>
        </w:rPr>
        <w:t>考虑设备间存放有重要设备，本次在设备间入户门处安装1台人脸识别一体机，接入大楼原有门禁系统中，无缝管理使用。</w:t>
      </w:r>
    </w:p>
    <w:p>
      <w:pPr>
        <w:spacing w:line="360" w:lineRule="auto"/>
        <w:ind w:firstLine="480" w:firstLineChars="200"/>
        <w:rPr>
          <w:rFonts w:ascii="宋体" w:hAnsi="宋体"/>
          <w:bCs/>
          <w:sz w:val="24"/>
          <w:szCs w:val="24"/>
        </w:rPr>
      </w:pPr>
      <w:r>
        <w:rPr>
          <w:rFonts w:hint="eastAsia" w:ascii="宋体" w:hAnsi="宋体"/>
          <w:bCs/>
          <w:sz w:val="24"/>
          <w:szCs w:val="24"/>
        </w:rPr>
        <w:t>（4）</w:t>
      </w:r>
      <w:r>
        <w:rPr>
          <w:rFonts w:ascii="宋体" w:hAnsi="宋体"/>
          <w:bCs/>
          <w:sz w:val="24"/>
          <w:szCs w:val="24"/>
        </w:rPr>
        <w:t>新增设备间视频监控</w:t>
      </w:r>
    </w:p>
    <w:p>
      <w:pPr>
        <w:spacing w:line="360" w:lineRule="auto"/>
        <w:ind w:firstLine="480" w:firstLineChars="200"/>
        <w:rPr>
          <w:rFonts w:ascii="宋体" w:hAnsi="宋体"/>
          <w:bCs/>
          <w:sz w:val="24"/>
          <w:szCs w:val="24"/>
        </w:rPr>
      </w:pPr>
      <w:r>
        <w:rPr>
          <w:rFonts w:ascii="宋体" w:hAnsi="宋体"/>
          <w:bCs/>
          <w:sz w:val="24"/>
          <w:szCs w:val="24"/>
        </w:rPr>
        <w:t>为保障设备间日常使用安全及可追溯性，本次在设备间内部署1台高清监控摄像机，接入现有的11F的NVR中，统一进行管理。</w:t>
      </w:r>
    </w:p>
    <w:p>
      <w:pPr>
        <w:pStyle w:val="4"/>
        <w:tabs>
          <w:tab w:val="clear" w:pos="420"/>
        </w:tabs>
        <w:ind w:firstLine="482" w:firstLineChars="200"/>
        <w:rPr>
          <w:rFonts w:ascii="宋体" w:hAnsi="宋体" w:eastAsia="宋体"/>
          <w:b/>
          <w:bCs w:val="0"/>
          <w:sz w:val="24"/>
          <w:szCs w:val="24"/>
        </w:rPr>
      </w:pPr>
      <w:r>
        <w:rPr>
          <w:rFonts w:hint="eastAsia" w:ascii="宋体" w:hAnsi="宋体" w:eastAsia="宋体"/>
          <w:b/>
          <w:bCs w:val="0"/>
          <w:sz w:val="24"/>
          <w:szCs w:val="24"/>
        </w:rPr>
        <w:t>智慧环卫设备</w:t>
      </w:r>
    </w:p>
    <w:p>
      <w:pPr>
        <w:spacing w:line="360" w:lineRule="auto"/>
        <w:ind w:firstLine="480" w:firstLineChars="200"/>
        <w:rPr>
          <w:rFonts w:ascii="宋体" w:hAnsi="宋体"/>
          <w:bCs/>
          <w:sz w:val="24"/>
          <w:szCs w:val="24"/>
        </w:rPr>
      </w:pPr>
      <w:r>
        <w:rPr>
          <w:rFonts w:ascii="宋体" w:hAnsi="宋体"/>
          <w:bCs/>
          <w:sz w:val="24"/>
          <w:szCs w:val="24"/>
        </w:rPr>
        <w:t>升级四座大型转运站现有车辆准入系统，将原先的刷卡识别升级为车牌识别，新增两座粪便处理站车牌识别准入系统及时掌握车辆出入情况，包括车牌号、车辆准入时间、车辆出区时间、所属单位等信息。</w:t>
      </w:r>
    </w:p>
    <w:p>
      <w:pPr>
        <w:spacing w:line="360" w:lineRule="auto"/>
        <w:ind w:firstLine="480" w:firstLineChars="200"/>
        <w:rPr>
          <w:rFonts w:ascii="宋体" w:hAnsi="宋体"/>
          <w:bCs/>
          <w:sz w:val="24"/>
          <w:szCs w:val="24"/>
        </w:rPr>
      </w:pPr>
      <w:r>
        <w:rPr>
          <w:rFonts w:ascii="宋体" w:hAnsi="宋体"/>
          <w:bCs/>
          <w:sz w:val="24"/>
          <w:szCs w:val="24"/>
        </w:rPr>
        <w:t>通过对接现场身份识别设备，基于准入计划实现车辆精准拦截管理，系统建立准入程序，同步至各终端。车辆进入终端时进行身份识别，核验车牌号和计量额度，出现异常时系统进行拦截，出现人工开闸情况时系统记录。包括滨湖、崇安、南长、北塘转运站4处安装双向识别，共计20套。</w:t>
      </w:r>
    </w:p>
    <w:p>
      <w:pPr>
        <w:spacing w:line="360" w:lineRule="auto"/>
        <w:ind w:firstLine="480" w:firstLineChars="200"/>
        <w:rPr>
          <w:rFonts w:ascii="宋体" w:hAnsi="宋体"/>
          <w:bCs/>
          <w:sz w:val="24"/>
          <w:szCs w:val="24"/>
        </w:rPr>
      </w:pPr>
      <w:r>
        <w:rPr>
          <w:rFonts w:ascii="宋体" w:hAnsi="宋体"/>
          <w:bCs/>
          <w:sz w:val="24"/>
          <w:szCs w:val="24"/>
        </w:rPr>
        <w:t>在一期梁溪、滨湖4座转运站视频监控基础上，增加全市剩余25座转运站视频监控，每座转运站设置2路视频监控，共50路。从源头杜绝工业垃圾混入生活垃圾的情况。</w:t>
      </w:r>
    </w:p>
    <w:p>
      <w:pPr>
        <w:pStyle w:val="4"/>
        <w:tabs>
          <w:tab w:val="clear" w:pos="420"/>
        </w:tabs>
        <w:ind w:firstLine="482" w:firstLineChars="200"/>
        <w:rPr>
          <w:rFonts w:ascii="宋体" w:hAnsi="宋体" w:eastAsia="宋体"/>
          <w:b/>
          <w:bCs w:val="0"/>
          <w:sz w:val="24"/>
          <w:szCs w:val="24"/>
        </w:rPr>
      </w:pPr>
      <w:r>
        <w:rPr>
          <w:rFonts w:hint="eastAsia" w:ascii="宋体" w:hAnsi="宋体" w:eastAsia="宋体"/>
          <w:b/>
          <w:bCs w:val="0"/>
          <w:sz w:val="24"/>
          <w:szCs w:val="24"/>
        </w:rPr>
        <w:t>沿街商户治理设备</w:t>
      </w:r>
    </w:p>
    <w:p>
      <w:pPr>
        <w:spacing w:line="360" w:lineRule="auto"/>
        <w:ind w:firstLine="480" w:firstLineChars="200"/>
        <w:rPr>
          <w:rFonts w:ascii="宋体" w:hAnsi="宋体"/>
          <w:bCs/>
          <w:sz w:val="24"/>
          <w:szCs w:val="24"/>
        </w:rPr>
      </w:pPr>
      <w:r>
        <w:rPr>
          <w:rFonts w:hint="eastAsia" w:ascii="宋体" w:hAnsi="宋体"/>
          <w:bCs/>
          <w:sz w:val="24"/>
          <w:szCs w:val="24"/>
        </w:rPr>
        <w:t>本次项目中沿街商户治理设备指的是AR流程引导设备，该设备主要用户用于沿街商户管理中的“巡查流程引导”功能。AR流程引导设备不低于以下配置：单目AR眼镜，720P显示分辨率，800万像素摄像头，10000mAh电池，具备4G、WiFi、蓝牙等通信模组，支持GPS定位。</w:t>
      </w:r>
    </w:p>
    <w:p>
      <w:pPr>
        <w:pStyle w:val="4"/>
        <w:tabs>
          <w:tab w:val="clear" w:pos="420"/>
        </w:tabs>
        <w:ind w:firstLine="482" w:firstLineChars="200"/>
        <w:rPr>
          <w:rFonts w:ascii="宋体" w:hAnsi="宋体" w:eastAsia="宋体"/>
          <w:b/>
          <w:bCs w:val="0"/>
          <w:sz w:val="24"/>
          <w:szCs w:val="24"/>
        </w:rPr>
      </w:pPr>
      <w:r>
        <w:rPr>
          <w:rFonts w:hint="eastAsia" w:ascii="宋体" w:hAnsi="宋体" w:eastAsia="宋体"/>
          <w:b/>
          <w:bCs w:val="0"/>
          <w:sz w:val="24"/>
          <w:szCs w:val="24"/>
        </w:rPr>
        <w:t>智能识别设备</w:t>
      </w:r>
    </w:p>
    <w:p>
      <w:pPr>
        <w:spacing w:line="360" w:lineRule="auto"/>
        <w:ind w:firstLine="480" w:firstLineChars="200"/>
        <w:rPr>
          <w:rFonts w:ascii="宋体" w:hAnsi="宋体"/>
          <w:bCs/>
          <w:sz w:val="24"/>
          <w:szCs w:val="24"/>
        </w:rPr>
      </w:pPr>
      <w:r>
        <w:rPr>
          <w:rFonts w:ascii="宋体" w:hAnsi="宋体"/>
          <w:bCs/>
          <w:sz w:val="24"/>
          <w:szCs w:val="24"/>
        </w:rPr>
        <w:t>目前在用的服务器情况，在雪亮平台部署5台服务器支撑300路分析，政务云部署6台服务器支撑700路分析。</w:t>
      </w:r>
    </w:p>
    <w:p>
      <w:pPr>
        <w:spacing w:line="360" w:lineRule="auto"/>
        <w:ind w:firstLine="480" w:firstLineChars="200"/>
        <w:rPr>
          <w:rFonts w:ascii="宋体" w:hAnsi="宋体"/>
          <w:bCs/>
          <w:sz w:val="24"/>
          <w:szCs w:val="24"/>
        </w:rPr>
      </w:pPr>
      <w:r>
        <w:rPr>
          <w:rFonts w:ascii="宋体" w:hAnsi="宋体"/>
          <w:bCs/>
          <w:sz w:val="24"/>
          <w:szCs w:val="24"/>
        </w:rPr>
        <w:t>本次项目拟配置3台物联网智能识别系统服务器，支撑扩容的500路视频智能分析算力。500路算力全部部署于政务云用于自建监控智能识别，同时通过算法优化，并融合一期已建服务器通盘考虑，需部署3台服务器即可接入500路分析。</w:t>
      </w:r>
    </w:p>
    <w:p>
      <w:pPr>
        <w:spacing w:line="360" w:lineRule="auto"/>
        <w:ind w:firstLine="480" w:firstLineChars="200"/>
        <w:rPr>
          <w:rFonts w:ascii="宋体" w:hAnsi="宋体"/>
          <w:bCs/>
          <w:sz w:val="24"/>
          <w:szCs w:val="24"/>
        </w:rPr>
      </w:pPr>
      <w:r>
        <w:rPr>
          <w:rFonts w:ascii="宋体" w:hAnsi="宋体"/>
          <w:bCs/>
          <w:sz w:val="24"/>
          <w:szCs w:val="24"/>
        </w:rPr>
        <w:t>智能识别系统对服务器GPU要求高，为了保证智能识别的稳定、实时及统一性，并与一期建设方式相吻合，从而打造无锡市城管智能识别算力池，故需采购高性能服务器提供算力支持。</w:t>
      </w:r>
    </w:p>
    <w:p>
      <w:pPr>
        <w:pStyle w:val="4"/>
        <w:tabs>
          <w:tab w:val="clear" w:pos="420"/>
        </w:tabs>
        <w:ind w:firstLine="482" w:firstLineChars="200"/>
        <w:rPr>
          <w:rFonts w:ascii="宋体" w:hAnsi="宋体" w:eastAsia="宋体"/>
          <w:b/>
          <w:bCs w:val="0"/>
          <w:sz w:val="24"/>
          <w:szCs w:val="24"/>
        </w:rPr>
      </w:pPr>
      <w:r>
        <w:rPr>
          <w:rFonts w:hint="eastAsia" w:ascii="宋体" w:hAnsi="宋体" w:eastAsia="宋体"/>
          <w:b/>
          <w:bCs w:val="0"/>
          <w:sz w:val="24"/>
          <w:szCs w:val="24"/>
        </w:rPr>
        <w:t>云资源租赁</w:t>
      </w:r>
    </w:p>
    <w:p>
      <w:pPr>
        <w:spacing w:line="360" w:lineRule="auto"/>
        <w:ind w:firstLine="480" w:firstLineChars="200"/>
        <w:rPr>
          <w:rFonts w:ascii="宋体" w:hAnsi="宋体"/>
          <w:bCs/>
          <w:sz w:val="24"/>
          <w:szCs w:val="24"/>
        </w:rPr>
      </w:pPr>
      <w:r>
        <w:rPr>
          <w:rFonts w:ascii="宋体" w:hAnsi="宋体"/>
          <w:bCs/>
          <w:sz w:val="24"/>
          <w:szCs w:val="24"/>
        </w:rPr>
        <w:t>本次项目各系统共需要</w:t>
      </w:r>
      <w:r>
        <w:rPr>
          <w:rFonts w:hint="eastAsia" w:ascii="宋体" w:hAnsi="宋体"/>
          <w:bCs/>
          <w:sz w:val="24"/>
          <w:szCs w:val="24"/>
        </w:rPr>
        <w:t>约</w:t>
      </w:r>
      <w:r>
        <w:rPr>
          <w:rFonts w:ascii="宋体" w:hAnsi="宋体"/>
          <w:bCs/>
          <w:sz w:val="24"/>
          <w:szCs w:val="24"/>
        </w:rPr>
        <w:t>312核、776G内存以及18.5T的政务云资源。根据政务云提供配置清单，需16核/32G/2T数据盘配置虚拟机1台，16核/32G/500G数据盘配置虚拟机7台，8核/16G/500G数据盘配置虚拟机10台，8核/32G/500G数据盘配置虚拟机8台，4核/16G/1T数据盘配置虚拟机2台，4核/8G/500G数据盘配置虚拟机7台。涉及操作系统采用非CentOs操作系统的Linux系统及Windows系统。</w:t>
      </w:r>
    </w:p>
    <w:p>
      <w:pPr>
        <w:spacing w:line="360" w:lineRule="auto"/>
        <w:ind w:firstLine="480" w:firstLineChars="200"/>
        <w:rPr>
          <w:rFonts w:ascii="宋体" w:hAnsi="宋体"/>
          <w:bCs/>
          <w:sz w:val="24"/>
          <w:szCs w:val="24"/>
        </w:rPr>
      </w:pPr>
      <w:r>
        <w:rPr>
          <w:rFonts w:ascii="宋体" w:hAnsi="宋体"/>
          <w:bCs/>
          <w:sz w:val="24"/>
          <w:szCs w:val="24"/>
        </w:rPr>
        <w:t>同时配套相应的支撑应用，具体如下所示：</w:t>
      </w:r>
    </w:p>
    <w:p>
      <w:pPr>
        <w:spacing w:line="360" w:lineRule="auto"/>
        <w:jc w:val="center"/>
        <w:rPr>
          <w:rFonts w:ascii="宋体" w:hAnsi="宋体"/>
          <w:b/>
          <w:sz w:val="24"/>
          <w:szCs w:val="24"/>
        </w:rPr>
      </w:pPr>
      <w:r>
        <w:rPr>
          <w:rFonts w:ascii="宋体" w:hAnsi="宋体"/>
          <w:b/>
          <w:sz w:val="24"/>
          <w:szCs w:val="24"/>
        </w:rPr>
        <w:t>表 云资源需求表</w:t>
      </w:r>
    </w:p>
    <w:tbl>
      <w:tblPr>
        <w:tblStyle w:val="22"/>
        <w:tblW w:w="5000" w:type="pct"/>
        <w:tblInd w:w="0" w:type="dxa"/>
        <w:tblLayout w:type="autofit"/>
        <w:tblCellMar>
          <w:top w:w="0" w:type="dxa"/>
          <w:left w:w="108" w:type="dxa"/>
          <w:bottom w:w="0" w:type="dxa"/>
          <w:right w:w="108" w:type="dxa"/>
        </w:tblCellMar>
      </w:tblPr>
      <w:tblGrid>
        <w:gridCol w:w="784"/>
        <w:gridCol w:w="5480"/>
        <w:gridCol w:w="1164"/>
        <w:gridCol w:w="1094"/>
      </w:tblGrid>
      <w:tr>
        <w:tblPrEx>
          <w:tblCellMar>
            <w:top w:w="0" w:type="dxa"/>
            <w:left w:w="108" w:type="dxa"/>
            <w:bottom w:w="0" w:type="dxa"/>
            <w:right w:w="108" w:type="dxa"/>
          </w:tblCellMar>
        </w:tblPrEx>
        <w:trPr>
          <w:trHeight w:val="278" w:hRule="atLeast"/>
          <w:tblHeader/>
        </w:trPr>
        <w:tc>
          <w:tcPr>
            <w:tcW w:w="46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line="360" w:lineRule="auto"/>
              <w:jc w:val="center"/>
              <w:rPr>
                <w:rFonts w:ascii="宋体" w:hAnsi="宋体"/>
                <w:bCs/>
                <w:sz w:val="24"/>
                <w:szCs w:val="24"/>
              </w:rPr>
            </w:pPr>
            <w:r>
              <w:rPr>
                <w:rFonts w:ascii="宋体" w:hAnsi="宋体"/>
                <w:bCs/>
                <w:sz w:val="24"/>
                <w:szCs w:val="24"/>
              </w:rPr>
              <w:t>序号</w:t>
            </w:r>
          </w:p>
        </w:tc>
        <w:tc>
          <w:tcPr>
            <w:tcW w:w="3215" w:type="pct"/>
            <w:tcBorders>
              <w:top w:val="single" w:color="auto" w:sz="4" w:space="0"/>
              <w:left w:val="nil"/>
              <w:bottom w:val="single" w:color="auto" w:sz="4" w:space="0"/>
              <w:right w:val="single" w:color="auto" w:sz="4" w:space="0"/>
            </w:tcBorders>
            <w:shd w:val="clear" w:color="auto" w:fill="E7E6E6" w:themeFill="background2"/>
            <w:noWrap/>
            <w:vAlign w:val="center"/>
          </w:tcPr>
          <w:p>
            <w:pPr>
              <w:spacing w:line="360" w:lineRule="auto"/>
              <w:ind w:firstLine="480" w:firstLineChars="200"/>
              <w:jc w:val="center"/>
              <w:rPr>
                <w:rFonts w:ascii="宋体" w:hAnsi="宋体"/>
                <w:bCs/>
                <w:sz w:val="24"/>
                <w:szCs w:val="24"/>
              </w:rPr>
            </w:pPr>
            <w:r>
              <w:rPr>
                <w:rFonts w:ascii="宋体" w:hAnsi="宋体"/>
                <w:bCs/>
                <w:sz w:val="24"/>
                <w:szCs w:val="24"/>
              </w:rPr>
              <w:t>云资源</w:t>
            </w:r>
          </w:p>
        </w:tc>
        <w:tc>
          <w:tcPr>
            <w:tcW w:w="683" w:type="pct"/>
            <w:tcBorders>
              <w:top w:val="single" w:color="auto" w:sz="4" w:space="0"/>
              <w:left w:val="nil"/>
              <w:bottom w:val="single" w:color="auto" w:sz="4" w:space="0"/>
              <w:right w:val="single" w:color="auto" w:sz="4" w:space="0"/>
            </w:tcBorders>
            <w:shd w:val="clear" w:color="auto" w:fill="E7E6E6" w:themeFill="background2"/>
            <w:noWrap/>
            <w:vAlign w:val="center"/>
          </w:tcPr>
          <w:p>
            <w:pPr>
              <w:spacing w:line="360" w:lineRule="auto"/>
              <w:jc w:val="center"/>
              <w:rPr>
                <w:rFonts w:ascii="宋体" w:hAnsi="宋体"/>
                <w:bCs/>
                <w:sz w:val="24"/>
                <w:szCs w:val="24"/>
              </w:rPr>
            </w:pPr>
            <w:r>
              <w:rPr>
                <w:rFonts w:hint="eastAsia" w:ascii="宋体" w:hAnsi="宋体"/>
                <w:bCs/>
                <w:sz w:val="24"/>
                <w:szCs w:val="24"/>
              </w:rPr>
              <w:t>数</w:t>
            </w:r>
            <w:r>
              <w:rPr>
                <w:rFonts w:ascii="宋体" w:hAnsi="宋体"/>
                <w:bCs/>
                <w:sz w:val="24"/>
                <w:szCs w:val="24"/>
              </w:rPr>
              <w:t>量</w:t>
            </w:r>
          </w:p>
        </w:tc>
        <w:tc>
          <w:tcPr>
            <w:tcW w:w="642" w:type="pct"/>
            <w:tcBorders>
              <w:top w:val="single" w:color="auto" w:sz="4" w:space="0"/>
              <w:left w:val="nil"/>
              <w:bottom w:val="single" w:color="auto" w:sz="4" w:space="0"/>
              <w:right w:val="single" w:color="auto" w:sz="4" w:space="0"/>
            </w:tcBorders>
            <w:shd w:val="clear" w:color="auto" w:fill="E7E6E6" w:themeFill="background2"/>
            <w:vAlign w:val="center"/>
          </w:tcPr>
          <w:p>
            <w:pPr>
              <w:spacing w:line="360" w:lineRule="auto"/>
              <w:jc w:val="center"/>
              <w:rPr>
                <w:rFonts w:ascii="宋体" w:hAnsi="宋体"/>
                <w:bCs/>
                <w:sz w:val="24"/>
                <w:szCs w:val="24"/>
              </w:rPr>
            </w:pPr>
            <w:r>
              <w:rPr>
                <w:rFonts w:ascii="宋体" w:hAnsi="宋体"/>
                <w:bCs/>
                <w:sz w:val="24"/>
                <w:szCs w:val="24"/>
              </w:rPr>
              <w:t>单位</w:t>
            </w:r>
          </w:p>
        </w:tc>
      </w:tr>
      <w:tr>
        <w:tblPrEx>
          <w:tblCellMar>
            <w:top w:w="0" w:type="dxa"/>
            <w:left w:w="108" w:type="dxa"/>
            <w:bottom w:w="0" w:type="dxa"/>
            <w:right w:w="108" w:type="dxa"/>
          </w:tblCellMar>
        </w:tblPrEx>
        <w:trPr>
          <w:trHeight w:val="280"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bCs/>
                <w:sz w:val="24"/>
                <w:szCs w:val="24"/>
              </w:rPr>
            </w:pPr>
            <w:r>
              <w:rPr>
                <w:rFonts w:ascii="宋体" w:hAnsi="宋体"/>
                <w:bCs/>
                <w:sz w:val="24"/>
                <w:szCs w:val="24"/>
              </w:rPr>
              <w:t>1</w:t>
            </w:r>
          </w:p>
        </w:tc>
        <w:tc>
          <w:tcPr>
            <w:tcW w:w="3215"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jc w:val="center"/>
              <w:rPr>
                <w:rFonts w:ascii="宋体" w:hAnsi="宋体"/>
                <w:bCs/>
                <w:sz w:val="24"/>
                <w:szCs w:val="24"/>
              </w:rPr>
            </w:pPr>
            <w:r>
              <w:rPr>
                <w:rFonts w:ascii="宋体" w:hAnsi="宋体"/>
                <w:bCs/>
                <w:sz w:val="24"/>
                <w:szCs w:val="24"/>
              </w:rPr>
              <w:t>云web应用防火墙</w:t>
            </w:r>
          </w:p>
        </w:tc>
        <w:tc>
          <w:tcPr>
            <w:tcW w:w="683" w:type="pct"/>
            <w:tcBorders>
              <w:top w:val="nil"/>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bCs/>
                <w:sz w:val="24"/>
                <w:szCs w:val="24"/>
              </w:rPr>
            </w:pPr>
            <w:r>
              <w:rPr>
                <w:rFonts w:ascii="宋体" w:hAnsi="宋体"/>
                <w:bCs/>
                <w:sz w:val="24"/>
                <w:szCs w:val="24"/>
              </w:rPr>
              <w:t>1</w:t>
            </w:r>
          </w:p>
        </w:tc>
        <w:tc>
          <w:tcPr>
            <w:tcW w:w="642" w:type="pct"/>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bCs/>
                <w:sz w:val="24"/>
                <w:szCs w:val="24"/>
              </w:rPr>
            </w:pPr>
            <w:r>
              <w:rPr>
                <w:rFonts w:ascii="宋体" w:hAnsi="宋体"/>
                <w:bCs/>
                <w:sz w:val="24"/>
                <w:szCs w:val="24"/>
              </w:rPr>
              <w:t>个</w:t>
            </w:r>
          </w:p>
        </w:tc>
      </w:tr>
      <w:tr>
        <w:tblPrEx>
          <w:tblCellMar>
            <w:top w:w="0" w:type="dxa"/>
            <w:left w:w="108" w:type="dxa"/>
            <w:bottom w:w="0" w:type="dxa"/>
            <w:right w:w="108" w:type="dxa"/>
          </w:tblCellMar>
        </w:tblPrEx>
        <w:trPr>
          <w:trHeight w:val="280"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bCs/>
                <w:sz w:val="24"/>
                <w:szCs w:val="24"/>
              </w:rPr>
            </w:pPr>
            <w:r>
              <w:rPr>
                <w:rFonts w:ascii="宋体" w:hAnsi="宋体"/>
                <w:bCs/>
                <w:sz w:val="24"/>
                <w:szCs w:val="24"/>
              </w:rPr>
              <w:t>2</w:t>
            </w:r>
          </w:p>
        </w:tc>
        <w:tc>
          <w:tcPr>
            <w:tcW w:w="3215"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jc w:val="center"/>
              <w:rPr>
                <w:rFonts w:ascii="宋体" w:hAnsi="宋体"/>
                <w:bCs/>
                <w:sz w:val="24"/>
                <w:szCs w:val="24"/>
              </w:rPr>
            </w:pPr>
            <w:r>
              <w:rPr>
                <w:rFonts w:ascii="宋体" w:hAnsi="宋体"/>
                <w:bCs/>
                <w:sz w:val="24"/>
                <w:szCs w:val="24"/>
              </w:rPr>
              <w:t>云防火墙</w:t>
            </w:r>
          </w:p>
        </w:tc>
        <w:tc>
          <w:tcPr>
            <w:tcW w:w="683" w:type="pct"/>
            <w:tcBorders>
              <w:top w:val="nil"/>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bCs/>
                <w:sz w:val="24"/>
                <w:szCs w:val="24"/>
              </w:rPr>
            </w:pPr>
            <w:r>
              <w:rPr>
                <w:rFonts w:ascii="宋体" w:hAnsi="宋体"/>
                <w:bCs/>
                <w:sz w:val="24"/>
                <w:szCs w:val="24"/>
              </w:rPr>
              <w:t>4</w:t>
            </w:r>
          </w:p>
        </w:tc>
        <w:tc>
          <w:tcPr>
            <w:tcW w:w="642" w:type="pct"/>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bCs/>
                <w:sz w:val="24"/>
                <w:szCs w:val="24"/>
              </w:rPr>
            </w:pPr>
            <w:r>
              <w:rPr>
                <w:rFonts w:ascii="宋体" w:hAnsi="宋体"/>
                <w:bCs/>
                <w:sz w:val="24"/>
                <w:szCs w:val="24"/>
              </w:rPr>
              <w:t>个</w:t>
            </w:r>
          </w:p>
        </w:tc>
      </w:tr>
      <w:tr>
        <w:tblPrEx>
          <w:tblCellMar>
            <w:top w:w="0" w:type="dxa"/>
            <w:left w:w="108" w:type="dxa"/>
            <w:bottom w:w="0" w:type="dxa"/>
            <w:right w:w="108" w:type="dxa"/>
          </w:tblCellMar>
        </w:tblPrEx>
        <w:trPr>
          <w:trHeight w:val="280"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bCs/>
                <w:sz w:val="24"/>
                <w:szCs w:val="24"/>
              </w:rPr>
            </w:pPr>
            <w:r>
              <w:rPr>
                <w:rFonts w:ascii="宋体" w:hAnsi="宋体"/>
                <w:bCs/>
                <w:sz w:val="24"/>
                <w:szCs w:val="24"/>
              </w:rPr>
              <w:t>3</w:t>
            </w:r>
          </w:p>
        </w:tc>
        <w:tc>
          <w:tcPr>
            <w:tcW w:w="3215"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jc w:val="center"/>
              <w:rPr>
                <w:rFonts w:ascii="宋体" w:hAnsi="宋体"/>
                <w:bCs/>
                <w:sz w:val="24"/>
                <w:szCs w:val="24"/>
              </w:rPr>
            </w:pPr>
            <w:r>
              <w:rPr>
                <w:rFonts w:ascii="宋体" w:hAnsi="宋体"/>
                <w:bCs/>
                <w:sz w:val="24"/>
                <w:szCs w:val="24"/>
              </w:rPr>
              <w:t>堡垒机设备许可扩容</w:t>
            </w:r>
          </w:p>
        </w:tc>
        <w:tc>
          <w:tcPr>
            <w:tcW w:w="683" w:type="pct"/>
            <w:tcBorders>
              <w:top w:val="nil"/>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bCs/>
                <w:sz w:val="24"/>
                <w:szCs w:val="24"/>
              </w:rPr>
            </w:pPr>
            <w:r>
              <w:rPr>
                <w:rFonts w:ascii="宋体" w:hAnsi="宋体"/>
                <w:bCs/>
                <w:sz w:val="24"/>
                <w:szCs w:val="24"/>
              </w:rPr>
              <w:t>100</w:t>
            </w:r>
          </w:p>
        </w:tc>
        <w:tc>
          <w:tcPr>
            <w:tcW w:w="642" w:type="pct"/>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bCs/>
                <w:sz w:val="24"/>
                <w:szCs w:val="24"/>
              </w:rPr>
            </w:pPr>
            <w:r>
              <w:rPr>
                <w:rFonts w:ascii="宋体" w:hAnsi="宋体"/>
                <w:bCs/>
                <w:sz w:val="24"/>
                <w:szCs w:val="24"/>
              </w:rPr>
              <w:t>个</w:t>
            </w:r>
          </w:p>
        </w:tc>
      </w:tr>
      <w:tr>
        <w:tblPrEx>
          <w:tblCellMar>
            <w:top w:w="0" w:type="dxa"/>
            <w:left w:w="108" w:type="dxa"/>
            <w:bottom w:w="0" w:type="dxa"/>
            <w:right w:w="108" w:type="dxa"/>
          </w:tblCellMar>
        </w:tblPrEx>
        <w:trPr>
          <w:trHeight w:val="280"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bCs/>
                <w:sz w:val="24"/>
                <w:szCs w:val="24"/>
              </w:rPr>
            </w:pPr>
            <w:r>
              <w:rPr>
                <w:rFonts w:ascii="宋体" w:hAnsi="宋体"/>
                <w:bCs/>
                <w:sz w:val="24"/>
                <w:szCs w:val="24"/>
              </w:rPr>
              <w:t>4</w:t>
            </w:r>
          </w:p>
        </w:tc>
        <w:tc>
          <w:tcPr>
            <w:tcW w:w="3215"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jc w:val="center"/>
              <w:rPr>
                <w:rFonts w:ascii="宋体" w:hAnsi="宋体"/>
                <w:bCs/>
                <w:sz w:val="24"/>
                <w:szCs w:val="24"/>
              </w:rPr>
            </w:pPr>
            <w:r>
              <w:rPr>
                <w:rFonts w:ascii="宋体" w:hAnsi="宋体"/>
                <w:bCs/>
                <w:sz w:val="24"/>
                <w:szCs w:val="24"/>
              </w:rPr>
              <w:t>综合日志审计设备许可扩容</w:t>
            </w:r>
          </w:p>
        </w:tc>
        <w:tc>
          <w:tcPr>
            <w:tcW w:w="683" w:type="pct"/>
            <w:tcBorders>
              <w:top w:val="nil"/>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bCs/>
                <w:sz w:val="24"/>
                <w:szCs w:val="24"/>
              </w:rPr>
            </w:pPr>
            <w:r>
              <w:rPr>
                <w:rFonts w:ascii="宋体" w:hAnsi="宋体"/>
                <w:bCs/>
                <w:sz w:val="24"/>
                <w:szCs w:val="24"/>
              </w:rPr>
              <w:t>100</w:t>
            </w:r>
          </w:p>
        </w:tc>
        <w:tc>
          <w:tcPr>
            <w:tcW w:w="642" w:type="pct"/>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bCs/>
                <w:sz w:val="24"/>
                <w:szCs w:val="24"/>
              </w:rPr>
            </w:pPr>
            <w:r>
              <w:rPr>
                <w:rFonts w:ascii="宋体" w:hAnsi="宋体"/>
                <w:bCs/>
                <w:sz w:val="24"/>
                <w:szCs w:val="24"/>
              </w:rPr>
              <w:t>个</w:t>
            </w:r>
          </w:p>
        </w:tc>
      </w:tr>
    </w:tbl>
    <w:p>
      <w:pPr>
        <w:spacing w:line="360" w:lineRule="auto"/>
        <w:ind w:firstLine="480" w:firstLineChars="200"/>
        <w:rPr>
          <w:rFonts w:ascii="宋体" w:hAnsi="宋体"/>
          <w:bCs/>
          <w:sz w:val="24"/>
          <w:szCs w:val="24"/>
        </w:rPr>
      </w:pPr>
      <w:r>
        <w:rPr>
          <w:rFonts w:ascii="宋体" w:hAnsi="宋体"/>
          <w:bCs/>
          <w:sz w:val="24"/>
          <w:szCs w:val="24"/>
        </w:rPr>
        <w:t>无锡市政务云服务供应商将提供虚拟机、物理服务器、存储等服务，根据各业务系统的资源需求，租赁期为2年。</w:t>
      </w:r>
    </w:p>
    <w:p>
      <w:pPr>
        <w:pStyle w:val="4"/>
        <w:tabs>
          <w:tab w:val="clear" w:pos="420"/>
        </w:tabs>
        <w:ind w:firstLine="482" w:firstLineChars="200"/>
        <w:rPr>
          <w:rFonts w:ascii="宋体" w:hAnsi="宋体" w:eastAsia="宋体"/>
          <w:b/>
          <w:bCs w:val="0"/>
          <w:sz w:val="24"/>
          <w:szCs w:val="24"/>
        </w:rPr>
      </w:pPr>
      <w:r>
        <w:rPr>
          <w:rFonts w:hint="eastAsia" w:ascii="宋体" w:hAnsi="宋体" w:eastAsia="宋体"/>
          <w:b/>
          <w:bCs w:val="0"/>
          <w:sz w:val="24"/>
          <w:szCs w:val="24"/>
        </w:rPr>
        <w:t>网络信息安全保障</w:t>
      </w:r>
    </w:p>
    <w:p>
      <w:pPr>
        <w:spacing w:line="360" w:lineRule="auto"/>
        <w:ind w:firstLine="480" w:firstLineChars="200"/>
        <w:rPr>
          <w:rFonts w:ascii="宋体" w:hAnsi="宋体"/>
          <w:bCs/>
          <w:sz w:val="24"/>
          <w:szCs w:val="24"/>
        </w:rPr>
      </w:pPr>
      <w:r>
        <w:rPr>
          <w:rFonts w:ascii="宋体" w:hAnsi="宋体"/>
          <w:bCs/>
          <w:sz w:val="24"/>
          <w:szCs w:val="24"/>
        </w:rPr>
        <w:t>对现有安全体系进行加固，全面保障网络信息安全，满足信息安全等级保护2.0要求。</w:t>
      </w:r>
    </w:p>
    <w:p>
      <w:pPr>
        <w:pStyle w:val="3"/>
        <w:keepNext w:val="0"/>
        <w:keepLines w:val="0"/>
        <w:numPr>
          <w:ilvl w:val="1"/>
          <w:numId w:val="0"/>
        </w:numPr>
        <w:tabs>
          <w:tab w:val="left" w:pos="142"/>
          <w:tab w:val="left" w:pos="432"/>
          <w:tab w:val="left" w:pos="864"/>
        </w:tabs>
        <w:ind w:firstLine="482" w:firstLineChars="200"/>
        <w:rPr>
          <w:rFonts w:ascii="宋体" w:hAnsi="宋体" w:eastAsia="宋体" w:cstheme="majorHAnsi"/>
          <w:b/>
          <w:bCs w:val="0"/>
          <w:sz w:val="24"/>
          <w:szCs w:val="24"/>
        </w:rPr>
      </w:pPr>
      <w:r>
        <w:rPr>
          <w:rFonts w:hint="eastAsia" w:ascii="宋体" w:hAnsi="宋体" w:eastAsia="宋体" w:cstheme="majorHAnsi"/>
          <w:b/>
          <w:bCs w:val="0"/>
          <w:sz w:val="24"/>
          <w:szCs w:val="24"/>
        </w:rPr>
        <w:t>4</w:t>
      </w:r>
      <w:r>
        <w:rPr>
          <w:rFonts w:ascii="宋体" w:hAnsi="宋体" w:eastAsia="宋体" w:cstheme="majorHAnsi"/>
          <w:b/>
          <w:bCs w:val="0"/>
          <w:sz w:val="24"/>
          <w:szCs w:val="24"/>
        </w:rPr>
        <w:t xml:space="preserve">.2 </w:t>
      </w:r>
      <w:r>
        <w:rPr>
          <w:rFonts w:hint="eastAsia" w:ascii="宋体" w:hAnsi="宋体" w:eastAsia="宋体" w:cstheme="majorHAnsi"/>
          <w:b/>
          <w:bCs w:val="0"/>
          <w:sz w:val="24"/>
          <w:szCs w:val="24"/>
        </w:rPr>
        <w:t>数据资产</w:t>
      </w:r>
    </w:p>
    <w:p>
      <w:pPr>
        <w:pStyle w:val="46"/>
        <w:keepNext/>
        <w:keepLines/>
        <w:numPr>
          <w:ilvl w:val="1"/>
          <w:numId w:val="1"/>
        </w:numPr>
        <w:tabs>
          <w:tab w:val="left" w:pos="0"/>
          <w:tab w:val="left" w:pos="993"/>
        </w:tabs>
        <w:ind w:firstLineChars="0"/>
        <w:contextualSpacing/>
        <w:outlineLvl w:val="1"/>
        <w:rPr>
          <w:rFonts w:ascii="Arial" w:hAnsi="Arial" w:eastAsia="黑体"/>
          <w:bCs/>
          <w:vanish/>
          <w:sz w:val="30"/>
          <w:szCs w:val="32"/>
        </w:rPr>
      </w:pPr>
    </w:p>
    <w:p>
      <w:pPr>
        <w:pStyle w:val="46"/>
        <w:keepNext/>
        <w:keepLines/>
        <w:numPr>
          <w:ilvl w:val="1"/>
          <w:numId w:val="1"/>
        </w:numPr>
        <w:tabs>
          <w:tab w:val="left" w:pos="0"/>
          <w:tab w:val="left" w:pos="993"/>
        </w:tabs>
        <w:ind w:firstLineChars="0"/>
        <w:contextualSpacing/>
        <w:outlineLvl w:val="1"/>
        <w:rPr>
          <w:rFonts w:ascii="Arial" w:hAnsi="Arial" w:eastAsia="黑体"/>
          <w:bCs/>
          <w:vanish/>
          <w:sz w:val="30"/>
          <w:szCs w:val="32"/>
        </w:rPr>
      </w:pPr>
    </w:p>
    <w:p>
      <w:pPr>
        <w:pStyle w:val="4"/>
        <w:numPr>
          <w:ilvl w:val="0"/>
          <w:numId w:val="0"/>
        </w:numPr>
        <w:tabs>
          <w:tab w:val="clear" w:pos="420"/>
        </w:tabs>
        <w:ind w:left="482"/>
        <w:rPr>
          <w:rFonts w:ascii="宋体" w:hAnsi="宋体" w:eastAsia="宋体"/>
          <w:b/>
          <w:bCs w:val="0"/>
          <w:sz w:val="24"/>
          <w:szCs w:val="24"/>
        </w:rPr>
      </w:pPr>
      <w:r>
        <w:rPr>
          <w:rFonts w:hint="eastAsia" w:ascii="宋体" w:hAnsi="宋体" w:eastAsia="宋体"/>
          <w:b/>
          <w:bCs w:val="0"/>
          <w:sz w:val="24"/>
          <w:szCs w:val="24"/>
        </w:rPr>
        <w:t>4</w:t>
      </w:r>
      <w:r>
        <w:rPr>
          <w:rFonts w:ascii="宋体" w:hAnsi="宋体" w:eastAsia="宋体"/>
          <w:b/>
          <w:bCs w:val="0"/>
          <w:sz w:val="24"/>
          <w:szCs w:val="24"/>
        </w:rPr>
        <w:t>.2.1</w:t>
      </w:r>
      <w:r>
        <w:rPr>
          <w:rFonts w:hint="eastAsia" w:ascii="宋体" w:hAnsi="宋体" w:eastAsia="宋体"/>
          <w:b/>
          <w:bCs w:val="0"/>
          <w:sz w:val="24"/>
          <w:szCs w:val="24"/>
        </w:rPr>
        <w:t>数据交换系统</w:t>
      </w:r>
    </w:p>
    <w:p>
      <w:pPr>
        <w:spacing w:line="360" w:lineRule="auto"/>
        <w:ind w:firstLine="480" w:firstLineChars="200"/>
        <w:rPr>
          <w:rFonts w:ascii="宋体" w:hAnsi="宋体"/>
          <w:bCs/>
          <w:sz w:val="24"/>
          <w:szCs w:val="24"/>
        </w:rPr>
      </w:pPr>
      <w:r>
        <w:rPr>
          <w:rFonts w:ascii="宋体" w:hAnsi="宋体"/>
          <w:bCs/>
          <w:sz w:val="24"/>
          <w:szCs w:val="24"/>
        </w:rPr>
        <w:t>城市运行管理服务平台技术标准针对数据交换系统提出了明确的要求，现有数据交换系统尚无法满足与国家平台联网要求。需要针对国家平台联网具体要求，开发数据获取模块获取所需数据资源，按照部颁标准要求开发数据接口，同时还需要完善接入平台配置、接口服务发布、接口服务订阅、数据交换和接口状态监控等接口管理功能。同时数据交换系统还需满足无锡市城运中心数据联网要求。主要需求如下：</w:t>
      </w:r>
    </w:p>
    <w:p>
      <w:pPr>
        <w:spacing w:line="360" w:lineRule="auto"/>
        <w:ind w:firstLine="480" w:firstLineChars="200"/>
        <w:rPr>
          <w:rFonts w:ascii="宋体" w:hAnsi="宋体"/>
          <w:bCs/>
          <w:sz w:val="24"/>
          <w:szCs w:val="24"/>
        </w:rPr>
      </w:pPr>
      <w:r>
        <w:rPr>
          <w:rFonts w:ascii="宋体" w:hAnsi="宋体"/>
          <w:bCs/>
          <w:sz w:val="24"/>
          <w:szCs w:val="24"/>
        </w:rPr>
        <w:t>1、“运管服”上级平台联网。通过数据交换系统向省平台、国家平台推送城市运行管理服务相关数据，实现数据联网。</w:t>
      </w:r>
    </w:p>
    <w:p>
      <w:pPr>
        <w:spacing w:line="360" w:lineRule="auto"/>
        <w:ind w:firstLine="480" w:firstLineChars="200"/>
        <w:rPr>
          <w:rFonts w:ascii="宋体" w:hAnsi="宋体"/>
          <w:bCs/>
          <w:sz w:val="24"/>
          <w:szCs w:val="24"/>
        </w:rPr>
      </w:pPr>
      <w:r>
        <w:rPr>
          <w:rFonts w:ascii="宋体" w:hAnsi="宋体"/>
          <w:bCs/>
          <w:sz w:val="24"/>
          <w:szCs w:val="24"/>
        </w:rPr>
        <w:t>2、城运中心数据交换联网。通过数据交换系统向城运中心平台推送城市运行管理服务相关数据，实现数据联网。</w:t>
      </w:r>
    </w:p>
    <w:p>
      <w:pPr>
        <w:pStyle w:val="4"/>
        <w:numPr>
          <w:ilvl w:val="0"/>
          <w:numId w:val="0"/>
        </w:numPr>
        <w:tabs>
          <w:tab w:val="clear" w:pos="420"/>
        </w:tabs>
        <w:ind w:left="482"/>
        <w:rPr>
          <w:rFonts w:ascii="宋体" w:hAnsi="宋体" w:eastAsia="宋体"/>
          <w:b/>
          <w:bCs w:val="0"/>
          <w:sz w:val="24"/>
          <w:szCs w:val="24"/>
        </w:rPr>
      </w:pPr>
      <w:r>
        <w:rPr>
          <w:rFonts w:hint="eastAsia" w:ascii="宋体" w:hAnsi="宋体" w:eastAsia="宋体"/>
          <w:b/>
          <w:bCs w:val="0"/>
          <w:sz w:val="24"/>
          <w:szCs w:val="24"/>
        </w:rPr>
        <w:t>4</w:t>
      </w:r>
      <w:r>
        <w:rPr>
          <w:rFonts w:ascii="宋体" w:hAnsi="宋体" w:eastAsia="宋体"/>
          <w:b/>
          <w:bCs w:val="0"/>
          <w:sz w:val="24"/>
          <w:szCs w:val="24"/>
        </w:rPr>
        <w:t>.2.2</w:t>
      </w:r>
      <w:r>
        <w:rPr>
          <w:rFonts w:hint="eastAsia" w:ascii="宋体" w:hAnsi="宋体" w:eastAsia="宋体"/>
          <w:b/>
          <w:bCs w:val="0"/>
          <w:sz w:val="24"/>
          <w:szCs w:val="24"/>
        </w:rPr>
        <w:t>数据汇聚系统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本项目建设数据汇聚系统，完善数据汇聚功能，满足城市运行管理服务平台部颁标准的要求。同时，为提高数据质量，开展基础数据治理、专项数据治理，为扩展数据范围，提高数据鲜活性，新建数据采集系统。将现有数据进行梳理整合，纳入无锡市城市运行管理服务综合数据库，项目建成后将实现对现有数据的改造复用。</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在建成符合城市运行管理服务平台标准规范要求的数据汇聚系统的同时全面提升数据质量，充实和形成城市运行管理服务综合数据库。</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1、构建“运管服”数据汇聚系统。按照部颁标准要求，建设数据汇聚系统，具备数据获取、数据清洗、数据融合、数据资源编目等功能模块，支撑和完成“运管服”数据汇聚接入工作。</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2、新建基础数据治理模块。依据城市运行管理服务平台部颁标准，需对智慧城管数据中心已汇聚接入的城市管理基础运行数据进行数据治理，完善数据标准，提高数据的规范性，优化数据对接机制，提高数据的实效性，增加数据对账机制，提高数据的准确性；建设和完善城管事部件案件和执法案件专项数据清单，以满足省执法平台及“运管服”国家平台相关数据上报的要求。</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3、新建专项数据治理模块。根据城市精细化管理工作的实际需要，本项目着力开展行政执法对象和行政审批数据专项治理工作。整合汇聚相关数据，规范数据标准和数据分类，通过数据清洗转换及目录编制，形成服务全局的城管行政执法和审批数字档案。</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4、新建“最干净城市”专题数据。根据《中共无锡市委办公室无锡市人民政府办公室关于印发〈打造“全国最干净城市”三年行动计划（2022—2024年）〉的通知》（锡委办发〔2022〕22号）及最干净城市评价指标体系要求，为全面支撑“最干净城市”工作开展和支撑“最干净城市”评价工作开展，需不断完善打造“全国最干净城市”数据底座，实现“一网统管”、“一图展示”，并分步分期接入市城运中心。</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5、新建数据采集系统。为解决数据鲜活性不够、可用性不高，缺乏数据采集系统，采集的数据字段灵活多变且每种类型字段和采集要求各不相同，无法开展常态化采集等突出问题，需要建设专业化数据采集系统，提供数据采集人员管理、任务管理、现场采集软件、数据审核、任务跟踪、统计报表等数据采集全流程管理功能，实现从任务发布、到信息采集、数据审核入库的闭环化管理，常态化开展数据采集工作，提升数据生产能力，发挥基层队伍作用，补齐基础数据短板，全面提升数据可用性。</w:t>
      </w:r>
    </w:p>
    <w:p>
      <w:pPr>
        <w:pStyle w:val="3"/>
        <w:keepNext w:val="0"/>
        <w:keepLines w:val="0"/>
        <w:numPr>
          <w:ilvl w:val="1"/>
          <w:numId w:val="0"/>
        </w:numPr>
        <w:tabs>
          <w:tab w:val="left" w:pos="142"/>
          <w:tab w:val="left" w:pos="432"/>
          <w:tab w:val="left" w:pos="864"/>
        </w:tabs>
        <w:ind w:firstLine="482" w:firstLineChars="200"/>
        <w:rPr>
          <w:rFonts w:ascii="宋体" w:hAnsi="宋体" w:eastAsia="宋体" w:cstheme="majorHAnsi"/>
          <w:b/>
          <w:bCs w:val="0"/>
          <w:sz w:val="24"/>
          <w:szCs w:val="24"/>
        </w:rPr>
      </w:pPr>
      <w:r>
        <w:rPr>
          <w:rFonts w:hint="eastAsia" w:ascii="宋体" w:hAnsi="宋体" w:eastAsia="宋体" w:cstheme="majorHAnsi"/>
          <w:b/>
          <w:bCs w:val="0"/>
          <w:sz w:val="24"/>
          <w:szCs w:val="24"/>
        </w:rPr>
        <w:t>4</w:t>
      </w:r>
      <w:r>
        <w:rPr>
          <w:rFonts w:ascii="宋体" w:hAnsi="宋体" w:eastAsia="宋体" w:cstheme="majorHAnsi"/>
          <w:b/>
          <w:bCs w:val="0"/>
          <w:sz w:val="24"/>
          <w:szCs w:val="24"/>
        </w:rPr>
        <w:t xml:space="preserve">.3 </w:t>
      </w:r>
      <w:r>
        <w:rPr>
          <w:rFonts w:hint="eastAsia" w:ascii="宋体" w:hAnsi="宋体" w:eastAsia="宋体" w:cstheme="majorHAnsi"/>
          <w:b/>
          <w:bCs w:val="0"/>
          <w:sz w:val="24"/>
          <w:szCs w:val="24"/>
        </w:rPr>
        <w:t>应用支撑系统</w:t>
      </w:r>
      <w:r>
        <w:rPr>
          <w:rFonts w:hint="eastAsia" w:ascii="宋体" w:hAnsi="宋体" w:eastAsia="宋体" w:cstheme="majorHAnsi"/>
          <w:b/>
          <w:bCs w:val="0"/>
          <w:sz w:val="24"/>
          <w:szCs w:val="24"/>
        </w:rPr>
        <w:tab/>
      </w:r>
    </w:p>
    <w:p>
      <w:pPr>
        <w:pStyle w:val="4"/>
        <w:tabs>
          <w:tab w:val="clear" w:pos="420"/>
        </w:tabs>
        <w:ind w:firstLine="482" w:firstLineChars="200"/>
        <w:rPr>
          <w:rFonts w:ascii="宋体" w:hAnsi="宋体" w:eastAsia="宋体"/>
          <w:b/>
          <w:bCs w:val="0"/>
          <w:sz w:val="24"/>
          <w:szCs w:val="24"/>
        </w:rPr>
      </w:pPr>
      <w:r>
        <w:rPr>
          <w:rFonts w:hint="eastAsia" w:ascii="宋体" w:hAnsi="宋体" w:eastAsia="宋体"/>
          <w:b/>
          <w:bCs w:val="0"/>
          <w:sz w:val="24"/>
          <w:szCs w:val="24"/>
        </w:rPr>
        <w:t>会议管理平台</w:t>
      </w:r>
    </w:p>
    <w:p>
      <w:pPr>
        <w:tabs>
          <w:tab w:val="left" w:pos="525"/>
          <w:tab w:val="left" w:pos="630"/>
          <w:tab w:val="left" w:pos="735"/>
          <w:tab w:val="left" w:pos="945"/>
        </w:tabs>
        <w:spacing w:line="360" w:lineRule="auto"/>
        <w:ind w:firstLine="525"/>
        <w:rPr>
          <w:rFonts w:ascii="宋体" w:hAnsi="宋体"/>
          <w:bCs/>
          <w:sz w:val="24"/>
          <w:szCs w:val="21"/>
        </w:rPr>
      </w:pPr>
      <w:r>
        <w:rPr>
          <w:rFonts w:hint="eastAsia" w:ascii="宋体" w:hAnsi="宋体"/>
          <w:bCs/>
          <w:sz w:val="24"/>
          <w:szCs w:val="21"/>
        </w:rPr>
        <w:t>会议管理平台</w:t>
      </w:r>
      <w:r>
        <w:rPr>
          <w:rFonts w:ascii="宋体" w:hAnsi="宋体"/>
          <w:bCs/>
          <w:sz w:val="24"/>
          <w:szCs w:val="21"/>
        </w:rPr>
        <w:t>支持管理平台一体机部署，含注册&amp;呼叫控制、企业通讯录功能，提供总部集中式部署管理、MCU和录播资源池管理。本次配置50路设备管理注册。</w:t>
      </w:r>
      <w:r>
        <w:rPr>
          <w:rFonts w:hint="eastAsia" w:ascii="宋体" w:hAnsi="宋体"/>
          <w:bCs/>
          <w:sz w:val="24"/>
          <w:szCs w:val="21"/>
        </w:rPr>
        <w:t>会议管理平台</w:t>
      </w:r>
      <w:r>
        <w:rPr>
          <w:rFonts w:ascii="宋体" w:hAnsi="宋体"/>
          <w:bCs/>
          <w:sz w:val="24"/>
          <w:szCs w:val="21"/>
        </w:rPr>
        <w:t>必须与市城运中心最新上线的视频点调系统并会融合。</w:t>
      </w:r>
    </w:p>
    <w:p>
      <w:pPr>
        <w:pStyle w:val="4"/>
        <w:tabs>
          <w:tab w:val="clear" w:pos="420"/>
        </w:tabs>
        <w:ind w:firstLine="482" w:firstLineChars="200"/>
        <w:rPr>
          <w:rFonts w:ascii="宋体" w:hAnsi="宋体" w:eastAsia="宋体"/>
          <w:b/>
          <w:bCs w:val="0"/>
          <w:sz w:val="24"/>
          <w:szCs w:val="24"/>
        </w:rPr>
      </w:pPr>
      <w:r>
        <w:rPr>
          <w:rFonts w:hint="eastAsia" w:ascii="宋体" w:hAnsi="宋体" w:eastAsia="宋体"/>
          <w:b/>
          <w:bCs w:val="0"/>
          <w:sz w:val="24"/>
          <w:szCs w:val="24"/>
        </w:rPr>
        <w:t>短信发送服务</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针对非接触性执法、智能识别预警、值班通知等业务，本次项目拟购买短信发送服务。</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根据城市管理业务开展经验，每年办案量约为二十万，加上预警、通知等应用场景，预计每年产生短信25万条，三年共计75万条。</w:t>
      </w:r>
    </w:p>
    <w:p>
      <w:pPr>
        <w:pStyle w:val="4"/>
        <w:tabs>
          <w:tab w:val="clear" w:pos="420"/>
        </w:tabs>
        <w:ind w:firstLine="482" w:firstLineChars="200"/>
        <w:rPr>
          <w:rFonts w:ascii="宋体" w:hAnsi="宋体" w:eastAsia="宋体"/>
          <w:b/>
          <w:bCs w:val="0"/>
          <w:sz w:val="24"/>
          <w:szCs w:val="24"/>
        </w:rPr>
      </w:pPr>
      <w:r>
        <w:rPr>
          <w:rFonts w:hint="eastAsia" w:ascii="宋体" w:hAnsi="宋体" w:eastAsia="宋体"/>
          <w:b/>
          <w:bCs w:val="0"/>
          <w:sz w:val="24"/>
          <w:szCs w:val="24"/>
        </w:rPr>
        <w:t>信息核验服务</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队员使用执法系统进行办案时需验证执法对象信息的准确性，故本次项目拟购买核验服务进行验证。</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个人信息校验：城管系统向核验方发送姓名、身份证号码，核验方会返回这两个信息是否一致的结果，结果显示一致或不一致。</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企业信息校验：城管系统向核验方发送企业名称、统一社会信用代码、法人姓名，核验方会验证三要素是否匹配，返回是否一致的结果。</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因办案过程中会涉及外地人员，灵锡、公安等官方平台无法校验外地人员信息，故需向第三方购买信息校验服务。</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根据一期项目运行经验，每年执法办案量约为二十万，预计每年产生个人校验次数为20万次，企业校验次数为1万次，三年校验次数共计63万次。</w:t>
      </w:r>
    </w:p>
    <w:p>
      <w:pPr>
        <w:pStyle w:val="4"/>
        <w:tabs>
          <w:tab w:val="clear" w:pos="420"/>
        </w:tabs>
        <w:ind w:firstLine="482" w:firstLineChars="200"/>
        <w:rPr>
          <w:rFonts w:ascii="宋体" w:hAnsi="宋体" w:eastAsia="宋体"/>
          <w:b/>
          <w:bCs w:val="0"/>
          <w:sz w:val="24"/>
          <w:szCs w:val="24"/>
        </w:rPr>
      </w:pPr>
      <w:r>
        <w:rPr>
          <w:rFonts w:hint="eastAsia" w:ascii="宋体" w:hAnsi="宋体" w:eastAsia="宋体"/>
          <w:b/>
          <w:bCs w:val="0"/>
          <w:sz w:val="24"/>
          <w:szCs w:val="24"/>
        </w:rPr>
        <w:t>智能识别算法扩容</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无锡市物联网应用示范工程“智慧城管”项目建设了太湖云眼智能识别系统，支持1000路视频的智能分析，包含“出店经营”、“游商摊贩”、“沿街晾晒”等13类智能识别算法。经过1年多的应用，目前已起到较大效果，但随着精细化管理工作要求提升，目前的识别范围已无法满足工作开展需求，需要针对农贸市场等重点区域，增加智能识别范围，加强监管能力建设。本期拟新增500路智能识别算法，总共达到1500路识别能力。</w:t>
      </w:r>
    </w:p>
    <w:p>
      <w:pPr>
        <w:pStyle w:val="4"/>
        <w:tabs>
          <w:tab w:val="clear" w:pos="420"/>
        </w:tabs>
        <w:ind w:firstLine="482" w:firstLineChars="200"/>
        <w:rPr>
          <w:rFonts w:ascii="宋体" w:hAnsi="宋体" w:eastAsia="宋体"/>
          <w:b/>
          <w:bCs w:val="0"/>
          <w:sz w:val="24"/>
          <w:szCs w:val="24"/>
        </w:rPr>
      </w:pPr>
      <w:r>
        <w:rPr>
          <w:rFonts w:hint="eastAsia" w:ascii="宋体" w:hAnsi="宋体" w:eastAsia="宋体"/>
          <w:b/>
          <w:bCs w:val="0"/>
          <w:sz w:val="24"/>
          <w:szCs w:val="24"/>
        </w:rPr>
        <w:t>应用维护系统</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（1）</w:t>
      </w:r>
      <w:r>
        <w:rPr>
          <w:rFonts w:ascii="宋体" w:hAnsi="宋体"/>
          <w:b/>
          <w:sz w:val="24"/>
          <w:szCs w:val="21"/>
        </w:rPr>
        <w:t>统一工作台</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通过智慧城管统一工作台建设深入推动业务应用整合集成，向上集成共享国家、省厅、市城运中心等上级单位应用系统；向下集成共享区县特色应用系统。整合集成智慧城管统一管理子系统，全面深化已建、新建业务应用系统的整合集成，整合集成完善业务指导功能、监督检查等功能，打造形成服务市、区城市管理人员的业务应用总入口、一站式工作台；针对移动端进行升级、对接，整合新建移动应用。</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1、推进业务应用集成管理。包括局外应用集成和局内应用集成，同时提供应用集成管理功能。在城管体系内集成智慧城管统一管理子系统，全面深化已建、新建业务应用系统的整合集成，同时可根据住建部城市运行（综合）管理服务平台建设要求，融合接入业务指导等应用功能及按照工作需要集成接入区县特色、亮点应用等。</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2、构建运管服应用总入口框架。基于应用维护系统构建的统一用户体系，完善用户认证功能，形成运管服平台业务应用总入口。</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3、集成和完善监督检查功能。新建监督检查任务派遣模块，打造任务创建生成、任务接收、任务反馈闭环流程。</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4、完善统一信息采编管理功能。建设具有分级分类管理功能的信息采编系统，对需在统一工作台展示的新闻资讯、行业动态、政策法规、考核通报及其他信息，进行编辑制作和信息发布管理。供相关业务处室及下属单位分权限、分板块采编维护和发布信息。</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5、移动端应用整合。基于移动端门户框架，实现核心监管、执法监督、沿街商户生态精准治理、数据采集、综合评价等系统移动端应用的整合集成等。包括移动端拍照、定位、消息传递等底层能力接口集成调试，功能点集成管理等。</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（2）统一用户体系</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统一用户体系将实现城管内部组织架构、人员用户、系统账户、业务应用的统一管理，并提供手机验证码登录、政务微信扫码登录等登录授权能力，一方面为城管局统一门户和业务系统赋能，提供了统一的身份认证和账户管理能力，方便各个系统间识别账户身份；另一方面，为综合评价和决策建议系统赋能，便于追踪工作人员在城管系统操作和使用情况，进行统一评价；同时，该系统也具备和市级协同办公平台对接，向协同办公平台同步城管体系内必要的人员和账户信息，方便城管工作人员在OA系统和政务微信上一键访问城管的应用。统一用户体系</w:t>
      </w:r>
      <w:r>
        <w:rPr>
          <w:rFonts w:hint="eastAsia" w:ascii="宋体" w:hAnsi="宋体"/>
          <w:bCs/>
          <w:sz w:val="24"/>
          <w:szCs w:val="21"/>
        </w:rPr>
        <w:t>系统主要包括</w:t>
      </w:r>
      <w:r>
        <w:rPr>
          <w:rFonts w:ascii="宋体" w:hAnsi="宋体"/>
          <w:bCs/>
          <w:sz w:val="24"/>
          <w:szCs w:val="21"/>
        </w:rPr>
        <w:t>城管组织中心、用户中心、账户中心、身份认证中心、应用中心、登录授权、统计分析等功能。</w:t>
      </w:r>
    </w:p>
    <w:p>
      <w:pPr>
        <w:pStyle w:val="3"/>
        <w:keepNext w:val="0"/>
        <w:keepLines w:val="0"/>
        <w:numPr>
          <w:ilvl w:val="1"/>
          <w:numId w:val="0"/>
        </w:numPr>
        <w:tabs>
          <w:tab w:val="left" w:pos="142"/>
          <w:tab w:val="left" w:pos="432"/>
          <w:tab w:val="left" w:pos="864"/>
        </w:tabs>
        <w:ind w:firstLine="566" w:firstLineChars="235"/>
        <w:rPr>
          <w:rFonts w:ascii="宋体" w:hAnsi="宋体" w:eastAsia="宋体" w:cstheme="majorHAnsi"/>
          <w:b/>
          <w:bCs w:val="0"/>
          <w:sz w:val="24"/>
          <w:szCs w:val="24"/>
        </w:rPr>
      </w:pPr>
      <w:r>
        <w:rPr>
          <w:rFonts w:hint="eastAsia" w:ascii="宋体" w:hAnsi="宋体" w:eastAsia="宋体" w:cstheme="majorHAnsi"/>
          <w:b/>
          <w:bCs w:val="0"/>
          <w:sz w:val="24"/>
          <w:szCs w:val="24"/>
        </w:rPr>
        <w:t>4</w:t>
      </w:r>
      <w:r>
        <w:rPr>
          <w:rFonts w:ascii="宋体" w:hAnsi="宋体" w:eastAsia="宋体" w:cstheme="majorHAnsi"/>
          <w:b/>
          <w:bCs w:val="0"/>
          <w:sz w:val="24"/>
          <w:szCs w:val="24"/>
        </w:rPr>
        <w:t xml:space="preserve">.4 </w:t>
      </w:r>
      <w:r>
        <w:rPr>
          <w:rFonts w:hint="eastAsia" w:ascii="宋体" w:hAnsi="宋体" w:eastAsia="宋体" w:cstheme="majorHAnsi"/>
          <w:b/>
          <w:bCs w:val="0"/>
          <w:sz w:val="24"/>
          <w:szCs w:val="24"/>
        </w:rPr>
        <w:t>业务应用系统</w:t>
      </w:r>
      <w:r>
        <w:rPr>
          <w:rFonts w:hint="eastAsia" w:ascii="宋体" w:hAnsi="宋体" w:eastAsia="宋体" w:cstheme="majorHAnsi"/>
          <w:b/>
          <w:bCs w:val="0"/>
          <w:sz w:val="24"/>
          <w:szCs w:val="24"/>
        </w:rPr>
        <w:tab/>
      </w:r>
    </w:p>
    <w:p>
      <w:pPr>
        <w:pStyle w:val="46"/>
        <w:keepNext/>
        <w:keepLines/>
        <w:numPr>
          <w:ilvl w:val="1"/>
          <w:numId w:val="1"/>
        </w:numPr>
        <w:tabs>
          <w:tab w:val="left" w:pos="0"/>
          <w:tab w:val="left" w:pos="993"/>
        </w:tabs>
        <w:ind w:firstLineChars="0"/>
        <w:contextualSpacing/>
        <w:outlineLvl w:val="1"/>
        <w:rPr>
          <w:rFonts w:ascii="Arial" w:hAnsi="Arial" w:eastAsia="黑体"/>
          <w:bCs/>
          <w:vanish/>
          <w:sz w:val="30"/>
          <w:szCs w:val="32"/>
        </w:rPr>
      </w:pPr>
    </w:p>
    <w:p>
      <w:pPr>
        <w:pStyle w:val="4"/>
        <w:ind w:left="482"/>
      </w:pPr>
      <w:r>
        <w:rPr>
          <w:rFonts w:hint="eastAsia" w:ascii="宋体" w:hAnsi="宋体" w:eastAsia="宋体"/>
          <w:b/>
          <w:bCs w:val="0"/>
          <w:sz w:val="24"/>
          <w:szCs w:val="24"/>
        </w:rPr>
        <w:t>业务指导系统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按照城市运行管理服务平台技术标准要求，需建设业务指导系统，包含政策法规、行业动态、经验交流等功能模块。</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市级平台的业务指导系统可按权限共用国家平台的业务指导系统。业务指导系统包括政策法规、行业动态、经验交流等功能模块。</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1、政策法规模块。汇聚、共享城市管理领域法律、法规、规章、规范性文件以及标准规范等。</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2、行业动态模块。汇聚地方推送的城市管理机构设置、队伍建设、执法保障、工作机制等信息，以及改革创新、专项行动、重点任务落实等工作动态。</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3、经验交流模块。汇聚地方推送的城市管理好经验、好做法，通过平台向各地推广典型案例，发挥引领示范作用。</w:t>
      </w:r>
    </w:p>
    <w:p>
      <w:pPr>
        <w:pStyle w:val="4"/>
        <w:ind w:left="482"/>
        <w:rPr>
          <w:rFonts w:ascii="宋体" w:hAnsi="宋体" w:eastAsia="宋体"/>
          <w:b/>
          <w:bCs w:val="0"/>
          <w:sz w:val="24"/>
          <w:szCs w:val="24"/>
        </w:rPr>
      </w:pPr>
      <w:r>
        <w:rPr>
          <w:rFonts w:hint="eastAsia" w:ascii="宋体" w:hAnsi="宋体" w:eastAsia="宋体"/>
          <w:b/>
          <w:bCs w:val="0"/>
          <w:sz w:val="24"/>
          <w:szCs w:val="24"/>
        </w:rPr>
        <w:t>指挥协调系统</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（1）</w:t>
      </w:r>
      <w:r>
        <w:rPr>
          <w:rFonts w:ascii="宋体" w:hAnsi="宋体"/>
          <w:b/>
          <w:sz w:val="24"/>
          <w:szCs w:val="21"/>
        </w:rPr>
        <w:t>核心监管系统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智慧城管核心监管平台将利用智慧城管一期业务中台和地理信息服务平台，开发拓展统计分析、跟踪复核、条块互通、专项任务监管、双随机监管等功能模块，通过自由组合调用构建市、区、街道、社区、管养单位五级工作平台（预留向六级、七级延伸），逐步将城市管理各细分业务领域的系统纳入到网格化监管模式的大循环内，实现对城市管理各领域工作统一监管，实现全业务领域的问题发现派发、协同指挥、考核评价，并负责整个城市宏观体征的呈现，真正发挥核心平台的监管、调度指挥、考核评价等作用。</w:t>
      </w:r>
    </w:p>
    <w:p>
      <w:pPr>
        <w:tabs>
          <w:tab w:val="left" w:pos="525"/>
          <w:tab w:val="left" w:pos="630"/>
          <w:tab w:val="left" w:pos="735"/>
          <w:tab w:val="left" w:pos="945"/>
        </w:tabs>
        <w:spacing w:line="360" w:lineRule="auto"/>
        <w:ind w:firstLine="525"/>
        <w:rPr>
          <w:rFonts w:ascii="宋体" w:hAnsi="宋体"/>
          <w:b/>
          <w:sz w:val="24"/>
          <w:szCs w:val="21"/>
        </w:rPr>
      </w:pPr>
      <w:r>
        <w:rPr>
          <w:rFonts w:ascii="宋体" w:hAnsi="宋体"/>
          <w:b/>
          <w:sz w:val="24"/>
          <w:szCs w:val="21"/>
        </w:rPr>
        <w:t>智慧城管业务系统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1、用户分析</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智慧城管业务系统用户包括各级精细化管理参与人员，如市级指挥中心人员、市级/区级/街道采集员、区/街道平台操作员、区级外包人员、街道外包人员、基层人员、市级/区级/街道职能单位人员、管养单位人员（包括环卫工人、市政养护人员等），其中：</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（1）市级指挥中心人员、区/街道平台操作员：主要是对各类来源的城市管理问题进行受理、登记和分派；</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（2）市级/区级/街道采集员：主要市巡查发现的各类城市管理问题进行采集上报；</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（3）基层人员、管养单位人员（含环卫工人等）：一是对上级平台下发的各类案件进行签收和整改反馈；二是对巡查过程中发现其他板块或者职能部门的问题进行上报；</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（4）市级/区级/街道职能单位人员：主要是对平台派发的各类城市管理问题进行处置反馈，也可对非本部门职责范围内的问题通过部门上报进行采集。</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2、业务流程分析</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根据《2021年江苏省智慧城管建设导则》、《城市运行服务管理平台技术标准》、《城市运行服务管理平台数据标准》等标准要求，结合无锡市城市管理“一网统管”模式，对智慧城管业务流程分析如下：</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（1）信息收集方面</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信息采集除数字城管中的信息采集员上报、领导交办、基层上报、智能识别上报外，核心监管平台一是新增公众来源通道，与灵锡APP/城管公众号进行对接，实现公众参与精细化管理；二是新增基层作业单位上报，包括环卫工人、基层养护单元人员等。</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（2）问题流转方面</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除了数字城管市级平台的市、区、街道、社区四级流转外，新增区平台自采集流程、街道平台自采集流程和条线互派流程。</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区平台自采流程：实现区级第三方采集人员、作业养护单位、基层人员等巡查发现问题的自流转，由区级指挥中心进行受理并分派给街道/社区或者养护单位；</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街道平台自采流程：实现街道第三方采集人员、作业养护单位、基层人员等巡查发现问题的自流转，由街道指挥中心进行受理并分派给社区或者养护单位；</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职能单位问题流转流程：实现职能单位自采集、市级平台下派等问题的自流转，由职能单位受理/接收并向下分派给相关科室或者养护单位；</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条块互派流程：实现属地与条块单位直接问题的直接流转，即区平台可将责任范围内发现的市级条块单位的问题直接通过条线互派流程派遣给相关市级职能部门，反之市级职能部门也可将问题派遣给区级平台。</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（3）处置反馈方面</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1）市级平台处置反馈</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市级平台发现的问题下派给各属地和条线单位后，由各相关单位进行分派并处置反馈至市级平台，在各个节点均可进行申请回退、申请延期、申请挂起操作。</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2）区级/街道平台自采集处置反馈</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区级/街道平台下发的各类管理问题由各自平台的责任单位或属地进行处置反馈相应问题发起平台，不再反馈至市级平台，在各个节点均可进行申请回退、申请延期、申请挂起操作。</w:t>
      </w:r>
    </w:p>
    <w:p>
      <w:pPr>
        <w:tabs>
          <w:tab w:val="left" w:pos="525"/>
          <w:tab w:val="left" w:pos="630"/>
          <w:tab w:val="left" w:pos="735"/>
          <w:tab w:val="left" w:pos="945"/>
        </w:tabs>
        <w:spacing w:line="360" w:lineRule="auto"/>
        <w:ind w:firstLine="525"/>
        <w:rPr>
          <w:rFonts w:ascii="宋体" w:hAnsi="宋体"/>
          <w:b/>
          <w:sz w:val="24"/>
          <w:szCs w:val="21"/>
        </w:rPr>
      </w:pPr>
      <w:r>
        <w:rPr>
          <w:rFonts w:ascii="宋体" w:hAnsi="宋体"/>
          <w:b/>
          <w:sz w:val="24"/>
          <w:szCs w:val="21"/>
        </w:rPr>
        <w:t>协同协作系统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协同协作系统的用户包括各级精细化管理处置人员，包括区/街道平台操作员、区级/街道/社区第三方养护单位人员、基层人员、市级/区级/街道职能单位人员等。通过搭建协同协作系统实现各级精细化管理处置人员对城市精细化管理问题的协同派遣、协同处置，提升问题流转和处置效率。</w:t>
      </w:r>
    </w:p>
    <w:p>
      <w:pPr>
        <w:tabs>
          <w:tab w:val="left" w:pos="525"/>
          <w:tab w:val="left" w:pos="630"/>
          <w:tab w:val="left" w:pos="735"/>
          <w:tab w:val="left" w:pos="945"/>
        </w:tabs>
        <w:spacing w:line="360" w:lineRule="auto"/>
        <w:ind w:firstLine="525"/>
        <w:rPr>
          <w:rFonts w:ascii="宋体" w:hAnsi="宋体"/>
          <w:b/>
          <w:sz w:val="24"/>
          <w:szCs w:val="21"/>
        </w:rPr>
      </w:pPr>
      <w:r>
        <w:rPr>
          <w:rFonts w:ascii="宋体" w:hAnsi="宋体"/>
          <w:b/>
          <w:sz w:val="24"/>
          <w:szCs w:val="21"/>
        </w:rPr>
        <w:t>双随机监管系统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依据最新下方的最干净街道（镇）考核办法，为确保第三方采集和考核的公平性，搭建双随机监管系统，实现第三方采集人员的双随机监管，系统主要供监督指挥中心指挥科相关人员和第三方采集人员使用。</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监督指挥中心指挥科人员：主要是通过系统对采集任务包进行随机划分，并根据采集区域、考核要求等条件生成采集任务随机派发给采集人员；</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第三方采集人员：主要通过系统查看双随机轮岗的责任区域和责任区域边界查询。</w:t>
      </w:r>
    </w:p>
    <w:p>
      <w:pPr>
        <w:tabs>
          <w:tab w:val="left" w:pos="525"/>
          <w:tab w:val="left" w:pos="630"/>
          <w:tab w:val="left" w:pos="735"/>
          <w:tab w:val="left" w:pos="945"/>
        </w:tabs>
        <w:spacing w:line="360" w:lineRule="auto"/>
        <w:ind w:firstLine="525"/>
        <w:rPr>
          <w:rFonts w:ascii="宋体" w:hAnsi="宋体"/>
          <w:b/>
          <w:sz w:val="24"/>
          <w:szCs w:val="21"/>
        </w:rPr>
      </w:pPr>
      <w:r>
        <w:rPr>
          <w:rFonts w:ascii="宋体" w:hAnsi="宋体"/>
          <w:b/>
          <w:sz w:val="24"/>
          <w:szCs w:val="21"/>
        </w:rPr>
        <w:t>智能派遣维护系统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在智慧城管一期智能派遣机器人的基础上，结合业务处室实际需求扩展搭建各类自动引擎，提升城市管理问题在各个环节的流转效率。系统主要供市级平台/区级平台/街道平台/职能部门维护人员使用，可根据业务要求和考核办法对各类城市管理问题的流转规则进行维护管理。</w:t>
      </w:r>
    </w:p>
    <w:p>
      <w:pPr>
        <w:tabs>
          <w:tab w:val="left" w:pos="525"/>
          <w:tab w:val="left" w:pos="630"/>
          <w:tab w:val="left" w:pos="735"/>
          <w:tab w:val="left" w:pos="945"/>
        </w:tabs>
        <w:spacing w:line="360" w:lineRule="auto"/>
        <w:ind w:firstLine="525"/>
        <w:rPr>
          <w:rFonts w:ascii="宋体" w:hAnsi="宋体"/>
          <w:b/>
          <w:sz w:val="24"/>
          <w:szCs w:val="21"/>
        </w:rPr>
      </w:pPr>
      <w:r>
        <w:rPr>
          <w:rFonts w:ascii="宋体" w:hAnsi="宋体"/>
          <w:b/>
          <w:sz w:val="24"/>
          <w:szCs w:val="21"/>
        </w:rPr>
        <w:t>跟踪复核子系统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系统主要供市级平台操作员使用，主要是对部门处置完成、领导交办等各类城市管理问题进行跟踪核查，并对跟踪复核数据进行统计分析，落实各类城市管理问题的长效管理机制。</w:t>
      </w:r>
    </w:p>
    <w:p>
      <w:pPr>
        <w:tabs>
          <w:tab w:val="left" w:pos="525"/>
          <w:tab w:val="left" w:pos="630"/>
          <w:tab w:val="left" w:pos="735"/>
          <w:tab w:val="left" w:pos="945"/>
        </w:tabs>
        <w:spacing w:line="360" w:lineRule="auto"/>
        <w:ind w:firstLine="525"/>
        <w:rPr>
          <w:rFonts w:ascii="宋体" w:hAnsi="宋体"/>
          <w:b/>
          <w:sz w:val="24"/>
          <w:szCs w:val="21"/>
        </w:rPr>
      </w:pPr>
      <w:r>
        <w:rPr>
          <w:rFonts w:ascii="宋体" w:hAnsi="宋体"/>
          <w:b/>
          <w:sz w:val="24"/>
          <w:szCs w:val="21"/>
        </w:rPr>
        <w:t>专项任务监管系统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2022年3月，无锡市下发《打造“全国最干净城市”三年行动计划（2022-2024年）》(锡委办发〔2022〕22号)，以环境面貌更加整洁、基础设施更加完善、市容秩序更加规范、生态环境更加宜人、绿化景观更加精美为主要目标，奋力争创全国文明典范城市，根据行动计划，需加强对小游园、环卫公厕、农贸市场、在建工地、河湖沿线等重点区域的监管。在日常采集无法满足重点区域个性化监管外，需开发专项任务监管系统，系统主要供中心平台人员使用，通过对各类城市管理要素（小游园、环卫公厕、农贸市场、在建工地、河湖沿线等）辐射区域的专项巡查采集，实现重点区域的专项监管并形成各类专项巡查采集监管数据分析，为各级领导提供数据支撑。</w:t>
      </w:r>
    </w:p>
    <w:p>
      <w:pPr>
        <w:tabs>
          <w:tab w:val="left" w:pos="525"/>
          <w:tab w:val="left" w:pos="630"/>
          <w:tab w:val="left" w:pos="735"/>
          <w:tab w:val="left" w:pos="945"/>
        </w:tabs>
        <w:spacing w:line="360" w:lineRule="auto"/>
        <w:ind w:firstLine="525"/>
        <w:rPr>
          <w:rFonts w:ascii="宋体" w:hAnsi="宋体"/>
          <w:b/>
          <w:sz w:val="24"/>
          <w:szCs w:val="21"/>
        </w:rPr>
      </w:pPr>
      <w:r>
        <w:rPr>
          <w:rFonts w:ascii="宋体" w:hAnsi="宋体"/>
          <w:b/>
          <w:sz w:val="24"/>
          <w:szCs w:val="21"/>
        </w:rPr>
        <w:t>采集员排班调度管理系统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为实现对第三方采集标段服务质量的监管，需开发采集员排班调度管理系统，系统主要供监督指挥中心指挥科、督查科、第三方标段人员使用，通过系统实现采集轮次维护、采集巡查质量监管。</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（2）</w:t>
      </w:r>
      <w:r>
        <w:rPr>
          <w:rFonts w:ascii="宋体" w:hAnsi="宋体"/>
          <w:b/>
          <w:sz w:val="24"/>
          <w:szCs w:val="21"/>
        </w:rPr>
        <w:t>投诉处置系统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市、县区行政执法局的法制工作机构是投诉举报受理的机构，负责受理、交办、转送投诉举报事项；承办上级和本级行政执法机关交由处理的投诉举报；跟踪、督促、检查投诉举报办理情况；协调处理重要投诉举报；开展投诉举报信息的汇总、分析、通报和回访。</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无锡市城市管理综合行政执法局是市政府的组成部门之一，市应急处作为无锡市城管局的重要部门机构，承接着110转办、12345、上级交办、阳光信访等来源的投诉件，针对不同诉件的需求进行相应的登记、分派、处置、审核、办结等工作，承接各类诉件的闭环化处置。做到以人民为中心，业务全覆盖。对广告、渣土、违建、停车等城管职责范围内的投诉举报件做到主动履职、跟踪指导、协调、督办、协同办好，杜绝推诿扯皮。</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目前根据要求，投诉处置系统由无锡市城管局应急处作为一级使用单位，用来接收各类投诉来源的统一归口，将110转办、12345、上级交办、阳光信访等诉件通过手动登记录入到系统中，再根据不同的诉件类别分派到各个区城管局，由区通过线下的方式将任务分派到街道中队进行诉件的处置。</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（3）</w:t>
      </w:r>
      <w:r>
        <w:rPr>
          <w:rFonts w:ascii="宋体" w:hAnsi="宋体"/>
          <w:b/>
          <w:sz w:val="24"/>
          <w:szCs w:val="21"/>
        </w:rPr>
        <w:t>值班管理系统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新建值班管理系统，实现在线进行值班安排，自动形成值班信息表，供相关人员查询；支持各级值班管理员安排值班人员和值班时间；值班计划上报后，支持以手机短信的方式通知对应的值班人员；支持自动形成工作信息数据统计表以及值班报告；支持应急任务数据填报以及逾期未上报预警提醒功能。</w:t>
      </w:r>
    </w:p>
    <w:p>
      <w:pPr>
        <w:pStyle w:val="4"/>
        <w:ind w:left="482"/>
        <w:rPr>
          <w:rFonts w:ascii="宋体" w:hAnsi="宋体" w:eastAsia="宋体"/>
          <w:b/>
          <w:bCs w:val="0"/>
          <w:sz w:val="24"/>
          <w:szCs w:val="24"/>
        </w:rPr>
      </w:pPr>
      <w:r>
        <w:rPr>
          <w:rFonts w:hint="eastAsia" w:ascii="宋体" w:hAnsi="宋体" w:eastAsia="宋体"/>
          <w:b/>
          <w:bCs w:val="0"/>
          <w:sz w:val="24"/>
          <w:szCs w:val="24"/>
        </w:rPr>
        <w:t>行业应用系统</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（1）</w:t>
      </w:r>
      <w:r>
        <w:rPr>
          <w:rFonts w:ascii="宋体" w:hAnsi="宋体"/>
          <w:b/>
          <w:sz w:val="24"/>
          <w:szCs w:val="21"/>
        </w:rPr>
        <w:t>智慧环卫系统扩建</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通过优化改造、升级拓展智慧环卫监管平台，提升环卫行业数据完整性，实现环卫工作的精准管控，为环卫全过程监管提供服务支撑。同时，为市区两级环卫实现资源共建共享，避免重复投资，设计环卫专业应用模块功能，预留系统对接接口，便于后续系统接入与数据联动。</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本项目将在智慧城管建设总体框架下，以集约建设为原则，整合完善现有系统信息资源，升级环卫基础数据中心、餐厨收运监管系统数据对接、建筑垃圾车载称重管理，新建业务数据指挥管理系统、转运站进场识别方式及视频监控等应用模块，构建涵盖环卫管理全环节全链条的信息化应用、服务系统，形成环卫一张图，提升环卫精细化管理水平，促进环卫作业提档升级。新建垃圾分类监管系统，汇集无锡市垃圾分类数据、垃圾分类管理行为、垃圾源头与处置终端监管等信息，实现垃圾分类管理各业务信息的汇总与定时更新，通过对各类信息比对核查、综合分析，实现对全市垃圾分类工作的全程监管和动态跟踪，为管理决策提供数据支撑。以环卫业务的智慧化、综合化、精益化、绿色化为核心内容，建立环卫人、车、物、事全方位联动、可控管理，实现作业环节全过程监管、快速调度响应机制、全方位作业质量考核、多渠道监督多样化服务以及数据管理决策的目标。</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（2）</w:t>
      </w:r>
      <w:r>
        <w:rPr>
          <w:rFonts w:ascii="宋体" w:hAnsi="宋体"/>
          <w:b/>
          <w:sz w:val="24"/>
          <w:szCs w:val="21"/>
        </w:rPr>
        <w:t>智慧停车系统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为深入贯彻省委省政府《城市治理与服务十项行动方案》（苏办发〔2017〕48号），进一步提升“停车便利化工程”实施成效；方便车主缴费、降低经营成本、提高停车管理服务能力。</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根据《无锡市推动数字经济提速和数字化转型的实施意见》、《无锡市推进数字生活新场景建设三年行动计划（2022-2024年）》要求，明确提出实施生活数字化转型工程，促进服务场景更加智慧，以满足人民美好生活需要为导向，以数字化推动基本民生精准触达、品质民生创新发展、普惠民生福祉共享，打造标杆性的数字化转型应用场景，创造智能便捷、优质普惠的数字生活新图景，提升市民出行的体验感、幸福感、获得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1、用户分析</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智慧停车系统主要包含以下几种类型使用用户：</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停车管理监管人员：为停车管理平台日常使用人员，查看全市停车实时情况，针对异常情况进行处置。</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停车管理审核人员：用于针对在停车场备案以及错时共享中涉及到的审核内容进行操作，包含市停车处、属地停车管理人员、交警秩序支队以及区交警大队。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市民以及车主：使用停车便民服务端，可通过“无锡停车”在微信、支付宝以及灵锡上提供的入口进入使用。</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2、业务分析</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智慧停车系统包含停车核心管理、停车管理应用场景以及停车便民这三大模块，停车核心管理用于城管局主管部门自身对全市停车情况进行监管与研判分析，停车管理应用场景涉及到主管部门对外交互工作，停车便民则是为市民提供的停车服务。</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（3）</w:t>
      </w:r>
      <w:r>
        <w:rPr>
          <w:rFonts w:ascii="宋体" w:hAnsi="宋体"/>
          <w:b/>
          <w:sz w:val="24"/>
          <w:szCs w:val="21"/>
        </w:rPr>
        <w:t>沿街商户生态精准治理系统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沿街商户生态精准治理系统是落实住建部城市运行管理服务平台建设要求、支撑我市“全国最干净城市”、“文明典范城市”创建工作的重要举措。</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通过沿街商户生态精准治理系统的建设将推进市容环卫责任区制度高质量全覆盖，形成沿街商户生态精准治理新模式。系统量化商户分级分类监管标准，实现日常管理和执法处罚标准化和可量化，供各区、各街道基层执法管理人员使用，为现场及非现场管理赋能，将打造形成“沿街商户综合监管”多跨应用场景。</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通过开展沿街商户信息采集，建立常态化信息更新机制，结合数据底座健全，健全一张沿街商户本底数据清单；</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电子化市容环卫责任书和责任区域，实现“一店一码”，通过二维码可查询沿街商户基本信息、市容环卫责任书内容及市容环卫责任区范围、被管理记录、被执法记录、行政许可信息、信用评级信息等；</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建立常态化巡查监管机制，根据业态特征对商户进行分类，实际管理严格按照商户分级标准进行巡查监管，巡查过程全记录，实现商户“红黄绿”动态分级分类精细化管理；</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建立长效化监管评价机制，与路长制进行结合，责任落实到路长及责任部门，便于市区两级部门对于管理成效进行考核评价；</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系统通过与市场监管及信用体系挂钩，将促进全市商户守法习惯的养成，大幅降低沿街商户违法行为的发生。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沿街商户生态精准治理系统主要供市、区、街道等三级市容管理部门以及一线巡查人员、执法人员来使用，用以支撑沿街商户精细化管理工作的开展。</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（4）</w:t>
      </w:r>
      <w:r>
        <w:rPr>
          <w:rFonts w:ascii="宋体" w:hAnsi="宋体"/>
          <w:b/>
          <w:sz w:val="24"/>
          <w:szCs w:val="21"/>
        </w:rPr>
        <w:t>执法监督系统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本次新增建设执法监督平台内容主要包括执法监督应用、执法办案应用、现场执法端以及当事人移动端。其中执法监督应用主要实现对主要是实现对市级、分局（区）级、街道（乡镇）级的执法队伍保障、教育培训、作风监督、考核、勤务管理等功能。执法办案应用主要实现执法文书管理、案件执法流程及案件文书、案件统计分析、电子送达管理等功能。互联网现场执法端主要包括：案件办理、文书打印等功能。当事人移动端主要包括：在线缴款支付、电子发票管理、电子送达签收等功能。</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（5）公众服务系统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公众服务系统对接灵锡APP和城管微信公众号，整合各类面向市民应用，形成为民服务统一“窗口”。引导市民参与公众线索举报，并一体化提供停车服务、垃圾分类、便民通知等便民服务功能以及信息宣传、公众互动、公众评价、公众舆情和运行管理服务等功能。</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（6）运行监测系统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建设运行监测系统，满足市城市管理委员会以及城运中心对住建和城市管理领域的城市运行监测需求。按照“统筹规划，逐步实施，成熟一个，上线一个”的原则，接入建管领域所有已建设系统的物联运行数据，聚焦市政设施、房屋建筑、交通设施和人员密集区域，对城市运行风险进行识别、管理、监测、预警、处置，实现城市运行全生命周期监测管理。对内和指挥协调系统协同处置，对外将重大隐患上报至应急管理系统，赋能业务应用系统，提升城市的风险防控能力和应急处置能力。</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（7）综合评价系统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建设综合评价系统，定期开展综合评价工作。 “最干净城市”评价工作开展也需要综合评价系统的支撑。因此需建设综合评价系统补齐智慧城管在综合评价系统方面的短板，满足国家城市管理监督评价指标和无锡市“最干净城市”评价指标要求，支撑各项评价工作的开展。</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根据城市运行管理服务平台“城市管理监督工作评价”和我市“最干净城市”评价工作开展需要，建设综合评价系统，通过实时监测、平台上报、实地考察、问卷调查等方式获取相关数据，开展综合评价。系统具备评价指标管理、评价任务管理、实地考察评价、评价结果生成及评价分析等功能。可同时满足国家城市管理监督评价指标和无锡市“最干净城市”评价指标要求。主要业务功能需求如下：</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（1）评价指标管理。评价指标管理具备对指标编码、指标名称、指标描述、分值、评价方式、计算公式、评分方法、评价网格、评价点位和检查项等进行配置管理的功能。</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（2）评价配置管理。评价配置管理包括评价样本点管理、评价对象管理、评价人员管理等功能；</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（3）评价任务管理。评价任务管理具备基于评价指标库生成评价任务、分发评价任务以及回传评价结果等功能。</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（4）实地考察评价。实地考核评价具备向现场检查人员派发任务、现场检查人员按照任务要求实地检查并通过移动通信手持设备上报评价结果的功能。</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（5）评价结果生成。评价结果生成模块具备基于评价指标数据和评价任务完成情况，按规定的评价周期生成评价结果的功能，评价结果可采用可视化方式表达。</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（6）评价综合分析。提供分类评价分析，综合统计分析等功能。</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（7）业务单元评价子系统。根据城市精细化管理工作需要，定制化开发业务单元评价子系统，提供针对精细化管理单元的评价功能。</w:t>
      </w:r>
    </w:p>
    <w:p>
      <w:pPr>
        <w:tabs>
          <w:tab w:val="left" w:pos="525"/>
          <w:tab w:val="left" w:pos="630"/>
          <w:tab w:val="left" w:pos="735"/>
          <w:tab w:val="left" w:pos="945"/>
        </w:tabs>
        <w:spacing w:line="360" w:lineRule="auto"/>
        <w:ind w:firstLine="525"/>
        <w:rPr>
          <w:rFonts w:ascii="宋体" w:hAnsi="宋体"/>
          <w:b/>
          <w:sz w:val="24"/>
          <w:szCs w:val="21"/>
        </w:rPr>
      </w:pPr>
      <w:r>
        <w:rPr>
          <w:rFonts w:hint="eastAsia" w:ascii="宋体" w:hAnsi="宋体"/>
          <w:b/>
          <w:sz w:val="24"/>
          <w:szCs w:val="21"/>
        </w:rPr>
        <w:t>（8）决策建议系统</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依据城市运行管理服务平台部颁标准，决策建议系统是其重要组成部分，包括城市运行管理服务态势感知、部件事件监管分析研判、市政公用分析研判、市容环卫分析研判、园林绿化分析研判、城市管理执法分析研判等功能模块。同时围绕无锡市“最干净城市”创建、城运中心融合建设等重点工作，建设专题专项应用。并建设城管“一张图”系统，推动实现一张图数字化管理。</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智慧城管一期项目建设的大数据分析决策平台是围绕无锡市合格区建设工作，针对“闭环管理”工作开展建设的业务层面的应用。而依据城市运行管理服务平台部颁标准，决策建议系统是站在城市运行管理服务“一网统管”角度建设的决策层面的应用，闭环管理已经上升为“统筹管理”。在保持现有平台为业务应用提供数据分析服务的同时，需要根据城市运行管理服务平台部颁标准，建设“决策建议”系统。同时围绕无锡市“最干净城市”创建、城运中心融合建设等重点工作，建设专题专项应用。并建设城管“一张图”系统，推动实现一张图数字化管理。并将现有大数据分析决策平台整合集成到“决策建议”系统中。</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城市运行管理服务态势感知应用场景：按照“一网统管、一屏总览”理念建设城市运行管理服务态势感知应用场景，实现数据要素、管理指标、运行动态“一屏总览”。</w:t>
      </w:r>
    </w:p>
    <w:p>
      <w:pPr>
        <w:tabs>
          <w:tab w:val="left" w:pos="525"/>
          <w:tab w:val="left" w:pos="630"/>
          <w:tab w:val="left" w:pos="735"/>
          <w:tab w:val="left" w:pos="945"/>
        </w:tabs>
        <w:spacing w:line="360" w:lineRule="auto"/>
        <w:ind w:firstLine="525"/>
        <w:rPr>
          <w:rFonts w:ascii="宋体" w:hAnsi="宋体"/>
          <w:bCs/>
          <w:sz w:val="24"/>
          <w:szCs w:val="21"/>
        </w:rPr>
      </w:pPr>
      <w:r>
        <w:rPr>
          <w:rFonts w:ascii="宋体" w:hAnsi="宋体"/>
          <w:bCs/>
          <w:sz w:val="24"/>
          <w:szCs w:val="21"/>
        </w:rPr>
        <w:t>部件事件监管分析研判应用场景：依据城市运行管理服务平台部颁标准，部件事件监管分析研判应用场景具备城市部件事件监管案件立案处置结案、问题来源、问题类别和问题区域等数据统计、分析和展示功能，以及巡查人员、巡查车辆和责任主体等日常作业的动态监管和展示功能。</w:t>
      </w:r>
    </w:p>
    <w:p>
      <w:pPr>
        <w:tabs>
          <w:tab w:val="left" w:pos="525"/>
          <w:tab w:val="left" w:pos="630"/>
          <w:tab w:val="left" w:pos="735"/>
          <w:tab w:val="left" w:pos="945"/>
        </w:tabs>
        <w:spacing w:line="480" w:lineRule="exact"/>
        <w:ind w:firstLine="525"/>
        <w:rPr>
          <w:rFonts w:ascii="宋体" w:hAnsi="宋体"/>
          <w:bCs/>
          <w:sz w:val="24"/>
          <w:szCs w:val="21"/>
        </w:rPr>
      </w:pPr>
      <w:r>
        <w:rPr>
          <w:rFonts w:ascii="宋体" w:hAnsi="宋体"/>
          <w:bCs/>
          <w:sz w:val="24"/>
          <w:szCs w:val="21"/>
        </w:rPr>
        <w:t>市政公用分析研判应用场景： 依据城市运行管理服务平台部颁标准，市政公用分析研判应用场景具备道路、桥梁、隧道、排水、供水、供热、燃气、照明和管廊等数据统计、分析和展示功能.</w:t>
      </w:r>
    </w:p>
    <w:p>
      <w:pPr>
        <w:tabs>
          <w:tab w:val="left" w:pos="525"/>
          <w:tab w:val="left" w:pos="630"/>
          <w:tab w:val="left" w:pos="735"/>
          <w:tab w:val="left" w:pos="945"/>
        </w:tabs>
        <w:spacing w:line="480" w:lineRule="exact"/>
        <w:ind w:firstLine="525"/>
        <w:rPr>
          <w:rFonts w:ascii="宋体" w:hAnsi="宋体"/>
          <w:bCs/>
          <w:sz w:val="24"/>
          <w:szCs w:val="21"/>
        </w:rPr>
      </w:pPr>
      <w:r>
        <w:rPr>
          <w:rFonts w:ascii="宋体" w:hAnsi="宋体"/>
          <w:bCs/>
          <w:sz w:val="24"/>
          <w:szCs w:val="21"/>
        </w:rPr>
        <w:t>市容环卫分析研判应用场景：依据城市运行管理服务平台部颁标准，市容环卫分析研判模块宜具备全市生活垃圾、建筑垃圾、垃圾分类、清扫保洁、公共厕所、沿街商户（门前三包）、户外广告（招牌）等数据统计、分析和展示功能；</w:t>
      </w:r>
    </w:p>
    <w:p>
      <w:pPr>
        <w:tabs>
          <w:tab w:val="left" w:pos="525"/>
          <w:tab w:val="left" w:pos="630"/>
          <w:tab w:val="left" w:pos="735"/>
          <w:tab w:val="left" w:pos="945"/>
        </w:tabs>
        <w:spacing w:line="480" w:lineRule="exact"/>
        <w:ind w:firstLine="525"/>
        <w:rPr>
          <w:rFonts w:ascii="宋体" w:hAnsi="宋体"/>
          <w:bCs/>
          <w:sz w:val="24"/>
          <w:szCs w:val="21"/>
        </w:rPr>
      </w:pPr>
      <w:r>
        <w:rPr>
          <w:rFonts w:ascii="宋体" w:hAnsi="宋体"/>
          <w:bCs/>
          <w:sz w:val="24"/>
          <w:szCs w:val="21"/>
        </w:rPr>
        <w:t>园林绿化分析研判应用场景：依据城市运行管理服务平台部颁标准，园林绿化分析研判模块具备公园绿地、防护绿地、广场用地、附属绿地、区域绿地、树木、古树名木和绿地附属设施等数据统计、分析和展示功能。</w:t>
      </w:r>
    </w:p>
    <w:p>
      <w:pPr>
        <w:tabs>
          <w:tab w:val="left" w:pos="525"/>
          <w:tab w:val="left" w:pos="630"/>
          <w:tab w:val="left" w:pos="735"/>
          <w:tab w:val="left" w:pos="945"/>
        </w:tabs>
        <w:spacing w:line="480" w:lineRule="exact"/>
        <w:ind w:firstLine="525"/>
        <w:rPr>
          <w:rFonts w:ascii="宋体" w:hAnsi="宋体"/>
          <w:bCs/>
          <w:sz w:val="24"/>
          <w:szCs w:val="21"/>
        </w:rPr>
      </w:pPr>
      <w:r>
        <w:rPr>
          <w:rFonts w:ascii="宋体" w:hAnsi="宋体"/>
          <w:bCs/>
          <w:sz w:val="24"/>
          <w:szCs w:val="21"/>
        </w:rPr>
        <w:t>城市管理执法分析研判应用场景：依据城市运行管理服务平台部颁标准，城市管理执法分析研判模块宜具备全市城市管理执法台账、机构、人员、车辆、案由和案件等数据统计、分析和展示功能。</w:t>
      </w:r>
    </w:p>
    <w:p>
      <w:pPr>
        <w:tabs>
          <w:tab w:val="left" w:pos="525"/>
          <w:tab w:val="left" w:pos="630"/>
          <w:tab w:val="left" w:pos="735"/>
          <w:tab w:val="left" w:pos="945"/>
        </w:tabs>
        <w:spacing w:line="480" w:lineRule="exact"/>
        <w:ind w:firstLine="525"/>
        <w:rPr>
          <w:rFonts w:ascii="宋体" w:hAnsi="宋体"/>
          <w:bCs/>
          <w:sz w:val="24"/>
          <w:szCs w:val="21"/>
        </w:rPr>
      </w:pPr>
      <w:r>
        <w:rPr>
          <w:rFonts w:ascii="宋体" w:hAnsi="宋体"/>
          <w:bCs/>
          <w:sz w:val="24"/>
          <w:szCs w:val="21"/>
        </w:rPr>
        <w:t>“最干净城市”分析应用场景建设：加强城市精细化管理，全面提升城市洁美度，打造“全国最干净城市”工作列入我市十四五规划，是市委、市领导亲自关心的重点工作。为全面支撑“最干净城市”及相关评价工作的开展，需围绕具体工作需要，加强数据分析应用，建设“最干净城市”数据分析应用场景，实现数据赋能。</w:t>
      </w:r>
    </w:p>
    <w:p>
      <w:pPr>
        <w:tabs>
          <w:tab w:val="left" w:pos="525"/>
          <w:tab w:val="left" w:pos="630"/>
          <w:tab w:val="left" w:pos="735"/>
          <w:tab w:val="left" w:pos="945"/>
        </w:tabs>
        <w:spacing w:line="480" w:lineRule="exact"/>
        <w:ind w:firstLine="525"/>
        <w:rPr>
          <w:rFonts w:ascii="宋体" w:hAnsi="宋体"/>
          <w:bCs/>
          <w:sz w:val="24"/>
          <w:szCs w:val="21"/>
        </w:rPr>
      </w:pPr>
      <w:r>
        <w:rPr>
          <w:rFonts w:ascii="宋体" w:hAnsi="宋体"/>
          <w:bCs/>
          <w:sz w:val="24"/>
          <w:szCs w:val="21"/>
        </w:rPr>
        <w:t>“城运中心”融合应用场景建设：城市运行管理服务平台是无锡城市运行管理中心的重要组成部分，为将城市管理数字化指标建设成果融入城运中心，实现数据互联、指标互认，需与城运中心协同共建城运中心“一网统管”城管应用专题，共建城运中心城管数字指标体系，开发城市运行管理“一网统管”综合态势分析、专项业务指标分析等应用场景。</w:t>
      </w:r>
    </w:p>
    <w:p>
      <w:pPr>
        <w:tabs>
          <w:tab w:val="left" w:pos="525"/>
          <w:tab w:val="left" w:pos="630"/>
          <w:tab w:val="left" w:pos="735"/>
          <w:tab w:val="left" w:pos="945"/>
        </w:tabs>
        <w:spacing w:line="480" w:lineRule="exact"/>
        <w:ind w:firstLine="525"/>
        <w:rPr>
          <w:rFonts w:ascii="宋体" w:hAnsi="宋体"/>
          <w:bCs/>
          <w:sz w:val="24"/>
          <w:szCs w:val="21"/>
        </w:rPr>
      </w:pPr>
      <w:r>
        <w:rPr>
          <w:rFonts w:ascii="宋体" w:hAnsi="宋体"/>
          <w:bCs/>
          <w:sz w:val="24"/>
          <w:szCs w:val="21"/>
        </w:rPr>
        <w:t>城管“一张图”系统建设：随着文明城市创建、最干净城市建设及各类专项整治性工作的开展，迫切需要专业化GIS图层服务的支撑。根据城管实际工作开展需要，建设城管“一张图”系统，整合城市管理各类空间数据，建立空间数据库，建设“一张图”综合管理系统、评价网格、评价点位图层和“最干净城市”专业化图层，并将数据共享接入“市城运中心”。</w:t>
      </w:r>
    </w:p>
    <w:p>
      <w:pPr>
        <w:pStyle w:val="3"/>
        <w:keepNext w:val="0"/>
        <w:keepLines w:val="0"/>
        <w:numPr>
          <w:ilvl w:val="1"/>
          <w:numId w:val="0"/>
        </w:numPr>
        <w:tabs>
          <w:tab w:val="left" w:pos="142"/>
          <w:tab w:val="left" w:pos="432"/>
          <w:tab w:val="left" w:pos="864"/>
        </w:tabs>
        <w:spacing w:before="156" w:beforeLines="50" w:after="156" w:afterLines="50" w:line="480" w:lineRule="exact"/>
        <w:ind w:firstLine="566" w:firstLineChars="235"/>
        <w:rPr>
          <w:rFonts w:ascii="宋体" w:hAnsi="宋体" w:eastAsia="宋体" w:cstheme="majorHAnsi"/>
          <w:b/>
          <w:bCs w:val="0"/>
          <w:sz w:val="24"/>
          <w:szCs w:val="24"/>
        </w:rPr>
      </w:pPr>
      <w:r>
        <w:rPr>
          <w:rFonts w:hint="eastAsia" w:ascii="宋体" w:hAnsi="宋体" w:eastAsia="宋体" w:cstheme="majorHAnsi"/>
          <w:b/>
          <w:bCs w:val="0"/>
          <w:sz w:val="24"/>
          <w:szCs w:val="24"/>
        </w:rPr>
        <w:t>4</w:t>
      </w:r>
      <w:r>
        <w:rPr>
          <w:rFonts w:ascii="宋体" w:hAnsi="宋体" w:eastAsia="宋体" w:cstheme="majorHAnsi"/>
          <w:b/>
          <w:bCs w:val="0"/>
          <w:sz w:val="24"/>
          <w:szCs w:val="24"/>
        </w:rPr>
        <w:t xml:space="preserve">.5 </w:t>
      </w:r>
      <w:r>
        <w:rPr>
          <w:rFonts w:hint="eastAsia" w:ascii="宋体" w:hAnsi="宋体" w:eastAsia="宋体" w:cstheme="majorHAnsi"/>
          <w:b/>
          <w:bCs w:val="0"/>
          <w:sz w:val="24"/>
          <w:szCs w:val="24"/>
        </w:rPr>
        <w:t>项目建设清单</w:t>
      </w:r>
    </w:p>
    <w:p>
      <w:pPr>
        <w:pStyle w:val="46"/>
        <w:keepNext/>
        <w:keepLines/>
        <w:numPr>
          <w:ilvl w:val="1"/>
          <w:numId w:val="1"/>
        </w:numPr>
        <w:tabs>
          <w:tab w:val="left" w:pos="0"/>
          <w:tab w:val="left" w:pos="993"/>
        </w:tabs>
        <w:spacing w:line="480" w:lineRule="exact"/>
        <w:ind w:firstLineChars="0"/>
        <w:contextualSpacing/>
        <w:outlineLvl w:val="1"/>
        <w:rPr>
          <w:rFonts w:ascii="Arial" w:hAnsi="Arial" w:eastAsia="黑体"/>
          <w:bCs/>
          <w:vanish/>
          <w:sz w:val="30"/>
          <w:szCs w:val="32"/>
        </w:rPr>
      </w:pPr>
      <w:bookmarkStart w:id="14" w:name="_Toc120200604"/>
      <w:bookmarkStart w:id="15" w:name="_Toc103503168"/>
    </w:p>
    <w:p>
      <w:pPr>
        <w:pStyle w:val="4"/>
        <w:spacing w:line="480" w:lineRule="exact"/>
        <w:ind w:left="482"/>
        <w:rPr>
          <w:rFonts w:ascii="宋体" w:hAnsi="宋体" w:eastAsia="宋体"/>
          <w:b/>
          <w:bCs w:val="0"/>
          <w:sz w:val="24"/>
          <w:szCs w:val="24"/>
        </w:rPr>
      </w:pPr>
      <w:r>
        <w:rPr>
          <w:rFonts w:ascii="宋体" w:hAnsi="宋体" w:eastAsia="宋体"/>
          <w:b/>
          <w:bCs w:val="0"/>
          <w:sz w:val="24"/>
          <w:szCs w:val="24"/>
        </w:rPr>
        <w:t>硬件清单</w:t>
      </w:r>
      <w:bookmarkEnd w:id="14"/>
      <w:bookmarkEnd w:id="15"/>
    </w:p>
    <w:p>
      <w:pPr>
        <w:spacing w:line="480" w:lineRule="exact"/>
        <w:ind w:firstLine="420"/>
      </w:pPr>
      <w:r>
        <w:rPr>
          <w:rFonts w:hint="eastAsia" w:asciiTheme="majorHAnsi" w:hAnsiTheme="majorHAnsi" w:cstheme="majorHAnsi"/>
        </w:rPr>
        <w:t>本项目的硬件清单如下表所示：</w:t>
      </w:r>
    </w:p>
    <w:p>
      <w:pPr>
        <w:spacing w:line="480" w:lineRule="exact"/>
        <w:ind w:firstLine="420"/>
        <w:jc w:val="center"/>
        <w:rPr>
          <w:rFonts w:asciiTheme="majorHAnsi" w:hAnsiTheme="majorHAnsi" w:cstheme="majorHAnsi"/>
          <w:szCs w:val="15"/>
        </w:rPr>
      </w:pPr>
      <w:r>
        <w:rPr>
          <w:rFonts w:asciiTheme="majorHAnsi" w:hAnsiTheme="majorHAnsi" w:cstheme="majorHAnsi"/>
          <w:szCs w:val="15"/>
        </w:rPr>
        <w:t>表 硬件设备清单</w:t>
      </w:r>
    </w:p>
    <w:tbl>
      <w:tblPr>
        <w:tblStyle w:val="22"/>
        <w:tblW w:w="8789" w:type="dxa"/>
        <w:tblInd w:w="-34" w:type="dxa"/>
        <w:tblLayout w:type="fixed"/>
        <w:tblCellMar>
          <w:top w:w="0" w:type="dxa"/>
          <w:left w:w="108" w:type="dxa"/>
          <w:bottom w:w="0" w:type="dxa"/>
          <w:right w:w="108" w:type="dxa"/>
        </w:tblCellMar>
      </w:tblPr>
      <w:tblGrid>
        <w:gridCol w:w="783"/>
        <w:gridCol w:w="637"/>
        <w:gridCol w:w="628"/>
        <w:gridCol w:w="1355"/>
        <w:gridCol w:w="3969"/>
        <w:gridCol w:w="708"/>
        <w:gridCol w:w="709"/>
      </w:tblGrid>
      <w:tr>
        <w:tblPrEx>
          <w:tblCellMar>
            <w:top w:w="0" w:type="dxa"/>
            <w:left w:w="108" w:type="dxa"/>
            <w:bottom w:w="0" w:type="dxa"/>
            <w:right w:w="108" w:type="dxa"/>
          </w:tblCellMar>
        </w:tblPrEx>
        <w:trPr>
          <w:trHeight w:val="403" w:hRule="atLeast"/>
          <w:tblHeader/>
        </w:trPr>
        <w:tc>
          <w:tcPr>
            <w:tcW w:w="78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napToGrid w:val="0"/>
              <w:jc w:val="center"/>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637"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napToGrid w:val="0"/>
              <w:jc w:val="center"/>
              <w:textAlignment w:val="center"/>
              <w:rPr>
                <w:rFonts w:ascii="宋体" w:hAnsi="宋体" w:cs="宋体"/>
                <w:b/>
                <w:bCs/>
                <w:sz w:val="20"/>
                <w:szCs w:val="20"/>
              </w:rPr>
            </w:pPr>
            <w:r>
              <w:rPr>
                <w:rFonts w:hint="eastAsia" w:ascii="宋体" w:hAnsi="宋体" w:cs="宋体"/>
                <w:b/>
                <w:bCs/>
                <w:kern w:val="0"/>
                <w:sz w:val="20"/>
                <w:szCs w:val="20"/>
                <w:lang w:bidi="ar"/>
              </w:rPr>
              <w:t>系统</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napToGrid w:val="0"/>
              <w:jc w:val="center"/>
              <w:textAlignment w:val="center"/>
              <w:rPr>
                <w:rFonts w:ascii="宋体" w:hAnsi="宋体" w:cs="宋体"/>
                <w:b/>
                <w:bCs/>
                <w:sz w:val="20"/>
                <w:szCs w:val="20"/>
              </w:rPr>
            </w:pPr>
            <w:r>
              <w:rPr>
                <w:rFonts w:hint="eastAsia" w:ascii="宋体" w:hAnsi="宋体" w:cs="宋体"/>
                <w:b/>
                <w:bCs/>
                <w:kern w:val="0"/>
                <w:sz w:val="20"/>
                <w:szCs w:val="20"/>
                <w:lang w:bidi="ar"/>
              </w:rPr>
              <w:t>子模块</w:t>
            </w:r>
          </w:p>
        </w:tc>
        <w:tc>
          <w:tcPr>
            <w:tcW w:w="3969"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napToGrid w:val="0"/>
              <w:jc w:val="center"/>
              <w:textAlignment w:val="center"/>
              <w:rPr>
                <w:rFonts w:ascii="宋体" w:hAnsi="宋体" w:cs="宋体"/>
                <w:b/>
                <w:bCs/>
                <w:sz w:val="20"/>
                <w:szCs w:val="20"/>
              </w:rPr>
            </w:pPr>
            <w:r>
              <w:rPr>
                <w:rFonts w:hint="eastAsia" w:ascii="宋体" w:hAnsi="宋体" w:cs="宋体"/>
                <w:b/>
                <w:bCs/>
                <w:kern w:val="0"/>
                <w:sz w:val="20"/>
                <w:szCs w:val="20"/>
                <w:lang w:bidi="ar"/>
              </w:rPr>
              <w:t>技术要求</w:t>
            </w:r>
          </w:p>
        </w:tc>
        <w:tc>
          <w:tcPr>
            <w:tcW w:w="70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napToGrid w:val="0"/>
              <w:jc w:val="center"/>
              <w:textAlignment w:val="center"/>
              <w:rPr>
                <w:rFonts w:ascii="宋体" w:hAnsi="宋体" w:cs="宋体"/>
                <w:b/>
                <w:bCs/>
                <w:sz w:val="20"/>
                <w:szCs w:val="20"/>
              </w:rPr>
            </w:pPr>
            <w:r>
              <w:rPr>
                <w:rFonts w:hint="eastAsia" w:ascii="宋体" w:hAnsi="宋体" w:cs="宋体"/>
                <w:b/>
                <w:bCs/>
                <w:kern w:val="0"/>
                <w:sz w:val="20"/>
                <w:szCs w:val="20"/>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napToGrid w:val="0"/>
              <w:jc w:val="center"/>
              <w:textAlignment w:val="center"/>
              <w:rPr>
                <w:rFonts w:ascii="宋体" w:hAnsi="宋体" w:cs="宋体"/>
                <w:b/>
                <w:bCs/>
                <w:sz w:val="20"/>
                <w:szCs w:val="20"/>
              </w:rPr>
            </w:pPr>
            <w:r>
              <w:rPr>
                <w:rFonts w:hint="eastAsia" w:ascii="宋体" w:hAnsi="宋体" w:cs="宋体"/>
                <w:b/>
                <w:bCs/>
                <w:kern w:val="0"/>
                <w:sz w:val="20"/>
                <w:szCs w:val="20"/>
                <w:lang w:bidi="ar"/>
              </w:rPr>
              <w:t>单位</w:t>
            </w:r>
          </w:p>
        </w:tc>
      </w:tr>
      <w:tr>
        <w:tblPrEx>
          <w:tblCellMar>
            <w:top w:w="0" w:type="dxa"/>
            <w:left w:w="108" w:type="dxa"/>
            <w:bottom w:w="0" w:type="dxa"/>
            <w:right w:w="108" w:type="dxa"/>
          </w:tblCellMar>
        </w:tblPrEx>
        <w:trPr>
          <w:trHeight w:val="158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指挥调度能力提升</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视频会议系统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会议管理平台</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Style w:val="47"/>
                <w:color w:val="auto"/>
                <w:lang w:bidi="ar"/>
              </w:rPr>
              <w:t>支持管理平台一体机部署，含注册&amp;呼叫控制、企业通讯录功能，提供总部集中式部署管理、MCU和录播资源池管理。本次配置50路设备管理注册。</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MCU</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Style w:val="47"/>
                <w:color w:val="auto"/>
                <w:lang w:bidi="ar"/>
              </w:rPr>
              <w:t>支持ITU-T H.264、H.265视频协议，支持高清1080P、720P，支持H.265 SCC实现最高4K分辨率的数据会议。本次配置14路1080P30fps全编全解端口并发。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分体式高清会议终端</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Style w:val="47"/>
                <w:color w:val="auto"/>
                <w:lang w:bidi="ar"/>
              </w:rPr>
              <w:t>分体式高清视频会议终端，支持8M速率IP，支持H.265、H.264HP、H.264、H.263、H.263+等视频编解码协议，最大支持4K30帧，向下兼容1080P、720P等视频图像格式；满足2路高清视频出入接口、2路高清输出接口。</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高清摄像机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一体化高清摄像机，支持1080P60fps的800万像素CMOS传感器；支持12倍及以上光学变焦。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全向麦克风</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360度全向拾音，≥6M拾音半径，≥支持3个MIC级联。具备噪声抑制、自动增益处理和回声处理功能。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视频显示一体机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≥86寸，摄像机分辨率≥4K30，扬声器40-20KHZ，麦克风数量≥12个。本次配置≥2支书写笔，≥1个投屏器，≥1个落地支架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录播服务器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视频输入接口：≥4路SDI高清视频接口、≥3路HDMI高清视频接口、≥1路复合视频接口8.视频输出接口：≥3路HDMI高清视频接口；音频输入接口：≥3路3.5mm音频接口；音频输出接口：≥2路3.5mm音频接口（同步输出）；网口：≥2路千兆网口；USB接口：≥3路USB 2.0接口；控制口：4路RS-232接口；面板按键：1×开关按键；存储空间：2TB</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三脚架</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2米，带滑轮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个</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辅材</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视频线、网线及管材等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项</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综合会议室改造</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液晶显示器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≥86寸，≥4K超高清显示屏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反看液晶显示器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≥55寸，≥4K超高清显示屏，含可移动支架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8进8出高清无缝混插矩阵主机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本次配置8路高清无缝HDMI输入，8路高清无缝HDMI输出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24口网络交换机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24个10/100/1000BASE-T电口，支持4个1000BASE-X SFP端口</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光纤HDMI线</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4K60HZ，20米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根</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辅材</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管材、网线及电源线等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项</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信息发布屏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室内全彩屏</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点间距P2，整屏尺寸≥3200mm*320mm，整屏像素点≥1600*320；封装方式SMD1515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2.05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全彩接收卡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全彩接收卡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视频处理器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HDMI1.3，1 路 VGA，1 路 USB 播 放，1 路 CVBS；支持窗口位置、大小调整及窗口截取功能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辅材</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大屏结构、网线、电源线等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项</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分布式系统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分布式输入节点</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单个输入节点具有1路视频输入，≥1路本地视频环出；≥1路3.5mm模拟音频输入，≥1路3.5mm模拟音频环出，≥1路3.5mm反向模拟音频输出。≥1920x1200@60Hz、1920x1080@60Hz等分辨率采集，并向下兼容其他分辨率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分布式坐席输出节点</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单个输入节点具有1路视频输出；≥1路音频输出，≥1路反向音频输入，≥1920x1080@60Hz向下兼容其他分辨率。支持不少于4画面显示功能，单台显示器可以同时KVM控制、调取、显示不少于4个不同的信号源。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分布式拼接输出节点</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单个输入节点具有1路视频输出；≥1路音频输出，≥1路反向音频输入，≥1920x1080@60Hz向下兼容其他分辨率。支持LED大屏拼接模式，可支持4096x4096内任意分辨率设置。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分布式矩阵输出节点</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单个输入节点具有1路视频输出；1路音频输出，1路反向音频输入，1920x1080@60Hz向下兼容其他分辨率。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分布式系统控制节点</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支持对系统进行整体配置管理及控制，支持节点以内的授权管理。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分布式系统坐席授权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分布式系统坐席管理模块授权，支持坐席协作功能。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分布式系统拼控授权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分布式系统大屏拼接功能模块授权，支持对拼接屏系统进行控制管理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节点工装</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机柜安装托盘附件，支持将两个盒式设备安装在1U的机柜内</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集中供电</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24路集中供电箱。由2组电源模块组成，各带12路供电。单路12V 2A，带24根电源负载线出货。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24口千兆光交换机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不低于以下配置：24个SFP端口（其中8个combo口），4个10G/1G BASE-X SFP+端口，1个端口扩展槽位。原厂注册用户为无锡市城市管理局。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48口千兆光交换机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不低于以下配置：48个SFP端口，4个10G/1G BASE-X SFP+端口，1个端口扩展槽位。原厂注册用户为无锡市城市管理局。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24口万兆汇聚光交换机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不低于以下配置：24个1/10G SFP Plus端口，2个100G上行端口，含2个拓展口可扩容至6个100G上行接口。原厂注册用户为无锡市城市管理局。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光模块</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千兆单模模块,1310nm,10km,LC</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104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光模块</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10G单模模块,1310nm,10km,LC</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中心管理服务平台</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功能至少包括：1.机构管理。2.设备管理。3.屏幕管理。4.预监回显。5.IP信号源接入。6.转发负载均衡。7.用户管理。8.日志与报警。9.中控管理。10.操作系统。11.报警对接。12.视频点播。13.录像管理。14.双机热备。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可视化平板控制授权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软件点位授权，配合可视化控制系统使用，对集中控制系统进行统一管控。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可视化触控平板</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可视化触控平板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高空智能识别试点建设</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鹰眼摄像头</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不低于以下配置：支持全景和细节的标签映射，同一目标只需标定一次；传感器类型: 全景1/1.8＂progressive scan CMOS，细节1/1.8＂progressive scan CMOS；最低照度: 全景0.0005 Lux/F1.0（彩色），0.0001 Lux/F1.0（黑白）细节星光级超低照度，0.0005 Lux/F1.2（彩色），0.0001 Lux/F1.2（黑白），0 Lux with IR；宽动态: 全景不支持，细节支持120 dB超宽动态，光学变倍: 40倍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38</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设备间更新</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UPS设备更新</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不低于以下配置：20KVA UPS，含SNMP卡，16节12V 100AH蓄电池，电池柜及安装材料，主机及电池5年原厂质保服务。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精密空调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室内机：制冷量≥12.5kW风冷型，上前送风，单冷型；风冷室外机：单制冷系统，R410A冷媒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机房监控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不低于以下配置：400万1/1.8"CMOS半球型网络摄像机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人脸门禁</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不低于以下配置：7英寸LCD触摸显示屏，200万像素双目摄像头，含磁力锁、支架、电源及出门按钮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42</w:t>
            </w:r>
          </w:p>
        </w:tc>
        <w:tc>
          <w:tcPr>
            <w:tcW w:w="63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安全设备</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政务云平台区</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数据备份系统</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kern w:val="0"/>
                <w:sz w:val="20"/>
                <w:szCs w:val="20"/>
                <w:lang w:bidi="ar"/>
              </w:rPr>
            </w:pPr>
            <w:r>
              <w:rPr>
                <w:rFonts w:hint="eastAsia" w:ascii="宋体" w:hAnsi="宋体" w:cs="宋体"/>
                <w:kern w:val="0"/>
                <w:sz w:val="20"/>
                <w:szCs w:val="20"/>
                <w:lang w:bidi="ar"/>
              </w:rPr>
              <w:t>不低于以下配置：≥8核 CPU，≥32缓存，≥2个千兆以太网接口，支持万兆扩展接口，支持对SQL Server、Oracle、MySQL和达梦等主流数据库进行在线备份保护，支持对VMware vSphere、FusionComputer和CAS等主流虚拟化应用的备份，不限制Windows/Linux服务器系统、文件、数据库的备份恢复数授权，硬盘容量≥24T SATA硬盘，副本后有效备份容量≥15T，支持重复数据删除模块，提供原厂5年升级及技术支持服务；</w:t>
            </w:r>
          </w:p>
          <w:p>
            <w:pPr>
              <w:widowControl/>
              <w:snapToGrid w:val="0"/>
              <w:jc w:val="left"/>
              <w:textAlignment w:val="center"/>
              <w:rPr>
                <w:rFonts w:ascii="宋体" w:hAnsi="宋体" w:cs="宋体"/>
                <w:sz w:val="20"/>
                <w:szCs w:val="20"/>
              </w:rPr>
            </w:pPr>
            <w:r>
              <w:rPr>
                <w:rFonts w:hint="eastAsia" w:ascii="宋体" w:hAnsi="宋体" w:cs="宋体"/>
                <w:sz w:val="20"/>
                <w:szCs w:val="20"/>
              </w:rPr>
              <w:t>数据备份系统支持云备份环境，支持备份到云、云平台备份、备份云的建设。数据备份系统支持文件、数据库、邮件的快速恢复；备份软件的内部数据库崩溃后，可以直接利用备份介质上的自描述信息重建日志数据库，完成灾难条件下的数据恢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43</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数据防勒索系统</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kern w:val="0"/>
                <w:sz w:val="20"/>
                <w:szCs w:val="20"/>
                <w:lang w:bidi="ar"/>
              </w:rPr>
            </w:pPr>
            <w:r>
              <w:rPr>
                <w:rFonts w:hint="eastAsia" w:ascii="宋体" w:hAnsi="宋体" w:cs="宋体"/>
                <w:kern w:val="0"/>
                <w:sz w:val="20"/>
                <w:szCs w:val="20"/>
                <w:lang w:bidi="ar"/>
              </w:rPr>
              <w:t>不低于以下配置：≥6个电口，≥16G内存，≥128G SSD，≥2T存储空间，安全插件与管理平台控制中心通信，C/S架构，支持主流Windows操作系统，至少包括Windows 7、Windows 8、Windows 10、Windows Server 2008 R2、Windows Server 2012、Windows Server 2016等系统版本，支持应用白名单信任机制，服务器数据库和文件防勒索≥10节点授权，提供原厂五年软硬件质保及升级服务；</w:t>
            </w:r>
          </w:p>
          <w:p>
            <w:pPr>
              <w:widowControl/>
              <w:snapToGrid w:val="0"/>
              <w:jc w:val="left"/>
              <w:textAlignment w:val="center"/>
              <w:rPr>
                <w:rFonts w:ascii="宋体" w:hAnsi="宋体" w:cs="宋体"/>
                <w:sz w:val="20"/>
                <w:szCs w:val="20"/>
              </w:rPr>
            </w:pPr>
            <w:r>
              <w:rPr>
                <w:rFonts w:hint="eastAsia" w:ascii="宋体" w:hAnsi="宋体" w:cs="宋体"/>
                <w:sz w:val="20"/>
                <w:szCs w:val="20"/>
              </w:rPr>
              <w:t>数据防勒索系统支持引导区保护模式，通过锁住系统引导区，防止恶意指令或代码修改操作系统系统引导区。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44</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城管局设备间</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城管互联网出口防火墙</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不低于以下配置：≥6个10/100/1000BASE-T接口和≥4个SFP插槽；吞吐率≥4Gbps，最大并发连接数≥200万；默认含IPSEC VPN模块；配置IPS入侵防御和AV防病毒特征库升级许可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45</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城管政务外网出口防火墙</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不低于以下配置：≥6个10/100/1000BASE-T接口和≥4个SFP插槽；吞吐率≥4Gbps，最大并发连接数≥200万；默认含IPSEC VPN模块；配置IPS入侵防御和AV防病毒特征库升级许可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46</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视频网出口防火墙</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不低于以下配置：≥6个10/100/1000BASE-T接口和≥8个SFP插槽；≥双电源；吞吐率≥8Gbps，最大并发连接数≥260万；默认含IPSEC VPN模块；配置IPS入侵防御和AV防病毒特征库升级许可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47</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云服务互联网区</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视频安全防护系统</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10个千兆电口，≥6个千兆光口，最大整机吞吐量≥20Gbps，并发连接数≥1000万，每秒新建HTTP连接数≥50万，最大视频连接数（单路4Mbps）≥3000；5年入侵防护特征库升级授权，提供原厂五年升级及技术支持服务；</w:t>
            </w:r>
            <w:r>
              <w:rPr>
                <w:rFonts w:hint="eastAsia" w:ascii="宋体" w:hAnsi="宋体" w:cs="宋体"/>
                <w:sz w:val="20"/>
                <w:szCs w:val="20"/>
              </w:rPr>
              <w:t>视频安全防护系统支持应用特征库在线或本地更新，支持自定义应用特征；视频安全防护系统支持DNS Doctoring功能，能够将来自内部网络的域名解析请求定向到真实内网资源，同时支持通过配置多条 DNS Doctoring，实现内网资源服务器的负载均衡；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48</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综合日志审计系统</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不低于以下配置：≥4个10/100/1000 BASE-T，存储空间≥2TB，≥3G链路下180天NAT日志存储，日志接收性能（二进制）≥50000EPS，文本日志≥7000EPS，支持自定义监控面板和监控内容，审计日志源不限，提供原厂五年升级及技术支持服务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49</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堡垒机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kern w:val="0"/>
                <w:sz w:val="20"/>
                <w:szCs w:val="20"/>
                <w:lang w:bidi="ar"/>
              </w:rPr>
            </w:pPr>
            <w:r>
              <w:rPr>
                <w:rFonts w:hint="eastAsia" w:ascii="宋体" w:hAnsi="宋体" w:cs="宋体"/>
                <w:kern w:val="0"/>
                <w:sz w:val="20"/>
                <w:szCs w:val="20"/>
                <w:lang w:bidi="ar"/>
              </w:rPr>
              <w:t>不低于以下配置：≥6个100/1000M RJ45自适应以太网口；B/S架构管理；运维管理数无限制，运维用户数无限制，并发会话数≥1000个，运维管理许可≥100个，支持智能密码钥匙、硬件KEY等身份验证功能，配置硬件KEY数量≥10个，提供原厂五年升级及技术支持服务。堡垒机资源授权模式支持基于岗位授权，岗位上绑定资源账号，并可针对岗位设置相关安全策略。堡垒机支持日志数据的外置存储备份，支持NFS和windows文件共享协议，远程审计存储和本地存储对审计员透明。</w:t>
            </w:r>
          </w:p>
          <w:p>
            <w:pPr>
              <w:widowControl/>
              <w:snapToGrid w:val="0"/>
              <w:jc w:val="left"/>
              <w:textAlignment w:val="center"/>
              <w:rPr>
                <w:rFonts w:ascii="宋体" w:hAns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防病毒系统</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不低于以下配置：B/S架构管理端，≥20个Windows服务器端授权，1套安全管理平台，提供5年软件及病毒特征库升级服务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51</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密码应用设备</w:t>
            </w:r>
          </w:p>
        </w:tc>
        <w:tc>
          <w:tcPr>
            <w:tcW w:w="62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政务外网业务—智慧城管业务系统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服务器密码机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kern w:val="0"/>
                <w:sz w:val="20"/>
                <w:szCs w:val="20"/>
                <w:lang w:bidi="ar"/>
              </w:rPr>
            </w:pPr>
            <w:r>
              <w:rPr>
                <w:rFonts w:hint="eastAsia" w:ascii="宋体" w:hAnsi="宋体" w:cs="宋体"/>
                <w:kern w:val="0"/>
                <w:sz w:val="20"/>
                <w:szCs w:val="20"/>
                <w:lang w:bidi="ar"/>
              </w:rPr>
              <w:t>≥2个10/100/1000M自适应电口，支持RSA和SM2双公钥算法，全面支持国产算法：SM1、SM2、SM3、SM4，SM7，SM9；支持签名/验证（SM2/RSA）、加密/解密（SM1/DES/3DES/SM4/AES）、消息摘要（SM3/SHA1/SHA-256/MD5）、消息完整性保护（MAC计算和验证）（DES/3DES/AES/SM1/SM4）等安全应用，具备基于USBKEY的安全访问控制，支持多机热备。</w:t>
            </w:r>
          </w:p>
          <w:p>
            <w:pPr>
              <w:rPr>
                <w:rFonts w:ascii="宋体" w:hAnsi="宋体" w:cs="宋体"/>
                <w:sz w:val="20"/>
                <w:szCs w:val="20"/>
              </w:rPr>
            </w:pPr>
            <w:r>
              <w:rPr>
                <w:rFonts w:hint="eastAsia" w:ascii="宋体" w:hAnsi="宋体" w:cs="宋体"/>
                <w:kern w:val="0"/>
                <w:sz w:val="20"/>
                <w:szCs w:val="20"/>
                <w:lang w:bidi="ar"/>
              </w:rPr>
              <w:t>SM1算法加解密速率≥850Mbps；SM2密钥对生成≥14000对/秒；SM2签名≥22000次/秒；SM2验签≥3900次/秒；SM3算法速率≥850Mbps；SM4算法加解密速率≥850Mbps，提供原厂五年质保及技术支持服务，支持密钥的全生命周期管理：密钥的生成、存储、使用、备份、恢复、删除、销毁等功能；</w:t>
            </w:r>
            <w:r>
              <w:rPr>
                <w:rFonts w:ascii="宋体" w:hAnsi="宋体" w:cs="宋体"/>
                <w:sz w:val="20"/>
                <w:szCs w:val="20"/>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SSL VPN 网关（政务云密码服务区）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≥6个10/100/1000M自适应电口，≥2个千兆光口；支持SM2、SM3、SM4算法，具有密钥协商、身份认证、SSL隧道加密等。同时支持国际算法套件及国密算法套件，支持 SSL3.0、TLSv1.0/v1.1/v1.2/v1.3，同时支持国密标准 SSL 协议 GMTLSv1.1；支持单双向SSL认证，网关支持设置是否需要用户提交数字证书；立支持对接除动态端口（如 FTP、ORACLE）以外的 WEB 服务系统和 TCP/UDP 应用系统；HTTP（RSA）吞吐≥ 2400 Mbps，HTTPS（SM2） 吞吐（电口）≥ 1200 Mbps，RSA 并发用户数(单向) ≥18W，SM2 并发用户数(单向) ≥18W，RSA 并发用户数(双向) ≥10W；SM2 并发用户数(双向) ≥10W，提供原厂五年质保及技术支持服务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站点证书</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SM2国产密码算法证书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互联网业务—视频业务系统（时分影像）</w:t>
            </w:r>
          </w:p>
        </w:tc>
        <w:tc>
          <w:tcPr>
            <w:tcW w:w="1355" w:type="dxa"/>
            <w:tcBorders>
              <w:top w:val="single" w:color="000000" w:sz="4" w:space="0"/>
              <w:left w:val="single" w:color="000000" w:sz="4" w:space="0"/>
              <w:bottom w:val="nil"/>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服务器密码机</w:t>
            </w:r>
          </w:p>
        </w:tc>
        <w:tc>
          <w:tcPr>
            <w:tcW w:w="3969" w:type="dxa"/>
            <w:tcBorders>
              <w:top w:val="single" w:color="000000" w:sz="4" w:space="0"/>
              <w:left w:val="single" w:color="000000" w:sz="4" w:space="0"/>
              <w:bottom w:val="nil"/>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2个10/100/1000M自适应电口，支持RSA和SM2双公钥算法，全面支持国产算法：SM1、SM2、SM3、SM4，SM7，SM9；支持签名/验证（SM2/RSA）、加密/解密（SM1/DES/3DES/SM4/AES）、消息摘要（SM3/SHA1/SHA-256/MD5）、消息完整性保护（MAC计算和验证）（DES/3DES/AES/SM1/SM4）等安全应用，具备基于USBKEY的安全访问控制，支持多机热备。SM1算法加解密速率≥850Mbps；SM2密钥对生成≥14000对/秒；SM2签名≥22000次/秒；SM2验签≥3900次/秒；SM3算法速率≥850Mbps；SM4算法加解密速率≥850Mbps，提供原厂五年质保及技术支持服务</w:t>
            </w:r>
          </w:p>
        </w:tc>
        <w:tc>
          <w:tcPr>
            <w:tcW w:w="708" w:type="dxa"/>
            <w:tcBorders>
              <w:top w:val="single" w:color="000000" w:sz="4" w:space="0"/>
              <w:left w:val="single" w:color="000000" w:sz="4" w:space="0"/>
              <w:bottom w:val="nil"/>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nil"/>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rPr>
            </w:pPr>
            <w:r>
              <w:rPr>
                <w:rFonts w:hint="eastAsia" w:ascii="宋体" w:hAnsi="宋体" w:cs="宋体"/>
                <w:kern w:val="0"/>
                <w:szCs w:val="21"/>
                <w:lang w:bidi="ar"/>
              </w:rPr>
              <w:t>SSL VPN网关</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rPr>
            </w:pPr>
            <w:r>
              <w:rPr>
                <w:rFonts w:hint="eastAsia" w:ascii="宋体" w:hAnsi="宋体" w:cs="宋体"/>
                <w:kern w:val="0"/>
                <w:szCs w:val="21"/>
                <w:lang w:bidi="ar"/>
              </w:rPr>
              <w:t>≥</w:t>
            </w:r>
            <w:r>
              <w:rPr>
                <w:rFonts w:ascii="Times New Roman" w:hAnsi="Times New Roman"/>
                <w:kern w:val="0"/>
                <w:szCs w:val="21"/>
                <w:lang w:bidi="ar"/>
              </w:rPr>
              <w:t>4</w:t>
            </w:r>
            <w:r>
              <w:rPr>
                <w:rFonts w:hint="eastAsia" w:ascii="宋体" w:hAnsi="宋体" w:cs="宋体"/>
                <w:kern w:val="0"/>
                <w:szCs w:val="21"/>
                <w:lang w:bidi="ar"/>
              </w:rPr>
              <w:t>个</w:t>
            </w:r>
            <w:r>
              <w:rPr>
                <w:rFonts w:ascii="Times New Roman" w:hAnsi="Times New Roman"/>
                <w:kern w:val="0"/>
                <w:szCs w:val="21"/>
                <w:lang w:bidi="ar"/>
              </w:rPr>
              <w:t>10/100/1000M</w:t>
            </w:r>
            <w:r>
              <w:rPr>
                <w:rFonts w:hint="eastAsia" w:ascii="宋体" w:hAnsi="宋体" w:cs="宋体"/>
                <w:kern w:val="0"/>
                <w:szCs w:val="21"/>
                <w:lang w:bidi="ar"/>
              </w:rPr>
              <w:t>自适应电口；支持</w:t>
            </w:r>
            <w:r>
              <w:rPr>
                <w:rFonts w:ascii="Times New Roman" w:hAnsi="Times New Roman"/>
                <w:kern w:val="0"/>
                <w:szCs w:val="21"/>
                <w:lang w:bidi="ar"/>
              </w:rPr>
              <w:t>SM2</w:t>
            </w:r>
            <w:r>
              <w:rPr>
                <w:rFonts w:hint="eastAsia" w:ascii="宋体" w:hAnsi="宋体" w:cs="宋体"/>
                <w:kern w:val="0"/>
                <w:szCs w:val="21"/>
                <w:lang w:bidi="ar"/>
              </w:rPr>
              <w:t>、</w:t>
            </w:r>
            <w:r>
              <w:rPr>
                <w:rFonts w:ascii="Times New Roman" w:hAnsi="Times New Roman"/>
                <w:kern w:val="0"/>
                <w:szCs w:val="21"/>
                <w:lang w:bidi="ar"/>
              </w:rPr>
              <w:t>SM3</w:t>
            </w:r>
            <w:r>
              <w:rPr>
                <w:rFonts w:hint="eastAsia" w:ascii="宋体" w:hAnsi="宋体" w:cs="宋体"/>
                <w:kern w:val="0"/>
                <w:szCs w:val="21"/>
                <w:lang w:bidi="ar"/>
              </w:rPr>
              <w:t>、</w:t>
            </w:r>
            <w:r>
              <w:rPr>
                <w:rFonts w:ascii="Times New Roman" w:hAnsi="Times New Roman"/>
                <w:kern w:val="0"/>
                <w:szCs w:val="21"/>
                <w:lang w:bidi="ar"/>
              </w:rPr>
              <w:t>SM4</w:t>
            </w:r>
            <w:r>
              <w:rPr>
                <w:rFonts w:hint="eastAsia" w:ascii="宋体" w:hAnsi="宋体" w:cs="宋体"/>
                <w:kern w:val="0"/>
                <w:szCs w:val="21"/>
                <w:lang w:bidi="ar"/>
              </w:rPr>
              <w:t>算法，具有密钥协商、身份认证、</w:t>
            </w:r>
            <w:r>
              <w:rPr>
                <w:rFonts w:ascii="Times New Roman" w:hAnsi="Times New Roman"/>
                <w:kern w:val="0"/>
                <w:szCs w:val="21"/>
                <w:lang w:bidi="ar"/>
              </w:rPr>
              <w:t>SSL</w:t>
            </w:r>
            <w:r>
              <w:rPr>
                <w:rFonts w:hint="eastAsia" w:ascii="宋体" w:hAnsi="宋体" w:cs="宋体"/>
                <w:kern w:val="0"/>
                <w:szCs w:val="21"/>
                <w:lang w:bidi="ar"/>
              </w:rPr>
              <w:t>隧道加密等。同时支持国际算法套件及国密算法套件，支持</w:t>
            </w:r>
            <w:r>
              <w:rPr>
                <w:rFonts w:ascii="Times New Roman" w:hAnsi="Times New Roman"/>
                <w:kern w:val="0"/>
                <w:szCs w:val="21"/>
                <w:lang w:bidi="ar"/>
              </w:rPr>
              <w:t xml:space="preserve"> SSL3.0</w:t>
            </w:r>
            <w:r>
              <w:rPr>
                <w:rFonts w:hint="eastAsia" w:ascii="宋体" w:hAnsi="宋体" w:cs="宋体"/>
                <w:kern w:val="0"/>
                <w:szCs w:val="21"/>
                <w:lang w:bidi="ar"/>
              </w:rPr>
              <w:t>、</w:t>
            </w:r>
            <w:r>
              <w:rPr>
                <w:rFonts w:ascii="Times New Roman" w:hAnsi="Times New Roman"/>
                <w:kern w:val="0"/>
                <w:szCs w:val="21"/>
                <w:lang w:bidi="ar"/>
              </w:rPr>
              <w:t>TLSv1.0/v1.1/v1.2/v1.3</w:t>
            </w:r>
            <w:r>
              <w:rPr>
                <w:rFonts w:hint="eastAsia" w:ascii="宋体" w:hAnsi="宋体" w:cs="宋体"/>
                <w:kern w:val="0"/>
                <w:szCs w:val="21"/>
                <w:lang w:bidi="ar"/>
              </w:rPr>
              <w:t>，同时支持国密标准</w:t>
            </w:r>
            <w:r>
              <w:rPr>
                <w:rFonts w:ascii="Times New Roman" w:hAnsi="Times New Roman"/>
                <w:kern w:val="0"/>
                <w:szCs w:val="21"/>
                <w:lang w:bidi="ar"/>
              </w:rPr>
              <w:t xml:space="preserve"> SSL </w:t>
            </w:r>
            <w:r>
              <w:rPr>
                <w:rFonts w:hint="eastAsia" w:ascii="宋体" w:hAnsi="宋体" w:cs="宋体"/>
                <w:kern w:val="0"/>
                <w:szCs w:val="21"/>
                <w:lang w:bidi="ar"/>
              </w:rPr>
              <w:t>协议</w:t>
            </w:r>
            <w:r>
              <w:rPr>
                <w:rFonts w:ascii="Times New Roman" w:hAnsi="Times New Roman"/>
                <w:kern w:val="0"/>
                <w:szCs w:val="21"/>
                <w:lang w:bidi="ar"/>
              </w:rPr>
              <w:t xml:space="preserve"> GMTLSv1.1</w:t>
            </w:r>
            <w:r>
              <w:rPr>
                <w:rFonts w:hint="eastAsia" w:ascii="宋体" w:hAnsi="宋体" w:cs="宋体"/>
                <w:kern w:val="0"/>
                <w:szCs w:val="21"/>
                <w:lang w:bidi="ar"/>
              </w:rPr>
              <w:t>；支持单双向</w:t>
            </w:r>
            <w:r>
              <w:rPr>
                <w:rFonts w:ascii="Times New Roman" w:hAnsi="Times New Roman"/>
                <w:kern w:val="0"/>
                <w:szCs w:val="21"/>
                <w:lang w:bidi="ar"/>
              </w:rPr>
              <w:t>SSL</w:t>
            </w:r>
            <w:r>
              <w:rPr>
                <w:rFonts w:hint="eastAsia" w:ascii="宋体" w:hAnsi="宋体" w:cs="宋体"/>
                <w:kern w:val="0"/>
                <w:szCs w:val="21"/>
                <w:lang w:bidi="ar"/>
              </w:rPr>
              <w:t>认证；</w:t>
            </w:r>
            <w:r>
              <w:rPr>
                <w:rFonts w:ascii="Times New Roman" w:hAnsi="Times New Roman"/>
                <w:kern w:val="0"/>
                <w:szCs w:val="21"/>
                <w:lang w:bidi="ar"/>
              </w:rPr>
              <w:t xml:space="preserve"> HTTP</w:t>
            </w:r>
            <w:r>
              <w:rPr>
                <w:rFonts w:hint="eastAsia" w:ascii="宋体" w:hAnsi="宋体" w:cs="宋体"/>
                <w:kern w:val="0"/>
                <w:szCs w:val="21"/>
                <w:lang w:bidi="ar"/>
              </w:rPr>
              <w:t>（</w:t>
            </w:r>
            <w:r>
              <w:rPr>
                <w:rFonts w:ascii="Times New Roman" w:hAnsi="Times New Roman"/>
                <w:kern w:val="0"/>
                <w:szCs w:val="21"/>
                <w:lang w:bidi="ar"/>
              </w:rPr>
              <w:t>RSA</w:t>
            </w:r>
            <w:r>
              <w:rPr>
                <w:rFonts w:hint="eastAsia" w:ascii="宋体" w:hAnsi="宋体" w:cs="宋体"/>
                <w:kern w:val="0"/>
                <w:szCs w:val="21"/>
                <w:lang w:bidi="ar"/>
              </w:rPr>
              <w:t>）吞吐≥</w:t>
            </w:r>
            <w:r>
              <w:rPr>
                <w:rFonts w:ascii="Times New Roman" w:hAnsi="Times New Roman"/>
                <w:kern w:val="0"/>
                <w:szCs w:val="21"/>
                <w:lang w:bidi="ar"/>
              </w:rPr>
              <w:t xml:space="preserve"> 800 Mbps</w:t>
            </w:r>
            <w:r>
              <w:rPr>
                <w:rFonts w:hint="eastAsia" w:ascii="宋体" w:hAnsi="宋体" w:cs="宋体"/>
                <w:kern w:val="0"/>
                <w:szCs w:val="21"/>
                <w:lang w:bidi="ar"/>
              </w:rPr>
              <w:t>，</w:t>
            </w:r>
            <w:r>
              <w:rPr>
                <w:rFonts w:ascii="Times New Roman" w:hAnsi="Times New Roman"/>
                <w:kern w:val="0"/>
                <w:szCs w:val="21"/>
                <w:lang w:bidi="ar"/>
              </w:rPr>
              <w:t>HTTPS</w:t>
            </w:r>
            <w:r>
              <w:rPr>
                <w:rFonts w:hint="eastAsia" w:ascii="宋体" w:hAnsi="宋体" w:cs="宋体"/>
                <w:kern w:val="0"/>
                <w:szCs w:val="21"/>
                <w:lang w:bidi="ar"/>
              </w:rPr>
              <w:t>（</w:t>
            </w:r>
            <w:r>
              <w:rPr>
                <w:rFonts w:ascii="Times New Roman" w:hAnsi="Times New Roman"/>
                <w:kern w:val="0"/>
                <w:szCs w:val="21"/>
                <w:lang w:bidi="ar"/>
              </w:rPr>
              <w:t>SM2</w:t>
            </w:r>
            <w:r>
              <w:rPr>
                <w:rFonts w:hint="eastAsia" w:ascii="宋体" w:hAnsi="宋体" w:cs="宋体"/>
                <w:kern w:val="0"/>
                <w:szCs w:val="21"/>
                <w:lang w:bidi="ar"/>
              </w:rPr>
              <w:t>）</w:t>
            </w:r>
            <w:r>
              <w:rPr>
                <w:rFonts w:ascii="Times New Roman" w:hAnsi="Times New Roman"/>
                <w:kern w:val="0"/>
                <w:szCs w:val="21"/>
                <w:lang w:bidi="ar"/>
              </w:rPr>
              <w:t xml:space="preserve"> </w:t>
            </w:r>
            <w:r>
              <w:rPr>
                <w:rFonts w:hint="eastAsia" w:ascii="宋体" w:hAnsi="宋体" w:cs="宋体"/>
                <w:kern w:val="0"/>
                <w:szCs w:val="21"/>
                <w:lang w:bidi="ar"/>
              </w:rPr>
              <w:t>吞吐（电口）≥</w:t>
            </w:r>
            <w:r>
              <w:rPr>
                <w:rFonts w:ascii="Times New Roman" w:hAnsi="Times New Roman"/>
                <w:kern w:val="0"/>
                <w:szCs w:val="21"/>
                <w:lang w:bidi="ar"/>
              </w:rPr>
              <w:t>400 Mbps</w:t>
            </w:r>
            <w:r>
              <w:rPr>
                <w:rFonts w:hint="eastAsia" w:ascii="宋体" w:hAnsi="宋体" w:cs="宋体"/>
                <w:kern w:val="0"/>
                <w:szCs w:val="21"/>
                <w:lang w:bidi="ar"/>
              </w:rPr>
              <w:t>，</w:t>
            </w:r>
            <w:r>
              <w:rPr>
                <w:rFonts w:ascii="Times New Roman" w:hAnsi="Times New Roman"/>
                <w:kern w:val="0"/>
                <w:szCs w:val="21"/>
                <w:lang w:bidi="ar"/>
              </w:rPr>
              <w:t xml:space="preserve">RSA </w:t>
            </w:r>
            <w:r>
              <w:rPr>
                <w:rFonts w:hint="eastAsia" w:ascii="宋体" w:hAnsi="宋体" w:cs="宋体"/>
                <w:kern w:val="0"/>
                <w:szCs w:val="21"/>
                <w:lang w:bidi="ar"/>
              </w:rPr>
              <w:t>并发用户数</w:t>
            </w:r>
            <w:r>
              <w:rPr>
                <w:rFonts w:ascii="Times New Roman" w:hAnsi="Times New Roman"/>
                <w:kern w:val="0"/>
                <w:szCs w:val="21"/>
                <w:lang w:bidi="ar"/>
              </w:rPr>
              <w:t>(</w:t>
            </w:r>
            <w:r>
              <w:rPr>
                <w:rFonts w:hint="eastAsia" w:ascii="宋体" w:hAnsi="宋体" w:cs="宋体"/>
                <w:kern w:val="0"/>
                <w:szCs w:val="21"/>
                <w:lang w:bidi="ar"/>
              </w:rPr>
              <w:t>单向</w:t>
            </w:r>
            <w:r>
              <w:rPr>
                <w:rFonts w:ascii="Times New Roman" w:hAnsi="Times New Roman"/>
                <w:kern w:val="0"/>
                <w:szCs w:val="21"/>
                <w:lang w:bidi="ar"/>
              </w:rPr>
              <w:t xml:space="preserve">) </w:t>
            </w:r>
            <w:r>
              <w:rPr>
                <w:rFonts w:hint="eastAsia" w:ascii="宋体" w:hAnsi="宋体" w:cs="宋体"/>
                <w:kern w:val="0"/>
                <w:szCs w:val="21"/>
                <w:lang w:bidi="ar"/>
              </w:rPr>
              <w:t>≥</w:t>
            </w:r>
            <w:r>
              <w:rPr>
                <w:rFonts w:ascii="Times New Roman" w:hAnsi="Times New Roman"/>
                <w:kern w:val="0"/>
                <w:szCs w:val="21"/>
                <w:lang w:bidi="ar"/>
              </w:rPr>
              <w:t>6W</w:t>
            </w:r>
            <w:r>
              <w:rPr>
                <w:rFonts w:hint="eastAsia" w:ascii="宋体" w:hAnsi="宋体" w:cs="宋体"/>
                <w:kern w:val="0"/>
                <w:szCs w:val="21"/>
                <w:lang w:bidi="ar"/>
              </w:rPr>
              <w:t>，</w:t>
            </w:r>
            <w:r>
              <w:rPr>
                <w:rFonts w:ascii="Times New Roman" w:hAnsi="Times New Roman"/>
                <w:kern w:val="0"/>
                <w:szCs w:val="21"/>
                <w:lang w:bidi="ar"/>
              </w:rPr>
              <w:t xml:space="preserve">SM2 </w:t>
            </w:r>
            <w:r>
              <w:rPr>
                <w:rFonts w:hint="eastAsia" w:ascii="宋体" w:hAnsi="宋体" w:cs="宋体"/>
                <w:kern w:val="0"/>
                <w:szCs w:val="21"/>
                <w:lang w:bidi="ar"/>
              </w:rPr>
              <w:t>并发用户数</w:t>
            </w:r>
            <w:r>
              <w:rPr>
                <w:rFonts w:ascii="Times New Roman" w:hAnsi="Times New Roman"/>
                <w:kern w:val="0"/>
                <w:szCs w:val="21"/>
                <w:lang w:bidi="ar"/>
              </w:rPr>
              <w:t>(</w:t>
            </w:r>
            <w:r>
              <w:rPr>
                <w:rFonts w:hint="eastAsia" w:ascii="宋体" w:hAnsi="宋体" w:cs="宋体"/>
                <w:kern w:val="0"/>
                <w:szCs w:val="21"/>
                <w:lang w:bidi="ar"/>
              </w:rPr>
              <w:t>单向</w:t>
            </w:r>
            <w:r>
              <w:rPr>
                <w:rFonts w:ascii="Times New Roman" w:hAnsi="Times New Roman"/>
                <w:kern w:val="0"/>
                <w:szCs w:val="21"/>
                <w:lang w:bidi="ar"/>
              </w:rPr>
              <w:t xml:space="preserve">) </w:t>
            </w:r>
            <w:r>
              <w:rPr>
                <w:rFonts w:hint="eastAsia" w:ascii="宋体" w:hAnsi="宋体" w:cs="宋体"/>
                <w:kern w:val="0"/>
                <w:szCs w:val="21"/>
                <w:lang w:bidi="ar"/>
              </w:rPr>
              <w:t>≥</w:t>
            </w:r>
            <w:r>
              <w:rPr>
                <w:rFonts w:ascii="Times New Roman" w:hAnsi="Times New Roman"/>
                <w:kern w:val="0"/>
                <w:szCs w:val="21"/>
                <w:lang w:bidi="ar"/>
              </w:rPr>
              <w:t>6W</w:t>
            </w:r>
            <w:r>
              <w:rPr>
                <w:rFonts w:hint="eastAsia" w:ascii="宋体" w:hAnsi="宋体" w:cs="宋体"/>
                <w:kern w:val="0"/>
                <w:szCs w:val="21"/>
                <w:lang w:bidi="ar"/>
              </w:rPr>
              <w:t>，</w:t>
            </w:r>
            <w:r>
              <w:rPr>
                <w:rFonts w:ascii="Times New Roman" w:hAnsi="Times New Roman"/>
                <w:kern w:val="0"/>
                <w:szCs w:val="21"/>
                <w:lang w:bidi="ar"/>
              </w:rPr>
              <w:t xml:space="preserve">RSA </w:t>
            </w:r>
            <w:r>
              <w:rPr>
                <w:rFonts w:hint="eastAsia" w:ascii="宋体" w:hAnsi="宋体" w:cs="宋体"/>
                <w:kern w:val="0"/>
                <w:szCs w:val="21"/>
                <w:lang w:bidi="ar"/>
              </w:rPr>
              <w:t>并发用户数</w:t>
            </w:r>
            <w:r>
              <w:rPr>
                <w:rFonts w:ascii="Times New Roman" w:hAnsi="Times New Roman"/>
                <w:kern w:val="0"/>
                <w:szCs w:val="21"/>
                <w:lang w:bidi="ar"/>
              </w:rPr>
              <w:t>(</w:t>
            </w:r>
            <w:r>
              <w:rPr>
                <w:rFonts w:hint="eastAsia" w:ascii="宋体" w:hAnsi="宋体" w:cs="宋体"/>
                <w:kern w:val="0"/>
                <w:szCs w:val="21"/>
                <w:lang w:bidi="ar"/>
              </w:rPr>
              <w:t>双向</w:t>
            </w:r>
            <w:r>
              <w:rPr>
                <w:rFonts w:ascii="Times New Roman" w:hAnsi="Times New Roman"/>
                <w:kern w:val="0"/>
                <w:szCs w:val="21"/>
                <w:lang w:bidi="ar"/>
              </w:rPr>
              <w:t xml:space="preserve">) </w:t>
            </w:r>
            <w:r>
              <w:rPr>
                <w:rFonts w:hint="eastAsia" w:ascii="宋体" w:hAnsi="宋体" w:cs="宋体"/>
                <w:kern w:val="0"/>
                <w:szCs w:val="21"/>
                <w:lang w:bidi="ar"/>
              </w:rPr>
              <w:t>≥</w:t>
            </w:r>
            <w:r>
              <w:rPr>
                <w:rFonts w:ascii="Times New Roman" w:hAnsi="Times New Roman"/>
                <w:kern w:val="0"/>
                <w:szCs w:val="21"/>
                <w:lang w:bidi="ar"/>
              </w:rPr>
              <w:t>5W</w:t>
            </w:r>
            <w:r>
              <w:rPr>
                <w:rFonts w:hint="eastAsia" w:ascii="宋体" w:hAnsi="宋体" w:cs="宋体"/>
                <w:kern w:val="0"/>
                <w:szCs w:val="21"/>
                <w:lang w:bidi="ar"/>
              </w:rPr>
              <w:t>；</w:t>
            </w:r>
            <w:r>
              <w:rPr>
                <w:rFonts w:ascii="Times New Roman" w:hAnsi="Times New Roman"/>
                <w:kern w:val="0"/>
                <w:szCs w:val="21"/>
                <w:lang w:bidi="ar"/>
              </w:rPr>
              <w:t xml:space="preserve">SM2 </w:t>
            </w:r>
            <w:r>
              <w:rPr>
                <w:rFonts w:hint="eastAsia" w:ascii="宋体" w:hAnsi="宋体" w:cs="宋体"/>
                <w:kern w:val="0"/>
                <w:szCs w:val="21"/>
                <w:lang w:bidi="ar"/>
              </w:rPr>
              <w:t>并发用户数</w:t>
            </w:r>
            <w:r>
              <w:rPr>
                <w:rFonts w:ascii="Times New Roman" w:hAnsi="Times New Roman"/>
                <w:kern w:val="0"/>
                <w:szCs w:val="21"/>
                <w:lang w:bidi="ar"/>
              </w:rPr>
              <w:t>(</w:t>
            </w:r>
            <w:r>
              <w:rPr>
                <w:rFonts w:hint="eastAsia" w:ascii="宋体" w:hAnsi="宋体" w:cs="宋体"/>
                <w:kern w:val="0"/>
                <w:szCs w:val="21"/>
                <w:lang w:bidi="ar"/>
              </w:rPr>
              <w:t>双向</w:t>
            </w:r>
            <w:r>
              <w:rPr>
                <w:rFonts w:ascii="Times New Roman" w:hAnsi="Times New Roman"/>
                <w:kern w:val="0"/>
                <w:szCs w:val="21"/>
                <w:lang w:bidi="ar"/>
              </w:rPr>
              <w:t xml:space="preserve">) </w:t>
            </w:r>
            <w:r>
              <w:rPr>
                <w:rFonts w:hint="eastAsia" w:ascii="宋体" w:hAnsi="宋体" w:cs="宋体"/>
                <w:kern w:val="0"/>
                <w:szCs w:val="21"/>
                <w:lang w:bidi="ar"/>
              </w:rPr>
              <w:t>≥</w:t>
            </w:r>
            <w:r>
              <w:rPr>
                <w:rFonts w:ascii="Times New Roman" w:hAnsi="Times New Roman"/>
                <w:kern w:val="0"/>
                <w:szCs w:val="21"/>
                <w:lang w:bidi="ar"/>
              </w:rPr>
              <w:t>5W</w:t>
            </w:r>
            <w:r>
              <w:rPr>
                <w:rFonts w:hint="eastAsia" w:ascii="宋体" w:hAnsi="宋体" w:cs="宋体"/>
                <w:kern w:val="0"/>
                <w:szCs w:val="21"/>
                <w:lang w:bidi="ar"/>
              </w:rPr>
              <w:t>，提供原厂五年质保及技术支持服务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rPr>
            </w:pPr>
            <w:r>
              <w:rPr>
                <w:rFonts w:hint="eastAsia" w:ascii="宋体" w:hAnsi="宋体" w:cs="宋体"/>
                <w:kern w:val="0"/>
                <w:szCs w:val="21"/>
                <w:lang w:bidi="ar"/>
              </w:rPr>
              <w:t>签名验签服务器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rPr>
            </w:pPr>
            <w:r>
              <w:rPr>
                <w:rStyle w:val="49"/>
                <w:rFonts w:hint="default"/>
                <w:color w:val="auto"/>
                <w:lang w:bidi="ar"/>
              </w:rPr>
              <w:t>≥</w:t>
            </w:r>
            <w:r>
              <w:rPr>
                <w:rStyle w:val="50"/>
                <w:rFonts w:hint="default"/>
                <w:color w:val="auto"/>
                <w:lang w:bidi="ar"/>
              </w:rPr>
              <w:t>2</w:t>
            </w:r>
            <w:r>
              <w:rPr>
                <w:rStyle w:val="49"/>
                <w:rFonts w:hint="default"/>
                <w:color w:val="auto"/>
                <w:lang w:bidi="ar"/>
              </w:rPr>
              <w:t>个</w:t>
            </w:r>
            <w:r>
              <w:rPr>
                <w:rStyle w:val="50"/>
                <w:rFonts w:hint="default"/>
                <w:color w:val="auto"/>
                <w:lang w:bidi="ar"/>
              </w:rPr>
              <w:t>10/100/1000M</w:t>
            </w:r>
            <w:r>
              <w:rPr>
                <w:rStyle w:val="49"/>
                <w:rFonts w:hint="default"/>
                <w:color w:val="auto"/>
                <w:lang w:bidi="ar"/>
              </w:rPr>
              <w:t>自适应电口，支持</w:t>
            </w:r>
            <w:r>
              <w:rPr>
                <w:rStyle w:val="50"/>
                <w:rFonts w:hint="default"/>
                <w:color w:val="auto"/>
                <w:lang w:bidi="ar"/>
              </w:rPr>
              <w:t>RSA</w:t>
            </w:r>
            <w:r>
              <w:rPr>
                <w:rStyle w:val="49"/>
                <w:rFonts w:hint="default"/>
                <w:color w:val="auto"/>
                <w:lang w:bidi="ar"/>
              </w:rPr>
              <w:t>和</w:t>
            </w:r>
            <w:r>
              <w:rPr>
                <w:rStyle w:val="50"/>
                <w:rFonts w:hint="default"/>
                <w:color w:val="auto"/>
                <w:lang w:bidi="ar"/>
              </w:rPr>
              <w:t>SM2</w:t>
            </w:r>
            <w:r>
              <w:rPr>
                <w:rStyle w:val="49"/>
                <w:rFonts w:hint="default"/>
                <w:color w:val="auto"/>
                <w:lang w:bidi="ar"/>
              </w:rPr>
              <w:t>双公钥算法，支持国产算法：</w:t>
            </w:r>
            <w:r>
              <w:rPr>
                <w:rStyle w:val="50"/>
                <w:rFonts w:hint="default"/>
                <w:color w:val="auto"/>
                <w:lang w:bidi="ar"/>
              </w:rPr>
              <w:t>SM1</w:t>
            </w:r>
            <w:r>
              <w:rPr>
                <w:rStyle w:val="49"/>
                <w:rFonts w:hint="default"/>
                <w:color w:val="auto"/>
                <w:lang w:bidi="ar"/>
              </w:rPr>
              <w:t>、</w:t>
            </w:r>
            <w:r>
              <w:rPr>
                <w:rStyle w:val="50"/>
                <w:rFonts w:hint="default"/>
                <w:color w:val="auto"/>
                <w:lang w:bidi="ar"/>
              </w:rPr>
              <w:t>SM2</w:t>
            </w:r>
            <w:r>
              <w:rPr>
                <w:rStyle w:val="49"/>
                <w:rFonts w:hint="default"/>
                <w:color w:val="auto"/>
                <w:lang w:bidi="ar"/>
              </w:rPr>
              <w:t>、</w:t>
            </w:r>
            <w:r>
              <w:rPr>
                <w:rStyle w:val="50"/>
                <w:rFonts w:hint="default"/>
                <w:color w:val="auto"/>
                <w:lang w:bidi="ar"/>
              </w:rPr>
              <w:t>SM3</w:t>
            </w:r>
            <w:r>
              <w:rPr>
                <w:rStyle w:val="49"/>
                <w:rFonts w:hint="default"/>
                <w:color w:val="auto"/>
                <w:lang w:bidi="ar"/>
              </w:rPr>
              <w:t>、</w:t>
            </w:r>
            <w:r>
              <w:rPr>
                <w:rStyle w:val="50"/>
                <w:rFonts w:hint="default"/>
                <w:color w:val="auto"/>
                <w:lang w:bidi="ar"/>
              </w:rPr>
              <w:t>SM4</w:t>
            </w:r>
            <w:r>
              <w:rPr>
                <w:rStyle w:val="49"/>
                <w:rFonts w:hint="default"/>
                <w:color w:val="auto"/>
                <w:lang w:bidi="ar"/>
              </w:rPr>
              <w:t>；支持基于</w:t>
            </w:r>
            <w:r>
              <w:rPr>
                <w:rStyle w:val="50"/>
                <w:rFonts w:hint="default"/>
                <w:color w:val="auto"/>
                <w:lang w:bidi="ar"/>
              </w:rPr>
              <w:t xml:space="preserve"> SM2</w:t>
            </w:r>
            <w:r>
              <w:rPr>
                <w:rStyle w:val="49"/>
                <w:rFonts w:hint="default"/>
                <w:color w:val="auto"/>
                <w:lang w:bidi="ar"/>
              </w:rPr>
              <w:t>、</w:t>
            </w:r>
            <w:r>
              <w:rPr>
                <w:rStyle w:val="50"/>
                <w:rFonts w:hint="default"/>
                <w:color w:val="auto"/>
                <w:lang w:bidi="ar"/>
              </w:rPr>
              <w:t xml:space="preserve">RSA </w:t>
            </w:r>
            <w:r>
              <w:rPr>
                <w:rStyle w:val="49"/>
                <w:rFonts w:hint="default"/>
                <w:color w:val="auto"/>
                <w:lang w:bidi="ar"/>
              </w:rPr>
              <w:t>等算法的</w:t>
            </w:r>
            <w:r>
              <w:rPr>
                <w:rStyle w:val="50"/>
                <w:rFonts w:hint="default"/>
                <w:color w:val="auto"/>
                <w:lang w:bidi="ar"/>
              </w:rPr>
              <w:t xml:space="preserve"> PKCS#1 </w:t>
            </w:r>
            <w:r>
              <w:rPr>
                <w:rStyle w:val="49"/>
                <w:rFonts w:hint="default"/>
                <w:color w:val="auto"/>
                <w:lang w:bidi="ar"/>
              </w:rPr>
              <w:t>签名</w:t>
            </w:r>
            <w:r>
              <w:rPr>
                <w:rStyle w:val="50"/>
                <w:rFonts w:hint="default"/>
                <w:color w:val="auto"/>
                <w:lang w:bidi="ar"/>
              </w:rPr>
              <w:t>/</w:t>
            </w:r>
            <w:r>
              <w:rPr>
                <w:rStyle w:val="49"/>
                <w:rFonts w:hint="default"/>
                <w:color w:val="auto"/>
                <w:lang w:bidi="ar"/>
              </w:rPr>
              <w:t>验证、</w:t>
            </w:r>
            <w:r>
              <w:rPr>
                <w:rStyle w:val="50"/>
                <w:rFonts w:hint="default"/>
                <w:color w:val="auto"/>
                <w:lang w:bidi="ar"/>
              </w:rPr>
              <w:t xml:space="preserve">PKCS#7 Attached </w:t>
            </w:r>
            <w:r>
              <w:rPr>
                <w:rStyle w:val="49"/>
                <w:rFonts w:hint="default"/>
                <w:color w:val="auto"/>
                <w:lang w:bidi="ar"/>
              </w:rPr>
              <w:t>签名</w:t>
            </w:r>
            <w:r>
              <w:rPr>
                <w:rStyle w:val="50"/>
                <w:rFonts w:hint="default"/>
                <w:color w:val="auto"/>
                <w:lang w:bidi="ar"/>
              </w:rPr>
              <w:t>/</w:t>
            </w:r>
            <w:r>
              <w:rPr>
                <w:rStyle w:val="49"/>
                <w:rFonts w:hint="default"/>
                <w:color w:val="auto"/>
                <w:lang w:bidi="ar"/>
              </w:rPr>
              <w:t>验证、</w:t>
            </w:r>
            <w:r>
              <w:rPr>
                <w:rStyle w:val="50"/>
                <w:rFonts w:hint="default"/>
                <w:color w:val="auto"/>
                <w:lang w:bidi="ar"/>
              </w:rPr>
              <w:t xml:space="preserve">P7 Detached </w:t>
            </w:r>
            <w:r>
              <w:rPr>
                <w:rStyle w:val="49"/>
                <w:rFonts w:hint="default"/>
                <w:color w:val="auto"/>
                <w:lang w:bidi="ar"/>
              </w:rPr>
              <w:t>签名</w:t>
            </w:r>
            <w:r>
              <w:rPr>
                <w:rStyle w:val="50"/>
                <w:rFonts w:hint="default"/>
                <w:color w:val="auto"/>
                <w:lang w:bidi="ar"/>
              </w:rPr>
              <w:t>/</w:t>
            </w:r>
            <w:r>
              <w:rPr>
                <w:rStyle w:val="49"/>
                <w:rFonts w:hint="default"/>
                <w:color w:val="auto"/>
                <w:lang w:bidi="ar"/>
              </w:rPr>
              <w:t>验证功能；支持基于</w:t>
            </w:r>
            <w:r>
              <w:rPr>
                <w:rStyle w:val="50"/>
                <w:rFonts w:hint="default"/>
                <w:color w:val="auto"/>
                <w:lang w:bidi="ar"/>
              </w:rPr>
              <w:t xml:space="preserve"> SM2</w:t>
            </w:r>
            <w:r>
              <w:rPr>
                <w:rStyle w:val="49"/>
                <w:rFonts w:hint="default"/>
                <w:color w:val="auto"/>
                <w:lang w:bidi="ar"/>
              </w:rPr>
              <w:t>、</w:t>
            </w:r>
            <w:r>
              <w:rPr>
                <w:rStyle w:val="50"/>
                <w:rFonts w:hint="default"/>
                <w:color w:val="auto"/>
                <w:lang w:bidi="ar"/>
              </w:rPr>
              <w:t xml:space="preserve">RSA </w:t>
            </w:r>
            <w:r>
              <w:rPr>
                <w:rStyle w:val="49"/>
                <w:rFonts w:hint="default"/>
                <w:color w:val="auto"/>
                <w:lang w:bidi="ar"/>
              </w:rPr>
              <w:t>等算法的数字信封加密、解密功能，支持证书验证功能，提供原厂五年质保及技术支持服务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站点证书</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SM2国产密码算法证书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USBKEY</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支持SM2国密算法的专用KEY及电子政务服务机构的SM2的专用证书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59</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智慧环卫设备</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中转站处置厂车牌身份识别</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车牌识别摄像机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200W像素，含车牌识别器，摄像机、镜头、护罩  。补光灯参数：4颗大功率LED白光灯,宽动态范围 ≥100dB。</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车辆信息屏</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用于配套高清网络车牌识别；内置语音模块、同步语音提示；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补光灯</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LED灯数量：1W高亮度LED灯珠12颗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立柱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箱式立柱（含1个支架）可装摄像机,补光灯，金色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交换机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8口千兆交换机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防水箱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280*190*100（304不锈钢）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辅材</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网线、电源线、控制线等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中转站监控</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摄像头</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不低于以下配置：200万 1/2.7" CMOS红外筒型网络摄像机；智能侦测：支持越界侦测，区域入侵侦测；音频: 1个内置麦克风；网络: 1个RJ45 10 M/100 M自适应以太网口；</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硬盘录像机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不低于以下配置：8路硬盘录像机，1个HDMI接口，1个VGA接口,HDMI与2个百兆网口；VGA同源高清输出;HDMI支持2个USB2.0；最大4K（4096x2160）/30Hz 输出；支持最大6个1080P解码；4进1出报警 I/O</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3T硬盘</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3TB/64MB(6Gb/秒 NCQ）/5900RPM/SATA3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摄像机防雷</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不低于以下配置：1、电源部分 标称工作电压：12V / 24V /220V 标称放电电流：5kA 最大通流容量：10kA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立杆</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立杆高度3.5米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路由器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双口千兆路由器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辅材</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网线、电源线、控制线等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网络</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100M宽带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套/年</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74</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沿街商户治理设备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AR流程引导设备</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不低于以下配置：单目AR眼镜，720P显示分辨率，800万像素摄像头，10000mAh电池，具备4G、WiFi、蓝牙等通信模组，支持gps定位。用于沿街商户管理中的“巡查流程引导”功能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62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智能识别设备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物联网智能识别系统服务器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kern w:val="0"/>
                <w:sz w:val="20"/>
                <w:szCs w:val="20"/>
                <w:lang w:bidi="ar"/>
              </w:rPr>
            </w:pPr>
            <w:r>
              <w:rPr>
                <w:rFonts w:hint="eastAsia" w:ascii="宋体" w:hAnsi="宋体" w:cs="宋体"/>
                <w:kern w:val="0"/>
                <w:sz w:val="20"/>
                <w:szCs w:val="20"/>
                <w:lang w:bidi="ar"/>
              </w:rPr>
              <w:t>4309Y*2/DDR4 3200 32G*4/480G 2.5 SATA 6Gb SSD 硬盘*2/2.4TB 10K RPM SAS ISE 12Gbps*2/H755 SAS/1400W冗余电源（1+1）/滑轨/ T4 16GB GPU*2，五年白金保修服务，五年硬盘保留。含操作系统：windows server 2019</w:t>
            </w:r>
          </w:p>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用于本方案4.8.2.4章节的智能识别扩容建设服务。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76</w:t>
            </w:r>
          </w:p>
        </w:tc>
        <w:tc>
          <w:tcPr>
            <w:tcW w:w="63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云资源租赁服务</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虚拟机1</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虚拟机16核，32G内存，2T数据盘，租赁期两年（自采购合同签订之日起算两年）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77</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虚拟机2</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虚拟机16核，32G内存，500G数据盘，租赁期两年（自采购合同签订之日起算两年）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78</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虚拟机3</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虚拟机8核，16G内存，500G数据盘，租赁期两年（自采购合同签订之日起算两年）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79</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虚拟机4</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虚拟机8核，32G内存，500G数据盘，租赁期两年（自采购合同签订之日起算两年）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80</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虚拟机5</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虚拟机4核，16G内存，1T数据盘，租赁期两年（自采购合同签订之日起算两年）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81</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虚拟机6</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虚拟机4核，8G内存，500G数据盘，租赁期两年（自采购合同签订之日起算两年）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台</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82</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安全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云web应用防火墙，租赁期两年（自采购合同签订之日起算两年）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个</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83</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安全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云防火墙，租赁期两年（自采购合同签订之日起算两年）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个</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84</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许可扩容</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堡垒机设备许可扩容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个</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85</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许可扩容</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综合日志审计设备许可扩容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个</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86</w:t>
            </w:r>
          </w:p>
        </w:tc>
        <w:tc>
          <w:tcPr>
            <w:tcW w:w="63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自动化运维服务平台服务租赁</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运维管理服务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1、提供运维管理平台，包括资产管理、日常巡检管理、服务管理、问题管理、配置管理、变更管理和发布管理、报警管理等功能  2、运维管理体系制定和咨询服务 3、每个月输出运维运行报告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87</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政务网业务运行监测服务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1、提供业务运行监测平台，实现业务7*24小时的运行监测和报警 2、业务运行监测内容梳理和配置  3、根据业务的需求调整业务运行监测指标  4、运维监测和报警的7*24小时值守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88</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互联网业务运行监测服务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1、提供互联网运行监测平台，实现业务7*24小时的运行监测和报警 2、业务运行监测内容梳理和配置  3、根据业务的需求调整业务运行监测指标  4、运维监测和报警的7*24小时值守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89</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网络安全监测服务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1、提供网络安全监测平台，实现网络安全的7*24小时运行监测和报警 2、网络安全运行监测内容梳理和配置  3、根据网络安全的需求调整业务运行监测指标  4、运维监测和报警的7*24小时值守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90</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自动运维巡检服务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1、提供自动运维巡检平台，实现运维巡检的自动化  2、数据库、备份软件、网页防篡改、系统时间、服务器、网络等自动化巡检 3、根据业务的需求调整自动运维巡检  4、自动运维报告的专家支持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91</w:t>
            </w:r>
          </w:p>
        </w:tc>
        <w:tc>
          <w:tcPr>
            <w:tcW w:w="63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业务服务租赁</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短信发送服务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针对非接触性执法、智能识别预警等业务，购买短信发送服务。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750000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条</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92</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信息校验服务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队员使用执法系统进行办案时需验证执法对象信息的准确性，购买核验服务进行个人验证。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600000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次</w:t>
            </w:r>
          </w:p>
        </w:tc>
      </w:tr>
      <w:tr>
        <w:tblPrEx>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93</w:t>
            </w:r>
          </w:p>
        </w:tc>
        <w:tc>
          <w:tcPr>
            <w:tcW w:w="637"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val="0"/>
              <w:jc w:val="center"/>
              <w:rPr>
                <w:rFonts w:ascii="宋体" w:hAnsi="宋体" w:cs="宋体"/>
                <w:sz w:val="20"/>
                <w:szCs w:val="20"/>
              </w:rPr>
            </w:pPr>
          </w:p>
        </w:tc>
        <w:tc>
          <w:tcPr>
            <w:tcW w:w="19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sz w:val="20"/>
                <w:szCs w:val="20"/>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sz w:val="20"/>
                <w:szCs w:val="20"/>
              </w:rPr>
            </w:pPr>
            <w:r>
              <w:rPr>
                <w:rFonts w:hint="eastAsia" w:ascii="宋体" w:hAnsi="宋体" w:cs="宋体"/>
                <w:kern w:val="0"/>
                <w:sz w:val="20"/>
                <w:szCs w:val="20"/>
                <w:lang w:bidi="ar"/>
              </w:rPr>
              <w:t>队员使用执法系统进行办案时需验证执法对象信息的准确性，购买核验服务进行企业验证。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30000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sz w:val="20"/>
                <w:szCs w:val="20"/>
              </w:rPr>
            </w:pPr>
            <w:r>
              <w:rPr>
                <w:rFonts w:hint="eastAsia" w:ascii="宋体" w:hAnsi="宋体" w:cs="宋体"/>
                <w:kern w:val="0"/>
                <w:sz w:val="20"/>
                <w:szCs w:val="20"/>
                <w:lang w:bidi="ar"/>
              </w:rPr>
              <w:t>次</w:t>
            </w:r>
          </w:p>
        </w:tc>
      </w:tr>
    </w:tbl>
    <w:p>
      <w:pPr>
        <w:pStyle w:val="4"/>
        <w:ind w:left="482"/>
        <w:rPr>
          <w:rFonts w:ascii="宋体" w:hAnsi="宋体" w:eastAsia="宋体"/>
          <w:b/>
          <w:bCs w:val="0"/>
          <w:sz w:val="24"/>
          <w:szCs w:val="24"/>
        </w:rPr>
      </w:pPr>
      <w:bookmarkStart w:id="16" w:name="_Toc120200605"/>
      <w:bookmarkStart w:id="17" w:name="_Toc103503169"/>
      <w:r>
        <w:rPr>
          <w:rFonts w:ascii="宋体" w:hAnsi="宋体" w:eastAsia="宋体"/>
          <w:b/>
          <w:bCs w:val="0"/>
          <w:sz w:val="24"/>
          <w:szCs w:val="24"/>
        </w:rPr>
        <w:t>软件购置清单</w:t>
      </w:r>
      <w:bookmarkEnd w:id="16"/>
      <w:bookmarkEnd w:id="17"/>
    </w:p>
    <w:p>
      <w:pPr>
        <w:tabs>
          <w:tab w:val="left" w:pos="525"/>
          <w:tab w:val="left" w:pos="630"/>
          <w:tab w:val="left" w:pos="735"/>
          <w:tab w:val="left" w:pos="945"/>
        </w:tabs>
        <w:spacing w:line="360" w:lineRule="auto"/>
        <w:ind w:firstLine="525"/>
        <w:rPr>
          <w:rFonts w:ascii="宋体" w:hAnsi="宋体"/>
          <w:bCs/>
          <w:sz w:val="24"/>
          <w:szCs w:val="21"/>
        </w:rPr>
      </w:pPr>
      <w:r>
        <w:rPr>
          <w:rFonts w:hint="eastAsia" w:ascii="宋体" w:hAnsi="宋体"/>
          <w:bCs/>
          <w:sz w:val="24"/>
          <w:szCs w:val="21"/>
        </w:rPr>
        <w:t>本项目的软件购置清单如下表所示：</w:t>
      </w:r>
    </w:p>
    <w:p>
      <w:pPr>
        <w:ind w:firstLine="420"/>
        <w:jc w:val="center"/>
        <w:rPr>
          <w:rFonts w:asciiTheme="majorHAnsi" w:hAnsiTheme="majorHAnsi" w:cstheme="majorHAnsi"/>
        </w:rPr>
      </w:pPr>
      <w:r>
        <w:rPr>
          <w:rFonts w:asciiTheme="majorHAnsi" w:hAnsiTheme="majorHAnsi" w:cstheme="majorHAnsi"/>
          <w:szCs w:val="15"/>
        </w:rPr>
        <w:t>表 软件购置清单</w:t>
      </w:r>
    </w:p>
    <w:tbl>
      <w:tblPr>
        <w:tblStyle w:val="22"/>
        <w:tblW w:w="5171" w:type="pct"/>
        <w:jc w:val="center"/>
        <w:tblLayout w:type="autofit"/>
        <w:tblCellMar>
          <w:top w:w="0" w:type="dxa"/>
          <w:left w:w="108" w:type="dxa"/>
          <w:bottom w:w="0" w:type="dxa"/>
          <w:right w:w="108" w:type="dxa"/>
        </w:tblCellMar>
      </w:tblPr>
      <w:tblGrid>
        <w:gridCol w:w="680"/>
        <w:gridCol w:w="1417"/>
        <w:gridCol w:w="6095"/>
        <w:gridCol w:w="621"/>
      </w:tblGrid>
      <w:tr>
        <w:tblPrEx>
          <w:tblCellMar>
            <w:top w:w="0" w:type="dxa"/>
            <w:left w:w="108" w:type="dxa"/>
            <w:bottom w:w="0" w:type="dxa"/>
            <w:right w:w="108" w:type="dxa"/>
          </w:tblCellMar>
        </w:tblPrEx>
        <w:trPr>
          <w:trHeight w:val="314" w:hRule="atLeast"/>
          <w:tblHeader/>
          <w:jc w:val="center"/>
        </w:trPr>
        <w:tc>
          <w:tcPr>
            <w:tcW w:w="386" w:type="pct"/>
            <w:vMerge w:val="restar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Theme="majorHAnsi" w:hAnsiTheme="majorHAnsi" w:cstheme="majorHAnsi"/>
                <w:b/>
                <w:bCs/>
                <w:kern w:val="0"/>
                <w:sz w:val="20"/>
                <w:szCs w:val="20"/>
              </w:rPr>
            </w:pPr>
            <w:bookmarkStart w:id="18" w:name="_Hlk117700806"/>
            <w:r>
              <w:rPr>
                <w:rFonts w:asciiTheme="majorHAnsi" w:hAnsiTheme="majorHAnsi" w:cstheme="majorHAnsi"/>
                <w:b/>
                <w:bCs/>
                <w:kern w:val="0"/>
                <w:sz w:val="20"/>
                <w:szCs w:val="20"/>
              </w:rPr>
              <w:t>序号</w:t>
            </w:r>
          </w:p>
        </w:tc>
        <w:tc>
          <w:tcPr>
            <w:tcW w:w="804" w:type="pct"/>
            <w:vMerge w:val="restar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Theme="majorHAnsi" w:hAnsiTheme="majorHAnsi" w:cstheme="majorHAnsi"/>
                <w:b/>
                <w:bCs/>
                <w:kern w:val="0"/>
                <w:sz w:val="20"/>
                <w:szCs w:val="20"/>
              </w:rPr>
            </w:pPr>
            <w:r>
              <w:rPr>
                <w:rFonts w:asciiTheme="majorHAnsi" w:hAnsiTheme="majorHAnsi" w:cstheme="majorHAnsi"/>
                <w:b/>
                <w:bCs/>
                <w:kern w:val="0"/>
                <w:sz w:val="20"/>
                <w:szCs w:val="20"/>
              </w:rPr>
              <w:t>分项名称</w:t>
            </w:r>
          </w:p>
        </w:tc>
        <w:tc>
          <w:tcPr>
            <w:tcW w:w="3457" w:type="pct"/>
            <w:vMerge w:val="restar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Theme="majorHAnsi" w:hAnsiTheme="majorHAnsi" w:cstheme="majorHAnsi"/>
                <w:b/>
                <w:bCs/>
                <w:kern w:val="0"/>
                <w:sz w:val="20"/>
                <w:szCs w:val="20"/>
              </w:rPr>
            </w:pPr>
            <w:r>
              <w:rPr>
                <w:rFonts w:asciiTheme="majorHAnsi" w:hAnsiTheme="majorHAnsi" w:cstheme="majorHAnsi"/>
                <w:b/>
                <w:bCs/>
                <w:kern w:val="0"/>
                <w:sz w:val="20"/>
                <w:szCs w:val="20"/>
              </w:rPr>
              <w:t>功能指标</w:t>
            </w:r>
          </w:p>
        </w:tc>
        <w:tc>
          <w:tcPr>
            <w:tcW w:w="352" w:type="pct"/>
            <w:vMerge w:val="restar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asciiTheme="majorHAnsi" w:hAnsiTheme="majorHAnsi" w:cstheme="majorHAnsi"/>
                <w:b/>
                <w:bCs/>
                <w:kern w:val="0"/>
                <w:sz w:val="20"/>
                <w:szCs w:val="20"/>
              </w:rPr>
            </w:pPr>
            <w:r>
              <w:rPr>
                <w:rFonts w:asciiTheme="majorHAnsi" w:hAnsiTheme="majorHAnsi" w:cstheme="majorHAnsi"/>
                <w:b/>
                <w:bCs/>
                <w:kern w:val="0"/>
                <w:sz w:val="20"/>
                <w:szCs w:val="20"/>
              </w:rPr>
              <w:t>数量</w:t>
            </w:r>
          </w:p>
        </w:tc>
      </w:tr>
      <w:tr>
        <w:tblPrEx>
          <w:tblCellMar>
            <w:top w:w="0" w:type="dxa"/>
            <w:left w:w="108" w:type="dxa"/>
            <w:bottom w:w="0" w:type="dxa"/>
            <w:right w:w="108" w:type="dxa"/>
          </w:tblCellMar>
        </w:tblPrEx>
        <w:trPr>
          <w:trHeight w:val="314" w:hRule="atLeast"/>
          <w:tblHeade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rPr>
                <w:rFonts w:asciiTheme="majorHAnsi" w:hAnsiTheme="majorHAnsi" w:cstheme="majorHAnsi"/>
                <w:kern w:val="0"/>
                <w:sz w:val="20"/>
                <w:szCs w:val="20"/>
              </w:rPr>
            </w:pPr>
          </w:p>
        </w:tc>
        <w:tc>
          <w:tcPr>
            <w:tcW w:w="804" w:type="pct"/>
            <w:vMerge w:val="continue"/>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rPr>
                <w:rFonts w:asciiTheme="majorHAnsi" w:hAnsiTheme="majorHAnsi" w:cstheme="majorHAnsi"/>
                <w:kern w:val="0"/>
                <w:sz w:val="20"/>
                <w:szCs w:val="20"/>
              </w:rPr>
            </w:pPr>
          </w:p>
        </w:tc>
        <w:tc>
          <w:tcPr>
            <w:tcW w:w="3457" w:type="pct"/>
            <w:vMerge w:val="continue"/>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rPr>
                <w:rFonts w:asciiTheme="majorHAnsi" w:hAnsiTheme="majorHAnsi" w:cstheme="majorHAnsi"/>
                <w:kern w:val="0"/>
                <w:sz w:val="20"/>
                <w:szCs w:val="20"/>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rPr>
                <w:rFonts w:asciiTheme="majorHAnsi" w:hAnsiTheme="majorHAnsi" w:cstheme="majorHAnsi"/>
                <w:kern w:val="0"/>
                <w:sz w:val="20"/>
                <w:szCs w:val="20"/>
              </w:rPr>
            </w:pPr>
          </w:p>
        </w:tc>
      </w:tr>
      <w:tr>
        <w:tblPrEx>
          <w:tblCellMar>
            <w:top w:w="0" w:type="dxa"/>
            <w:left w:w="108" w:type="dxa"/>
            <w:bottom w:w="0" w:type="dxa"/>
            <w:right w:w="108" w:type="dxa"/>
          </w:tblCellMar>
        </w:tblPrEx>
        <w:trPr>
          <w:trHeight w:val="616" w:hRule="atLeast"/>
          <w:tblHeader/>
          <w:jc w:val="center"/>
        </w:trPr>
        <w:tc>
          <w:tcPr>
            <w:tcW w:w="386" w:type="pct"/>
            <w:tcBorders>
              <w:top w:val="nil"/>
              <w:left w:val="single" w:color="auto" w:sz="4" w:space="0"/>
              <w:bottom w:val="single" w:color="auto" w:sz="4" w:space="0"/>
              <w:right w:val="single" w:color="auto" w:sz="4" w:space="0"/>
            </w:tcBorders>
            <w:shd w:val="clear" w:color="auto" w:fill="auto"/>
            <w:vAlign w:val="center"/>
          </w:tcPr>
          <w:p>
            <w:pPr>
              <w:jc w:val="center"/>
              <w:rPr>
                <w:rFonts w:asciiTheme="majorHAnsi" w:hAnsiTheme="majorHAnsi" w:cstheme="majorHAnsi"/>
                <w:kern w:val="0"/>
                <w:sz w:val="20"/>
                <w:szCs w:val="20"/>
              </w:rPr>
            </w:pPr>
            <w:r>
              <w:rPr>
                <w:rFonts w:asciiTheme="majorHAnsi" w:hAnsiTheme="majorHAnsi" w:cstheme="majorHAnsi"/>
                <w:kern w:val="0"/>
                <w:sz w:val="20"/>
                <w:szCs w:val="20"/>
              </w:rPr>
              <w:t>1</w:t>
            </w:r>
          </w:p>
        </w:tc>
        <w:tc>
          <w:tcPr>
            <w:tcW w:w="804" w:type="pct"/>
            <w:tcBorders>
              <w:top w:val="nil"/>
              <w:left w:val="nil"/>
              <w:bottom w:val="single" w:color="auto" w:sz="4" w:space="0"/>
              <w:right w:val="single" w:color="auto" w:sz="4" w:space="0"/>
            </w:tcBorders>
            <w:shd w:val="clear" w:color="auto" w:fill="auto"/>
            <w:vAlign w:val="center"/>
          </w:tcPr>
          <w:p>
            <w:pPr>
              <w:jc w:val="center"/>
              <w:rPr>
                <w:rFonts w:asciiTheme="majorHAnsi" w:hAnsiTheme="majorHAnsi" w:cstheme="majorHAnsi"/>
                <w:kern w:val="0"/>
                <w:sz w:val="20"/>
                <w:szCs w:val="20"/>
              </w:rPr>
            </w:pPr>
            <w:r>
              <w:rPr>
                <w:rFonts w:asciiTheme="majorHAnsi" w:hAnsiTheme="majorHAnsi" w:cstheme="majorHAnsi"/>
                <w:kern w:val="0"/>
                <w:sz w:val="20"/>
                <w:szCs w:val="20"/>
              </w:rPr>
              <w:t>智能识别算法</w:t>
            </w:r>
          </w:p>
        </w:tc>
        <w:tc>
          <w:tcPr>
            <w:tcW w:w="3457" w:type="pct"/>
            <w:tcBorders>
              <w:top w:val="nil"/>
              <w:left w:val="nil"/>
              <w:bottom w:val="single" w:color="auto" w:sz="4" w:space="0"/>
              <w:right w:val="single" w:color="auto" w:sz="4" w:space="0"/>
            </w:tcBorders>
            <w:shd w:val="clear" w:color="auto" w:fill="auto"/>
            <w:vAlign w:val="center"/>
          </w:tcPr>
          <w:p>
            <w:pPr>
              <w:rPr>
                <w:rFonts w:asciiTheme="majorHAnsi" w:hAnsiTheme="majorHAnsi" w:cstheme="majorHAnsi"/>
                <w:kern w:val="0"/>
                <w:sz w:val="20"/>
                <w:szCs w:val="20"/>
              </w:rPr>
            </w:pPr>
            <w:r>
              <w:rPr>
                <w:rFonts w:asciiTheme="majorHAnsi" w:hAnsiTheme="majorHAnsi" w:cstheme="majorHAnsi"/>
                <w:kern w:val="0"/>
                <w:sz w:val="20"/>
                <w:szCs w:val="20"/>
              </w:rPr>
              <w:t>新增500路智能识别算法授权。支持出店经营、游商摊贩、机动车违停、非机动车违停、沿街晾晒等不少于13类智能识别算法。</w:t>
            </w:r>
          </w:p>
        </w:tc>
        <w:tc>
          <w:tcPr>
            <w:tcW w:w="352" w:type="pct"/>
            <w:tcBorders>
              <w:top w:val="nil"/>
              <w:left w:val="nil"/>
              <w:bottom w:val="single" w:color="auto" w:sz="4" w:space="0"/>
              <w:right w:val="single" w:color="auto" w:sz="4" w:space="0"/>
            </w:tcBorders>
            <w:shd w:val="clear" w:color="auto" w:fill="auto"/>
            <w:vAlign w:val="center"/>
          </w:tcPr>
          <w:p>
            <w:pPr>
              <w:jc w:val="center"/>
              <w:rPr>
                <w:rFonts w:asciiTheme="majorHAnsi" w:hAnsiTheme="majorHAnsi" w:cstheme="majorHAnsi"/>
                <w:kern w:val="0"/>
                <w:sz w:val="20"/>
                <w:szCs w:val="20"/>
              </w:rPr>
            </w:pPr>
            <w:r>
              <w:rPr>
                <w:rFonts w:asciiTheme="majorHAnsi" w:hAnsiTheme="majorHAnsi" w:cstheme="majorHAnsi"/>
                <w:kern w:val="0"/>
                <w:sz w:val="20"/>
                <w:szCs w:val="20"/>
              </w:rPr>
              <w:t>500</w:t>
            </w:r>
          </w:p>
        </w:tc>
      </w:tr>
      <w:bookmarkEnd w:id="18"/>
    </w:tbl>
    <w:p>
      <w:pPr>
        <w:pStyle w:val="4"/>
        <w:ind w:left="482"/>
        <w:rPr>
          <w:rFonts w:ascii="宋体" w:hAnsi="宋体" w:eastAsia="宋体"/>
          <w:b/>
          <w:bCs w:val="0"/>
          <w:sz w:val="24"/>
          <w:szCs w:val="24"/>
        </w:rPr>
      </w:pPr>
      <w:bookmarkStart w:id="19" w:name="_Toc103503170"/>
      <w:bookmarkStart w:id="20" w:name="_Toc120200606"/>
      <w:r>
        <w:rPr>
          <w:rFonts w:ascii="宋体" w:hAnsi="宋体" w:eastAsia="宋体"/>
          <w:b/>
          <w:bCs w:val="0"/>
          <w:sz w:val="24"/>
          <w:szCs w:val="24"/>
        </w:rPr>
        <w:t>定制软件清单</w:t>
      </w:r>
      <w:bookmarkEnd w:id="19"/>
      <w:bookmarkEnd w:id="20"/>
    </w:p>
    <w:p>
      <w:pPr>
        <w:tabs>
          <w:tab w:val="left" w:pos="525"/>
          <w:tab w:val="left" w:pos="630"/>
          <w:tab w:val="left" w:pos="735"/>
          <w:tab w:val="left" w:pos="945"/>
        </w:tabs>
        <w:spacing w:line="360" w:lineRule="auto"/>
        <w:ind w:firstLine="525"/>
        <w:rPr>
          <w:rFonts w:ascii="宋体" w:hAnsi="宋体"/>
          <w:bCs/>
          <w:sz w:val="24"/>
          <w:szCs w:val="21"/>
        </w:rPr>
      </w:pPr>
      <w:r>
        <w:rPr>
          <w:rFonts w:hint="eastAsia" w:ascii="宋体" w:hAnsi="宋体"/>
          <w:bCs/>
          <w:sz w:val="24"/>
          <w:szCs w:val="21"/>
        </w:rPr>
        <w:t>本项目定制软件清单如下表所示：</w:t>
      </w:r>
    </w:p>
    <w:p>
      <w:pPr>
        <w:ind w:firstLine="420"/>
        <w:jc w:val="center"/>
        <w:rPr>
          <w:rFonts w:ascii="宋体" w:hAnsi="宋体" w:cs="Calibri"/>
          <w:szCs w:val="21"/>
        </w:rPr>
      </w:pPr>
      <w:r>
        <w:rPr>
          <w:rFonts w:asciiTheme="majorHAnsi" w:hAnsiTheme="majorHAnsi" w:cstheme="majorHAnsi"/>
          <w:szCs w:val="15"/>
        </w:rPr>
        <w:t>表 定制软件清单</w:t>
      </w:r>
      <w:r>
        <w:rPr>
          <w:rFonts w:hint="eastAsia" w:ascii="宋体" w:hAnsi="宋体" w:cs="Calibri"/>
          <w:szCs w:val="21"/>
        </w:rPr>
        <w:t>总体要求</w:t>
      </w:r>
    </w:p>
    <w:tbl>
      <w:tblPr>
        <w:tblStyle w:val="22"/>
        <w:tblW w:w="9167" w:type="dxa"/>
        <w:jc w:val="center"/>
        <w:tblLayout w:type="autofit"/>
        <w:tblCellMar>
          <w:top w:w="0" w:type="dxa"/>
          <w:left w:w="108" w:type="dxa"/>
          <w:bottom w:w="0" w:type="dxa"/>
          <w:right w:w="108" w:type="dxa"/>
        </w:tblCellMar>
      </w:tblPr>
      <w:tblGrid>
        <w:gridCol w:w="1080"/>
        <w:gridCol w:w="1468"/>
        <w:gridCol w:w="1837"/>
        <w:gridCol w:w="4782"/>
      </w:tblGrid>
      <w:tr>
        <w:tblPrEx>
          <w:tblCellMar>
            <w:top w:w="0" w:type="dxa"/>
            <w:left w:w="108" w:type="dxa"/>
            <w:bottom w:w="0" w:type="dxa"/>
            <w:right w:w="108" w:type="dxa"/>
          </w:tblCellMar>
        </w:tblPrEx>
        <w:trPr>
          <w:trHeight w:val="300" w:hRule="atLeast"/>
          <w:jc w:val="center"/>
        </w:trPr>
        <w:tc>
          <w:tcPr>
            <w:tcW w:w="1080" w:type="dxa"/>
            <w:tcBorders>
              <w:top w:val="single" w:color="auto" w:sz="8" w:space="0"/>
              <w:left w:val="single" w:color="auto" w:sz="8" w:space="0"/>
              <w:bottom w:val="single" w:color="auto" w:sz="8" w:space="0"/>
              <w:right w:val="single" w:color="auto" w:sz="8" w:space="0"/>
            </w:tcBorders>
            <w:shd w:val="clear" w:color="000000" w:fill="E7E6E6"/>
            <w:vAlign w:val="center"/>
          </w:tcPr>
          <w:p>
            <w:pPr>
              <w:widowControl/>
              <w:jc w:val="center"/>
              <w:rPr>
                <w:rFonts w:ascii="宋体" w:hAnsi="宋体" w:cs="宋体"/>
                <w:b/>
                <w:bCs/>
                <w:kern w:val="0"/>
                <w:sz w:val="20"/>
                <w:szCs w:val="20"/>
              </w:rPr>
            </w:pPr>
            <w:bookmarkStart w:id="21" w:name="RANGE!A1"/>
            <w:r>
              <w:rPr>
                <w:rFonts w:hint="eastAsia" w:ascii="宋体" w:hAnsi="宋体" w:cs="宋体"/>
                <w:b/>
                <w:bCs/>
                <w:kern w:val="0"/>
                <w:sz w:val="20"/>
                <w:szCs w:val="20"/>
              </w:rPr>
              <w:t>序号</w:t>
            </w:r>
            <w:bookmarkEnd w:id="21"/>
          </w:p>
        </w:tc>
        <w:tc>
          <w:tcPr>
            <w:tcW w:w="1468" w:type="dxa"/>
            <w:tcBorders>
              <w:top w:val="single" w:color="auto" w:sz="8" w:space="0"/>
              <w:left w:val="nil"/>
              <w:bottom w:val="single" w:color="auto" w:sz="8" w:space="0"/>
              <w:right w:val="single" w:color="auto" w:sz="8"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系统名称</w:t>
            </w:r>
          </w:p>
        </w:tc>
        <w:tc>
          <w:tcPr>
            <w:tcW w:w="1837" w:type="dxa"/>
            <w:tcBorders>
              <w:top w:val="single" w:color="auto" w:sz="8" w:space="0"/>
              <w:left w:val="nil"/>
              <w:bottom w:val="single" w:color="auto" w:sz="8" w:space="0"/>
              <w:right w:val="single" w:color="auto" w:sz="8"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子系统</w:t>
            </w:r>
          </w:p>
        </w:tc>
        <w:tc>
          <w:tcPr>
            <w:tcW w:w="4782" w:type="dxa"/>
            <w:tcBorders>
              <w:top w:val="single" w:color="auto" w:sz="8" w:space="0"/>
              <w:left w:val="nil"/>
              <w:bottom w:val="single" w:color="auto" w:sz="8" w:space="0"/>
              <w:right w:val="single" w:color="auto" w:sz="8"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功能描述</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ascii="Calibri Light" w:hAnsi="Calibri Light" w:cs="Calibri Light"/>
                <w:kern w:val="0"/>
                <w:sz w:val="20"/>
                <w:szCs w:val="20"/>
              </w:rPr>
              <w:t>1</w:t>
            </w:r>
          </w:p>
        </w:tc>
        <w:tc>
          <w:tcPr>
            <w:tcW w:w="3305"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业务指导系统</w:t>
            </w:r>
          </w:p>
        </w:tc>
        <w:tc>
          <w:tcPr>
            <w:tcW w:w="478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按权限共用国家平台的业务指导系统</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ascii="Calibri Light" w:hAnsi="Calibri Light" w:cs="Calibri Light"/>
                <w:kern w:val="0"/>
                <w:sz w:val="20"/>
                <w:szCs w:val="20"/>
              </w:rPr>
              <w:t>2</w:t>
            </w:r>
          </w:p>
        </w:tc>
        <w:tc>
          <w:tcPr>
            <w:tcW w:w="1468" w:type="dxa"/>
            <w:vMerge w:val="restart"/>
            <w:tcBorders>
              <w:top w:val="single" w:color="auto" w:sz="8"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指挥协调系统</w:t>
            </w:r>
          </w:p>
        </w:tc>
        <w:tc>
          <w:tcPr>
            <w:tcW w:w="1837"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核心监管系统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拓展统计分析、跟踪复核、条块互通、专项任务监管、双随机监管等功能模块，对城市管理各领域工作统一监管，实现全业务领域的问题发现派发、协同指挥、考核评价，并负责整个城市宏观体征的呈现。</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3</w:t>
            </w:r>
          </w:p>
        </w:tc>
        <w:tc>
          <w:tcPr>
            <w:tcW w:w="1468" w:type="dxa"/>
            <w:vMerge w:val="continue"/>
            <w:tcBorders>
              <w:left w:val="nil"/>
              <w:right w:val="single" w:color="auto" w:sz="4" w:space="0"/>
            </w:tcBorders>
            <w:shd w:val="clear" w:color="auto" w:fill="auto"/>
            <w:vAlign w:val="center"/>
          </w:tcPr>
          <w:p>
            <w:pPr>
              <w:widowControl/>
              <w:jc w:val="center"/>
              <w:rPr>
                <w:rFonts w:ascii="宋体" w:hAnsi="宋体" w:cs="宋体"/>
                <w:kern w:val="0"/>
                <w:sz w:val="20"/>
                <w:szCs w:val="20"/>
              </w:rPr>
            </w:pPr>
          </w:p>
        </w:tc>
        <w:tc>
          <w:tcPr>
            <w:tcW w:w="1837"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投诉处置系统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用来接收各类投诉来源的统一归口，将110转办、12345、上级交办、阳光信访等诉件通过手动登记录入到系统中，再根据不同的诉件类别分派到各个区城管局，由区通过线下的方式将任务分派到街道中队进行诉件的处置。</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4</w:t>
            </w:r>
          </w:p>
        </w:tc>
        <w:tc>
          <w:tcPr>
            <w:tcW w:w="1468" w:type="dxa"/>
            <w:vMerge w:val="continue"/>
            <w:tcBorders>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837"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值班管理系统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实现在线值班安排，自动形成值班信息表，供相关人员查询；支持各级值班管理员安排值班人员和值班时间；值班计划上报后，支持以手机短信的方式通知对应的值班人员；支持自动形成工作信息数据统计表以及值班报告；支持应急任务数据填报以及逾期未上报预警提醒功能。</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5</w:t>
            </w:r>
          </w:p>
        </w:tc>
        <w:tc>
          <w:tcPr>
            <w:tcW w:w="1468" w:type="dxa"/>
            <w:vMerge w:val="restart"/>
            <w:tcBorders>
              <w:top w:val="single" w:color="auto" w:sz="8"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行业应用系统</w:t>
            </w:r>
          </w:p>
        </w:tc>
        <w:tc>
          <w:tcPr>
            <w:tcW w:w="1837"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智慧环卫系统扩建</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通过优化改造、升级拓展智慧环卫监管平台，提升环卫行业数据完整性，实现环卫工作的精准管控，为环卫全过程监管提供服务支撑。同时，为市区两级环卫实现资源共建共享，避免重复投资，设计环卫专业应用模块功能，预留系统对接接口，便于后续系统接入与数据联动。</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6</w:t>
            </w:r>
          </w:p>
        </w:tc>
        <w:tc>
          <w:tcPr>
            <w:tcW w:w="1468" w:type="dxa"/>
            <w:vMerge w:val="continue"/>
            <w:tcBorders>
              <w:left w:val="nil"/>
              <w:right w:val="single" w:color="auto" w:sz="4" w:space="0"/>
            </w:tcBorders>
            <w:shd w:val="clear" w:color="auto" w:fill="auto"/>
            <w:vAlign w:val="center"/>
          </w:tcPr>
          <w:p>
            <w:pPr>
              <w:widowControl/>
              <w:jc w:val="center"/>
              <w:rPr>
                <w:rFonts w:ascii="宋体" w:hAnsi="宋体" w:cs="宋体"/>
                <w:kern w:val="0"/>
                <w:sz w:val="20"/>
                <w:szCs w:val="20"/>
              </w:rPr>
            </w:pPr>
          </w:p>
        </w:tc>
        <w:tc>
          <w:tcPr>
            <w:tcW w:w="1837"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智慧停车系统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包含停车核心管理、停车管理应用场景以及停车便民三大模块，停车核心管理用于城管局主管部门自身对全市停车情况进行监管与研判分析，停车管理应用场景涉及到主管部门对外交互工作，停车便民则是为市民提供的停车服务。</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7</w:t>
            </w:r>
          </w:p>
        </w:tc>
        <w:tc>
          <w:tcPr>
            <w:tcW w:w="1468" w:type="dxa"/>
            <w:vMerge w:val="continue"/>
            <w:tcBorders>
              <w:left w:val="nil"/>
              <w:right w:val="single" w:color="auto" w:sz="4" w:space="0"/>
            </w:tcBorders>
            <w:shd w:val="clear" w:color="auto" w:fill="auto"/>
            <w:vAlign w:val="center"/>
          </w:tcPr>
          <w:p>
            <w:pPr>
              <w:widowControl/>
              <w:jc w:val="center"/>
              <w:rPr>
                <w:rFonts w:ascii="宋体" w:hAnsi="宋体" w:cs="宋体"/>
                <w:kern w:val="0"/>
                <w:sz w:val="20"/>
                <w:szCs w:val="20"/>
              </w:rPr>
            </w:pPr>
          </w:p>
        </w:tc>
        <w:tc>
          <w:tcPr>
            <w:tcW w:w="1837"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沿街商户生态精准治理系统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实现 “一店一档”分级分类管理、电子化环卫责任区管理、沿街商户“一店一码”管理、常态化巡查监管、常态化监督考核、移动终端应用、信息关联应用、信用体系挂钩、管执联动、双随机监管等功能。</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8</w:t>
            </w:r>
          </w:p>
        </w:tc>
        <w:tc>
          <w:tcPr>
            <w:tcW w:w="1468" w:type="dxa"/>
            <w:vMerge w:val="continue"/>
            <w:tcBorders>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837"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执法监督系统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主要包括执法监督应用、执法办案应用、现场执法端以及当事人移动端等功能模块。</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9</w:t>
            </w:r>
          </w:p>
        </w:tc>
        <w:tc>
          <w:tcPr>
            <w:tcW w:w="3305"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公众服务系统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对接灵锡APP和城管微信公众号，整合各类面向市民应用，形成为民服务统一“窗口”。引导市民参与公众线索举报，并一体化提供停车服务、垃圾分类、便民通知等便民服务功能以及信息宣传、公众互动、公众评价、公众舆情和运行管理服务等功能。</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1</w:t>
            </w:r>
            <w:r>
              <w:rPr>
                <w:rFonts w:ascii="Calibri Light" w:hAnsi="Calibri Light" w:cs="Calibri Light"/>
                <w:kern w:val="0"/>
                <w:sz w:val="20"/>
                <w:szCs w:val="20"/>
              </w:rPr>
              <w:t>0</w:t>
            </w:r>
          </w:p>
        </w:tc>
        <w:tc>
          <w:tcPr>
            <w:tcW w:w="3305"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运行监测系统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接入建管领域所有已建设系统的物联运行数据，聚焦市政设施、房屋建筑、交通设施和人员密集区域，对城市运行风险进行识别、管理、监测、预警、处置，实现城市运行全生命周期监测管理。对内和指挥协调系统协同处置，对外将重大隐患上报至应急管理系统，赋能业务应用系统，提升城市的风险防控能力和应急处置能力。</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1</w:t>
            </w:r>
            <w:r>
              <w:rPr>
                <w:rFonts w:ascii="Calibri Light" w:hAnsi="Calibri Light" w:cs="Calibri Light"/>
                <w:kern w:val="0"/>
                <w:sz w:val="20"/>
                <w:szCs w:val="20"/>
              </w:rPr>
              <w:t>1</w:t>
            </w:r>
          </w:p>
        </w:tc>
        <w:tc>
          <w:tcPr>
            <w:tcW w:w="3305"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综合评价系统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通过实时监测、平台上报、实地考察、问卷调查等方式获取相关数据，开展综合评价。系统具备评价指标管理、评价任务管理、实地考察评价、评价结果生成及评价分析等功能。可同时满足国家城市管理监督评价指标和无锡市“最干净城市”评价指标要求。</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1</w:t>
            </w:r>
            <w:r>
              <w:rPr>
                <w:rFonts w:ascii="Calibri Light" w:hAnsi="Calibri Light" w:cs="Calibri Light"/>
                <w:kern w:val="0"/>
                <w:sz w:val="20"/>
                <w:szCs w:val="20"/>
              </w:rPr>
              <w:t>2</w:t>
            </w:r>
          </w:p>
        </w:tc>
        <w:tc>
          <w:tcPr>
            <w:tcW w:w="3305"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决策建议系统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包括城市运行管理服务态势感知、部件事件监管分析研判、市政公用分析研判、市容环卫分析研判、园林绿化分析研判、城市管理执法分析研判等功能模块。同时围绕无锡市“最干净城市”创建、城运中心融合建设等重点工作，建设专题专项应用。并建设城管“一张图”系统，推动实现一张图数字化管理。</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1</w:t>
            </w:r>
            <w:r>
              <w:rPr>
                <w:rFonts w:ascii="Calibri Light" w:hAnsi="Calibri Light" w:cs="Calibri Light"/>
                <w:kern w:val="0"/>
                <w:sz w:val="20"/>
                <w:szCs w:val="20"/>
              </w:rPr>
              <w:t>3</w:t>
            </w:r>
          </w:p>
        </w:tc>
        <w:tc>
          <w:tcPr>
            <w:tcW w:w="3305"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数据交换系统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针对国家平台联网具体要求，开发数据获取模块获取所需数据资源，按照部颁标准要求开发数据接口，同时还需要完善接入平台配置、接口服务发布、接口服务订阅、数据交换和接口状态监控等接口管理功能。同时数据交换系统还需满足无锡市城运中心数据联网要求。</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1</w:t>
            </w:r>
            <w:r>
              <w:rPr>
                <w:rFonts w:ascii="Calibri Light" w:hAnsi="Calibri Light" w:cs="Calibri Light"/>
                <w:kern w:val="0"/>
                <w:sz w:val="20"/>
                <w:szCs w:val="20"/>
              </w:rPr>
              <w:t>4</w:t>
            </w:r>
          </w:p>
        </w:tc>
        <w:tc>
          <w:tcPr>
            <w:tcW w:w="3305"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数据汇聚系统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完善数据汇聚功能，满足城市运行管理服务平台部颁标准的要求。同时，开展基础数据治理、专项数据治理，为扩展数据范围，提高数据鲜活性，新建数据采集系统。将现有数据进行梳理整合，纳入无锡市城市运行管理服务综合数据库，项目建成后将实现对现有数据的改造复用。</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1</w:t>
            </w:r>
            <w:r>
              <w:rPr>
                <w:rFonts w:ascii="Calibri Light" w:hAnsi="Calibri Light" w:cs="Calibri Light"/>
                <w:kern w:val="0"/>
                <w:sz w:val="20"/>
                <w:szCs w:val="20"/>
              </w:rPr>
              <w:t>5</w:t>
            </w:r>
          </w:p>
        </w:tc>
        <w:tc>
          <w:tcPr>
            <w:tcW w:w="3305"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应用维护系统</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建设统一工作台，整合集成智慧城管统一管理子系统，全面深化已建、新建业务应用系统的整合集成，整合集成完善业务指导功能、监督检查等功能，打造形成服务市、区城市管理人员的业务应用总入口、一站式工作台；针对移动端进行升级、对接，整合新建移动应用。</w:t>
            </w:r>
          </w:p>
          <w:p>
            <w:pPr>
              <w:widowControl/>
              <w:rPr>
                <w:rFonts w:ascii="宋体" w:hAnsi="宋体" w:cs="宋体"/>
                <w:kern w:val="0"/>
                <w:sz w:val="20"/>
                <w:szCs w:val="20"/>
              </w:rPr>
            </w:pPr>
            <w:r>
              <w:rPr>
                <w:rFonts w:hint="eastAsia" w:ascii="宋体" w:hAnsi="宋体" w:cs="宋体"/>
                <w:kern w:val="0"/>
                <w:sz w:val="20"/>
                <w:szCs w:val="20"/>
              </w:rPr>
              <w:t>建设统一用户体系，实现城管内部组织架构、人员用户、系统账户、业务应用的统一管理，并提供手机验证码登录、政务微信扫码登录等登录授权能力。</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1</w:t>
            </w:r>
            <w:r>
              <w:rPr>
                <w:rFonts w:ascii="Calibri Light" w:hAnsi="Calibri Light" w:cs="Calibri Light"/>
                <w:kern w:val="0"/>
                <w:sz w:val="20"/>
                <w:szCs w:val="20"/>
              </w:rPr>
              <w:t>6</w:t>
            </w:r>
          </w:p>
        </w:tc>
        <w:tc>
          <w:tcPr>
            <w:tcW w:w="3305"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等线" w:hAnsi="等线" w:eastAsia="等线" w:cs="宋体"/>
                <w:kern w:val="0"/>
                <w:sz w:val="20"/>
                <w:szCs w:val="20"/>
              </w:rPr>
              <w:t>数据接口开发</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与市公安局、市城运中心、市统计局、市市政园林局、市发改委、市住建局等外部系统对接所需进行的接口开发。</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Light" w:hAnsi="Calibri Light" w:cs="Calibri Light"/>
                <w:kern w:val="0"/>
                <w:sz w:val="20"/>
                <w:szCs w:val="20"/>
              </w:rPr>
            </w:pPr>
            <w:r>
              <w:rPr>
                <w:rFonts w:hint="eastAsia" w:ascii="Calibri Light" w:hAnsi="Calibri Light" w:cs="Calibri Light"/>
                <w:kern w:val="0"/>
                <w:sz w:val="20"/>
                <w:szCs w:val="20"/>
              </w:rPr>
              <w:t>1</w:t>
            </w:r>
            <w:r>
              <w:rPr>
                <w:rFonts w:ascii="Calibri Light" w:hAnsi="Calibri Light" w:cs="Calibri Light"/>
                <w:kern w:val="0"/>
                <w:sz w:val="20"/>
                <w:szCs w:val="20"/>
              </w:rPr>
              <w:t>7</w:t>
            </w:r>
          </w:p>
        </w:tc>
        <w:tc>
          <w:tcPr>
            <w:tcW w:w="3305"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等线" w:hAnsi="等线" w:eastAsia="等线" w:cs="宋体"/>
                <w:kern w:val="0"/>
                <w:sz w:val="20"/>
                <w:szCs w:val="20"/>
              </w:rPr>
            </w:pPr>
            <w:r>
              <w:rPr>
                <w:rFonts w:hint="eastAsia" w:ascii="宋体" w:hAnsi="宋体" w:cs="宋体"/>
                <w:kern w:val="0"/>
                <w:sz w:val="20"/>
                <w:szCs w:val="20"/>
              </w:rPr>
              <w:t>密码应用对接</w:t>
            </w:r>
          </w:p>
        </w:tc>
        <w:tc>
          <w:tcPr>
            <w:tcW w:w="478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包含身份鉴别、访问控制、重要数据传输、重要数据存储等。</w:t>
            </w:r>
          </w:p>
        </w:tc>
      </w:tr>
    </w:tbl>
    <w:p>
      <w:pPr>
        <w:ind w:firstLine="480"/>
        <w:jc w:val="center"/>
      </w:pPr>
    </w:p>
    <w:p>
      <w:pPr>
        <w:pStyle w:val="2"/>
        <w:tabs>
          <w:tab w:val="left" w:pos="284"/>
          <w:tab w:val="clear" w:pos="480"/>
        </w:tabs>
        <w:adjustRightInd w:val="0"/>
        <w:snapToGrid w:val="0"/>
        <w:spacing w:before="0" w:beforeLines="0" w:after="0" w:afterLines="0" w:line="240" w:lineRule="auto"/>
        <w:ind w:left="0" w:firstLine="482" w:firstLineChars="200"/>
        <w:rPr>
          <w:rFonts w:ascii="仿宋_GB2312" w:eastAsia="仿宋_GB2312"/>
          <w:sz w:val="24"/>
          <w:szCs w:val="24"/>
        </w:rPr>
      </w:pPr>
      <w:r>
        <w:rPr>
          <w:rFonts w:hint="eastAsia" w:ascii="仿宋_GB2312" w:eastAsia="仿宋_GB2312"/>
          <w:sz w:val="24"/>
          <w:szCs w:val="24"/>
        </w:rPr>
        <w:t>基本原则</w:t>
      </w:r>
    </w:p>
    <w:p>
      <w:pPr>
        <w:pStyle w:val="3"/>
        <w:keepNext w:val="0"/>
        <w:keepLines w:val="0"/>
        <w:numPr>
          <w:ilvl w:val="1"/>
          <w:numId w:val="0"/>
        </w:numPr>
        <w:tabs>
          <w:tab w:val="left" w:pos="142"/>
          <w:tab w:val="left" w:pos="432"/>
          <w:tab w:val="left" w:pos="864"/>
        </w:tabs>
        <w:ind w:firstLine="566" w:firstLineChars="235"/>
        <w:rPr>
          <w:rFonts w:ascii="宋体" w:hAnsi="宋体" w:eastAsia="宋体" w:cstheme="majorHAnsi"/>
          <w:b/>
          <w:bCs w:val="0"/>
          <w:sz w:val="24"/>
          <w:szCs w:val="24"/>
        </w:rPr>
      </w:pPr>
      <w:bookmarkStart w:id="22" w:name="_Toc103503090"/>
      <w:bookmarkStart w:id="23" w:name="_Toc120200542"/>
      <w:r>
        <w:rPr>
          <w:rFonts w:hint="eastAsia" w:ascii="宋体" w:hAnsi="宋体" w:eastAsia="宋体" w:cstheme="majorHAnsi"/>
          <w:b/>
          <w:bCs w:val="0"/>
          <w:sz w:val="24"/>
          <w:szCs w:val="24"/>
        </w:rPr>
        <w:t>5</w:t>
      </w:r>
      <w:r>
        <w:rPr>
          <w:rFonts w:ascii="宋体" w:hAnsi="宋体" w:eastAsia="宋体" w:cstheme="majorHAnsi"/>
          <w:b/>
          <w:bCs w:val="0"/>
          <w:sz w:val="24"/>
          <w:szCs w:val="24"/>
        </w:rPr>
        <w:t>.1坚持统筹规划，总体设计</w:t>
      </w:r>
      <w:bookmarkEnd w:id="22"/>
      <w:bookmarkEnd w:id="23"/>
    </w:p>
    <w:p>
      <w:pPr>
        <w:spacing w:line="360" w:lineRule="auto"/>
        <w:ind w:firstLine="480" w:firstLineChars="200"/>
        <w:rPr>
          <w:rFonts w:ascii="宋体" w:hAnsi="宋体"/>
          <w:bCs/>
          <w:sz w:val="24"/>
          <w:szCs w:val="24"/>
        </w:rPr>
      </w:pPr>
      <w:r>
        <w:rPr>
          <w:rFonts w:ascii="宋体" w:hAnsi="宋体"/>
          <w:bCs/>
          <w:sz w:val="24"/>
          <w:szCs w:val="24"/>
        </w:rPr>
        <w:t>坚持党的全面领导，切实把上级指示精神和决策部署贯彻到城市运行管理服务平台建设全流程、各环节。按照部颁标准和工作要求扎实开展项目建设，按照全市一盘棋的要求，统筹规划，总体设计，一体化推进。</w:t>
      </w:r>
    </w:p>
    <w:p>
      <w:pPr>
        <w:spacing w:line="360" w:lineRule="auto"/>
        <w:ind w:firstLine="480" w:firstLineChars="200"/>
        <w:rPr>
          <w:rFonts w:ascii="宋体" w:hAnsi="宋体"/>
          <w:bCs/>
          <w:sz w:val="24"/>
          <w:szCs w:val="24"/>
        </w:rPr>
      </w:pPr>
      <w:bookmarkStart w:id="24" w:name="_Toc120200543"/>
      <w:bookmarkStart w:id="25" w:name="_Toc103503091"/>
      <w:r>
        <w:rPr>
          <w:rFonts w:ascii="宋体" w:hAnsi="宋体"/>
          <w:bCs/>
          <w:sz w:val="24"/>
          <w:szCs w:val="24"/>
        </w:rPr>
        <w:t>坚持协同共建，循序渐进</w:t>
      </w:r>
      <w:bookmarkEnd w:id="24"/>
      <w:bookmarkEnd w:id="25"/>
    </w:p>
    <w:p>
      <w:pPr>
        <w:spacing w:line="360" w:lineRule="auto"/>
        <w:ind w:firstLine="480" w:firstLineChars="200"/>
        <w:rPr>
          <w:rFonts w:ascii="宋体" w:hAnsi="宋体"/>
          <w:bCs/>
          <w:sz w:val="24"/>
          <w:szCs w:val="24"/>
        </w:rPr>
      </w:pPr>
      <w:r>
        <w:rPr>
          <w:rFonts w:ascii="宋体" w:hAnsi="宋体"/>
          <w:bCs/>
          <w:sz w:val="24"/>
          <w:szCs w:val="24"/>
        </w:rPr>
        <w:t>在无锡市“一网统管”平台体系下，由无锡市城市运行管理中心与市城管局协同开展项目建设，总体规划，分工协作，循序渐进做好市政公用、市容环卫、园林绿化、行政执法等领域的城市基础设施综合整治提升计划，合理安排工作重点与时序，不断强化安全风险发现、防范、化解、管控的智能化水平，为保障城市安全运行提供坚实保障。</w:t>
      </w:r>
    </w:p>
    <w:p>
      <w:pPr>
        <w:pStyle w:val="3"/>
        <w:keepNext w:val="0"/>
        <w:keepLines w:val="0"/>
        <w:numPr>
          <w:ilvl w:val="1"/>
          <w:numId w:val="0"/>
        </w:numPr>
        <w:tabs>
          <w:tab w:val="left" w:pos="142"/>
          <w:tab w:val="left" w:pos="432"/>
          <w:tab w:val="left" w:pos="864"/>
        </w:tabs>
        <w:ind w:firstLine="566" w:firstLineChars="235"/>
        <w:rPr>
          <w:rFonts w:ascii="宋体" w:hAnsi="宋体" w:eastAsia="宋体" w:cstheme="majorHAnsi"/>
          <w:b/>
          <w:bCs w:val="0"/>
          <w:sz w:val="24"/>
          <w:szCs w:val="24"/>
        </w:rPr>
      </w:pPr>
      <w:bookmarkStart w:id="26" w:name="_Toc103503092"/>
      <w:bookmarkStart w:id="27" w:name="_Toc120200544"/>
      <w:r>
        <w:rPr>
          <w:rFonts w:hint="eastAsia" w:ascii="宋体" w:hAnsi="宋体" w:eastAsia="宋体" w:cstheme="majorHAnsi"/>
          <w:b/>
          <w:bCs w:val="0"/>
          <w:sz w:val="24"/>
          <w:szCs w:val="24"/>
        </w:rPr>
        <w:t>5</w:t>
      </w:r>
      <w:r>
        <w:rPr>
          <w:rFonts w:ascii="宋体" w:hAnsi="宋体" w:eastAsia="宋体" w:cstheme="majorHAnsi"/>
          <w:b/>
          <w:bCs w:val="0"/>
          <w:sz w:val="24"/>
          <w:szCs w:val="24"/>
        </w:rPr>
        <w:t>.2坚持科技引领，问题导向</w:t>
      </w:r>
      <w:bookmarkEnd w:id="26"/>
      <w:bookmarkEnd w:id="27"/>
    </w:p>
    <w:p>
      <w:pPr>
        <w:spacing w:line="360" w:lineRule="auto"/>
        <w:ind w:firstLine="480" w:firstLineChars="200"/>
        <w:rPr>
          <w:rFonts w:ascii="宋体" w:hAnsi="宋体"/>
          <w:bCs/>
          <w:sz w:val="24"/>
          <w:szCs w:val="24"/>
        </w:rPr>
      </w:pPr>
      <w:r>
        <w:rPr>
          <w:rFonts w:ascii="宋体" w:hAnsi="宋体"/>
          <w:bCs/>
          <w:sz w:val="24"/>
          <w:szCs w:val="24"/>
        </w:rPr>
        <w:t>以技术创新和科技成果应用转化为手段，充分运用物联网、人工智能、5G、CIM、大数据等新型技术，聚焦城市管理痛点、难点、堵点问题，强化实战引领，以解决实际问题为主要目标导向，加强数据共享、流程再造和业务协同，重塑城市管理体系和业务流程，推进全面数字化转型，实现科学决策、精准治理、高效服务。</w:t>
      </w:r>
    </w:p>
    <w:p>
      <w:pPr>
        <w:pStyle w:val="3"/>
        <w:keepNext w:val="0"/>
        <w:keepLines w:val="0"/>
        <w:numPr>
          <w:ilvl w:val="1"/>
          <w:numId w:val="0"/>
        </w:numPr>
        <w:tabs>
          <w:tab w:val="left" w:pos="142"/>
          <w:tab w:val="left" w:pos="432"/>
          <w:tab w:val="left" w:pos="864"/>
        </w:tabs>
        <w:ind w:firstLine="566" w:firstLineChars="235"/>
        <w:rPr>
          <w:rFonts w:ascii="宋体" w:hAnsi="宋体" w:eastAsia="宋体" w:cstheme="majorHAnsi"/>
          <w:b/>
          <w:bCs w:val="0"/>
          <w:sz w:val="24"/>
          <w:szCs w:val="24"/>
        </w:rPr>
      </w:pPr>
      <w:bookmarkStart w:id="28" w:name="_Toc120200545"/>
      <w:bookmarkStart w:id="29" w:name="_Toc103503093"/>
      <w:r>
        <w:rPr>
          <w:rFonts w:hint="eastAsia" w:ascii="宋体" w:hAnsi="宋体" w:eastAsia="宋体" w:cstheme="majorHAnsi"/>
          <w:b/>
          <w:bCs w:val="0"/>
          <w:sz w:val="24"/>
          <w:szCs w:val="24"/>
        </w:rPr>
        <w:t>5</w:t>
      </w:r>
      <w:r>
        <w:rPr>
          <w:rFonts w:ascii="宋体" w:hAnsi="宋体" w:eastAsia="宋体" w:cstheme="majorHAnsi"/>
          <w:b/>
          <w:bCs w:val="0"/>
          <w:sz w:val="24"/>
          <w:szCs w:val="24"/>
        </w:rPr>
        <w:t>.3坚持以人为本，开放创新</w:t>
      </w:r>
      <w:bookmarkEnd w:id="28"/>
      <w:bookmarkEnd w:id="29"/>
    </w:p>
    <w:p>
      <w:pPr>
        <w:spacing w:line="360" w:lineRule="auto"/>
        <w:ind w:firstLine="480" w:firstLineChars="200"/>
        <w:rPr>
          <w:rFonts w:ascii="宋体" w:hAnsi="宋体"/>
          <w:bCs/>
          <w:sz w:val="24"/>
          <w:szCs w:val="24"/>
        </w:rPr>
      </w:pPr>
      <w:r>
        <w:rPr>
          <w:rFonts w:ascii="宋体" w:hAnsi="宋体"/>
          <w:bCs/>
          <w:sz w:val="24"/>
          <w:szCs w:val="24"/>
        </w:rPr>
        <w:t>坚持以人民为中心，践行“城市是人民的城市，人民城市为人民”思想，以企业、群众需求为导向，加强技术融合创新，数据开放共享，发展民生智慧应用，优化用户感知，提升用户体验，持续提升企业、群众获得感，积极探索“共建共治共享”新模式，全面提升城市运行管理服务效率。</w:t>
      </w:r>
    </w:p>
    <w:p>
      <w:pPr>
        <w:pStyle w:val="3"/>
        <w:keepNext w:val="0"/>
        <w:keepLines w:val="0"/>
        <w:numPr>
          <w:ilvl w:val="1"/>
          <w:numId w:val="0"/>
        </w:numPr>
        <w:tabs>
          <w:tab w:val="left" w:pos="142"/>
          <w:tab w:val="left" w:pos="432"/>
          <w:tab w:val="left" w:pos="864"/>
        </w:tabs>
        <w:ind w:firstLine="566" w:firstLineChars="235"/>
        <w:rPr>
          <w:rFonts w:ascii="宋体" w:hAnsi="宋体" w:eastAsia="宋体" w:cstheme="majorHAnsi"/>
          <w:b/>
          <w:bCs w:val="0"/>
          <w:sz w:val="24"/>
          <w:szCs w:val="24"/>
        </w:rPr>
      </w:pPr>
      <w:bookmarkStart w:id="30" w:name="_Toc120200546"/>
      <w:bookmarkStart w:id="31" w:name="_Toc103503094"/>
      <w:r>
        <w:rPr>
          <w:rFonts w:hint="eastAsia" w:ascii="宋体" w:hAnsi="宋体" w:eastAsia="宋体" w:cstheme="majorHAnsi"/>
          <w:b/>
          <w:bCs w:val="0"/>
          <w:sz w:val="24"/>
          <w:szCs w:val="24"/>
        </w:rPr>
        <w:t>5</w:t>
      </w:r>
      <w:r>
        <w:rPr>
          <w:rFonts w:ascii="宋体" w:hAnsi="宋体" w:eastAsia="宋体" w:cstheme="majorHAnsi"/>
          <w:b/>
          <w:bCs w:val="0"/>
          <w:sz w:val="24"/>
          <w:szCs w:val="24"/>
        </w:rPr>
        <w:t>.4坚持实战管用，安全规范</w:t>
      </w:r>
      <w:bookmarkEnd w:id="30"/>
      <w:bookmarkEnd w:id="31"/>
    </w:p>
    <w:p>
      <w:pPr>
        <w:spacing w:line="360" w:lineRule="auto"/>
        <w:ind w:firstLine="480" w:firstLineChars="200"/>
        <w:rPr>
          <w:rFonts w:ascii="宋体" w:hAnsi="宋体"/>
          <w:bCs/>
          <w:sz w:val="24"/>
          <w:szCs w:val="24"/>
        </w:rPr>
      </w:pPr>
      <w:r>
        <w:rPr>
          <w:rFonts w:ascii="宋体" w:hAnsi="宋体"/>
          <w:bCs/>
          <w:sz w:val="24"/>
          <w:szCs w:val="24"/>
        </w:rPr>
        <w:t>以“应用为要，管用为王”为价值取向，将务实、高效的理念贯穿城市运行管理服务平台建设和运行的全过程。以全面落实总体国家安全观为引领，加强涉及国家利益、商业秘密、个人隐私的数据保护。坚持网络安全、信息安全至上，开展信息安全风险评估、网络安全等级保护，落实安全主体责任，建立健全主动防控安全体系，打造自主可控、安全可靠的城市运行管理服务平台，坚守不发生系统性区域性风险的底线。</w:t>
      </w:r>
    </w:p>
    <w:p>
      <w:pPr>
        <w:pStyle w:val="2"/>
        <w:tabs>
          <w:tab w:val="left" w:pos="284"/>
          <w:tab w:val="clear" w:pos="480"/>
        </w:tabs>
        <w:adjustRightInd w:val="0"/>
        <w:snapToGrid w:val="0"/>
        <w:spacing w:before="0" w:beforeLines="0" w:after="0" w:afterLines="0" w:line="240" w:lineRule="auto"/>
        <w:ind w:left="0" w:firstLine="482" w:firstLineChars="200"/>
        <w:rPr>
          <w:rFonts w:ascii="仿宋_GB2312" w:eastAsia="仿宋_GB2312"/>
          <w:sz w:val="24"/>
          <w:szCs w:val="24"/>
        </w:rPr>
      </w:pPr>
      <w:r>
        <w:rPr>
          <w:rFonts w:hint="eastAsia" w:ascii="仿宋_GB2312" w:eastAsia="仿宋_GB2312"/>
          <w:sz w:val="24"/>
          <w:szCs w:val="24"/>
        </w:rPr>
        <w:t>基本要求</w:t>
      </w:r>
    </w:p>
    <w:p>
      <w:pPr>
        <w:spacing w:line="360" w:lineRule="auto"/>
        <w:ind w:firstLine="480" w:firstLineChars="200"/>
        <w:rPr>
          <w:rFonts w:ascii="宋体" w:hAnsi="宋体"/>
          <w:bCs/>
          <w:sz w:val="24"/>
          <w:szCs w:val="24"/>
        </w:rPr>
      </w:pPr>
      <w:r>
        <w:rPr>
          <w:rFonts w:hint="eastAsia" w:ascii="宋体" w:hAnsi="宋体"/>
          <w:bCs/>
          <w:sz w:val="24"/>
          <w:szCs w:val="24"/>
        </w:rPr>
        <w:t>本项目建设必须遵循国家相关法律、法规，尤其是系统安全、计算机信息系统安全的有关标准要求。</w:t>
      </w:r>
    </w:p>
    <w:p>
      <w:pPr>
        <w:spacing w:line="360" w:lineRule="auto"/>
        <w:ind w:firstLine="480" w:firstLineChars="200"/>
        <w:rPr>
          <w:rFonts w:ascii="宋体" w:hAnsi="宋体"/>
          <w:bCs/>
          <w:sz w:val="24"/>
          <w:szCs w:val="24"/>
        </w:rPr>
      </w:pPr>
      <w:r>
        <w:rPr>
          <w:rFonts w:hint="eastAsia" w:ascii="宋体" w:hAnsi="宋体"/>
          <w:bCs/>
          <w:sz w:val="24"/>
          <w:szCs w:val="24"/>
        </w:rPr>
        <w:t>投标人所作的业务需求分析和系统设计应完全满足采购方需求。本招标文件提出的的建设要求，是投标人编制投标文件的主要依据，但不应作为投标人需求分析和系统设计的完整的详细要求，在编制项目实施方案时，投标人应深入分析和充分考虑采购人对本平台现在及未来发展的需求，设计出完整的优质方案，包括中标后提交需要各业务处室配合准备的相关文档资料清单等调研计划。</w:t>
      </w:r>
    </w:p>
    <w:p>
      <w:pPr>
        <w:pStyle w:val="3"/>
        <w:tabs>
          <w:tab w:val="clear" w:pos="993"/>
        </w:tabs>
        <w:ind w:left="0" w:firstLine="482" w:firstLineChars="200"/>
        <w:rPr>
          <w:rFonts w:ascii="宋体" w:hAnsi="宋体" w:eastAsia="宋体"/>
          <w:b/>
          <w:bCs w:val="0"/>
          <w:sz w:val="24"/>
          <w:szCs w:val="24"/>
        </w:rPr>
      </w:pPr>
      <w:bookmarkStart w:id="32" w:name="_Toc425342156"/>
      <w:r>
        <w:rPr>
          <w:rFonts w:hint="eastAsia" w:ascii="宋体" w:hAnsi="宋体" w:eastAsia="宋体"/>
          <w:b/>
          <w:bCs w:val="0"/>
          <w:sz w:val="24"/>
          <w:szCs w:val="24"/>
        </w:rPr>
        <w:t>安全及保密要求</w:t>
      </w:r>
      <w:bookmarkEnd w:id="32"/>
    </w:p>
    <w:p>
      <w:pPr>
        <w:spacing w:line="360" w:lineRule="auto"/>
        <w:ind w:firstLine="480" w:firstLineChars="200"/>
        <w:rPr>
          <w:rFonts w:ascii="宋体" w:hAnsi="宋体"/>
          <w:bCs/>
          <w:sz w:val="24"/>
          <w:szCs w:val="24"/>
        </w:rPr>
      </w:pPr>
      <w:r>
        <w:rPr>
          <w:rFonts w:hint="eastAsia" w:ascii="宋体" w:hAnsi="宋体"/>
          <w:bCs/>
          <w:sz w:val="24"/>
          <w:szCs w:val="24"/>
        </w:rPr>
        <w:t>系统建设必须遵循有关国家电子政务信息安全保障体系要求，按照国家法规实施安全等级保护，加强系统信息安全管理。</w:t>
      </w:r>
    </w:p>
    <w:p>
      <w:pPr>
        <w:spacing w:line="360" w:lineRule="auto"/>
        <w:ind w:firstLine="480" w:firstLineChars="200"/>
        <w:rPr>
          <w:rFonts w:ascii="宋体" w:hAnsi="宋体"/>
          <w:bCs/>
          <w:sz w:val="24"/>
          <w:szCs w:val="24"/>
        </w:rPr>
      </w:pPr>
      <w:r>
        <w:rPr>
          <w:rFonts w:hint="eastAsia" w:ascii="宋体" w:hAnsi="宋体"/>
          <w:bCs/>
          <w:sz w:val="24"/>
          <w:szCs w:val="24"/>
        </w:rPr>
        <w:t>投标人须明确提供完善的、可行的系统安全方案，应包括有双向身份认证、文件加密、数据备份与恢复、防病毒、防入侵等功能。</w:t>
      </w:r>
    </w:p>
    <w:p>
      <w:pPr>
        <w:spacing w:line="360" w:lineRule="auto"/>
        <w:ind w:firstLine="480" w:firstLineChars="200"/>
        <w:rPr>
          <w:rFonts w:ascii="宋体" w:hAnsi="宋体"/>
          <w:bCs/>
          <w:sz w:val="24"/>
          <w:szCs w:val="24"/>
        </w:rPr>
      </w:pPr>
      <w:r>
        <w:rPr>
          <w:rFonts w:hint="eastAsia" w:ascii="宋体" w:hAnsi="宋体"/>
          <w:bCs/>
          <w:sz w:val="24"/>
          <w:szCs w:val="24"/>
        </w:rPr>
        <w:t>必须按照</w:t>
      </w:r>
      <w:r>
        <w:fldChar w:fldCharType="begin"/>
      </w:r>
      <w:r>
        <w:instrText xml:space="preserve"> HYPERLINK "https://www.baidu.com/link?url=YYoOLSXJXaBozp1Dc8CnGQfTt0j199ApkGKAxq7OwStSGkcxO7JI-Pjd8VzFzxs7&amp;wd=&amp;eqid=d2e614030002e883000000035da4913b" \t "_blank" </w:instrText>
      </w:r>
      <w:r>
        <w:fldChar w:fldCharType="separate"/>
      </w:r>
      <w:r>
        <w:rPr>
          <w:rFonts w:hint="eastAsia" w:ascii="宋体" w:hAnsi="宋体"/>
          <w:bCs/>
          <w:sz w:val="24"/>
          <w:szCs w:val="24"/>
        </w:rPr>
        <w:t>《公共安全视频监控联网信息安全技术要求》</w:t>
      </w:r>
      <w:r>
        <w:rPr>
          <w:rFonts w:hint="eastAsia" w:ascii="宋体" w:hAnsi="宋体"/>
          <w:bCs/>
          <w:sz w:val="24"/>
          <w:szCs w:val="24"/>
        </w:rPr>
        <w:fldChar w:fldCharType="end"/>
      </w:r>
      <w:r>
        <w:rPr>
          <w:rFonts w:hint="eastAsia" w:ascii="宋体" w:hAnsi="宋体"/>
          <w:bCs/>
          <w:sz w:val="24"/>
          <w:szCs w:val="24"/>
        </w:rPr>
        <w:t>，加强视频监控安全访问控制，防止恶意扩散和违规盗用等。</w:t>
      </w:r>
    </w:p>
    <w:p>
      <w:pPr>
        <w:spacing w:line="360" w:lineRule="auto"/>
        <w:ind w:firstLine="480" w:firstLineChars="200"/>
        <w:rPr>
          <w:rFonts w:ascii="宋体" w:hAnsi="宋体"/>
          <w:bCs/>
          <w:sz w:val="24"/>
          <w:szCs w:val="24"/>
        </w:rPr>
      </w:pPr>
      <w:r>
        <w:rPr>
          <w:rFonts w:hint="eastAsia" w:ascii="宋体" w:hAnsi="宋体"/>
          <w:bCs/>
          <w:sz w:val="24"/>
          <w:szCs w:val="24"/>
        </w:rPr>
        <w:t>中标供应商在项目实施中须加强安全管理，所有因施工、租赁设备等导致的安全责任事故由中标供应商承担，且采购方有权对此追责。</w:t>
      </w:r>
    </w:p>
    <w:p>
      <w:pPr>
        <w:pStyle w:val="3"/>
        <w:tabs>
          <w:tab w:val="clear" w:pos="993"/>
        </w:tabs>
        <w:ind w:left="0" w:firstLine="482" w:firstLineChars="200"/>
        <w:rPr>
          <w:rFonts w:ascii="宋体" w:hAnsi="宋体" w:eastAsia="宋体"/>
          <w:b/>
          <w:bCs w:val="0"/>
          <w:sz w:val="24"/>
          <w:szCs w:val="24"/>
        </w:rPr>
      </w:pPr>
      <w:bookmarkStart w:id="33" w:name="_Toc425342157"/>
      <w:r>
        <w:rPr>
          <w:rFonts w:hint="eastAsia" w:ascii="宋体" w:hAnsi="宋体" w:eastAsia="宋体"/>
          <w:b/>
          <w:bCs w:val="0"/>
          <w:sz w:val="24"/>
          <w:szCs w:val="24"/>
        </w:rPr>
        <w:t>质量保证要求</w:t>
      </w:r>
      <w:bookmarkEnd w:id="33"/>
    </w:p>
    <w:p>
      <w:pPr>
        <w:spacing w:line="360" w:lineRule="auto"/>
        <w:ind w:firstLine="480" w:firstLineChars="200"/>
        <w:rPr>
          <w:rFonts w:ascii="宋体" w:hAnsi="宋体"/>
          <w:bCs/>
          <w:sz w:val="24"/>
          <w:szCs w:val="24"/>
        </w:rPr>
      </w:pPr>
      <w:r>
        <w:rPr>
          <w:rFonts w:hint="eastAsia" w:ascii="宋体" w:hAnsi="宋体"/>
          <w:bCs/>
          <w:sz w:val="24"/>
          <w:szCs w:val="24"/>
        </w:rPr>
        <w:t>投标人须有针对本项目的质量保证体系和组织，并制订质量保证计划，列出项目实施过程中质量监督和保证执行的措施，要记录质量保证活动，并保存和维护这些记录。</w:t>
      </w:r>
    </w:p>
    <w:p>
      <w:pPr>
        <w:spacing w:line="360" w:lineRule="auto"/>
        <w:ind w:firstLine="480" w:firstLineChars="200"/>
        <w:rPr>
          <w:rFonts w:ascii="宋体" w:hAnsi="宋体"/>
          <w:bCs/>
          <w:sz w:val="24"/>
          <w:szCs w:val="24"/>
        </w:rPr>
      </w:pPr>
      <w:r>
        <w:rPr>
          <w:rFonts w:hint="eastAsia" w:ascii="宋体" w:hAnsi="宋体"/>
          <w:bCs/>
          <w:sz w:val="24"/>
          <w:szCs w:val="24"/>
        </w:rPr>
        <w:t>本项目所涉及产品必须是符合国家技术规范和质量标准的合格产品，满足采购方的使用需求，并具有可靠的售后服务体系，质量可靠、使用安全。</w:t>
      </w:r>
    </w:p>
    <w:p>
      <w:pPr>
        <w:spacing w:line="360" w:lineRule="auto"/>
        <w:ind w:firstLine="480" w:firstLineChars="200"/>
        <w:rPr>
          <w:rFonts w:ascii="宋体" w:hAnsi="宋体"/>
          <w:bCs/>
          <w:sz w:val="24"/>
          <w:szCs w:val="24"/>
        </w:rPr>
      </w:pPr>
      <w:r>
        <w:rPr>
          <w:rFonts w:hint="eastAsia" w:ascii="宋体" w:hAnsi="宋体"/>
          <w:bCs/>
          <w:sz w:val="24"/>
          <w:szCs w:val="24"/>
        </w:rPr>
        <w:t>中标供应商须保证其提供的产品中所有预装和为本项目安装的软件均为具有合法版权或使用权的正版软件且无质量瑕疵；</w:t>
      </w:r>
    </w:p>
    <w:p>
      <w:pPr>
        <w:spacing w:line="360" w:lineRule="auto"/>
        <w:ind w:firstLine="480" w:firstLineChars="200"/>
        <w:rPr>
          <w:rFonts w:ascii="宋体" w:hAnsi="宋体"/>
          <w:bCs/>
          <w:sz w:val="24"/>
          <w:szCs w:val="24"/>
        </w:rPr>
      </w:pPr>
      <w:r>
        <w:rPr>
          <w:rFonts w:hint="eastAsia" w:ascii="宋体" w:hAnsi="宋体"/>
          <w:bCs/>
          <w:sz w:val="24"/>
          <w:szCs w:val="24"/>
        </w:rPr>
        <w:t>系统的设计、开发和集成应符合现行国家计算机系统规范标准。</w:t>
      </w:r>
    </w:p>
    <w:p>
      <w:pPr>
        <w:spacing w:line="360" w:lineRule="auto"/>
        <w:ind w:firstLine="480" w:firstLineChars="200"/>
        <w:rPr>
          <w:rFonts w:ascii="宋体" w:hAnsi="宋体"/>
          <w:bCs/>
          <w:sz w:val="24"/>
          <w:szCs w:val="24"/>
        </w:rPr>
      </w:pPr>
      <w:r>
        <w:rPr>
          <w:rFonts w:hint="eastAsia" w:ascii="宋体" w:hAnsi="宋体"/>
          <w:bCs/>
          <w:sz w:val="24"/>
          <w:szCs w:val="24"/>
        </w:rPr>
        <w:t>中标供应商须为维修和技术支持所未能解决的问题和故障提供正式的升级方案。</w:t>
      </w:r>
    </w:p>
    <w:p>
      <w:pPr>
        <w:spacing w:line="360" w:lineRule="auto"/>
        <w:ind w:firstLine="480" w:firstLineChars="200"/>
        <w:rPr>
          <w:rFonts w:ascii="宋体" w:hAnsi="宋体"/>
          <w:bCs/>
          <w:sz w:val="24"/>
          <w:szCs w:val="24"/>
        </w:rPr>
      </w:pPr>
      <w:r>
        <w:rPr>
          <w:rFonts w:hint="eastAsia" w:ascii="宋体" w:hAnsi="宋体"/>
          <w:bCs/>
          <w:sz w:val="24"/>
          <w:szCs w:val="24"/>
        </w:rPr>
        <w:t>中标供应商有责任协助采购方解决硬件设备和软件系统在使用过程中碰到的问题，当需要时，中标供应商仍须对所提供产品本身的固有缺陷和瑕疵承担相应责任。</w:t>
      </w:r>
    </w:p>
    <w:p>
      <w:pPr>
        <w:pStyle w:val="3"/>
        <w:tabs>
          <w:tab w:val="clear" w:pos="993"/>
        </w:tabs>
        <w:ind w:left="0" w:firstLine="482" w:firstLineChars="200"/>
        <w:rPr>
          <w:rFonts w:ascii="宋体" w:hAnsi="宋体" w:eastAsia="宋体"/>
          <w:b/>
          <w:bCs w:val="0"/>
          <w:sz w:val="24"/>
          <w:szCs w:val="24"/>
        </w:rPr>
      </w:pPr>
      <w:bookmarkStart w:id="34" w:name="_Toc425342158"/>
      <w:r>
        <w:rPr>
          <w:rFonts w:hint="eastAsia" w:ascii="宋体" w:hAnsi="宋体" w:eastAsia="宋体"/>
          <w:b/>
          <w:bCs w:val="0"/>
          <w:sz w:val="24"/>
          <w:szCs w:val="24"/>
        </w:rPr>
        <w:t>组织管理要求</w:t>
      </w:r>
      <w:bookmarkEnd w:id="34"/>
    </w:p>
    <w:p>
      <w:pPr>
        <w:spacing w:line="360" w:lineRule="auto"/>
        <w:ind w:firstLine="480" w:firstLineChars="200"/>
        <w:rPr>
          <w:rFonts w:ascii="宋体" w:hAnsi="宋体"/>
          <w:bCs/>
          <w:sz w:val="24"/>
          <w:szCs w:val="24"/>
        </w:rPr>
      </w:pPr>
      <w:r>
        <w:rPr>
          <w:rFonts w:hint="eastAsia" w:ascii="宋体" w:hAnsi="宋体"/>
          <w:bCs/>
          <w:sz w:val="24"/>
          <w:szCs w:val="24"/>
        </w:rPr>
        <w:t>投标人须成立合理的实施团队，建立健全保障项目顺利实施的各项管理制度和质量保证体系。</w:t>
      </w:r>
    </w:p>
    <w:p>
      <w:pPr>
        <w:spacing w:line="360" w:lineRule="auto"/>
        <w:ind w:firstLine="480" w:firstLineChars="200"/>
        <w:rPr>
          <w:rFonts w:ascii="宋体" w:hAnsi="宋体"/>
          <w:bCs/>
          <w:sz w:val="24"/>
          <w:szCs w:val="24"/>
        </w:rPr>
      </w:pPr>
      <w:r>
        <w:rPr>
          <w:rFonts w:hint="eastAsia" w:ascii="宋体" w:hAnsi="宋体"/>
          <w:bCs/>
          <w:sz w:val="24"/>
          <w:szCs w:val="24"/>
        </w:rPr>
        <w:t>投标人须指定专职于本项目的项目经理，配置相应的项目管理、系统分析、设计、开发、测试、集成、培训、质量保证等人员，保证有足够的高素质人员参加本项目的建设，确保工程顺利实施。</w:t>
      </w:r>
    </w:p>
    <w:p>
      <w:pPr>
        <w:spacing w:line="360" w:lineRule="auto"/>
        <w:ind w:firstLine="480" w:firstLineChars="200"/>
        <w:rPr>
          <w:rFonts w:ascii="宋体" w:hAnsi="宋体"/>
          <w:bCs/>
          <w:sz w:val="24"/>
          <w:szCs w:val="24"/>
        </w:rPr>
      </w:pPr>
      <w:r>
        <w:rPr>
          <w:rFonts w:hint="eastAsia" w:ascii="宋体" w:hAnsi="宋体"/>
          <w:bCs/>
          <w:sz w:val="24"/>
          <w:szCs w:val="24"/>
        </w:rPr>
        <w:t>参与本项目的技术人员必须具有软件开发经验，能够与用户进行良好沟通，具备相关产品集成、应用和开发的能力。</w:t>
      </w:r>
    </w:p>
    <w:p>
      <w:pPr>
        <w:spacing w:line="360" w:lineRule="auto"/>
        <w:ind w:firstLine="480" w:firstLineChars="200"/>
        <w:rPr>
          <w:rFonts w:ascii="宋体" w:hAnsi="宋体"/>
          <w:bCs/>
          <w:sz w:val="24"/>
          <w:szCs w:val="24"/>
        </w:rPr>
      </w:pPr>
      <w:r>
        <w:rPr>
          <w:rFonts w:hint="eastAsia" w:ascii="宋体" w:hAnsi="宋体"/>
          <w:bCs/>
          <w:sz w:val="24"/>
          <w:szCs w:val="24"/>
        </w:rPr>
        <w:t>参与本项目的技术人员必须对本平台及业务系统相关业务有所熟悉。</w:t>
      </w:r>
    </w:p>
    <w:p>
      <w:pPr>
        <w:spacing w:line="360" w:lineRule="auto"/>
        <w:ind w:firstLine="480" w:firstLineChars="200"/>
        <w:rPr>
          <w:rFonts w:ascii="宋体" w:hAnsi="宋体"/>
          <w:bCs/>
          <w:sz w:val="24"/>
          <w:szCs w:val="24"/>
        </w:rPr>
      </w:pPr>
      <w:r>
        <w:rPr>
          <w:rFonts w:hint="eastAsia" w:ascii="宋体" w:hAnsi="宋体"/>
          <w:bCs/>
          <w:sz w:val="24"/>
          <w:szCs w:val="24"/>
        </w:rPr>
        <w:t>投标人应对上述内容列出详细人员计划，包括人员姓名、经验、学历和在本项目中的职责分工等。</w:t>
      </w:r>
    </w:p>
    <w:p>
      <w:pPr>
        <w:spacing w:line="360" w:lineRule="auto"/>
        <w:ind w:firstLine="480" w:firstLineChars="200"/>
        <w:rPr>
          <w:rFonts w:ascii="宋体" w:hAnsi="宋体"/>
          <w:bCs/>
          <w:sz w:val="24"/>
          <w:szCs w:val="24"/>
        </w:rPr>
      </w:pPr>
      <w:r>
        <w:rPr>
          <w:rFonts w:hint="eastAsia" w:ascii="宋体" w:hAnsi="宋体"/>
          <w:bCs/>
          <w:sz w:val="24"/>
          <w:szCs w:val="24"/>
        </w:rPr>
        <w:t>投标人应根据项目建设的具体内容和整体工期要求，向采购方提交切实可行的项目工作计划。</w:t>
      </w:r>
    </w:p>
    <w:p>
      <w:pPr>
        <w:pStyle w:val="3"/>
        <w:tabs>
          <w:tab w:val="clear" w:pos="993"/>
        </w:tabs>
        <w:ind w:left="0" w:firstLine="482" w:firstLineChars="200"/>
        <w:rPr>
          <w:rFonts w:ascii="宋体" w:hAnsi="宋体" w:eastAsia="宋体"/>
          <w:b/>
          <w:bCs w:val="0"/>
          <w:sz w:val="24"/>
          <w:szCs w:val="24"/>
        </w:rPr>
      </w:pPr>
      <w:r>
        <w:rPr>
          <w:rFonts w:hint="eastAsia" w:ascii="宋体" w:hAnsi="宋体" w:eastAsia="宋体"/>
          <w:b/>
          <w:bCs w:val="0"/>
          <w:sz w:val="24"/>
          <w:szCs w:val="24"/>
        </w:rPr>
        <w:t>需求变更支持要求</w:t>
      </w:r>
    </w:p>
    <w:p>
      <w:pPr>
        <w:spacing w:line="360" w:lineRule="auto"/>
        <w:ind w:firstLine="480" w:firstLineChars="200"/>
        <w:rPr>
          <w:rFonts w:ascii="宋体" w:hAnsi="宋体"/>
          <w:bCs/>
          <w:sz w:val="24"/>
          <w:szCs w:val="24"/>
        </w:rPr>
      </w:pPr>
      <w:r>
        <w:rPr>
          <w:rFonts w:hint="eastAsia" w:ascii="宋体" w:hAnsi="宋体"/>
          <w:bCs/>
          <w:sz w:val="24"/>
          <w:szCs w:val="24"/>
        </w:rPr>
        <w:t>项目实施过程中，采购方根据实际工作需要，可对建设内容和需求进行适当调整和变更，中标供应商应无条件免费支持。</w:t>
      </w:r>
    </w:p>
    <w:p>
      <w:pPr>
        <w:pStyle w:val="3"/>
        <w:tabs>
          <w:tab w:val="clear" w:pos="993"/>
        </w:tabs>
        <w:ind w:left="0" w:firstLine="482" w:firstLineChars="200"/>
        <w:rPr>
          <w:rFonts w:ascii="宋体" w:hAnsi="宋体" w:eastAsia="宋体"/>
          <w:b/>
          <w:bCs w:val="0"/>
          <w:sz w:val="24"/>
          <w:szCs w:val="24"/>
        </w:rPr>
      </w:pPr>
      <w:r>
        <w:rPr>
          <w:rFonts w:hint="eastAsia" w:ascii="宋体" w:hAnsi="宋体" w:eastAsia="宋体"/>
          <w:b/>
          <w:bCs w:val="0"/>
          <w:sz w:val="24"/>
          <w:szCs w:val="24"/>
        </w:rPr>
        <w:t>项目交付要求</w:t>
      </w:r>
    </w:p>
    <w:p>
      <w:pPr>
        <w:spacing w:line="360" w:lineRule="auto"/>
        <w:ind w:firstLine="480" w:firstLineChars="200"/>
        <w:rPr>
          <w:rFonts w:ascii="宋体" w:hAnsi="宋体"/>
          <w:bCs/>
          <w:sz w:val="24"/>
          <w:szCs w:val="24"/>
        </w:rPr>
      </w:pPr>
      <w:r>
        <w:rPr>
          <w:rFonts w:hint="eastAsia" w:ascii="宋体" w:hAnsi="宋体"/>
          <w:bCs/>
          <w:sz w:val="24"/>
          <w:szCs w:val="24"/>
        </w:rPr>
        <w:t>投标人应在投标文件中提供具体的项目交付说明、交付计划、交付物标准说明等。</w:t>
      </w:r>
    </w:p>
    <w:p>
      <w:pPr>
        <w:spacing w:line="360" w:lineRule="auto"/>
        <w:ind w:firstLine="480" w:firstLineChars="200"/>
        <w:rPr>
          <w:rFonts w:ascii="宋体" w:hAnsi="宋体"/>
          <w:bCs/>
          <w:sz w:val="24"/>
          <w:szCs w:val="24"/>
        </w:rPr>
      </w:pPr>
      <w:r>
        <w:rPr>
          <w:rFonts w:hint="eastAsia" w:ascii="宋体" w:hAnsi="宋体"/>
          <w:bCs/>
          <w:sz w:val="24"/>
          <w:szCs w:val="24"/>
        </w:rPr>
        <w:t>投标人在本平台正式运行前必须提供以光盘为介质的完整的安装系统，包括标准二次开发接口、运行所必须的附加软件、与应用软件有关的电子文档等。</w:t>
      </w:r>
    </w:p>
    <w:p>
      <w:pPr>
        <w:spacing w:line="360" w:lineRule="auto"/>
        <w:ind w:firstLine="480" w:firstLineChars="200"/>
        <w:rPr>
          <w:rFonts w:ascii="宋体" w:hAnsi="宋体"/>
          <w:bCs/>
          <w:sz w:val="24"/>
          <w:szCs w:val="24"/>
        </w:rPr>
      </w:pPr>
      <w:r>
        <w:rPr>
          <w:rFonts w:hint="eastAsia" w:ascii="宋体" w:hAnsi="宋体"/>
          <w:bCs/>
          <w:sz w:val="24"/>
          <w:szCs w:val="24"/>
        </w:rPr>
        <w:t>软件开发过程中，投标人应按照软件开发要求形成全面详尽的技术资料，包括可运行的程序、过程文档以及最终技术文档，以确保技术资料的一致性和完整性，在系统正式运行前提交完整的与应用系统相关的文档。所交付的文档至少包括：系统需求分析、概要设计、详细设计、数据库设计、测试报告、安装说明书、使用说明书/用户手册、系统维护说明书等。各种文档应当以光盘和书面两种形式交付。</w:t>
      </w:r>
    </w:p>
    <w:p>
      <w:pPr>
        <w:spacing w:line="360" w:lineRule="auto"/>
        <w:ind w:firstLine="480" w:firstLineChars="200"/>
        <w:rPr>
          <w:rFonts w:ascii="宋体" w:hAnsi="宋体"/>
          <w:bCs/>
          <w:sz w:val="24"/>
          <w:szCs w:val="24"/>
        </w:rPr>
      </w:pPr>
      <w:r>
        <w:rPr>
          <w:rFonts w:hint="eastAsia" w:ascii="宋体" w:hAnsi="宋体"/>
          <w:bCs/>
          <w:sz w:val="24"/>
          <w:szCs w:val="24"/>
        </w:rPr>
        <w:t>按照建设方要求制作并提供用于培训、宣传和推广的各类材料，包括（不限于）文案、图册、视频影像等内容。</w:t>
      </w:r>
    </w:p>
    <w:p>
      <w:pPr>
        <w:pStyle w:val="3"/>
        <w:tabs>
          <w:tab w:val="clear" w:pos="993"/>
        </w:tabs>
        <w:ind w:left="0" w:firstLine="482" w:firstLineChars="200"/>
        <w:rPr>
          <w:rFonts w:ascii="宋体" w:hAnsi="宋体" w:eastAsia="宋体"/>
          <w:b/>
          <w:bCs w:val="0"/>
          <w:sz w:val="24"/>
          <w:szCs w:val="24"/>
        </w:rPr>
      </w:pPr>
      <w:r>
        <w:rPr>
          <w:rFonts w:hint="eastAsia" w:ascii="宋体" w:hAnsi="宋体" w:eastAsia="宋体"/>
          <w:b/>
          <w:bCs w:val="0"/>
          <w:sz w:val="24"/>
          <w:szCs w:val="24"/>
        </w:rPr>
        <w:t>项目验收要求</w:t>
      </w:r>
    </w:p>
    <w:p>
      <w:pPr>
        <w:spacing w:line="360" w:lineRule="auto"/>
        <w:ind w:firstLine="480" w:firstLineChars="200"/>
        <w:rPr>
          <w:rFonts w:ascii="宋体" w:hAnsi="宋体"/>
          <w:bCs/>
          <w:sz w:val="24"/>
          <w:szCs w:val="24"/>
        </w:rPr>
      </w:pPr>
      <w:r>
        <w:rPr>
          <w:rFonts w:hint="eastAsia" w:ascii="宋体" w:hAnsi="宋体"/>
          <w:bCs/>
          <w:sz w:val="24"/>
          <w:szCs w:val="24"/>
        </w:rPr>
        <w:t>验收方案由采购方最终确定，验收工作由采购人和监理单位共同负责，中标供应商配合。在验收时中标供应商自行组织验收测试用设备、测试所需的测试用例和人员，并在采购人和监理的监查下现场进行测试和验收。</w:t>
      </w:r>
    </w:p>
    <w:p>
      <w:pPr>
        <w:spacing w:line="360" w:lineRule="auto"/>
        <w:ind w:firstLine="480" w:firstLineChars="200"/>
        <w:rPr>
          <w:rFonts w:ascii="宋体" w:hAnsi="宋体"/>
          <w:bCs/>
          <w:sz w:val="24"/>
          <w:szCs w:val="24"/>
        </w:rPr>
      </w:pPr>
      <w:r>
        <w:rPr>
          <w:rFonts w:hint="eastAsia" w:ascii="宋体" w:hAnsi="宋体"/>
          <w:bCs/>
          <w:sz w:val="24"/>
          <w:szCs w:val="24"/>
        </w:rPr>
        <w:t>中标供应商完成项目并通过对项目实施的自我检测后，编制《项目竣工文件》。竣工文件应满足完整性、一致性和可读性要求。</w:t>
      </w:r>
    </w:p>
    <w:p>
      <w:pPr>
        <w:spacing w:line="360" w:lineRule="auto"/>
        <w:ind w:firstLine="480" w:firstLineChars="200"/>
        <w:rPr>
          <w:rFonts w:ascii="宋体" w:hAnsi="宋体"/>
          <w:bCs/>
          <w:sz w:val="24"/>
          <w:szCs w:val="24"/>
        </w:rPr>
      </w:pPr>
      <w:r>
        <w:rPr>
          <w:rFonts w:hint="eastAsia" w:ascii="宋体" w:hAnsi="宋体"/>
          <w:bCs/>
          <w:sz w:val="24"/>
          <w:szCs w:val="24"/>
        </w:rPr>
        <w:t>中标供应商应负责在项目验收前将项目的全部有关产品说明书、安装手册、技术文件、资料、及安装、测试、验收报告等文档汇集成册交付采购人。</w:t>
      </w:r>
    </w:p>
    <w:p>
      <w:pPr>
        <w:spacing w:line="360" w:lineRule="auto"/>
        <w:ind w:firstLine="480" w:firstLineChars="200"/>
        <w:rPr>
          <w:rFonts w:ascii="宋体" w:hAnsi="宋体"/>
          <w:bCs/>
          <w:sz w:val="24"/>
          <w:szCs w:val="24"/>
        </w:rPr>
      </w:pPr>
      <w:r>
        <w:rPr>
          <w:rFonts w:hint="eastAsia" w:ascii="宋体" w:hAnsi="宋体"/>
          <w:bCs/>
          <w:sz w:val="24"/>
          <w:szCs w:val="24"/>
        </w:rPr>
        <w:t>采购方和监理方对《项目竣工文件》会审通过后，通知中标供应商现场验收时间安排。</w:t>
      </w:r>
    </w:p>
    <w:p>
      <w:pPr>
        <w:spacing w:line="360" w:lineRule="auto"/>
        <w:ind w:firstLine="480" w:firstLineChars="200"/>
        <w:rPr>
          <w:rFonts w:ascii="宋体" w:hAnsi="宋体"/>
          <w:bCs/>
          <w:sz w:val="24"/>
          <w:szCs w:val="24"/>
        </w:rPr>
      </w:pPr>
      <w:r>
        <w:rPr>
          <w:rFonts w:hint="eastAsia" w:ascii="宋体" w:hAnsi="宋体"/>
          <w:bCs/>
          <w:sz w:val="24"/>
          <w:szCs w:val="24"/>
        </w:rPr>
        <w:t>现场验收内容包括：《项目竣工文件》一致性检查、系统验收测试等。</w:t>
      </w:r>
    </w:p>
    <w:p>
      <w:pPr>
        <w:pStyle w:val="3"/>
        <w:tabs>
          <w:tab w:val="clear" w:pos="993"/>
        </w:tabs>
        <w:ind w:left="0" w:firstLine="482" w:firstLineChars="200"/>
        <w:rPr>
          <w:rFonts w:ascii="宋体" w:hAnsi="宋体" w:eastAsia="宋体"/>
          <w:b/>
          <w:bCs w:val="0"/>
          <w:sz w:val="24"/>
          <w:szCs w:val="24"/>
        </w:rPr>
      </w:pPr>
      <w:r>
        <w:rPr>
          <w:rFonts w:hint="eastAsia" w:ascii="宋体" w:hAnsi="宋体" w:eastAsia="宋体"/>
          <w:b/>
          <w:bCs w:val="0"/>
          <w:sz w:val="24"/>
          <w:szCs w:val="24"/>
        </w:rPr>
        <w:t>知识产权要求</w:t>
      </w:r>
    </w:p>
    <w:p>
      <w:pPr>
        <w:spacing w:line="360" w:lineRule="auto"/>
        <w:ind w:firstLine="480" w:firstLineChars="200"/>
        <w:rPr>
          <w:rFonts w:ascii="宋体" w:hAnsi="宋体"/>
          <w:bCs/>
          <w:sz w:val="24"/>
          <w:szCs w:val="24"/>
        </w:rPr>
      </w:pPr>
      <w:r>
        <w:rPr>
          <w:rFonts w:hint="eastAsia" w:ascii="宋体" w:hAnsi="宋体"/>
          <w:bCs/>
          <w:sz w:val="24"/>
          <w:szCs w:val="24"/>
        </w:rPr>
        <w:t>中标供应商保证采购方在使用其交付物、服务及其任何部分时不受到第三方关于侵犯专利权、商标权或软件著作权等知识产权的指控。任何第三方如果提出侵权指控，中标供应商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中标供应商为本项目定制开发的软件，与无锡市城市给管理局共享知识产权。</w:t>
      </w:r>
    </w:p>
    <w:p>
      <w:pPr>
        <w:pStyle w:val="3"/>
        <w:tabs>
          <w:tab w:val="clear" w:pos="993"/>
        </w:tabs>
        <w:ind w:left="0" w:firstLine="482" w:firstLineChars="200"/>
        <w:rPr>
          <w:rFonts w:ascii="宋体" w:hAnsi="宋体" w:eastAsia="宋体"/>
          <w:b/>
          <w:bCs w:val="0"/>
          <w:sz w:val="24"/>
          <w:szCs w:val="24"/>
        </w:rPr>
      </w:pPr>
      <w:r>
        <w:rPr>
          <w:rFonts w:hint="eastAsia" w:ascii="宋体" w:hAnsi="宋体" w:eastAsia="宋体"/>
          <w:b/>
          <w:bCs w:val="0"/>
          <w:sz w:val="24"/>
          <w:szCs w:val="24"/>
        </w:rPr>
        <w:t>实施要求</w:t>
      </w:r>
    </w:p>
    <w:p>
      <w:pPr>
        <w:spacing w:line="360" w:lineRule="auto"/>
        <w:ind w:firstLine="482" w:firstLineChars="200"/>
        <w:rPr>
          <w:rFonts w:ascii="宋体" w:hAnsi="宋体"/>
          <w:b/>
          <w:sz w:val="24"/>
          <w:szCs w:val="24"/>
        </w:rPr>
      </w:pPr>
      <w:r>
        <w:rPr>
          <w:rFonts w:hint="eastAsia" w:ascii="宋体" w:hAnsi="宋体"/>
          <w:b/>
          <w:sz w:val="24"/>
          <w:szCs w:val="24"/>
        </w:rPr>
        <w:t>（1）工期要求</w:t>
      </w:r>
    </w:p>
    <w:p>
      <w:pPr>
        <w:spacing w:line="360" w:lineRule="auto"/>
        <w:ind w:firstLine="480" w:firstLineChars="200"/>
        <w:rPr>
          <w:rFonts w:ascii="宋体" w:hAnsi="宋体"/>
          <w:bCs/>
          <w:sz w:val="24"/>
          <w:szCs w:val="24"/>
        </w:rPr>
      </w:pPr>
      <w:r>
        <w:rPr>
          <w:rFonts w:ascii="宋体" w:hAnsi="宋体"/>
          <w:bCs/>
          <w:sz w:val="24"/>
          <w:szCs w:val="24"/>
        </w:rPr>
        <w:t>本期项目建设期为24个月，从项目招标结束，与中标单位订立合同起计算。</w:t>
      </w:r>
    </w:p>
    <w:p>
      <w:pPr>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第</w:t>
      </w:r>
      <w:r>
        <w:rPr>
          <w:rFonts w:hint="eastAsia" w:ascii="宋体" w:hAnsi="宋体"/>
          <w:bCs/>
          <w:sz w:val="24"/>
          <w:szCs w:val="24"/>
        </w:rPr>
        <w:t>一</w:t>
      </w:r>
      <w:r>
        <w:rPr>
          <w:rFonts w:ascii="宋体" w:hAnsi="宋体"/>
          <w:bCs/>
          <w:sz w:val="24"/>
          <w:szCs w:val="24"/>
        </w:rPr>
        <w:t>阶段（招标完成起算18个月）</w:t>
      </w:r>
    </w:p>
    <w:p>
      <w:pPr>
        <w:spacing w:line="360" w:lineRule="auto"/>
        <w:ind w:firstLine="480" w:firstLineChars="200"/>
        <w:rPr>
          <w:rFonts w:ascii="宋体" w:hAnsi="宋体"/>
          <w:bCs/>
          <w:sz w:val="24"/>
          <w:szCs w:val="24"/>
        </w:rPr>
      </w:pPr>
      <w:r>
        <w:rPr>
          <w:rFonts w:ascii="宋体" w:hAnsi="宋体"/>
          <w:bCs/>
          <w:sz w:val="24"/>
          <w:szCs w:val="24"/>
        </w:rPr>
        <w:t>完成系统需求调研、需求分析、系统建设、系统部署、系统测试等工作，其中：</w:t>
      </w:r>
    </w:p>
    <w:p>
      <w:pPr>
        <w:spacing w:line="360" w:lineRule="auto"/>
        <w:ind w:firstLine="480" w:firstLineChars="200"/>
        <w:rPr>
          <w:rFonts w:ascii="宋体" w:hAnsi="宋体"/>
          <w:bCs/>
          <w:sz w:val="24"/>
          <w:szCs w:val="24"/>
        </w:rPr>
      </w:pPr>
      <w:r>
        <w:rPr>
          <w:rFonts w:ascii="宋体" w:hAnsi="宋体"/>
          <w:bCs/>
          <w:sz w:val="24"/>
          <w:szCs w:val="24"/>
        </w:rPr>
        <w:t>招标完成后12个月完成指挥协调系统、城市管理公众服务系统、运行监测系统、应用维护系统建设；</w:t>
      </w:r>
    </w:p>
    <w:p>
      <w:pPr>
        <w:spacing w:line="360" w:lineRule="auto"/>
        <w:ind w:firstLine="480" w:firstLineChars="200"/>
        <w:rPr>
          <w:rFonts w:ascii="宋体" w:hAnsi="宋体"/>
          <w:bCs/>
          <w:sz w:val="24"/>
          <w:szCs w:val="24"/>
        </w:rPr>
      </w:pPr>
      <w:r>
        <w:rPr>
          <w:rFonts w:ascii="宋体" w:hAnsi="宋体"/>
          <w:bCs/>
          <w:sz w:val="24"/>
          <w:szCs w:val="24"/>
        </w:rPr>
        <w:t>招标完成后18个月完成行业应用系统、城市管理综合评价系统、决策建议系统、数据汇聚系统以及基础环境保障建设。</w:t>
      </w:r>
    </w:p>
    <w:p>
      <w:pPr>
        <w:spacing w:line="360" w:lineRule="auto"/>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第</w:t>
      </w:r>
      <w:r>
        <w:rPr>
          <w:rFonts w:hint="eastAsia" w:ascii="宋体" w:hAnsi="宋体"/>
          <w:bCs/>
          <w:sz w:val="24"/>
          <w:szCs w:val="24"/>
        </w:rPr>
        <w:t>二</w:t>
      </w:r>
      <w:r>
        <w:rPr>
          <w:rFonts w:ascii="宋体" w:hAnsi="宋体"/>
          <w:bCs/>
          <w:sz w:val="24"/>
          <w:szCs w:val="24"/>
        </w:rPr>
        <w:t>阶段（系统开发完成起算6个月）</w:t>
      </w:r>
    </w:p>
    <w:p>
      <w:pPr>
        <w:spacing w:line="360" w:lineRule="auto"/>
        <w:ind w:firstLine="480" w:firstLineChars="200"/>
        <w:rPr>
          <w:rFonts w:ascii="宋体" w:hAnsi="宋体"/>
          <w:bCs/>
          <w:sz w:val="24"/>
          <w:szCs w:val="24"/>
        </w:rPr>
      </w:pPr>
      <w:r>
        <w:rPr>
          <w:rFonts w:ascii="宋体" w:hAnsi="宋体"/>
          <w:bCs/>
          <w:sz w:val="24"/>
          <w:szCs w:val="24"/>
        </w:rPr>
        <w:t>系统上线试运行，完善优化。</w:t>
      </w:r>
    </w:p>
    <w:p>
      <w:pPr>
        <w:spacing w:line="360" w:lineRule="auto"/>
        <w:ind w:firstLine="482" w:firstLineChars="200"/>
        <w:rPr>
          <w:rFonts w:ascii="宋体" w:hAnsi="宋体"/>
          <w:b/>
          <w:sz w:val="24"/>
          <w:szCs w:val="24"/>
        </w:rPr>
      </w:pPr>
      <w:r>
        <w:rPr>
          <w:rFonts w:hint="eastAsia" w:ascii="宋体" w:hAnsi="宋体"/>
          <w:b/>
          <w:sz w:val="24"/>
          <w:szCs w:val="24"/>
        </w:rPr>
        <w:t>（2）人员要求</w:t>
      </w:r>
    </w:p>
    <w:p>
      <w:pPr>
        <w:spacing w:line="360" w:lineRule="auto"/>
        <w:ind w:firstLine="480" w:firstLineChars="200"/>
        <w:rPr>
          <w:rFonts w:ascii="宋体" w:hAnsi="宋体"/>
          <w:bCs/>
          <w:sz w:val="24"/>
          <w:szCs w:val="24"/>
        </w:rPr>
      </w:pPr>
      <w:r>
        <w:rPr>
          <w:rFonts w:hint="eastAsia" w:ascii="宋体" w:hAnsi="宋体"/>
          <w:bCs/>
          <w:sz w:val="24"/>
          <w:szCs w:val="24"/>
        </w:rPr>
        <w:t>项目经理全程驻场管理实施项目，在合同期内，项目经理、项目技术负责人要专职服务于本项目。任职开始至合同执行完止，履行在合同内应尽的职责。若在合同期内，项目经理从事与本项目无关的工作或进行以上职责以外的工作，将被视为违约。</w:t>
      </w:r>
    </w:p>
    <w:p>
      <w:pPr>
        <w:spacing w:line="360" w:lineRule="auto"/>
        <w:ind w:firstLine="482" w:firstLineChars="200"/>
        <w:rPr>
          <w:rFonts w:ascii="宋体" w:hAnsi="宋体"/>
          <w:b/>
          <w:sz w:val="24"/>
          <w:szCs w:val="24"/>
        </w:rPr>
      </w:pPr>
      <w:r>
        <w:rPr>
          <w:rFonts w:hint="eastAsia" w:ascii="宋体" w:hAnsi="宋体"/>
          <w:b/>
          <w:sz w:val="24"/>
          <w:szCs w:val="24"/>
        </w:rPr>
        <w:t>（3）培训要求</w:t>
      </w:r>
    </w:p>
    <w:p>
      <w:pPr>
        <w:spacing w:line="360" w:lineRule="auto"/>
        <w:ind w:firstLine="480" w:firstLineChars="200"/>
        <w:rPr>
          <w:rFonts w:ascii="宋体" w:hAnsi="宋体"/>
          <w:bCs/>
          <w:sz w:val="24"/>
          <w:szCs w:val="24"/>
        </w:rPr>
      </w:pPr>
      <w:r>
        <w:rPr>
          <w:rFonts w:hint="eastAsia" w:ascii="宋体" w:hAnsi="宋体"/>
          <w:bCs/>
          <w:sz w:val="24"/>
          <w:szCs w:val="24"/>
        </w:rPr>
        <w:t>中标供应商应针对业务人员培训、管理维护人员制定详细的培训计划。明确各项课程内容、参与人员、教材准备、培训教师等。</w:t>
      </w:r>
    </w:p>
    <w:p>
      <w:pPr>
        <w:spacing w:line="360" w:lineRule="auto"/>
        <w:ind w:firstLine="480" w:firstLineChars="200"/>
        <w:rPr>
          <w:rFonts w:ascii="宋体" w:hAnsi="宋体"/>
          <w:bCs/>
          <w:sz w:val="24"/>
          <w:szCs w:val="24"/>
        </w:rPr>
      </w:pPr>
      <w:r>
        <w:rPr>
          <w:rFonts w:hint="eastAsia" w:ascii="宋体" w:hAnsi="宋体"/>
          <w:bCs/>
          <w:sz w:val="24"/>
          <w:szCs w:val="24"/>
        </w:rPr>
        <w:t>培训地点，培训日期、参加培训人员、培训地点由采购方组织协调，中标供应商负责配合。</w:t>
      </w:r>
    </w:p>
    <w:p>
      <w:pPr>
        <w:spacing w:line="360" w:lineRule="auto"/>
        <w:ind w:firstLine="482" w:firstLineChars="200"/>
        <w:rPr>
          <w:rFonts w:ascii="宋体" w:hAnsi="宋体"/>
          <w:b/>
          <w:sz w:val="24"/>
          <w:szCs w:val="24"/>
        </w:rPr>
      </w:pPr>
      <w:bookmarkStart w:id="35" w:name="_Toc311731821"/>
      <w:r>
        <w:rPr>
          <w:rFonts w:hint="eastAsia" w:ascii="宋体" w:hAnsi="宋体"/>
          <w:b/>
          <w:sz w:val="24"/>
          <w:szCs w:val="24"/>
        </w:rPr>
        <w:t>（4）文档交付要求</w:t>
      </w:r>
      <w:bookmarkEnd w:id="35"/>
    </w:p>
    <w:p>
      <w:pPr>
        <w:spacing w:line="360" w:lineRule="auto"/>
        <w:ind w:firstLine="480" w:firstLineChars="200"/>
        <w:rPr>
          <w:rFonts w:ascii="宋体" w:hAnsi="宋体"/>
          <w:bCs/>
          <w:sz w:val="24"/>
          <w:szCs w:val="24"/>
        </w:rPr>
      </w:pPr>
      <w:r>
        <w:rPr>
          <w:rFonts w:hint="eastAsia" w:ascii="宋体" w:hAnsi="宋体"/>
          <w:bCs/>
          <w:sz w:val="24"/>
          <w:szCs w:val="24"/>
        </w:rPr>
        <w:t>中标供应商将依照国家有关信息系统建设文档的有关规范，组织对本项目进行验收，验收时中标供应商需提供的文档包括：项目建设方案、投标文件、项目的中标通知书、项目的合同书及合同附件、项目计划书、项目实施方案、调研方案及调研记录、需求规格说明书、数据库设计说明书、各类系统软件、材料的到货验收清单、系统安装实施报告、功能、性能测试方案、测试记录、测试报告、系统安装、配置、维护手册、系统用户手册、系统培训材料、系统培训记录、主机集成方案、网络集成方案、存储集成方案、项目实施周报、初验会议组织材料（签到表、会议议程）、初验报告、系统试运行方案、系统试运行记录、系统试运行报告、项目总结报告、项目用户报告、终验会议组织材料（签到表、会议议程）、终验报告等各项资料。</w:t>
      </w:r>
    </w:p>
    <w:p>
      <w:pPr>
        <w:pStyle w:val="3"/>
        <w:tabs>
          <w:tab w:val="clear" w:pos="993"/>
        </w:tabs>
        <w:ind w:left="0" w:firstLine="482" w:firstLineChars="200"/>
        <w:rPr>
          <w:rFonts w:ascii="宋体" w:hAnsi="宋体" w:eastAsia="宋体"/>
          <w:b/>
          <w:bCs w:val="0"/>
          <w:sz w:val="24"/>
          <w:szCs w:val="24"/>
        </w:rPr>
      </w:pPr>
      <w:r>
        <w:rPr>
          <w:rFonts w:hint="eastAsia" w:ascii="宋体" w:hAnsi="宋体" w:eastAsia="宋体"/>
          <w:b/>
          <w:bCs w:val="0"/>
          <w:sz w:val="24"/>
          <w:szCs w:val="24"/>
        </w:rPr>
        <w:t>售后服务要求</w:t>
      </w:r>
    </w:p>
    <w:p>
      <w:pPr>
        <w:spacing w:line="360" w:lineRule="auto"/>
        <w:ind w:firstLine="480" w:firstLineChars="200"/>
        <w:rPr>
          <w:rFonts w:ascii="宋体" w:hAnsi="宋体"/>
          <w:bCs/>
          <w:sz w:val="24"/>
          <w:szCs w:val="24"/>
        </w:rPr>
      </w:pPr>
      <w:r>
        <w:rPr>
          <w:rFonts w:hint="eastAsia" w:ascii="宋体" w:hAnsi="宋体"/>
          <w:bCs/>
          <w:sz w:val="24"/>
          <w:szCs w:val="24"/>
        </w:rPr>
        <w:t>项目整体免费质保期（服务期）：软、硬件设备试运行</w:t>
      </w:r>
      <w:r>
        <w:rPr>
          <w:rFonts w:ascii="宋体" w:hAnsi="宋体"/>
          <w:bCs/>
          <w:sz w:val="24"/>
          <w:szCs w:val="24"/>
        </w:rPr>
        <w:t>期满</w:t>
      </w:r>
      <w:r>
        <w:rPr>
          <w:rFonts w:hint="eastAsia" w:ascii="宋体" w:hAnsi="宋体"/>
          <w:bCs/>
          <w:sz w:val="24"/>
          <w:szCs w:val="24"/>
        </w:rPr>
        <w:t>，</w:t>
      </w:r>
      <w:r>
        <w:rPr>
          <w:rFonts w:ascii="宋体" w:hAnsi="宋体"/>
          <w:bCs/>
          <w:sz w:val="24"/>
          <w:szCs w:val="24"/>
        </w:rPr>
        <w:t>经</w:t>
      </w:r>
      <w:r>
        <w:rPr>
          <w:rFonts w:hint="eastAsia" w:ascii="宋体" w:hAnsi="宋体"/>
          <w:bCs/>
          <w:sz w:val="24"/>
          <w:szCs w:val="24"/>
        </w:rPr>
        <w:t>采购方和</w:t>
      </w:r>
      <w:r>
        <w:rPr>
          <w:rFonts w:ascii="宋体" w:hAnsi="宋体"/>
          <w:bCs/>
          <w:sz w:val="24"/>
          <w:szCs w:val="24"/>
        </w:rPr>
        <w:t>监理</w:t>
      </w:r>
      <w:r>
        <w:rPr>
          <w:rFonts w:hint="eastAsia" w:ascii="宋体" w:hAnsi="宋体"/>
          <w:bCs/>
          <w:sz w:val="24"/>
          <w:szCs w:val="24"/>
        </w:rPr>
        <w:t>方</w:t>
      </w:r>
      <w:r>
        <w:rPr>
          <w:rFonts w:ascii="宋体" w:hAnsi="宋体"/>
          <w:bCs/>
          <w:sz w:val="24"/>
          <w:szCs w:val="24"/>
        </w:rPr>
        <w:t>确认验收合格后，</w:t>
      </w:r>
      <w:r>
        <w:rPr>
          <w:rFonts w:hint="eastAsia" w:ascii="宋体" w:hAnsi="宋体"/>
          <w:bCs/>
          <w:sz w:val="24"/>
          <w:szCs w:val="24"/>
        </w:rPr>
        <w:t>提供三年原厂免费质保；租赁和服务外包提供2年服务，</w:t>
      </w:r>
      <w:r>
        <w:rPr>
          <w:rFonts w:ascii="宋体" w:hAnsi="宋体"/>
          <w:bCs/>
          <w:sz w:val="24"/>
          <w:szCs w:val="24"/>
        </w:rPr>
        <w:t>其中租赁服务期限按照租赁设备完成安装调试，</w:t>
      </w:r>
      <w:r>
        <w:rPr>
          <w:rFonts w:hint="eastAsia" w:ascii="宋体" w:hAnsi="宋体"/>
          <w:bCs/>
          <w:sz w:val="24"/>
          <w:szCs w:val="24"/>
        </w:rPr>
        <w:t>试运行</w:t>
      </w:r>
      <w:r>
        <w:rPr>
          <w:rFonts w:ascii="宋体" w:hAnsi="宋体"/>
          <w:bCs/>
          <w:sz w:val="24"/>
          <w:szCs w:val="24"/>
        </w:rPr>
        <w:t>期满</w:t>
      </w:r>
      <w:r>
        <w:rPr>
          <w:rFonts w:hint="eastAsia" w:ascii="宋体" w:hAnsi="宋体"/>
          <w:bCs/>
          <w:sz w:val="24"/>
          <w:szCs w:val="24"/>
        </w:rPr>
        <w:t>后，</w:t>
      </w:r>
      <w:r>
        <w:rPr>
          <w:rFonts w:ascii="宋体" w:hAnsi="宋体"/>
          <w:bCs/>
          <w:sz w:val="24"/>
          <w:szCs w:val="24"/>
        </w:rPr>
        <w:t>经</w:t>
      </w:r>
      <w:r>
        <w:rPr>
          <w:rFonts w:hint="eastAsia" w:ascii="宋体" w:hAnsi="宋体"/>
          <w:bCs/>
          <w:sz w:val="24"/>
          <w:szCs w:val="24"/>
        </w:rPr>
        <w:t>采购方</w:t>
      </w:r>
      <w:r>
        <w:rPr>
          <w:rFonts w:ascii="宋体" w:hAnsi="宋体"/>
          <w:bCs/>
          <w:sz w:val="24"/>
          <w:szCs w:val="24"/>
        </w:rPr>
        <w:t>和监理</w:t>
      </w:r>
      <w:r>
        <w:rPr>
          <w:rFonts w:hint="eastAsia" w:ascii="宋体" w:hAnsi="宋体"/>
          <w:bCs/>
          <w:sz w:val="24"/>
          <w:szCs w:val="24"/>
        </w:rPr>
        <w:t>方</w:t>
      </w:r>
      <w:r>
        <w:rPr>
          <w:rFonts w:ascii="宋体" w:hAnsi="宋体"/>
          <w:bCs/>
          <w:sz w:val="24"/>
          <w:szCs w:val="24"/>
        </w:rPr>
        <w:t>确认验收合格后，开始计算租赁期。</w:t>
      </w:r>
    </w:p>
    <w:p>
      <w:pPr>
        <w:spacing w:line="360" w:lineRule="auto"/>
        <w:ind w:firstLine="480" w:firstLineChars="200"/>
        <w:rPr>
          <w:rFonts w:ascii="宋体" w:hAnsi="宋体"/>
          <w:bCs/>
          <w:sz w:val="24"/>
          <w:szCs w:val="24"/>
        </w:rPr>
      </w:pPr>
      <w:r>
        <w:rPr>
          <w:rFonts w:hint="eastAsia" w:ascii="宋体" w:hAnsi="宋体"/>
          <w:bCs/>
          <w:sz w:val="24"/>
          <w:szCs w:val="24"/>
        </w:rPr>
        <w:t>在免费质保期内，驻场</w:t>
      </w:r>
      <w:r>
        <w:rPr>
          <w:rFonts w:ascii="宋体" w:hAnsi="宋体"/>
          <w:bCs/>
          <w:sz w:val="24"/>
          <w:szCs w:val="24"/>
        </w:rPr>
        <w:t>服务人员不少于3名。</w:t>
      </w:r>
    </w:p>
    <w:p>
      <w:pPr>
        <w:spacing w:line="360" w:lineRule="auto"/>
        <w:ind w:firstLine="480" w:firstLineChars="200"/>
        <w:rPr>
          <w:rFonts w:ascii="宋体" w:hAnsi="宋体"/>
          <w:bCs/>
          <w:sz w:val="24"/>
          <w:szCs w:val="24"/>
        </w:rPr>
      </w:pPr>
      <w:r>
        <w:rPr>
          <w:rFonts w:hint="eastAsia" w:ascii="宋体" w:hAnsi="宋体"/>
          <w:bCs/>
          <w:sz w:val="24"/>
          <w:szCs w:val="24"/>
        </w:rPr>
        <w:t>在免费维保期内，中标供应商有责任协助建设单位解决硬件设备和软件系统在使用过程中碰到的问题。在免费质保期外，中标供应商仍须对所提供产品本身的固有缺陷和瑕疵承担相应责任。</w:t>
      </w:r>
    </w:p>
    <w:p>
      <w:pPr>
        <w:spacing w:line="360" w:lineRule="auto"/>
        <w:ind w:firstLine="480" w:firstLineChars="200"/>
        <w:rPr>
          <w:rFonts w:ascii="宋体" w:hAnsi="宋体"/>
          <w:bCs/>
          <w:sz w:val="24"/>
          <w:szCs w:val="24"/>
        </w:rPr>
      </w:pPr>
      <w:r>
        <w:rPr>
          <w:rFonts w:hint="eastAsia" w:ascii="宋体" w:hAnsi="宋体"/>
          <w:bCs/>
          <w:sz w:val="24"/>
          <w:szCs w:val="24"/>
        </w:rPr>
        <w:t>在免费质保期内，免费</w:t>
      </w:r>
      <w:r>
        <w:rPr>
          <w:rFonts w:ascii="宋体" w:hAnsi="宋体"/>
          <w:bCs/>
          <w:sz w:val="24"/>
          <w:szCs w:val="24"/>
        </w:rPr>
        <w:t>按照</w:t>
      </w:r>
      <w:r>
        <w:rPr>
          <w:rFonts w:hint="eastAsia" w:ascii="宋体" w:hAnsi="宋体"/>
          <w:bCs/>
          <w:sz w:val="24"/>
          <w:szCs w:val="24"/>
        </w:rPr>
        <w:t>建设单位要求对各子系统</w:t>
      </w:r>
      <w:r>
        <w:rPr>
          <w:rFonts w:ascii="宋体" w:hAnsi="宋体"/>
          <w:bCs/>
          <w:sz w:val="24"/>
          <w:szCs w:val="24"/>
        </w:rPr>
        <w:t>进行</w:t>
      </w:r>
      <w:r>
        <w:rPr>
          <w:rFonts w:hint="eastAsia" w:ascii="宋体" w:hAnsi="宋体"/>
          <w:bCs/>
          <w:sz w:val="24"/>
          <w:szCs w:val="24"/>
        </w:rPr>
        <w:t>常态化的</w:t>
      </w:r>
      <w:r>
        <w:rPr>
          <w:rFonts w:ascii="宋体" w:hAnsi="宋体"/>
          <w:bCs/>
          <w:sz w:val="24"/>
          <w:szCs w:val="24"/>
        </w:rPr>
        <w:t>调整和优化</w:t>
      </w:r>
      <w:r>
        <w:rPr>
          <w:rFonts w:hint="eastAsia" w:ascii="宋体" w:hAnsi="宋体"/>
          <w:bCs/>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在免费质保期内，免费按照采购方</w:t>
      </w:r>
      <w:r>
        <w:rPr>
          <w:rFonts w:ascii="宋体" w:hAnsi="宋体"/>
          <w:bCs/>
          <w:sz w:val="24"/>
          <w:szCs w:val="24"/>
        </w:rPr>
        <w:t>要求制作并提供</w:t>
      </w:r>
      <w:r>
        <w:rPr>
          <w:rFonts w:hint="eastAsia" w:ascii="宋体" w:hAnsi="宋体"/>
          <w:bCs/>
          <w:sz w:val="24"/>
          <w:szCs w:val="24"/>
        </w:rPr>
        <w:t>用于</w:t>
      </w:r>
      <w:r>
        <w:rPr>
          <w:rFonts w:ascii="宋体" w:hAnsi="宋体"/>
          <w:bCs/>
          <w:sz w:val="24"/>
          <w:szCs w:val="24"/>
        </w:rPr>
        <w:t>培训</w:t>
      </w:r>
      <w:r>
        <w:rPr>
          <w:rFonts w:hint="eastAsia" w:ascii="宋体" w:hAnsi="宋体"/>
          <w:bCs/>
          <w:sz w:val="24"/>
          <w:szCs w:val="24"/>
        </w:rPr>
        <w:t>、</w:t>
      </w:r>
      <w:r>
        <w:rPr>
          <w:rFonts w:ascii="宋体" w:hAnsi="宋体"/>
          <w:bCs/>
          <w:sz w:val="24"/>
          <w:szCs w:val="24"/>
        </w:rPr>
        <w:t>宣传和推广的各类材料，</w:t>
      </w:r>
      <w:r>
        <w:rPr>
          <w:rFonts w:hint="eastAsia" w:ascii="宋体" w:hAnsi="宋体"/>
          <w:bCs/>
          <w:sz w:val="24"/>
          <w:szCs w:val="24"/>
        </w:rPr>
        <w:t>包括（</w:t>
      </w:r>
      <w:r>
        <w:rPr>
          <w:rFonts w:ascii="宋体" w:hAnsi="宋体"/>
          <w:bCs/>
          <w:sz w:val="24"/>
          <w:szCs w:val="24"/>
        </w:rPr>
        <w:t>不限于</w:t>
      </w:r>
      <w:r>
        <w:rPr>
          <w:rFonts w:hint="eastAsia" w:ascii="宋体" w:hAnsi="宋体"/>
          <w:bCs/>
          <w:sz w:val="24"/>
          <w:szCs w:val="24"/>
        </w:rPr>
        <w:t>）</w:t>
      </w:r>
      <w:r>
        <w:rPr>
          <w:rFonts w:ascii="宋体" w:hAnsi="宋体"/>
          <w:bCs/>
          <w:sz w:val="24"/>
          <w:szCs w:val="24"/>
        </w:rPr>
        <w:t>文案、图册、视频影像等</w:t>
      </w:r>
      <w:r>
        <w:rPr>
          <w:rFonts w:hint="eastAsia" w:ascii="宋体" w:hAnsi="宋体"/>
          <w:bCs/>
          <w:sz w:val="24"/>
          <w:szCs w:val="24"/>
        </w:rPr>
        <w:t>内容。</w:t>
      </w:r>
    </w:p>
    <w:p>
      <w:pPr>
        <w:spacing w:line="360" w:lineRule="auto"/>
        <w:ind w:firstLine="480" w:firstLineChars="200"/>
        <w:rPr>
          <w:rFonts w:ascii="宋体" w:hAnsi="宋体"/>
          <w:bCs/>
          <w:sz w:val="24"/>
          <w:szCs w:val="24"/>
        </w:rPr>
      </w:pPr>
      <w:r>
        <w:rPr>
          <w:rFonts w:hint="eastAsia" w:ascii="宋体" w:hAnsi="宋体"/>
          <w:bCs/>
          <w:sz w:val="24"/>
          <w:szCs w:val="24"/>
        </w:rPr>
        <w:t>在项目建设及运行的全部过程中，中标供应商必须为采购方提供技术服务热线（7*24小时），负责解答采购方在使用中遇到的问题，并及时提出解决问题的建议和操作方法。技术服务热线支持应是中文服务。</w:t>
      </w:r>
    </w:p>
    <w:p>
      <w:pPr>
        <w:spacing w:line="360" w:lineRule="auto"/>
        <w:ind w:firstLine="480" w:firstLineChars="200"/>
        <w:rPr>
          <w:rFonts w:ascii="宋体" w:hAnsi="宋体"/>
          <w:bCs/>
          <w:sz w:val="24"/>
          <w:szCs w:val="24"/>
        </w:rPr>
      </w:pPr>
      <w:r>
        <w:rPr>
          <w:rFonts w:hint="eastAsia" w:ascii="宋体" w:hAnsi="宋体"/>
          <w:bCs/>
          <w:sz w:val="24"/>
          <w:szCs w:val="24"/>
        </w:rPr>
        <w:t>一般性服务要求，服务内容包含但不限于以下内容：</w:t>
      </w:r>
    </w:p>
    <w:p>
      <w:pPr>
        <w:numPr>
          <w:ilvl w:val="0"/>
          <w:numId w:val="2"/>
        </w:numPr>
        <w:spacing w:line="360" w:lineRule="auto"/>
        <w:rPr>
          <w:rFonts w:ascii="宋体" w:hAnsi="宋体" w:cstheme="majorHAnsi"/>
          <w:sz w:val="24"/>
          <w:szCs w:val="24"/>
        </w:rPr>
      </w:pPr>
      <w:r>
        <w:rPr>
          <w:rFonts w:hint="eastAsia" w:ascii="宋体" w:hAnsi="宋体" w:cstheme="majorHAnsi"/>
          <w:sz w:val="24"/>
          <w:szCs w:val="24"/>
        </w:rPr>
        <w:t>缺陷管理：针对本次招标的各类系统中存在的bug、缺陷，不论在免费质保期内外，中标供应商均应持续提供修正与消缺服务。及时对各个应用服务的软件bug进行修补，针对服务器（中间件）的运行日志进行归档整理和分析工作，为系统优化提供第一手资料，并及时对各个应用服务的漏洞进行修补。</w:t>
      </w:r>
    </w:p>
    <w:p>
      <w:pPr>
        <w:numPr>
          <w:ilvl w:val="0"/>
          <w:numId w:val="2"/>
        </w:numPr>
        <w:spacing w:line="360" w:lineRule="auto"/>
        <w:rPr>
          <w:rFonts w:ascii="宋体" w:hAnsi="宋体" w:cstheme="majorHAnsi"/>
          <w:sz w:val="24"/>
          <w:szCs w:val="24"/>
        </w:rPr>
      </w:pPr>
      <w:r>
        <w:rPr>
          <w:rFonts w:hint="eastAsia" w:ascii="宋体" w:hAnsi="宋体" w:cstheme="majorHAnsi"/>
          <w:sz w:val="24"/>
          <w:szCs w:val="24"/>
        </w:rPr>
        <w:t>按照采购方要求及时对系统进行调整和优化。</w:t>
      </w:r>
    </w:p>
    <w:p>
      <w:pPr>
        <w:numPr>
          <w:ilvl w:val="0"/>
          <w:numId w:val="2"/>
        </w:numPr>
        <w:spacing w:line="360" w:lineRule="auto"/>
        <w:rPr>
          <w:rFonts w:ascii="宋体" w:hAnsi="宋体" w:cstheme="majorHAnsi"/>
          <w:sz w:val="24"/>
          <w:szCs w:val="24"/>
        </w:rPr>
      </w:pPr>
      <w:r>
        <w:rPr>
          <w:rFonts w:hint="eastAsia" w:ascii="宋体" w:hAnsi="宋体" w:cstheme="majorHAnsi"/>
          <w:sz w:val="24"/>
          <w:szCs w:val="24"/>
        </w:rPr>
        <w:t>按照采购方要求及时制作并提供用于培训、宣传和推广的文案、图册、视频影像等各类材料。</w:t>
      </w:r>
    </w:p>
    <w:p>
      <w:pPr>
        <w:numPr>
          <w:ilvl w:val="0"/>
          <w:numId w:val="2"/>
        </w:numPr>
        <w:spacing w:line="360" w:lineRule="auto"/>
        <w:rPr>
          <w:rFonts w:ascii="宋体" w:hAnsi="宋体" w:cstheme="majorHAnsi"/>
          <w:sz w:val="24"/>
          <w:szCs w:val="24"/>
        </w:rPr>
      </w:pPr>
      <w:r>
        <w:rPr>
          <w:rFonts w:hint="eastAsia" w:ascii="宋体" w:hAnsi="宋体" w:cstheme="majorHAnsi"/>
          <w:sz w:val="24"/>
          <w:szCs w:val="24"/>
        </w:rPr>
        <w:t>中标供应商接到服务请求后，应保证在2小时内及时响应并提供服务，6小时内解决故障并恢复正常运行。对于重大事故或采购方需求的重要事件，应保证1小时内到达现场服务。</w:t>
      </w:r>
    </w:p>
    <w:p>
      <w:pPr>
        <w:numPr>
          <w:ilvl w:val="0"/>
          <w:numId w:val="2"/>
        </w:numPr>
        <w:spacing w:line="360" w:lineRule="auto"/>
        <w:rPr>
          <w:rFonts w:ascii="宋体" w:hAnsi="宋体" w:cstheme="majorHAnsi"/>
          <w:sz w:val="24"/>
          <w:szCs w:val="24"/>
        </w:rPr>
      </w:pPr>
      <w:r>
        <w:rPr>
          <w:rFonts w:hint="eastAsia" w:ascii="宋体" w:hAnsi="宋体" w:cstheme="majorHAnsi"/>
          <w:sz w:val="24"/>
          <w:szCs w:val="24"/>
        </w:rPr>
        <w:t>应急故障处理：系统运行环境出现故障或意外情况导致系统不能正常运行时，投标单位应做到7*24小时响应。</w:t>
      </w:r>
    </w:p>
    <w:p>
      <w:pPr>
        <w:numPr>
          <w:ilvl w:val="0"/>
          <w:numId w:val="2"/>
        </w:numPr>
        <w:spacing w:line="360" w:lineRule="auto"/>
        <w:rPr>
          <w:rFonts w:ascii="宋体" w:hAnsi="宋体" w:cstheme="majorHAnsi"/>
          <w:sz w:val="24"/>
          <w:szCs w:val="24"/>
        </w:rPr>
      </w:pPr>
      <w:r>
        <w:rPr>
          <w:rFonts w:hint="eastAsia" w:ascii="宋体" w:hAnsi="宋体" w:cstheme="majorHAnsi"/>
          <w:sz w:val="24"/>
          <w:szCs w:val="24"/>
        </w:rPr>
        <w:t>系统升级：提供应用平台的软件补丁版本的升级服务。</w:t>
      </w:r>
    </w:p>
    <w:p>
      <w:pPr>
        <w:numPr>
          <w:ilvl w:val="0"/>
          <w:numId w:val="2"/>
        </w:numPr>
        <w:spacing w:line="360" w:lineRule="auto"/>
        <w:rPr>
          <w:rFonts w:ascii="宋体" w:hAnsi="宋体" w:cstheme="majorHAnsi"/>
          <w:sz w:val="24"/>
          <w:szCs w:val="24"/>
        </w:rPr>
      </w:pPr>
      <w:r>
        <w:rPr>
          <w:rFonts w:hint="eastAsia" w:ascii="宋体" w:hAnsi="宋体" w:cstheme="majorHAnsi"/>
          <w:sz w:val="24"/>
          <w:szCs w:val="24"/>
        </w:rPr>
        <w:t>需求变更：提供因采购方业务规则的变化导致的功能需求变更和性能要求提升导致的部署结构变化相关服务。</w:t>
      </w:r>
    </w:p>
    <w:p>
      <w:pPr>
        <w:numPr>
          <w:ilvl w:val="0"/>
          <w:numId w:val="2"/>
        </w:numPr>
        <w:spacing w:line="360" w:lineRule="auto"/>
        <w:rPr>
          <w:rFonts w:ascii="宋体" w:hAnsi="宋体" w:cstheme="majorHAnsi"/>
          <w:sz w:val="24"/>
          <w:szCs w:val="24"/>
        </w:rPr>
      </w:pPr>
      <w:r>
        <w:rPr>
          <w:rFonts w:hint="eastAsia" w:ascii="宋体" w:hAnsi="宋体" w:cstheme="majorHAnsi"/>
          <w:sz w:val="24"/>
          <w:szCs w:val="24"/>
        </w:rPr>
        <w:t>文档服务：整个服务过程均需有完善的文档记录，便于跟踪、分析问题；对各项服务提供详细的书面报告，包括故障处理报告、维护总表报告、服务年度报告等。</w:t>
      </w:r>
    </w:p>
    <w:p>
      <w:pPr>
        <w:numPr>
          <w:ilvl w:val="0"/>
          <w:numId w:val="2"/>
        </w:numPr>
        <w:spacing w:line="360" w:lineRule="auto"/>
        <w:rPr>
          <w:rFonts w:ascii="宋体" w:hAnsi="宋体" w:cstheme="majorHAnsi"/>
          <w:sz w:val="24"/>
          <w:szCs w:val="24"/>
        </w:rPr>
      </w:pPr>
      <w:r>
        <w:rPr>
          <w:rFonts w:hint="eastAsia" w:ascii="宋体" w:hAnsi="宋体" w:cstheme="majorHAnsi"/>
          <w:sz w:val="24"/>
          <w:szCs w:val="24"/>
        </w:rPr>
        <w:t>运行支持：对系统运行过程中用户及业务部门的问题提供解答和问题解决跟踪、现场保障。</w:t>
      </w:r>
    </w:p>
    <w:p>
      <w:pPr>
        <w:numPr>
          <w:ilvl w:val="0"/>
          <w:numId w:val="2"/>
        </w:numPr>
        <w:tabs>
          <w:tab w:val="left" w:pos="993"/>
          <w:tab w:val="clear" w:pos="420"/>
        </w:tabs>
        <w:spacing w:line="360" w:lineRule="auto"/>
        <w:rPr>
          <w:rFonts w:ascii="宋体" w:hAnsi="宋体" w:cstheme="majorHAnsi"/>
          <w:sz w:val="24"/>
          <w:szCs w:val="24"/>
        </w:rPr>
      </w:pPr>
      <w:r>
        <w:rPr>
          <w:rFonts w:hint="eastAsia" w:ascii="宋体" w:hAnsi="宋体" w:cstheme="majorHAnsi"/>
          <w:sz w:val="24"/>
          <w:szCs w:val="24"/>
        </w:rPr>
        <w:t>培训服务：中标供应商须提供高水平的使用与管理培训服务。</w:t>
      </w:r>
    </w:p>
    <w:p>
      <w:pPr>
        <w:numPr>
          <w:ilvl w:val="0"/>
          <w:numId w:val="2"/>
        </w:numPr>
        <w:tabs>
          <w:tab w:val="left" w:pos="993"/>
          <w:tab w:val="clear" w:pos="420"/>
        </w:tabs>
        <w:spacing w:line="360" w:lineRule="auto"/>
        <w:ind w:left="851" w:hanging="431"/>
        <w:rPr>
          <w:rFonts w:ascii="宋体" w:hAnsi="宋体" w:cstheme="majorHAnsi"/>
          <w:sz w:val="24"/>
          <w:szCs w:val="24"/>
        </w:rPr>
      </w:pPr>
      <w:r>
        <w:rPr>
          <w:rFonts w:hint="eastAsia" w:ascii="宋体" w:hAnsi="宋体" w:cstheme="majorHAnsi"/>
          <w:sz w:val="24"/>
          <w:szCs w:val="24"/>
        </w:rPr>
        <w:t>系统升级与迁移服务：在免费质保期内因业务调整需要，提供系统的修改和升级服务，因迁移需要，提供系统的迁移服务。</w:t>
      </w:r>
    </w:p>
    <w:p>
      <w:pPr>
        <w:spacing w:line="360" w:lineRule="auto"/>
        <w:ind w:left="845"/>
        <w:rPr>
          <w:rFonts w:asciiTheme="majorHAnsi" w:hAnsiTheme="majorHAnsi" w:cstheme="majorHAnsi"/>
        </w:rPr>
      </w:pPr>
    </w:p>
    <w:p>
      <w:pPr>
        <w:spacing w:line="360" w:lineRule="auto"/>
        <w:rPr>
          <w:rFonts w:ascii="黑体" w:hAnsi="宋体" w:eastAsia="黑体" w:cstheme="minorBidi"/>
          <w:bCs/>
          <w:sz w:val="24"/>
          <w:szCs w:val="24"/>
        </w:rPr>
      </w:pPr>
      <w:r>
        <w:rPr>
          <w:rFonts w:hint="eastAsia" w:ascii="黑体" w:hAnsi="宋体" w:eastAsia="黑体" w:cstheme="minorBidi"/>
          <w:bCs/>
          <w:sz w:val="24"/>
          <w:szCs w:val="24"/>
        </w:rPr>
        <w:t>（二）有关说明</w:t>
      </w:r>
    </w:p>
    <w:p>
      <w:pPr>
        <w:numPr>
          <w:ilvl w:val="1"/>
          <w:numId w:val="3"/>
        </w:numPr>
        <w:tabs>
          <w:tab w:val="left" w:pos="525"/>
          <w:tab w:val="left" w:pos="945"/>
          <w:tab w:val="clear" w:pos="786"/>
        </w:tabs>
        <w:spacing w:line="360" w:lineRule="auto"/>
        <w:ind w:left="0" w:firstLine="525"/>
        <w:rPr>
          <w:rFonts w:ascii="宋体" w:hAnsi="宋体"/>
          <w:bCs/>
          <w:szCs w:val="24"/>
        </w:rPr>
      </w:pPr>
      <w:r>
        <w:rPr>
          <w:rFonts w:hint="eastAsia" w:ascii="宋体" w:hAnsi="宋体"/>
          <w:bCs/>
          <w:sz w:val="24"/>
          <w:szCs w:val="24"/>
        </w:rPr>
        <w:t>投标总报价包括满足本项目要求的所有产品及其配件、包装、运杂、税费、安装调试及服务等从项目中标起到项目正式交付以及免费质保期内所发生的一切费用</w:t>
      </w:r>
      <w:r>
        <w:rPr>
          <w:rFonts w:hint="eastAsia" w:ascii="宋体" w:hAnsi="宋体"/>
          <w:sz w:val="24"/>
        </w:rPr>
        <w:t>。</w:t>
      </w:r>
    </w:p>
    <w:p>
      <w:pPr>
        <w:numPr>
          <w:ilvl w:val="1"/>
          <w:numId w:val="3"/>
        </w:numPr>
        <w:tabs>
          <w:tab w:val="left" w:pos="525"/>
          <w:tab w:val="left" w:pos="945"/>
          <w:tab w:val="clear" w:pos="786"/>
        </w:tabs>
        <w:spacing w:line="360" w:lineRule="auto"/>
        <w:ind w:left="0" w:firstLine="525"/>
        <w:rPr>
          <w:rFonts w:ascii="宋体" w:hAnsi="宋体"/>
          <w:bCs/>
          <w:szCs w:val="24"/>
        </w:rPr>
      </w:pPr>
      <w:r>
        <w:rPr>
          <w:rFonts w:hint="eastAsia" w:ascii="宋体" w:hAnsi="宋体"/>
          <w:bCs/>
          <w:sz w:val="24"/>
          <w:szCs w:val="24"/>
        </w:rPr>
        <w:t>通过中国海关报关验放进入中国境内且产自关境外的产品不在本项目的报价范围。</w:t>
      </w:r>
    </w:p>
    <w:p>
      <w:pPr>
        <w:numPr>
          <w:ilvl w:val="1"/>
          <w:numId w:val="3"/>
        </w:numPr>
        <w:tabs>
          <w:tab w:val="left" w:pos="525"/>
          <w:tab w:val="left" w:pos="945"/>
          <w:tab w:val="clear" w:pos="786"/>
        </w:tabs>
        <w:spacing w:line="360" w:lineRule="auto"/>
        <w:ind w:left="0" w:firstLine="525"/>
        <w:rPr>
          <w:rFonts w:ascii="宋体" w:hAnsi="宋体"/>
          <w:bCs/>
          <w:szCs w:val="24"/>
        </w:rPr>
      </w:pPr>
      <w:r>
        <w:rPr>
          <w:rFonts w:hint="eastAsia" w:ascii="宋体" w:hAnsi="宋体"/>
          <w:bCs/>
          <w:sz w:val="24"/>
          <w:szCs w:val="24"/>
        </w:rPr>
        <w:t>本项目中有信息安全产品的，必须选择经国家认证的信息安全产品，并提供由中国信息安全认证中心（中国网络安全审查技术与认证中心）颁发的有效认证证书复印件。</w:t>
      </w:r>
    </w:p>
    <w:p>
      <w:pPr>
        <w:numPr>
          <w:ilvl w:val="1"/>
          <w:numId w:val="3"/>
        </w:numPr>
        <w:tabs>
          <w:tab w:val="left" w:pos="525"/>
          <w:tab w:val="left" w:pos="945"/>
          <w:tab w:val="clear" w:pos="786"/>
        </w:tabs>
        <w:spacing w:line="360" w:lineRule="auto"/>
        <w:ind w:left="0" w:firstLine="525"/>
        <w:rPr>
          <w:rFonts w:ascii="宋体"/>
          <w:bCs/>
          <w:szCs w:val="24"/>
        </w:rPr>
      </w:pPr>
      <w:r>
        <w:rPr>
          <w:rFonts w:hint="eastAsia" w:ascii="宋体" w:hAnsi="宋体" w:cs="宋体"/>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3"/>
        </w:numPr>
        <w:tabs>
          <w:tab w:val="left" w:pos="525"/>
          <w:tab w:val="left" w:pos="945"/>
          <w:tab w:val="clear" w:pos="786"/>
        </w:tabs>
        <w:spacing w:line="360" w:lineRule="auto"/>
        <w:ind w:left="0" w:firstLine="525"/>
        <w:rPr>
          <w:rFonts w:ascii="宋体" w:hAnsi="宋体" w:cs="宋体"/>
          <w:kern w:val="0"/>
          <w:sz w:val="24"/>
          <w:szCs w:val="24"/>
        </w:rPr>
      </w:pPr>
      <w:r>
        <w:rPr>
          <w:rFonts w:hint="eastAsia" w:ascii="宋体" w:hAnsi="宋体" w:cs="宋体"/>
          <w:kern w:val="0"/>
          <w:sz w:val="24"/>
          <w:szCs w:val="24"/>
        </w:rPr>
        <w:t>完工期：合同签订生效后</w:t>
      </w:r>
      <w:r>
        <w:rPr>
          <w:rFonts w:ascii="宋体" w:hAnsi="宋体" w:cs="宋体"/>
          <w:kern w:val="0"/>
          <w:sz w:val="24"/>
          <w:szCs w:val="24"/>
        </w:rPr>
        <w:t>24</w:t>
      </w:r>
      <w:r>
        <w:rPr>
          <w:rFonts w:hint="eastAsia" w:ascii="宋体" w:hAnsi="宋体" w:cs="宋体"/>
          <w:kern w:val="0"/>
          <w:sz w:val="24"/>
          <w:szCs w:val="24"/>
        </w:rPr>
        <w:t>个月内。</w:t>
      </w:r>
    </w:p>
    <w:p>
      <w:pPr>
        <w:numPr>
          <w:ilvl w:val="1"/>
          <w:numId w:val="3"/>
        </w:numPr>
        <w:tabs>
          <w:tab w:val="left" w:pos="525"/>
          <w:tab w:val="left" w:pos="945"/>
          <w:tab w:val="clear" w:pos="786"/>
        </w:tabs>
        <w:spacing w:line="360" w:lineRule="auto"/>
        <w:ind w:left="0" w:firstLine="525"/>
        <w:rPr>
          <w:rFonts w:ascii="宋体" w:hAnsi="宋体" w:cs="宋体"/>
          <w:kern w:val="0"/>
          <w:sz w:val="24"/>
          <w:szCs w:val="24"/>
        </w:rPr>
      </w:pPr>
      <w:r>
        <w:rPr>
          <w:rFonts w:hint="eastAsia" w:ascii="宋体" w:hAnsi="宋体" w:cs="宋体"/>
          <w:kern w:val="0"/>
          <w:sz w:val="24"/>
          <w:szCs w:val="24"/>
        </w:rPr>
        <w:t>付款方式：合同签订生效、完成项目实施进度编写并得到采购方认可后支付合同总额的10%；剩余款项在建设工期内按照项目建设完成时间节点，定期由中标供应商进行申报，经采购方和监理单位审核通过后，按照当年财政预算批复资金进行支付；系统终验通过且审定完毕后，支付至审定价格总款项的95%，剩余5%款项终验通过后一年支付。（具体比例根据财政预算确定）。付款前投标人需按照审批金额向采购方提供符合采购方要求的发票。逾期提供发票的，采购方有权拒付合同款（系统审定价以采购方确定的金额为准）。</w:t>
      </w:r>
    </w:p>
    <w:p>
      <w:pPr>
        <w:numPr>
          <w:ilvl w:val="1"/>
          <w:numId w:val="3"/>
        </w:numPr>
        <w:tabs>
          <w:tab w:val="left" w:pos="525"/>
          <w:tab w:val="left" w:pos="945"/>
          <w:tab w:val="clear" w:pos="786"/>
        </w:tabs>
        <w:spacing w:line="360" w:lineRule="auto"/>
        <w:ind w:left="0" w:firstLine="525"/>
        <w:rPr>
          <w:rFonts w:ascii="宋体" w:hAnsi="宋体"/>
          <w:bCs/>
          <w:szCs w:val="24"/>
        </w:rPr>
      </w:pPr>
      <w:r>
        <w:rPr>
          <w:rFonts w:hint="eastAsia" w:ascii="宋体" w:hAnsi="宋体"/>
          <w:bCs/>
          <w:sz w:val="24"/>
          <w:szCs w:val="24"/>
        </w:rPr>
        <w:t>投标人必须在满足招标文件要求的基础上进行报价，如有技术偏离请于技术偏离表中说明。</w:t>
      </w:r>
    </w:p>
    <w:p>
      <w:pPr>
        <w:numPr>
          <w:ilvl w:val="1"/>
          <w:numId w:val="3"/>
        </w:numPr>
        <w:tabs>
          <w:tab w:val="left" w:pos="525"/>
          <w:tab w:val="left" w:pos="630"/>
          <w:tab w:val="left" w:pos="735"/>
          <w:tab w:val="left" w:pos="945"/>
          <w:tab w:val="clear" w:pos="786"/>
        </w:tabs>
        <w:spacing w:line="360" w:lineRule="auto"/>
        <w:ind w:left="0" w:firstLine="525"/>
        <w:rPr>
          <w:rFonts w:ascii="宋体" w:hAnsi="宋体"/>
          <w:bCs/>
          <w:szCs w:val="24"/>
        </w:rPr>
      </w:pPr>
      <w:r>
        <w:rPr>
          <w:rFonts w:hint="eastAsia" w:ascii="宋体" w:hAnsi="宋体"/>
          <w:bCs/>
          <w:sz w:val="24"/>
          <w:szCs w:val="24"/>
        </w:rPr>
        <w:t>本项目合同履行地点：具体地点以合同书约定为准。中标供应商必须按采购人要求将本项目中货物送到指定地点</w:t>
      </w:r>
      <w:r>
        <w:rPr>
          <w:rFonts w:ascii="宋体" w:hAnsi="宋体"/>
          <w:bCs/>
          <w:sz w:val="24"/>
          <w:szCs w:val="24"/>
        </w:rPr>
        <w:t>(</w:t>
      </w:r>
      <w:r>
        <w:rPr>
          <w:rFonts w:hint="eastAsia" w:ascii="宋体" w:hAnsi="宋体"/>
          <w:bCs/>
          <w:sz w:val="24"/>
          <w:szCs w:val="24"/>
        </w:rPr>
        <w:t>包括可能的分布范围</w:t>
      </w:r>
      <w:r>
        <w:rPr>
          <w:rFonts w:ascii="宋体" w:hAnsi="宋体"/>
          <w:bCs/>
          <w:sz w:val="24"/>
          <w:szCs w:val="24"/>
        </w:rPr>
        <w:t>)</w:t>
      </w:r>
      <w:r>
        <w:rPr>
          <w:rFonts w:hint="eastAsia" w:ascii="宋体" w:hAnsi="宋体"/>
          <w:bCs/>
          <w:sz w:val="24"/>
          <w:szCs w:val="24"/>
        </w:rPr>
        <w:t>，并分地实施安装调试。</w:t>
      </w:r>
    </w:p>
    <w:p>
      <w:pPr>
        <w:numPr>
          <w:ilvl w:val="1"/>
          <w:numId w:val="3"/>
        </w:numPr>
        <w:tabs>
          <w:tab w:val="left" w:pos="525"/>
          <w:tab w:val="left" w:pos="630"/>
          <w:tab w:val="left" w:pos="735"/>
          <w:tab w:val="left" w:pos="945"/>
          <w:tab w:val="clear" w:pos="786"/>
        </w:tabs>
        <w:spacing w:line="360" w:lineRule="auto"/>
        <w:ind w:left="0" w:firstLine="525"/>
        <w:rPr>
          <w:rFonts w:ascii="宋体" w:hAnsi="宋体"/>
          <w:bCs/>
          <w:szCs w:val="24"/>
        </w:rPr>
      </w:pPr>
      <w:r>
        <w:rPr>
          <w:rFonts w:hint="eastAsia" w:ascii="宋体" w:hAnsi="宋体"/>
          <w:bCs/>
          <w:sz w:val="24"/>
          <w:szCs w:val="24"/>
        </w:rPr>
        <w:t>质量及验收：采购人根据国家有关规定、招标文件、中标供应商的投标文件以及合同约定的内容和验收标准进行验收。验收情况作为支付货款的依据。如有质疑，以相关质量技术检验检测机构的检验结果为准，如产生检验费用，则该费用由过失方承担。</w:t>
      </w:r>
    </w:p>
    <w:p>
      <w:pPr>
        <w:numPr>
          <w:ilvl w:val="1"/>
          <w:numId w:val="3"/>
        </w:numPr>
        <w:tabs>
          <w:tab w:val="left" w:pos="525"/>
          <w:tab w:val="left" w:pos="630"/>
          <w:tab w:val="left" w:pos="735"/>
          <w:tab w:val="left" w:pos="945"/>
          <w:tab w:val="clear" w:pos="786"/>
        </w:tabs>
        <w:spacing w:line="360" w:lineRule="auto"/>
        <w:ind w:left="0" w:firstLine="525"/>
        <w:rPr>
          <w:rFonts w:ascii="宋体" w:hAnsi="宋体"/>
          <w:bCs/>
          <w:szCs w:val="24"/>
        </w:rPr>
      </w:pPr>
      <w:r>
        <w:rPr>
          <w:rFonts w:hint="eastAsia" w:ascii="宋体" w:hAnsi="宋体"/>
          <w:bCs/>
          <w:sz w:val="24"/>
        </w:rPr>
        <w:t>根据国家扶持中小企业的有关政策，在我中心组织的采购项目中标的供应商，如需要政府采购信用担保融资，请按锡财购【2013】5号文件执行。</w:t>
      </w:r>
    </w:p>
    <w:p>
      <w:pPr>
        <w:numPr>
          <w:ilvl w:val="1"/>
          <w:numId w:val="3"/>
        </w:numPr>
        <w:tabs>
          <w:tab w:val="left" w:pos="525"/>
          <w:tab w:val="left" w:pos="630"/>
          <w:tab w:val="left" w:pos="735"/>
          <w:tab w:val="left" w:pos="945"/>
          <w:tab w:val="clear" w:pos="786"/>
        </w:tabs>
        <w:spacing w:line="360" w:lineRule="auto"/>
        <w:ind w:left="0" w:firstLine="525"/>
        <w:rPr>
          <w:rFonts w:ascii="宋体" w:hAnsi="宋体"/>
          <w:bCs/>
          <w:szCs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pStyle w:val="44"/>
        <w:spacing w:line="240" w:lineRule="exact"/>
        <w:ind w:firstLineChars="0"/>
        <w:rPr>
          <w:rFonts w:ascii="宋体" w:hAnsi="宋体" w:cs="Calibri"/>
        </w:rPr>
      </w:pPr>
    </w:p>
    <w:p>
      <w:pPr>
        <w:ind w:firstLine="480"/>
        <w:rPr>
          <w:rFonts w:asciiTheme="majorHAnsi" w:hAnsiTheme="majorHAnsi" w:cstheme="majorHAnsi"/>
        </w:rPr>
      </w:pPr>
    </w:p>
    <w:p>
      <w:pPr>
        <w:ind w:firstLine="480"/>
        <w:rPr>
          <w:rFonts w:asciiTheme="majorHAnsi" w:hAnsiTheme="majorHAnsi" w:cstheme="majorHAnsi"/>
        </w:rPr>
      </w:pPr>
    </w:p>
    <w:p>
      <w:pPr>
        <w:tabs>
          <w:tab w:val="left" w:pos="510"/>
          <w:tab w:val="left" w:pos="945"/>
          <w:tab w:val="left" w:pos="1155"/>
        </w:tabs>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0DAC5"/>
    <w:multiLevelType w:val="multilevel"/>
    <w:tmpl w:val="0C90DAC5"/>
    <w:lvl w:ilvl="0" w:tentative="0">
      <w:start w:val="1"/>
      <w:numFmt w:val="decimal"/>
      <w:pStyle w:val="2"/>
      <w:lvlText w:val="%1."/>
      <w:lvlJc w:val="left"/>
      <w:pPr>
        <w:ind w:left="432" w:hanging="432"/>
      </w:pPr>
      <w:rPr>
        <w:rFonts w:hint="eastAsia" w:ascii="仿宋_GB2312" w:eastAsia="仿宋_GB2312"/>
        <w:sz w:val="24"/>
        <w:szCs w:val="24"/>
      </w:rPr>
    </w:lvl>
    <w:lvl w:ilvl="1" w:tentative="0">
      <w:start w:val="1"/>
      <w:numFmt w:val="decimal"/>
      <w:pStyle w:val="3"/>
      <w:suff w:val="space"/>
      <w:lvlText w:val="%1.%2"/>
      <w:lvlJc w:val="left"/>
      <w:pPr>
        <w:ind w:left="1568" w:hanging="575"/>
      </w:pPr>
      <w:rPr>
        <w:rFonts w:hint="default" w:ascii="宋体" w:hAnsi="宋体" w:eastAsia="宋体" w:cs="宋体"/>
      </w:rPr>
    </w:lvl>
    <w:lvl w:ilvl="2" w:tentative="0">
      <w:start w:val="1"/>
      <w:numFmt w:val="decimal"/>
      <w:pStyle w:val="4"/>
      <w:suff w:val="space"/>
      <w:lvlText w:val="%1.%2.%3"/>
      <w:lvlJc w:val="left"/>
      <w:pPr>
        <w:ind w:left="0" w:firstLine="0"/>
      </w:pPr>
      <w:rPr>
        <w:rFonts w:ascii="宋体" w:hAnsi="宋体" w:eastAsia="宋体" w:cs="Times New Roman"/>
        <w:b/>
        <w:bCs w:val="0"/>
        <w:i w:val="0"/>
        <w:iCs w:val="0"/>
        <w:caps w:val="0"/>
        <w:smallCaps w:val="0"/>
        <w:strike w:val="0"/>
        <w:dstrike w:val="0"/>
        <w:outline w:val="0"/>
        <w:shadow w:val="0"/>
        <w:emboss w:val="0"/>
        <w:imprint w:val="0"/>
        <w:vanish w:val="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suff w:val="space"/>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10926BFE"/>
    <w:multiLevelType w:val="multilevel"/>
    <w:tmpl w:val="10926BFE"/>
    <w:lvl w:ilvl="0" w:tentative="0">
      <w:start w:val="1"/>
      <w:numFmt w:val="japaneseCounting"/>
      <w:lvlText w:val="（%1）"/>
      <w:lvlJc w:val="left"/>
      <w:pPr>
        <w:tabs>
          <w:tab w:val="left" w:pos="1080"/>
        </w:tabs>
        <w:ind w:left="1080" w:hanging="1080"/>
      </w:pPr>
      <w:rPr>
        <w:rFonts w:hint="eastAsia"/>
      </w:rPr>
    </w:lvl>
    <w:lvl w:ilvl="1" w:tentative="0">
      <w:start w:val="1"/>
      <w:numFmt w:val="decimal"/>
      <w:lvlText w:val="%2."/>
      <w:lvlJc w:val="left"/>
      <w:pPr>
        <w:tabs>
          <w:tab w:val="left" w:pos="786"/>
        </w:tabs>
        <w:ind w:left="786" w:hanging="360"/>
      </w:pPr>
      <w:rPr>
        <w:rFonts w:hint="eastAsia"/>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221FA2"/>
    <w:multiLevelType w:val="singleLevel"/>
    <w:tmpl w:val="30221FA2"/>
    <w:lvl w:ilvl="0" w:tentative="0">
      <w:start w:val="1"/>
      <w:numFmt w:val="decimal"/>
      <w:lvlText w:val="(%1)"/>
      <w:lvlJc w:val="left"/>
      <w:pPr>
        <w:tabs>
          <w:tab w:val="left" w:pos="420"/>
        </w:tabs>
        <w:ind w:left="84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DRhODBiOWQxOTU3ZTQwYTYxOTkzM2MyNzhmN2EifQ=="/>
  </w:docVars>
  <w:rsids>
    <w:rsidRoot w:val="00932726"/>
    <w:rsid w:val="00003D42"/>
    <w:rsid w:val="000138B3"/>
    <w:rsid w:val="0001707B"/>
    <w:rsid w:val="00044C41"/>
    <w:rsid w:val="00047805"/>
    <w:rsid w:val="0005689C"/>
    <w:rsid w:val="00060615"/>
    <w:rsid w:val="00083C79"/>
    <w:rsid w:val="00092D84"/>
    <w:rsid w:val="0009626E"/>
    <w:rsid w:val="000C3A74"/>
    <w:rsid w:val="000D6598"/>
    <w:rsid w:val="000F0D6F"/>
    <w:rsid w:val="000F18CE"/>
    <w:rsid w:val="001169D5"/>
    <w:rsid w:val="0012620B"/>
    <w:rsid w:val="00126875"/>
    <w:rsid w:val="001C2B3A"/>
    <w:rsid w:val="001D158A"/>
    <w:rsid w:val="001D5A03"/>
    <w:rsid w:val="001D68DD"/>
    <w:rsid w:val="0020610B"/>
    <w:rsid w:val="00221968"/>
    <w:rsid w:val="002275EA"/>
    <w:rsid w:val="00243412"/>
    <w:rsid w:val="00256F60"/>
    <w:rsid w:val="00266AEA"/>
    <w:rsid w:val="002707F4"/>
    <w:rsid w:val="00283EEE"/>
    <w:rsid w:val="002864D4"/>
    <w:rsid w:val="00290F7D"/>
    <w:rsid w:val="00292950"/>
    <w:rsid w:val="002B38EA"/>
    <w:rsid w:val="002B6A54"/>
    <w:rsid w:val="002B7E2F"/>
    <w:rsid w:val="002D3AFB"/>
    <w:rsid w:val="002E473D"/>
    <w:rsid w:val="00315058"/>
    <w:rsid w:val="00322DD8"/>
    <w:rsid w:val="00332A88"/>
    <w:rsid w:val="00340447"/>
    <w:rsid w:val="00346FCD"/>
    <w:rsid w:val="00376C79"/>
    <w:rsid w:val="003B1728"/>
    <w:rsid w:val="003C6101"/>
    <w:rsid w:val="003D415A"/>
    <w:rsid w:val="003F7238"/>
    <w:rsid w:val="003F75F0"/>
    <w:rsid w:val="004167AF"/>
    <w:rsid w:val="0042128E"/>
    <w:rsid w:val="00422DE3"/>
    <w:rsid w:val="00465433"/>
    <w:rsid w:val="00470B6F"/>
    <w:rsid w:val="004832FC"/>
    <w:rsid w:val="00485610"/>
    <w:rsid w:val="0049254E"/>
    <w:rsid w:val="004A4804"/>
    <w:rsid w:val="004B4ACC"/>
    <w:rsid w:val="004B7583"/>
    <w:rsid w:val="004E3D73"/>
    <w:rsid w:val="004F20FA"/>
    <w:rsid w:val="00511D23"/>
    <w:rsid w:val="00516FED"/>
    <w:rsid w:val="00541C0C"/>
    <w:rsid w:val="005454A3"/>
    <w:rsid w:val="00547ED9"/>
    <w:rsid w:val="00550F1B"/>
    <w:rsid w:val="00562413"/>
    <w:rsid w:val="005710A8"/>
    <w:rsid w:val="005A15E8"/>
    <w:rsid w:val="005A3EDB"/>
    <w:rsid w:val="005B5E34"/>
    <w:rsid w:val="005C0541"/>
    <w:rsid w:val="005D46F0"/>
    <w:rsid w:val="006008BF"/>
    <w:rsid w:val="00632B82"/>
    <w:rsid w:val="0063387D"/>
    <w:rsid w:val="00642DA5"/>
    <w:rsid w:val="00650E0C"/>
    <w:rsid w:val="00682CDB"/>
    <w:rsid w:val="00694A8A"/>
    <w:rsid w:val="006A2A73"/>
    <w:rsid w:val="006C5F17"/>
    <w:rsid w:val="006D3FCA"/>
    <w:rsid w:val="006E3349"/>
    <w:rsid w:val="006F49C3"/>
    <w:rsid w:val="00705E0A"/>
    <w:rsid w:val="007249C2"/>
    <w:rsid w:val="00732E36"/>
    <w:rsid w:val="007340EF"/>
    <w:rsid w:val="00745103"/>
    <w:rsid w:val="00746AE2"/>
    <w:rsid w:val="00746E5E"/>
    <w:rsid w:val="007678BA"/>
    <w:rsid w:val="00777F8C"/>
    <w:rsid w:val="007A43CC"/>
    <w:rsid w:val="007A5532"/>
    <w:rsid w:val="007F6610"/>
    <w:rsid w:val="008010FD"/>
    <w:rsid w:val="00803DA4"/>
    <w:rsid w:val="0082503C"/>
    <w:rsid w:val="00834A99"/>
    <w:rsid w:val="00835145"/>
    <w:rsid w:val="00844965"/>
    <w:rsid w:val="00854803"/>
    <w:rsid w:val="00855E12"/>
    <w:rsid w:val="00872333"/>
    <w:rsid w:val="008B1F20"/>
    <w:rsid w:val="008B63EF"/>
    <w:rsid w:val="008C1097"/>
    <w:rsid w:val="008E4306"/>
    <w:rsid w:val="008E7E0A"/>
    <w:rsid w:val="00932726"/>
    <w:rsid w:val="00967CD4"/>
    <w:rsid w:val="009B76AA"/>
    <w:rsid w:val="009C2B69"/>
    <w:rsid w:val="009D3ECF"/>
    <w:rsid w:val="009D509D"/>
    <w:rsid w:val="00A26318"/>
    <w:rsid w:val="00A26FA8"/>
    <w:rsid w:val="00A34161"/>
    <w:rsid w:val="00A40BB1"/>
    <w:rsid w:val="00A676D0"/>
    <w:rsid w:val="00A82875"/>
    <w:rsid w:val="00AA6D70"/>
    <w:rsid w:val="00AE162B"/>
    <w:rsid w:val="00B015B8"/>
    <w:rsid w:val="00B032BC"/>
    <w:rsid w:val="00B57E01"/>
    <w:rsid w:val="00B8151D"/>
    <w:rsid w:val="00B81D56"/>
    <w:rsid w:val="00B81EE0"/>
    <w:rsid w:val="00B864DB"/>
    <w:rsid w:val="00B90F3F"/>
    <w:rsid w:val="00BA153D"/>
    <w:rsid w:val="00BA1F85"/>
    <w:rsid w:val="00BA6C76"/>
    <w:rsid w:val="00BD630C"/>
    <w:rsid w:val="00BD7424"/>
    <w:rsid w:val="00BE260B"/>
    <w:rsid w:val="00BE710E"/>
    <w:rsid w:val="00BF734B"/>
    <w:rsid w:val="00C26D9B"/>
    <w:rsid w:val="00C401B2"/>
    <w:rsid w:val="00C63C50"/>
    <w:rsid w:val="00C8538B"/>
    <w:rsid w:val="00CA3DAB"/>
    <w:rsid w:val="00CA5E19"/>
    <w:rsid w:val="00CB5BF8"/>
    <w:rsid w:val="00CC1AE2"/>
    <w:rsid w:val="00CD470F"/>
    <w:rsid w:val="00D0007E"/>
    <w:rsid w:val="00D043BE"/>
    <w:rsid w:val="00D0465C"/>
    <w:rsid w:val="00D2069E"/>
    <w:rsid w:val="00D27FCD"/>
    <w:rsid w:val="00D34D0F"/>
    <w:rsid w:val="00D53155"/>
    <w:rsid w:val="00D7200B"/>
    <w:rsid w:val="00D81654"/>
    <w:rsid w:val="00D94E28"/>
    <w:rsid w:val="00DD08E2"/>
    <w:rsid w:val="00DE21E3"/>
    <w:rsid w:val="00E27308"/>
    <w:rsid w:val="00E40C68"/>
    <w:rsid w:val="00E83E38"/>
    <w:rsid w:val="00E97ED5"/>
    <w:rsid w:val="00EA6663"/>
    <w:rsid w:val="00EB1165"/>
    <w:rsid w:val="00EC5E7B"/>
    <w:rsid w:val="00ED2664"/>
    <w:rsid w:val="00F10DA4"/>
    <w:rsid w:val="00F13A45"/>
    <w:rsid w:val="00F421C7"/>
    <w:rsid w:val="00F42B45"/>
    <w:rsid w:val="00F54495"/>
    <w:rsid w:val="00F54B87"/>
    <w:rsid w:val="00F6592C"/>
    <w:rsid w:val="00F6669B"/>
    <w:rsid w:val="00F8592F"/>
    <w:rsid w:val="00FB5D6F"/>
    <w:rsid w:val="00FC0EA7"/>
    <w:rsid w:val="00FC3075"/>
    <w:rsid w:val="00FD1BA6"/>
    <w:rsid w:val="00FE6A87"/>
    <w:rsid w:val="354A20B9"/>
    <w:rsid w:val="3C520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0"/>
    <w:pPr>
      <w:keepNext/>
      <w:keepLines/>
      <w:widowControl/>
      <w:numPr>
        <w:ilvl w:val="0"/>
        <w:numId w:val="1"/>
      </w:numPr>
      <w:tabs>
        <w:tab w:val="left" w:pos="480"/>
      </w:tabs>
      <w:spacing w:before="50" w:beforeLines="50" w:after="50" w:afterLines="50" w:line="360" w:lineRule="auto"/>
      <w:jc w:val="left"/>
      <w:outlineLvl w:val="0"/>
    </w:pPr>
    <w:rPr>
      <w:rFonts w:ascii="Times New Roman" w:hAnsi="Times New Roman" w:eastAsia="方正小标宋_GBK"/>
      <w:b/>
      <w:bCs/>
      <w:kern w:val="44"/>
      <w:sz w:val="32"/>
      <w:szCs w:val="28"/>
    </w:rPr>
  </w:style>
  <w:style w:type="paragraph" w:styleId="3">
    <w:name w:val="heading 2"/>
    <w:basedOn w:val="1"/>
    <w:next w:val="1"/>
    <w:link w:val="29"/>
    <w:unhideWhenUsed/>
    <w:qFormat/>
    <w:uiPriority w:val="0"/>
    <w:pPr>
      <w:keepNext/>
      <w:keepLines/>
      <w:numPr>
        <w:ilvl w:val="1"/>
        <w:numId w:val="1"/>
      </w:numPr>
      <w:tabs>
        <w:tab w:val="left" w:pos="0"/>
        <w:tab w:val="left" w:pos="993"/>
      </w:tabs>
      <w:spacing w:line="360" w:lineRule="auto"/>
      <w:contextualSpacing/>
      <w:outlineLvl w:val="1"/>
    </w:pPr>
    <w:rPr>
      <w:rFonts w:ascii="Arial" w:hAnsi="Arial" w:eastAsia="黑体"/>
      <w:bCs/>
      <w:sz w:val="30"/>
      <w:szCs w:val="32"/>
    </w:rPr>
  </w:style>
  <w:style w:type="paragraph" w:styleId="4">
    <w:name w:val="heading 3"/>
    <w:basedOn w:val="1"/>
    <w:next w:val="1"/>
    <w:link w:val="30"/>
    <w:unhideWhenUsed/>
    <w:qFormat/>
    <w:uiPriority w:val="0"/>
    <w:pPr>
      <w:keepNext/>
      <w:keepLines/>
      <w:numPr>
        <w:ilvl w:val="2"/>
        <w:numId w:val="1"/>
      </w:numPr>
      <w:tabs>
        <w:tab w:val="left" w:pos="0"/>
        <w:tab w:val="left" w:pos="420"/>
      </w:tabs>
      <w:spacing w:line="360" w:lineRule="auto"/>
      <w:contextualSpacing/>
      <w:outlineLvl w:val="2"/>
    </w:pPr>
    <w:rPr>
      <w:rFonts w:ascii="黑体" w:hAnsi="黑体" w:eastAsia="黑体"/>
      <w:bCs/>
      <w:sz w:val="28"/>
      <w:szCs w:val="28"/>
    </w:rPr>
  </w:style>
  <w:style w:type="paragraph" w:styleId="5">
    <w:name w:val="heading 4"/>
    <w:basedOn w:val="1"/>
    <w:next w:val="6"/>
    <w:link w:val="31"/>
    <w:unhideWhenUsed/>
    <w:qFormat/>
    <w:uiPriority w:val="0"/>
    <w:pPr>
      <w:keepNext/>
      <w:keepLines/>
      <w:numPr>
        <w:ilvl w:val="3"/>
        <w:numId w:val="1"/>
      </w:numPr>
      <w:tabs>
        <w:tab w:val="left" w:pos="420"/>
      </w:tabs>
      <w:spacing w:line="360" w:lineRule="auto"/>
      <w:contextualSpacing/>
      <w:outlineLvl w:val="3"/>
    </w:pPr>
    <w:rPr>
      <w:rFonts w:ascii="黑体" w:hAnsi="黑体" w:eastAsia="黑体"/>
      <w:bCs/>
      <w:sz w:val="24"/>
      <w:szCs w:val="28"/>
    </w:rPr>
  </w:style>
  <w:style w:type="paragraph" w:styleId="7">
    <w:name w:val="heading 5"/>
    <w:basedOn w:val="1"/>
    <w:next w:val="1"/>
    <w:link w:val="32"/>
    <w:unhideWhenUsed/>
    <w:qFormat/>
    <w:uiPriority w:val="0"/>
    <w:pPr>
      <w:keepNext/>
      <w:keepLines/>
      <w:numPr>
        <w:ilvl w:val="4"/>
        <w:numId w:val="1"/>
      </w:numPr>
      <w:tabs>
        <w:tab w:val="left" w:pos="420"/>
      </w:tabs>
      <w:spacing w:line="360" w:lineRule="auto"/>
      <w:outlineLvl w:val="4"/>
    </w:pPr>
    <w:rPr>
      <w:rFonts w:ascii="方正小标宋_GBK" w:hAnsi="方正小标宋_GBK" w:eastAsia="方正小标宋_GBK"/>
      <w:bCs/>
      <w:sz w:val="24"/>
      <w:szCs w:val="28"/>
    </w:rPr>
  </w:style>
  <w:style w:type="paragraph" w:styleId="8">
    <w:name w:val="heading 6"/>
    <w:basedOn w:val="1"/>
    <w:next w:val="1"/>
    <w:link w:val="33"/>
    <w:semiHidden/>
    <w:unhideWhenUsed/>
    <w:qFormat/>
    <w:uiPriority w:val="0"/>
    <w:pPr>
      <w:keepNext/>
      <w:keepLines/>
      <w:numPr>
        <w:ilvl w:val="5"/>
        <w:numId w:val="1"/>
      </w:numPr>
      <w:spacing w:before="240" w:after="64" w:line="317" w:lineRule="auto"/>
      <w:outlineLvl w:val="5"/>
    </w:pPr>
    <w:rPr>
      <w:rFonts w:ascii="Arial" w:hAnsi="Arial" w:eastAsia="黑体"/>
      <w:b/>
      <w:sz w:val="24"/>
      <w:szCs w:val="21"/>
    </w:rPr>
  </w:style>
  <w:style w:type="paragraph" w:styleId="9">
    <w:name w:val="heading 7"/>
    <w:next w:val="1"/>
    <w:link w:val="34"/>
    <w:semiHidden/>
    <w:unhideWhenUsed/>
    <w:qFormat/>
    <w:uiPriority w:val="0"/>
    <w:pPr>
      <w:keepNext/>
      <w:keepLines/>
      <w:numPr>
        <w:ilvl w:val="6"/>
        <w:numId w:val="1"/>
      </w:numPr>
      <w:tabs>
        <w:tab w:val="left" w:pos="420"/>
      </w:tabs>
      <w:spacing w:before="60" w:after="60" w:line="377" w:lineRule="auto"/>
      <w:jc w:val="both"/>
      <w:outlineLvl w:val="6"/>
    </w:pPr>
    <w:rPr>
      <w:rFonts w:eastAsia="黑体" w:asciiTheme="minorHAnsi" w:hAnsiTheme="minorHAnsi" w:cstheme="minorBidi"/>
      <w:b/>
      <w:bCs/>
      <w:kern w:val="2"/>
      <w:sz w:val="28"/>
      <w:szCs w:val="24"/>
      <w:lang w:val="en-US" w:eastAsia="zh-CN" w:bidi="ar-SA"/>
    </w:rPr>
  </w:style>
  <w:style w:type="paragraph" w:styleId="10">
    <w:name w:val="heading 8"/>
    <w:basedOn w:val="3"/>
    <w:next w:val="11"/>
    <w:link w:val="35"/>
    <w:semiHidden/>
    <w:unhideWhenUsed/>
    <w:qFormat/>
    <w:uiPriority w:val="0"/>
    <w:pPr>
      <w:widowControl/>
      <w:numPr>
        <w:ilvl w:val="7"/>
      </w:numPr>
      <w:tabs>
        <w:tab w:val="left" w:pos="420"/>
        <w:tab w:val="left" w:pos="5415"/>
      </w:tabs>
      <w:spacing w:before="120" w:after="120" w:line="240" w:lineRule="auto"/>
      <w:jc w:val="left"/>
      <w:outlineLvl w:val="7"/>
    </w:pPr>
    <w:rPr>
      <w:rFonts w:ascii="Times New Roman" w:hAnsi="Times New Roman"/>
      <w:b/>
      <w:kern w:val="44"/>
      <w:sz w:val="28"/>
      <w:szCs w:val="28"/>
    </w:rPr>
  </w:style>
  <w:style w:type="paragraph" w:styleId="11">
    <w:name w:val="heading 9"/>
    <w:basedOn w:val="1"/>
    <w:next w:val="1"/>
    <w:link w:val="36"/>
    <w:semiHidden/>
    <w:unhideWhenUsed/>
    <w:qFormat/>
    <w:uiPriority w:val="0"/>
    <w:pPr>
      <w:keepNext/>
      <w:keepLines/>
      <w:numPr>
        <w:ilvl w:val="8"/>
        <w:numId w:val="1"/>
      </w:numPr>
      <w:tabs>
        <w:tab w:val="left" w:pos="2520"/>
      </w:tabs>
      <w:spacing w:before="240" w:after="64" w:line="317" w:lineRule="auto"/>
      <w:outlineLvl w:val="8"/>
    </w:pPr>
    <w:rPr>
      <w:rFonts w:ascii="Arial" w:hAnsi="Arial" w:eastAsia="黑体"/>
      <w:szCs w:val="21"/>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6">
    <w:name w:val="正文2"/>
    <w:basedOn w:val="1"/>
    <w:next w:val="1"/>
    <w:qFormat/>
    <w:uiPriority w:val="0"/>
    <w:pPr>
      <w:spacing w:line="240" w:lineRule="atLeast"/>
    </w:pPr>
    <w:rPr>
      <w:rFonts w:ascii="Times New Roman" w:hAnsi="Times New Roman"/>
      <w:szCs w:val="21"/>
    </w:rPr>
  </w:style>
  <w:style w:type="paragraph" w:styleId="12">
    <w:name w:val="annotation text"/>
    <w:basedOn w:val="1"/>
    <w:link w:val="39"/>
    <w:qFormat/>
    <w:uiPriority w:val="0"/>
    <w:pPr>
      <w:spacing w:line="360" w:lineRule="auto"/>
      <w:jc w:val="left"/>
    </w:pPr>
    <w:rPr>
      <w:rFonts w:ascii="Times New Roman" w:hAnsi="Times New Roman"/>
      <w:sz w:val="24"/>
      <w:szCs w:val="21"/>
    </w:rPr>
  </w:style>
  <w:style w:type="paragraph" w:styleId="13">
    <w:name w:val="Body Text"/>
    <w:basedOn w:val="1"/>
    <w:next w:val="14"/>
    <w:link w:val="40"/>
    <w:qFormat/>
    <w:uiPriority w:val="0"/>
    <w:pPr>
      <w:spacing w:after="120" w:line="360" w:lineRule="auto"/>
    </w:pPr>
    <w:rPr>
      <w:rFonts w:ascii="Times New Roman" w:hAnsi="Times New Roman"/>
      <w:sz w:val="28"/>
      <w:szCs w:val="21"/>
    </w:rPr>
  </w:style>
  <w:style w:type="paragraph" w:styleId="14">
    <w:name w:val="toc 5"/>
    <w:basedOn w:val="1"/>
    <w:next w:val="1"/>
    <w:qFormat/>
    <w:uiPriority w:val="0"/>
    <w:pPr>
      <w:spacing w:line="360" w:lineRule="auto"/>
      <w:ind w:left="1680" w:leftChars="800"/>
    </w:pPr>
    <w:rPr>
      <w:rFonts w:ascii="Times New Roman" w:hAnsi="Times New Roman"/>
      <w:sz w:val="24"/>
      <w:szCs w:val="21"/>
    </w:rPr>
  </w:style>
  <w:style w:type="paragraph" w:styleId="15">
    <w:name w:val="Body Text Indent"/>
    <w:basedOn w:val="1"/>
    <w:link w:val="37"/>
    <w:unhideWhenUsed/>
    <w:qFormat/>
    <w:uiPriority w:val="99"/>
    <w:pPr>
      <w:spacing w:after="120"/>
      <w:ind w:left="420" w:leftChars="200"/>
    </w:pPr>
  </w:style>
  <w:style w:type="paragraph" w:styleId="16">
    <w:name w:val="Plain Text"/>
    <w:basedOn w:val="1"/>
    <w:link w:val="41"/>
    <w:qFormat/>
    <w:uiPriority w:val="0"/>
    <w:pPr>
      <w:spacing w:line="360" w:lineRule="auto"/>
    </w:pPr>
    <w:rPr>
      <w:rFonts w:ascii="宋体" w:hAnsi="Courier New"/>
      <w:sz w:val="24"/>
      <w:szCs w:val="21"/>
    </w:rPr>
  </w:style>
  <w:style w:type="paragraph" w:styleId="17">
    <w:name w:val="footer"/>
    <w:basedOn w:val="1"/>
    <w:link w:val="27"/>
    <w:unhideWhenUsed/>
    <w:qFormat/>
    <w:uiPriority w:val="0"/>
    <w:pPr>
      <w:tabs>
        <w:tab w:val="center" w:pos="4153"/>
        <w:tab w:val="right" w:pos="8306"/>
      </w:tabs>
      <w:snapToGrid w:val="0"/>
      <w:jc w:val="left"/>
    </w:pPr>
    <w:rPr>
      <w:sz w:val="18"/>
      <w:szCs w:val="18"/>
    </w:rPr>
  </w:style>
  <w:style w:type="paragraph" w:styleId="18">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2"/>
    <w:basedOn w:val="1"/>
    <w:next w:val="1"/>
    <w:qFormat/>
    <w:uiPriority w:val="39"/>
    <w:pPr>
      <w:spacing w:line="360" w:lineRule="auto"/>
      <w:ind w:left="210"/>
      <w:jc w:val="left"/>
    </w:pPr>
    <w:rPr>
      <w:rFonts w:ascii="Times New Roman" w:hAnsi="Times New Roman"/>
      <w:smallCaps/>
      <w:sz w:val="24"/>
      <w:szCs w:val="24"/>
    </w:rPr>
  </w:style>
  <w:style w:type="paragraph" w:styleId="20">
    <w:name w:val="Normal (Web)"/>
    <w:basedOn w:val="1"/>
    <w:unhideWhenUsed/>
    <w:qFormat/>
    <w:uiPriority w:val="0"/>
    <w:pPr>
      <w:spacing w:before="100" w:beforeAutospacing="1" w:after="100" w:afterAutospacing="1"/>
    </w:pPr>
    <w:rPr>
      <w:rFonts w:ascii="宋体" w:hAnsi="宋体" w:cs="宋体"/>
      <w:kern w:val="0"/>
      <w:sz w:val="24"/>
      <w:szCs w:val="24"/>
    </w:rPr>
  </w:style>
  <w:style w:type="paragraph" w:styleId="21">
    <w:name w:val="Body Text First Indent 2"/>
    <w:basedOn w:val="15"/>
    <w:link w:val="38"/>
    <w:qFormat/>
    <w:uiPriority w:val="99"/>
    <w:pPr>
      <w:ind w:firstLine="420"/>
    </w:pPr>
    <w:rPr>
      <w:rFonts w:asciiTheme="minorHAnsi" w:hAnsiTheme="minorHAnsi" w:eastAsiaTheme="minorEastAsia"/>
    </w:rPr>
  </w:style>
  <w:style w:type="table" w:styleId="23">
    <w:name w:val="Table Grid"/>
    <w:basedOn w:val="2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annotation reference"/>
    <w:basedOn w:val="24"/>
    <w:qFormat/>
    <w:uiPriority w:val="0"/>
    <w:rPr>
      <w:sz w:val="21"/>
      <w:szCs w:val="21"/>
    </w:rPr>
  </w:style>
  <w:style w:type="character" w:customStyle="1" w:styleId="26">
    <w:name w:val="页眉 Char"/>
    <w:basedOn w:val="24"/>
    <w:link w:val="18"/>
    <w:qFormat/>
    <w:uiPriority w:val="0"/>
    <w:rPr>
      <w:rFonts w:ascii="Calibri" w:hAnsi="Calibri" w:eastAsia="宋体" w:cs="Times New Roman"/>
      <w:sz w:val="18"/>
      <w:szCs w:val="18"/>
    </w:rPr>
  </w:style>
  <w:style w:type="character" w:customStyle="1" w:styleId="27">
    <w:name w:val="页脚 Char"/>
    <w:basedOn w:val="24"/>
    <w:link w:val="17"/>
    <w:qFormat/>
    <w:uiPriority w:val="0"/>
    <w:rPr>
      <w:rFonts w:ascii="Calibri" w:hAnsi="Calibri" w:eastAsia="宋体" w:cs="Times New Roman"/>
      <w:sz w:val="18"/>
      <w:szCs w:val="18"/>
    </w:rPr>
  </w:style>
  <w:style w:type="character" w:customStyle="1" w:styleId="28">
    <w:name w:val="标题 1 Char"/>
    <w:basedOn w:val="24"/>
    <w:link w:val="2"/>
    <w:qFormat/>
    <w:uiPriority w:val="0"/>
    <w:rPr>
      <w:rFonts w:ascii="Times New Roman" w:hAnsi="Times New Roman" w:eastAsia="方正小标宋_GBK" w:cs="Times New Roman"/>
      <w:b/>
      <w:bCs/>
      <w:kern w:val="44"/>
      <w:sz w:val="32"/>
      <w:szCs w:val="28"/>
    </w:rPr>
  </w:style>
  <w:style w:type="character" w:customStyle="1" w:styleId="29">
    <w:name w:val="标题 2 Char"/>
    <w:basedOn w:val="24"/>
    <w:link w:val="3"/>
    <w:qFormat/>
    <w:uiPriority w:val="0"/>
    <w:rPr>
      <w:rFonts w:ascii="Arial" w:hAnsi="Arial" w:eastAsia="黑体" w:cs="Times New Roman"/>
      <w:bCs/>
      <w:sz w:val="30"/>
      <w:szCs w:val="32"/>
    </w:rPr>
  </w:style>
  <w:style w:type="character" w:customStyle="1" w:styleId="30">
    <w:name w:val="标题 3 Char"/>
    <w:basedOn w:val="24"/>
    <w:link w:val="4"/>
    <w:qFormat/>
    <w:uiPriority w:val="0"/>
    <w:rPr>
      <w:rFonts w:ascii="黑体" w:hAnsi="黑体" w:eastAsia="黑体" w:cs="Times New Roman"/>
      <w:bCs/>
      <w:sz w:val="28"/>
      <w:szCs w:val="28"/>
    </w:rPr>
  </w:style>
  <w:style w:type="character" w:customStyle="1" w:styleId="31">
    <w:name w:val="标题 4 Char"/>
    <w:basedOn w:val="24"/>
    <w:link w:val="5"/>
    <w:qFormat/>
    <w:uiPriority w:val="0"/>
    <w:rPr>
      <w:rFonts w:ascii="黑体" w:hAnsi="黑体" w:eastAsia="黑体" w:cs="Times New Roman"/>
      <w:bCs/>
      <w:sz w:val="24"/>
      <w:szCs w:val="28"/>
    </w:rPr>
  </w:style>
  <w:style w:type="character" w:customStyle="1" w:styleId="32">
    <w:name w:val="标题 5 Char"/>
    <w:basedOn w:val="24"/>
    <w:link w:val="7"/>
    <w:qFormat/>
    <w:uiPriority w:val="0"/>
    <w:rPr>
      <w:rFonts w:ascii="方正小标宋_GBK" w:hAnsi="方正小标宋_GBK" w:eastAsia="方正小标宋_GBK" w:cs="Times New Roman"/>
      <w:bCs/>
      <w:sz w:val="24"/>
      <w:szCs w:val="28"/>
    </w:rPr>
  </w:style>
  <w:style w:type="character" w:customStyle="1" w:styleId="33">
    <w:name w:val="标题 6 Char"/>
    <w:basedOn w:val="24"/>
    <w:link w:val="8"/>
    <w:semiHidden/>
    <w:qFormat/>
    <w:uiPriority w:val="0"/>
    <w:rPr>
      <w:rFonts w:ascii="Arial" w:hAnsi="Arial" w:eastAsia="黑体" w:cs="Times New Roman"/>
      <w:b/>
      <w:sz w:val="24"/>
      <w:szCs w:val="21"/>
    </w:rPr>
  </w:style>
  <w:style w:type="character" w:customStyle="1" w:styleId="34">
    <w:name w:val="标题 7 Char"/>
    <w:basedOn w:val="24"/>
    <w:link w:val="9"/>
    <w:semiHidden/>
    <w:qFormat/>
    <w:uiPriority w:val="0"/>
    <w:rPr>
      <w:rFonts w:eastAsia="黑体"/>
      <w:b/>
      <w:bCs/>
      <w:sz w:val="28"/>
      <w:szCs w:val="24"/>
    </w:rPr>
  </w:style>
  <w:style w:type="character" w:customStyle="1" w:styleId="35">
    <w:name w:val="标题 8 Char"/>
    <w:basedOn w:val="24"/>
    <w:link w:val="10"/>
    <w:semiHidden/>
    <w:qFormat/>
    <w:uiPriority w:val="0"/>
    <w:rPr>
      <w:rFonts w:ascii="Times New Roman" w:hAnsi="Times New Roman" w:eastAsia="黑体" w:cs="Times New Roman"/>
      <w:b/>
      <w:bCs/>
      <w:kern w:val="44"/>
      <w:sz w:val="28"/>
      <w:szCs w:val="28"/>
    </w:rPr>
  </w:style>
  <w:style w:type="character" w:customStyle="1" w:styleId="36">
    <w:name w:val="标题 9 Char"/>
    <w:basedOn w:val="24"/>
    <w:link w:val="11"/>
    <w:semiHidden/>
    <w:qFormat/>
    <w:uiPriority w:val="0"/>
    <w:rPr>
      <w:rFonts w:ascii="Arial" w:hAnsi="Arial" w:eastAsia="黑体" w:cs="Times New Roman"/>
      <w:szCs w:val="21"/>
    </w:rPr>
  </w:style>
  <w:style w:type="character" w:customStyle="1" w:styleId="37">
    <w:name w:val="正文文本缩进 Char"/>
    <w:basedOn w:val="24"/>
    <w:link w:val="15"/>
    <w:qFormat/>
    <w:uiPriority w:val="99"/>
    <w:rPr>
      <w:rFonts w:ascii="Calibri" w:hAnsi="Calibri" w:eastAsia="宋体" w:cs="Times New Roman"/>
    </w:rPr>
  </w:style>
  <w:style w:type="character" w:customStyle="1" w:styleId="38">
    <w:name w:val="正文首行缩进 2 Char"/>
    <w:basedOn w:val="37"/>
    <w:link w:val="21"/>
    <w:qFormat/>
    <w:uiPriority w:val="99"/>
    <w:rPr>
      <w:rFonts w:ascii="Calibri" w:hAnsi="Calibri" w:eastAsia="宋体" w:cs="Times New Roman"/>
    </w:rPr>
  </w:style>
  <w:style w:type="character" w:customStyle="1" w:styleId="39">
    <w:name w:val="批注文字 Char"/>
    <w:basedOn w:val="24"/>
    <w:link w:val="12"/>
    <w:qFormat/>
    <w:uiPriority w:val="0"/>
    <w:rPr>
      <w:rFonts w:ascii="Times New Roman" w:hAnsi="Times New Roman" w:eastAsia="宋体" w:cs="Times New Roman"/>
      <w:sz w:val="24"/>
      <w:szCs w:val="21"/>
    </w:rPr>
  </w:style>
  <w:style w:type="character" w:customStyle="1" w:styleId="40">
    <w:name w:val="正文文本 Char"/>
    <w:basedOn w:val="24"/>
    <w:link w:val="13"/>
    <w:qFormat/>
    <w:uiPriority w:val="0"/>
    <w:rPr>
      <w:rFonts w:ascii="Times New Roman" w:hAnsi="Times New Roman" w:eastAsia="宋体" w:cs="Times New Roman"/>
      <w:sz w:val="28"/>
      <w:szCs w:val="21"/>
    </w:rPr>
  </w:style>
  <w:style w:type="character" w:customStyle="1" w:styleId="41">
    <w:name w:val="纯文本 Char"/>
    <w:basedOn w:val="24"/>
    <w:link w:val="16"/>
    <w:uiPriority w:val="0"/>
    <w:rPr>
      <w:rFonts w:ascii="宋体" w:hAnsi="Courier New" w:eastAsia="宋体" w:cs="Times New Roman"/>
      <w:sz w:val="24"/>
      <w:szCs w:val="21"/>
    </w:rPr>
  </w:style>
  <w:style w:type="paragraph" w:customStyle="1" w:styleId="42">
    <w:name w:val="一级目录"/>
    <w:next w:val="1"/>
    <w:qFormat/>
    <w:uiPriority w:val="0"/>
    <w:pPr>
      <w:spacing w:after="100" w:afterLines="100"/>
      <w:jc w:val="center"/>
      <w:outlineLvl w:val="0"/>
    </w:pPr>
    <w:rPr>
      <w:rFonts w:ascii="黑体" w:hAnsi="Times New Roman" w:eastAsia="黑体" w:cs="Times New Roman"/>
      <w:b/>
      <w:kern w:val="2"/>
      <w:sz w:val="44"/>
      <w:szCs w:val="44"/>
      <w:lang w:val="en-US" w:eastAsia="zh-CN" w:bidi="ar-SA"/>
    </w:rPr>
  </w:style>
  <w:style w:type="paragraph" w:customStyle="1" w:styleId="43">
    <w:name w:val="*正文"/>
    <w:basedOn w:val="1"/>
    <w:qFormat/>
    <w:uiPriority w:val="0"/>
    <w:pPr>
      <w:spacing w:line="360" w:lineRule="auto"/>
      <w:ind w:firstLine="200" w:firstLineChars="200"/>
    </w:pPr>
    <w:rPr>
      <w:rFonts w:ascii="仿宋_GB2312"/>
      <w:sz w:val="24"/>
      <w:szCs w:val="28"/>
    </w:rPr>
  </w:style>
  <w:style w:type="paragraph" w:customStyle="1" w:styleId="44">
    <w:name w:val="FUNO正文"/>
    <w:qFormat/>
    <w:uiPriority w:val="99"/>
    <w:pPr>
      <w:spacing w:line="360" w:lineRule="auto"/>
      <w:ind w:firstLine="200" w:firstLineChars="200"/>
      <w:jc w:val="both"/>
    </w:pPr>
    <w:rPr>
      <w:rFonts w:ascii="仿宋_GB2312" w:hAnsi="仿宋_GB2312" w:eastAsia="宋体" w:cs="Times New Roman"/>
      <w:kern w:val="2"/>
      <w:sz w:val="24"/>
      <w:szCs w:val="22"/>
      <w:lang w:val="en-US" w:eastAsia="zh-CN" w:bidi="ar-SA"/>
    </w:rPr>
  </w:style>
  <w:style w:type="paragraph" w:customStyle="1" w:styleId="45">
    <w:name w:val="表格文字"/>
    <w:basedOn w:val="15"/>
    <w:next w:val="13"/>
    <w:qFormat/>
    <w:uiPriority w:val="0"/>
    <w:pPr>
      <w:spacing w:line="360" w:lineRule="auto"/>
      <w:ind w:firstLine="156" w:firstLineChars="74"/>
      <w:jc w:val="center"/>
    </w:pPr>
    <w:rPr>
      <w:rFonts w:ascii="黑体" w:hAnsi="Times New Roman" w:eastAsiaTheme="minorEastAsia"/>
      <w:szCs w:val="21"/>
    </w:rPr>
  </w:style>
  <w:style w:type="paragraph" w:styleId="46">
    <w:name w:val="List Paragraph"/>
    <w:basedOn w:val="1"/>
    <w:qFormat/>
    <w:uiPriority w:val="34"/>
    <w:pPr>
      <w:spacing w:line="360" w:lineRule="auto"/>
      <w:ind w:firstLine="420" w:firstLineChars="200"/>
    </w:pPr>
    <w:rPr>
      <w:rFonts w:ascii="Times New Roman" w:hAnsi="Times New Roman"/>
      <w:sz w:val="24"/>
      <w:szCs w:val="21"/>
    </w:rPr>
  </w:style>
  <w:style w:type="character" w:customStyle="1" w:styleId="47">
    <w:name w:val="font61"/>
    <w:basedOn w:val="24"/>
    <w:qFormat/>
    <w:uiPriority w:val="0"/>
    <w:rPr>
      <w:rFonts w:hint="default" w:ascii="Times New Roman" w:hAnsi="Times New Roman" w:cs="Times New Roman"/>
      <w:color w:val="000000"/>
      <w:sz w:val="21"/>
      <w:szCs w:val="21"/>
      <w:u w:val="none"/>
    </w:rPr>
  </w:style>
  <w:style w:type="character" w:customStyle="1" w:styleId="48">
    <w:name w:val="font71"/>
    <w:basedOn w:val="24"/>
    <w:qFormat/>
    <w:uiPriority w:val="0"/>
    <w:rPr>
      <w:rFonts w:hint="default" w:ascii="Times New Roman" w:hAnsi="Times New Roman" w:cs="Times New Roman"/>
      <w:color w:val="000000"/>
      <w:sz w:val="21"/>
      <w:szCs w:val="21"/>
      <w:u w:val="none"/>
    </w:rPr>
  </w:style>
  <w:style w:type="character" w:customStyle="1" w:styleId="49">
    <w:name w:val="font11"/>
    <w:basedOn w:val="24"/>
    <w:qFormat/>
    <w:uiPriority w:val="0"/>
    <w:rPr>
      <w:rFonts w:hint="eastAsia" w:ascii="宋体" w:hAnsi="宋体" w:eastAsia="宋体" w:cs="宋体"/>
      <w:color w:val="000000"/>
      <w:sz w:val="20"/>
      <w:szCs w:val="20"/>
      <w:u w:val="none"/>
    </w:rPr>
  </w:style>
  <w:style w:type="character" w:customStyle="1" w:styleId="50">
    <w:name w:val="font41"/>
    <w:basedOn w:val="24"/>
    <w:qFormat/>
    <w:uiPriority w:val="0"/>
    <w:rPr>
      <w:rFonts w:hint="eastAsia" w:ascii="宋体" w:hAnsi="宋体" w:eastAsia="宋体" w:cs="宋体"/>
      <w:b/>
      <w:bCs/>
      <w:color w:val="000000"/>
      <w:sz w:val="20"/>
      <w:szCs w:val="20"/>
      <w:u w:val="none"/>
    </w:rPr>
  </w:style>
  <w:style w:type="character" w:customStyle="1" w:styleId="51">
    <w:name w:val="font51"/>
    <w:basedOn w:val="24"/>
    <w:qFormat/>
    <w:uiPriority w:val="0"/>
    <w:rPr>
      <w:rFonts w:hint="eastAsia" w:ascii="宋体" w:hAnsi="宋体" w:eastAsia="宋体" w:cs="宋体"/>
      <w:color w:val="000000"/>
      <w:sz w:val="21"/>
      <w:szCs w:val="21"/>
      <w:u w:val="none"/>
    </w:rPr>
  </w:style>
  <w:style w:type="character" w:customStyle="1" w:styleId="52">
    <w:name w:val="font01"/>
    <w:basedOn w:val="2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41</Pages>
  <Words>30822</Words>
  <Characters>33126</Characters>
  <Lines>247</Lines>
  <Paragraphs>69</Paragraphs>
  <TotalTime>11</TotalTime>
  <ScaleCrop>false</ScaleCrop>
  <LinksUpToDate>false</LinksUpToDate>
  <CharactersWithSpaces>33320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2023-01-12T06:34:00Z</dcterms:created>
  <dc:creator>Lenovo</dc:creator>
  <cp:lastModifiedBy>WPS_1602732725</cp:lastModifiedBy>
  <dcterms:modified xsi:type="dcterms:W3CDTF">2023-01-13T07:50:18Z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1C29DE09862E49D7B2E9975C65312921</vt:lpwstr>
  </property>
</Properties>
</file>