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opLinePunct/>
        <w:spacing w:line="360" w:lineRule="auto"/>
        <w:jc w:val="center"/>
        <w:outlineLvl w:val="0"/>
        <w:rPr>
          <w:rFonts w:hint="eastAsia" w:ascii="宋体" w:hAnsi="宋体"/>
          <w:b/>
          <w:color w:val="auto"/>
          <w:sz w:val="44"/>
          <w:szCs w:val="44"/>
        </w:rPr>
      </w:pPr>
      <w:r>
        <w:rPr>
          <w:rFonts w:hint="eastAsia" w:ascii="宋体" w:hAnsi="宋体"/>
          <w:b/>
          <w:color w:val="auto"/>
          <w:sz w:val="44"/>
          <w:szCs w:val="44"/>
        </w:rPr>
        <w:t>采购需求</w:t>
      </w:r>
    </w:p>
    <w:p>
      <w:pPr>
        <w:widowControl/>
        <w:topLinePunct/>
        <w:spacing w:line="360" w:lineRule="auto"/>
        <w:jc w:val="left"/>
        <w:outlineLvl w:val="0"/>
        <w:rPr>
          <w:rFonts w:hint="eastAsia" w:ascii="宋体" w:hAnsi="宋体" w:cs="宋体"/>
          <w:b/>
          <w:bCs/>
          <w:color w:val="auto"/>
          <w:kern w:val="0"/>
          <w:sz w:val="24"/>
        </w:rPr>
      </w:pPr>
      <w:bookmarkStart w:id="0" w:name="_Toc10552"/>
      <w:r>
        <w:rPr>
          <w:rFonts w:hint="eastAsia" w:ascii="宋体" w:hAnsi="宋体" w:cs="宋体"/>
          <w:b/>
          <w:bCs/>
          <w:color w:val="auto"/>
          <w:kern w:val="0"/>
          <w:sz w:val="24"/>
        </w:rPr>
        <w:t>一、采购标的需实现的功能或者目标，以及为落实政府采购政策需满足的要求：</w:t>
      </w:r>
      <w:bookmarkEnd w:id="0"/>
    </w:p>
    <w:p>
      <w:pPr>
        <w:widowControl/>
        <w:topLinePunct/>
        <w:spacing w:line="360" w:lineRule="auto"/>
        <w:ind w:firstLine="420" w:firstLineChars="175"/>
        <w:jc w:val="left"/>
        <w:outlineLvl w:val="0"/>
        <w:rPr>
          <w:rFonts w:hint="eastAsia" w:ascii="宋体" w:hAnsi="宋体" w:cs="宋体"/>
          <w:color w:val="auto"/>
          <w:sz w:val="24"/>
        </w:rPr>
      </w:pPr>
      <w:bookmarkStart w:id="1" w:name="_Toc322"/>
      <w:r>
        <w:rPr>
          <w:rFonts w:hint="eastAsia" w:ascii="宋体" w:hAnsi="宋体" w:cs="宋体"/>
          <w:color w:val="auto"/>
          <w:kern w:val="0"/>
          <w:sz w:val="24"/>
        </w:rPr>
        <w:t>1.采购标的需实现的功能或者目标：</w:t>
      </w:r>
      <w:bookmarkEnd w:id="1"/>
      <w:r>
        <w:rPr>
          <w:rFonts w:hint="eastAsia" w:ascii="宋体" w:hAnsi="宋体" w:cs="宋体"/>
          <w:color w:val="auto"/>
          <w:kern w:val="0"/>
          <w:sz w:val="24"/>
        </w:rPr>
        <w:t>通用电气DSA（2台）3年保修服务。</w:t>
      </w:r>
    </w:p>
    <w:p>
      <w:pPr>
        <w:widowControl/>
        <w:topLinePunct/>
        <w:spacing w:line="360" w:lineRule="auto"/>
        <w:ind w:firstLine="420" w:firstLineChars="175"/>
        <w:jc w:val="left"/>
        <w:outlineLvl w:val="0"/>
        <w:rPr>
          <w:rFonts w:hint="eastAsia" w:ascii="宋体" w:hAnsi="宋体" w:cs="宋体"/>
          <w:color w:val="auto"/>
          <w:kern w:val="0"/>
          <w:sz w:val="24"/>
        </w:rPr>
      </w:pPr>
      <w:bookmarkStart w:id="2" w:name="_Toc10103"/>
      <w:r>
        <w:rPr>
          <w:rFonts w:hint="eastAsia" w:ascii="宋体" w:hAnsi="宋体" w:cs="宋体"/>
          <w:color w:val="auto"/>
          <w:kern w:val="0"/>
          <w:sz w:val="24"/>
        </w:rPr>
        <w:t>2.为落实政府采购政策需满足的要求：</w:t>
      </w:r>
      <w:bookmarkEnd w:id="2"/>
    </w:p>
    <w:p>
      <w:pPr>
        <w:autoSpaceDE w:val="0"/>
        <w:autoSpaceDN w:val="0"/>
        <w:spacing w:line="360" w:lineRule="auto"/>
        <w:ind w:firstLine="420" w:firstLineChars="175"/>
        <w:rPr>
          <w:rFonts w:hint="eastAsia" w:ascii="宋体" w:hAnsi="宋体" w:cs="宋体"/>
          <w:color w:val="auto"/>
          <w:sz w:val="24"/>
        </w:rPr>
      </w:pPr>
      <w:bookmarkStart w:id="3" w:name="_Toc18505"/>
      <w:r>
        <w:rPr>
          <w:rFonts w:hint="eastAsia" w:ascii="宋体" w:hAnsi="宋体" w:cs="宋体"/>
          <w:color w:val="auto"/>
          <w:sz w:val="24"/>
        </w:rPr>
        <w:t>（1）本项目是否专门面向中小企业（含监狱企业、残疾人福利性单位）：否。</w:t>
      </w:r>
      <w:bookmarkEnd w:id="3"/>
    </w:p>
    <w:p>
      <w:pPr>
        <w:autoSpaceDE w:val="0"/>
        <w:autoSpaceDN w:val="0"/>
        <w:spacing w:line="360" w:lineRule="auto"/>
        <w:ind w:firstLine="420" w:firstLineChars="175"/>
        <w:rPr>
          <w:rFonts w:hint="eastAsia" w:ascii="宋体" w:hAnsi="宋体" w:cs="宋体"/>
          <w:color w:val="auto"/>
          <w:spacing w:val="-4"/>
          <w:sz w:val="24"/>
        </w:rPr>
      </w:pPr>
      <w:r>
        <w:rPr>
          <w:rFonts w:hint="eastAsia" w:ascii="宋体" w:hAnsi="宋体" w:cs="宋体"/>
          <w:color w:val="auto"/>
          <w:sz w:val="24"/>
        </w:rPr>
        <w:t>（2）按照《政府采购促进中小企业发展管理办法》（财库〔2020〕46号）、《关于进一步加大政府采购支持中小企业力度的通知》（财库〔2022〕19号规定，对小型和微型企业报价给予10%-20%的扣除；对于大中型企业与小微企业组成联合体或者大中型企业向小微企业分包的，给予4%-6%的扣除，用扣除后的价格参与评审。</w:t>
      </w:r>
    </w:p>
    <w:p>
      <w:pPr>
        <w:autoSpaceDE w:val="0"/>
        <w:autoSpaceDN w:val="0"/>
        <w:spacing w:line="360" w:lineRule="auto"/>
        <w:ind w:firstLine="420" w:firstLineChars="175"/>
        <w:rPr>
          <w:rFonts w:hint="eastAsia" w:ascii="宋体" w:hAnsi="宋体" w:cs="宋体"/>
          <w:color w:val="auto"/>
          <w:sz w:val="24"/>
        </w:rPr>
      </w:pPr>
      <w:r>
        <w:rPr>
          <w:rFonts w:hint="eastAsia" w:ascii="宋体" w:hAnsi="宋体" w:cs="宋体"/>
          <w:color w:val="auto"/>
          <w:sz w:val="24"/>
        </w:rPr>
        <w:t>（3）按照《财政部司法部关于政府采购支持监狱企业发展有关问题的通知》（财库[2014]68号）文件规定，在政府采购活动中，监狱企业视同小型、微型企业，享受评审中价格扣除的政府采购政策, 监狱企业属于小微企业的，不重复享受政策支持。</w:t>
      </w:r>
    </w:p>
    <w:p>
      <w:pPr>
        <w:autoSpaceDE w:val="0"/>
        <w:autoSpaceDN w:val="0"/>
        <w:spacing w:line="360" w:lineRule="auto"/>
        <w:ind w:firstLine="420" w:firstLineChars="175"/>
        <w:rPr>
          <w:rFonts w:hint="eastAsia" w:ascii="宋体" w:hAnsi="宋体" w:cs="宋体"/>
          <w:color w:val="auto"/>
          <w:sz w:val="24"/>
        </w:rPr>
      </w:pPr>
      <w:r>
        <w:rPr>
          <w:rFonts w:hint="eastAsia" w:ascii="宋体" w:hAnsi="宋体" w:cs="宋体"/>
          <w:color w:val="auto"/>
          <w:sz w:val="24"/>
        </w:rPr>
        <w:t>（4）按照《财政部民政部中国残疾人联合会关于促进残疾人就业政府采购政策的通知》，残疾人福利性单位视同小型、微型企业，享受评审中价格扣除的政府采购政策，残疾人福利性单位属于小型、微型企业的，不重复享受政策。</w:t>
      </w:r>
    </w:p>
    <w:p>
      <w:pPr>
        <w:autoSpaceDE w:val="0"/>
        <w:autoSpaceDN w:val="0"/>
        <w:spacing w:line="360" w:lineRule="auto"/>
        <w:ind w:firstLine="420" w:firstLineChars="175"/>
        <w:rPr>
          <w:rFonts w:hint="eastAsia" w:ascii="宋体" w:hAnsi="宋体" w:cs="宋体"/>
          <w:color w:val="auto"/>
          <w:sz w:val="24"/>
        </w:rPr>
      </w:pPr>
      <w:r>
        <w:rPr>
          <w:rFonts w:hint="eastAsia" w:ascii="宋体" w:hAnsi="宋体" w:cs="宋体"/>
          <w:color w:val="auto"/>
          <w:sz w:val="24"/>
        </w:rPr>
        <w:t>（5）优先和强制采购节能产品。属于财政部、国家发展改革委《节能产品政府采购清单》有效期内产品的优先采购，属于节能产品清单中强制采购的产品强制采购。优先采购环保产品。属于财政部、环境保护部《环境标志产品政府采购清单》有效期内产品的优先采购。</w:t>
      </w:r>
    </w:p>
    <w:p>
      <w:pPr>
        <w:widowControl/>
        <w:numPr>
          <w:ilvl w:val="0"/>
          <w:numId w:val="1"/>
        </w:numPr>
        <w:topLinePunct/>
        <w:spacing w:line="360" w:lineRule="auto"/>
        <w:jc w:val="left"/>
        <w:outlineLvl w:val="0"/>
        <w:rPr>
          <w:rFonts w:hint="eastAsia" w:ascii="宋体" w:hAnsi="宋体" w:cs="宋体"/>
          <w:b/>
          <w:bCs/>
          <w:color w:val="auto"/>
          <w:kern w:val="0"/>
          <w:sz w:val="24"/>
        </w:rPr>
      </w:pPr>
      <w:bookmarkStart w:id="4" w:name="_Toc4145"/>
      <w:r>
        <w:rPr>
          <w:rFonts w:hint="eastAsia" w:ascii="宋体" w:hAnsi="宋体" w:cs="宋体"/>
          <w:b/>
          <w:bCs/>
          <w:color w:val="auto"/>
          <w:kern w:val="0"/>
          <w:sz w:val="24"/>
        </w:rPr>
        <w:t>采购标的需执行的国家相关标准、行业标准、地方标准或者其他标准、规范：</w:t>
      </w:r>
      <w:bookmarkEnd w:id="4"/>
    </w:p>
    <w:p>
      <w:pPr>
        <w:pStyle w:val="3"/>
        <w:spacing w:line="360" w:lineRule="auto"/>
        <w:ind w:left="151" w:leftChars="72" w:firstLine="266" w:firstLineChars="111"/>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GB 9706.1-2020 医用电气设备 第一部分：基本安全和基本性能的通用要求</w:t>
      </w:r>
    </w:p>
    <w:p>
      <w:pPr>
        <w:pStyle w:val="3"/>
        <w:spacing w:line="360" w:lineRule="auto"/>
        <w:ind w:left="151" w:leftChars="72" w:firstLine="266" w:firstLineChars="111"/>
        <w:rPr>
          <w:rFonts w:hint="eastAsia" w:ascii="宋体" w:hAnsi="宋体" w:eastAsia="宋体" w:cs="宋体"/>
          <w:bCs/>
          <w:color w:val="auto"/>
          <w:kern w:val="2"/>
          <w:sz w:val="24"/>
          <w:szCs w:val="24"/>
          <w:highlight w:val="none"/>
        </w:rPr>
      </w:pPr>
      <w:r>
        <w:rPr>
          <w:rFonts w:ascii="宋体" w:hAnsi="宋体" w:eastAsia="宋体" w:cs="宋体"/>
          <w:bCs/>
          <w:color w:val="auto"/>
          <w:kern w:val="2"/>
          <w:sz w:val="24"/>
          <w:szCs w:val="24"/>
          <w:highlight w:val="none"/>
        </w:rPr>
        <w:fldChar w:fldCharType="begin"/>
      </w:r>
      <w:r>
        <w:rPr>
          <w:rFonts w:ascii="宋体" w:hAnsi="宋体" w:eastAsia="宋体" w:cs="宋体"/>
          <w:bCs/>
          <w:color w:val="auto"/>
          <w:kern w:val="2"/>
          <w:sz w:val="24"/>
          <w:szCs w:val="24"/>
          <w:highlight w:val="none"/>
        </w:rPr>
        <w:instrText xml:space="preserve"> HYPERLINK "http://www.baidu.com/link?url=PCK2vwnSLStY1VMfA5wEu1YWkl0iJuo3PxqeV4vpaaOyIwJqE29LfpOIcI-K3ADVNIzbVJR4AfkJ71DZG3hGH-7akEIV6HLLd1WERatRMMS" \t "https://www.baidu.com/_blank" </w:instrText>
      </w:r>
      <w:r>
        <w:rPr>
          <w:rFonts w:ascii="宋体" w:hAnsi="宋体" w:eastAsia="宋体" w:cs="宋体"/>
          <w:bCs/>
          <w:color w:val="auto"/>
          <w:kern w:val="2"/>
          <w:sz w:val="24"/>
          <w:szCs w:val="24"/>
          <w:highlight w:val="none"/>
        </w:rPr>
        <w:fldChar w:fldCharType="separate"/>
      </w:r>
      <w:r>
        <w:rPr>
          <w:rFonts w:ascii="宋体" w:hAnsi="宋体" w:eastAsia="宋体" w:cs="宋体"/>
          <w:bCs/>
          <w:color w:val="auto"/>
          <w:kern w:val="2"/>
          <w:sz w:val="24"/>
          <w:szCs w:val="24"/>
          <w:highlight w:val="none"/>
        </w:rPr>
        <w:t>GBT15624-2011</w:t>
      </w:r>
      <w:r>
        <w:rPr>
          <w:rFonts w:hint="eastAsia" w:ascii="宋体" w:hAnsi="宋体" w:eastAsia="宋体" w:cs="宋体"/>
          <w:bCs/>
          <w:color w:val="auto"/>
          <w:kern w:val="2"/>
          <w:sz w:val="24"/>
          <w:szCs w:val="24"/>
          <w:highlight w:val="none"/>
        </w:rPr>
        <w:t xml:space="preserve">  </w:t>
      </w:r>
      <w:r>
        <w:rPr>
          <w:rFonts w:ascii="宋体" w:hAnsi="宋体" w:eastAsia="宋体" w:cs="宋体"/>
          <w:bCs/>
          <w:color w:val="auto"/>
          <w:kern w:val="2"/>
          <w:sz w:val="24"/>
          <w:szCs w:val="24"/>
          <w:highlight w:val="none"/>
        </w:rPr>
        <w:t>服务标准化工作指南</w:t>
      </w:r>
      <w:r>
        <w:rPr>
          <w:rFonts w:ascii="宋体" w:hAnsi="宋体" w:eastAsia="宋体" w:cs="宋体"/>
          <w:bCs/>
          <w:color w:val="auto"/>
          <w:kern w:val="2"/>
          <w:sz w:val="24"/>
          <w:szCs w:val="24"/>
          <w:highlight w:val="none"/>
        </w:rPr>
        <w:fldChar w:fldCharType="end"/>
      </w:r>
    </w:p>
    <w:p>
      <w:pPr>
        <w:pStyle w:val="3"/>
        <w:spacing w:line="360" w:lineRule="auto"/>
        <w:ind w:left="151" w:leftChars="72" w:firstLine="266" w:firstLineChars="111"/>
        <w:rPr>
          <w:rFonts w:ascii="宋体" w:hAnsi="宋体" w:eastAsia="宋体" w:cs="宋体"/>
          <w:bCs/>
          <w:color w:val="auto"/>
          <w:kern w:val="2"/>
          <w:sz w:val="24"/>
          <w:szCs w:val="24"/>
          <w:highlight w:val="cyan"/>
        </w:rPr>
      </w:pPr>
      <w:r>
        <w:rPr>
          <w:rFonts w:hint="eastAsia" w:ascii="宋体" w:hAnsi="宋体" w:eastAsia="宋体" w:cs="宋体"/>
          <w:bCs/>
          <w:color w:val="auto"/>
          <w:kern w:val="2"/>
          <w:sz w:val="24"/>
          <w:szCs w:val="24"/>
          <w:highlight w:val="none"/>
        </w:rPr>
        <w:t>WS_T654—2019  医疗器械安全管理</w:t>
      </w:r>
    </w:p>
    <w:p>
      <w:pPr>
        <w:pStyle w:val="3"/>
        <w:ind w:left="151" w:leftChars="72" w:firstLine="266" w:firstLineChars="111"/>
        <w:rPr>
          <w:rFonts w:hint="eastAsia" w:ascii="宋体" w:hAnsi="宋体" w:eastAsia="宋体" w:cs="宋体"/>
          <w:bCs/>
          <w:color w:val="auto"/>
          <w:kern w:val="2"/>
          <w:sz w:val="24"/>
          <w:szCs w:val="24"/>
        </w:rPr>
      </w:pPr>
      <w:bookmarkStart w:id="5" w:name="_Toc19284"/>
      <w:r>
        <w:rPr>
          <w:rFonts w:hint="eastAsia" w:ascii="宋体" w:hAnsi="宋体" w:eastAsia="宋体" w:cs="宋体"/>
          <w:bCs/>
          <w:color w:val="auto"/>
          <w:kern w:val="2"/>
          <w:sz w:val="24"/>
          <w:szCs w:val="24"/>
        </w:rPr>
        <w:t>项目实施时，若有相关新的规范、规程等颁布，则应按照新颁规范、规程实施。</w:t>
      </w:r>
      <w:bookmarkEnd w:id="5"/>
    </w:p>
    <w:p>
      <w:pPr>
        <w:widowControl/>
        <w:topLinePunct/>
        <w:spacing w:line="360" w:lineRule="auto"/>
        <w:jc w:val="left"/>
        <w:outlineLvl w:val="0"/>
        <w:rPr>
          <w:rFonts w:hint="eastAsia" w:ascii="宋体" w:hAnsi="宋体" w:cs="宋体"/>
          <w:b/>
          <w:bCs/>
          <w:color w:val="auto"/>
          <w:kern w:val="0"/>
          <w:sz w:val="24"/>
        </w:rPr>
      </w:pPr>
      <w:bookmarkStart w:id="6" w:name="_Toc27525"/>
      <w:r>
        <w:rPr>
          <w:rFonts w:hint="eastAsia" w:ascii="宋体" w:hAnsi="宋体" w:cs="宋体"/>
          <w:b/>
          <w:bCs/>
          <w:color w:val="auto"/>
          <w:kern w:val="0"/>
          <w:sz w:val="24"/>
        </w:rPr>
        <w:t>三、采购标的需满足的质量、安全、技术规格、物理特性等要求：</w:t>
      </w:r>
      <w:bookmarkEnd w:id="6"/>
    </w:p>
    <w:p>
      <w:pPr>
        <w:widowControl/>
        <w:topLinePunct/>
        <w:spacing w:line="360" w:lineRule="auto"/>
        <w:ind w:firstLine="420" w:firstLineChars="175"/>
        <w:jc w:val="left"/>
        <w:outlineLvl w:val="0"/>
        <w:rPr>
          <w:rFonts w:hint="eastAsia" w:ascii="宋体" w:hAnsi="宋体" w:cs="宋体"/>
          <w:bCs/>
          <w:color w:val="auto"/>
          <w:sz w:val="24"/>
        </w:rPr>
      </w:pPr>
      <w:bookmarkStart w:id="7" w:name="_Toc14230"/>
      <w:r>
        <w:rPr>
          <w:rFonts w:hint="eastAsia" w:ascii="宋体" w:hAnsi="宋体" w:cs="宋体"/>
          <w:bCs/>
          <w:color w:val="auto"/>
          <w:sz w:val="24"/>
        </w:rPr>
        <w:t>1.</w:t>
      </w:r>
      <w:r>
        <w:rPr>
          <w:rFonts w:hint="eastAsia" w:ascii="宋体" w:hAnsi="宋体"/>
          <w:color w:val="auto"/>
          <w:sz w:val="24"/>
        </w:rPr>
        <w:t>服务质量要求：满足采购人使用要求，需达到提供服务期间保证保修设备开机率达到95%以上；如设备故障停机率超过5%（一年按365天计算，每年18天），每超过一天，保修期顺延一天</w:t>
      </w:r>
      <w:bookmarkEnd w:id="7"/>
      <w:r>
        <w:rPr>
          <w:rFonts w:hint="eastAsia" w:ascii="宋体" w:hAnsi="宋体"/>
          <w:color w:val="auto"/>
          <w:sz w:val="24"/>
        </w:rPr>
        <w:t>。</w:t>
      </w:r>
    </w:p>
    <w:p>
      <w:pPr>
        <w:widowControl/>
        <w:topLinePunct/>
        <w:spacing w:line="360" w:lineRule="auto"/>
        <w:ind w:firstLine="420" w:firstLineChars="175"/>
        <w:jc w:val="left"/>
        <w:outlineLvl w:val="0"/>
        <w:rPr>
          <w:rFonts w:hint="eastAsia" w:ascii="宋体" w:hAnsi="宋体" w:cs="宋体"/>
          <w:bCs/>
          <w:color w:val="auto"/>
          <w:sz w:val="24"/>
        </w:rPr>
      </w:pPr>
      <w:bookmarkStart w:id="8" w:name="_Toc10536"/>
      <w:r>
        <w:rPr>
          <w:rFonts w:hint="eastAsia" w:ascii="宋体" w:hAnsi="宋体" w:cs="宋体"/>
          <w:bCs/>
          <w:color w:val="auto"/>
          <w:sz w:val="24"/>
        </w:rPr>
        <w:t>2.安全要求：符合相关安全管理规定，确保无安全事故。</w:t>
      </w:r>
      <w:bookmarkEnd w:id="8"/>
    </w:p>
    <w:p>
      <w:pPr>
        <w:widowControl/>
        <w:topLinePunct/>
        <w:spacing w:line="360" w:lineRule="auto"/>
        <w:ind w:firstLine="420" w:firstLineChars="175"/>
        <w:jc w:val="left"/>
        <w:outlineLvl w:val="0"/>
        <w:rPr>
          <w:rFonts w:hint="eastAsia" w:ascii="宋体" w:hAnsi="宋体" w:cs="宋体"/>
          <w:bCs/>
          <w:color w:val="auto"/>
          <w:sz w:val="24"/>
        </w:rPr>
      </w:pPr>
      <w:bookmarkStart w:id="9" w:name="_Toc14"/>
      <w:r>
        <w:rPr>
          <w:rFonts w:hint="eastAsia" w:ascii="宋体" w:hAnsi="宋体" w:cs="宋体"/>
          <w:bCs/>
          <w:color w:val="auto"/>
          <w:sz w:val="24"/>
        </w:rPr>
        <w:t>3.技术要求：严格按照以上规范标准执行。</w:t>
      </w:r>
      <w:bookmarkEnd w:id="9"/>
    </w:p>
    <w:p>
      <w:pPr>
        <w:widowControl/>
        <w:topLinePunct/>
        <w:spacing w:line="360" w:lineRule="auto"/>
        <w:jc w:val="left"/>
        <w:outlineLvl w:val="0"/>
        <w:rPr>
          <w:rFonts w:hint="eastAsia" w:ascii="宋体" w:hAnsi="宋体" w:cs="宋体"/>
          <w:b/>
          <w:bCs/>
          <w:color w:val="auto"/>
          <w:kern w:val="0"/>
          <w:sz w:val="24"/>
        </w:rPr>
      </w:pPr>
      <w:bookmarkStart w:id="10" w:name="_Toc12727"/>
      <w:r>
        <w:rPr>
          <w:rFonts w:hint="eastAsia" w:ascii="宋体" w:hAnsi="宋体" w:cs="宋体"/>
          <w:b/>
          <w:bCs/>
          <w:color w:val="auto"/>
          <w:kern w:val="0"/>
          <w:sz w:val="24"/>
        </w:rPr>
        <w:t>四、采购标的的数量、采购项目交付或者实施的时间和地点：</w:t>
      </w:r>
      <w:bookmarkEnd w:id="10"/>
    </w:p>
    <w:p>
      <w:pPr>
        <w:tabs>
          <w:tab w:val="left" w:pos="360"/>
        </w:tabs>
        <w:autoSpaceDE w:val="0"/>
        <w:autoSpaceDN w:val="0"/>
        <w:adjustRightInd w:val="0"/>
        <w:spacing w:line="360" w:lineRule="auto"/>
        <w:ind w:firstLine="420" w:firstLineChars="175"/>
        <w:rPr>
          <w:rFonts w:hint="eastAsia" w:ascii="宋体" w:hAnsi="宋体" w:cs="宋体"/>
          <w:bCs/>
          <w:color w:val="auto"/>
          <w:sz w:val="24"/>
        </w:rPr>
      </w:pPr>
      <w:r>
        <w:rPr>
          <w:rFonts w:hint="eastAsia" w:ascii="宋体" w:hAnsi="宋体" w:cs="宋体"/>
          <w:bCs/>
          <w:color w:val="auto"/>
          <w:sz w:val="24"/>
        </w:rPr>
        <w:t>1.维保设备清单：</w:t>
      </w:r>
    </w:p>
    <w:tbl>
      <w:tblPr>
        <w:tblStyle w:val="4"/>
        <w:tblpPr w:leftFromText="180" w:rightFromText="180" w:vertAnchor="text" w:horzAnchor="margin" w:tblpXSpec="center" w:tblpY="197"/>
        <w:tblW w:w="9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1890"/>
        <w:gridCol w:w="2438"/>
        <w:gridCol w:w="3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 w:hRule="atLeast"/>
        </w:trPr>
        <w:tc>
          <w:tcPr>
            <w:tcW w:w="1478" w:type="dxa"/>
            <w:tcBorders>
              <w:bottom w:val="single" w:color="000000" w:sz="4" w:space="0"/>
            </w:tcBorders>
            <w:noWrap w:val="0"/>
            <w:vAlign w:val="center"/>
          </w:tcPr>
          <w:p>
            <w:pPr>
              <w:widowControl/>
              <w:topLinePunct/>
              <w:spacing w:line="360" w:lineRule="auto"/>
              <w:jc w:val="center"/>
              <w:rPr>
                <w:rFonts w:ascii="宋体" w:hAnsi="宋体" w:cs="宋体"/>
                <w:color w:val="auto"/>
                <w:kern w:val="0"/>
                <w:sz w:val="24"/>
              </w:rPr>
            </w:pPr>
            <w:r>
              <w:rPr>
                <w:rFonts w:hint="eastAsia" w:ascii="宋体" w:hAnsi="宋体" w:cs="宋体"/>
                <w:color w:val="auto"/>
                <w:kern w:val="0"/>
                <w:sz w:val="24"/>
              </w:rPr>
              <w:t>设备类型</w:t>
            </w:r>
          </w:p>
        </w:tc>
        <w:tc>
          <w:tcPr>
            <w:tcW w:w="1890" w:type="dxa"/>
            <w:tcBorders>
              <w:bottom w:val="single" w:color="000000" w:sz="4" w:space="0"/>
            </w:tcBorders>
            <w:noWrap w:val="0"/>
            <w:vAlign w:val="center"/>
          </w:tcPr>
          <w:p>
            <w:pPr>
              <w:widowControl/>
              <w:topLinePunct/>
              <w:spacing w:line="360" w:lineRule="auto"/>
              <w:jc w:val="center"/>
              <w:rPr>
                <w:rFonts w:ascii="宋体" w:hAnsi="宋体" w:cs="宋体"/>
                <w:color w:val="auto"/>
                <w:kern w:val="0"/>
                <w:sz w:val="24"/>
              </w:rPr>
            </w:pPr>
            <w:r>
              <w:rPr>
                <w:rFonts w:hint="eastAsia" w:ascii="宋体" w:hAnsi="宋体" w:cs="宋体"/>
                <w:color w:val="auto"/>
                <w:kern w:val="0"/>
                <w:sz w:val="24"/>
              </w:rPr>
              <w:t>设备型号</w:t>
            </w:r>
          </w:p>
        </w:tc>
        <w:tc>
          <w:tcPr>
            <w:tcW w:w="2438" w:type="dxa"/>
            <w:tcBorders>
              <w:bottom w:val="single" w:color="000000" w:sz="4" w:space="0"/>
            </w:tcBorders>
            <w:noWrap w:val="0"/>
            <w:vAlign w:val="center"/>
          </w:tcPr>
          <w:p>
            <w:pPr>
              <w:widowControl/>
              <w:topLinePunct/>
              <w:spacing w:line="360" w:lineRule="auto"/>
              <w:jc w:val="center"/>
              <w:rPr>
                <w:rFonts w:ascii="宋体" w:hAnsi="宋体" w:cs="宋体"/>
                <w:color w:val="auto"/>
                <w:kern w:val="0"/>
                <w:sz w:val="24"/>
              </w:rPr>
            </w:pPr>
            <w:r>
              <w:rPr>
                <w:rFonts w:hint="eastAsia" w:ascii="宋体" w:hAnsi="宋体" w:cs="宋体"/>
                <w:color w:val="auto"/>
                <w:kern w:val="0"/>
                <w:sz w:val="24"/>
              </w:rPr>
              <w:t>序列号</w:t>
            </w:r>
          </w:p>
        </w:tc>
        <w:tc>
          <w:tcPr>
            <w:tcW w:w="3381" w:type="dxa"/>
            <w:tcBorders>
              <w:bottom w:val="single" w:color="000000" w:sz="4" w:space="0"/>
            </w:tcBorders>
            <w:noWrap w:val="0"/>
            <w:vAlign w:val="center"/>
          </w:tcPr>
          <w:p>
            <w:pPr>
              <w:widowControl/>
              <w:topLinePunct/>
              <w:spacing w:line="360" w:lineRule="auto"/>
              <w:ind w:left="620"/>
              <w:rPr>
                <w:rFonts w:ascii="宋体" w:hAnsi="宋体" w:cs="宋体"/>
                <w:color w:val="auto"/>
                <w:kern w:val="0"/>
                <w:sz w:val="24"/>
              </w:rPr>
            </w:pPr>
            <w:r>
              <w:rPr>
                <w:rFonts w:hint="eastAsia" w:ascii="宋体" w:hAnsi="宋体" w:cs="宋体"/>
                <w:color w:val="auto"/>
                <w:kern w:val="0"/>
                <w:sz w:val="24"/>
              </w:rPr>
              <w:t>保修类型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478" w:type="dxa"/>
            <w:tcBorders>
              <w:top w:val="single" w:color="auto" w:sz="4" w:space="0"/>
              <w:left w:val="single" w:color="000000" w:sz="4" w:space="0"/>
              <w:bottom w:val="single" w:color="auto" w:sz="4" w:space="0"/>
              <w:right w:val="single" w:color="auto" w:sz="4" w:space="0"/>
            </w:tcBorders>
            <w:noWrap w:val="0"/>
            <w:vAlign w:val="center"/>
          </w:tcPr>
          <w:p>
            <w:pPr>
              <w:widowControl/>
              <w:topLinePunct/>
              <w:spacing w:line="360" w:lineRule="auto"/>
              <w:jc w:val="center"/>
              <w:rPr>
                <w:rFonts w:ascii="宋体" w:hAnsi="宋体" w:cs="宋体"/>
                <w:color w:val="auto"/>
                <w:kern w:val="0"/>
                <w:sz w:val="24"/>
              </w:rPr>
            </w:pPr>
            <w:r>
              <w:rPr>
                <w:rFonts w:hint="eastAsia" w:ascii="宋体" w:hAnsi="宋体" w:cs="宋体"/>
                <w:color w:val="auto"/>
                <w:kern w:val="0"/>
                <w:sz w:val="24"/>
              </w:rPr>
              <w:t>DSA</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widowControl/>
              <w:topLinePunct/>
              <w:spacing w:line="360" w:lineRule="auto"/>
              <w:jc w:val="center"/>
              <w:rPr>
                <w:rFonts w:ascii="宋体" w:hAnsi="宋体" w:cs="宋体"/>
                <w:color w:val="auto"/>
                <w:kern w:val="0"/>
                <w:sz w:val="24"/>
              </w:rPr>
            </w:pPr>
            <w:r>
              <w:rPr>
                <w:rFonts w:ascii="宋体" w:hAnsi="宋体" w:cs="宋体"/>
                <w:color w:val="auto"/>
                <w:kern w:val="0"/>
                <w:sz w:val="24"/>
              </w:rPr>
              <w:t>INNOVA IGS520</w:t>
            </w:r>
          </w:p>
        </w:tc>
        <w:tc>
          <w:tcPr>
            <w:tcW w:w="2438" w:type="dxa"/>
            <w:tcBorders>
              <w:top w:val="single" w:color="auto" w:sz="4" w:space="0"/>
              <w:left w:val="single" w:color="auto" w:sz="4" w:space="0"/>
              <w:bottom w:val="single" w:color="auto" w:sz="4" w:space="0"/>
              <w:right w:val="single" w:color="auto" w:sz="4" w:space="0"/>
            </w:tcBorders>
            <w:noWrap w:val="0"/>
            <w:vAlign w:val="center"/>
          </w:tcPr>
          <w:p>
            <w:pPr>
              <w:widowControl/>
              <w:topLinePunct/>
              <w:spacing w:line="360" w:lineRule="auto"/>
              <w:jc w:val="center"/>
              <w:rPr>
                <w:rFonts w:hint="eastAsia" w:ascii="宋体" w:hAnsi="宋体" w:cs="宋体"/>
                <w:color w:val="auto"/>
                <w:kern w:val="0"/>
                <w:sz w:val="24"/>
              </w:rPr>
            </w:pPr>
            <w:r>
              <w:rPr>
                <w:rFonts w:ascii="宋体" w:hAnsi="宋体" w:cs="宋体"/>
                <w:color w:val="auto"/>
                <w:sz w:val="24"/>
              </w:rPr>
              <w:t>082416120079</w:t>
            </w:r>
          </w:p>
        </w:tc>
        <w:tc>
          <w:tcPr>
            <w:tcW w:w="3381" w:type="dxa"/>
            <w:vMerge w:val="restart"/>
            <w:tcBorders>
              <w:left w:val="single" w:color="auto" w:sz="4" w:space="0"/>
              <w:right w:val="single" w:color="000000" w:sz="4" w:space="0"/>
            </w:tcBorders>
            <w:noWrap w:val="0"/>
            <w:vAlign w:val="center"/>
          </w:tcPr>
          <w:p>
            <w:pPr>
              <w:widowControl/>
              <w:topLinePunct/>
              <w:spacing w:line="360" w:lineRule="auto"/>
              <w:jc w:val="left"/>
              <w:rPr>
                <w:rFonts w:ascii="宋体" w:hAnsi="宋体" w:cs="宋体"/>
                <w:color w:val="auto"/>
                <w:kern w:val="0"/>
                <w:sz w:val="24"/>
              </w:rPr>
            </w:pPr>
            <w:r>
              <w:rPr>
                <w:rFonts w:hint="eastAsia" w:ascii="宋体" w:hAnsi="宋体" w:cs="宋体"/>
                <w:color w:val="auto"/>
                <w:kern w:val="0"/>
                <w:sz w:val="24"/>
              </w:rPr>
              <w:t>整机全保（含球管、平板探测器、工作站）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trPr>
        <w:tc>
          <w:tcPr>
            <w:tcW w:w="1478" w:type="dxa"/>
            <w:tcBorders>
              <w:top w:val="single" w:color="auto" w:sz="4" w:space="0"/>
              <w:left w:val="single" w:color="000000" w:sz="4" w:space="0"/>
              <w:bottom w:val="single" w:color="auto" w:sz="4" w:space="0"/>
              <w:right w:val="single" w:color="auto" w:sz="4" w:space="0"/>
            </w:tcBorders>
            <w:noWrap w:val="0"/>
            <w:vAlign w:val="center"/>
          </w:tcPr>
          <w:p>
            <w:pPr>
              <w:widowControl/>
              <w:topLinePunct/>
              <w:spacing w:line="360" w:lineRule="auto"/>
              <w:jc w:val="center"/>
              <w:rPr>
                <w:rFonts w:hint="eastAsia" w:ascii="宋体" w:hAnsi="宋体" w:cs="宋体"/>
                <w:color w:val="auto"/>
                <w:kern w:val="0"/>
                <w:sz w:val="24"/>
              </w:rPr>
            </w:pPr>
            <w:r>
              <w:rPr>
                <w:rFonts w:hint="eastAsia" w:ascii="宋体" w:hAnsi="宋体" w:cs="宋体"/>
                <w:color w:val="auto"/>
                <w:kern w:val="0"/>
                <w:sz w:val="24"/>
              </w:rPr>
              <w:t>DSA</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widowControl/>
              <w:topLinePunct/>
              <w:spacing w:line="360" w:lineRule="auto"/>
              <w:jc w:val="center"/>
              <w:rPr>
                <w:rFonts w:ascii="宋体" w:hAnsi="宋体" w:cs="宋体"/>
                <w:color w:val="auto"/>
                <w:kern w:val="0"/>
                <w:sz w:val="24"/>
              </w:rPr>
            </w:pPr>
            <w:r>
              <w:rPr>
                <w:rFonts w:ascii="宋体" w:hAnsi="宋体" w:cs="宋体"/>
                <w:color w:val="auto"/>
                <w:kern w:val="0"/>
                <w:sz w:val="24"/>
              </w:rPr>
              <w:t>INNOVA3100</w:t>
            </w:r>
          </w:p>
        </w:tc>
        <w:tc>
          <w:tcPr>
            <w:tcW w:w="2438" w:type="dxa"/>
            <w:tcBorders>
              <w:top w:val="single" w:color="auto" w:sz="4" w:space="0"/>
              <w:left w:val="single" w:color="auto" w:sz="4" w:space="0"/>
              <w:right w:val="single" w:color="auto" w:sz="4" w:space="0"/>
            </w:tcBorders>
            <w:noWrap w:val="0"/>
            <w:vAlign w:val="center"/>
          </w:tcPr>
          <w:p>
            <w:pPr>
              <w:widowControl/>
              <w:topLinePunct/>
              <w:spacing w:line="360" w:lineRule="auto"/>
              <w:jc w:val="center"/>
              <w:rPr>
                <w:rFonts w:hint="eastAsia" w:ascii="宋体" w:hAnsi="宋体" w:cs="宋体"/>
                <w:color w:val="auto"/>
                <w:kern w:val="0"/>
                <w:sz w:val="24"/>
              </w:rPr>
            </w:pPr>
            <w:r>
              <w:rPr>
                <w:rFonts w:ascii="宋体" w:hAnsi="宋体" w:cs="宋体"/>
                <w:color w:val="auto"/>
                <w:kern w:val="0"/>
                <w:sz w:val="24"/>
              </w:rPr>
              <w:t>082416120011</w:t>
            </w:r>
          </w:p>
        </w:tc>
        <w:tc>
          <w:tcPr>
            <w:tcW w:w="3381" w:type="dxa"/>
            <w:vMerge w:val="continue"/>
            <w:tcBorders>
              <w:left w:val="single" w:color="auto" w:sz="4" w:space="0"/>
              <w:right w:val="single" w:color="000000" w:sz="4" w:space="0"/>
            </w:tcBorders>
            <w:noWrap w:val="0"/>
            <w:vAlign w:val="center"/>
          </w:tcPr>
          <w:p>
            <w:pPr>
              <w:widowControl/>
              <w:topLinePunct/>
              <w:spacing w:line="360" w:lineRule="auto"/>
              <w:jc w:val="center"/>
              <w:rPr>
                <w:rFonts w:hint="eastAsia" w:ascii="宋体" w:hAnsi="宋体" w:cs="宋体"/>
                <w:color w:val="auto"/>
                <w:kern w:val="0"/>
                <w:sz w:val="24"/>
              </w:rPr>
            </w:pPr>
          </w:p>
        </w:tc>
      </w:tr>
    </w:tbl>
    <w:p>
      <w:pPr>
        <w:pStyle w:val="6"/>
        <w:ind w:firstLine="420"/>
        <w:rPr>
          <w:rFonts w:hint="eastAsia"/>
          <w:color w:val="auto"/>
        </w:rPr>
      </w:pPr>
    </w:p>
    <w:p>
      <w:pPr>
        <w:widowControl/>
        <w:topLinePunct/>
        <w:spacing w:line="360" w:lineRule="auto"/>
        <w:ind w:firstLine="420" w:firstLineChars="175"/>
        <w:jc w:val="left"/>
        <w:outlineLvl w:val="0"/>
        <w:rPr>
          <w:rFonts w:hint="eastAsia" w:ascii="宋体" w:hAnsi="宋体" w:cs="宋体"/>
          <w:color w:val="auto"/>
          <w:kern w:val="0"/>
          <w:sz w:val="24"/>
        </w:rPr>
      </w:pPr>
      <w:bookmarkStart w:id="11" w:name="_Toc3613"/>
      <w:r>
        <w:rPr>
          <w:rFonts w:hint="eastAsia" w:ascii="宋体" w:hAnsi="宋体" w:cs="宋体"/>
          <w:color w:val="auto"/>
          <w:kern w:val="0"/>
          <w:sz w:val="24"/>
        </w:rPr>
        <w:t>2.实施时间：</w:t>
      </w:r>
      <w:r>
        <w:rPr>
          <w:rFonts w:hint="eastAsia" w:ascii="宋体" w:hAnsi="宋体"/>
          <w:bCs/>
          <w:color w:val="auto"/>
          <w:sz w:val="24"/>
        </w:rPr>
        <w:t>3年（自合同签订之日起算）</w:t>
      </w:r>
      <w:r>
        <w:rPr>
          <w:rFonts w:hint="eastAsia" w:ascii="宋体" w:hAnsi="宋体" w:cs="宋体"/>
          <w:color w:val="auto"/>
          <w:kern w:val="0"/>
          <w:sz w:val="24"/>
        </w:rPr>
        <w:t>。</w:t>
      </w:r>
      <w:bookmarkEnd w:id="11"/>
    </w:p>
    <w:p>
      <w:pPr>
        <w:widowControl/>
        <w:topLinePunct/>
        <w:spacing w:line="360" w:lineRule="auto"/>
        <w:ind w:firstLine="420" w:firstLineChars="175"/>
        <w:jc w:val="left"/>
        <w:outlineLvl w:val="0"/>
        <w:rPr>
          <w:rFonts w:hint="eastAsia" w:ascii="宋体" w:hAnsi="宋体" w:cs="宋体"/>
          <w:color w:val="auto"/>
          <w:kern w:val="0"/>
          <w:sz w:val="24"/>
        </w:rPr>
      </w:pPr>
      <w:bookmarkStart w:id="12" w:name="_Toc10106"/>
      <w:r>
        <w:rPr>
          <w:rFonts w:hint="eastAsia" w:ascii="宋体" w:hAnsi="宋体" w:cs="宋体"/>
          <w:color w:val="auto"/>
          <w:kern w:val="0"/>
          <w:sz w:val="24"/>
        </w:rPr>
        <w:t>3.实施地点：</w:t>
      </w:r>
      <w:r>
        <w:rPr>
          <w:rFonts w:hint="eastAsia" w:ascii="宋体" w:hAnsi="宋体"/>
          <w:bCs/>
          <w:color w:val="auto"/>
          <w:sz w:val="24"/>
        </w:rPr>
        <w:t>无锡市人民医院</w:t>
      </w:r>
      <w:r>
        <w:rPr>
          <w:rFonts w:hint="eastAsia" w:ascii="宋体" w:hAnsi="宋体" w:cs="宋体"/>
          <w:bCs/>
          <w:color w:val="auto"/>
          <w:sz w:val="24"/>
        </w:rPr>
        <w:t>。</w:t>
      </w:r>
      <w:bookmarkEnd w:id="12"/>
    </w:p>
    <w:p>
      <w:pPr>
        <w:widowControl/>
        <w:topLinePunct/>
        <w:spacing w:line="360" w:lineRule="auto"/>
        <w:jc w:val="left"/>
        <w:outlineLvl w:val="0"/>
        <w:rPr>
          <w:rFonts w:hint="eastAsia" w:ascii="宋体" w:hAnsi="宋体" w:cs="宋体"/>
          <w:b/>
          <w:bCs/>
          <w:color w:val="auto"/>
          <w:kern w:val="0"/>
          <w:sz w:val="24"/>
        </w:rPr>
      </w:pPr>
      <w:bookmarkStart w:id="13" w:name="_Toc1963"/>
      <w:r>
        <w:rPr>
          <w:rFonts w:hint="eastAsia" w:ascii="宋体" w:hAnsi="宋体" w:cs="宋体"/>
          <w:b/>
          <w:bCs/>
          <w:color w:val="auto"/>
          <w:kern w:val="0"/>
          <w:sz w:val="24"/>
        </w:rPr>
        <w:t>五、采购标的需满足的服务标准、期限、效率等要求：</w:t>
      </w:r>
      <w:bookmarkEnd w:id="13"/>
    </w:p>
    <w:p>
      <w:pPr>
        <w:widowControl/>
        <w:topLinePunct/>
        <w:spacing w:line="360" w:lineRule="auto"/>
        <w:ind w:firstLine="420" w:firstLineChars="175"/>
        <w:jc w:val="left"/>
        <w:outlineLvl w:val="0"/>
        <w:rPr>
          <w:rFonts w:hint="eastAsia" w:ascii="宋体" w:hAnsi="宋体" w:eastAsia="宋体" w:cs="Times New Roman"/>
          <w:bCs/>
          <w:color w:val="auto"/>
          <w:sz w:val="24"/>
          <w:lang w:eastAsia="zh-CN"/>
        </w:rPr>
      </w:pPr>
      <w:r>
        <w:rPr>
          <w:rFonts w:hint="eastAsia" w:ascii="宋体" w:hAnsi="宋体"/>
          <w:bCs/>
          <w:color w:val="auto"/>
          <w:sz w:val="24"/>
        </w:rPr>
        <w:t>1.</w:t>
      </w:r>
      <w:r>
        <w:rPr>
          <w:rFonts w:hint="eastAsia" w:ascii="宋体" w:hAnsi="宋体" w:eastAsia="宋体" w:cs="Times New Roman"/>
          <w:bCs/>
          <w:color w:val="auto"/>
          <w:sz w:val="24"/>
        </w:rPr>
        <w:t>保修期内若发生故障免费更换所有有问题的零部件</w:t>
      </w:r>
      <w:r>
        <w:rPr>
          <w:rFonts w:hint="eastAsia" w:ascii="宋体" w:hAnsi="宋体" w:eastAsia="宋体" w:cs="Times New Roman"/>
          <w:bCs/>
          <w:color w:val="auto"/>
          <w:sz w:val="24"/>
          <w:lang w:eastAsia="zh-CN"/>
        </w:rPr>
        <w:t>，</w:t>
      </w:r>
      <w:r>
        <w:rPr>
          <w:rFonts w:hint="eastAsia" w:ascii="宋体" w:hAnsi="宋体" w:eastAsia="宋体" w:cs="Times New Roman"/>
          <w:bCs/>
          <w:color w:val="auto"/>
          <w:sz w:val="24"/>
        </w:rPr>
        <w:t>所更换的零部件必须为合格的原厂同型号匹配备件</w:t>
      </w:r>
      <w:r>
        <w:rPr>
          <w:rFonts w:hint="eastAsia" w:ascii="宋体" w:hAnsi="宋体" w:eastAsia="宋体" w:cs="Times New Roman"/>
          <w:bCs/>
          <w:color w:val="auto"/>
          <w:sz w:val="24"/>
          <w:lang w:eastAsia="zh-CN"/>
        </w:rPr>
        <w:t>。</w:t>
      </w:r>
      <w:r>
        <w:rPr>
          <w:rFonts w:hint="eastAsia" w:ascii="宋体" w:hAnsi="宋体"/>
          <w:bCs/>
          <w:color w:val="auto"/>
          <w:sz w:val="24"/>
          <w:highlight w:val="none"/>
        </w:rPr>
        <w:t>提供的</w:t>
      </w:r>
      <w:r>
        <w:rPr>
          <w:rFonts w:hint="eastAsia" w:ascii="宋体" w:hAnsi="宋体"/>
          <w:bCs/>
          <w:color w:val="auto"/>
          <w:sz w:val="24"/>
          <w:highlight w:val="none"/>
        </w:rPr>
        <w:t>球管等核心部件</w:t>
      </w:r>
      <w:r>
        <w:rPr>
          <w:rFonts w:hint="eastAsia" w:ascii="宋体" w:hAnsi="宋体"/>
          <w:bCs/>
          <w:color w:val="auto"/>
          <w:sz w:val="24"/>
          <w:highlight w:val="none"/>
        </w:rPr>
        <w:t>必须为原厂同型号全新备件，并能提供相应的证书、合格证、报关单；</w:t>
      </w:r>
    </w:p>
    <w:p>
      <w:pPr>
        <w:widowControl/>
        <w:topLinePunct/>
        <w:spacing w:line="360" w:lineRule="auto"/>
        <w:ind w:firstLine="420" w:firstLineChars="175"/>
        <w:jc w:val="left"/>
        <w:outlineLvl w:val="0"/>
        <w:rPr>
          <w:rFonts w:hint="eastAsia" w:ascii="宋体" w:hAnsi="宋体" w:eastAsia="宋体" w:cs="Times New Roman"/>
          <w:bCs/>
          <w:color w:val="auto"/>
          <w:sz w:val="24"/>
        </w:rPr>
      </w:pPr>
      <w:r>
        <w:rPr>
          <w:rFonts w:hint="eastAsia" w:ascii="宋体" w:hAnsi="宋体"/>
          <w:bCs/>
          <w:color w:val="auto"/>
          <w:sz w:val="24"/>
        </w:rPr>
        <w:t>2.</w:t>
      </w:r>
      <w:r>
        <w:rPr>
          <w:rFonts w:hint="eastAsia" w:ascii="宋体" w:hAnsi="宋体" w:eastAsia="宋体" w:cs="Times New Roman"/>
          <w:bCs/>
          <w:color w:val="auto"/>
          <w:sz w:val="24"/>
        </w:rPr>
        <w:t>维修响应时间：报修后工程师电话响应不超过4小时，由资深工程师提供电话技术支持，答疑、即时诊断机器故障、制定维修方案。现场检修：24小时以内到达现场，由原厂认证合格的专业工程师或经有培训资质的部门培训合格并具有有效期内的设备维修资质证书的工程师到现场服务，本地区配备专职维修工程师</w:t>
      </w:r>
      <w:r>
        <w:rPr>
          <w:rFonts w:hint="eastAsia" w:ascii="宋体" w:hAnsi="宋体" w:eastAsia="宋体" w:cs="Times New Roman"/>
          <w:bCs/>
          <w:color w:val="auto"/>
          <w:sz w:val="24"/>
          <w:lang w:val="en-US" w:eastAsia="zh-CN"/>
        </w:rPr>
        <w:t>1</w:t>
      </w:r>
      <w:r>
        <w:rPr>
          <w:rFonts w:hint="eastAsia" w:ascii="宋体" w:hAnsi="宋体" w:eastAsia="宋体" w:cs="Times New Roman"/>
          <w:bCs/>
          <w:color w:val="auto"/>
          <w:sz w:val="24"/>
        </w:rPr>
        <w:t>名。所有配件国内有货，给院方所有备件的优先使用权，48小时之内送达医院。全年365天日历日开机率大于95%（</w:t>
      </w:r>
      <w:r>
        <w:rPr>
          <w:rFonts w:hint="eastAsia" w:ascii="宋体" w:hAnsi="宋体" w:eastAsia="宋体" w:cs="Times New Roman"/>
          <w:bCs/>
          <w:color w:val="auto"/>
          <w:sz w:val="24"/>
          <w:lang w:val="en-AU"/>
        </w:rPr>
        <w:t>按照一年365日计算），</w:t>
      </w:r>
      <w:r>
        <w:rPr>
          <w:rFonts w:hint="eastAsia" w:ascii="宋体" w:hAnsi="宋体" w:eastAsia="宋体" w:cs="Times New Roman"/>
          <w:bCs/>
          <w:color w:val="auto"/>
          <w:sz w:val="24"/>
        </w:rPr>
        <w:t>每年累计因设备故障原因停机不超过18个日历日。</w:t>
      </w:r>
    </w:p>
    <w:p>
      <w:pPr>
        <w:widowControl/>
        <w:topLinePunct/>
        <w:spacing w:line="360" w:lineRule="auto"/>
        <w:ind w:firstLine="420" w:firstLineChars="175"/>
        <w:jc w:val="left"/>
        <w:outlineLvl w:val="0"/>
        <w:rPr>
          <w:rFonts w:hint="eastAsia" w:ascii="宋体" w:hAnsi="宋体"/>
          <w:bCs/>
          <w:color w:val="auto"/>
          <w:sz w:val="24"/>
          <w:highlight w:val="none"/>
        </w:rPr>
      </w:pPr>
      <w:r>
        <w:rPr>
          <w:rFonts w:hint="eastAsia" w:ascii="宋体" w:hAnsi="宋体"/>
          <w:bCs/>
          <w:color w:val="auto"/>
          <w:sz w:val="24"/>
        </w:rPr>
        <w:t>3.</w:t>
      </w:r>
      <w:r>
        <w:rPr>
          <w:rFonts w:hint="eastAsia" w:ascii="宋体" w:hAnsi="宋体"/>
          <w:bCs/>
          <w:color w:val="auto"/>
          <w:sz w:val="24"/>
          <w:highlight w:val="none"/>
        </w:rPr>
        <w:t>具备客户服务专线电话，365天开通，24小时有专人接听（提供专线号码等）；</w:t>
      </w:r>
    </w:p>
    <w:p>
      <w:pPr>
        <w:widowControl/>
        <w:topLinePunct/>
        <w:spacing w:line="360" w:lineRule="auto"/>
        <w:ind w:firstLine="420" w:firstLineChars="175"/>
        <w:jc w:val="left"/>
        <w:outlineLvl w:val="0"/>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.合同期内，每次保养后出具完整的保养报告及质量管理报告；合同期内每年提供2个原厂培训名额（包含临床多学科培训课程、设备管理维护培训课程、现场应用培训课程）；</w:t>
      </w:r>
    </w:p>
    <w:p>
      <w:pPr>
        <w:widowControl/>
        <w:topLinePunct/>
        <w:spacing w:line="360" w:lineRule="auto"/>
        <w:ind w:firstLine="420" w:firstLineChars="175"/>
        <w:jc w:val="left"/>
        <w:outlineLvl w:val="0"/>
        <w:rPr>
          <w:rFonts w:hint="eastAsia" w:ascii="宋体" w:hAnsi="宋体"/>
          <w:bCs/>
          <w:color w:val="auto"/>
          <w:sz w:val="24"/>
        </w:rPr>
      </w:pPr>
      <w:r>
        <w:rPr>
          <w:rFonts w:hint="eastAsia" w:ascii="宋体" w:hAnsi="宋体"/>
          <w:bCs/>
          <w:color w:val="auto"/>
          <w:sz w:val="24"/>
          <w:highlight w:val="none"/>
          <w:lang w:val="en-US" w:eastAsia="zh-CN"/>
        </w:rPr>
        <w:t>5</w:t>
      </w:r>
      <w:r>
        <w:rPr>
          <w:rFonts w:hint="eastAsia" w:ascii="宋体" w:hAnsi="宋体"/>
          <w:bCs/>
          <w:color w:val="auto"/>
          <w:sz w:val="24"/>
          <w:highlight w:val="none"/>
        </w:rPr>
        <w:t>.保修期内，需要对设备建立“大型医疗设备使用档案”，“大型医疗设备使用档案”随机器存放在使用科室，每次故障维修及保养，必须提供完整详细的维修、保养记录（含故障原因、解决过程及更换配件情况等，英文书写的需有中文备注），并由服务工程师、临床科室、医疗设备科签字确认，一份纸质记录存放使用科室，放入“大型医疗设备使用档案”中，一份记录交院方医疗设备科分管工程师备案。在每次处理故障结束后现场对院方相关人员进行设备维护培训讲解。</w:t>
      </w:r>
    </w:p>
    <w:p>
      <w:pPr>
        <w:widowControl/>
        <w:topLinePunct/>
        <w:spacing w:line="360" w:lineRule="auto"/>
        <w:ind w:firstLine="420" w:firstLineChars="175"/>
        <w:jc w:val="left"/>
        <w:outlineLvl w:val="0"/>
        <w:rPr>
          <w:rFonts w:hint="eastAsia" w:ascii="宋体" w:hAnsi="宋体"/>
          <w:bCs/>
          <w:color w:val="auto"/>
          <w:sz w:val="24"/>
        </w:rPr>
      </w:pPr>
      <w:r>
        <w:rPr>
          <w:rFonts w:hint="eastAsia" w:ascii="宋体" w:hAnsi="宋体"/>
          <w:bCs/>
          <w:color w:val="auto"/>
          <w:sz w:val="24"/>
          <w:lang w:val="en-US" w:eastAsia="zh-CN"/>
        </w:rPr>
        <w:t>6</w:t>
      </w:r>
      <w:r>
        <w:rPr>
          <w:rFonts w:hint="eastAsia" w:ascii="宋体" w:hAnsi="宋体"/>
          <w:bCs/>
          <w:color w:val="auto"/>
          <w:sz w:val="24"/>
        </w:rPr>
        <w:t>.须具备远程网络维修诊断服务系统，并提供安全认证的远程诊断证书证明文件；</w:t>
      </w:r>
    </w:p>
    <w:p>
      <w:pPr>
        <w:widowControl/>
        <w:topLinePunct/>
        <w:spacing w:line="360" w:lineRule="auto"/>
        <w:ind w:firstLine="420" w:firstLineChars="175"/>
        <w:jc w:val="left"/>
        <w:outlineLvl w:val="0"/>
        <w:rPr>
          <w:rFonts w:hint="eastAsia" w:ascii="宋体" w:hAnsi="宋体"/>
          <w:bCs/>
          <w:color w:val="auto"/>
          <w:sz w:val="24"/>
        </w:rPr>
      </w:pPr>
      <w:r>
        <w:rPr>
          <w:rFonts w:hint="eastAsia" w:ascii="宋体" w:hAnsi="宋体"/>
          <w:bCs/>
          <w:color w:val="auto"/>
          <w:sz w:val="24"/>
          <w:lang w:val="en-US" w:eastAsia="zh-CN"/>
        </w:rPr>
        <w:t>7</w:t>
      </w:r>
      <w:r>
        <w:rPr>
          <w:rFonts w:hint="eastAsia" w:ascii="宋体" w:hAnsi="宋体"/>
          <w:bCs/>
          <w:color w:val="auto"/>
          <w:sz w:val="24"/>
        </w:rPr>
        <w:t>.须能提供设备的系统软件及硬件，提供安全性改版升级和技术支持；</w:t>
      </w:r>
    </w:p>
    <w:p>
      <w:pPr>
        <w:widowControl/>
        <w:topLinePunct/>
        <w:spacing w:line="360" w:lineRule="auto"/>
        <w:ind w:firstLine="420" w:firstLineChars="175"/>
        <w:jc w:val="left"/>
        <w:outlineLvl w:val="0"/>
        <w:rPr>
          <w:rFonts w:hint="eastAsia" w:ascii="宋体" w:hAnsi="宋体"/>
          <w:bCs/>
          <w:color w:val="auto"/>
          <w:sz w:val="24"/>
          <w:highlight w:val="none"/>
        </w:rPr>
      </w:pPr>
      <w:r>
        <w:rPr>
          <w:rFonts w:hint="eastAsia" w:ascii="宋体" w:hAnsi="宋体"/>
          <w:bCs/>
          <w:color w:val="auto"/>
          <w:sz w:val="24"/>
          <w:highlight w:val="none"/>
          <w:lang w:val="en-US" w:eastAsia="zh-CN"/>
        </w:rPr>
        <w:t>8</w:t>
      </w:r>
      <w:r>
        <w:rPr>
          <w:rFonts w:hint="eastAsia" w:ascii="宋体" w:hAnsi="宋体"/>
          <w:bCs/>
          <w:color w:val="auto"/>
          <w:sz w:val="24"/>
          <w:highlight w:val="none"/>
        </w:rPr>
        <w:t>.</w:t>
      </w:r>
      <w:r>
        <w:rPr>
          <w:rFonts w:hint="eastAsia"/>
          <w:bCs/>
          <w:color w:val="auto"/>
          <w:sz w:val="24"/>
        </w:rPr>
        <w:t>中标供应商</w:t>
      </w:r>
      <w:r>
        <w:rPr>
          <w:rFonts w:hint="eastAsia" w:ascii="宋体" w:hAnsi="宋体"/>
          <w:bCs/>
          <w:color w:val="auto"/>
          <w:sz w:val="24"/>
          <w:highlight w:val="none"/>
        </w:rPr>
        <w:t>须将招标期间已发生的相关维修费用包含在合同中，采购人将不为备件单独付费。</w:t>
      </w:r>
    </w:p>
    <w:p>
      <w:pPr>
        <w:numPr>
          <w:ilvl w:val="0"/>
          <w:numId w:val="2"/>
        </w:numPr>
        <w:spacing w:line="360" w:lineRule="auto"/>
        <w:rPr>
          <w:rFonts w:hint="eastAsia" w:ascii="宋体" w:hAnsi="宋体" w:cs="宋体"/>
          <w:b/>
          <w:bCs/>
          <w:color w:val="auto"/>
          <w:kern w:val="0"/>
          <w:sz w:val="24"/>
        </w:rPr>
      </w:pPr>
      <w:r>
        <w:rPr>
          <w:rFonts w:hint="eastAsia" w:ascii="宋体" w:hAnsi="宋体" w:cs="宋体"/>
          <w:b/>
          <w:bCs/>
          <w:color w:val="auto"/>
          <w:kern w:val="0"/>
          <w:sz w:val="24"/>
        </w:rPr>
        <w:t>采购标的的验收标准：</w:t>
      </w:r>
    </w:p>
    <w:p>
      <w:pPr>
        <w:tabs>
          <w:tab w:val="left" w:pos="1050"/>
        </w:tabs>
        <w:spacing w:line="360" w:lineRule="auto"/>
        <w:ind w:firstLine="480" w:firstLineChars="200"/>
        <w:rPr>
          <w:rFonts w:ascii="宋体" w:hAnsi="宋体" w:cs="宋体"/>
          <w:bCs/>
          <w:color w:val="auto"/>
          <w:sz w:val="24"/>
        </w:rPr>
      </w:pPr>
      <w:r>
        <w:rPr>
          <w:rFonts w:hint="eastAsia" w:ascii="宋体" w:hAnsi="宋体" w:cs="宋体"/>
          <w:bCs/>
          <w:color w:val="auto"/>
          <w:sz w:val="24"/>
        </w:rPr>
        <w:t>质量及验收：</w:t>
      </w:r>
      <w:r>
        <w:rPr>
          <w:rFonts w:hint="eastAsia" w:ascii="宋体" w:hAnsi="宋体"/>
          <w:color w:val="auto"/>
          <w:sz w:val="24"/>
        </w:rPr>
        <w:t>满足采购人使用要求，需达到提供服务期间保证保修设备开机率达到95%以上；如设备故障停机率超过5%（一年按365天计算，每年18天），每超过一天，保修期顺延一天</w:t>
      </w:r>
      <w:r>
        <w:rPr>
          <w:rFonts w:hint="eastAsia" w:ascii="宋体" w:hAnsi="宋体" w:cs="宋体"/>
          <w:color w:val="auto"/>
          <w:sz w:val="24"/>
        </w:rPr>
        <w:t>。</w:t>
      </w:r>
    </w:p>
    <w:p>
      <w:pPr>
        <w:numPr>
          <w:ilvl w:val="0"/>
          <w:numId w:val="3"/>
        </w:numPr>
        <w:spacing w:line="360" w:lineRule="auto"/>
        <w:rPr>
          <w:rFonts w:hint="eastAsia" w:ascii="宋体" w:hAnsi="宋体" w:cs="宋体"/>
          <w:b/>
          <w:bCs/>
          <w:color w:val="auto"/>
          <w:kern w:val="0"/>
          <w:sz w:val="24"/>
        </w:rPr>
      </w:pPr>
      <w:r>
        <w:rPr>
          <w:rFonts w:hint="eastAsia" w:ascii="宋体" w:hAnsi="宋体" w:cs="宋体"/>
          <w:b/>
          <w:bCs/>
          <w:color w:val="auto"/>
          <w:kern w:val="0"/>
          <w:sz w:val="24"/>
        </w:rPr>
        <w:t>采购标的的其他技术、服务等要求：</w:t>
      </w:r>
    </w:p>
    <w:p>
      <w:pPr>
        <w:tabs>
          <w:tab w:val="left" w:pos="1050"/>
        </w:tabs>
        <w:spacing w:line="360" w:lineRule="auto"/>
        <w:ind w:firstLine="480" w:firstLineChars="200"/>
        <w:rPr>
          <w:rFonts w:hint="eastAsia" w:ascii="宋体" w:hAnsi="宋体"/>
          <w:color w:val="auto"/>
          <w:sz w:val="24"/>
        </w:rPr>
      </w:pPr>
      <w:r>
        <w:rPr>
          <w:rFonts w:hint="eastAsia" w:ascii="宋体" w:hAnsi="宋体" w:cs="宋体"/>
          <w:bCs/>
          <w:color w:val="auto"/>
          <w:sz w:val="24"/>
        </w:rPr>
        <w:t>1.</w:t>
      </w:r>
      <w:r>
        <w:rPr>
          <w:rFonts w:hint="eastAsia" w:ascii="宋体" w:hAnsi="宋体"/>
          <w:color w:val="auto"/>
          <w:sz w:val="24"/>
        </w:rPr>
        <w:t>投标供应商的投标报价的总额应是投标供应商在投标文件中提出的各项支付金额的总和，</w:t>
      </w:r>
      <w:r>
        <w:rPr>
          <w:rFonts w:hint="eastAsia" w:ascii="宋体" w:hAnsi="宋体"/>
          <w:color w:val="auto"/>
          <w:sz w:val="24"/>
          <w:szCs w:val="28"/>
        </w:rPr>
        <w:t>必须包括：本项目服务周期内保修的所有费用（含</w:t>
      </w:r>
      <w:r>
        <w:rPr>
          <w:rFonts w:hint="eastAsia" w:ascii="宋体" w:hAnsi="宋体" w:eastAsia="宋体" w:cs="Times New Roman"/>
          <w:bCs/>
          <w:color w:val="auto"/>
          <w:sz w:val="24"/>
        </w:rPr>
        <w:t>所有的配件、人工、差旅、搬运、快递、安装调试及系统软件升级、相关技术支持及培训费用等</w:t>
      </w:r>
      <w:r>
        <w:rPr>
          <w:rFonts w:ascii="宋体" w:hAnsi="宋体"/>
          <w:color w:val="auto"/>
          <w:sz w:val="24"/>
          <w:szCs w:val="28"/>
        </w:rPr>
        <w:t>）</w:t>
      </w:r>
      <w:r>
        <w:rPr>
          <w:rFonts w:hint="eastAsia" w:ascii="宋体" w:hAnsi="宋体"/>
          <w:color w:val="auto"/>
          <w:sz w:val="24"/>
          <w:szCs w:val="28"/>
        </w:rPr>
        <w:t>。所更换的零部件必须为原厂同型号全新备件；同时还需包含本项目服务过渡期发生的维</w:t>
      </w:r>
      <w:r>
        <w:rPr>
          <w:rFonts w:hint="eastAsia" w:ascii="宋体" w:hAnsi="宋体"/>
          <w:color w:val="auto"/>
          <w:sz w:val="24"/>
        </w:rPr>
        <w:t>修费用。即项目报价包含所更换的设备费、配件费、人工费、税金等涉及到的所有费用。如中标供应商在项目实施过程中出现任何报价遗漏，均由中标供应商负责，采购人不再支付任何费用。</w:t>
      </w:r>
    </w:p>
    <w:p>
      <w:pPr>
        <w:tabs>
          <w:tab w:val="left" w:pos="1050"/>
        </w:tabs>
        <w:spacing w:line="360" w:lineRule="auto"/>
        <w:ind w:firstLine="480" w:firstLineChars="200"/>
        <w:rPr>
          <w:rFonts w:hint="eastAsia" w:ascii="宋体" w:hAnsi="宋体"/>
          <w:color w:val="auto"/>
          <w:sz w:val="24"/>
        </w:rPr>
      </w:pPr>
      <w:r>
        <w:rPr>
          <w:rFonts w:hint="eastAsia" w:ascii="宋体" w:hAnsi="宋体"/>
          <w:color w:val="auto"/>
          <w:sz w:val="24"/>
        </w:rPr>
        <w:t>2.投标人必须在满足采购文件要求的基础上进行报价，如有技术偏离请于投标偏离表中说明。</w:t>
      </w:r>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1C40A5"/>
    <w:multiLevelType w:val="singleLevel"/>
    <w:tmpl w:val="291C40A5"/>
    <w:lvl w:ilvl="0" w:tentative="0">
      <w:start w:val="6"/>
      <w:numFmt w:val="chineseCounting"/>
      <w:suff w:val="nothing"/>
      <w:lvlText w:val="%1、"/>
      <w:lvlJc w:val="left"/>
      <w:rPr>
        <w:rFonts w:hint="eastAsia"/>
      </w:rPr>
    </w:lvl>
  </w:abstractNum>
  <w:abstractNum w:abstractNumId="1">
    <w:nsid w:val="41E5EDF9"/>
    <w:multiLevelType w:val="singleLevel"/>
    <w:tmpl w:val="41E5EDF9"/>
    <w:lvl w:ilvl="0" w:tentative="0">
      <w:start w:val="2"/>
      <w:numFmt w:val="chineseCounting"/>
      <w:suff w:val="nothing"/>
      <w:lvlText w:val="%1、"/>
      <w:lvlJc w:val="left"/>
      <w:rPr>
        <w:rFonts w:hint="eastAsia"/>
      </w:rPr>
    </w:lvl>
  </w:abstractNum>
  <w:abstractNum w:abstractNumId="2">
    <w:nsid w:val="6367A327"/>
    <w:multiLevelType w:val="singleLevel"/>
    <w:tmpl w:val="6367A327"/>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2NTE1MTBiNDljN2JhMTAzYzY4NDY0MTNhMDY0ZTQifQ=="/>
  </w:docVars>
  <w:rsids>
    <w:rsidRoot w:val="111A3A87"/>
    <w:rsid w:val="111A3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utoSpaceDE w:val="0"/>
      <w:autoSpaceDN w:val="0"/>
      <w:adjustRightInd w:val="0"/>
    </w:pPr>
    <w:rPr>
      <w:rFonts w:ascii="仿宋_GB2312" w:eastAsia="仿宋_GB2312"/>
      <w:kern w:val="0"/>
      <w:sz w:val="28"/>
      <w:szCs w:val="20"/>
    </w:rPr>
  </w:style>
  <w:style w:type="paragraph" w:styleId="3">
    <w:name w:val="Body Text Indent"/>
    <w:basedOn w:val="1"/>
    <w:qFormat/>
    <w:uiPriority w:val="0"/>
    <w:pPr>
      <w:widowControl/>
      <w:autoSpaceDE w:val="0"/>
      <w:autoSpaceDN w:val="0"/>
      <w:adjustRightInd w:val="0"/>
      <w:spacing w:line="300" w:lineRule="auto"/>
      <w:ind w:left="156"/>
    </w:pPr>
    <w:rPr>
      <w:rFonts w:ascii="仿宋_GB2312" w:eastAsia="仿宋_GB2312"/>
      <w:kern w:val="0"/>
      <w:sz w:val="28"/>
      <w:szCs w:val="20"/>
    </w:r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2023-05-16T02:52:00Z</dcterms:created>
  <dc:creator>杨咩咩</dc:creator>
  <cp:lastModifiedBy>杨咩咩</cp:lastModifiedBy>
  <dcterms:modified xsi:type="dcterms:W3CDTF">2023-05-16T02:53:06Z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39AB5D5E9C804D5297351BDD6DD159DB_11</vt:lpwstr>
  </property>
</Properties>
</file>