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4211"/>
        </w:tabs>
        <w:spacing w:before="340" w:after="330" w:line="240" w:lineRule="auto"/>
        <w:jc w:val="center"/>
        <w:outlineLvl w:val="0"/>
        <w:rPr>
          <w:rFonts w:ascii="宋体" w:hAnsi="宋体" w:cs="宋体"/>
          <w:b/>
          <w:bCs/>
          <w:kern w:val="44"/>
          <w:sz w:val="44"/>
          <w:szCs w:val="44"/>
        </w:rPr>
      </w:pPr>
      <w:r>
        <w:rPr>
          <w:rFonts w:hint="eastAsia" w:ascii="宋体" w:hAnsi="宋体" w:cs="宋体"/>
          <w:b/>
          <w:bCs/>
          <w:kern w:val="44"/>
          <w:sz w:val="44"/>
          <w:szCs w:val="44"/>
        </w:rPr>
        <w:t>采购需求</w:t>
      </w:r>
    </w:p>
    <w:p>
      <w:pPr>
        <w:widowControl w:val="0"/>
        <w:spacing w:line="360" w:lineRule="auto"/>
        <w:ind w:firstLine="241" w:firstLineChars="100"/>
        <w:jc w:val="both"/>
        <w:outlineLvl w:val="1"/>
        <w:rPr>
          <w:rFonts w:ascii="宋体" w:hAnsi="宋体" w:cs="宋体"/>
          <w:b/>
          <w:bCs/>
          <w:kern w:val="2"/>
          <w:sz w:val="24"/>
          <w:szCs w:val="24"/>
        </w:rPr>
      </w:pPr>
      <w:r>
        <w:rPr>
          <w:rFonts w:hint="eastAsia" w:ascii="宋体" w:hAnsi="宋体" w:cs="宋体"/>
          <w:b/>
          <w:bCs/>
          <w:kern w:val="2"/>
          <w:sz w:val="24"/>
          <w:szCs w:val="24"/>
        </w:rPr>
        <w:t>一、项目背景</w:t>
      </w:r>
    </w:p>
    <w:p>
      <w:pPr>
        <w:widowControl w:val="0"/>
        <w:autoSpaceDE w:val="0"/>
        <w:autoSpaceDN w:val="0"/>
        <w:adjustRightInd w:val="0"/>
        <w:spacing w:line="360" w:lineRule="auto"/>
        <w:ind w:firstLine="720" w:firstLineChars="300"/>
        <w:jc w:val="both"/>
        <w:rPr>
          <w:rFonts w:ascii="Times New Roman" w:hAnsi="Times New Roman" w:cs="Times New Roman"/>
          <w:kern w:val="2"/>
          <w:sz w:val="24"/>
          <w:szCs w:val="24"/>
        </w:rPr>
      </w:pPr>
      <w:r>
        <w:rPr>
          <w:rFonts w:hint="eastAsia" w:ascii="宋体" w:hAnsi="宋体" w:cs="宋体"/>
          <w:color w:val="000000"/>
          <w:kern w:val="2"/>
          <w:sz w:val="24"/>
          <w:szCs w:val="24"/>
        </w:rPr>
        <w:t>在国内国际双循环的总体发展战略的背景下，无锡高新区站在“十四五”的崭新起点，坚持高质量发展和持续扩大开放的理念，正积极优化区内产业布局，加快推进产业转型升级和城市界面更新改造。目前，高新区以建设高质量开放型经济为目标，正不断强化跨境贸易能级，打造产城融合的城市新界面，预期形成以无锡高新区综保区片区和无锡高新区新安港片区为核心的国际贸易港。立足原有产业用地存量资源改造提升基础上，做大经济总量、做强经济质量，不断提升对外开放水平。无锡高新区重点关注国际贸易港的建设工作，无锡高新区国际贸易港的高质量建成将对无锡高新区“十四五”期间经济高质量发展建设起着至关重要的作用。</w:t>
      </w:r>
    </w:p>
    <w:p>
      <w:pPr>
        <w:widowControl w:val="0"/>
        <w:spacing w:line="360" w:lineRule="auto"/>
        <w:ind w:firstLine="241" w:firstLineChars="100"/>
        <w:jc w:val="both"/>
        <w:outlineLvl w:val="1"/>
        <w:rPr>
          <w:rFonts w:ascii="宋体" w:hAnsi="宋体" w:cs="宋体"/>
          <w:b/>
          <w:bCs/>
          <w:kern w:val="2"/>
          <w:sz w:val="24"/>
          <w:szCs w:val="24"/>
        </w:rPr>
      </w:pPr>
      <w:r>
        <w:rPr>
          <w:rFonts w:hint="eastAsia" w:ascii="宋体" w:hAnsi="宋体" w:cs="宋体"/>
          <w:b/>
          <w:bCs/>
          <w:kern w:val="2"/>
          <w:sz w:val="24"/>
          <w:szCs w:val="24"/>
        </w:rPr>
        <w:t>二、主要工作内容</w:t>
      </w:r>
    </w:p>
    <w:p>
      <w:pPr>
        <w:widowControl w:val="0"/>
        <w:autoSpaceDE w:val="0"/>
        <w:autoSpaceDN w:val="0"/>
        <w:adjustRightInd w:val="0"/>
        <w:spacing w:line="360" w:lineRule="auto"/>
        <w:ind w:left="440" w:leftChars="200"/>
        <w:jc w:val="both"/>
        <w:rPr>
          <w:rFonts w:ascii="宋体" w:hAnsi="宋体" w:cs="宋体"/>
          <w:color w:val="000000"/>
          <w:kern w:val="2"/>
          <w:sz w:val="24"/>
        </w:rPr>
      </w:pPr>
      <w:r>
        <w:rPr>
          <w:rFonts w:ascii="宋体" w:hAnsi="宋体" w:cs="宋体"/>
          <w:color w:val="000000"/>
          <w:kern w:val="2"/>
          <w:sz w:val="24"/>
        </w:rPr>
        <w:t xml:space="preserve">1. </w:t>
      </w:r>
      <w:r>
        <w:rPr>
          <w:rFonts w:hint="eastAsia" w:ascii="宋体" w:hAnsi="宋体" w:cs="宋体"/>
          <w:color w:val="000000"/>
          <w:kern w:val="2"/>
          <w:sz w:val="24"/>
        </w:rPr>
        <w:t>无锡高新区国际贸易港的发展现状分析和问题诊断</w:t>
      </w:r>
    </w:p>
    <w:p>
      <w:pPr>
        <w:widowControl w:val="0"/>
        <w:numPr>
          <w:ilvl w:val="0"/>
          <w:numId w:val="1"/>
        </w:numPr>
        <w:autoSpaceDE w:val="0"/>
        <w:autoSpaceDN w:val="0"/>
        <w:adjustRightInd w:val="0"/>
        <w:spacing w:line="360" w:lineRule="auto"/>
        <w:jc w:val="both"/>
        <w:rPr>
          <w:rFonts w:ascii="宋体" w:hAnsi="宋体" w:cs="宋体"/>
          <w:color w:val="000000"/>
          <w:kern w:val="2"/>
          <w:sz w:val="24"/>
        </w:rPr>
      </w:pPr>
      <w:r>
        <w:rPr>
          <w:rFonts w:hint="eastAsia" w:ascii="宋体" w:hAnsi="宋体" w:cs="宋体"/>
          <w:color w:val="000000"/>
          <w:kern w:val="2"/>
          <w:sz w:val="24"/>
        </w:rPr>
        <w:t>围绕经济基础、贸易便利、枢纽设施以及区位等角度开展调研分析，系统梳理无锡高新区国际贸易港的发展现状与基础；</w:t>
      </w:r>
    </w:p>
    <w:p>
      <w:pPr>
        <w:widowControl w:val="0"/>
        <w:numPr>
          <w:ilvl w:val="0"/>
          <w:numId w:val="1"/>
        </w:numPr>
        <w:autoSpaceDE w:val="0"/>
        <w:autoSpaceDN w:val="0"/>
        <w:adjustRightInd w:val="0"/>
        <w:spacing w:line="360" w:lineRule="auto"/>
        <w:jc w:val="both"/>
        <w:rPr>
          <w:rFonts w:ascii="宋体" w:hAnsi="宋体" w:cs="宋体"/>
          <w:color w:val="000000"/>
          <w:kern w:val="2"/>
          <w:sz w:val="24"/>
        </w:rPr>
      </w:pPr>
      <w:r>
        <w:rPr>
          <w:rFonts w:hint="eastAsia" w:ascii="宋体" w:hAnsi="宋体" w:cs="宋体"/>
          <w:color w:val="000000"/>
          <w:kern w:val="2"/>
          <w:sz w:val="24"/>
        </w:rPr>
        <w:t>通过访谈调研与案头研究相结合的方式，厘清无锡高新区国际贸易港现阶段存在的不足与挑战；</w:t>
      </w:r>
    </w:p>
    <w:p>
      <w:pPr>
        <w:widowControl w:val="0"/>
        <w:autoSpaceDE w:val="0"/>
        <w:autoSpaceDN w:val="0"/>
        <w:adjustRightInd w:val="0"/>
        <w:spacing w:line="360" w:lineRule="auto"/>
        <w:ind w:left="440" w:leftChars="200"/>
        <w:jc w:val="both"/>
        <w:rPr>
          <w:rFonts w:ascii="宋体" w:hAnsi="宋体" w:cs="宋体"/>
          <w:color w:val="000000"/>
          <w:kern w:val="2"/>
          <w:sz w:val="24"/>
        </w:rPr>
      </w:pPr>
      <w:r>
        <w:rPr>
          <w:rFonts w:ascii="宋体" w:hAnsi="宋体" w:cs="宋体"/>
          <w:color w:val="000000"/>
          <w:kern w:val="2"/>
          <w:sz w:val="24"/>
        </w:rPr>
        <w:t xml:space="preserve">2. </w:t>
      </w:r>
      <w:r>
        <w:rPr>
          <w:rFonts w:hint="eastAsia" w:ascii="宋体" w:hAnsi="宋体" w:cs="宋体"/>
          <w:color w:val="000000"/>
          <w:kern w:val="2"/>
          <w:sz w:val="24"/>
        </w:rPr>
        <w:t>无锡高新区国际贸易港的建设目标</w:t>
      </w:r>
    </w:p>
    <w:p>
      <w:pPr>
        <w:widowControl w:val="0"/>
        <w:numPr>
          <w:ilvl w:val="0"/>
          <w:numId w:val="1"/>
        </w:numPr>
        <w:autoSpaceDE w:val="0"/>
        <w:autoSpaceDN w:val="0"/>
        <w:adjustRightInd w:val="0"/>
        <w:spacing w:line="360" w:lineRule="auto"/>
        <w:jc w:val="both"/>
        <w:rPr>
          <w:rFonts w:ascii="宋体" w:hAnsi="宋体" w:cs="宋体"/>
          <w:color w:val="000000"/>
          <w:kern w:val="2"/>
          <w:sz w:val="24"/>
        </w:rPr>
      </w:pPr>
      <w:r>
        <w:rPr>
          <w:rFonts w:hint="eastAsia" w:ascii="宋体" w:hAnsi="宋体" w:cs="宋体"/>
          <w:color w:val="000000"/>
          <w:kern w:val="2"/>
          <w:sz w:val="24"/>
        </w:rPr>
        <w:t>从上位战略规划的承接、产业发展的客观规律和无锡高新区国际贸易港资源禀赋的角度出发，明确国际贸易港发展的指导思想和基本原则；</w:t>
      </w:r>
    </w:p>
    <w:p>
      <w:pPr>
        <w:widowControl w:val="0"/>
        <w:numPr>
          <w:ilvl w:val="0"/>
          <w:numId w:val="1"/>
        </w:numPr>
        <w:autoSpaceDE w:val="0"/>
        <w:autoSpaceDN w:val="0"/>
        <w:adjustRightInd w:val="0"/>
        <w:spacing w:line="360" w:lineRule="auto"/>
        <w:jc w:val="both"/>
        <w:rPr>
          <w:rFonts w:ascii="宋体" w:hAnsi="宋体" w:cs="宋体"/>
          <w:color w:val="000000"/>
          <w:kern w:val="2"/>
          <w:sz w:val="24"/>
        </w:rPr>
      </w:pPr>
      <w:r>
        <w:rPr>
          <w:rFonts w:hint="eastAsia" w:ascii="宋体" w:hAnsi="宋体" w:cs="宋体"/>
          <w:color w:val="000000"/>
          <w:kern w:val="2"/>
          <w:sz w:val="24"/>
        </w:rPr>
        <w:t>基于内外部因素分析，提出国际贸易港在枢纽功能、产业发展、贸易能级、制度创新方面的功能定位与总体发展目标；</w:t>
      </w:r>
    </w:p>
    <w:p>
      <w:pPr>
        <w:widowControl w:val="0"/>
        <w:autoSpaceDE w:val="0"/>
        <w:autoSpaceDN w:val="0"/>
        <w:adjustRightInd w:val="0"/>
        <w:spacing w:line="360" w:lineRule="auto"/>
        <w:ind w:left="440" w:leftChars="200"/>
        <w:jc w:val="both"/>
        <w:rPr>
          <w:rFonts w:ascii="宋体" w:hAnsi="宋体" w:cs="宋体"/>
          <w:color w:val="000000"/>
          <w:kern w:val="2"/>
          <w:sz w:val="24"/>
        </w:rPr>
      </w:pPr>
      <w:r>
        <w:rPr>
          <w:rFonts w:ascii="宋体" w:hAnsi="宋体" w:cs="宋体"/>
          <w:color w:val="000000"/>
          <w:kern w:val="2"/>
          <w:sz w:val="24"/>
        </w:rPr>
        <w:t>3.</w:t>
      </w:r>
      <w:r>
        <w:rPr>
          <w:rFonts w:ascii="Calibri" w:hAnsi="Calibri" w:cs="Times New Roman"/>
          <w:kern w:val="2"/>
          <w:sz w:val="24"/>
        </w:rPr>
        <w:t xml:space="preserve"> </w:t>
      </w:r>
      <w:r>
        <w:rPr>
          <w:rFonts w:hint="eastAsia" w:ascii="宋体" w:hAnsi="宋体" w:cs="宋体"/>
          <w:color w:val="000000"/>
          <w:kern w:val="2"/>
          <w:sz w:val="24"/>
        </w:rPr>
        <w:t>无锡高新区国际贸易港的产业定位</w:t>
      </w:r>
    </w:p>
    <w:p>
      <w:pPr>
        <w:widowControl w:val="0"/>
        <w:numPr>
          <w:ilvl w:val="0"/>
          <w:numId w:val="1"/>
        </w:numPr>
        <w:autoSpaceDE w:val="0"/>
        <w:autoSpaceDN w:val="0"/>
        <w:adjustRightInd w:val="0"/>
        <w:spacing w:line="360" w:lineRule="auto"/>
        <w:jc w:val="both"/>
        <w:rPr>
          <w:rFonts w:ascii="宋体" w:hAnsi="宋体" w:cs="宋体"/>
          <w:color w:val="000000"/>
          <w:kern w:val="2"/>
          <w:sz w:val="24"/>
        </w:rPr>
      </w:pPr>
      <w:r>
        <w:rPr>
          <w:rFonts w:hint="eastAsia" w:ascii="宋体" w:hAnsi="宋体" w:cs="宋体"/>
          <w:color w:val="000000"/>
          <w:kern w:val="2"/>
          <w:sz w:val="24"/>
        </w:rPr>
        <w:t>围绕无锡高新区“6+2+X”产业体系，在国际贸易港发展定位与总体目标的引领下，提出具有无锡高新区特色的国际贸易港产业体系；</w:t>
      </w:r>
    </w:p>
    <w:p>
      <w:pPr>
        <w:widowControl w:val="0"/>
        <w:numPr>
          <w:ilvl w:val="0"/>
          <w:numId w:val="1"/>
        </w:numPr>
        <w:autoSpaceDE w:val="0"/>
        <w:autoSpaceDN w:val="0"/>
        <w:adjustRightInd w:val="0"/>
        <w:spacing w:line="360" w:lineRule="auto"/>
        <w:jc w:val="both"/>
        <w:rPr>
          <w:rFonts w:ascii="宋体" w:hAnsi="宋体" w:cs="宋体"/>
          <w:color w:val="000000"/>
          <w:kern w:val="2"/>
          <w:sz w:val="24"/>
        </w:rPr>
      </w:pPr>
      <w:r>
        <w:rPr>
          <w:rFonts w:hint="eastAsia" w:ascii="宋体" w:hAnsi="宋体" w:cs="宋体"/>
          <w:color w:val="000000"/>
          <w:kern w:val="2"/>
          <w:sz w:val="24"/>
        </w:rPr>
        <w:t>分析国际贸易港产业体系中各产业的宏观机遇，梳理各个产业环节自身发展模式以及市场格局，通过产业吸引力和匹配度分析，明确国际贸易港的未来发展主要方向和重点领域；</w:t>
      </w:r>
    </w:p>
    <w:p>
      <w:pPr>
        <w:widowControl w:val="0"/>
        <w:autoSpaceDE w:val="0"/>
        <w:autoSpaceDN w:val="0"/>
        <w:adjustRightInd w:val="0"/>
        <w:spacing w:line="360" w:lineRule="auto"/>
        <w:ind w:left="440" w:leftChars="200" w:firstLine="480" w:firstLineChars="200"/>
        <w:jc w:val="both"/>
        <w:rPr>
          <w:rFonts w:ascii="宋体" w:hAnsi="宋体" w:cs="宋体"/>
          <w:color w:val="000000"/>
          <w:kern w:val="2"/>
          <w:sz w:val="24"/>
        </w:rPr>
      </w:pPr>
      <w:r>
        <w:rPr>
          <w:rFonts w:ascii="宋体" w:hAnsi="宋体" w:cs="宋体"/>
          <w:color w:val="000000"/>
          <w:kern w:val="2"/>
          <w:sz w:val="24"/>
        </w:rPr>
        <w:t xml:space="preserve">4. </w:t>
      </w:r>
      <w:r>
        <w:rPr>
          <w:rFonts w:hint="eastAsia" w:ascii="宋体" w:hAnsi="宋体" w:cs="宋体"/>
          <w:color w:val="000000"/>
          <w:kern w:val="2"/>
          <w:sz w:val="24"/>
        </w:rPr>
        <w:t>无锡高新区国际贸易港的整体发展策略</w:t>
      </w:r>
    </w:p>
    <w:p>
      <w:pPr>
        <w:widowControl w:val="0"/>
        <w:numPr>
          <w:ilvl w:val="0"/>
          <w:numId w:val="1"/>
        </w:numPr>
        <w:autoSpaceDE w:val="0"/>
        <w:autoSpaceDN w:val="0"/>
        <w:adjustRightInd w:val="0"/>
        <w:spacing w:line="360" w:lineRule="auto"/>
        <w:jc w:val="both"/>
        <w:rPr>
          <w:rFonts w:ascii="宋体" w:hAnsi="宋体" w:cs="宋体"/>
          <w:color w:val="000000"/>
          <w:kern w:val="2"/>
          <w:sz w:val="24"/>
        </w:rPr>
      </w:pPr>
      <w:r>
        <w:rPr>
          <w:rFonts w:hint="eastAsia" w:ascii="宋体" w:hAnsi="宋体" w:cs="宋体"/>
          <w:color w:val="000000"/>
          <w:kern w:val="2"/>
          <w:sz w:val="24"/>
        </w:rPr>
        <w:t>根据无锡高新区国际贸易港的发展定位与目标，研究并提出无锡高新区国际贸易港的整体发展策略；</w:t>
      </w:r>
    </w:p>
    <w:p>
      <w:pPr>
        <w:widowControl w:val="0"/>
        <w:numPr>
          <w:ilvl w:val="0"/>
          <w:numId w:val="1"/>
        </w:numPr>
        <w:autoSpaceDE w:val="0"/>
        <w:autoSpaceDN w:val="0"/>
        <w:adjustRightInd w:val="0"/>
        <w:spacing w:line="360" w:lineRule="auto"/>
        <w:jc w:val="both"/>
        <w:rPr>
          <w:rFonts w:ascii="宋体" w:hAnsi="宋体" w:cs="宋体"/>
          <w:color w:val="000000"/>
          <w:kern w:val="2"/>
          <w:sz w:val="24"/>
        </w:rPr>
      </w:pPr>
      <w:r>
        <w:rPr>
          <w:rFonts w:hint="eastAsia" w:ascii="宋体" w:hAnsi="宋体" w:cs="宋体"/>
          <w:color w:val="000000"/>
          <w:kern w:val="2"/>
          <w:sz w:val="24"/>
        </w:rPr>
        <w:t>基于国际贸易港“一港两区”多期开发的整体安排，对目标产业的发展时序和发展区域进行总体规划；</w:t>
      </w:r>
    </w:p>
    <w:p>
      <w:pPr>
        <w:widowControl w:val="0"/>
        <w:numPr>
          <w:ilvl w:val="0"/>
          <w:numId w:val="1"/>
        </w:numPr>
        <w:autoSpaceDE w:val="0"/>
        <w:autoSpaceDN w:val="0"/>
        <w:adjustRightInd w:val="0"/>
        <w:spacing w:line="360" w:lineRule="auto"/>
        <w:jc w:val="both"/>
        <w:rPr>
          <w:rFonts w:ascii="宋体" w:hAnsi="宋体" w:cs="宋体"/>
          <w:color w:val="000000"/>
          <w:kern w:val="2"/>
          <w:sz w:val="24"/>
          <w:highlight w:val="none"/>
        </w:rPr>
      </w:pPr>
      <w:r>
        <w:rPr>
          <w:rFonts w:hint="eastAsia" w:ascii="宋体" w:hAnsi="宋体" w:cs="宋体"/>
          <w:color w:val="000000"/>
          <w:kern w:val="2"/>
          <w:sz w:val="24"/>
        </w:rPr>
        <w:t>通过案例研究与本底分析相结合的方式，研究并制定保障无锡高新区国际贸易港发展目标的主要任务和若干重点举措，涵盖重点项目招引、产业平</w:t>
      </w:r>
      <w:bookmarkStart w:id="0" w:name="_GoBack"/>
      <w:r>
        <w:rPr>
          <w:rFonts w:hint="eastAsia" w:ascii="宋体" w:hAnsi="宋体" w:cs="宋体"/>
          <w:color w:val="000000"/>
          <w:kern w:val="2"/>
          <w:sz w:val="24"/>
          <w:highlight w:val="none"/>
        </w:rPr>
        <w:t>台建设、加强区港联动、营商环境优化等多个方面；</w:t>
      </w:r>
    </w:p>
    <w:p>
      <w:pPr>
        <w:widowControl w:val="0"/>
        <w:tabs>
          <w:tab w:val="left" w:pos="898"/>
          <w:tab w:val="left" w:pos="958"/>
        </w:tabs>
        <w:autoSpaceDE w:val="0"/>
        <w:autoSpaceDN w:val="0"/>
        <w:adjustRightInd w:val="0"/>
        <w:spacing w:line="360" w:lineRule="auto"/>
        <w:ind w:firstLine="420"/>
        <w:jc w:val="both"/>
        <w:rPr>
          <w:rFonts w:ascii="宋体" w:hAnsi="宋体" w:cs="宋体"/>
          <w:color w:val="000000"/>
          <w:kern w:val="2"/>
          <w:sz w:val="24"/>
          <w:highlight w:val="none"/>
        </w:rPr>
      </w:pPr>
      <w:r>
        <w:rPr>
          <w:rFonts w:ascii="宋体" w:hAnsi="宋体" w:cs="宋体"/>
          <w:color w:val="000000"/>
          <w:kern w:val="2"/>
          <w:sz w:val="24"/>
          <w:highlight w:val="none"/>
        </w:rPr>
        <w:t>5. 无锡高新区国际贸易港的整体功能布局建议</w:t>
      </w:r>
    </w:p>
    <w:p>
      <w:pPr>
        <w:widowControl w:val="0"/>
        <w:numPr>
          <w:ilvl w:val="0"/>
          <w:numId w:val="1"/>
        </w:numPr>
        <w:autoSpaceDE w:val="0"/>
        <w:autoSpaceDN w:val="0"/>
        <w:adjustRightInd w:val="0"/>
        <w:spacing w:line="360" w:lineRule="auto"/>
        <w:jc w:val="both"/>
        <w:rPr>
          <w:rFonts w:ascii="宋体" w:hAnsi="宋体" w:cs="宋体"/>
          <w:color w:val="000000"/>
          <w:kern w:val="2"/>
          <w:sz w:val="24"/>
          <w:highlight w:val="none"/>
        </w:rPr>
      </w:pPr>
      <w:r>
        <w:rPr>
          <w:rFonts w:hint="eastAsia" w:ascii="宋体" w:hAnsi="宋体" w:cs="宋体"/>
          <w:color w:val="000000"/>
          <w:kern w:val="2"/>
          <w:sz w:val="24"/>
          <w:highlight w:val="none"/>
        </w:rPr>
        <w:t>通过对接无锡市自然资源和规划局新吴分局、综保区管理局、高新物流等相关部门，详细梳理并分析国际贸易港综保区片区和新安片区现有土地性质、用地效益、产业布局合理性、载体建设情况等关键问题；</w:t>
      </w:r>
    </w:p>
    <w:p>
      <w:pPr>
        <w:widowControl w:val="0"/>
        <w:numPr>
          <w:ilvl w:val="0"/>
          <w:numId w:val="1"/>
        </w:numPr>
        <w:autoSpaceDE w:val="0"/>
        <w:autoSpaceDN w:val="0"/>
        <w:adjustRightInd w:val="0"/>
        <w:spacing w:line="360" w:lineRule="auto"/>
        <w:jc w:val="both"/>
        <w:rPr>
          <w:rFonts w:ascii="宋体" w:hAnsi="宋体" w:cs="宋体"/>
          <w:color w:val="000000"/>
          <w:kern w:val="2"/>
          <w:sz w:val="24"/>
        </w:rPr>
      </w:pPr>
      <w:r>
        <w:rPr>
          <w:rFonts w:hint="eastAsia" w:ascii="宋体" w:hAnsi="宋体" w:cs="宋体"/>
          <w:color w:val="000000"/>
          <w:kern w:val="2"/>
          <w:sz w:val="24"/>
          <w:highlight w:val="none"/>
        </w:rPr>
        <w:t>基于两大片区土地及载体的现存问题和开发时序要求，与无锡高新区商务局、无锡市自然资源和规划局新吴分局、综保区管理局、高新物流以及空间规划设计团队协同推进国际贸易港整体布局策略的综合</w:t>
      </w:r>
      <w:bookmarkEnd w:id="0"/>
      <w:r>
        <w:rPr>
          <w:rFonts w:hint="eastAsia" w:ascii="宋体" w:hAnsi="宋体" w:cs="宋体"/>
          <w:color w:val="000000"/>
          <w:kern w:val="2"/>
          <w:sz w:val="24"/>
        </w:rPr>
        <w:t>研判工作，包含园区整体空间布局规划、园区功能分区规划以及重点载体建设等方面内容。</w:t>
      </w:r>
    </w:p>
    <w:p>
      <w:pPr>
        <w:widowControl w:val="0"/>
        <w:autoSpaceDE w:val="0"/>
        <w:autoSpaceDN w:val="0"/>
        <w:adjustRightInd w:val="0"/>
        <w:spacing w:line="360" w:lineRule="auto"/>
        <w:jc w:val="both"/>
        <w:rPr>
          <w:rFonts w:ascii="宋体" w:hAnsi="宋体" w:cs="宋体"/>
          <w:color w:val="000000"/>
          <w:kern w:val="2"/>
          <w:sz w:val="24"/>
          <w:szCs w:val="24"/>
        </w:rPr>
      </w:pPr>
    </w:p>
    <w:p>
      <w:pPr>
        <w:widowControl w:val="0"/>
        <w:spacing w:line="360" w:lineRule="auto"/>
        <w:ind w:firstLine="241" w:firstLineChars="100"/>
        <w:jc w:val="both"/>
        <w:outlineLvl w:val="1"/>
        <w:rPr>
          <w:rFonts w:ascii="宋体" w:hAnsi="宋体" w:cs="宋体"/>
          <w:b/>
          <w:bCs/>
          <w:kern w:val="2"/>
          <w:sz w:val="24"/>
          <w:szCs w:val="24"/>
        </w:rPr>
      </w:pPr>
      <w:r>
        <w:rPr>
          <w:rFonts w:hint="eastAsia" w:ascii="宋体" w:hAnsi="宋体" w:cs="宋体"/>
          <w:b/>
          <w:bCs/>
          <w:kern w:val="2"/>
          <w:sz w:val="24"/>
          <w:szCs w:val="24"/>
        </w:rPr>
        <w:t>三、完成时间</w:t>
      </w:r>
    </w:p>
    <w:p>
      <w:pPr>
        <w:widowControl w:val="0"/>
        <w:spacing w:line="360" w:lineRule="auto"/>
        <w:jc w:val="both"/>
        <w:rPr>
          <w:rFonts w:ascii="Times New Roman" w:hAnsi="Times New Roman" w:cs="Times New Roman"/>
          <w:kern w:val="2"/>
          <w:sz w:val="24"/>
          <w:szCs w:val="24"/>
        </w:rPr>
      </w:pPr>
      <w:r>
        <w:rPr>
          <w:rFonts w:hint="eastAsia" w:ascii="Times New Roman" w:hAnsi="Times New Roman" w:cs="Times New Roman"/>
          <w:kern w:val="2"/>
          <w:sz w:val="24"/>
          <w:szCs w:val="24"/>
        </w:rPr>
        <w:t>签订合同后的六周内交付报告成果</w:t>
      </w:r>
    </w:p>
    <w:p>
      <w:pPr>
        <w:adjustRightInd w:val="0"/>
        <w:spacing w:before="100" w:beforeAutospacing="1" w:after="100" w:afterAutospacing="1" w:line="288" w:lineRule="auto"/>
        <w:ind w:firstLine="420"/>
        <w:textAlignment w:val="baseline"/>
        <w:rPr>
          <w:rFonts w:ascii="宋体" w:hAnsi="宋体" w:cs="Times New Roman"/>
          <w:sz w:val="24"/>
          <w:szCs w:val="24"/>
        </w:rPr>
      </w:pPr>
    </w:p>
    <w:p>
      <w:pPr>
        <w:widowControl w:val="0"/>
        <w:spacing w:line="360" w:lineRule="auto"/>
        <w:ind w:firstLine="241" w:firstLineChars="100"/>
        <w:jc w:val="both"/>
        <w:outlineLvl w:val="1"/>
        <w:rPr>
          <w:rFonts w:ascii="宋体" w:hAnsi="宋体" w:cs="宋体"/>
          <w:b/>
          <w:bCs/>
          <w:kern w:val="2"/>
          <w:sz w:val="24"/>
          <w:szCs w:val="24"/>
        </w:rPr>
      </w:pPr>
      <w:r>
        <w:rPr>
          <w:rFonts w:hint="eastAsia" w:ascii="宋体" w:hAnsi="宋体" w:cs="宋体"/>
          <w:b/>
          <w:bCs/>
          <w:kern w:val="2"/>
          <w:sz w:val="24"/>
          <w:szCs w:val="24"/>
        </w:rPr>
        <w:t>四、项目成果</w:t>
      </w:r>
    </w:p>
    <w:p>
      <w:pPr>
        <w:widowControl w:val="0"/>
        <w:spacing w:line="360" w:lineRule="auto"/>
        <w:ind w:firstLine="480" w:firstLineChars="200"/>
        <w:jc w:val="both"/>
        <w:rPr>
          <w:rFonts w:ascii="Calibri" w:hAnsi="Calibri" w:cs="Times New Roman"/>
          <w:kern w:val="2"/>
          <w:sz w:val="24"/>
        </w:rPr>
      </w:pPr>
      <w:r>
        <w:rPr>
          <w:rFonts w:hint="eastAsia" w:ascii="Calibri" w:hAnsi="Calibri" w:cs="Times New Roman"/>
          <w:kern w:val="2"/>
          <w:sz w:val="24"/>
        </w:rPr>
        <w:t>项目中间成果提供汇报演示文件（PPT格式）的电子文件，用于汇报的主要内容于汇报前1天提交联系人。</w:t>
      </w:r>
    </w:p>
    <w:p>
      <w:pPr>
        <w:widowControl w:val="0"/>
        <w:spacing w:line="360" w:lineRule="auto"/>
        <w:ind w:firstLine="480" w:firstLineChars="200"/>
        <w:jc w:val="both"/>
        <w:rPr>
          <w:rFonts w:ascii="Calibri" w:hAnsi="Calibri" w:cs="Times New Roman"/>
          <w:kern w:val="2"/>
          <w:sz w:val="24"/>
        </w:rPr>
      </w:pPr>
      <w:r>
        <w:rPr>
          <w:rFonts w:hint="eastAsia" w:ascii="Calibri" w:hAnsi="Calibri" w:cs="Times New Roman"/>
          <w:kern w:val="2"/>
          <w:sz w:val="24"/>
        </w:rPr>
        <w:t>项目中间成果包括：</w:t>
      </w:r>
      <w:r>
        <w:rPr>
          <w:rFonts w:ascii="Calibri" w:hAnsi="Calibri" w:cs="Times New Roman"/>
          <w:kern w:val="2"/>
          <w:sz w:val="24"/>
        </w:rPr>
        <w:t xml:space="preserve"> </w:t>
      </w:r>
      <w:r>
        <w:rPr>
          <w:rFonts w:hint="eastAsia" w:ascii="Calibri" w:hAnsi="Calibri" w:cs="Times New Roman"/>
          <w:kern w:val="2"/>
          <w:sz w:val="24"/>
        </w:rPr>
        <w:t>《无锡高新区国际贸易港发展规划》演示文件初稿 1份（PPT格式、中文）、《无锡高新区国际贸易港发展规划》规划文本初稿 1份（word格式、中文）。</w:t>
      </w:r>
    </w:p>
    <w:p>
      <w:pPr>
        <w:widowControl w:val="0"/>
        <w:spacing w:line="360" w:lineRule="auto"/>
        <w:ind w:firstLine="480" w:firstLineChars="200"/>
        <w:jc w:val="both"/>
        <w:rPr>
          <w:rFonts w:ascii="Calibri" w:hAnsi="Calibri" w:cs="Times New Roman"/>
          <w:kern w:val="2"/>
          <w:sz w:val="24"/>
        </w:rPr>
      </w:pPr>
      <w:r>
        <w:rPr>
          <w:rFonts w:hint="eastAsia" w:ascii="Calibri" w:hAnsi="Calibri" w:cs="Times New Roman"/>
          <w:kern w:val="2"/>
          <w:sz w:val="24"/>
        </w:rPr>
        <w:t>最终交付成果包括： 《无锡高新区国际贸易港发展规划》演示文件终稿 1份 （PPT格式、中文）、《无锡高新区国际贸易港发展规划》规划文本终稿 1份（word格式、中文）</w:t>
      </w:r>
    </w:p>
    <w:p>
      <w:pPr>
        <w:pStyle w:val="8"/>
        <w:numPr>
          <w:ilvl w:val="0"/>
          <w:numId w:val="2"/>
        </w:numPr>
        <w:ind w:left="0" w:firstLine="480"/>
      </w:pPr>
      <w:r>
        <w:rPr>
          <w:rFonts w:hint="eastAsia"/>
        </w:rPr>
        <w:t>规划报告要求</w:t>
      </w:r>
    </w:p>
    <w:p>
      <w:pPr>
        <w:pStyle w:val="8"/>
        <w:ind w:firstLine="480"/>
      </w:pPr>
      <w:r>
        <w:rPr>
          <w:rFonts w:hint="eastAsia"/>
        </w:rPr>
        <w:t>规划本文应以文字形式详细表达规划目标、各项规划内容以及必要的相关材料支撑；演示文件应根据汇报需要对本次规划研究核心内容制作汇报演示文稿。</w:t>
      </w:r>
    </w:p>
    <w:p>
      <w:pPr>
        <w:pStyle w:val="8"/>
        <w:numPr>
          <w:ilvl w:val="0"/>
          <w:numId w:val="2"/>
        </w:numPr>
        <w:ind w:left="0" w:firstLine="480"/>
      </w:pPr>
      <w:r>
        <w:rPr>
          <w:rFonts w:hint="eastAsia"/>
        </w:rPr>
        <w:t>规划成果及深度要求</w:t>
      </w:r>
    </w:p>
    <w:p>
      <w:pPr>
        <w:pStyle w:val="8"/>
        <w:numPr>
          <w:ilvl w:val="0"/>
          <w:numId w:val="3"/>
        </w:numPr>
        <w:ind w:left="0" w:firstLine="480"/>
      </w:pPr>
      <w:r>
        <w:rPr>
          <w:rFonts w:hint="eastAsia"/>
        </w:rPr>
        <w:t>发展现状与不足</w:t>
      </w:r>
    </w:p>
    <w:p>
      <w:pPr>
        <w:pStyle w:val="8"/>
        <w:numPr>
          <w:ilvl w:val="0"/>
          <w:numId w:val="3"/>
        </w:numPr>
        <w:ind w:left="0" w:firstLine="480"/>
      </w:pPr>
      <w:r>
        <w:rPr>
          <w:rFonts w:hint="eastAsia"/>
        </w:rPr>
        <w:t>愿景目标</w:t>
      </w:r>
    </w:p>
    <w:p>
      <w:pPr>
        <w:pStyle w:val="8"/>
        <w:numPr>
          <w:ilvl w:val="0"/>
          <w:numId w:val="3"/>
        </w:numPr>
        <w:ind w:left="0" w:firstLine="480"/>
      </w:pPr>
      <w:r>
        <w:rPr>
          <w:rFonts w:hint="eastAsia"/>
        </w:rPr>
        <w:t>产业定位</w:t>
      </w:r>
    </w:p>
    <w:p>
      <w:pPr>
        <w:pStyle w:val="8"/>
        <w:numPr>
          <w:ilvl w:val="0"/>
          <w:numId w:val="3"/>
        </w:numPr>
        <w:ind w:left="0" w:firstLine="480"/>
      </w:pPr>
      <w:r>
        <w:rPr>
          <w:rFonts w:hint="eastAsia"/>
        </w:rPr>
        <w:t>产业发展策略</w:t>
      </w:r>
    </w:p>
    <w:p>
      <w:pPr>
        <w:pStyle w:val="8"/>
        <w:numPr>
          <w:ilvl w:val="0"/>
          <w:numId w:val="3"/>
        </w:numPr>
        <w:ind w:left="0" w:firstLine="480"/>
      </w:pPr>
      <w:r>
        <w:rPr>
          <w:rFonts w:hint="eastAsia"/>
        </w:rPr>
        <w:t>分片区发展建议</w:t>
      </w:r>
      <w:r>
        <w:t xml:space="preserve"> </w:t>
      </w:r>
      <w:r>
        <w:rPr>
          <w:rFonts w:hint="eastAsia"/>
        </w:rPr>
        <w:t xml:space="preserve">  </w:t>
      </w:r>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7979"/>
    <w:multiLevelType w:val="multilevel"/>
    <w:tmpl w:val="04957979"/>
    <w:lvl w:ilvl="0" w:tentative="0">
      <w:start w:val="1"/>
      <w:numFmt w:val="decimal"/>
      <w:lvlText w:val="%1."/>
      <w:lvlJc w:val="left"/>
      <w:pPr>
        <w:ind w:left="1440" w:hanging="360"/>
      </w:pPr>
      <w:rPr>
        <w:b w:val="0"/>
        <w:bCs w:val="0"/>
        <w:sz w:val="20"/>
        <w:szCs w:val="24"/>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4E490DFB"/>
    <w:multiLevelType w:val="multilevel"/>
    <w:tmpl w:val="4E490DFB"/>
    <w:lvl w:ilvl="0" w:tentative="0">
      <w:start w:val="1"/>
      <w:numFmt w:val="bullet"/>
      <w:lvlText w:val=""/>
      <w:lvlJc w:val="left"/>
      <w:pPr>
        <w:ind w:left="840" w:hanging="360"/>
      </w:pPr>
      <w:rPr>
        <w:rFonts w:hint="default" w:ascii="Symbol" w:hAnsi="Symbol"/>
      </w:rPr>
    </w:lvl>
    <w:lvl w:ilvl="1" w:tentative="0">
      <w:start w:val="1"/>
      <w:numFmt w:val="bullet"/>
      <w:lvlText w:val="o"/>
      <w:lvlJc w:val="left"/>
      <w:pPr>
        <w:ind w:left="1560" w:hanging="360"/>
      </w:pPr>
      <w:rPr>
        <w:rFonts w:hint="default" w:ascii="Courier New" w:hAnsi="Courier New" w:cs="Courier New"/>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abstractNum w:abstractNumId="2">
    <w:nsid w:val="6A6B4E56"/>
    <w:multiLevelType w:val="multilevel"/>
    <w:tmpl w:val="6A6B4E56"/>
    <w:lvl w:ilvl="0" w:tentative="0">
      <w:start w:val="1"/>
      <w:numFmt w:val="decimal"/>
      <w:lvlText w:val="%1)"/>
      <w:lvlJc w:val="left"/>
      <w:pPr>
        <w:ind w:left="1800" w:hanging="360"/>
      </w:pPr>
      <w:rPr>
        <w:rFonts w:hint="default"/>
        <w:b w:val="0"/>
        <w:bCs w:val="0"/>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4ZWExNTkxOGIyZWJkYTMxZjIwZmI1OTBiMDNlMzkifQ=="/>
  </w:docVars>
  <w:rsids>
    <w:rsidRoot w:val="005B59F0"/>
    <w:rsid w:val="005854C1"/>
    <w:rsid w:val="00594DCB"/>
    <w:rsid w:val="005B59F0"/>
    <w:rsid w:val="005C21C2"/>
    <w:rsid w:val="009E00E5"/>
    <w:rsid w:val="009F6F0F"/>
    <w:rsid w:val="1DF22C36"/>
    <w:rsid w:val="54786406"/>
    <w:rsid w:val="55AF6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Georgia" w:hAnsi="Georgia"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Georgia" w:hAnsi="Georgia" w:eastAsia="宋体"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pacing w:after="0" w:line="240" w:lineRule="auto"/>
    </w:pPr>
  </w:style>
  <w:style w:type="paragraph" w:styleId="3">
    <w:name w:val="header"/>
    <w:basedOn w:val="1"/>
    <w:link w:val="6"/>
    <w:unhideWhenUsed/>
    <w:uiPriority w:val="99"/>
    <w:pPr>
      <w:tabs>
        <w:tab w:val="center" w:pos="4153"/>
        <w:tab w:val="right" w:pos="8306"/>
      </w:tabs>
      <w:spacing w:after="0" w:line="240" w:lineRule="auto"/>
    </w:pPr>
  </w:style>
  <w:style w:type="character" w:customStyle="1" w:styleId="6">
    <w:name w:val="Header Char"/>
    <w:basedOn w:val="5"/>
    <w:link w:val="3"/>
    <w:qFormat/>
    <w:uiPriority w:val="99"/>
  </w:style>
  <w:style w:type="character" w:customStyle="1" w:styleId="7">
    <w:name w:val="Footer Char"/>
    <w:basedOn w:val="5"/>
    <w:link w:val="2"/>
    <w:qFormat/>
    <w:uiPriority w:val="99"/>
  </w:style>
  <w:style w:type="paragraph" w:customStyle="1" w:styleId="8">
    <w:name w:val="List Paragraph1"/>
    <w:basedOn w:val="1"/>
    <w:qFormat/>
    <w:uiPriority w:val="0"/>
    <w:pPr>
      <w:widowControl w:val="0"/>
      <w:spacing w:line="360" w:lineRule="auto"/>
      <w:ind w:firstLine="420" w:firstLineChars="200"/>
      <w:jc w:val="both"/>
    </w:pPr>
    <w:rPr>
      <w:rFonts w:ascii="Calibri" w:hAnsi="Calibri" w:cs="Times New Roman"/>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1460</Words>
  <Characters>1481</Characters>
  <Lines>10</Lines>
  <Paragraphs>3</Paragraphs>
  <TotalTime>0</TotalTime>
  <ScaleCrop>false</ScaleCrop>
  <LinksUpToDate>false</LinksUpToDate>
  <CharactersWithSpaces>1496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2022-07-06T02:37:00Z</dcterms:created>
  <dc:creator>Roger YJ Luo (CN - TAX)</dc:creator>
  <cp:lastModifiedBy>Admin</cp:lastModifiedBy>
  <dcterms:modified xsi:type="dcterms:W3CDTF">2022-08-29T04:48:53Z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4AF64B212F314C05B53109E5BBA6496F</vt:lpwstr>
  </property>
</Properties>
</file>