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outlineLvl w:val="0"/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企业用水审计服务项目</w:t>
      </w:r>
      <w:r>
        <w:rPr>
          <w:rFonts w:ascii="宋体" w:hAnsi="宋体" w:cs="宋体"/>
          <w:b/>
          <w:sz w:val="28"/>
        </w:rPr>
        <w:t>采购</w:t>
      </w:r>
      <w:r>
        <w:rPr>
          <w:rFonts w:hint="eastAsia" w:ascii="宋体" w:hAnsi="宋体" w:cs="宋体"/>
          <w:b/>
          <w:sz w:val="28"/>
          <w:lang w:val="en-US" w:eastAsia="zh-CN"/>
        </w:rPr>
        <w:t>需求</w:t>
      </w:r>
    </w:p>
    <w:p>
      <w:pPr>
        <w:adjustRightInd w:val="0"/>
        <w:snapToGrid w:val="0"/>
        <w:spacing w:line="360" w:lineRule="auto"/>
        <w:ind w:left="0" w:firstLine="482" w:firstLineChars="200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一</w:t>
      </w:r>
      <w:r>
        <w:rPr>
          <w:rFonts w:hint="eastAsia" w:ascii="宋体" w:hAnsi="宋体" w:eastAsia="宋体"/>
          <w:b/>
          <w:bCs/>
          <w:sz w:val="24"/>
          <w:szCs w:val="24"/>
        </w:rPr>
        <w:t>、招标项目：用水审计服务</w:t>
      </w:r>
    </w:p>
    <w:p>
      <w:pPr>
        <w:adjustRightInd w:val="0"/>
        <w:snapToGrid w:val="0"/>
        <w:spacing w:line="360" w:lineRule="auto"/>
        <w:ind w:left="0" w:firstLine="482" w:firstLineChars="200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 w:eastAsia="宋体"/>
          <w:b/>
          <w:bCs/>
          <w:sz w:val="24"/>
          <w:szCs w:val="24"/>
        </w:rPr>
        <w:t>、招标需求</w:t>
      </w:r>
    </w:p>
    <w:p>
      <w:pPr>
        <w:overflowPunct w:val="0"/>
        <w:spacing w:line="360" w:lineRule="auto"/>
        <w:ind w:left="105" w:leftChars="50" w:firstLine="360" w:firstLine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1、招标范围</w:t>
      </w:r>
    </w:p>
    <w:p>
      <w:pPr>
        <w:overflowPunct w:val="0"/>
        <w:spacing w:line="360" w:lineRule="auto"/>
        <w:ind w:left="105" w:leftChars="50" w:firstLine="360" w:firstLine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本次项目是针对12家企业（单位）进行用水审计，编制用水审计报告，其中审计企业(单位)2份，采购单位3份，附电子档光盘。</w:t>
      </w:r>
    </w:p>
    <w:p>
      <w:pPr>
        <w:overflowPunct w:val="0"/>
        <w:adjustRightInd w:val="0"/>
        <w:snapToGrid w:val="0"/>
        <w:spacing w:line="360" w:lineRule="auto"/>
        <w:ind w:left="0" w:firstLine="480" w:firstLineChars="2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4"/>
          <w:szCs w:val="24"/>
        </w:rPr>
        <w:t>、用水审计工作方案（包含用水审计方法、安全措施、步骤、内容、测试数据、计算方式以及水平衡校核、用水管理审查、退水管理审查、用水效率校核等内容。其中退水管理审查需具有资质的第三方检测机构的正规报告，水质检测指标含pH、COD、BOD5、悬浮物、氨氮、总磷、总氮以及达标排放应检测的主要指标）。</w:t>
      </w:r>
    </w:p>
    <w:p>
      <w:pPr>
        <w:overflowPunct w:val="0"/>
        <w:adjustRightInd w:val="0"/>
        <w:snapToGrid w:val="0"/>
        <w:spacing w:line="360" w:lineRule="auto"/>
        <w:ind w:left="0" w:firstLine="480" w:firstLineChars="2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</w:rPr>
        <w:t>、为了确保项目的顺利开展，要求项目组配备专业人员和专业设备。</w:t>
      </w:r>
    </w:p>
    <w:p>
      <w:pPr>
        <w:overflowPunct w:val="0"/>
        <w:adjustRightInd w:val="0"/>
        <w:snapToGrid w:val="0"/>
        <w:spacing w:line="360" w:lineRule="auto"/>
        <w:ind w:left="0" w:firstLine="480" w:firstLineChars="20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4"/>
          <w:szCs w:val="24"/>
        </w:rPr>
        <w:t>、供应商须指导协助审计企业填报正确规范的用水报表。</w:t>
      </w:r>
    </w:p>
    <w:p>
      <w:pPr>
        <w:overflowPunct w:val="0"/>
        <w:adjustRightInd w:val="0"/>
        <w:snapToGrid w:val="0"/>
        <w:spacing w:line="360" w:lineRule="auto"/>
        <w:ind w:left="0" w:firstLine="480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24"/>
          <w:szCs w:val="24"/>
        </w:rPr>
        <w:t>、用水审计的依据及引用标准：《江苏省节约用水条例》、《江苏</w:t>
      </w:r>
      <w:r>
        <w:rPr>
          <w:rFonts w:ascii="宋体" w:hAnsi="宋体" w:eastAsia="宋体"/>
          <w:color w:val="auto"/>
          <w:sz w:val="24"/>
          <w:szCs w:val="24"/>
        </w:rPr>
        <w:t>省用水审计实施办法》</w:t>
      </w:r>
      <w:r>
        <w:rPr>
          <w:rFonts w:hint="eastAsia" w:ascii="宋体" w:hAnsi="宋体" w:eastAsia="宋体"/>
          <w:color w:val="auto"/>
          <w:sz w:val="24"/>
          <w:szCs w:val="24"/>
        </w:rPr>
        <w:t>、</w:t>
      </w:r>
      <w:r>
        <w:rPr>
          <w:rFonts w:ascii="宋体" w:hAnsi="宋体" w:eastAsia="宋体"/>
          <w:color w:val="auto"/>
          <w:sz w:val="24"/>
          <w:szCs w:val="24"/>
        </w:rPr>
        <w:t>《</w:t>
      </w:r>
      <w:r>
        <w:rPr>
          <w:rFonts w:hint="eastAsia" w:ascii="宋体" w:hAnsi="宋体" w:eastAsia="宋体"/>
          <w:color w:val="auto"/>
          <w:sz w:val="24"/>
          <w:szCs w:val="24"/>
        </w:rPr>
        <w:t>企业</w:t>
      </w:r>
      <w:r>
        <w:rPr>
          <w:rFonts w:ascii="宋体" w:hAnsi="宋体" w:eastAsia="宋体"/>
          <w:color w:val="auto"/>
          <w:sz w:val="24"/>
          <w:szCs w:val="24"/>
        </w:rPr>
        <w:t>用水审计技术通则》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>GB/T 33231-2016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企业水平衡测试通则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 xml:space="preserve">GB/T 12452-2008 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用水单位计量器具配备和管理通则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 xml:space="preserve">GB/T 24789-2009 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工业用水节水术语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>GB/T 21534-2008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企业用水统计通则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>GB/T 26719-2011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工业企业用水管理导则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>GB/T 27886-2011</w:t>
      </w:r>
      <w:r>
        <w:rPr>
          <w:rFonts w:hint="eastAsia" w:ascii="宋体" w:hAnsi="宋体" w:eastAsia="宋体"/>
          <w:color w:val="auto"/>
          <w:sz w:val="24"/>
          <w:szCs w:val="24"/>
        </w:rPr>
        <w:t>）、《工业</w:t>
      </w:r>
      <w:r>
        <w:rPr>
          <w:rFonts w:ascii="宋体" w:hAnsi="宋体" w:eastAsia="宋体"/>
          <w:color w:val="auto"/>
          <w:sz w:val="24"/>
          <w:szCs w:val="24"/>
        </w:rPr>
        <w:t>企业水效对标指南</w:t>
      </w:r>
      <w:r>
        <w:rPr>
          <w:rFonts w:hint="eastAsia" w:ascii="宋体" w:hAnsi="宋体" w:eastAsia="宋体"/>
          <w:color w:val="auto"/>
          <w:sz w:val="24"/>
          <w:szCs w:val="24"/>
        </w:rPr>
        <w:t>》（GB/T33749-2017）、</w:t>
      </w:r>
      <w:r>
        <w:rPr>
          <w:rFonts w:ascii="宋体" w:hAnsi="宋体" w:eastAsia="宋体"/>
          <w:color w:val="auto"/>
          <w:sz w:val="24"/>
          <w:szCs w:val="24"/>
        </w:rPr>
        <w:t>节水型企业评价导则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 xml:space="preserve">GB/T 7119-2006 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服务业节水型单位评价导则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>GB/T26922—2011</w:t>
      </w:r>
      <w:r>
        <w:rPr>
          <w:rFonts w:hint="eastAsia" w:ascii="宋体" w:hAnsi="宋体" w:eastAsia="宋体"/>
          <w:color w:val="auto"/>
          <w:sz w:val="24"/>
          <w:szCs w:val="24"/>
        </w:rPr>
        <w:t>）、《循环</w:t>
      </w:r>
      <w:r>
        <w:rPr>
          <w:rFonts w:ascii="宋体" w:hAnsi="宋体" w:eastAsia="宋体"/>
          <w:color w:val="auto"/>
          <w:sz w:val="24"/>
          <w:szCs w:val="24"/>
        </w:rPr>
        <w:t>冷却水节水技术规范</w:t>
      </w:r>
      <w:r>
        <w:rPr>
          <w:rFonts w:hint="eastAsia" w:ascii="宋体" w:hAnsi="宋体" w:eastAsia="宋体"/>
          <w:color w:val="auto"/>
          <w:sz w:val="24"/>
          <w:szCs w:val="24"/>
        </w:rPr>
        <w:t>》（GB/T31329-2014）、《工业</w:t>
      </w:r>
      <w:r>
        <w:rPr>
          <w:rFonts w:ascii="宋体" w:hAnsi="宋体" w:eastAsia="宋体"/>
          <w:color w:val="auto"/>
          <w:sz w:val="24"/>
          <w:szCs w:val="24"/>
        </w:rPr>
        <w:t>废水处理与回用技术评价导则</w:t>
      </w:r>
      <w:r>
        <w:rPr>
          <w:rFonts w:hint="eastAsia" w:ascii="宋体" w:hAnsi="宋体" w:eastAsia="宋体"/>
          <w:color w:val="auto"/>
          <w:sz w:val="24"/>
          <w:szCs w:val="24"/>
        </w:rPr>
        <w:t>》（GB/T32327-2015）、《</w:t>
      </w:r>
      <w:r>
        <w:rPr>
          <w:rFonts w:ascii="宋体" w:hAnsi="宋体" w:eastAsia="宋体"/>
          <w:color w:val="auto"/>
          <w:sz w:val="24"/>
          <w:szCs w:val="24"/>
        </w:rPr>
        <w:t>节水</w:t>
      </w:r>
      <w:r>
        <w:rPr>
          <w:rFonts w:hint="eastAsia" w:ascii="宋体" w:hAnsi="宋体" w:eastAsia="宋体"/>
          <w:color w:val="auto"/>
          <w:sz w:val="24"/>
          <w:szCs w:val="24"/>
        </w:rPr>
        <w:t>型卫生</w:t>
      </w:r>
      <w:r>
        <w:rPr>
          <w:rFonts w:ascii="宋体" w:hAnsi="宋体" w:eastAsia="宋体"/>
          <w:color w:val="auto"/>
          <w:sz w:val="24"/>
          <w:szCs w:val="24"/>
        </w:rPr>
        <w:t>洁具</w:t>
      </w:r>
      <w:r>
        <w:rPr>
          <w:rFonts w:hint="eastAsia" w:ascii="宋体" w:hAnsi="宋体" w:eastAsia="宋体"/>
          <w:color w:val="auto"/>
          <w:sz w:val="24"/>
          <w:szCs w:val="24"/>
        </w:rPr>
        <w:t>》（GB/T31436-2015）、《坐</w:t>
      </w:r>
      <w:r>
        <w:rPr>
          <w:rFonts w:ascii="宋体" w:hAnsi="宋体" w:eastAsia="宋体"/>
          <w:color w:val="auto"/>
          <w:sz w:val="24"/>
          <w:szCs w:val="24"/>
        </w:rPr>
        <w:t>便器</w:t>
      </w:r>
      <w:r>
        <w:rPr>
          <w:rFonts w:hint="eastAsia" w:ascii="宋体" w:hAnsi="宋体" w:eastAsia="宋体"/>
          <w:color w:val="auto"/>
          <w:sz w:val="24"/>
          <w:szCs w:val="24"/>
        </w:rPr>
        <w:t>水效</w:t>
      </w:r>
      <w:r>
        <w:rPr>
          <w:rFonts w:ascii="宋体" w:hAnsi="宋体" w:eastAsia="宋体"/>
          <w:color w:val="auto"/>
          <w:sz w:val="24"/>
          <w:szCs w:val="24"/>
        </w:rPr>
        <w:t>限定值及水效等级</w:t>
      </w:r>
      <w:r>
        <w:rPr>
          <w:rFonts w:hint="eastAsia" w:ascii="宋体" w:hAnsi="宋体" w:eastAsia="宋体"/>
          <w:color w:val="auto"/>
          <w:sz w:val="24"/>
          <w:szCs w:val="24"/>
        </w:rPr>
        <w:t>》（GB25502-2017）、《项目</w:t>
      </w:r>
      <w:r>
        <w:rPr>
          <w:rFonts w:ascii="宋体" w:hAnsi="宋体" w:eastAsia="宋体"/>
          <w:color w:val="auto"/>
          <w:sz w:val="24"/>
          <w:szCs w:val="24"/>
        </w:rPr>
        <w:t>节水量计算导则</w:t>
      </w:r>
      <w:r>
        <w:rPr>
          <w:rFonts w:hint="eastAsia" w:ascii="宋体" w:hAnsi="宋体" w:eastAsia="宋体"/>
          <w:color w:val="auto"/>
          <w:sz w:val="24"/>
          <w:szCs w:val="24"/>
        </w:rPr>
        <w:t>》（GB/T34148-2017）、《项目</w:t>
      </w:r>
      <w:r>
        <w:rPr>
          <w:rFonts w:ascii="宋体" w:hAnsi="宋体" w:eastAsia="宋体"/>
          <w:color w:val="auto"/>
          <w:sz w:val="24"/>
          <w:szCs w:val="24"/>
        </w:rPr>
        <w:t>节水</w:t>
      </w:r>
      <w:r>
        <w:rPr>
          <w:rFonts w:hint="eastAsia" w:ascii="宋体" w:hAnsi="宋体" w:eastAsia="宋体"/>
          <w:color w:val="auto"/>
          <w:sz w:val="24"/>
          <w:szCs w:val="24"/>
        </w:rPr>
        <w:t>评估技术</w:t>
      </w:r>
      <w:r>
        <w:rPr>
          <w:rFonts w:ascii="宋体" w:hAnsi="宋体" w:eastAsia="宋体"/>
          <w:color w:val="auto"/>
          <w:sz w:val="24"/>
          <w:szCs w:val="24"/>
        </w:rPr>
        <w:t>导则</w:t>
      </w:r>
      <w:r>
        <w:rPr>
          <w:rFonts w:hint="eastAsia" w:ascii="宋体" w:hAnsi="宋体" w:eastAsia="宋体"/>
          <w:color w:val="auto"/>
          <w:sz w:val="24"/>
          <w:szCs w:val="24"/>
        </w:rPr>
        <w:t>》（GB/T34147-2017）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 w:eastAsia="宋体"/>
          <w:color w:val="auto"/>
          <w:sz w:val="24"/>
          <w:szCs w:val="24"/>
        </w:rPr>
        <w:t>污水综合排放标准</w:t>
      </w:r>
      <w:r>
        <w:rPr>
          <w:rFonts w:hint="eastAsia" w:ascii="宋体" w:hAnsi="宋体" w:eastAsia="宋体"/>
          <w:color w:val="auto"/>
          <w:sz w:val="24"/>
          <w:szCs w:val="24"/>
        </w:rPr>
        <w:t>（</w:t>
      </w:r>
      <w:r>
        <w:rPr>
          <w:rFonts w:ascii="宋体" w:hAnsi="宋体" w:eastAsia="宋体"/>
          <w:color w:val="auto"/>
          <w:sz w:val="24"/>
          <w:szCs w:val="24"/>
        </w:rPr>
        <w:t xml:space="preserve">GB/T 8978-1996 </w:t>
      </w:r>
      <w:r>
        <w:rPr>
          <w:rFonts w:hint="eastAsia" w:ascii="宋体" w:hAnsi="宋体" w:eastAsia="宋体"/>
          <w:color w:val="auto"/>
          <w:sz w:val="24"/>
          <w:szCs w:val="24"/>
        </w:rPr>
        <w:t>）、</w:t>
      </w:r>
      <w:r>
        <w:rPr>
          <w:rFonts w:ascii="宋体" w:hAnsi="宋体" w:eastAsia="宋体"/>
          <w:b w:val="0"/>
          <w:bCs/>
          <w:color w:val="auto"/>
          <w:sz w:val="24"/>
          <w:szCs w:val="24"/>
        </w:rPr>
        <w:t>污水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</w:rPr>
        <w:t>排入</w:t>
      </w:r>
      <w:r>
        <w:rPr>
          <w:rFonts w:ascii="宋体" w:hAnsi="宋体" w:eastAsia="宋体"/>
          <w:b w:val="0"/>
          <w:bCs/>
          <w:color w:val="auto"/>
          <w:sz w:val="24"/>
          <w:szCs w:val="24"/>
        </w:rPr>
        <w:t>城镇下水道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</w:rPr>
        <w:t>水质</w:t>
      </w:r>
      <w:r>
        <w:rPr>
          <w:rFonts w:ascii="宋体" w:hAnsi="宋体" w:eastAsia="宋体"/>
          <w:b w:val="0"/>
          <w:bCs/>
          <w:color w:val="auto"/>
          <w:sz w:val="24"/>
          <w:szCs w:val="24"/>
        </w:rPr>
        <w:t>标准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</w:rPr>
        <w:t>（</w:t>
      </w:r>
      <w:r>
        <w:rPr>
          <w:rFonts w:ascii="宋体" w:hAnsi="宋体" w:eastAsia="宋体"/>
          <w:b w:val="0"/>
          <w:bCs/>
          <w:color w:val="auto"/>
          <w:sz w:val="24"/>
          <w:szCs w:val="24"/>
        </w:rPr>
        <w:t>GB/T 31962-2015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</w:rPr>
        <w:t>）、</w:t>
      </w:r>
      <w:r>
        <w:rPr>
          <w:rFonts w:ascii="宋体" w:hAnsi="宋体" w:eastAsia="宋体"/>
          <w:color w:val="auto"/>
          <w:sz w:val="24"/>
          <w:szCs w:val="24"/>
        </w:rPr>
        <w:t>取水定额</w:t>
      </w:r>
      <w:r>
        <w:rPr>
          <w:rFonts w:hint="eastAsia" w:ascii="宋体" w:hAnsi="宋体" w:eastAsia="宋体"/>
          <w:color w:val="auto"/>
          <w:sz w:val="24"/>
          <w:szCs w:val="24"/>
        </w:rPr>
        <w:t>系列（</w:t>
      </w:r>
      <w:r>
        <w:rPr>
          <w:rFonts w:ascii="宋体" w:hAnsi="宋体" w:eastAsia="宋体"/>
          <w:color w:val="auto"/>
          <w:sz w:val="24"/>
          <w:szCs w:val="24"/>
        </w:rPr>
        <w:t>GB/T 18916</w:t>
      </w:r>
      <w:r>
        <w:rPr>
          <w:rFonts w:hint="eastAsia" w:ascii="宋体" w:hAnsi="宋体" w:eastAsia="宋体"/>
          <w:color w:val="auto"/>
          <w:sz w:val="24"/>
          <w:szCs w:val="24"/>
        </w:rPr>
        <w:t>）、《江苏省工业、服务业和生活用水定额（</w:t>
      </w:r>
      <w:r>
        <w:rPr>
          <w:rFonts w:ascii="宋体" w:hAnsi="宋体" w:eastAsia="宋体"/>
          <w:color w:val="auto"/>
          <w:sz w:val="24"/>
          <w:szCs w:val="24"/>
        </w:rPr>
        <w:t>2014年修订）》（苏水资 [2015]33号）</w:t>
      </w:r>
      <w:r>
        <w:rPr>
          <w:rFonts w:hint="eastAsia" w:ascii="宋体" w:hAnsi="宋体" w:eastAsia="宋体"/>
          <w:color w:val="auto"/>
          <w:sz w:val="24"/>
          <w:szCs w:val="24"/>
        </w:rPr>
        <w:t>、《江苏省城市生活和公共用水定额（</w:t>
      </w:r>
      <w:r>
        <w:rPr>
          <w:rFonts w:ascii="宋体" w:hAnsi="宋体" w:eastAsia="宋体"/>
          <w:color w:val="auto"/>
          <w:sz w:val="24"/>
          <w:szCs w:val="24"/>
        </w:rPr>
        <w:t>2012年修订）》（苏建城[2012]632号）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color w:val="auto"/>
          <w:sz w:val="24"/>
          <w:szCs w:val="24"/>
        </w:rPr>
        <w:t>《无锡市城市节约用水管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理办法》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《无锡市城市计划用水与定额管理制度》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《无锡市城市超计划用水加价收费工作制度》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等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（按国家以及省水利、住建厅最新编制的用水定额标准对标）</w:t>
      </w:r>
    </w:p>
    <w:p>
      <w:pPr>
        <w:overflowPunct w:val="0"/>
        <w:adjustRightInd w:val="0"/>
        <w:snapToGrid w:val="0"/>
        <w:spacing w:line="360" w:lineRule="auto"/>
        <w:ind w:left="0"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、实际实施中，由于客观原因，可能有个别企业（单位）无法进行用水审计，因此在实施过程中根据实际情况进行调整。</w:t>
      </w:r>
    </w:p>
    <w:p>
      <w:pPr>
        <w:overflowPunct w:val="0"/>
        <w:adjustRightInd w:val="0"/>
        <w:snapToGrid w:val="0"/>
        <w:spacing w:line="360" w:lineRule="auto"/>
        <w:ind w:left="0"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、完成时间：202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日之前完成现场测试、报告编制等所有工作。</w:t>
      </w:r>
    </w:p>
    <w:p>
      <w:pPr>
        <w:adjustRightInd w:val="0"/>
        <w:snapToGrid w:val="0"/>
        <w:spacing w:line="360" w:lineRule="auto"/>
        <w:ind w:left="0" w:firstLine="480" w:firstLineChars="200"/>
        <w:rPr>
          <w:rFonts w:hint="eastAsia" w:ascii="宋体" w:hAnsi="宋体" w:eastAsia="宋体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highlight w:val="none"/>
        </w:rPr>
        <w:t>、中标单位须按要求完成审计验收会等工作，包括报告编制刊印费、相关</w:t>
      </w:r>
      <w:r>
        <w:rPr>
          <w:rFonts w:hint="eastAsia" w:ascii="宋体" w:hAnsi="宋体" w:eastAsia="宋体"/>
          <w:b w:val="0"/>
          <w:bCs w:val="0"/>
          <w:sz w:val="24"/>
          <w:szCs w:val="24"/>
          <w:highlight w:val="none"/>
          <w:lang w:eastAsia="zh-CN"/>
        </w:rPr>
        <w:t>评审费等费用。</w:t>
      </w:r>
    </w:p>
    <w:p>
      <w:pPr>
        <w:adjustRightInd w:val="0"/>
        <w:snapToGrid w:val="0"/>
        <w:spacing w:line="360" w:lineRule="auto"/>
        <w:ind w:left="0" w:firstLine="482" w:firstLineChars="200"/>
        <w:rPr>
          <w:rFonts w:hint="eastAsia" w:ascii="宋体" w:hAnsi="宋体" w:eastAsia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  <w:lang w:eastAsia="zh-CN"/>
        </w:rPr>
        <w:t>、服务要求、验收标准：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投标供应商中标后提供服务均为按国家标准的合格正规服务、符合规范要求。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验收标准：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color w:val="auto"/>
          <w:sz w:val="24"/>
          <w:szCs w:val="24"/>
        </w:rPr>
        <w:t>按国家相关行业标准进行验收。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color w:val="auto"/>
          <w:sz w:val="24"/>
          <w:szCs w:val="24"/>
        </w:rPr>
        <w:t>成交单位应保证所提供服务涉及到的知识产权是合法取得，并享有完整的知识产权，不会因为需方的使用而被责令停止使用、追偿或要求赔偿损失，如出现此类情况，一切经济和法律责任（包括律师费用）均由供方承担。供方提供的所有服务质量必须符合国家相关行业标准，如出现质量问题，供应商负责更正，发生的费用由供应商负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3、成交单位要承担成果验收时的相关费用。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4、成交单位应当于项目完成之日书面通知采购方验收，采购方组织有关专家，依据本合同约定使用的技术标准和技术要求，对成交单位所完成的工作完成验收，并提出成果验收报告书，特殊情况另行协商。对成交单位所提供的成果质量有争议的，由项目所在地的主管部门裁决，其费用由败诉方承担。</w:t>
      </w:r>
    </w:p>
    <w:p>
      <w:pPr>
        <w:adjustRightInd w:val="0"/>
        <w:snapToGrid w:val="0"/>
        <w:spacing w:line="360" w:lineRule="auto"/>
        <w:ind w:left="0" w:firstLine="482" w:firstLineChars="200"/>
        <w:rPr>
          <w:rFonts w:hint="eastAsia" w:ascii="宋体" w:hAnsi="宋体" w:eastAsia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sz w:val="24"/>
          <w:szCs w:val="24"/>
          <w:highlight w:val="none"/>
          <w:lang w:val="en-US" w:eastAsia="zh-CN"/>
        </w:rPr>
        <w:t>.合同付款方式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textAlignment w:val="baseline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合同生效后递交全部成果，验收合格后一次性付清。</w:t>
      </w: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91D0A"/>
    <w:multiLevelType w:val="multilevel"/>
    <w:tmpl w:val="2FF91D0A"/>
    <w:lvl w:ilvl="0" w:tentative="0">
      <w:start w:val="1"/>
      <w:numFmt w:val="chineseCountingThousand"/>
      <w:lvlText w:val="第%1部分"/>
      <w:lvlJc w:val="left"/>
      <w:pPr>
        <w:tabs>
          <w:tab w:val="left" w:pos="1800"/>
        </w:tabs>
        <w:ind w:left="630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67"/>
        </w:tabs>
        <w:ind w:left="6447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080"/>
        </w:tabs>
        <w:ind w:left="6220" w:hanging="34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51"/>
        </w:tabs>
        <w:ind w:left="6731" w:hanging="851"/>
      </w:pPr>
      <w:rPr>
        <w:rFonts w:hint="eastAsia"/>
      </w:rPr>
    </w:lvl>
    <w:lvl w:ilvl="4" w:tentative="0">
      <w:start w:val="1"/>
      <w:numFmt w:val="decimal"/>
      <w:pStyle w:val="2"/>
      <w:isLgl/>
      <w:lvlText w:val="%1.%2.%3.%4.%5"/>
      <w:lvlJc w:val="left"/>
      <w:pPr>
        <w:tabs>
          <w:tab w:val="left" w:pos="1080"/>
        </w:tabs>
        <w:ind w:left="687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440"/>
        </w:tabs>
        <w:ind w:left="701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715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729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7439" w:hanging="1559"/>
      </w:pPr>
      <w:rPr>
        <w:rFonts w:hint="eastAsia"/>
      </w:rPr>
    </w:lvl>
  </w:abstractNum>
  <w:abstractNum w:abstractNumId="1">
    <w:nsid w:val="552401FC"/>
    <w:multiLevelType w:val="multilevel"/>
    <w:tmpl w:val="552401FC"/>
    <w:lvl w:ilvl="0" w:tentative="0">
      <w:start w:val="1"/>
      <w:numFmt w:val="bullet"/>
      <w:pStyle w:val="3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3165"/>
        </w:tabs>
        <w:ind w:left="31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585"/>
        </w:tabs>
        <w:ind w:left="35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4005"/>
        </w:tabs>
        <w:ind w:left="40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425"/>
        </w:tabs>
        <w:ind w:left="44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845"/>
        </w:tabs>
        <w:ind w:left="48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265"/>
        </w:tabs>
        <w:ind w:left="52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685"/>
        </w:tabs>
        <w:ind w:left="56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105"/>
        </w:tabs>
        <w:ind w:left="610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kyMzgwZmQ0NGIzOTcyZjA3NDE3Y2M1ZWM0NGYifQ=="/>
  </w:docVars>
  <w:rsids>
    <w:rsidRoot w:val="2DC11C07"/>
    <w:rsid w:val="103A5936"/>
    <w:rsid w:val="18105583"/>
    <w:rsid w:val="1ADF1D9E"/>
    <w:rsid w:val="2DC11C07"/>
    <w:rsid w:val="5C2655BB"/>
    <w:rsid w:val="6C9A51ED"/>
    <w:rsid w:val="7BC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1"/>
    <w:qFormat/>
    <w:uiPriority w:val="0"/>
    <w:pPr>
      <w:numPr>
        <w:ilvl w:val="0"/>
        <w:numId w:val="2"/>
      </w:numPr>
      <w:autoSpaceDE w:val="0"/>
      <w:autoSpaceDN w:val="0"/>
      <w:adjustRightInd w:val="0"/>
      <w:spacing w:after="20" w:line="288" w:lineRule="auto"/>
      <w:textAlignment w:val="baseline"/>
    </w:pPr>
    <w:rPr>
      <w:kern w:val="0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1365</Words>
  <Characters>1612</Characters>
  <Lines>0</Lines>
  <Paragraphs>0</Paragraphs>
  <TotalTime>3</TotalTime>
  <ScaleCrop>false</ScaleCrop>
  <LinksUpToDate>false</LinksUpToDate>
  <CharactersWithSpaces>1630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2021-12-01T09:10:00Z</dcterms:created>
  <dc:creator>陆敏娟</dc:creator>
  <cp:lastModifiedBy>杨一闪</cp:lastModifiedBy>
  <dcterms:modified xsi:type="dcterms:W3CDTF">2022-05-20T06:38:34Z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7E9444F8772549C68DE95CE38CE2EB77</vt:lpwstr>
  </property>
</Properties>
</file>