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lang w:val="en-US" w:eastAsia="zh-CN"/>
        </w:rPr>
      </w:pPr>
      <w:bookmarkStart w:id="0" w:name="_GoBack"/>
      <w:r>
        <w:rPr>
          <w:rFonts w:hint="eastAsia"/>
          <w:b/>
          <w:bCs/>
          <w:sz w:val="36"/>
          <w:szCs w:val="36"/>
        </w:rPr>
        <w:t>无锡市土地利用基础数据调查评价项目</w:t>
      </w:r>
      <w:r>
        <w:rPr>
          <w:rFonts w:hint="eastAsia"/>
          <w:b/>
          <w:bCs/>
          <w:sz w:val="36"/>
          <w:szCs w:val="36"/>
          <w:lang w:val="en-US" w:eastAsia="zh-CN"/>
        </w:rPr>
        <w:t>采购需求</w:t>
      </w:r>
    </w:p>
    <w:bookmarkEnd w:id="0"/>
    <w:p>
      <w:pPr>
        <w:rPr>
          <w:rFonts w:hint="eastAsia"/>
          <w:lang w:val="en-US" w:eastAsia="zh-CN"/>
        </w:rPr>
      </w:pPr>
    </w:p>
    <w:p>
      <w:pPr>
        <w:widowControl/>
        <w:spacing w:line="360" w:lineRule="auto"/>
        <w:ind w:firstLine="472" w:firstLineChars="196"/>
        <w:rPr>
          <w:rFonts w:ascii="宋体" w:hAnsi="宋体"/>
          <w:b/>
          <w:kern w:val="0"/>
          <w:sz w:val="24"/>
        </w:rPr>
      </w:pPr>
      <w:r>
        <w:rPr>
          <w:rFonts w:ascii="宋体" w:hAnsi="宋体"/>
          <w:b/>
          <w:kern w:val="0"/>
          <w:sz w:val="24"/>
        </w:rPr>
        <w:t>（一）采购标的需实现的功能或者目标，以及为落实政府采购政策需满足的要求</w:t>
      </w:r>
    </w:p>
    <w:p>
      <w:pPr>
        <w:widowControl/>
        <w:tabs>
          <w:tab w:val="left" w:pos="360"/>
          <w:tab w:val="left" w:pos="960"/>
        </w:tabs>
        <w:spacing w:line="360" w:lineRule="auto"/>
        <w:ind w:firstLine="480" w:firstLineChars="200"/>
        <w:jc w:val="left"/>
        <w:rPr>
          <w:rFonts w:ascii="宋体" w:hAnsi="宋体"/>
          <w:sz w:val="24"/>
        </w:rPr>
      </w:pPr>
      <w:r>
        <w:rPr>
          <w:rFonts w:hint="eastAsia" w:ascii="宋体" w:hAnsi="宋体"/>
          <w:sz w:val="24"/>
        </w:rPr>
        <w:t>1）按照《政府采购促进中小企业发展管理办法》（财库〔2020〕46号）的规定，对小型和微型企业产品给予扶持；</w:t>
      </w:r>
    </w:p>
    <w:p>
      <w:pPr>
        <w:widowControl/>
        <w:tabs>
          <w:tab w:val="left" w:pos="360"/>
          <w:tab w:val="left" w:pos="960"/>
        </w:tabs>
        <w:spacing w:line="360" w:lineRule="auto"/>
        <w:ind w:firstLine="480" w:firstLineChars="200"/>
        <w:jc w:val="left"/>
        <w:rPr>
          <w:rFonts w:ascii="宋体" w:hAnsi="宋体"/>
          <w:sz w:val="24"/>
        </w:rPr>
      </w:pPr>
      <w:r>
        <w:rPr>
          <w:rFonts w:hint="eastAsia" w:ascii="宋体" w:hAnsi="宋体"/>
          <w:sz w:val="24"/>
        </w:rPr>
        <w:t>2）按照《财政部司法部关于政府采购支持监狱企业发展有关问题的通知》（财库[2014]68号）文件规定，在政府采购活动中，监狱企业视同小型、微型企业，享受评审中价格扣除的政府采购政策, 监狱企业属于小微企业的，不重复享受政策支持。</w:t>
      </w:r>
    </w:p>
    <w:p>
      <w:pPr>
        <w:widowControl/>
        <w:tabs>
          <w:tab w:val="left" w:pos="360"/>
          <w:tab w:val="left" w:pos="960"/>
        </w:tabs>
        <w:spacing w:line="360" w:lineRule="auto"/>
        <w:ind w:firstLine="480" w:firstLineChars="200"/>
        <w:jc w:val="left"/>
        <w:rPr>
          <w:rFonts w:ascii="宋体" w:hAnsi="宋体"/>
          <w:sz w:val="24"/>
        </w:rPr>
      </w:pPr>
      <w:r>
        <w:rPr>
          <w:rFonts w:hint="eastAsia" w:ascii="宋体" w:hAnsi="宋体"/>
          <w:sz w:val="24"/>
        </w:rPr>
        <w:t>3）按照《财政部民政部中国残疾人联合会关于促进残疾人就业政府采购政策的通知》，残疾人福利性单位视同小型、微型企业，享受评审中价格扣除的政府采购政策，残疾人福利性单位属于小型、微型企业的，不重复享受政策。</w:t>
      </w:r>
    </w:p>
    <w:p>
      <w:pPr>
        <w:widowControl/>
        <w:tabs>
          <w:tab w:val="left" w:pos="360"/>
          <w:tab w:val="left" w:pos="960"/>
        </w:tabs>
        <w:spacing w:line="360" w:lineRule="auto"/>
        <w:ind w:firstLine="480" w:firstLineChars="200"/>
        <w:jc w:val="left"/>
        <w:rPr>
          <w:rFonts w:ascii="宋体" w:hAnsi="宋体"/>
          <w:sz w:val="24"/>
        </w:rPr>
      </w:pPr>
      <w:r>
        <w:rPr>
          <w:rFonts w:hint="eastAsia" w:ascii="宋体" w:hAnsi="宋体"/>
          <w:sz w:val="24"/>
        </w:rPr>
        <w:t>4）优先和强制采购节能产品。属于财政部、国家发展改革委《节能产品政府采购清单》有效期内产品的优先采购，属于节能产品清单中强制采购的产品强制采购。优先采购环保产品。属于财政部、环境保护部《环境标志产品政府采购清单》有效期内产品的优先采购。</w:t>
      </w:r>
    </w:p>
    <w:p>
      <w:pPr>
        <w:widowControl/>
        <w:spacing w:line="360" w:lineRule="auto"/>
        <w:ind w:firstLine="472" w:firstLineChars="196"/>
        <w:rPr>
          <w:rFonts w:ascii="宋体" w:hAnsi="宋体"/>
          <w:b/>
          <w:kern w:val="0"/>
          <w:sz w:val="24"/>
        </w:rPr>
      </w:pPr>
      <w:r>
        <w:rPr>
          <w:rFonts w:ascii="宋体" w:hAnsi="宋体"/>
          <w:b/>
          <w:kern w:val="0"/>
          <w:sz w:val="24"/>
        </w:rPr>
        <w:t>（二）采购标的需执行的国家相关标准、行业标准、地方标准或者其他标准、规范</w:t>
      </w:r>
    </w:p>
    <w:p>
      <w:pPr>
        <w:widowControl/>
        <w:tabs>
          <w:tab w:val="left" w:pos="360"/>
          <w:tab w:val="left" w:pos="960"/>
        </w:tabs>
        <w:adjustRightInd w:val="0"/>
        <w:spacing w:line="360" w:lineRule="auto"/>
        <w:ind w:firstLine="530" w:firstLineChars="221"/>
        <w:jc w:val="left"/>
        <w:textAlignment w:val="baseline"/>
        <w:rPr>
          <w:rFonts w:ascii="宋体" w:hAnsi="宋体"/>
          <w:sz w:val="24"/>
        </w:rPr>
      </w:pPr>
      <w:r>
        <w:rPr>
          <w:rFonts w:ascii="宋体" w:hAnsi="宋体"/>
          <w:sz w:val="24"/>
        </w:rPr>
        <w:t>《中华人民共和国政府采购法》《中华人民共和国政府采购实施条例》等。</w:t>
      </w:r>
    </w:p>
    <w:p>
      <w:pPr>
        <w:widowControl/>
        <w:spacing w:line="360" w:lineRule="auto"/>
        <w:ind w:firstLine="472" w:firstLineChars="196"/>
        <w:rPr>
          <w:rFonts w:ascii="宋体" w:hAnsi="宋体"/>
          <w:b/>
          <w:kern w:val="0"/>
          <w:sz w:val="24"/>
        </w:rPr>
      </w:pPr>
      <w:r>
        <w:rPr>
          <w:rFonts w:ascii="宋体" w:hAnsi="宋体"/>
          <w:b/>
          <w:kern w:val="0"/>
          <w:sz w:val="24"/>
        </w:rPr>
        <w:t>（三）采购标的需满足的质量、安全、技术规格、物理特性等要求</w:t>
      </w:r>
    </w:p>
    <w:p>
      <w:pPr>
        <w:widowControl/>
        <w:tabs>
          <w:tab w:val="left" w:pos="360"/>
          <w:tab w:val="left" w:pos="960"/>
        </w:tabs>
        <w:adjustRightInd w:val="0"/>
        <w:spacing w:line="360" w:lineRule="auto"/>
        <w:ind w:firstLine="530" w:firstLineChars="221"/>
        <w:jc w:val="left"/>
        <w:textAlignment w:val="baseline"/>
        <w:rPr>
          <w:rFonts w:hint="eastAsia" w:ascii="宋体" w:hAnsi="宋体"/>
          <w:sz w:val="24"/>
        </w:rPr>
      </w:pPr>
      <w:r>
        <w:rPr>
          <w:rFonts w:hint="eastAsia" w:ascii="宋体" w:hAnsi="宋体"/>
          <w:sz w:val="24"/>
        </w:rPr>
        <w:t>一、项目内容</w:t>
      </w:r>
    </w:p>
    <w:p>
      <w:pPr>
        <w:widowControl/>
        <w:tabs>
          <w:tab w:val="left" w:pos="360"/>
          <w:tab w:val="left" w:pos="960"/>
        </w:tabs>
        <w:adjustRightInd w:val="0"/>
        <w:spacing w:line="360" w:lineRule="auto"/>
        <w:ind w:firstLine="530" w:firstLineChars="221"/>
        <w:jc w:val="left"/>
        <w:textAlignment w:val="baseline"/>
        <w:rPr>
          <w:rFonts w:hint="eastAsia" w:ascii="宋体" w:hAnsi="宋体"/>
          <w:sz w:val="24"/>
        </w:rPr>
      </w:pPr>
      <w:r>
        <w:rPr>
          <w:rFonts w:hint="eastAsia" w:ascii="宋体" w:hAnsi="宋体"/>
          <w:sz w:val="24"/>
        </w:rPr>
        <w:t>项目包括工业用地数据更新调查汇总、建设用地节约集约利用状况评价、城乡低效用地调查入库市级核查汇总3个子项目。</w:t>
      </w:r>
    </w:p>
    <w:p>
      <w:pPr>
        <w:widowControl/>
        <w:tabs>
          <w:tab w:val="left" w:pos="360"/>
          <w:tab w:val="left" w:pos="960"/>
        </w:tabs>
        <w:adjustRightInd w:val="0"/>
        <w:spacing w:line="360" w:lineRule="auto"/>
        <w:ind w:firstLine="530" w:firstLineChars="221"/>
        <w:jc w:val="left"/>
        <w:textAlignment w:val="baseline"/>
        <w:rPr>
          <w:rFonts w:hint="eastAsia" w:ascii="宋体" w:hAnsi="宋体"/>
          <w:sz w:val="24"/>
        </w:rPr>
      </w:pPr>
      <w:r>
        <w:rPr>
          <w:rFonts w:hint="eastAsia" w:ascii="宋体" w:hAnsi="宋体"/>
          <w:sz w:val="24"/>
        </w:rPr>
        <w:t>二、项目要求</w:t>
      </w:r>
    </w:p>
    <w:p>
      <w:pPr>
        <w:widowControl/>
        <w:spacing w:line="360" w:lineRule="auto"/>
        <w:ind w:firstLine="480" w:firstLineChars="200"/>
        <w:rPr>
          <w:rFonts w:hint="eastAsia" w:ascii="宋体" w:hAnsi="宋体"/>
          <w:sz w:val="24"/>
        </w:rPr>
      </w:pPr>
      <w:r>
        <w:rPr>
          <w:rFonts w:hint="eastAsia" w:ascii="宋体" w:hAnsi="宋体"/>
          <w:sz w:val="24"/>
        </w:rPr>
        <w:t>（1）工业用地数据更新调查</w:t>
      </w:r>
    </w:p>
    <w:p>
      <w:pPr>
        <w:widowControl/>
        <w:spacing w:line="360" w:lineRule="auto"/>
        <w:ind w:firstLine="480" w:firstLineChars="200"/>
        <w:rPr>
          <w:rFonts w:hint="eastAsia" w:ascii="宋体" w:hAnsi="宋体"/>
          <w:sz w:val="24"/>
        </w:rPr>
      </w:pPr>
      <w:r>
        <w:rPr>
          <w:rFonts w:hint="eastAsia" w:ascii="宋体" w:hAnsi="宋体"/>
          <w:sz w:val="24"/>
        </w:rPr>
        <w:t>一是对各区工业用地成果质检。按照江苏省自然资源厅的技术标准，对各市（县）、区提交的2021年度省级数据成果进行内业检查，对入库的工业用地图斑进行影像对比，地块和企业的信息进行合理性、逻辑性检查；实地检查工业用地及工业企业的落实情况，各区（县）抽查3%左右的地块进行实地检查并拍照。二是数据匹配。结合我市现有产业用地成果，采取企业名称、组织机构代码，税务登记证号等多种字段相结合的方法，与各单位数据进行匹配，建立数据对照关系表；对未能匹配数据，分区下发各分局，配合各分局做好数据补充调查工作，完善产业用地数据库成果。三是数据库汇总。根据导则要求，汇总各区（县）提交的成果，对数据结构、字段属性、逻辑关系、图形拓扑进行检查，并按照省厅导则的要求更新成果目录。四是其他成果编制。以汇总数据库为基础，编制其他的表格成果、图件成果、收集汇总其他相关材料，最终形成无锡市汇总报告和分析报告。五是数据成果报省。按照省厅要求的时间上报成果，并对省级质检中存在问题进行分类，下发给各区（县），经修改后重新按要求上报，直至通过省级检查。</w:t>
      </w:r>
    </w:p>
    <w:p>
      <w:pPr>
        <w:widowControl/>
        <w:tabs>
          <w:tab w:val="left" w:pos="5595"/>
        </w:tabs>
        <w:spacing w:line="360" w:lineRule="auto"/>
        <w:ind w:firstLine="480" w:firstLineChars="200"/>
        <w:rPr>
          <w:rFonts w:hint="eastAsia" w:ascii="宋体" w:hAnsi="宋体"/>
          <w:sz w:val="24"/>
        </w:rPr>
      </w:pPr>
      <w:r>
        <w:rPr>
          <w:rFonts w:hint="eastAsia" w:ascii="宋体" w:hAnsi="宋体"/>
          <w:sz w:val="24"/>
        </w:rPr>
        <w:t>（2）建设用地节约集约利用状况评价</w:t>
      </w:r>
      <w:r>
        <w:rPr>
          <w:rFonts w:ascii="宋体" w:hAnsi="宋体"/>
          <w:sz w:val="24"/>
        </w:rPr>
        <w:tab/>
      </w:r>
    </w:p>
    <w:p>
      <w:pPr>
        <w:widowControl/>
        <w:spacing w:line="360" w:lineRule="auto"/>
        <w:ind w:firstLine="480" w:firstLineChars="200"/>
        <w:rPr>
          <w:rFonts w:hint="eastAsia" w:ascii="宋体" w:hAnsi="宋体"/>
          <w:sz w:val="24"/>
        </w:rPr>
      </w:pPr>
      <w:r>
        <w:rPr>
          <w:rFonts w:hint="eastAsia" w:ascii="宋体" w:hAnsi="宋体"/>
          <w:sz w:val="24"/>
        </w:rPr>
        <w:t>汇总各县（市、区）提供的人口、经济、土地利用、供应、规划状况以及生态环境状况等基础数据，通过对利用强度指数、增长耗地指数、管理绩效指数测算，分析评价辖区内所有的建设用地利用效率和节约集约程度，提出促进节约集约用地的相关政策建议，形成评价分析报告及其他成果材料。</w:t>
      </w:r>
    </w:p>
    <w:p>
      <w:pPr>
        <w:widowControl/>
        <w:spacing w:line="360" w:lineRule="auto"/>
        <w:ind w:firstLine="480" w:firstLineChars="200"/>
        <w:rPr>
          <w:rFonts w:hint="eastAsia" w:ascii="宋体" w:hAnsi="宋体"/>
          <w:sz w:val="24"/>
        </w:rPr>
      </w:pPr>
      <w:r>
        <w:rPr>
          <w:rFonts w:hint="eastAsia" w:ascii="宋体" w:hAnsi="宋体"/>
          <w:sz w:val="24"/>
        </w:rPr>
        <w:t>（3）城乡低效用地调查入库市级核查汇总</w:t>
      </w:r>
    </w:p>
    <w:p>
      <w:pPr>
        <w:widowControl/>
        <w:spacing w:line="360" w:lineRule="auto"/>
        <w:ind w:firstLine="480" w:firstLineChars="200"/>
        <w:rPr>
          <w:rFonts w:hint="eastAsia" w:ascii="宋体" w:hAnsi="宋体"/>
          <w:sz w:val="24"/>
        </w:rPr>
      </w:pPr>
      <w:r>
        <w:rPr>
          <w:rFonts w:hint="eastAsia" w:ascii="宋体" w:hAnsi="宋体"/>
          <w:sz w:val="24"/>
        </w:rPr>
        <w:t>按照省厅低效用地再开发工作要求，汇总审查各县（市、区）上报的低效用地再开发专项规划和年度实施计划，围绕产业用地减量增效行动，按照低效用地退二还一、退二优二、退二进三3种类型，形成低效用地再开发数据库。根据部省厅“增存挂钩”工作要求以及我市批而未供土地处置三年行动，梳理土地市场动态监测与监管系统中的批而未供土地数据，结合锡地存量云平台，形成“增存挂钩”基础数据，汇总各县（市、区）上报的年度批而未供土地处置地块清单，形成批而未供土地处置单元数据库；整合上述存量资源数据库，梳理盘活处置单元，建立可利用存量资源数据库，并形成城乡低效用地盘活利用分析报告</w:t>
      </w:r>
      <w:r>
        <w:rPr>
          <w:rFonts w:ascii="宋体" w:hAnsi="宋体"/>
          <w:sz w:val="24"/>
        </w:rPr>
        <w:t>。</w:t>
      </w:r>
    </w:p>
    <w:p>
      <w:pPr>
        <w:widowControl/>
        <w:spacing w:line="360" w:lineRule="auto"/>
        <w:ind w:firstLine="482" w:firstLineChars="200"/>
        <w:rPr>
          <w:rFonts w:ascii="宋体" w:hAnsi="宋体"/>
          <w:b/>
          <w:kern w:val="0"/>
          <w:sz w:val="24"/>
        </w:rPr>
      </w:pPr>
      <w:r>
        <w:rPr>
          <w:rFonts w:ascii="宋体" w:hAnsi="宋体"/>
          <w:b/>
          <w:kern w:val="0"/>
          <w:sz w:val="24"/>
        </w:rPr>
        <w:t>（四）采购标的的数量、采购项目交付或者实施的时间和地点</w:t>
      </w:r>
    </w:p>
    <w:p>
      <w:pPr>
        <w:widowControl/>
        <w:spacing w:line="360" w:lineRule="auto"/>
        <w:ind w:firstLine="470" w:firstLineChars="196"/>
        <w:rPr>
          <w:rFonts w:ascii="宋体" w:hAnsi="宋体"/>
          <w:kern w:val="0"/>
          <w:sz w:val="24"/>
        </w:rPr>
      </w:pPr>
      <w:r>
        <w:rPr>
          <w:rFonts w:ascii="宋体" w:hAnsi="宋体" w:cs="宋体"/>
          <w:bCs/>
          <w:sz w:val="24"/>
        </w:rPr>
        <w:t>服务地点：无锡市辖区</w:t>
      </w:r>
      <w:r>
        <w:rPr>
          <w:rFonts w:ascii="宋体" w:hAnsi="宋体"/>
          <w:kern w:val="0"/>
          <w:sz w:val="24"/>
        </w:rPr>
        <w:t xml:space="preserve"> </w:t>
      </w:r>
    </w:p>
    <w:p>
      <w:pPr>
        <w:widowControl/>
        <w:spacing w:line="360" w:lineRule="auto"/>
        <w:ind w:firstLine="482" w:firstLineChars="200"/>
        <w:rPr>
          <w:rFonts w:ascii="宋体" w:hAnsi="宋体"/>
          <w:b/>
          <w:kern w:val="0"/>
          <w:sz w:val="24"/>
        </w:rPr>
      </w:pPr>
      <w:r>
        <w:rPr>
          <w:rFonts w:ascii="宋体" w:hAnsi="宋体"/>
          <w:b/>
          <w:kern w:val="0"/>
          <w:sz w:val="24"/>
        </w:rPr>
        <w:t>（五）采购标的需满足的服务标准、期限、效率等要求</w:t>
      </w:r>
    </w:p>
    <w:p>
      <w:pPr>
        <w:widowControl/>
        <w:spacing w:line="360" w:lineRule="auto"/>
        <w:ind w:firstLine="470" w:firstLineChars="196"/>
        <w:rPr>
          <w:rFonts w:ascii="宋体" w:hAnsi="宋体"/>
          <w:kern w:val="0"/>
          <w:sz w:val="24"/>
        </w:rPr>
      </w:pPr>
      <w:r>
        <w:rPr>
          <w:rFonts w:ascii="宋体" w:hAnsi="宋体" w:cs="宋体"/>
          <w:bCs/>
          <w:sz w:val="24"/>
        </w:rPr>
        <w:t>一、服务期：</w:t>
      </w:r>
      <w:r>
        <w:rPr>
          <w:rFonts w:hint="eastAsia" w:ascii="宋体" w:hAnsi="宋体" w:cs="宋体"/>
          <w:bCs/>
          <w:sz w:val="24"/>
        </w:rPr>
        <w:t>2022年内完成土地利用基础数据调查评价项目的全部工作。</w:t>
      </w:r>
    </w:p>
    <w:p>
      <w:pPr>
        <w:widowControl/>
        <w:spacing w:line="360" w:lineRule="auto"/>
        <w:ind w:firstLine="480" w:firstLineChars="200"/>
        <w:rPr>
          <w:rFonts w:hint="eastAsia" w:ascii="宋体" w:hAnsi="宋体" w:cs="宋体"/>
          <w:bCs/>
          <w:sz w:val="24"/>
        </w:rPr>
      </w:pPr>
      <w:r>
        <w:rPr>
          <w:rFonts w:hint="eastAsia" w:ascii="宋体" w:hAnsi="宋体" w:cs="宋体"/>
          <w:bCs/>
          <w:sz w:val="24"/>
        </w:rPr>
        <w:t>二、成果提交</w:t>
      </w:r>
    </w:p>
    <w:p>
      <w:pPr>
        <w:widowControl/>
        <w:spacing w:line="360" w:lineRule="auto"/>
        <w:ind w:firstLine="480" w:firstLineChars="200"/>
        <w:rPr>
          <w:rFonts w:hint="eastAsia" w:ascii="宋体" w:hAnsi="宋体" w:cs="宋体"/>
          <w:bCs/>
          <w:sz w:val="24"/>
        </w:rPr>
      </w:pPr>
      <w:r>
        <w:rPr>
          <w:rFonts w:hint="eastAsia" w:ascii="宋体" w:hAnsi="宋体" w:cs="宋体"/>
          <w:bCs/>
          <w:sz w:val="24"/>
        </w:rPr>
        <w:t>提交的成果包括内业检查报告、外业照片、表格、数据库成果和文字成果等。具体内容及要求如下：</w:t>
      </w:r>
    </w:p>
    <w:p>
      <w:pPr>
        <w:widowControl/>
        <w:spacing w:line="360" w:lineRule="auto"/>
        <w:ind w:firstLine="480" w:firstLineChars="200"/>
        <w:rPr>
          <w:rFonts w:hint="eastAsia" w:ascii="宋体" w:hAnsi="宋体" w:cs="宋体"/>
          <w:bCs/>
          <w:sz w:val="24"/>
        </w:rPr>
      </w:pPr>
      <w:r>
        <w:rPr>
          <w:rFonts w:hint="eastAsia" w:ascii="宋体" w:hAnsi="宋体" w:cs="宋体"/>
          <w:bCs/>
          <w:sz w:val="24"/>
        </w:rPr>
        <w:t>1、内业检查报告等材料</w:t>
      </w:r>
    </w:p>
    <w:p>
      <w:pPr>
        <w:widowControl/>
        <w:spacing w:line="360" w:lineRule="auto"/>
        <w:ind w:firstLine="480" w:firstLineChars="200"/>
        <w:rPr>
          <w:rFonts w:hint="eastAsia" w:ascii="宋体" w:hAnsi="宋体" w:cs="宋体"/>
          <w:bCs/>
          <w:sz w:val="24"/>
        </w:rPr>
      </w:pPr>
      <w:r>
        <w:rPr>
          <w:rFonts w:hint="eastAsia" w:ascii="宋体" w:hAnsi="宋体" w:cs="宋体"/>
          <w:bCs/>
          <w:sz w:val="24"/>
        </w:rPr>
        <w:t>2、外业核查成果</w:t>
      </w:r>
    </w:p>
    <w:p>
      <w:pPr>
        <w:widowControl/>
        <w:spacing w:line="360" w:lineRule="auto"/>
        <w:ind w:firstLine="480" w:firstLineChars="200"/>
        <w:rPr>
          <w:rFonts w:hint="eastAsia" w:ascii="宋体" w:hAnsi="宋体" w:cs="宋体"/>
          <w:bCs/>
          <w:sz w:val="24"/>
        </w:rPr>
      </w:pPr>
      <w:r>
        <w:rPr>
          <w:rFonts w:hint="eastAsia" w:ascii="宋体" w:hAnsi="宋体" w:cs="宋体"/>
          <w:bCs/>
          <w:sz w:val="24"/>
        </w:rPr>
        <w:t>3、市级成果汇总</w:t>
      </w:r>
    </w:p>
    <w:p>
      <w:pPr>
        <w:widowControl/>
        <w:spacing w:line="360" w:lineRule="auto"/>
        <w:ind w:firstLine="480" w:firstLineChars="200"/>
        <w:rPr>
          <w:rFonts w:hint="eastAsia" w:ascii="宋体" w:hAnsi="宋体" w:cs="宋体"/>
          <w:bCs/>
          <w:sz w:val="24"/>
        </w:rPr>
      </w:pPr>
      <w:r>
        <w:rPr>
          <w:rFonts w:hint="eastAsia" w:ascii="宋体" w:hAnsi="宋体" w:cs="宋体"/>
          <w:bCs/>
          <w:sz w:val="24"/>
        </w:rPr>
        <w:t>（1）表格成果：表格均分县统计汇总。</w:t>
      </w:r>
    </w:p>
    <w:p>
      <w:pPr>
        <w:widowControl/>
        <w:spacing w:line="360" w:lineRule="auto"/>
        <w:ind w:firstLine="480" w:firstLineChars="200"/>
        <w:rPr>
          <w:rFonts w:hint="eastAsia" w:ascii="宋体" w:hAnsi="宋体" w:cs="宋体"/>
          <w:bCs/>
          <w:sz w:val="24"/>
        </w:rPr>
      </w:pPr>
      <w:r>
        <w:rPr>
          <w:rFonts w:hint="eastAsia" w:ascii="宋体" w:hAnsi="宋体" w:cs="宋体"/>
          <w:bCs/>
          <w:sz w:val="24"/>
        </w:rPr>
        <w:t>（2）数据库成果： 202</w:t>
      </w:r>
      <w:r>
        <w:rPr>
          <w:rFonts w:ascii="宋体" w:hAnsi="宋体" w:cs="宋体"/>
          <w:bCs/>
          <w:sz w:val="24"/>
        </w:rPr>
        <w:t>2</w:t>
      </w:r>
      <w:r>
        <w:rPr>
          <w:rFonts w:hint="eastAsia" w:ascii="宋体" w:hAnsi="宋体" w:cs="宋体"/>
          <w:bCs/>
          <w:sz w:val="24"/>
        </w:rPr>
        <w:t>年度无锡市工业企业用地更新调查数据库成果、</w:t>
      </w:r>
      <w:r>
        <w:rPr>
          <w:rFonts w:ascii="宋体" w:hAnsi="宋体"/>
          <w:sz w:val="24"/>
        </w:rPr>
        <w:t>低效用地再开发数据库</w:t>
      </w:r>
      <w:r>
        <w:rPr>
          <w:rFonts w:hint="eastAsia" w:ascii="宋体" w:hAnsi="宋体"/>
          <w:sz w:val="24"/>
        </w:rPr>
        <w:t>、</w:t>
      </w:r>
      <w:r>
        <w:rPr>
          <w:rFonts w:hint="eastAsia" w:ascii="宋体" w:hAnsi="宋体" w:cs="宋体"/>
          <w:bCs/>
          <w:sz w:val="24"/>
        </w:rPr>
        <w:t>无锡市</w:t>
      </w:r>
      <w:r>
        <w:rPr>
          <w:rFonts w:hint="eastAsia" w:ascii="宋体" w:hAnsi="宋体"/>
          <w:sz w:val="24"/>
        </w:rPr>
        <w:t>批而未供土地处置单元数据库、</w:t>
      </w:r>
      <w:r>
        <w:rPr>
          <w:rFonts w:hint="eastAsia" w:ascii="宋体" w:hAnsi="宋体" w:cs="宋体"/>
          <w:bCs/>
          <w:sz w:val="24"/>
        </w:rPr>
        <w:t>无锡市可利用资源数据库。</w:t>
      </w:r>
    </w:p>
    <w:p>
      <w:pPr>
        <w:widowControl/>
        <w:spacing w:line="360" w:lineRule="auto"/>
        <w:ind w:firstLine="480" w:firstLineChars="200"/>
        <w:rPr>
          <w:rFonts w:ascii="宋体" w:hAnsi="宋体"/>
          <w:kern w:val="0"/>
          <w:sz w:val="24"/>
        </w:rPr>
      </w:pPr>
      <w:r>
        <w:rPr>
          <w:rFonts w:hint="eastAsia" w:ascii="宋体" w:hAnsi="宋体" w:cs="宋体"/>
          <w:bCs/>
          <w:sz w:val="24"/>
        </w:rPr>
        <w:t>（3）文字成果：工业企业用地更新调查分析报告、</w:t>
      </w:r>
      <w:r>
        <w:rPr>
          <w:rFonts w:hint="eastAsia" w:ascii="宋体" w:hAnsi="宋体"/>
          <w:sz w:val="24"/>
        </w:rPr>
        <w:t>建设用地节约集约利用状况评价分析报告</w:t>
      </w:r>
      <w:r>
        <w:rPr>
          <w:rFonts w:hint="eastAsia" w:ascii="宋体" w:hAnsi="宋体" w:cs="宋体"/>
          <w:bCs/>
          <w:sz w:val="24"/>
        </w:rPr>
        <w:t>以及</w:t>
      </w:r>
      <w:r>
        <w:rPr>
          <w:rFonts w:hint="eastAsia" w:ascii="宋体" w:hAnsi="宋体"/>
          <w:sz w:val="24"/>
        </w:rPr>
        <w:t>城乡低效用地盘活利用</w:t>
      </w:r>
      <w:r>
        <w:rPr>
          <w:rFonts w:hint="eastAsia" w:ascii="宋体" w:hAnsi="宋体" w:cs="宋体"/>
          <w:bCs/>
          <w:sz w:val="24"/>
        </w:rPr>
        <w:t>分析报告。</w:t>
      </w:r>
    </w:p>
    <w:p>
      <w:pPr>
        <w:widowControl/>
        <w:spacing w:line="360" w:lineRule="auto"/>
        <w:ind w:firstLine="482" w:firstLineChars="200"/>
        <w:rPr>
          <w:rFonts w:ascii="宋体" w:hAnsi="宋体"/>
          <w:b/>
          <w:kern w:val="0"/>
          <w:sz w:val="24"/>
        </w:rPr>
      </w:pPr>
      <w:r>
        <w:rPr>
          <w:rFonts w:ascii="宋体" w:hAnsi="宋体"/>
          <w:b/>
          <w:kern w:val="0"/>
          <w:sz w:val="24"/>
        </w:rPr>
        <w:t>（六）采购标的的验收标准</w:t>
      </w:r>
    </w:p>
    <w:p>
      <w:pPr>
        <w:widowControl/>
        <w:spacing w:line="360" w:lineRule="auto"/>
        <w:ind w:firstLine="470" w:firstLineChars="196"/>
        <w:rPr>
          <w:rFonts w:hint="eastAsia" w:ascii="宋体" w:hAnsi="宋体"/>
          <w:sz w:val="24"/>
        </w:rPr>
      </w:pPr>
      <w:r>
        <w:rPr>
          <w:rFonts w:hint="eastAsia" w:ascii="宋体" w:hAnsi="宋体"/>
          <w:sz w:val="24"/>
        </w:rPr>
        <w:t>工业用地数据更新调查</w:t>
      </w:r>
      <w:r>
        <w:rPr>
          <w:rFonts w:hint="eastAsia" w:ascii="宋体" w:hAnsi="宋体" w:cs="宋体"/>
          <w:bCs/>
          <w:sz w:val="24"/>
        </w:rPr>
        <w:t>通过省级检查，</w:t>
      </w:r>
      <w:r>
        <w:rPr>
          <w:rFonts w:hint="eastAsia" w:ascii="宋体" w:hAnsi="宋体"/>
          <w:sz w:val="24"/>
        </w:rPr>
        <w:t>建设用地节约集约利用状况评价和城乡低效用地调查入库市级核查汇总通过市级验收。</w:t>
      </w:r>
    </w:p>
    <w:p>
      <w:pPr>
        <w:widowControl/>
        <w:tabs>
          <w:tab w:val="left" w:pos="360"/>
          <w:tab w:val="left" w:pos="960"/>
        </w:tabs>
        <w:adjustRightInd w:val="0"/>
        <w:spacing w:line="360" w:lineRule="auto"/>
        <w:ind w:firstLine="532" w:firstLineChars="221"/>
        <w:jc w:val="left"/>
        <w:textAlignment w:val="baseline"/>
        <w:rPr>
          <w:rFonts w:hint="eastAsia" w:ascii="宋体" w:hAnsi="宋体"/>
          <w:sz w:val="24"/>
        </w:rPr>
      </w:pPr>
      <w:r>
        <w:rPr>
          <w:rFonts w:ascii="宋体" w:hAnsi="宋体"/>
          <w:b/>
          <w:sz w:val="24"/>
        </w:rPr>
        <w:t>（七）采购标的的其他技术、服务等要求：</w:t>
      </w:r>
    </w:p>
    <w:p>
      <w:pPr>
        <w:spacing w:line="360" w:lineRule="auto"/>
        <w:ind w:firstLine="472" w:firstLineChars="196"/>
        <w:rPr>
          <w:rFonts w:hint="eastAsia" w:ascii="宋体" w:hAnsi="宋体" w:cs="宋体"/>
          <w:b/>
          <w:sz w:val="24"/>
        </w:rPr>
      </w:pPr>
      <w:r>
        <w:rPr>
          <w:rFonts w:hint="eastAsia" w:ascii="宋体" w:hAnsi="宋体" w:cs="宋体"/>
          <w:b/>
          <w:sz w:val="24"/>
        </w:rPr>
        <w:t>一、付款方式</w:t>
      </w:r>
    </w:p>
    <w:p>
      <w:pPr>
        <w:widowControl/>
        <w:spacing w:line="360" w:lineRule="auto"/>
        <w:ind w:firstLine="480" w:firstLineChars="200"/>
        <w:rPr>
          <w:rFonts w:hint="eastAsia" w:ascii="宋体" w:hAnsi="宋体" w:cs="宋体"/>
          <w:bCs/>
          <w:sz w:val="24"/>
        </w:rPr>
      </w:pPr>
      <w:r>
        <w:rPr>
          <w:rFonts w:hint="eastAsia" w:ascii="宋体" w:hAnsi="宋体" w:cs="宋体"/>
          <w:bCs/>
          <w:sz w:val="24"/>
        </w:rPr>
        <w:t>合同签订后后10个工作日支付项目总费用的70%，各辖市区202</w:t>
      </w:r>
      <w:r>
        <w:rPr>
          <w:rFonts w:ascii="宋体" w:hAnsi="宋体" w:cs="宋体"/>
          <w:bCs/>
          <w:sz w:val="24"/>
        </w:rPr>
        <w:t>2</w:t>
      </w:r>
      <w:r>
        <w:rPr>
          <w:rFonts w:hint="eastAsia" w:ascii="宋体" w:hAnsi="宋体" w:cs="宋体"/>
          <w:bCs/>
          <w:sz w:val="24"/>
        </w:rPr>
        <w:t>年度工业企业用地更新调查成果</w:t>
      </w:r>
      <w:r>
        <w:rPr>
          <w:rFonts w:hint="eastAsia" w:ascii="宋体" w:hAnsi="宋体"/>
          <w:bCs/>
          <w:sz w:val="24"/>
        </w:rPr>
        <w:t>通过省级检查、</w:t>
      </w:r>
      <w:r>
        <w:rPr>
          <w:rFonts w:hint="eastAsia" w:ascii="宋体" w:hAnsi="宋体"/>
          <w:sz w:val="24"/>
        </w:rPr>
        <w:t>建设用地节约集约利用状况评价和城乡低效用地调查入库市级核查汇总通过市级验收</w:t>
      </w:r>
      <w:r>
        <w:rPr>
          <w:rFonts w:hint="eastAsia" w:ascii="宋体" w:hAnsi="宋体"/>
          <w:bCs/>
          <w:sz w:val="24"/>
        </w:rPr>
        <w:t>后，支付剩余款项</w:t>
      </w:r>
      <w:r>
        <w:rPr>
          <w:rFonts w:hint="eastAsia" w:ascii="宋体" w:hAnsi="宋体" w:cs="宋体"/>
          <w:bCs/>
          <w:sz w:val="24"/>
        </w:rPr>
        <w:t>。若供应商以联合体中标本项目，工程款由甲方直接支付给联合体牵头方，不再另行支付联合体成员方费用，联合体成员方费用由各成员方与牵头方结算。</w:t>
      </w:r>
    </w:p>
    <w:p>
      <w:pPr>
        <w:widowControl/>
        <w:spacing w:line="360" w:lineRule="auto"/>
        <w:ind w:firstLine="482" w:firstLineChars="200"/>
        <w:rPr>
          <w:rFonts w:hint="eastAsia" w:ascii="宋体" w:hAnsi="宋体" w:cs="宋体"/>
          <w:b/>
          <w:sz w:val="24"/>
        </w:rPr>
      </w:pPr>
      <w:r>
        <w:rPr>
          <w:rFonts w:hint="eastAsia" w:ascii="宋体" w:hAnsi="宋体" w:cs="宋体"/>
          <w:b/>
          <w:sz w:val="24"/>
        </w:rPr>
        <w:t>二、其他说明</w:t>
      </w:r>
    </w:p>
    <w:p>
      <w:pPr>
        <w:widowControl/>
        <w:tabs>
          <w:tab w:val="left" w:pos="360"/>
          <w:tab w:val="left" w:pos="960"/>
        </w:tabs>
        <w:adjustRightInd w:val="0"/>
        <w:spacing w:line="360" w:lineRule="auto"/>
        <w:ind w:firstLine="530" w:firstLineChars="221"/>
        <w:jc w:val="left"/>
        <w:textAlignment w:val="baseline"/>
        <w:rPr>
          <w:rFonts w:ascii="宋体" w:hAnsi="宋体" w:cs="宋体"/>
          <w:bCs/>
          <w:sz w:val="24"/>
        </w:rPr>
      </w:pPr>
      <w:r>
        <w:rPr>
          <w:rFonts w:hint="eastAsia" w:ascii="宋体" w:hAnsi="宋体" w:cs="宋体"/>
          <w:bCs/>
          <w:sz w:val="24"/>
        </w:rPr>
        <w:t>费用说明：投标总价应包括投标人整个服务期内全部费用的报价，包含人员工资、加班费、各项福利、办公费、管理费、为本招标项目提供服务所需的仪器设备、各类耗材、公共耗能费、专家评审费、利润、税金、本项目招标代理费等本项目招标文件规定的全部费用。除因特殊原因经双方协商同意外，投标人不得再要求追加任何费用。</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982587"/>
    <w:rsid w:val="25982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2022-05-20T11:20:00Z</dcterms:created>
  <dc:creator>Administrator</dc:creator>
  <cp:lastModifiedBy>Administrator</cp:lastModifiedBy>
  <dcterms:modified xsi:type="dcterms:W3CDTF">2022-05-20T11:21:46Z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