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660"/>
        <w:rPr>
          <w:rFonts w:ascii="楷体_GB2312" w:eastAsia="楷体_GB2312"/>
          <w:bCs/>
          <w:sz w:val="30"/>
        </w:rPr>
      </w:pPr>
    </w:p>
    <w:p>
      <w:pPr>
        <w:ind w:left="660"/>
        <w:rPr>
          <w:rFonts w:ascii="楷体_GB2312" w:eastAsia="楷体_GB2312"/>
          <w:bCs/>
          <w:sz w:val="30"/>
        </w:rPr>
      </w:pPr>
    </w:p>
    <w:p>
      <w:pPr>
        <w:jc w:val="center"/>
        <w:rPr>
          <w:rFonts w:ascii="黑体" w:hAnsi="华文中宋" w:eastAsia="黑体"/>
          <w:bCs/>
          <w:spacing w:val="20"/>
          <w:sz w:val="72"/>
          <w:szCs w:val="72"/>
        </w:rPr>
      </w:pPr>
      <w:r>
        <w:rPr>
          <w:rFonts w:hint="eastAsia" w:ascii="黑体" w:hAnsi="华文中宋" w:eastAsia="黑体"/>
          <w:bCs/>
          <w:spacing w:val="20"/>
          <w:sz w:val="72"/>
          <w:szCs w:val="72"/>
        </w:rPr>
        <w:t>无锡市惠山区政府采购</w:t>
      </w:r>
    </w:p>
    <w:p>
      <w:pPr>
        <w:rPr>
          <w:rFonts w:ascii="华文中宋" w:hAnsi="华文中宋" w:eastAsia="华文中宋"/>
          <w:bCs/>
          <w:sz w:val="30"/>
        </w:rPr>
      </w:pPr>
    </w:p>
    <w:p>
      <w:pPr>
        <w:rPr>
          <w:rFonts w:ascii="华文中宋" w:hAnsi="华文中宋" w:eastAsia="华文中宋"/>
          <w:bCs/>
          <w:sz w:val="30"/>
        </w:rPr>
      </w:pPr>
    </w:p>
    <w:p>
      <w:pPr>
        <w:rPr>
          <w:rFonts w:ascii="华文中宋" w:hAnsi="华文中宋" w:eastAsia="华文中宋"/>
          <w:bCs/>
          <w:sz w:val="30"/>
        </w:rPr>
      </w:pPr>
    </w:p>
    <w:p>
      <w:pPr>
        <w:jc w:val="center"/>
        <w:rPr>
          <w:rFonts w:ascii="黑体" w:hAnsi="华文中宋" w:eastAsia="黑体"/>
          <w:bCs/>
          <w:spacing w:val="20"/>
          <w:w w:val="90"/>
          <w:sz w:val="48"/>
          <w:szCs w:val="48"/>
        </w:rPr>
      </w:pPr>
      <w:r>
        <w:rPr>
          <w:rFonts w:hint="eastAsia" w:ascii="黑体" w:hAnsi="华文中宋" w:eastAsia="黑体"/>
          <w:bCs/>
          <w:spacing w:val="20"/>
          <w:w w:val="90"/>
          <w:sz w:val="48"/>
          <w:szCs w:val="48"/>
        </w:rPr>
        <w:t>公   开</w:t>
      </w:r>
    </w:p>
    <w:p>
      <w:pPr>
        <w:jc w:val="center"/>
        <w:rPr>
          <w:rFonts w:ascii="黑体" w:hAnsi="华文中宋" w:eastAsia="黑体"/>
          <w:bCs/>
          <w:spacing w:val="20"/>
          <w:sz w:val="52"/>
          <w:szCs w:val="52"/>
        </w:rPr>
      </w:pPr>
      <w: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198120</wp:posOffset>
                </wp:positionV>
                <wp:extent cx="635" cy="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15.6pt;height:0pt;width:0.05pt;z-index:251659264;mso-width-relative:page;mso-height-relative:page;" filled="f" stroked="t" coordsize="21600,21600" o:allowincell="f" o:gfxdata="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gv3/rXAAAA&#10;CQEAAA8AAAAAAAAAAQAgAAAAIgAAAGRycy9kb3ducmV2LnhtbFBLAQIUABQAAAAIAIdO4kChckE3&#10;5QEAALQDAAAOAAAAAAAAAAEAIAAAACYBAABkcnMvZTJvRG9jLnhtbFBLBQYAAAAABgAGAFkBAAB9&#10;BQAAAAA=&#10;">
                <v:fill on="f" focussize="0,0"/>
                <v:stroke color="#000000" joinstyle="round"/>
                <v:imagedata o:title=""/>
                <o:lock v:ext="edit" aspectratio="f"/>
              </v:line>
            </w:pict>
          </mc:Fallback>
        </mc:AlternateContent>
      </w:r>
      <w:r>
        <w:rPr>
          <w:rFonts w:hint="eastAsia" w:ascii="黑体" w:hAnsi="华文中宋" w:eastAsia="黑体"/>
          <w:bCs/>
          <w:spacing w:val="20"/>
          <w:sz w:val="52"/>
          <w:szCs w:val="52"/>
        </w:rPr>
        <w:t>招  标  文  件</w:t>
      </w:r>
    </w:p>
    <w:p>
      <w:pPr>
        <w:rPr>
          <w:rFonts w:ascii="华文中宋" w:hAnsi="华文中宋" w:eastAsia="华文中宋"/>
          <w:bCs/>
          <w:sz w:val="30"/>
        </w:rPr>
      </w:pPr>
    </w:p>
    <w:p>
      <w:pPr>
        <w:tabs>
          <w:tab w:val="left" w:pos="9921"/>
        </w:tabs>
        <w:jc w:val="center"/>
        <w:rPr>
          <w:rFonts w:ascii="华文中宋" w:hAnsi="华文中宋" w:eastAsia="华文中宋"/>
          <w:bCs/>
          <w:sz w:val="30"/>
        </w:rPr>
      </w:pPr>
      <w:r>
        <w:rPr>
          <w:rFonts w:hint="eastAsia" w:ascii="华文中宋" w:hAnsi="华文中宋" w:eastAsia="华文中宋"/>
          <w:bCs/>
          <w:sz w:val="30"/>
        </w:rPr>
        <w:t>（全流程电子化）</w:t>
      </w:r>
    </w:p>
    <w:p>
      <w:pPr>
        <w:jc w:val="left"/>
        <w:rPr>
          <w:rFonts w:ascii="华文中宋" w:hAnsi="华文中宋" w:eastAsia="华文中宋"/>
          <w:bCs/>
          <w:color w:val="auto"/>
          <w:sz w:val="30"/>
        </w:rPr>
      </w:pPr>
    </w:p>
    <w:p>
      <w:pPr>
        <w:rPr>
          <w:rFonts w:hint="default" w:ascii="黑体" w:hAnsi="华文中宋" w:eastAsia="黑体"/>
          <w:bCs/>
          <w:color w:val="auto"/>
          <w:sz w:val="30"/>
          <w:szCs w:val="30"/>
          <w:lang w:val="en-US"/>
        </w:rPr>
      </w:pPr>
      <w:r>
        <w:rPr>
          <w:rFonts w:hint="eastAsia" w:ascii="黑体" w:hAnsi="华文中宋" w:eastAsia="黑体"/>
          <w:bCs/>
          <w:color w:val="auto"/>
          <w:sz w:val="30"/>
          <w:szCs w:val="30"/>
        </w:rPr>
        <w:t xml:space="preserve">          采购项目编号：HSCGZX(G)</w:t>
      </w:r>
      <w:r>
        <w:rPr>
          <w:rFonts w:hint="eastAsia" w:ascii="黑体" w:hAnsi="华文中宋" w:eastAsia="黑体"/>
          <w:bCs/>
          <w:color w:val="auto"/>
          <w:sz w:val="30"/>
          <w:szCs w:val="30"/>
          <w:lang w:val="en-US" w:eastAsia="zh-CN"/>
        </w:rPr>
        <w:t>20230034</w:t>
      </w:r>
    </w:p>
    <w:p>
      <w:pPr>
        <w:rPr>
          <w:rFonts w:ascii="黑体" w:hAnsi="华文中宋" w:eastAsia="黑体"/>
          <w:bCs/>
          <w:color w:val="auto"/>
          <w:sz w:val="30"/>
          <w:szCs w:val="30"/>
        </w:rPr>
      </w:pPr>
      <w:r>
        <w:rPr>
          <w:rFonts w:hint="eastAsia" w:ascii="黑体" w:hAnsi="华文中宋" w:eastAsia="黑体"/>
          <w:bCs/>
          <w:color w:val="auto"/>
          <w:sz w:val="30"/>
          <w:szCs w:val="30"/>
        </w:rPr>
        <w:t xml:space="preserve">          采购项目名称：</w:t>
      </w:r>
      <w:r>
        <w:rPr>
          <w:rFonts w:hint="eastAsia" w:ascii="黑体" w:hAnsi="华文中宋" w:eastAsia="黑体"/>
          <w:bCs/>
          <w:color w:val="auto"/>
          <w:sz w:val="30"/>
          <w:szCs w:val="30"/>
          <w:lang w:eastAsia="zh-CN"/>
        </w:rPr>
        <w:t>无锡市玉祁高级中学智慧管理与服务平台项目</w:t>
      </w:r>
    </w:p>
    <w:p>
      <w:pPr>
        <w:rPr>
          <w:rFonts w:ascii="黑体" w:hAnsi="华文中宋" w:eastAsia="黑体"/>
          <w:bCs/>
          <w:color w:val="auto"/>
          <w:sz w:val="30"/>
          <w:szCs w:val="30"/>
        </w:rPr>
      </w:pPr>
      <w:r>
        <w:rPr>
          <w:rFonts w:hint="eastAsia" w:ascii="黑体" w:hAnsi="华文中宋" w:eastAsia="黑体"/>
          <w:bCs/>
          <w:color w:val="auto"/>
          <w:sz w:val="30"/>
          <w:szCs w:val="30"/>
        </w:rPr>
        <w:t xml:space="preserve">          集中采购机构: 无锡市惠山区政府采购中心</w:t>
      </w:r>
    </w:p>
    <w:p>
      <w:pPr>
        <w:rPr>
          <w:rFonts w:ascii="华文中宋" w:hAnsi="华文中宋" w:eastAsia="华文中宋"/>
          <w:bCs/>
          <w:color w:val="auto"/>
          <w:sz w:val="32"/>
        </w:rPr>
      </w:pPr>
    </w:p>
    <w:p>
      <w:pPr>
        <w:rPr>
          <w:rFonts w:ascii="华文中宋" w:hAnsi="华文中宋" w:eastAsia="华文中宋"/>
          <w:bCs/>
          <w:color w:val="auto"/>
          <w:sz w:val="30"/>
        </w:rPr>
      </w:pPr>
    </w:p>
    <w:p>
      <w:pPr>
        <w:rPr>
          <w:rFonts w:ascii="华文中宋" w:hAnsi="华文中宋" w:eastAsia="华文中宋"/>
          <w:bCs/>
          <w:color w:val="auto"/>
          <w:sz w:val="30"/>
        </w:rPr>
      </w:pPr>
    </w:p>
    <w:p>
      <w:pPr>
        <w:rPr>
          <w:rFonts w:ascii="华文中宋" w:hAnsi="华文中宋" w:eastAsia="华文中宋"/>
          <w:bCs/>
          <w:color w:val="auto"/>
          <w:sz w:val="30"/>
        </w:rPr>
      </w:pPr>
    </w:p>
    <w:p>
      <w:pPr>
        <w:rPr>
          <w:rFonts w:ascii="华文中宋" w:hAnsi="华文中宋" w:eastAsia="华文中宋"/>
          <w:bCs/>
          <w:color w:val="auto"/>
          <w:sz w:val="30"/>
        </w:rPr>
      </w:pPr>
    </w:p>
    <w:p>
      <w:pPr>
        <w:jc w:val="center"/>
        <w:rPr>
          <w:rFonts w:ascii="黑体" w:hAnsi="华文中宋" w:eastAsia="黑体"/>
          <w:bCs/>
          <w:color w:val="auto"/>
          <w:sz w:val="44"/>
          <w:szCs w:val="44"/>
        </w:rPr>
      </w:pPr>
      <w:r>
        <w:rPr>
          <w:rFonts w:hint="eastAsia" w:ascii="黑体" w:hAnsi="华文中宋" w:eastAsia="黑体"/>
          <w:bCs/>
          <w:color w:val="auto"/>
          <w:sz w:val="44"/>
          <w:szCs w:val="44"/>
        </w:rPr>
        <w:t>二○二</w:t>
      </w:r>
      <w:r>
        <w:rPr>
          <w:rFonts w:hint="eastAsia" w:ascii="黑体" w:hAnsi="华文中宋" w:eastAsia="黑体"/>
          <w:bCs/>
          <w:color w:val="auto"/>
          <w:sz w:val="44"/>
          <w:szCs w:val="44"/>
          <w:lang w:eastAsia="zh-CN"/>
        </w:rPr>
        <w:t>三</w:t>
      </w:r>
      <w:r>
        <w:rPr>
          <w:rFonts w:hint="eastAsia" w:ascii="黑体" w:hAnsi="华文中宋" w:eastAsia="黑体"/>
          <w:bCs/>
          <w:color w:val="auto"/>
          <w:sz w:val="44"/>
          <w:szCs w:val="44"/>
        </w:rPr>
        <w:t>年</w:t>
      </w:r>
      <w:r>
        <w:rPr>
          <w:rFonts w:hint="eastAsia" w:ascii="黑体" w:hAnsi="华文中宋" w:eastAsia="黑体"/>
          <w:bCs/>
          <w:color w:val="auto"/>
          <w:sz w:val="44"/>
          <w:szCs w:val="44"/>
          <w:lang w:eastAsia="zh-CN"/>
        </w:rPr>
        <w:t>六</w:t>
      </w:r>
      <w:r>
        <w:rPr>
          <w:rFonts w:hint="eastAsia" w:ascii="黑体" w:hAnsi="华文中宋" w:eastAsia="黑体"/>
          <w:bCs/>
          <w:color w:val="auto"/>
          <w:sz w:val="44"/>
          <w:szCs w:val="44"/>
        </w:rPr>
        <w:t>月十</w:t>
      </w:r>
      <w:r>
        <w:rPr>
          <w:rFonts w:hint="eastAsia" w:ascii="黑体" w:hAnsi="华文中宋" w:eastAsia="黑体"/>
          <w:bCs/>
          <w:color w:val="auto"/>
          <w:sz w:val="44"/>
          <w:szCs w:val="44"/>
          <w:lang w:eastAsia="zh-CN"/>
        </w:rPr>
        <w:t>五</w:t>
      </w:r>
      <w:r>
        <w:rPr>
          <w:rFonts w:hint="eastAsia" w:ascii="黑体" w:hAnsi="华文中宋" w:eastAsia="黑体"/>
          <w:bCs/>
          <w:color w:val="auto"/>
          <w:sz w:val="44"/>
          <w:szCs w:val="44"/>
        </w:rPr>
        <w:t>日</w:t>
      </w:r>
    </w:p>
    <w:p>
      <w:pPr>
        <w:rPr>
          <w:rFonts w:eastAsia="黑体"/>
          <w:bCs/>
          <w:sz w:val="48"/>
        </w:rPr>
      </w:pPr>
    </w:p>
    <w:p>
      <w:pPr>
        <w:pageBreakBefore/>
        <w:rPr>
          <w:rFonts w:eastAsia="黑体"/>
          <w:bCs/>
          <w:sz w:val="48"/>
        </w:rPr>
      </w:pPr>
    </w:p>
    <w:p>
      <w:pPr>
        <w:jc w:val="center"/>
        <w:rPr>
          <w:rFonts w:eastAsia="黑体"/>
          <w:bCs/>
          <w:sz w:val="48"/>
        </w:rPr>
      </w:pPr>
      <w:r>
        <w:rPr>
          <w:rFonts w:hint="eastAsia" w:eastAsia="黑体"/>
          <w:bCs/>
          <w:sz w:val="48"/>
        </w:rPr>
        <w:t>目   录</w:t>
      </w:r>
    </w:p>
    <w:p>
      <w:pPr>
        <w:jc w:val="center"/>
        <w:rPr>
          <w:rFonts w:eastAsia="黑体"/>
          <w:bCs/>
          <w:sz w:val="48"/>
        </w:rPr>
      </w:pPr>
    </w:p>
    <w:p>
      <w:pPr>
        <w:jc w:val="center"/>
        <w:rPr>
          <w:rFonts w:eastAsia="黑体"/>
          <w:bCs/>
          <w:sz w:val="48"/>
        </w:rPr>
      </w:pPr>
    </w:p>
    <w:p>
      <w:pPr>
        <w:jc w:val="center"/>
        <w:rPr>
          <w:rFonts w:eastAsia="黑体"/>
          <w:bCs/>
          <w:sz w:val="48"/>
        </w:rPr>
      </w:pPr>
    </w:p>
    <w:p>
      <w:pPr>
        <w:pStyle w:val="18"/>
        <w:tabs>
          <w:tab w:val="right" w:leader="dot" w:pos="9911"/>
        </w:tabs>
        <w:spacing w:line="720" w:lineRule="auto"/>
        <w:ind w:firstLine="450" w:firstLineChars="150"/>
        <w:rPr>
          <w:rStyle w:val="32"/>
          <w:rFonts w:asciiTheme="majorEastAsia" w:hAnsiTheme="majorEastAsia" w:eastAsiaTheme="majorEastAsia"/>
          <w:sz w:val="32"/>
          <w:szCs w:val="32"/>
        </w:rPr>
      </w:pPr>
      <w:r>
        <w:rPr>
          <w:rFonts w:ascii="黑体" w:eastAsia="黑体"/>
          <w:bCs/>
          <w:sz w:val="30"/>
        </w:rPr>
        <w:fldChar w:fldCharType="begin"/>
      </w:r>
      <w:r>
        <w:rPr>
          <w:rFonts w:ascii="黑体" w:eastAsia="黑体"/>
          <w:bCs/>
          <w:sz w:val="30"/>
        </w:rPr>
        <w:instrText xml:space="preserve"> </w:instrText>
      </w:r>
      <w:r>
        <w:rPr>
          <w:rFonts w:hint="eastAsia" w:ascii="黑体" w:eastAsia="黑体"/>
          <w:bCs/>
          <w:sz w:val="30"/>
        </w:rPr>
        <w:instrText xml:space="preserve">TOC \o "1-1" \h \z \u</w:instrText>
      </w:r>
      <w:r>
        <w:rPr>
          <w:rFonts w:ascii="黑体" w:eastAsia="黑体"/>
          <w:bCs/>
          <w:sz w:val="30"/>
        </w:rPr>
        <w:instrText xml:space="preserve"> </w:instrText>
      </w:r>
      <w:r>
        <w:rPr>
          <w:rFonts w:ascii="黑体" w:eastAsia="黑体"/>
          <w:bCs/>
          <w:sz w:val="30"/>
        </w:rPr>
        <w:fldChar w:fldCharType="separate"/>
      </w:r>
      <w:r>
        <w:fldChar w:fldCharType="begin"/>
      </w:r>
      <w:r>
        <w:instrText xml:space="preserve"> HYPERLINK \l "_Toc86134310" </w:instrText>
      </w:r>
      <w:r>
        <w:fldChar w:fldCharType="separate"/>
      </w:r>
      <w:r>
        <w:rPr>
          <w:rStyle w:val="32"/>
          <w:rFonts w:hint="eastAsia" w:asciiTheme="majorEastAsia" w:hAnsiTheme="majorEastAsia" w:eastAsiaTheme="majorEastAsia"/>
          <w:sz w:val="32"/>
          <w:szCs w:val="32"/>
        </w:rPr>
        <w:t>一．投标邀请函</w:t>
      </w:r>
      <w:r>
        <w:rPr>
          <w:rStyle w:val="32"/>
          <w:rFonts w:asciiTheme="majorEastAsia" w:hAnsiTheme="majorEastAsia" w:eastAsiaTheme="majorEastAsia"/>
          <w:sz w:val="32"/>
          <w:szCs w:val="32"/>
        </w:rPr>
        <w:tab/>
      </w:r>
      <w:r>
        <w:rPr>
          <w:rStyle w:val="32"/>
          <w:rFonts w:eastAsiaTheme="majorEastAsia"/>
          <w:sz w:val="32"/>
          <w:szCs w:val="32"/>
        </w:rPr>
        <w:fldChar w:fldCharType="begin"/>
      </w:r>
      <w:r>
        <w:rPr>
          <w:rStyle w:val="32"/>
          <w:rFonts w:eastAsiaTheme="majorEastAsia"/>
          <w:sz w:val="32"/>
          <w:szCs w:val="32"/>
        </w:rPr>
        <w:instrText xml:space="preserve"> PAGEREF _Toc86134310 \h </w:instrText>
      </w:r>
      <w:r>
        <w:rPr>
          <w:rStyle w:val="32"/>
          <w:rFonts w:eastAsiaTheme="majorEastAsia"/>
          <w:sz w:val="32"/>
          <w:szCs w:val="32"/>
        </w:rPr>
        <w:fldChar w:fldCharType="separate"/>
      </w:r>
      <w:r>
        <w:rPr>
          <w:rStyle w:val="32"/>
          <w:rFonts w:eastAsiaTheme="majorEastAsia"/>
          <w:sz w:val="32"/>
          <w:szCs w:val="32"/>
        </w:rPr>
        <w:t>2</w:t>
      </w:r>
      <w:r>
        <w:rPr>
          <w:rStyle w:val="32"/>
          <w:rFonts w:eastAsiaTheme="majorEastAsia"/>
          <w:sz w:val="32"/>
          <w:szCs w:val="32"/>
        </w:rPr>
        <w:fldChar w:fldCharType="end"/>
      </w:r>
      <w:r>
        <w:rPr>
          <w:rStyle w:val="32"/>
          <w:rFonts w:eastAsiaTheme="majorEastAsia"/>
          <w:sz w:val="32"/>
          <w:szCs w:val="32"/>
        </w:rPr>
        <w:fldChar w:fldCharType="end"/>
      </w:r>
    </w:p>
    <w:p>
      <w:pPr>
        <w:pStyle w:val="18"/>
        <w:tabs>
          <w:tab w:val="right" w:leader="dot" w:pos="9911"/>
        </w:tabs>
        <w:spacing w:line="720" w:lineRule="auto"/>
        <w:ind w:firstLine="315" w:firstLineChars="150"/>
        <w:rPr>
          <w:rStyle w:val="32"/>
          <w:rFonts w:asciiTheme="majorEastAsia" w:hAnsiTheme="majorEastAsia" w:eastAsiaTheme="majorEastAsia"/>
          <w:sz w:val="32"/>
          <w:szCs w:val="32"/>
        </w:rPr>
      </w:pPr>
      <w:r>
        <w:fldChar w:fldCharType="begin"/>
      </w:r>
      <w:r>
        <w:instrText xml:space="preserve"> HYPERLINK \l "_Toc86134311" </w:instrText>
      </w:r>
      <w:r>
        <w:fldChar w:fldCharType="separate"/>
      </w:r>
      <w:r>
        <w:rPr>
          <w:rStyle w:val="32"/>
          <w:rFonts w:hint="eastAsia" w:asciiTheme="majorEastAsia" w:hAnsiTheme="majorEastAsia" w:eastAsiaTheme="majorEastAsia"/>
          <w:sz w:val="32"/>
          <w:szCs w:val="32"/>
        </w:rPr>
        <w:t>二．投标人须知</w:t>
      </w:r>
      <w:r>
        <w:rPr>
          <w:rStyle w:val="32"/>
          <w:rFonts w:asciiTheme="majorEastAsia" w:hAnsiTheme="majorEastAsia" w:eastAsiaTheme="majorEastAsia"/>
          <w:sz w:val="32"/>
          <w:szCs w:val="32"/>
        </w:rPr>
        <w:tab/>
      </w:r>
      <w:r>
        <w:rPr>
          <w:rStyle w:val="32"/>
          <w:rFonts w:asciiTheme="majorEastAsia" w:hAnsiTheme="majorEastAsia" w:eastAsiaTheme="majorEastAsia"/>
          <w:sz w:val="32"/>
          <w:szCs w:val="32"/>
        </w:rPr>
        <w:fldChar w:fldCharType="begin"/>
      </w:r>
      <w:r>
        <w:rPr>
          <w:rStyle w:val="32"/>
          <w:rFonts w:asciiTheme="majorEastAsia" w:hAnsiTheme="majorEastAsia" w:eastAsiaTheme="majorEastAsia"/>
          <w:sz w:val="32"/>
          <w:szCs w:val="32"/>
        </w:rPr>
        <w:instrText xml:space="preserve"> PAGEREF _Toc86134311 \h </w:instrText>
      </w:r>
      <w:r>
        <w:rPr>
          <w:rStyle w:val="32"/>
          <w:rFonts w:asciiTheme="majorEastAsia" w:hAnsiTheme="majorEastAsia" w:eastAsiaTheme="majorEastAsia"/>
          <w:sz w:val="32"/>
          <w:szCs w:val="32"/>
        </w:rPr>
        <w:fldChar w:fldCharType="separate"/>
      </w:r>
      <w:r>
        <w:rPr>
          <w:rStyle w:val="32"/>
          <w:rFonts w:asciiTheme="majorEastAsia" w:hAnsiTheme="majorEastAsia" w:eastAsiaTheme="majorEastAsia"/>
          <w:sz w:val="32"/>
          <w:szCs w:val="32"/>
        </w:rPr>
        <w:t>5</w:t>
      </w:r>
      <w:r>
        <w:rPr>
          <w:rStyle w:val="32"/>
          <w:rFonts w:asciiTheme="majorEastAsia" w:hAnsiTheme="majorEastAsia" w:eastAsiaTheme="majorEastAsia"/>
          <w:sz w:val="32"/>
          <w:szCs w:val="32"/>
        </w:rPr>
        <w:fldChar w:fldCharType="end"/>
      </w:r>
      <w:r>
        <w:rPr>
          <w:rStyle w:val="32"/>
          <w:rFonts w:asciiTheme="majorEastAsia" w:hAnsiTheme="majorEastAsia" w:eastAsiaTheme="majorEastAsia"/>
          <w:sz w:val="32"/>
          <w:szCs w:val="32"/>
        </w:rPr>
        <w:fldChar w:fldCharType="end"/>
      </w:r>
    </w:p>
    <w:p>
      <w:pPr>
        <w:pStyle w:val="18"/>
        <w:tabs>
          <w:tab w:val="right" w:leader="dot" w:pos="9911"/>
        </w:tabs>
        <w:spacing w:line="720" w:lineRule="auto"/>
        <w:ind w:firstLine="315" w:firstLineChars="150"/>
        <w:rPr>
          <w:rStyle w:val="32"/>
          <w:rFonts w:asciiTheme="majorEastAsia" w:hAnsiTheme="majorEastAsia" w:eastAsiaTheme="majorEastAsia"/>
          <w:sz w:val="32"/>
          <w:szCs w:val="32"/>
        </w:rPr>
      </w:pPr>
      <w:r>
        <w:fldChar w:fldCharType="begin"/>
      </w:r>
      <w:r>
        <w:instrText xml:space="preserve"> HYPERLINK \l "_Toc86134312" </w:instrText>
      </w:r>
      <w:r>
        <w:fldChar w:fldCharType="separate"/>
      </w:r>
      <w:r>
        <w:rPr>
          <w:rStyle w:val="32"/>
          <w:rFonts w:hint="eastAsia" w:asciiTheme="majorEastAsia" w:hAnsiTheme="majorEastAsia" w:eastAsiaTheme="majorEastAsia"/>
          <w:sz w:val="32"/>
          <w:szCs w:val="32"/>
        </w:rPr>
        <w:t>三．项目技术要求和有关说明</w:t>
      </w:r>
      <w:r>
        <w:rPr>
          <w:rStyle w:val="32"/>
          <w:rFonts w:asciiTheme="majorEastAsia" w:hAnsiTheme="majorEastAsia" w:eastAsiaTheme="majorEastAsia"/>
          <w:sz w:val="32"/>
          <w:szCs w:val="32"/>
        </w:rPr>
        <w:tab/>
      </w:r>
      <w:r>
        <w:rPr>
          <w:rStyle w:val="32"/>
          <w:rFonts w:asciiTheme="majorEastAsia" w:hAnsiTheme="majorEastAsia" w:eastAsiaTheme="majorEastAsia"/>
          <w:sz w:val="32"/>
          <w:szCs w:val="32"/>
        </w:rPr>
        <w:fldChar w:fldCharType="begin"/>
      </w:r>
      <w:r>
        <w:rPr>
          <w:rStyle w:val="32"/>
          <w:rFonts w:asciiTheme="majorEastAsia" w:hAnsiTheme="majorEastAsia" w:eastAsiaTheme="majorEastAsia"/>
          <w:sz w:val="32"/>
          <w:szCs w:val="32"/>
        </w:rPr>
        <w:instrText xml:space="preserve"> PAGEREF _Toc86134312 \h </w:instrText>
      </w:r>
      <w:r>
        <w:rPr>
          <w:rStyle w:val="32"/>
          <w:rFonts w:asciiTheme="majorEastAsia" w:hAnsiTheme="majorEastAsia" w:eastAsiaTheme="majorEastAsia"/>
          <w:sz w:val="32"/>
          <w:szCs w:val="32"/>
        </w:rPr>
        <w:fldChar w:fldCharType="separate"/>
      </w:r>
      <w:r>
        <w:rPr>
          <w:rStyle w:val="32"/>
          <w:rFonts w:asciiTheme="majorEastAsia" w:hAnsiTheme="majorEastAsia" w:eastAsiaTheme="majorEastAsia"/>
          <w:sz w:val="32"/>
          <w:szCs w:val="32"/>
        </w:rPr>
        <w:t>14</w:t>
      </w:r>
      <w:r>
        <w:rPr>
          <w:rStyle w:val="32"/>
          <w:rFonts w:asciiTheme="majorEastAsia" w:hAnsiTheme="majorEastAsia" w:eastAsiaTheme="majorEastAsia"/>
          <w:sz w:val="32"/>
          <w:szCs w:val="32"/>
        </w:rPr>
        <w:fldChar w:fldCharType="end"/>
      </w:r>
      <w:r>
        <w:rPr>
          <w:rStyle w:val="32"/>
          <w:rFonts w:asciiTheme="majorEastAsia" w:hAnsiTheme="majorEastAsia" w:eastAsiaTheme="majorEastAsia"/>
          <w:sz w:val="32"/>
          <w:szCs w:val="32"/>
        </w:rPr>
        <w:fldChar w:fldCharType="end"/>
      </w:r>
    </w:p>
    <w:p>
      <w:pPr>
        <w:pStyle w:val="18"/>
        <w:tabs>
          <w:tab w:val="right" w:leader="dot" w:pos="9911"/>
        </w:tabs>
        <w:spacing w:line="720" w:lineRule="auto"/>
        <w:ind w:firstLine="315" w:firstLineChars="150"/>
        <w:rPr>
          <w:rStyle w:val="32"/>
          <w:rFonts w:asciiTheme="majorEastAsia" w:hAnsiTheme="majorEastAsia" w:eastAsiaTheme="majorEastAsia"/>
          <w:sz w:val="32"/>
          <w:szCs w:val="32"/>
        </w:rPr>
      </w:pPr>
      <w:r>
        <w:fldChar w:fldCharType="begin"/>
      </w:r>
      <w:r>
        <w:instrText xml:space="preserve"> HYPERLINK \l "_Toc86134313" </w:instrText>
      </w:r>
      <w:r>
        <w:fldChar w:fldCharType="separate"/>
      </w:r>
      <w:r>
        <w:rPr>
          <w:rStyle w:val="32"/>
          <w:rFonts w:hint="eastAsia" w:asciiTheme="majorEastAsia" w:hAnsiTheme="majorEastAsia" w:eastAsiaTheme="majorEastAsia"/>
          <w:sz w:val="32"/>
          <w:szCs w:val="32"/>
        </w:rPr>
        <w:t>四．合同书（格式文本）</w:t>
      </w:r>
      <w:r>
        <w:rPr>
          <w:rStyle w:val="32"/>
          <w:rFonts w:asciiTheme="majorEastAsia" w:hAnsiTheme="majorEastAsia" w:eastAsiaTheme="majorEastAsia"/>
          <w:sz w:val="32"/>
          <w:szCs w:val="32"/>
        </w:rPr>
        <w:tab/>
      </w:r>
      <w:r>
        <w:rPr>
          <w:rStyle w:val="32"/>
          <w:rFonts w:asciiTheme="majorEastAsia" w:hAnsiTheme="majorEastAsia" w:eastAsiaTheme="majorEastAsia"/>
          <w:sz w:val="32"/>
          <w:szCs w:val="32"/>
        </w:rPr>
        <w:fldChar w:fldCharType="begin"/>
      </w:r>
      <w:r>
        <w:rPr>
          <w:rStyle w:val="32"/>
          <w:rFonts w:asciiTheme="majorEastAsia" w:hAnsiTheme="majorEastAsia" w:eastAsiaTheme="majorEastAsia"/>
          <w:sz w:val="32"/>
          <w:szCs w:val="32"/>
        </w:rPr>
        <w:instrText xml:space="preserve"> PAGEREF _Toc86134313 \h </w:instrText>
      </w:r>
      <w:r>
        <w:rPr>
          <w:rStyle w:val="32"/>
          <w:rFonts w:asciiTheme="majorEastAsia" w:hAnsiTheme="majorEastAsia" w:eastAsiaTheme="majorEastAsia"/>
          <w:sz w:val="32"/>
          <w:szCs w:val="32"/>
        </w:rPr>
        <w:fldChar w:fldCharType="separate"/>
      </w:r>
      <w:r>
        <w:rPr>
          <w:rStyle w:val="32"/>
          <w:rFonts w:asciiTheme="majorEastAsia" w:hAnsiTheme="majorEastAsia" w:eastAsiaTheme="majorEastAsia"/>
          <w:sz w:val="32"/>
          <w:szCs w:val="32"/>
        </w:rPr>
        <w:t>26</w:t>
      </w:r>
      <w:r>
        <w:rPr>
          <w:rStyle w:val="32"/>
          <w:rFonts w:asciiTheme="majorEastAsia" w:hAnsiTheme="majorEastAsia" w:eastAsiaTheme="majorEastAsia"/>
          <w:sz w:val="32"/>
          <w:szCs w:val="32"/>
        </w:rPr>
        <w:fldChar w:fldCharType="end"/>
      </w:r>
      <w:r>
        <w:rPr>
          <w:rStyle w:val="32"/>
          <w:rFonts w:asciiTheme="majorEastAsia" w:hAnsiTheme="majorEastAsia" w:eastAsiaTheme="majorEastAsia"/>
          <w:sz w:val="32"/>
          <w:szCs w:val="32"/>
        </w:rPr>
        <w:fldChar w:fldCharType="end"/>
      </w:r>
    </w:p>
    <w:p>
      <w:pPr>
        <w:pStyle w:val="18"/>
        <w:tabs>
          <w:tab w:val="right" w:leader="dot" w:pos="9911"/>
        </w:tabs>
        <w:spacing w:line="720" w:lineRule="auto"/>
        <w:ind w:firstLine="315" w:firstLineChars="150"/>
        <w:rPr>
          <w:rStyle w:val="32"/>
          <w:rFonts w:asciiTheme="majorEastAsia" w:hAnsiTheme="majorEastAsia" w:eastAsiaTheme="majorEastAsia"/>
          <w:sz w:val="32"/>
          <w:szCs w:val="32"/>
        </w:rPr>
      </w:pPr>
      <w:r>
        <w:fldChar w:fldCharType="begin"/>
      </w:r>
      <w:r>
        <w:instrText xml:space="preserve"> HYPERLINK \l "_Toc86134314" </w:instrText>
      </w:r>
      <w:r>
        <w:fldChar w:fldCharType="separate"/>
      </w:r>
      <w:r>
        <w:rPr>
          <w:rStyle w:val="32"/>
          <w:rFonts w:hint="eastAsia" w:asciiTheme="majorEastAsia" w:hAnsiTheme="majorEastAsia" w:eastAsiaTheme="majorEastAsia"/>
          <w:sz w:val="32"/>
          <w:szCs w:val="32"/>
        </w:rPr>
        <w:t>五．合同条款</w:t>
      </w:r>
      <w:r>
        <w:rPr>
          <w:rStyle w:val="32"/>
          <w:rFonts w:asciiTheme="majorEastAsia" w:hAnsiTheme="majorEastAsia" w:eastAsiaTheme="majorEastAsia"/>
          <w:sz w:val="32"/>
          <w:szCs w:val="32"/>
        </w:rPr>
        <w:tab/>
      </w:r>
      <w:r>
        <w:rPr>
          <w:rStyle w:val="32"/>
          <w:rFonts w:asciiTheme="majorEastAsia" w:hAnsiTheme="majorEastAsia" w:eastAsiaTheme="majorEastAsia"/>
          <w:sz w:val="32"/>
          <w:szCs w:val="32"/>
        </w:rPr>
        <w:fldChar w:fldCharType="begin"/>
      </w:r>
      <w:r>
        <w:rPr>
          <w:rStyle w:val="32"/>
          <w:rFonts w:asciiTheme="majorEastAsia" w:hAnsiTheme="majorEastAsia" w:eastAsiaTheme="majorEastAsia"/>
          <w:sz w:val="32"/>
          <w:szCs w:val="32"/>
        </w:rPr>
        <w:instrText xml:space="preserve"> PAGEREF _Toc86134314 \h </w:instrText>
      </w:r>
      <w:r>
        <w:rPr>
          <w:rStyle w:val="32"/>
          <w:rFonts w:asciiTheme="majorEastAsia" w:hAnsiTheme="majorEastAsia" w:eastAsiaTheme="majorEastAsia"/>
          <w:sz w:val="32"/>
          <w:szCs w:val="32"/>
        </w:rPr>
        <w:fldChar w:fldCharType="separate"/>
      </w:r>
      <w:r>
        <w:rPr>
          <w:rStyle w:val="32"/>
          <w:rFonts w:asciiTheme="majorEastAsia" w:hAnsiTheme="majorEastAsia" w:eastAsiaTheme="majorEastAsia"/>
          <w:sz w:val="32"/>
          <w:szCs w:val="32"/>
        </w:rPr>
        <w:t>28</w:t>
      </w:r>
      <w:r>
        <w:rPr>
          <w:rStyle w:val="32"/>
          <w:rFonts w:asciiTheme="majorEastAsia" w:hAnsiTheme="majorEastAsia" w:eastAsiaTheme="majorEastAsia"/>
          <w:sz w:val="32"/>
          <w:szCs w:val="32"/>
        </w:rPr>
        <w:fldChar w:fldCharType="end"/>
      </w:r>
      <w:r>
        <w:rPr>
          <w:rStyle w:val="32"/>
          <w:rFonts w:asciiTheme="majorEastAsia" w:hAnsiTheme="majorEastAsia" w:eastAsiaTheme="majorEastAsia"/>
          <w:sz w:val="32"/>
          <w:szCs w:val="32"/>
        </w:rPr>
        <w:fldChar w:fldCharType="end"/>
      </w:r>
    </w:p>
    <w:p>
      <w:pPr>
        <w:pStyle w:val="18"/>
        <w:tabs>
          <w:tab w:val="right" w:leader="dot" w:pos="9911"/>
        </w:tabs>
        <w:spacing w:line="720" w:lineRule="auto"/>
        <w:ind w:firstLine="315" w:firstLineChars="150"/>
        <w:rPr>
          <w:rStyle w:val="32"/>
          <w:rFonts w:asciiTheme="majorEastAsia" w:hAnsiTheme="majorEastAsia" w:eastAsiaTheme="majorEastAsia"/>
        </w:rPr>
      </w:pPr>
      <w:r>
        <w:fldChar w:fldCharType="begin"/>
      </w:r>
      <w:r>
        <w:instrText xml:space="preserve"> HYPERLINK \l "_Toc86134315" </w:instrText>
      </w:r>
      <w:r>
        <w:fldChar w:fldCharType="separate"/>
      </w:r>
      <w:r>
        <w:rPr>
          <w:rStyle w:val="32"/>
          <w:rFonts w:hint="eastAsia" w:asciiTheme="majorEastAsia" w:hAnsiTheme="majorEastAsia" w:eastAsiaTheme="majorEastAsia"/>
          <w:sz w:val="32"/>
          <w:szCs w:val="32"/>
        </w:rPr>
        <w:t>六</w:t>
      </w:r>
      <w:r>
        <w:rPr>
          <w:rStyle w:val="32"/>
          <w:rFonts w:asciiTheme="majorEastAsia" w:hAnsiTheme="majorEastAsia" w:eastAsiaTheme="majorEastAsia"/>
          <w:sz w:val="32"/>
          <w:szCs w:val="32"/>
        </w:rPr>
        <w:t>.</w:t>
      </w:r>
      <w:r>
        <w:rPr>
          <w:rStyle w:val="32"/>
          <w:rFonts w:hint="eastAsia" w:asciiTheme="majorEastAsia" w:hAnsiTheme="majorEastAsia" w:eastAsiaTheme="majorEastAsia"/>
          <w:sz w:val="32"/>
          <w:szCs w:val="32"/>
        </w:rPr>
        <w:t>附件</w:t>
      </w:r>
      <w:r>
        <w:rPr>
          <w:rStyle w:val="32"/>
          <w:rFonts w:asciiTheme="majorEastAsia" w:hAnsiTheme="majorEastAsia" w:eastAsiaTheme="majorEastAsia"/>
          <w:sz w:val="32"/>
          <w:szCs w:val="32"/>
        </w:rPr>
        <w:tab/>
      </w:r>
      <w:r>
        <w:rPr>
          <w:rStyle w:val="32"/>
          <w:rFonts w:asciiTheme="majorEastAsia" w:hAnsiTheme="majorEastAsia" w:eastAsiaTheme="majorEastAsia"/>
          <w:sz w:val="32"/>
          <w:szCs w:val="32"/>
        </w:rPr>
        <w:fldChar w:fldCharType="begin"/>
      </w:r>
      <w:r>
        <w:rPr>
          <w:rStyle w:val="32"/>
          <w:rFonts w:asciiTheme="majorEastAsia" w:hAnsiTheme="majorEastAsia" w:eastAsiaTheme="majorEastAsia"/>
          <w:sz w:val="32"/>
          <w:szCs w:val="32"/>
        </w:rPr>
        <w:instrText xml:space="preserve"> PAGEREF _Toc86134315 \h </w:instrText>
      </w:r>
      <w:r>
        <w:rPr>
          <w:rStyle w:val="32"/>
          <w:rFonts w:asciiTheme="majorEastAsia" w:hAnsiTheme="majorEastAsia" w:eastAsiaTheme="majorEastAsia"/>
          <w:sz w:val="32"/>
          <w:szCs w:val="32"/>
        </w:rPr>
        <w:fldChar w:fldCharType="separate"/>
      </w:r>
      <w:r>
        <w:rPr>
          <w:rStyle w:val="32"/>
          <w:rFonts w:asciiTheme="majorEastAsia" w:hAnsiTheme="majorEastAsia" w:eastAsiaTheme="majorEastAsia"/>
          <w:sz w:val="32"/>
          <w:szCs w:val="32"/>
        </w:rPr>
        <w:t>32</w:t>
      </w:r>
      <w:r>
        <w:rPr>
          <w:rStyle w:val="32"/>
          <w:rFonts w:asciiTheme="majorEastAsia" w:hAnsiTheme="majorEastAsia" w:eastAsiaTheme="majorEastAsia"/>
          <w:sz w:val="32"/>
          <w:szCs w:val="32"/>
        </w:rPr>
        <w:fldChar w:fldCharType="end"/>
      </w:r>
      <w:r>
        <w:rPr>
          <w:rStyle w:val="32"/>
          <w:rFonts w:asciiTheme="majorEastAsia" w:hAnsiTheme="majorEastAsia" w:eastAsiaTheme="majorEastAsia"/>
          <w:sz w:val="32"/>
          <w:szCs w:val="32"/>
        </w:rPr>
        <w:fldChar w:fldCharType="end"/>
      </w:r>
    </w:p>
    <w:p>
      <w:pPr>
        <w:jc w:val="center"/>
        <w:rPr>
          <w:rFonts w:ascii="黑体" w:eastAsia="黑体"/>
          <w:bCs/>
          <w:sz w:val="30"/>
        </w:rPr>
      </w:pPr>
      <w:r>
        <w:rPr>
          <w:rFonts w:ascii="黑体" w:eastAsia="黑体"/>
          <w:bCs/>
          <w:sz w:val="30"/>
        </w:rPr>
        <w:fldChar w:fldCharType="end"/>
      </w:r>
    </w:p>
    <w:p>
      <w:pPr>
        <w:rPr>
          <w:rFonts w:ascii="宋体"/>
          <w:bCs/>
          <w:sz w:val="32"/>
        </w:rPr>
      </w:pPr>
    </w:p>
    <w:p>
      <w:pPr>
        <w:pStyle w:val="4"/>
        <w:pageBreakBefore/>
        <w:rPr>
          <w:rFonts w:ascii="黑体" w:hAnsi="黑体" w:eastAsia="黑体"/>
          <w:b w:val="0"/>
          <w:sz w:val="32"/>
          <w:szCs w:val="32"/>
        </w:rPr>
      </w:pPr>
      <w:bookmarkStart w:id="0" w:name="报价方须知前附表"/>
      <w:bookmarkEnd w:id="0"/>
      <w:bookmarkStart w:id="1" w:name="_Toc86134310"/>
      <w:r>
        <w:rPr>
          <w:rFonts w:hint="eastAsia" w:ascii="黑体" w:hAnsi="黑体" w:eastAsia="黑体"/>
          <w:b w:val="0"/>
          <w:sz w:val="32"/>
          <w:szCs w:val="32"/>
        </w:rPr>
        <w:t>一．投标邀请函</w:t>
      </w:r>
      <w:bookmarkEnd w:id="1"/>
    </w:p>
    <w:p>
      <w:pPr>
        <w:spacing w:line="360" w:lineRule="auto"/>
        <w:ind w:firstLine="480" w:firstLineChars="200"/>
        <w:rPr>
          <w:rFonts w:ascii="宋体" w:hAnsi="宋体"/>
          <w:bCs/>
          <w:color w:val="auto"/>
          <w:sz w:val="24"/>
          <w:szCs w:val="24"/>
        </w:rPr>
      </w:pPr>
      <w:r>
        <w:rPr>
          <w:rFonts w:hint="eastAsia" w:ascii="宋体" w:hAnsi="宋体"/>
          <w:bCs/>
          <w:color w:val="auto"/>
          <w:sz w:val="24"/>
          <w:szCs w:val="24"/>
        </w:rPr>
        <w:t>我中心受</w:t>
      </w:r>
      <w:r>
        <w:rPr>
          <w:rFonts w:hint="eastAsia" w:ascii="宋体" w:hAnsi="宋体" w:eastAsia="宋体" w:cs="宋体"/>
          <w:color w:val="auto"/>
          <w:kern w:val="0"/>
          <w:sz w:val="24"/>
          <w:lang w:val="en-US" w:eastAsia="zh-CN"/>
        </w:rPr>
        <w:t>无锡市玉祁高级中学</w:t>
      </w:r>
      <w:r>
        <w:rPr>
          <w:rFonts w:hint="eastAsia" w:ascii="宋体" w:hAnsi="宋体"/>
          <w:bCs/>
          <w:color w:val="auto"/>
          <w:sz w:val="24"/>
          <w:szCs w:val="24"/>
        </w:rPr>
        <w:t>的委托，对其</w:t>
      </w:r>
      <w:r>
        <w:rPr>
          <w:rFonts w:hint="eastAsia" w:ascii="宋体" w:hAnsi="宋体" w:eastAsia="宋体" w:cs="宋体"/>
          <w:color w:val="auto"/>
          <w:kern w:val="0"/>
          <w:sz w:val="24"/>
          <w:lang w:val="en-US" w:eastAsia="zh-CN"/>
        </w:rPr>
        <w:t>智慧管理与服务平台项目</w:t>
      </w:r>
      <w:r>
        <w:rPr>
          <w:rFonts w:hint="eastAsia" w:ascii="宋体" w:hAnsi="宋体"/>
          <w:bCs/>
          <w:color w:val="auto"/>
          <w:sz w:val="24"/>
          <w:szCs w:val="24"/>
        </w:rPr>
        <w:t>进行公开招标采购，欢迎符合相关条件的供应商参加投标并提请注意下列相关事项：</w:t>
      </w:r>
    </w:p>
    <w:p>
      <w:pPr>
        <w:numPr>
          <w:ilvl w:val="0"/>
          <w:numId w:val="1"/>
        </w:numPr>
        <w:spacing w:line="360" w:lineRule="auto"/>
        <w:rPr>
          <w:rFonts w:ascii="黑体" w:hAnsi="黑体" w:eastAsia="黑体"/>
          <w:bCs/>
          <w:color w:val="auto"/>
          <w:sz w:val="24"/>
          <w:szCs w:val="24"/>
        </w:rPr>
      </w:pPr>
      <w:r>
        <w:rPr>
          <w:rFonts w:hint="eastAsia" w:ascii="黑体" w:hAnsi="黑体" w:eastAsia="黑体" w:cs="宋体"/>
          <w:color w:val="auto"/>
          <w:kern w:val="0"/>
          <w:sz w:val="24"/>
          <w:szCs w:val="24"/>
        </w:rPr>
        <w:t>招标项目信息</w:t>
      </w:r>
    </w:p>
    <w:p>
      <w:pPr>
        <w:widowControl/>
        <w:shd w:val="clear" w:color="auto" w:fill="FFFFFF"/>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szCs w:val="24"/>
        </w:rPr>
        <w:t>1.项目名称：</w:t>
      </w:r>
      <w:r>
        <w:rPr>
          <w:rFonts w:hint="eastAsia" w:ascii="宋体" w:hAnsi="宋体" w:eastAsia="宋体" w:cs="宋体"/>
          <w:color w:val="auto"/>
          <w:kern w:val="0"/>
          <w:sz w:val="24"/>
          <w:lang w:val="en-US" w:eastAsia="zh-CN"/>
        </w:rPr>
        <w:t>无锡市玉祁高级中学智慧管理与服务平台项目</w:t>
      </w:r>
    </w:p>
    <w:p>
      <w:pPr>
        <w:widowControl/>
        <w:shd w:val="clear" w:color="auto" w:fill="FFFFFF"/>
        <w:spacing w:line="360" w:lineRule="auto"/>
        <w:ind w:firstLine="480" w:firstLineChars="200"/>
        <w:jc w:val="left"/>
        <w:rPr>
          <w:rFonts w:hint="default" w:ascii="宋体" w:hAnsi="宋体" w:eastAsia="宋体" w:cs="宋体"/>
          <w:color w:val="auto"/>
          <w:kern w:val="0"/>
          <w:sz w:val="24"/>
          <w:lang w:val="en-US" w:eastAsia="zh-CN"/>
        </w:rPr>
      </w:pPr>
      <w:r>
        <w:rPr>
          <w:rFonts w:hint="eastAsia" w:ascii="宋体" w:hAnsi="宋体" w:cs="宋体"/>
          <w:color w:val="auto"/>
          <w:kern w:val="0"/>
          <w:sz w:val="24"/>
          <w:szCs w:val="24"/>
        </w:rPr>
        <w:t>2.项目编号：</w:t>
      </w:r>
      <w:r>
        <w:rPr>
          <w:rFonts w:hint="eastAsia" w:ascii="宋体" w:hAnsi="宋体" w:cs="宋体"/>
          <w:color w:val="auto"/>
          <w:kern w:val="0"/>
          <w:sz w:val="24"/>
        </w:rPr>
        <w:t>HSCGZX(G)</w:t>
      </w:r>
      <w:r>
        <w:rPr>
          <w:rFonts w:hint="eastAsia" w:ascii="宋体" w:hAnsi="宋体" w:cs="宋体"/>
          <w:color w:val="auto"/>
          <w:kern w:val="0"/>
          <w:sz w:val="24"/>
          <w:lang w:val="en-US" w:eastAsia="zh-CN"/>
        </w:rPr>
        <w:t>20230034</w:t>
      </w:r>
    </w:p>
    <w:p>
      <w:pPr>
        <w:widowControl/>
        <w:shd w:val="clear" w:color="auto" w:fill="FFFFFF"/>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szCs w:val="24"/>
        </w:rPr>
        <w:t>3.项目预算：</w:t>
      </w:r>
      <w:r>
        <w:rPr>
          <w:rFonts w:hint="eastAsia" w:ascii="宋体" w:hAnsi="宋体" w:eastAsia="宋体" w:cs="宋体"/>
          <w:color w:val="auto"/>
          <w:kern w:val="0"/>
          <w:sz w:val="24"/>
        </w:rPr>
        <w:t>48.93</w:t>
      </w:r>
      <w:r>
        <w:rPr>
          <w:rFonts w:hint="eastAsia" w:ascii="宋体" w:hAnsi="宋体" w:cs="宋体"/>
          <w:color w:val="auto"/>
          <w:kern w:val="0"/>
          <w:sz w:val="24"/>
        </w:rPr>
        <w:t>万元</w:t>
      </w:r>
    </w:p>
    <w:p>
      <w:pPr>
        <w:widowControl/>
        <w:shd w:val="clear" w:color="auto" w:fill="FFFFFF"/>
        <w:spacing w:line="360" w:lineRule="auto"/>
        <w:ind w:firstLine="480" w:firstLineChars="200"/>
        <w:jc w:val="left"/>
        <w:rPr>
          <w:rFonts w:ascii="宋体" w:hAnsi="宋体" w:cs="宋体"/>
          <w:color w:val="auto"/>
          <w:kern w:val="0"/>
          <w:sz w:val="24"/>
          <w:szCs w:val="24"/>
          <w:shd w:val="clear" w:color="auto" w:fill="auto"/>
        </w:rPr>
      </w:pPr>
      <w:r>
        <w:rPr>
          <w:rFonts w:hint="eastAsia" w:ascii="宋体" w:hAnsi="宋体" w:cs="宋体"/>
          <w:color w:val="auto"/>
          <w:kern w:val="0"/>
          <w:sz w:val="24"/>
          <w:szCs w:val="24"/>
          <w:shd w:val="clear" w:color="auto" w:fill="auto"/>
        </w:rPr>
        <w:t>4.采购方式：公开招标</w:t>
      </w:r>
    </w:p>
    <w:p>
      <w:pPr>
        <w:widowControl/>
        <w:shd w:val="clear" w:color="auto" w:fill="FFFFFF"/>
        <w:spacing w:line="360" w:lineRule="auto"/>
        <w:ind w:firstLine="480" w:firstLineChars="200"/>
        <w:jc w:val="left"/>
        <w:rPr>
          <w:rFonts w:ascii="宋体" w:hAnsi="宋体" w:cs="宋体"/>
          <w:color w:val="auto"/>
          <w:kern w:val="0"/>
          <w:sz w:val="24"/>
          <w:highlight w:val="none"/>
          <w:shd w:val="clear" w:color="auto" w:fill="auto"/>
        </w:rPr>
      </w:pPr>
      <w:r>
        <w:rPr>
          <w:rFonts w:hint="eastAsia" w:ascii="宋体" w:hAnsi="宋体" w:cs="宋体"/>
          <w:color w:val="auto"/>
          <w:kern w:val="0"/>
          <w:sz w:val="24"/>
          <w:szCs w:val="24"/>
          <w:highlight w:val="none"/>
          <w:shd w:val="clear" w:color="auto" w:fill="auto"/>
        </w:rPr>
        <w:t>5.采购人：</w:t>
      </w:r>
      <w:r>
        <w:rPr>
          <w:rFonts w:hint="eastAsia" w:ascii="宋体" w:hAnsi="宋体" w:eastAsia="宋体" w:cs="宋体"/>
          <w:color w:val="auto"/>
          <w:kern w:val="0"/>
          <w:sz w:val="24"/>
          <w:highlight w:val="none"/>
          <w:shd w:val="clear" w:color="auto" w:fill="auto"/>
          <w:lang w:val="en-US" w:eastAsia="zh-CN"/>
        </w:rPr>
        <w:t>无锡市玉祁高级中学</w:t>
      </w:r>
    </w:p>
    <w:p>
      <w:pPr>
        <w:widowControl/>
        <w:shd w:val="clear" w:color="auto" w:fill="FFFFFF"/>
        <w:spacing w:line="360" w:lineRule="auto"/>
        <w:ind w:firstLine="480" w:firstLineChars="200"/>
        <w:jc w:val="left"/>
        <w:rPr>
          <w:rFonts w:ascii="宋体" w:hAnsi="宋体" w:cs="宋体"/>
          <w:color w:val="auto"/>
          <w:kern w:val="0"/>
          <w:sz w:val="24"/>
          <w:szCs w:val="24"/>
          <w:highlight w:val="none"/>
          <w:shd w:val="clear" w:color="auto" w:fill="auto"/>
        </w:rPr>
      </w:pPr>
      <w:r>
        <w:rPr>
          <w:rFonts w:hint="eastAsia" w:ascii="宋体" w:hAnsi="宋体" w:cs="宋体"/>
          <w:color w:val="auto"/>
          <w:kern w:val="0"/>
          <w:sz w:val="24"/>
          <w:szCs w:val="24"/>
          <w:highlight w:val="none"/>
          <w:shd w:val="clear" w:color="auto" w:fill="auto"/>
        </w:rPr>
        <w:t>6.本项目标的所属行业：软件和信息技术服务业</w:t>
      </w:r>
    </w:p>
    <w:p>
      <w:pPr>
        <w:widowControl/>
        <w:shd w:val="clear" w:color="auto" w:fill="FFFFFF"/>
        <w:spacing w:line="360" w:lineRule="auto"/>
        <w:ind w:left="480"/>
        <w:jc w:val="left"/>
        <w:rPr>
          <w:rFonts w:hint="eastAsia" w:ascii="宋体" w:hAnsi="宋体" w:eastAsia="宋体" w:cs="宋体"/>
          <w:color w:val="auto"/>
          <w:kern w:val="0"/>
          <w:sz w:val="24"/>
          <w:highlight w:val="none"/>
          <w:shd w:val="clear" w:color="auto" w:fill="auto"/>
          <w:lang w:eastAsia="zh-CN"/>
        </w:rPr>
      </w:pPr>
      <w:r>
        <w:rPr>
          <w:rFonts w:hint="eastAsia" w:ascii="宋体" w:hAnsi="宋体" w:cs="宋体"/>
          <w:bCs/>
          <w:color w:val="auto"/>
          <w:kern w:val="0"/>
          <w:sz w:val="24"/>
          <w:highlight w:val="none"/>
          <w:shd w:val="clear" w:color="auto" w:fill="auto"/>
        </w:rPr>
        <w:t>7.本项目是否专</w:t>
      </w:r>
      <w:r>
        <w:rPr>
          <w:rFonts w:hint="eastAsia" w:ascii="宋体" w:hAnsi="宋体" w:cs="宋体"/>
          <w:bCs/>
          <w:color w:val="auto"/>
          <w:spacing w:val="-1"/>
          <w:kern w:val="0"/>
          <w:sz w:val="24"/>
          <w:highlight w:val="none"/>
          <w:shd w:val="clear" w:color="auto" w:fill="auto"/>
        </w:rPr>
        <w:t>门</w:t>
      </w:r>
      <w:r>
        <w:rPr>
          <w:rFonts w:hint="eastAsia" w:ascii="宋体" w:hAnsi="宋体" w:cs="宋体"/>
          <w:bCs/>
          <w:color w:val="auto"/>
          <w:kern w:val="0"/>
          <w:sz w:val="24"/>
          <w:highlight w:val="none"/>
          <w:shd w:val="clear" w:color="auto" w:fill="auto"/>
        </w:rPr>
        <w:t>面向中小企业：</w:t>
      </w:r>
      <w:r>
        <w:rPr>
          <w:rFonts w:hint="eastAsia" w:ascii="宋体" w:hAnsi="宋体" w:cs="宋体"/>
          <w:bCs/>
          <w:color w:val="auto"/>
          <w:kern w:val="0"/>
          <w:sz w:val="24"/>
          <w:highlight w:val="none"/>
          <w:shd w:val="clear" w:color="auto" w:fill="auto"/>
          <w:lang w:eastAsia="zh-CN"/>
        </w:rPr>
        <w:t>是</w:t>
      </w:r>
    </w:p>
    <w:p>
      <w:pPr>
        <w:widowControl/>
        <w:shd w:val="clear" w:color="auto" w:fill="FFFFFF"/>
        <w:spacing w:line="360" w:lineRule="auto"/>
        <w:ind w:firstLine="420" w:firstLineChars="200"/>
        <w:jc w:val="left"/>
        <w:rPr>
          <w:rFonts w:ascii="宋体" w:hAnsi="宋体" w:cs="宋体"/>
          <w:color w:val="auto"/>
          <w:kern w:val="0"/>
          <w:sz w:val="24"/>
          <w:highlight w:val="none"/>
          <w:shd w:val="clear" w:color="auto" w:fill="auto"/>
        </w:rPr>
      </w:pPr>
      <w:r>
        <w:rPr>
          <w:rFonts w:hint="eastAsia" w:ascii="宋体" w:hAnsi="宋体" w:cs="宋体"/>
          <w:bCs/>
          <w:color w:val="auto"/>
          <w:kern w:val="0"/>
          <w:szCs w:val="21"/>
          <w:highlight w:val="none"/>
          <w:shd w:val="clear" w:color="auto" w:fill="auto"/>
        </w:rPr>
        <w:t>（识别企业规模</w:t>
      </w:r>
      <w:r>
        <w:rPr>
          <w:rFonts w:hint="eastAsia" w:ascii="宋体" w:hAnsi="宋体" w:cs="宋体"/>
          <w:bCs/>
          <w:color w:val="auto"/>
          <w:spacing w:val="-1"/>
          <w:kern w:val="0"/>
          <w:szCs w:val="21"/>
          <w:highlight w:val="none"/>
          <w:shd w:val="clear" w:color="auto" w:fill="auto"/>
        </w:rPr>
        <w:t>类</w:t>
      </w:r>
      <w:r>
        <w:rPr>
          <w:rFonts w:hint="eastAsia" w:ascii="宋体" w:hAnsi="宋体" w:cs="宋体"/>
          <w:bCs/>
          <w:color w:val="auto"/>
          <w:kern w:val="0"/>
          <w:szCs w:val="21"/>
          <w:highlight w:val="none"/>
          <w:shd w:val="clear" w:color="auto" w:fill="auto"/>
        </w:rPr>
        <w:t>型，可登录工业</w:t>
      </w:r>
      <w:r>
        <w:rPr>
          <w:rFonts w:hint="eastAsia" w:ascii="宋体" w:hAnsi="宋体" w:cs="宋体"/>
          <w:bCs/>
          <w:color w:val="auto"/>
          <w:spacing w:val="-1"/>
          <w:kern w:val="0"/>
          <w:szCs w:val="21"/>
          <w:highlight w:val="none"/>
          <w:shd w:val="clear" w:color="auto" w:fill="auto"/>
        </w:rPr>
        <w:t>和</w:t>
      </w:r>
      <w:r>
        <w:rPr>
          <w:rFonts w:hint="eastAsia" w:ascii="宋体" w:hAnsi="宋体" w:cs="宋体"/>
          <w:bCs/>
          <w:color w:val="auto"/>
          <w:kern w:val="0"/>
          <w:szCs w:val="21"/>
          <w:highlight w:val="none"/>
          <w:shd w:val="clear" w:color="auto" w:fill="auto"/>
        </w:rPr>
        <w:t>信息化部网站上</w:t>
      </w:r>
      <w:r>
        <w:rPr>
          <w:rFonts w:hint="eastAsia" w:ascii="宋体" w:hAnsi="宋体" w:cs="宋体"/>
          <w:bCs/>
          <w:color w:val="auto"/>
          <w:spacing w:val="-1"/>
          <w:kern w:val="0"/>
          <w:szCs w:val="21"/>
          <w:highlight w:val="none"/>
          <w:shd w:val="clear" w:color="auto" w:fill="auto"/>
        </w:rPr>
        <w:t>中</w:t>
      </w:r>
      <w:r>
        <w:rPr>
          <w:rFonts w:hint="eastAsia" w:ascii="宋体" w:hAnsi="宋体" w:cs="宋体"/>
          <w:bCs/>
          <w:color w:val="auto"/>
          <w:kern w:val="0"/>
          <w:szCs w:val="21"/>
          <w:highlight w:val="none"/>
          <w:shd w:val="clear" w:color="auto" w:fill="auto"/>
        </w:rPr>
        <w:t>小企业规模类型</w:t>
      </w:r>
      <w:r>
        <w:rPr>
          <w:rFonts w:hint="eastAsia" w:ascii="宋体" w:hAnsi="宋体" w:cs="宋体"/>
          <w:bCs/>
          <w:color w:val="auto"/>
          <w:spacing w:val="6"/>
          <w:w w:val="97"/>
          <w:kern w:val="0"/>
          <w:szCs w:val="21"/>
          <w:highlight w:val="none"/>
          <w:shd w:val="clear" w:color="auto" w:fill="auto"/>
        </w:rPr>
        <w:t>自</w:t>
      </w:r>
      <w:r>
        <w:rPr>
          <w:rFonts w:hint="eastAsia" w:ascii="宋体" w:hAnsi="宋体" w:cs="宋体"/>
          <w:bCs/>
          <w:color w:val="auto"/>
          <w:spacing w:val="-6"/>
          <w:kern w:val="0"/>
          <w:szCs w:val="21"/>
          <w:highlight w:val="none"/>
          <w:shd w:val="clear" w:color="auto" w:fill="auto"/>
        </w:rPr>
        <w:t>测</w:t>
      </w:r>
      <w:r>
        <w:rPr>
          <w:rFonts w:hint="eastAsia" w:ascii="宋体" w:hAnsi="宋体" w:cs="宋体"/>
          <w:bCs/>
          <w:color w:val="auto"/>
          <w:kern w:val="0"/>
          <w:szCs w:val="21"/>
          <w:highlight w:val="none"/>
          <w:shd w:val="clear" w:color="auto" w:fill="auto"/>
        </w:rPr>
        <w:t>小程序中查询，网址：http://202.106.120.146/baosong/appweb/orgScale.html</w:t>
      </w:r>
      <w:r>
        <w:rPr>
          <w:rFonts w:hint="eastAsia" w:ascii="宋体" w:hAnsi="宋体" w:cs="宋体"/>
          <w:bCs/>
          <w:color w:val="auto"/>
          <w:spacing w:val="21"/>
          <w:w w:val="90"/>
          <w:kern w:val="0"/>
          <w:szCs w:val="21"/>
          <w:highlight w:val="none"/>
          <w:shd w:val="clear" w:color="auto" w:fill="auto"/>
        </w:rPr>
        <w:t>）</w:t>
      </w:r>
    </w:p>
    <w:p>
      <w:pPr>
        <w:widowControl/>
        <w:numPr>
          <w:ilvl w:val="0"/>
          <w:numId w:val="1"/>
        </w:numPr>
        <w:shd w:val="clear" w:color="auto" w:fill="FFFFFF"/>
        <w:spacing w:line="360" w:lineRule="auto"/>
        <w:jc w:val="left"/>
        <w:rPr>
          <w:rFonts w:ascii="黑体" w:hAnsi="黑体" w:eastAsia="黑体" w:cs="宋体"/>
          <w:color w:val="auto"/>
          <w:kern w:val="0"/>
          <w:sz w:val="24"/>
          <w:szCs w:val="24"/>
        </w:rPr>
      </w:pPr>
      <w:r>
        <w:rPr>
          <w:rFonts w:hint="eastAsia" w:ascii="黑体" w:hAnsi="黑体" w:eastAsia="黑体" w:cs="宋体"/>
          <w:color w:val="auto"/>
          <w:kern w:val="0"/>
          <w:sz w:val="24"/>
          <w:szCs w:val="24"/>
        </w:rPr>
        <w:t>投标人资格要求</w:t>
      </w:r>
    </w:p>
    <w:p>
      <w:pPr>
        <w:widowControl/>
        <w:shd w:val="clear" w:color="auto" w:fill="FFFFFF"/>
        <w:spacing w:line="360" w:lineRule="auto"/>
        <w:ind w:firstLine="480" w:firstLineChars="200"/>
        <w:jc w:val="left"/>
        <w:rPr>
          <w:rFonts w:ascii="宋体" w:hAnsi="宋体"/>
          <w:color w:val="auto"/>
          <w:sz w:val="24"/>
          <w:szCs w:val="24"/>
        </w:rPr>
      </w:pPr>
      <w:r>
        <w:rPr>
          <w:rFonts w:hint="eastAsia" w:ascii="宋体" w:hAnsi="宋体"/>
          <w:color w:val="auto"/>
          <w:sz w:val="24"/>
          <w:szCs w:val="24"/>
        </w:rPr>
        <w:t>1.具备《中华人民共和国政府采购法》第二十二条第一款规定的条件；</w:t>
      </w:r>
    </w:p>
    <w:p>
      <w:pPr>
        <w:widowControl/>
        <w:shd w:val="clear" w:color="auto" w:fill="FFFFFF"/>
        <w:spacing w:line="360" w:lineRule="auto"/>
        <w:ind w:firstLine="480" w:firstLineChars="200"/>
        <w:jc w:val="left"/>
        <w:rPr>
          <w:rFonts w:ascii="宋体" w:hAnsi="宋体"/>
          <w:color w:val="auto"/>
          <w:sz w:val="24"/>
          <w:szCs w:val="24"/>
        </w:rPr>
      </w:pPr>
      <w:r>
        <w:rPr>
          <w:rFonts w:hint="eastAsia" w:ascii="宋体" w:hAnsi="宋体"/>
          <w:color w:val="auto"/>
          <w:sz w:val="24"/>
          <w:szCs w:val="24"/>
        </w:rPr>
        <w:t>2.未被“信用中国”网站（www.creditchina.gov.cn）、中国政府采购网(www.ccgp.gov.cn)列入失信被执行人、重大税收违法案件当事人名单、政府采购严重违法失信行为记录名单；</w:t>
      </w:r>
    </w:p>
    <w:p>
      <w:pPr>
        <w:widowControl/>
        <w:shd w:val="clear" w:color="auto" w:fill="FFFFFF"/>
        <w:spacing w:line="360" w:lineRule="auto"/>
        <w:ind w:firstLine="480" w:firstLineChars="200"/>
        <w:jc w:val="left"/>
        <w:rPr>
          <w:rFonts w:ascii="宋体" w:hAnsi="宋体"/>
          <w:bCs/>
          <w:color w:val="auto"/>
          <w:sz w:val="24"/>
          <w:szCs w:val="24"/>
        </w:rPr>
      </w:pPr>
      <w:r>
        <w:rPr>
          <w:rFonts w:hint="eastAsia" w:ascii="宋体" w:hAnsi="宋体"/>
          <w:bCs/>
          <w:color w:val="auto"/>
          <w:sz w:val="24"/>
          <w:szCs w:val="24"/>
        </w:rPr>
        <w:t>3.</w:t>
      </w:r>
      <w:r>
        <w:rPr>
          <w:rFonts w:hint="eastAsia" w:ascii="宋体" w:hAnsi="宋体"/>
          <w:color w:val="auto"/>
          <w:sz w:val="24"/>
          <w:szCs w:val="24"/>
        </w:rPr>
        <w:t>具备</w:t>
      </w:r>
      <w:r>
        <w:rPr>
          <w:rFonts w:hint="eastAsia" w:ascii="宋体" w:hAnsi="宋体" w:cs="宋体"/>
          <w:color w:val="auto"/>
          <w:kern w:val="0"/>
          <w:sz w:val="24"/>
          <w:szCs w:val="24"/>
        </w:rPr>
        <w:t>采购人根据招标项目的特殊要求规定的</w:t>
      </w:r>
      <w:r>
        <w:rPr>
          <w:rFonts w:hint="eastAsia" w:ascii="宋体" w:hAnsi="宋体"/>
          <w:color w:val="auto"/>
          <w:sz w:val="24"/>
          <w:szCs w:val="24"/>
        </w:rPr>
        <w:t>以下</w:t>
      </w:r>
      <w:r>
        <w:rPr>
          <w:rFonts w:hint="eastAsia" w:ascii="宋体" w:hAnsi="宋体" w:cs="宋体"/>
          <w:color w:val="auto"/>
          <w:kern w:val="0"/>
          <w:sz w:val="24"/>
          <w:szCs w:val="24"/>
        </w:rPr>
        <w:t>特定资质：</w:t>
      </w:r>
    </w:p>
    <w:p>
      <w:pPr>
        <w:widowControl/>
        <w:shd w:val="clear" w:color="auto" w:fill="FFFFFF"/>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（1）本项目不接受联合体投标；</w:t>
      </w:r>
    </w:p>
    <w:p>
      <w:pPr>
        <w:widowControl/>
        <w:shd w:val="clear" w:color="auto" w:fill="FFFFFF"/>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w:t>
      </w:r>
      <w:r>
        <w:rPr>
          <w:rFonts w:hint="eastAsia" w:ascii="宋体" w:hAnsi="宋体" w:cs="宋体"/>
          <w:color w:val="auto"/>
          <w:kern w:val="0"/>
          <w:sz w:val="24"/>
          <w:szCs w:val="24"/>
          <w:highlight w:val="none"/>
          <w:lang w:eastAsia="zh-CN"/>
        </w:rPr>
        <w:t>本项目专门面向中小企业</w:t>
      </w:r>
    </w:p>
    <w:p>
      <w:pPr>
        <w:widowControl/>
        <w:numPr>
          <w:ilvl w:val="0"/>
          <w:numId w:val="1"/>
        </w:numPr>
        <w:shd w:val="clear" w:color="auto" w:fill="FFFFFF"/>
        <w:spacing w:line="360" w:lineRule="auto"/>
        <w:jc w:val="left"/>
        <w:rPr>
          <w:rFonts w:ascii="宋体" w:hAnsi="宋体"/>
          <w:bCs/>
          <w:color w:val="auto"/>
          <w:sz w:val="24"/>
          <w:highlight w:val="none"/>
        </w:rPr>
      </w:pPr>
      <w:r>
        <w:rPr>
          <w:rFonts w:hint="eastAsia" w:ascii="黑体" w:hAnsi="黑体" w:eastAsia="黑体" w:cs="宋体"/>
          <w:color w:val="auto"/>
          <w:kern w:val="0"/>
          <w:sz w:val="24"/>
          <w:highlight w:val="none"/>
        </w:rPr>
        <w:t>供应商主体信息库注册</w:t>
      </w:r>
    </w:p>
    <w:p>
      <w:pPr>
        <w:widowControl/>
        <w:shd w:val="clear" w:color="auto" w:fill="FFFFFF"/>
        <w:spacing w:line="360" w:lineRule="auto"/>
        <w:ind w:left="480"/>
        <w:jc w:val="left"/>
        <w:rPr>
          <w:rFonts w:ascii="宋体" w:hAnsi="宋体"/>
          <w:bCs/>
          <w:color w:val="auto"/>
          <w:sz w:val="24"/>
          <w:highlight w:val="none"/>
        </w:rPr>
      </w:pPr>
      <w:r>
        <w:rPr>
          <w:rFonts w:hint="eastAsia" w:ascii="宋体" w:hAnsi="宋体"/>
          <w:bCs/>
          <w:color w:val="auto"/>
          <w:sz w:val="24"/>
          <w:szCs w:val="24"/>
          <w:highlight w:val="none"/>
        </w:rPr>
        <w:t>1.请有意参加本项目投标的供应商按以下流程进行操作：</w:t>
      </w:r>
    </w:p>
    <w:p>
      <w:pPr>
        <w:widowControl/>
        <w:shd w:val="clear" w:color="auto" w:fill="FFFFFF"/>
        <w:spacing w:line="360" w:lineRule="auto"/>
        <w:ind w:firstLine="480" w:firstLineChars="200"/>
        <w:jc w:val="left"/>
        <w:rPr>
          <w:rFonts w:ascii="宋体" w:hAnsi="宋体"/>
          <w:bCs/>
          <w:color w:val="auto"/>
          <w:sz w:val="24"/>
          <w:highlight w:val="none"/>
        </w:rPr>
      </w:pPr>
      <w:r>
        <w:rPr>
          <w:rFonts w:hint="eastAsia" w:ascii="宋体" w:hAnsi="宋体"/>
          <w:bCs/>
          <w:color w:val="auto"/>
          <w:sz w:val="24"/>
          <w:szCs w:val="24"/>
          <w:highlight w:val="none"/>
        </w:rPr>
        <w:t>（1）请有意参加本项目投标的供应商在项目投标截止时间前完成在供应商主体信息库的注册登记手续。无锡市政府采购交易管理一体化系统注册网址: http://middle.wuxi.zcygov.cn/v-settle-front/registry。</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（2）领取CA（办理地址：观山路199号市民中心12号楼1楼CA窗口）和办理电子签章（办理地址：观山路199号市民中心12号楼2楼2号窗口），同时，</w:t>
      </w:r>
      <w:r>
        <w:rPr>
          <w:rFonts w:hint="eastAsia" w:ascii="宋体" w:hAnsi="宋体" w:cs="宋体"/>
          <w:color w:val="auto"/>
          <w:kern w:val="0"/>
          <w:sz w:val="24"/>
          <w:szCs w:val="24"/>
          <w:highlight w:val="none"/>
        </w:rPr>
        <w:t>CA证书、电子签章服务商提供线上办理、邮寄服务，办理手续及流程可拨打客服热线进行咨询（联系电话：0510-85541366、4000251010）</w:t>
      </w:r>
      <w:r>
        <w:rPr>
          <w:rFonts w:hint="eastAsia" w:ascii="宋体" w:hAnsi="宋体"/>
          <w:bCs/>
          <w:color w:val="auto"/>
          <w:sz w:val="24"/>
          <w:szCs w:val="24"/>
          <w:highlight w:val="none"/>
        </w:rPr>
        <w:t xml:space="preserve">（原已办理过CA进行过电子投标的供应商可不重复申领）。 </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 xml:space="preserve">（3）投标客户端下载链接：https://zcy-cdn.oss-cn-shanghai.aliyuncs.com/zcy-client/bidding-client/wuxi/ZhengCaiYunStep.3.11.7.exe </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（4）CA驱动下载链接（江苏省-国信CA驱动）：</w:t>
      </w:r>
      <w:r>
        <w:rPr>
          <w:color w:val="auto"/>
          <w:highlight w:val="none"/>
        </w:rPr>
        <w:fldChar w:fldCharType="begin"/>
      </w:r>
      <w:r>
        <w:rPr>
          <w:color w:val="auto"/>
          <w:highlight w:val="none"/>
        </w:rPr>
        <w:instrText xml:space="preserve"> HYPERLINK "https://customer.zcygov.cn/CA-driver-download?utm=web-login-front.509b3709.0.0.004ab15096ee11ebbc33f5d151e70834" </w:instrText>
      </w:r>
      <w:r>
        <w:rPr>
          <w:color w:val="auto"/>
          <w:highlight w:val="none"/>
        </w:rPr>
        <w:fldChar w:fldCharType="separate"/>
      </w:r>
      <w:r>
        <w:rPr>
          <w:rStyle w:val="32"/>
          <w:rFonts w:hint="eastAsia" w:ascii="宋体" w:hAnsi="宋体"/>
          <w:bCs/>
          <w:color w:val="auto"/>
          <w:sz w:val="24"/>
          <w:szCs w:val="24"/>
          <w:highlight w:val="none"/>
        </w:rPr>
        <w:t>https://customer.zcygov.cn/CA-driver-download?utm=web-login-front.509b3709.0.0.004ab15096ee11ebbc33f5d151e70834</w:t>
      </w:r>
      <w:r>
        <w:rPr>
          <w:rStyle w:val="32"/>
          <w:rFonts w:hint="eastAsia" w:ascii="宋体" w:hAnsi="宋体"/>
          <w:bCs/>
          <w:color w:val="auto"/>
          <w:sz w:val="24"/>
          <w:szCs w:val="24"/>
          <w:highlight w:val="none"/>
        </w:rPr>
        <w:fldChar w:fldCharType="end"/>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技术服务电话：4008817190（服务时间：工作日8:00-20:00）</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ascii="宋体" w:hAnsi="宋体"/>
          <w:bCs/>
          <w:color w:val="auto"/>
          <w:sz w:val="24"/>
          <w:szCs w:val="24"/>
          <w:highlight w:val="none"/>
        </w:rPr>
      </w:pPr>
      <w:r>
        <w:rPr>
          <w:rFonts w:hint="eastAsia" w:ascii="宋体" w:hAnsi="宋体"/>
          <w:bCs/>
          <w:color w:val="auto"/>
          <w:sz w:val="24"/>
          <w:szCs w:val="24"/>
          <w:highlight w:val="none"/>
        </w:rPr>
        <w:t>2.投标人在领取CA和办理电子签章前务必前往“无锡政府采购网”“供应商信息库”（网址：https://cz.wuxi.zcygov.cn/wxCategory19/wxCategory125/index.html?utm=sites_group_front.5b1ba037.0.0.959ae250ca6711ebb0349920799faebc）查询是否完成注册登记。</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完成注册的供应商方可领取CA和办理电子签章，登录政采云平台，插入CA后，点击【我的工作台】——页面右上方【CA管理】--【绑定CA】，方可进行投标。</w:t>
      </w:r>
    </w:p>
    <w:p>
      <w:pPr>
        <w:widowControl/>
        <w:shd w:val="clear" w:color="auto" w:fill="FFFFFF"/>
        <w:spacing w:line="36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3.所有参与惠山区政府采购项目的供应商基本信息，以无锡市政府采购交易管理一体化系统供应商信息库信息为准，如投标人未按上述要求操作，由此所产生的损失及风险由投标人自行承担。</w:t>
      </w:r>
    </w:p>
    <w:p>
      <w:pPr>
        <w:keepNext w:val="0"/>
        <w:keepLines w:val="0"/>
        <w:pageBreakBefore w:val="0"/>
        <w:widowControl/>
        <w:shd w:val="clear" w:color="auto" w:fill="FFFFFF"/>
        <w:kinsoku/>
        <w:wordWrap w:val="0"/>
        <w:overflowPunct/>
        <w:topLinePunct w:val="0"/>
        <w:autoSpaceDE/>
        <w:autoSpaceDN/>
        <w:bidi w:val="0"/>
        <w:adjustRightInd/>
        <w:snapToGrid/>
        <w:spacing w:line="360" w:lineRule="auto"/>
        <w:ind w:firstLine="480" w:firstLineChars="200"/>
        <w:jc w:val="left"/>
        <w:textAlignment w:val="auto"/>
        <w:rPr>
          <w:rFonts w:ascii="宋体" w:hAnsi="宋体"/>
          <w:color w:val="auto"/>
          <w:sz w:val="24"/>
          <w:szCs w:val="24"/>
          <w:highlight w:val="none"/>
        </w:rPr>
      </w:pPr>
      <w:r>
        <w:rPr>
          <w:rFonts w:hint="eastAsia" w:ascii="宋体" w:hAnsi="宋体"/>
          <w:color w:val="auto"/>
          <w:sz w:val="24"/>
          <w:szCs w:val="24"/>
          <w:highlight w:val="none"/>
        </w:rPr>
        <w:t>4.本次采购采用《</w:t>
      </w:r>
      <w:r>
        <w:rPr>
          <w:rFonts w:hint="eastAsia" w:ascii="宋体" w:hAnsi="宋体"/>
          <w:bCs/>
          <w:color w:val="auto"/>
          <w:sz w:val="24"/>
          <w:szCs w:val="24"/>
          <w:highlight w:val="none"/>
        </w:rPr>
        <w:t>无锡市政府采购交易管理一体化系统</w:t>
      </w:r>
      <w:r>
        <w:rPr>
          <w:rFonts w:hint="eastAsia" w:ascii="宋体" w:hAnsi="宋体"/>
          <w:color w:val="auto"/>
          <w:sz w:val="24"/>
          <w:szCs w:val="24"/>
          <w:highlight w:val="none"/>
        </w:rPr>
        <w:t>》进行招标投标活动，招标、投标、评标和中标结果发布全程电子化。相关操作流程投标人可前往无锡政府采购网</w:t>
      </w:r>
      <w:r>
        <w:rPr>
          <w:rFonts w:ascii="宋体" w:hAnsi="宋体"/>
          <w:color w:val="auto"/>
          <w:sz w:val="24"/>
          <w:szCs w:val="24"/>
          <w:highlight w:val="none"/>
        </w:rPr>
        <w:t>----</w:t>
      </w:r>
      <w:r>
        <w:rPr>
          <w:rFonts w:hint="eastAsia" w:ascii="宋体" w:hAnsi="宋体"/>
          <w:color w:val="auto"/>
          <w:sz w:val="24"/>
          <w:szCs w:val="24"/>
          <w:highlight w:val="none"/>
        </w:rPr>
        <w:t>办事指南</w:t>
      </w:r>
      <w:r>
        <w:rPr>
          <w:rFonts w:ascii="宋体" w:hAnsi="宋体"/>
          <w:color w:val="auto"/>
          <w:sz w:val="24"/>
          <w:szCs w:val="24"/>
          <w:highlight w:val="none"/>
        </w:rPr>
        <w:t>----</w:t>
      </w:r>
      <w:r>
        <w:rPr>
          <w:rFonts w:hint="eastAsia" w:ascii="宋体" w:hAnsi="宋体"/>
          <w:color w:val="auto"/>
          <w:sz w:val="24"/>
          <w:szCs w:val="24"/>
          <w:highlight w:val="none"/>
        </w:rPr>
        <w:t>政府采购流程----《无锡市政府采购交易管理一体化系统全流程电子化交易功能操作视频》观看供应商操作视频（</w:t>
      </w:r>
      <w:r>
        <w:rPr>
          <w:rFonts w:ascii="宋体" w:hAnsi="宋体"/>
          <w:color w:val="auto"/>
          <w:sz w:val="24"/>
          <w:szCs w:val="24"/>
          <w:highlight w:val="none"/>
        </w:rPr>
        <w:t>https://cz.wuxi.zcygov.cn/wxCategory15/wxCategory117/index.html?utm=sites_group_front.5b1ba037.0.0.b7fdf7c0105211ec88b54b58ab0eb5cf</w:t>
      </w:r>
      <w:r>
        <w:rPr>
          <w:rFonts w:hint="eastAsia" w:ascii="宋体" w:hAnsi="宋体"/>
          <w:color w:val="auto"/>
          <w:sz w:val="24"/>
          <w:szCs w:val="24"/>
          <w:highlight w:val="none"/>
        </w:rPr>
        <w:t>）</w:t>
      </w:r>
    </w:p>
    <w:p>
      <w:pPr>
        <w:widowControl/>
        <w:shd w:val="clear" w:color="auto" w:fill="FFFFFF"/>
        <w:spacing w:line="360" w:lineRule="auto"/>
        <w:ind w:firstLine="480" w:firstLineChars="200"/>
        <w:jc w:val="left"/>
        <w:rPr>
          <w:rFonts w:ascii="宋体" w:hAnsi="宋体"/>
          <w:bCs/>
          <w:color w:val="auto"/>
          <w:sz w:val="24"/>
          <w:highlight w:val="none"/>
        </w:rPr>
      </w:pPr>
      <w:r>
        <w:rPr>
          <w:rFonts w:hint="eastAsia" w:ascii="宋体" w:hAnsi="宋体"/>
          <w:color w:val="auto"/>
          <w:sz w:val="24"/>
          <w:szCs w:val="24"/>
          <w:highlight w:val="none"/>
        </w:rPr>
        <w:t>5.有关本次招标的事项若存在变动或修改</w:t>
      </w:r>
      <w:r>
        <w:rPr>
          <w:rFonts w:hint="eastAsia" w:ascii="宋体" w:hAnsi="宋体"/>
          <w:bCs/>
          <w:color w:val="auto"/>
          <w:sz w:val="24"/>
          <w:highlight w:val="none"/>
        </w:rPr>
        <w:t>，敬请及时关注江苏政府采购网、无锡政府采购网和惠山区公共资源交易中心网站发布的信息更正公告。如潜在投标人未按上述要求操作，由此所产生的损失及风险由潜在投标人自行承担。</w:t>
      </w:r>
    </w:p>
    <w:p>
      <w:pPr>
        <w:widowControl/>
        <w:numPr>
          <w:ilvl w:val="0"/>
          <w:numId w:val="1"/>
        </w:numPr>
        <w:shd w:val="clear" w:color="auto" w:fill="FFFFFF"/>
        <w:spacing w:line="360" w:lineRule="auto"/>
        <w:jc w:val="left"/>
        <w:rPr>
          <w:rFonts w:ascii="黑体" w:hAnsi="黑体" w:eastAsia="黑体" w:cs="宋体"/>
          <w:color w:val="auto"/>
          <w:sz w:val="24"/>
          <w:szCs w:val="24"/>
          <w:highlight w:val="none"/>
        </w:rPr>
      </w:pPr>
      <w:r>
        <w:rPr>
          <w:rFonts w:hint="eastAsia" w:ascii="黑体" w:hAnsi="黑体" w:eastAsia="黑体" w:cs="宋体"/>
          <w:color w:val="auto"/>
          <w:sz w:val="24"/>
          <w:szCs w:val="24"/>
          <w:highlight w:val="none"/>
        </w:rPr>
        <w:t>完成项目报名，获取采购文件</w:t>
      </w:r>
    </w:p>
    <w:p>
      <w:pPr>
        <w:widowControl/>
        <w:shd w:val="clear" w:color="auto" w:fill="FFFFFF"/>
        <w:spacing w:line="360" w:lineRule="auto"/>
        <w:ind w:firstLine="480" w:firstLineChars="200"/>
        <w:jc w:val="left"/>
        <w:rPr>
          <w:rFonts w:ascii="宋体" w:hAnsi="宋体"/>
          <w:bCs/>
          <w:color w:val="auto"/>
          <w:sz w:val="24"/>
          <w:highlight w:val="none"/>
        </w:rPr>
      </w:pPr>
      <w:r>
        <w:rPr>
          <w:rFonts w:hint="eastAsia" w:ascii="宋体" w:hAnsi="宋体"/>
          <w:color w:val="auto"/>
          <w:sz w:val="24"/>
          <w:szCs w:val="24"/>
          <w:highlight w:val="none"/>
        </w:rPr>
        <w:t>潜在投标人可在项目招标公告附件中查看公开招标文件，如确定投标，必须在政采云平台（http://login.wuxi.zcygov.cn/user-login/#/login）中免费下载公开招标文件（“项目采购-获取采购文件管理-待申请”标签页下，找到需要获取采购文件的项目，点击“申请获取采购文件”），完成项目报名，方可按要求制作、上传投标文件，对招标文件各项内容做出实质性响应，否则其投标文件无效。</w:t>
      </w:r>
    </w:p>
    <w:p>
      <w:pPr>
        <w:widowControl/>
        <w:numPr>
          <w:ilvl w:val="0"/>
          <w:numId w:val="1"/>
        </w:numPr>
        <w:shd w:val="clear" w:color="auto" w:fill="FFFFFF"/>
        <w:spacing w:line="360" w:lineRule="auto"/>
        <w:jc w:val="left"/>
        <w:rPr>
          <w:rFonts w:ascii="黑体" w:hAnsi="黑体" w:eastAsia="黑体" w:cs="宋体"/>
          <w:color w:val="auto"/>
          <w:kern w:val="0"/>
          <w:sz w:val="24"/>
          <w:szCs w:val="24"/>
          <w:highlight w:val="none"/>
        </w:rPr>
      </w:pPr>
      <w:r>
        <w:rPr>
          <w:rFonts w:hint="eastAsia" w:ascii="黑体" w:hAnsi="黑体" w:eastAsia="黑体" w:cs="宋体"/>
          <w:color w:val="auto"/>
          <w:kern w:val="0"/>
          <w:sz w:val="24"/>
          <w:szCs w:val="24"/>
          <w:highlight w:val="none"/>
        </w:rPr>
        <w:t>公开答疑时间、地点</w:t>
      </w:r>
    </w:p>
    <w:p>
      <w:pPr>
        <w:widowControl/>
        <w:shd w:val="clear" w:color="auto" w:fill="FFFFFF"/>
        <w:spacing w:line="360" w:lineRule="auto"/>
        <w:ind w:firstLine="480" w:firstLineChars="200"/>
        <w:jc w:val="left"/>
        <w:rPr>
          <w:rFonts w:ascii="宋体" w:hAnsi="宋体"/>
          <w:bCs/>
          <w:color w:val="auto"/>
          <w:sz w:val="24"/>
          <w:szCs w:val="24"/>
          <w:highlight w:val="none"/>
        </w:rPr>
      </w:pPr>
      <w:r>
        <w:rPr>
          <w:rFonts w:hint="eastAsia" w:ascii="宋体" w:hAnsi="宋体"/>
          <w:bCs/>
          <w:color w:val="auto"/>
          <w:sz w:val="24"/>
          <w:szCs w:val="24"/>
          <w:highlight w:val="none"/>
        </w:rPr>
        <w:t>采购人、无锡市惠山区采购中心将以线上不见面、电话咨询、传真等方式开展线上答疑服务。截止至</w:t>
      </w:r>
      <w:r>
        <w:rPr>
          <w:rFonts w:hint="eastAsia" w:ascii="宋体" w:hAnsi="宋体" w:cs="宋体"/>
          <w:color w:val="auto"/>
          <w:kern w:val="0"/>
          <w:sz w:val="24"/>
          <w:szCs w:val="24"/>
          <w:highlight w:val="none"/>
        </w:rPr>
        <w:t>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lang w:val="en-US" w:eastAsia="zh-CN"/>
        </w:rPr>
        <w:t>30</w:t>
      </w:r>
      <w:r>
        <w:rPr>
          <w:rFonts w:hint="eastAsia" w:ascii="宋体" w:hAnsi="宋体" w:cs="宋体"/>
          <w:color w:val="auto"/>
          <w:kern w:val="0"/>
          <w:sz w:val="24"/>
          <w:szCs w:val="24"/>
          <w:highlight w:val="none"/>
        </w:rPr>
        <w:t>日10:00前，</w:t>
      </w:r>
      <w:r>
        <w:rPr>
          <w:rFonts w:hint="eastAsia" w:ascii="宋体" w:hAnsi="宋体"/>
          <w:bCs/>
          <w:color w:val="auto"/>
          <w:sz w:val="24"/>
          <w:szCs w:val="24"/>
          <w:highlight w:val="none"/>
        </w:rPr>
        <w:t>有关单位对于招标文件的相关事项如有疑问可通过上述方式咨询采购人；投标人如有需要对招标文件要求澄清的问题，请书面提出“HSCGZX(G)</w:t>
      </w:r>
      <w:r>
        <w:rPr>
          <w:rFonts w:hint="eastAsia" w:ascii="宋体" w:hAnsi="宋体"/>
          <w:bCs/>
          <w:color w:val="auto"/>
          <w:sz w:val="24"/>
          <w:szCs w:val="24"/>
          <w:highlight w:val="none"/>
          <w:lang w:val="en-US" w:eastAsia="zh-CN"/>
        </w:rPr>
        <w:t>20230034</w:t>
      </w:r>
      <w:r>
        <w:rPr>
          <w:rFonts w:hint="eastAsia" w:ascii="宋体" w:hAnsi="宋体"/>
          <w:bCs/>
          <w:color w:val="auto"/>
          <w:sz w:val="24"/>
          <w:szCs w:val="24"/>
          <w:highlight w:val="none"/>
        </w:rPr>
        <w:t>项目需澄清问题”，并将盖章原件邮寄至无锡市惠山区政府采购中心，地址:无锡市惠山区政和大道209号住建局大楼407采购服务科二。若未在法定时间内提出澄清，由此造成的损失及风险由投标人自行承担。</w:t>
      </w:r>
    </w:p>
    <w:p>
      <w:pPr>
        <w:spacing w:line="360" w:lineRule="auto"/>
        <w:ind w:left="-59" w:leftChars="-28" w:firstLine="480" w:firstLineChars="200"/>
        <w:rPr>
          <w:rFonts w:ascii="宋体" w:hAnsi="宋体"/>
          <w:bCs/>
          <w:sz w:val="24"/>
          <w:szCs w:val="24"/>
          <w:highlight w:val="none"/>
          <w:u w:val="single"/>
        </w:rPr>
      </w:pPr>
      <w:r>
        <w:rPr>
          <w:rFonts w:hint="eastAsia" w:ascii="宋体" w:hAnsi="宋体"/>
          <w:bCs/>
          <w:sz w:val="24"/>
          <w:szCs w:val="24"/>
          <w:highlight w:val="none"/>
          <w:u w:val="single"/>
        </w:rPr>
        <w:t>注：建议各拟投标人尽量对项目现场和周围环境进行踏勘，在随后的采购中，对现场资料和数据所做出的推论、解释和结论及由此造成的后果由投标人负责。</w:t>
      </w:r>
    </w:p>
    <w:p>
      <w:pPr>
        <w:widowControl/>
        <w:numPr>
          <w:ilvl w:val="0"/>
          <w:numId w:val="1"/>
        </w:numPr>
        <w:shd w:val="clear" w:color="auto" w:fill="FFFFFF"/>
        <w:spacing w:line="360" w:lineRule="auto"/>
        <w:jc w:val="left"/>
        <w:rPr>
          <w:rFonts w:ascii="黑体" w:hAnsi="黑体" w:eastAsia="黑体" w:cs="宋体"/>
          <w:kern w:val="0"/>
          <w:sz w:val="24"/>
          <w:szCs w:val="24"/>
        </w:rPr>
      </w:pPr>
      <w:r>
        <w:rPr>
          <w:rFonts w:hint="eastAsia" w:ascii="黑体" w:hAnsi="黑体" w:eastAsia="黑体" w:cs="宋体"/>
          <w:kern w:val="0"/>
          <w:sz w:val="24"/>
          <w:szCs w:val="24"/>
        </w:rPr>
        <w:t>投标及开标、定标时间、地点</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网上投标截止时间：202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月1</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日1</w:t>
      </w:r>
      <w:r>
        <w:rPr>
          <w:rFonts w:hint="eastAsia" w:ascii="宋体" w:hAnsi="宋体" w:cs="宋体"/>
          <w:color w:val="auto"/>
          <w:kern w:val="0"/>
          <w:sz w:val="24"/>
          <w:szCs w:val="24"/>
          <w:highlight w:val="none"/>
          <w:lang w:val="en-US" w:eastAsia="zh-CN"/>
        </w:rPr>
        <w:t>4</w:t>
      </w:r>
      <w:r>
        <w:rPr>
          <w:rFonts w:hint="eastAsia" w:ascii="宋体" w:hAnsi="宋体" w:cs="宋体"/>
          <w:color w:val="auto"/>
          <w:kern w:val="0"/>
          <w:sz w:val="24"/>
          <w:szCs w:val="24"/>
          <w:highlight w:val="none"/>
        </w:rPr>
        <w:t>:15（投标截止时间后的投标文件恕不接受）</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网上投标解密时间：202</w:t>
      </w: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月1</w:t>
      </w:r>
      <w:r>
        <w:rPr>
          <w:rFonts w:hint="eastAsia" w:ascii="宋体" w:hAnsi="宋体" w:cs="宋体"/>
          <w:color w:val="auto"/>
          <w:kern w:val="0"/>
          <w:sz w:val="24"/>
          <w:szCs w:val="24"/>
          <w:highlight w:val="none"/>
          <w:lang w:val="en-US" w:eastAsia="zh-CN"/>
        </w:rPr>
        <w:t>9</w:t>
      </w:r>
      <w:r>
        <w:rPr>
          <w:rFonts w:hint="eastAsia" w:ascii="宋体" w:hAnsi="宋体" w:cs="宋体"/>
          <w:color w:val="auto"/>
          <w:kern w:val="0"/>
          <w:sz w:val="24"/>
          <w:szCs w:val="24"/>
          <w:highlight w:val="none"/>
        </w:rPr>
        <w:t>日开启解密后半小时。</w:t>
      </w:r>
    </w:p>
    <w:p>
      <w:pPr>
        <w:widowControl/>
        <w:shd w:val="clear" w:color="auto" w:fill="FFFFFF"/>
        <w:spacing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开标地点：</w:t>
      </w:r>
      <w:r>
        <w:rPr>
          <w:rFonts w:hint="eastAsia" w:ascii="宋体" w:hAnsi="宋体"/>
          <w:bCs/>
          <w:color w:val="auto"/>
          <w:sz w:val="24"/>
          <w:szCs w:val="24"/>
          <w:highlight w:val="none"/>
        </w:rPr>
        <w:t>无锡市政府采购交易管理一体化系统</w:t>
      </w:r>
    </w:p>
    <w:p>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定标时间：评标结束</w:t>
      </w:r>
    </w:p>
    <w:p>
      <w:pPr>
        <w:widowControl/>
        <w:shd w:val="clear" w:color="auto" w:fill="FFFFFF"/>
        <w:spacing w:line="360" w:lineRule="auto"/>
        <w:ind w:firstLine="480" w:firstLineChars="200"/>
        <w:jc w:val="left"/>
        <w:rPr>
          <w:rFonts w:ascii="宋体" w:hAnsi="宋体" w:cs="宋体"/>
          <w:bCs/>
          <w:color w:val="auto"/>
          <w:kern w:val="0"/>
          <w:sz w:val="24"/>
          <w:szCs w:val="24"/>
          <w:highlight w:val="none"/>
        </w:rPr>
      </w:pPr>
      <w:r>
        <w:rPr>
          <w:rFonts w:hint="eastAsia" w:ascii="宋体" w:hAnsi="宋体"/>
          <w:bCs/>
          <w:color w:val="auto"/>
          <w:sz w:val="24"/>
          <w:szCs w:val="24"/>
          <w:highlight w:val="none"/>
        </w:rPr>
        <w:t>定标地点：</w:t>
      </w:r>
      <w:r>
        <w:rPr>
          <w:rFonts w:hint="eastAsia" w:ascii="宋体" w:hAnsi="宋体" w:cs="宋体"/>
          <w:bCs/>
          <w:color w:val="auto"/>
          <w:kern w:val="0"/>
          <w:sz w:val="24"/>
          <w:szCs w:val="24"/>
          <w:highlight w:val="none"/>
        </w:rPr>
        <w:t>无锡市惠山区政和大道209号住建局大楼404评标6室</w:t>
      </w:r>
    </w:p>
    <w:p>
      <w:pPr>
        <w:numPr>
          <w:ilvl w:val="0"/>
          <w:numId w:val="1"/>
        </w:numPr>
        <w:spacing w:line="360" w:lineRule="auto"/>
        <w:rPr>
          <w:rFonts w:ascii="宋体"/>
          <w:bCs/>
          <w:sz w:val="24"/>
          <w:szCs w:val="24"/>
          <w:highlight w:val="none"/>
        </w:rPr>
      </w:pPr>
      <w:r>
        <w:rPr>
          <w:rFonts w:hint="eastAsia" w:ascii="黑体" w:hAnsi="黑体" w:eastAsia="黑体"/>
          <w:bCs/>
          <w:sz w:val="24"/>
          <w:szCs w:val="24"/>
          <w:highlight w:val="none"/>
        </w:rPr>
        <w:t>投标有效期：</w:t>
      </w:r>
      <w:r>
        <w:rPr>
          <w:rFonts w:hint="eastAsia" w:ascii="宋体" w:hAnsi="宋体"/>
          <w:bCs/>
          <w:sz w:val="24"/>
          <w:szCs w:val="24"/>
          <w:highlight w:val="none"/>
        </w:rPr>
        <w:t>开标之日起90天</w:t>
      </w:r>
    </w:p>
    <w:p>
      <w:pPr>
        <w:numPr>
          <w:ilvl w:val="0"/>
          <w:numId w:val="1"/>
        </w:numPr>
        <w:spacing w:line="360" w:lineRule="auto"/>
        <w:rPr>
          <w:rFonts w:ascii="黑体" w:hAnsi="黑体" w:eastAsia="黑体"/>
          <w:bCs/>
          <w:sz w:val="24"/>
          <w:szCs w:val="24"/>
        </w:rPr>
      </w:pPr>
      <w:r>
        <w:rPr>
          <w:rFonts w:hint="eastAsia" w:ascii="黑体" w:hAnsi="黑体" w:eastAsia="黑体"/>
          <w:bCs/>
          <w:sz w:val="24"/>
          <w:szCs w:val="24"/>
        </w:rPr>
        <w:t>其它</w:t>
      </w:r>
    </w:p>
    <w:p>
      <w:pPr>
        <w:widowControl/>
        <w:shd w:val="clear" w:color="auto" w:fill="FFFFFF"/>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1.集中采购机构：无锡市惠山区政府采购中心</w:t>
      </w:r>
    </w:p>
    <w:p>
      <w:pPr>
        <w:widowControl/>
        <w:shd w:val="clear" w:color="auto" w:fill="FFFFFF"/>
        <w:spacing w:line="360" w:lineRule="auto"/>
        <w:ind w:firstLine="480" w:firstLineChars="200"/>
        <w:jc w:val="left"/>
        <w:rPr>
          <w:rFonts w:ascii="宋体" w:hAnsi="宋体" w:cs="宋体"/>
          <w:bCs/>
          <w:color w:val="auto"/>
          <w:kern w:val="0"/>
          <w:sz w:val="24"/>
          <w:szCs w:val="24"/>
        </w:rPr>
      </w:pPr>
      <w:r>
        <w:rPr>
          <w:rFonts w:hint="eastAsia" w:ascii="宋体" w:hAnsi="宋体" w:cs="宋体"/>
          <w:color w:val="auto"/>
          <w:kern w:val="0"/>
          <w:sz w:val="24"/>
          <w:szCs w:val="24"/>
        </w:rPr>
        <w:t xml:space="preserve">  地址: </w:t>
      </w:r>
      <w:r>
        <w:rPr>
          <w:rFonts w:hint="eastAsia" w:ascii="宋体" w:hAnsi="宋体" w:cs="宋体"/>
          <w:bCs/>
          <w:color w:val="auto"/>
          <w:kern w:val="0"/>
          <w:sz w:val="24"/>
          <w:szCs w:val="24"/>
        </w:rPr>
        <w:t>无锡市惠山区政和大道209号住建局大楼407室</w:t>
      </w:r>
    </w:p>
    <w:p>
      <w:pPr>
        <w:widowControl/>
        <w:shd w:val="clear" w:color="auto" w:fill="FFFFFF"/>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  项目联系人: </w:t>
      </w:r>
      <w:r>
        <w:rPr>
          <w:rFonts w:hint="eastAsia" w:ascii="宋体" w:hAnsi="宋体" w:cs="宋体"/>
          <w:color w:val="auto"/>
          <w:kern w:val="0"/>
          <w:sz w:val="24"/>
          <w:szCs w:val="24"/>
          <w:highlight w:val="none"/>
          <w:lang w:eastAsia="zh-CN"/>
        </w:rPr>
        <w:t>宋紫怡</w:t>
      </w:r>
      <w:r>
        <w:rPr>
          <w:rFonts w:hint="eastAsia" w:ascii="宋体" w:hAnsi="宋体" w:cs="宋体"/>
          <w:color w:val="auto"/>
          <w:kern w:val="0"/>
          <w:sz w:val="24"/>
          <w:szCs w:val="24"/>
          <w:highlight w:val="none"/>
        </w:rPr>
        <w:t>、</w:t>
      </w:r>
      <w:r>
        <w:rPr>
          <w:rFonts w:hint="eastAsia" w:ascii="宋体" w:hAnsi="宋体" w:cs="宋体"/>
          <w:color w:val="auto"/>
          <w:kern w:val="0"/>
          <w:sz w:val="24"/>
          <w:szCs w:val="24"/>
          <w:highlight w:val="none"/>
          <w:lang w:eastAsia="zh-CN"/>
        </w:rPr>
        <w:t>薛云涌</w:t>
      </w:r>
    </w:p>
    <w:p>
      <w:pPr>
        <w:widowControl/>
        <w:shd w:val="clear" w:color="auto" w:fill="FFFFFF"/>
        <w:spacing w:line="360" w:lineRule="auto"/>
        <w:ind w:firstLine="465"/>
        <w:jc w:val="left"/>
        <w:rPr>
          <w:rFonts w:ascii="宋体" w:hAnsi="宋体" w:cs="宋体"/>
          <w:color w:val="auto"/>
          <w:kern w:val="0"/>
          <w:sz w:val="24"/>
          <w:szCs w:val="24"/>
        </w:rPr>
      </w:pPr>
      <w:r>
        <w:rPr>
          <w:rFonts w:hint="eastAsia" w:ascii="宋体" w:hAnsi="宋体" w:cs="宋体"/>
          <w:color w:val="auto"/>
          <w:kern w:val="0"/>
          <w:sz w:val="24"/>
          <w:szCs w:val="24"/>
        </w:rPr>
        <w:t xml:space="preserve">  电话：0510-83596193</w:t>
      </w:r>
    </w:p>
    <w:p>
      <w:pPr>
        <w:widowControl/>
        <w:shd w:val="clear" w:color="auto" w:fill="FFFFFF"/>
        <w:spacing w:line="36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 xml:space="preserve">  传真：0510-83596192</w:t>
      </w:r>
    </w:p>
    <w:p>
      <w:pPr>
        <w:widowControl/>
        <w:shd w:val="clear" w:color="auto" w:fill="FFFFFF"/>
        <w:spacing w:line="360" w:lineRule="auto"/>
        <w:ind w:firstLine="465"/>
        <w:jc w:val="left"/>
        <w:rPr>
          <w:rFonts w:ascii="宋体" w:hAnsi="宋体" w:cs="宋体"/>
          <w:color w:val="auto"/>
          <w:kern w:val="0"/>
          <w:sz w:val="24"/>
          <w:szCs w:val="24"/>
        </w:rPr>
      </w:pPr>
      <w:r>
        <w:rPr>
          <w:rFonts w:hint="eastAsia" w:ascii="宋体" w:hAnsi="宋体" w:cs="宋体"/>
          <w:color w:val="auto"/>
          <w:kern w:val="0"/>
          <w:sz w:val="24"/>
          <w:szCs w:val="24"/>
        </w:rPr>
        <w:t xml:space="preserve"> 2.采购单位联系人：</w:t>
      </w:r>
      <w:r>
        <w:rPr>
          <w:rFonts w:hint="eastAsia" w:ascii="宋体" w:hAnsi="宋体" w:eastAsia="宋体" w:cs="宋体"/>
          <w:color w:val="auto"/>
          <w:kern w:val="0"/>
          <w:sz w:val="24"/>
          <w:szCs w:val="24"/>
          <w:highlight w:val="none"/>
        </w:rPr>
        <w:t>韦佳春</w:t>
      </w:r>
    </w:p>
    <w:p>
      <w:pPr>
        <w:widowControl/>
        <w:shd w:val="clear" w:color="auto" w:fill="FFFFFF"/>
        <w:spacing w:line="360" w:lineRule="auto"/>
        <w:ind w:left="420" w:firstLine="420"/>
        <w:jc w:val="left"/>
        <w:rPr>
          <w:rFonts w:ascii="宋体" w:hAnsi="宋体" w:cs="宋体"/>
          <w:color w:val="auto"/>
          <w:kern w:val="0"/>
          <w:sz w:val="24"/>
          <w:szCs w:val="24"/>
        </w:rPr>
      </w:pPr>
      <w:r>
        <w:rPr>
          <w:rFonts w:hint="eastAsia" w:ascii="宋体" w:hAnsi="宋体" w:cs="宋体"/>
          <w:color w:val="auto"/>
          <w:kern w:val="0"/>
          <w:sz w:val="24"/>
          <w:szCs w:val="24"/>
        </w:rPr>
        <w:t>电话：</w:t>
      </w:r>
      <w:r>
        <w:rPr>
          <w:rFonts w:hint="eastAsia" w:ascii="宋体" w:hAnsi="宋体" w:eastAsia="宋体" w:cs="宋体"/>
          <w:color w:val="auto"/>
          <w:kern w:val="0"/>
          <w:sz w:val="24"/>
          <w:szCs w:val="24"/>
          <w:highlight w:val="none"/>
        </w:rPr>
        <w:t>0510-80551900</w:t>
      </w:r>
    </w:p>
    <w:p>
      <w:pPr>
        <w:widowControl/>
        <w:shd w:val="clear" w:color="auto" w:fill="FFFFFF"/>
        <w:spacing w:line="360" w:lineRule="auto"/>
        <w:ind w:left="424" w:leftChars="202" w:firstLine="480" w:firstLineChars="200"/>
        <w:jc w:val="left"/>
        <w:rPr>
          <w:rFonts w:hint="eastAsia" w:ascii="宋体" w:hAnsi="宋体" w:cs="宋体"/>
          <w:color w:val="auto"/>
          <w:kern w:val="0"/>
          <w:sz w:val="24"/>
          <w:szCs w:val="24"/>
          <w:highlight w:val="none"/>
        </w:rPr>
      </w:pPr>
      <w:r>
        <w:rPr>
          <w:rFonts w:hint="eastAsia" w:ascii="宋体" w:hAnsi="宋体" w:cs="宋体"/>
          <w:color w:val="auto"/>
          <w:kern w:val="0"/>
          <w:sz w:val="24"/>
          <w:szCs w:val="24"/>
        </w:rPr>
        <w:t>地址：</w:t>
      </w:r>
      <w:r>
        <w:rPr>
          <w:rFonts w:hint="eastAsia" w:ascii="宋体" w:hAnsi="宋体" w:eastAsia="宋体" w:cs="宋体"/>
          <w:color w:val="auto"/>
          <w:kern w:val="0"/>
          <w:sz w:val="24"/>
          <w:szCs w:val="24"/>
          <w:highlight w:val="none"/>
        </w:rPr>
        <w:t>无锡市惠山区玉祁街道玉洁路88号</w:t>
      </w:r>
    </w:p>
    <w:p>
      <w:pPr>
        <w:widowControl/>
        <w:shd w:val="clear" w:color="auto" w:fill="FFFFFF"/>
        <w:spacing w:line="360" w:lineRule="auto"/>
        <w:ind w:left="420" w:firstLine="420"/>
        <w:jc w:val="left"/>
        <w:rPr>
          <w:rFonts w:ascii="宋体" w:hAnsi="宋体" w:cs="宋体"/>
          <w:color w:val="F79646" w:themeColor="accent6"/>
          <w:kern w:val="0"/>
          <w:sz w:val="24"/>
          <w:szCs w:val="24"/>
          <w14:textFill>
            <w14:solidFill>
              <w14:schemeClr w14:val="accent6"/>
            </w14:solidFill>
          </w14:textFill>
        </w:rPr>
      </w:pPr>
    </w:p>
    <w:p>
      <w:pPr>
        <w:pStyle w:val="4"/>
        <w:pageBreakBefore/>
        <w:rPr>
          <w:rFonts w:ascii="黑体" w:hAnsi="黑体" w:eastAsia="黑体"/>
          <w:b w:val="0"/>
          <w:sz w:val="32"/>
          <w:szCs w:val="32"/>
        </w:rPr>
      </w:pPr>
      <w:bookmarkStart w:id="2" w:name="_Toc86134311"/>
      <w:r>
        <w:rPr>
          <w:rFonts w:hint="eastAsia" w:ascii="黑体" w:hAnsi="黑体" w:eastAsia="黑体"/>
          <w:b w:val="0"/>
          <w:sz w:val="32"/>
          <w:szCs w:val="32"/>
        </w:rPr>
        <w:t>二．投标人须知</w:t>
      </w:r>
      <w:bookmarkEnd w:id="2"/>
    </w:p>
    <w:p>
      <w:pPr>
        <w:numPr>
          <w:ilvl w:val="0"/>
          <w:numId w:val="2"/>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遵循原则：</w:t>
      </w:r>
    </w:p>
    <w:p>
      <w:pPr>
        <w:spacing w:line="360" w:lineRule="auto"/>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公开透明原则、公平竞争原则、公正原则和诚实信用原则。</w:t>
      </w:r>
    </w:p>
    <w:p>
      <w:pPr>
        <w:numPr>
          <w:ilvl w:val="0"/>
          <w:numId w:val="3"/>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招标文件：</w:t>
      </w:r>
    </w:p>
    <w:p>
      <w:pPr>
        <w:numPr>
          <w:ilvl w:val="0"/>
          <w:numId w:val="4"/>
        </w:numPr>
        <w:tabs>
          <w:tab w:val="left" w:pos="-1260"/>
          <w:tab w:val="left" w:pos="525"/>
          <w:tab w:val="left" w:pos="94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招标文件包括本文件目录所列全部内容，投标人应仔细阅读，并在投标文件中充分响应招标文件的所有要求。</w:t>
      </w:r>
    </w:p>
    <w:p>
      <w:pPr>
        <w:numPr>
          <w:ilvl w:val="0"/>
          <w:numId w:val="4"/>
        </w:numPr>
        <w:tabs>
          <w:tab w:val="left" w:pos="0"/>
          <w:tab w:val="left" w:pos="525"/>
          <w:tab w:val="left" w:pos="94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招标文件中的“法定代表人”是指报价人的营业执照的“法定代表人”或相关部门的登记证明文件中的“负责人”。</w:t>
      </w:r>
    </w:p>
    <w:p>
      <w:pPr>
        <w:numPr>
          <w:ilvl w:val="0"/>
          <w:numId w:val="4"/>
        </w:numPr>
        <w:tabs>
          <w:tab w:val="left" w:pos="0"/>
          <w:tab w:val="left" w:pos="525"/>
          <w:tab w:val="left" w:pos="94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投标人应在无锡市惠山区公共资源交易中心政府采购专栏公告附件（http://www.huishan.gov.cn/qcgw/zfcg/index.shtml，下同）或登录无锡市政府采购交易管理一体化系统下载招标文件及有关资料，</w:t>
      </w:r>
      <w:r>
        <w:rPr>
          <w:rFonts w:hint="eastAsia" w:ascii="宋体" w:hAnsi="宋体"/>
          <w:color w:val="auto"/>
          <w:sz w:val="24"/>
          <w:szCs w:val="24"/>
          <w:highlight w:val="none"/>
        </w:rPr>
        <w:t>按要求制作、上传投标文件，</w:t>
      </w:r>
      <w:r>
        <w:rPr>
          <w:rFonts w:hint="eastAsia" w:ascii="宋体" w:hAnsi="宋体"/>
          <w:bCs/>
          <w:color w:val="auto"/>
          <w:sz w:val="24"/>
          <w:szCs w:val="24"/>
          <w:highlight w:val="none"/>
        </w:rPr>
        <w:t>对招标文件各项内容做出实质性响应，否则投标无效。</w:t>
      </w:r>
    </w:p>
    <w:p>
      <w:pPr>
        <w:numPr>
          <w:ilvl w:val="0"/>
          <w:numId w:val="4"/>
        </w:numPr>
        <w:tabs>
          <w:tab w:val="left" w:pos="0"/>
          <w:tab w:val="left" w:pos="525"/>
          <w:tab w:val="left" w:pos="94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招标文件仅作为本次招投标使用。</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招标文件的解释：</w:t>
      </w:r>
    </w:p>
    <w:p>
      <w:pPr>
        <w:tabs>
          <w:tab w:val="left" w:pos="945"/>
        </w:tabs>
        <w:spacing w:line="360" w:lineRule="auto"/>
        <w:ind w:left="523"/>
        <w:rPr>
          <w:rFonts w:ascii="宋体"/>
          <w:bCs/>
          <w:color w:val="auto"/>
          <w:sz w:val="24"/>
          <w:szCs w:val="24"/>
          <w:highlight w:val="none"/>
        </w:rPr>
      </w:pPr>
      <w:r>
        <w:rPr>
          <w:rFonts w:hint="eastAsia" w:ascii="宋体" w:hAnsi="宋体"/>
          <w:bCs/>
          <w:color w:val="auto"/>
          <w:sz w:val="24"/>
          <w:szCs w:val="24"/>
          <w:highlight w:val="none"/>
        </w:rPr>
        <w:t>本文件的最终解释权归无锡市惠山区政府采购中心。</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 xml:space="preserve">招标文件的澄清或修正： </w:t>
      </w:r>
    </w:p>
    <w:p>
      <w:pPr>
        <w:numPr>
          <w:ilvl w:val="0"/>
          <w:numId w:val="5"/>
        </w:numPr>
        <w:tabs>
          <w:tab w:val="left" w:pos="525"/>
          <w:tab w:val="left" w:pos="945"/>
          <w:tab w:val="clear" w:pos="898"/>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无锡市惠山区政府采购中心可在投标截止时间十五日前对招标文件进行必要的澄清或者修改，不足15日的，将顺延提交投标文件的截止时间。</w:t>
      </w:r>
    </w:p>
    <w:p>
      <w:pPr>
        <w:numPr>
          <w:ilvl w:val="0"/>
          <w:numId w:val="5"/>
        </w:numPr>
        <w:tabs>
          <w:tab w:val="left" w:pos="525"/>
          <w:tab w:val="left" w:pos="945"/>
          <w:tab w:val="clear" w:pos="898"/>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如需对招标文件进行澄清或修正，无锡市惠山区政府采购中心将在惠山区公共资源交易中心网政府采购专栏、无锡政府采购网、江苏政府采购网发布更正公告，该澄清或修正的内容为招标文件的组成部分。投标人应在投标截止时间前登录投标客户端或关注原招标公告媒体上发布的相关更正公告。因投标人未尽注意义务，未及时全面地关注更正公告导致其提交的投标材料不符合无锡市惠山区政府采购中心要求，而造成的损失及风险（包括但不限于未中标）由投标人自行承担。</w:t>
      </w:r>
    </w:p>
    <w:p>
      <w:pPr>
        <w:numPr>
          <w:ilvl w:val="0"/>
          <w:numId w:val="3"/>
        </w:numPr>
        <w:tabs>
          <w:tab w:val="left" w:pos="630"/>
        </w:tabs>
        <w:spacing w:line="360" w:lineRule="auto"/>
        <w:rPr>
          <w:rFonts w:ascii="宋体"/>
          <w:bCs/>
          <w:color w:val="auto"/>
          <w:sz w:val="24"/>
          <w:szCs w:val="24"/>
          <w:highlight w:val="none"/>
        </w:rPr>
      </w:pPr>
      <w:r>
        <w:rPr>
          <w:rFonts w:hint="eastAsia" w:ascii="黑体" w:hAnsi="宋体" w:eastAsia="黑体"/>
          <w:bCs/>
          <w:color w:val="auto"/>
          <w:sz w:val="24"/>
          <w:szCs w:val="24"/>
          <w:highlight w:val="none"/>
        </w:rPr>
        <w:t>投标文件的组成</w:t>
      </w:r>
      <w:r>
        <w:rPr>
          <w:rFonts w:hint="eastAsia" w:ascii="宋体" w:hAnsi="宋体"/>
          <w:bCs/>
          <w:color w:val="auto"/>
          <w:kern w:val="0"/>
          <w:sz w:val="24"/>
          <w:szCs w:val="24"/>
          <w:highlight w:val="none"/>
        </w:rPr>
        <w:t>（</w:t>
      </w:r>
      <w:r>
        <w:rPr>
          <w:rFonts w:hint="eastAsia" w:ascii="宋体" w:hAnsi="宋体"/>
          <w:b/>
          <w:bCs/>
          <w:color w:val="auto"/>
          <w:kern w:val="0"/>
          <w:sz w:val="24"/>
          <w:szCs w:val="24"/>
          <w:highlight w:val="none"/>
        </w:rPr>
        <w:t>相应内容上传至投标客户端）</w:t>
      </w:r>
      <w:r>
        <w:rPr>
          <w:rFonts w:hint="eastAsia" w:ascii="黑体" w:hAnsi="宋体" w:eastAsia="黑体"/>
          <w:bCs/>
          <w:color w:val="auto"/>
          <w:kern w:val="0"/>
          <w:sz w:val="24"/>
          <w:szCs w:val="24"/>
          <w:highlight w:val="none"/>
        </w:rPr>
        <w:t>：</w:t>
      </w:r>
    </w:p>
    <w:p>
      <w:pPr>
        <w:numPr>
          <w:ilvl w:val="0"/>
          <w:numId w:val="6"/>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投标函（</w:t>
      </w:r>
      <w:r>
        <w:rPr>
          <w:rFonts w:hint="eastAsia" w:ascii="宋体" w:hAnsi="宋体"/>
          <w:b/>
          <w:bCs/>
          <w:color w:val="auto"/>
          <w:sz w:val="24"/>
          <w:szCs w:val="24"/>
          <w:highlight w:val="none"/>
        </w:rPr>
        <w:t>格式见附件）</w:t>
      </w:r>
    </w:p>
    <w:p>
      <w:pPr>
        <w:numPr>
          <w:ilvl w:val="0"/>
          <w:numId w:val="6"/>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资格、资信证明文件</w:t>
      </w:r>
      <w:r>
        <w:rPr>
          <w:rFonts w:hint="eastAsia" w:ascii="宋体" w:hAnsi="宋体"/>
          <w:bCs/>
          <w:color w:val="auto"/>
          <w:kern w:val="0"/>
          <w:sz w:val="24"/>
          <w:szCs w:val="24"/>
          <w:highlight w:val="none"/>
        </w:rPr>
        <w:t>（</w:t>
      </w:r>
      <w:r>
        <w:rPr>
          <w:rFonts w:hint="eastAsia" w:ascii="宋体" w:hAnsi="宋体"/>
          <w:b/>
          <w:bCs/>
          <w:color w:val="auto"/>
          <w:kern w:val="0"/>
          <w:sz w:val="24"/>
          <w:szCs w:val="24"/>
          <w:highlight w:val="none"/>
        </w:rPr>
        <w:t>身份证应为正、反面</w:t>
      </w:r>
      <w:r>
        <w:rPr>
          <w:rFonts w:hint="eastAsia" w:ascii="宋体" w:hAnsi="宋体"/>
          <w:bCs/>
          <w:color w:val="auto"/>
          <w:kern w:val="0"/>
          <w:sz w:val="24"/>
          <w:szCs w:val="24"/>
          <w:highlight w:val="none"/>
        </w:rPr>
        <w:t>）：</w:t>
      </w:r>
    </w:p>
    <w:p>
      <w:pPr>
        <w:pStyle w:val="55"/>
        <w:numPr>
          <w:ilvl w:val="1"/>
          <w:numId w:val="6"/>
        </w:numPr>
        <w:tabs>
          <w:tab w:val="left" w:pos="502"/>
          <w:tab w:val="left" w:pos="1276"/>
        </w:tabs>
        <w:spacing w:line="360" w:lineRule="auto"/>
        <w:ind w:left="0" w:firstLine="567" w:firstLineChars="0"/>
        <w:rPr>
          <w:rFonts w:ascii="宋体"/>
          <w:bCs/>
          <w:color w:val="auto"/>
          <w:sz w:val="24"/>
          <w:szCs w:val="24"/>
          <w:highlight w:val="none"/>
        </w:rPr>
      </w:pPr>
      <w:r>
        <w:rPr>
          <w:rFonts w:hint="eastAsia" w:ascii="宋体" w:hAnsi="宋体"/>
          <w:bCs/>
          <w:color w:val="auto"/>
          <w:sz w:val="24"/>
          <w:szCs w:val="24"/>
          <w:highlight w:val="none"/>
        </w:rPr>
        <w:t>关于资格的声明函（</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pStyle w:val="55"/>
        <w:numPr>
          <w:ilvl w:val="1"/>
          <w:numId w:val="6"/>
        </w:numPr>
        <w:tabs>
          <w:tab w:val="left" w:pos="502"/>
          <w:tab w:val="left" w:pos="1276"/>
        </w:tabs>
        <w:spacing w:line="360" w:lineRule="auto"/>
        <w:ind w:left="0" w:firstLine="567" w:firstLineChars="0"/>
        <w:rPr>
          <w:rFonts w:ascii="宋体"/>
          <w:bCs/>
          <w:color w:val="auto"/>
          <w:sz w:val="24"/>
          <w:szCs w:val="24"/>
          <w:highlight w:val="none"/>
        </w:rPr>
      </w:pPr>
      <w:r>
        <w:rPr>
          <w:rFonts w:hint="eastAsia" w:ascii="宋体" w:hAnsi="宋体"/>
          <w:bCs/>
          <w:color w:val="auto"/>
          <w:sz w:val="24"/>
          <w:szCs w:val="24"/>
          <w:highlight w:val="none"/>
        </w:rPr>
        <w:t>具有独立承担民事责任能力的投标人营业执照或相关部门的登记证明文件复印件（投标人如是</w:t>
      </w:r>
      <w:r>
        <w:rPr>
          <w:rFonts w:hint="eastAsia" w:ascii="宋体" w:hAnsi="宋体" w:cs="宋体"/>
          <w:color w:val="auto"/>
          <w:kern w:val="0"/>
          <w:sz w:val="24"/>
          <w:szCs w:val="24"/>
          <w:highlight w:val="none"/>
        </w:rPr>
        <w:t>允许以分支机构身份参加投标的，提供投标人分支机构的营业执照复印件</w:t>
      </w:r>
      <w:r>
        <w:rPr>
          <w:rFonts w:hint="eastAsia" w:ascii="宋体" w:hAnsi="宋体"/>
          <w:bCs/>
          <w:color w:val="auto"/>
          <w:sz w:val="24"/>
          <w:szCs w:val="24"/>
          <w:highlight w:val="none"/>
        </w:rPr>
        <w:t>）；</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投标人法定代表人授权委托书</w:t>
      </w:r>
      <w:r>
        <w:rPr>
          <w:rFonts w:hint="eastAsia" w:ascii="宋体" w:hAnsi="宋体"/>
          <w:color w:val="auto"/>
          <w:sz w:val="24"/>
          <w:szCs w:val="24"/>
          <w:highlight w:val="none"/>
        </w:rPr>
        <w:t>（</w:t>
      </w:r>
      <w:r>
        <w:rPr>
          <w:rFonts w:hint="eastAsia" w:ascii="宋体" w:hAnsi="宋体"/>
          <w:b/>
          <w:bCs/>
          <w:color w:val="auto"/>
          <w:sz w:val="24"/>
          <w:szCs w:val="24"/>
          <w:highlight w:val="none"/>
        </w:rPr>
        <w:t>格式见附件，法定代表人亲自参加投标的除外</w:t>
      </w:r>
      <w:r>
        <w:rPr>
          <w:rFonts w:hint="eastAsia" w:ascii="宋体" w:hAnsi="宋体"/>
          <w:color w:val="auto"/>
          <w:sz w:val="24"/>
          <w:szCs w:val="24"/>
          <w:highlight w:val="none"/>
        </w:rPr>
        <w:t>）（投标人</w:t>
      </w:r>
      <w:r>
        <w:rPr>
          <w:rFonts w:hint="eastAsia" w:ascii="宋体" w:hAnsi="宋体"/>
          <w:bCs/>
          <w:color w:val="auto"/>
          <w:sz w:val="24"/>
          <w:szCs w:val="24"/>
          <w:highlight w:val="none"/>
        </w:rPr>
        <w:t>如是</w:t>
      </w:r>
      <w:r>
        <w:rPr>
          <w:rFonts w:hint="eastAsia" w:ascii="宋体" w:hAnsi="宋体" w:cs="宋体"/>
          <w:color w:val="auto"/>
          <w:kern w:val="0"/>
          <w:sz w:val="24"/>
          <w:szCs w:val="24"/>
          <w:highlight w:val="none"/>
        </w:rPr>
        <w:t>允许以分支机构身份参加投标的，请自行将“法定代表人”更改为“负责人”，分支机构投标时涉及到招标文件“法定代表人”要求的部分，其具体要求视同本条规定</w:t>
      </w:r>
      <w:r>
        <w:rPr>
          <w:rFonts w:hint="eastAsia" w:ascii="宋体" w:hAnsi="宋体"/>
          <w:color w:val="auto"/>
          <w:sz w:val="24"/>
          <w:szCs w:val="24"/>
          <w:highlight w:val="none"/>
        </w:rPr>
        <w:t>）；</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投标人法定代表人身份证；</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投标人法定代表人授权代表身份证（</w:t>
      </w:r>
      <w:r>
        <w:rPr>
          <w:rFonts w:hint="eastAsia" w:ascii="宋体" w:hAnsi="宋体"/>
          <w:b/>
          <w:bCs/>
          <w:color w:val="auto"/>
          <w:sz w:val="24"/>
          <w:szCs w:val="24"/>
          <w:highlight w:val="none"/>
        </w:rPr>
        <w:t>法定代表人亲自参加投标的除外</w:t>
      </w:r>
      <w:r>
        <w:rPr>
          <w:rFonts w:hint="eastAsia" w:ascii="宋体" w:hAnsi="宋体"/>
          <w:bCs/>
          <w:color w:val="auto"/>
          <w:sz w:val="24"/>
          <w:szCs w:val="24"/>
          <w:highlight w:val="none"/>
        </w:rPr>
        <w:t>）</w:t>
      </w:r>
      <w:r>
        <w:rPr>
          <w:rFonts w:hint="eastAsia" w:ascii="宋体" w:hAnsi="宋体"/>
          <w:color w:val="auto"/>
          <w:sz w:val="24"/>
          <w:szCs w:val="24"/>
          <w:highlight w:val="none"/>
        </w:rPr>
        <w:t>；</w:t>
      </w:r>
    </w:p>
    <w:p>
      <w:pPr>
        <w:numPr>
          <w:ilvl w:val="1"/>
          <w:numId w:val="6"/>
        </w:numPr>
        <w:tabs>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投标人连续三个月(至少包含近三个月中任意一个月份(不含投标当月))为其法定代表人授权代表缴纳社保的证明（由相关主管部门出具，</w:t>
      </w:r>
      <w:r>
        <w:rPr>
          <w:rFonts w:hint="eastAsia" w:ascii="宋体" w:hAnsi="宋体"/>
          <w:b/>
          <w:bCs/>
          <w:color w:val="auto"/>
          <w:sz w:val="24"/>
          <w:szCs w:val="24"/>
          <w:highlight w:val="none"/>
        </w:rPr>
        <w:t>新成立公司除外、法定代表人亲自参加投标的除外</w:t>
      </w:r>
      <w:r>
        <w:rPr>
          <w:rFonts w:hint="eastAsia" w:ascii="宋体" w:hAnsi="宋体"/>
          <w:bCs/>
          <w:color w:val="auto"/>
          <w:sz w:val="24"/>
          <w:szCs w:val="24"/>
          <w:highlight w:val="none"/>
        </w:rPr>
        <w:t>）；</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 xml:space="preserve">投标人近三个月中任意一个月份(不含投标当月)的财务状况报告（资产负债表和利润表）或由会计师事务所出具的近两年中任意一个年度的审计报告和所附已审财务报告； </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投标人近三个月中任意一个月份(不含投标当月)的依法缴纳税收的相关材料（提供相关主管部门证明或银行代扣证明）；</w:t>
      </w:r>
    </w:p>
    <w:p>
      <w:pPr>
        <w:numPr>
          <w:ilvl w:val="1"/>
          <w:numId w:val="6"/>
        </w:numPr>
        <w:tabs>
          <w:tab w:val="left" w:pos="502"/>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投标人近三个月中任意一个月份(不含投标当月)的依法缴纳社会保障资金的相关材料（提供相关主管部门证明或银行代扣证明）；</w:t>
      </w:r>
    </w:p>
    <w:p>
      <w:pPr>
        <w:numPr>
          <w:ilvl w:val="1"/>
          <w:numId w:val="6"/>
        </w:numPr>
        <w:tabs>
          <w:tab w:val="left" w:pos="945"/>
          <w:tab w:val="left" w:pos="1276"/>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采购人要求的特定资质证明（</w:t>
      </w:r>
      <w:r>
        <w:rPr>
          <w:rFonts w:hint="eastAsia" w:ascii="宋体" w:hAnsi="宋体"/>
          <w:b/>
          <w:bCs/>
          <w:color w:val="auto"/>
          <w:sz w:val="24"/>
          <w:szCs w:val="24"/>
          <w:highlight w:val="none"/>
        </w:rPr>
        <w:t>详见“投标邀请函”-“投标人资格要求”之3中要求）</w:t>
      </w:r>
      <w:r>
        <w:rPr>
          <w:rFonts w:hint="eastAsia" w:ascii="宋体" w:hAnsi="宋体"/>
          <w:bCs/>
          <w:color w:val="auto"/>
          <w:sz w:val="24"/>
          <w:szCs w:val="24"/>
          <w:highlight w:val="none"/>
        </w:rPr>
        <w:t>。</w:t>
      </w:r>
    </w:p>
    <w:p>
      <w:pPr>
        <w:numPr>
          <w:ilvl w:val="1"/>
          <w:numId w:val="6"/>
        </w:numPr>
        <w:tabs>
          <w:tab w:val="left" w:pos="945"/>
          <w:tab w:val="left" w:pos="1276"/>
        </w:tabs>
        <w:spacing w:line="360" w:lineRule="auto"/>
        <w:ind w:left="0" w:firstLine="523" w:firstLineChars="218"/>
        <w:rPr>
          <w:rFonts w:ascii="宋体"/>
          <w:bCs/>
          <w:color w:val="auto"/>
          <w:sz w:val="24"/>
          <w:szCs w:val="24"/>
          <w:highlight w:val="none"/>
        </w:rPr>
      </w:pPr>
      <w:r>
        <w:rPr>
          <w:rFonts w:hint="eastAsia" w:ascii="宋体"/>
          <w:bCs/>
          <w:color w:val="auto"/>
          <w:sz w:val="24"/>
          <w:szCs w:val="24"/>
          <w:highlight w:val="none"/>
          <w:lang w:eastAsia="zh-CN"/>
        </w:rPr>
        <w:t>投标人中小企业声明函</w:t>
      </w:r>
      <w:r>
        <w:rPr>
          <w:rFonts w:hint="eastAsia" w:ascii="宋体" w:hAnsi="宋体"/>
          <w:bCs/>
          <w:color w:val="auto"/>
          <w:sz w:val="24"/>
          <w:szCs w:val="24"/>
          <w:highlight w:val="none"/>
        </w:rPr>
        <w:t>（</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tabs>
          <w:tab w:val="left" w:pos="945"/>
          <w:tab w:val="left" w:pos="2912"/>
        </w:tabs>
        <w:spacing w:line="360" w:lineRule="auto"/>
        <w:ind w:left="499"/>
        <w:rPr>
          <w:rFonts w:ascii="宋体"/>
          <w:bCs/>
          <w:color w:val="auto"/>
          <w:sz w:val="24"/>
          <w:szCs w:val="24"/>
          <w:highlight w:val="none"/>
        </w:rPr>
      </w:pPr>
      <w:r>
        <w:rPr>
          <w:rFonts w:hint="eastAsia" w:ascii="宋体" w:hAnsi="宋体" w:cs="宋体"/>
          <w:color w:val="auto"/>
          <w:kern w:val="0"/>
          <w:sz w:val="24"/>
          <w:szCs w:val="24"/>
          <w:highlight w:val="none"/>
        </w:rPr>
        <w:t>注：按照《政府采购法实施条例释义》，法人的分支机构由于其不能独立承担民事责任，不能以分支机构的身份参加政府采购，只能以法人身份参加。但银行、保险、石油石化、电力、电信等有行业特殊情况的，可以分支机构参加政府采购和签订合同。</w:t>
      </w:r>
    </w:p>
    <w:p>
      <w:pPr>
        <w:numPr>
          <w:ilvl w:val="0"/>
          <w:numId w:val="6"/>
        </w:numPr>
        <w:tabs>
          <w:tab w:val="left" w:pos="525"/>
          <w:tab w:val="left" w:pos="945"/>
        </w:tabs>
        <w:spacing w:line="360" w:lineRule="auto"/>
        <w:rPr>
          <w:rFonts w:ascii="宋体"/>
          <w:bCs/>
          <w:color w:val="auto"/>
          <w:sz w:val="24"/>
          <w:szCs w:val="24"/>
          <w:highlight w:val="none"/>
        </w:rPr>
      </w:pPr>
      <w:r>
        <w:rPr>
          <w:rFonts w:hint="eastAsia" w:ascii="宋体" w:hAnsi="宋体"/>
          <w:bCs/>
          <w:color w:val="auto"/>
          <w:sz w:val="24"/>
          <w:szCs w:val="24"/>
          <w:highlight w:val="none"/>
        </w:rPr>
        <w:t>服务保障承诺书（</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开标一览表（</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明细报价表（</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投标偏离表（</w:t>
      </w:r>
      <w:r>
        <w:rPr>
          <w:rFonts w:hint="eastAsia" w:ascii="宋体" w:hAnsi="宋体"/>
          <w:b/>
          <w:bCs/>
          <w:color w:val="auto"/>
          <w:sz w:val="24"/>
          <w:szCs w:val="24"/>
          <w:highlight w:val="none"/>
        </w:rPr>
        <w:t>格式见附件</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评分标准中对应的其它所需证明材料（</w:t>
      </w:r>
      <w:r>
        <w:rPr>
          <w:rFonts w:hint="eastAsia" w:ascii="宋体" w:hAnsi="宋体"/>
          <w:b/>
          <w:bCs/>
          <w:color w:val="auto"/>
          <w:sz w:val="24"/>
          <w:szCs w:val="24"/>
          <w:highlight w:val="none"/>
        </w:rPr>
        <w:t>如有自行添加</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要求采购人提供的配合（</w:t>
      </w:r>
      <w:r>
        <w:rPr>
          <w:rFonts w:hint="eastAsia" w:ascii="宋体" w:hAnsi="宋体"/>
          <w:b/>
          <w:bCs/>
          <w:color w:val="auto"/>
          <w:sz w:val="24"/>
          <w:szCs w:val="24"/>
          <w:highlight w:val="none"/>
        </w:rPr>
        <w:t>如有自拟并自行添加</w:t>
      </w:r>
      <w:r>
        <w:rPr>
          <w:rFonts w:hint="eastAsia" w:ascii="宋体" w:hAnsi="宋体"/>
          <w:bCs/>
          <w:color w:val="auto"/>
          <w:sz w:val="24"/>
          <w:szCs w:val="24"/>
          <w:highlight w:val="none"/>
        </w:rPr>
        <w:t>）</w:t>
      </w:r>
    </w:p>
    <w:p>
      <w:pPr>
        <w:numPr>
          <w:ilvl w:val="0"/>
          <w:numId w:val="6"/>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其它（</w:t>
      </w:r>
      <w:r>
        <w:rPr>
          <w:rFonts w:hint="eastAsia" w:ascii="宋体" w:hAnsi="宋体"/>
          <w:b/>
          <w:bCs/>
          <w:color w:val="auto"/>
          <w:sz w:val="24"/>
          <w:szCs w:val="24"/>
          <w:highlight w:val="none"/>
        </w:rPr>
        <w:t>投标人认为有必要提供的声明和文件，如有自拟并自行添加</w:t>
      </w:r>
      <w:r>
        <w:rPr>
          <w:rFonts w:hint="eastAsia" w:ascii="宋体" w:hAnsi="宋体"/>
          <w:bCs/>
          <w:color w:val="auto"/>
          <w:sz w:val="24"/>
          <w:szCs w:val="24"/>
          <w:highlight w:val="none"/>
        </w:rPr>
        <w:t>）</w:t>
      </w:r>
    </w:p>
    <w:p>
      <w:pPr>
        <w:tabs>
          <w:tab w:val="left" w:pos="945"/>
        </w:tabs>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上述1-6项投标人必须按要求全部提供，否则投标文件无效。</w:t>
      </w:r>
      <w:r>
        <w:rPr>
          <w:rFonts w:hint="eastAsia" w:ascii="Tahoma" w:hAnsi="Tahoma" w:cs="Tahoma"/>
          <w:color w:val="auto"/>
          <w:sz w:val="24"/>
          <w:szCs w:val="24"/>
          <w:highlight w:val="none"/>
        </w:rPr>
        <w:t>如上述资格证明文件遇年检、换证，则必须提供法定年检、换证单位出具的有效证明复印件。如上述资格证明文件第</w:t>
      </w:r>
      <w:r>
        <w:rPr>
          <w:rFonts w:hint="eastAsia" w:ascii="宋体" w:hAnsi="宋体" w:cs="Tahoma"/>
          <w:color w:val="auto"/>
          <w:sz w:val="24"/>
          <w:szCs w:val="24"/>
          <w:highlight w:val="none"/>
        </w:rPr>
        <w:t>（6）（7）（8）（9）</w:t>
      </w:r>
      <w:r>
        <w:rPr>
          <w:rFonts w:hint="eastAsia" w:ascii="Tahoma" w:hAnsi="Tahoma" w:cs="Tahoma"/>
          <w:color w:val="auto"/>
          <w:sz w:val="24"/>
          <w:szCs w:val="24"/>
          <w:highlight w:val="none"/>
        </w:rPr>
        <w:t>四项遇有国家相关政策规定可不具备的，必须提供相关政策规定或相关单位出具的有效证明复印件。</w:t>
      </w:r>
      <w:r>
        <w:rPr>
          <w:rFonts w:hint="eastAsia" w:ascii="宋体" w:hAnsi="宋体"/>
          <w:bCs/>
          <w:color w:val="auto"/>
          <w:sz w:val="24"/>
          <w:szCs w:val="24"/>
          <w:highlight w:val="none"/>
        </w:rPr>
        <w:t>投标人法定代表人或法定代表人授权代表为外籍、港、澳、台地区人士的，其身份证明须提供有效的护照或港澳同胞来往内地通行证、台湾同胞来往大陆通行证，或其它可在中国大陆有效居留的许可证明。</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投标文件的制作：</w:t>
      </w:r>
    </w:p>
    <w:p>
      <w:pPr>
        <w:numPr>
          <w:ilvl w:val="0"/>
          <w:numId w:val="7"/>
        </w:numPr>
        <w:tabs>
          <w:tab w:val="left" w:pos="525"/>
          <w:tab w:val="left" w:pos="945"/>
          <w:tab w:val="clear" w:pos="898"/>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所有文件、往来函件均应使用简体中文（规格、型号辅助符号例外）。</w:t>
      </w:r>
    </w:p>
    <w:p>
      <w:pPr>
        <w:numPr>
          <w:ilvl w:val="0"/>
          <w:numId w:val="7"/>
        </w:numPr>
        <w:tabs>
          <w:tab w:val="left" w:pos="525"/>
          <w:tab w:val="left" w:pos="945"/>
          <w:tab w:val="clear" w:pos="898"/>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投标文件由投标人按要求如实填写，须有投标人（签章）、法定代表人或法定代表人授权代表签章，方为有效，未尽事宜可自行补充。</w:t>
      </w:r>
    </w:p>
    <w:p>
      <w:pPr>
        <w:numPr>
          <w:ilvl w:val="0"/>
          <w:numId w:val="7"/>
        </w:numPr>
        <w:tabs>
          <w:tab w:val="left" w:pos="525"/>
          <w:tab w:val="left" w:pos="945"/>
          <w:tab w:val="clear" w:pos="898"/>
        </w:tabs>
        <w:spacing w:line="360" w:lineRule="auto"/>
        <w:ind w:left="0" w:firstLine="523" w:firstLineChars="218"/>
        <w:rPr>
          <w:rFonts w:ascii="宋体"/>
          <w:bCs/>
          <w:color w:val="auto"/>
          <w:sz w:val="24"/>
          <w:szCs w:val="24"/>
          <w:highlight w:val="none"/>
        </w:rPr>
      </w:pPr>
      <w:r>
        <w:rPr>
          <w:rFonts w:hint="eastAsia" w:ascii="宋体"/>
          <w:color w:val="auto"/>
          <w:sz w:val="24"/>
          <w:szCs w:val="24"/>
          <w:highlight w:val="none"/>
          <w:lang w:val="zh-CN"/>
        </w:rPr>
        <w:t>如无特别说明，</w:t>
      </w:r>
      <w:r>
        <w:rPr>
          <w:rFonts w:hint="eastAsia" w:ascii="宋体" w:hAnsi="宋体"/>
          <w:bCs/>
          <w:color w:val="auto"/>
          <w:sz w:val="24"/>
          <w:szCs w:val="24"/>
          <w:highlight w:val="none"/>
        </w:rPr>
        <w:t>投标人投标一律以人民币为投标结算货币</w:t>
      </w:r>
      <w:r>
        <w:rPr>
          <w:rFonts w:hint="eastAsia" w:ascii="宋体"/>
          <w:bCs/>
          <w:color w:val="auto"/>
          <w:sz w:val="24"/>
          <w:szCs w:val="24"/>
          <w:highlight w:val="none"/>
        </w:rPr>
        <w:t>,</w:t>
      </w:r>
      <w:r>
        <w:rPr>
          <w:rFonts w:hint="eastAsia" w:ascii="宋体" w:hAnsi="宋体"/>
          <w:bCs/>
          <w:color w:val="auto"/>
          <w:sz w:val="24"/>
          <w:szCs w:val="24"/>
          <w:highlight w:val="none"/>
        </w:rPr>
        <w:t>结算单位为“元”。</w:t>
      </w:r>
    </w:p>
    <w:p>
      <w:pPr>
        <w:numPr>
          <w:ilvl w:val="0"/>
          <w:numId w:val="7"/>
        </w:numPr>
        <w:tabs>
          <w:tab w:val="left" w:pos="525"/>
          <w:tab w:val="left" w:pos="945"/>
          <w:tab w:val="clear" w:pos="898"/>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投标费用自理。</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网上投标</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应由其法定代表人或法定代表人授权代表在规定的网上投标时间内，凭CA数字证书登陆政府采购交易管理一体化系统获取招标文件，在投标客户端制作投标文件（电子数据），并在投标截止时间之前上传投标文件。</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投标人应对CA数字证书妥善保管，如被他人盗用投标，后果自负。</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投标人按招标文件规定的网上解密时间进行解密，如未按时解密后果自负。</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投标人应当对招标文件提出的要求和条件作出实质性响应，并在电子投标系统逐条应答。</w:t>
      </w:r>
    </w:p>
    <w:p>
      <w:pPr>
        <w:numPr>
          <w:ilvl w:val="0"/>
          <w:numId w:val="8"/>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投标人应对要求提供的资格证明文件（如资质证书、资格证书）、技术资料（如白皮书、彩页、手册、检测报告等）扫描上传至投标系统。</w:t>
      </w:r>
    </w:p>
    <w:p>
      <w:pPr>
        <w:numPr>
          <w:ilvl w:val="0"/>
          <w:numId w:val="8"/>
        </w:numPr>
        <w:tabs>
          <w:tab w:val="left" w:pos="525"/>
          <w:tab w:val="left" w:pos="945"/>
        </w:tabs>
        <w:spacing w:line="360" w:lineRule="auto"/>
        <w:ind w:left="1" w:firstLine="523" w:firstLineChars="218"/>
        <w:rPr>
          <w:rFonts w:ascii="黑体" w:hAnsi="宋体" w:eastAsia="黑体"/>
          <w:bCs/>
          <w:color w:val="auto"/>
          <w:sz w:val="24"/>
          <w:szCs w:val="24"/>
          <w:highlight w:val="none"/>
        </w:rPr>
      </w:pPr>
      <w:r>
        <w:rPr>
          <w:rFonts w:hint="eastAsia" w:ascii="宋体" w:hAnsi="宋体"/>
          <w:bCs/>
          <w:color w:val="auto"/>
          <w:sz w:val="24"/>
          <w:szCs w:val="24"/>
          <w:highlight w:val="none"/>
        </w:rPr>
        <w:t>投标人进行网上</w:t>
      </w:r>
      <w:r>
        <w:rPr>
          <w:rFonts w:hint="eastAsia" w:ascii="宋体" w:hAnsi="宋体"/>
          <w:color w:val="auto"/>
          <w:sz w:val="24"/>
          <w:szCs w:val="24"/>
          <w:highlight w:val="none"/>
        </w:rPr>
        <w:t>投标</w:t>
      </w:r>
      <w:r>
        <w:rPr>
          <w:rFonts w:hint="eastAsia" w:ascii="宋体" w:hAnsi="宋体"/>
          <w:bCs/>
          <w:color w:val="auto"/>
          <w:sz w:val="24"/>
          <w:szCs w:val="24"/>
          <w:highlight w:val="none"/>
        </w:rPr>
        <w:t>请参照《</w:t>
      </w:r>
      <w:r>
        <w:rPr>
          <w:rFonts w:hint="eastAsia" w:ascii="宋体" w:hAnsi="宋体"/>
          <w:color w:val="auto"/>
          <w:sz w:val="24"/>
          <w:szCs w:val="24"/>
          <w:highlight w:val="none"/>
        </w:rPr>
        <w:t>政府采购项目电子交易管理操作指南-供应商》。</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无效投标文件的确认</w:t>
      </w:r>
    </w:p>
    <w:p>
      <w:pPr>
        <w:tabs>
          <w:tab w:val="left" w:pos="945"/>
        </w:tabs>
        <w:ind w:firstLine="480" w:firstLineChars="200"/>
        <w:rPr>
          <w:rFonts w:ascii="黑体" w:hAnsi="宋体" w:eastAsia="黑体"/>
          <w:bCs/>
          <w:color w:val="auto"/>
          <w:sz w:val="24"/>
          <w:szCs w:val="24"/>
          <w:highlight w:val="none"/>
        </w:rPr>
      </w:pPr>
      <w:r>
        <w:rPr>
          <w:rFonts w:hint="eastAsia" w:ascii="宋体" w:hAnsi="宋体"/>
          <w:bCs/>
          <w:color w:val="auto"/>
          <w:sz w:val="24"/>
          <w:szCs w:val="24"/>
          <w:highlight w:val="none"/>
        </w:rPr>
        <w:t>投标人有下列情况之一者，投标文件无效：</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color w:val="auto"/>
          <w:sz w:val="24"/>
          <w:szCs w:val="24"/>
          <w:highlight w:val="none"/>
        </w:rPr>
        <w:t>未按规定在</w:t>
      </w:r>
      <w:r>
        <w:rPr>
          <w:rFonts w:hint="eastAsia" w:ascii="宋体" w:hAnsi="宋体"/>
          <w:bCs/>
          <w:color w:val="auto"/>
          <w:sz w:val="24"/>
          <w:szCs w:val="24"/>
          <w:highlight w:val="none"/>
        </w:rPr>
        <w:t>无锡市政府采购供应商信息库</w:t>
      </w:r>
      <w:r>
        <w:rPr>
          <w:rFonts w:hint="eastAsia" w:ascii="宋体" w:hAnsi="宋体"/>
          <w:color w:val="auto"/>
          <w:sz w:val="24"/>
          <w:szCs w:val="24"/>
          <w:highlight w:val="none"/>
        </w:rPr>
        <w:t>注册的；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电子投标文件未按规定期限投标的，纸质投标文件（如有）未按规定的期限、地点送达的；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电子投标文件未按招标文件要求签章的；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投标人因自身原因未按招标文件要求解密电子投标文件的；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投标人的法定代表人授权代表，无法定代表人授权委托书的；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不具备招标文件中规定的资格要求或未按招标文件规定的要求提供资格、资信证明文件的；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color w:val="auto"/>
          <w:sz w:val="24"/>
          <w:szCs w:val="24"/>
          <w:highlight w:val="none"/>
        </w:rPr>
        <w:t>被“信用中国”网站（www.creditchina.gov.cn）、中国政府采购网(www.ccgp.gov.cn)列入失信被执行人、重大税收违法案件当事人名单、政府采购严重违法失信行为记录名单的；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投标文件未按招标文件规定的内容和要求填写的；没有在投标系统指定位置上传对应文件、材料的；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电子投标文件图片、字迹模糊不清、无法辨认的；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投标文件中有招标文件未允许提供的选择性内容；</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不同投标人委托同一单位或者个人办理投标事宜的；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不同投标人的单位负责人为同一人或者存在直接控股、管理关系的；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不同投标人的投标文件的装订形式、纸张情况、目录序号、排版格式、文字风格等存在明显的相似性或一致性，特征显示由同一单位或者同一个人编制的；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不同投标人投标文件内容存在非正常一致、项目组成员出现同一人、投标文件中错误（或异常）一致或雷同、电子文档信息一致或雷同的、投标报价呈规律性差异的；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不同投标人的投标资料相互混装、不同投标人的委托代理人、项目负责人以及其他相关人员有在同一个单位缴纳社会保险、同一投标文件中单位名称落款与公章不是同一单位的；</w:t>
      </w:r>
    </w:p>
    <w:p>
      <w:pPr>
        <w:numPr>
          <w:ilvl w:val="0"/>
          <w:numId w:val="9"/>
        </w:numPr>
        <w:tabs>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项目（标段）投标总价超过本项目（标段）预算或最高限价的；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提供虚假材料的（包括工商营业执照、财务报表、资格证明文件等）；</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投标文件含有采购人不能接受的附加条件的；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评标委员会认定投标人的投标明显低于其他通过符合性审查投标人的投标，有可能影响产品质量或者不能诚信履约，且投标人不能应评标委员会要求在评标规定的时间内提供线上书面说明（必要时评标委员会可要求投标人提交相关证明材料）证明其投标合理性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除单一来源采购项目外，为采购项目提供整体设计、规范编制或者项目管理、监理、检测等服务的；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投标文件内容不全或不符合招标文件中规定的其它实质性要求的；</w:t>
      </w:r>
    </w:p>
    <w:p>
      <w:pPr>
        <w:numPr>
          <w:ilvl w:val="0"/>
          <w:numId w:val="9"/>
        </w:numPr>
        <w:tabs>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法律法规和招标文件规定的其它无效情形。</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开标、评标：</w:t>
      </w:r>
    </w:p>
    <w:p>
      <w:pPr>
        <w:numPr>
          <w:ilvl w:val="1"/>
          <w:numId w:val="10"/>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highlight w:val="none"/>
        </w:rPr>
        <w:t>投标人无需到达开标现场，所有投标单位登录“政府采购交易管理一体化系统”，</w:t>
      </w:r>
      <w:r>
        <w:rPr>
          <w:rFonts w:hint="eastAsia" w:ascii="宋体" w:hAnsi="宋体"/>
          <w:bCs/>
          <w:color w:val="auto"/>
          <w:sz w:val="24"/>
          <w:szCs w:val="24"/>
          <w:highlight w:val="none"/>
        </w:rPr>
        <w:t>在招标文件规定的时间内解密各自投标文件；</w:t>
      </w:r>
    </w:p>
    <w:p>
      <w:pPr>
        <w:numPr>
          <w:ilvl w:val="1"/>
          <w:numId w:val="10"/>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投标截止时间后参加投标的供应商或解密投标文件的供应商不足三家的，不开标；开标后，所有投标供应商可在线上开标大厅中看到所有投标人的投标报价；</w:t>
      </w:r>
    </w:p>
    <w:p>
      <w:pPr>
        <w:numPr>
          <w:ilvl w:val="1"/>
          <w:numId w:val="10"/>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开标时，投标文件报价出现前后不一致的，按照下列规定修正：</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（一）投标文件中开标一览表（报价表）内容与投标文件中相应内容不一致的，以开标一览表（报价表）为准；</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（二）大写金额和小写金额不一致的，以大写金额为准；</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（三）单价金额小数点或者百分比有明显错位的，以开标一览表的总价为准，并修改单价；</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（四）总价金额与按单价汇总金额不一致的，以单价金额计算结果为准。</w:t>
      </w:r>
    </w:p>
    <w:p>
      <w:pPr>
        <w:tabs>
          <w:tab w:val="left" w:pos="630"/>
          <w:tab w:val="left" w:pos="945"/>
          <w:tab w:val="left" w:pos="1155"/>
          <w:tab w:val="left" w:pos="1554"/>
        </w:tabs>
        <w:spacing w:line="360" w:lineRule="auto"/>
        <w:ind w:firstLine="720" w:firstLineChars="300"/>
        <w:rPr>
          <w:rFonts w:ascii="宋体" w:hAnsi="宋体"/>
          <w:bCs/>
          <w:color w:val="auto"/>
          <w:sz w:val="24"/>
          <w:szCs w:val="24"/>
          <w:highlight w:val="none"/>
        </w:rPr>
      </w:pPr>
      <w:r>
        <w:rPr>
          <w:rFonts w:hint="eastAsia" w:ascii="宋体" w:hAnsi="宋体"/>
          <w:bCs/>
          <w:color w:val="auto"/>
          <w:sz w:val="24"/>
          <w:szCs w:val="24"/>
          <w:highlight w:val="none"/>
        </w:rPr>
        <w:t>同时出现两种以上不一致的，按照前款规定的顺序修正。修正后的报价评标委员会应当以书面形式要求投标人作出必要的澄清、说明或者补正，经投标人确认后产生约束力，投标人不确认的，其投标无效。</w:t>
      </w:r>
    </w:p>
    <w:p>
      <w:pPr>
        <w:numPr>
          <w:ilvl w:val="1"/>
          <w:numId w:val="10"/>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电子投标文件正常解密后，电子投标文件与纸质投标文件（如有）不符的，以电子投标文件为准。</w:t>
      </w:r>
    </w:p>
    <w:p>
      <w:pPr>
        <w:numPr>
          <w:ilvl w:val="1"/>
          <w:numId w:val="10"/>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投标人未参加开标的，视同认可开标结果。</w:t>
      </w:r>
    </w:p>
    <w:p>
      <w:pPr>
        <w:numPr>
          <w:ilvl w:val="1"/>
          <w:numId w:val="10"/>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评标程序</w:t>
      </w:r>
    </w:p>
    <w:p>
      <w:pPr>
        <w:tabs>
          <w:tab w:val="left" w:pos="945"/>
        </w:tabs>
        <w:spacing w:line="360" w:lineRule="auto"/>
        <w:ind w:firstLine="523" w:firstLineChars="218"/>
        <w:rPr>
          <w:rFonts w:ascii="宋体"/>
          <w:bCs/>
          <w:color w:val="auto"/>
          <w:sz w:val="24"/>
          <w:szCs w:val="24"/>
          <w:highlight w:val="none"/>
        </w:rPr>
      </w:pPr>
      <w:r>
        <w:rPr>
          <w:rFonts w:hint="eastAsia" w:ascii="宋体" w:hAnsi="宋体"/>
          <w:bCs/>
          <w:color w:val="auto"/>
          <w:sz w:val="24"/>
          <w:szCs w:val="24"/>
          <w:highlight w:val="none"/>
        </w:rPr>
        <w:t>评标工作由无锡市惠山区政府采购中心负责组织，具体评标事务由依法组建的评标委员会负责。</w:t>
      </w:r>
    </w:p>
    <w:p>
      <w:pPr>
        <w:tabs>
          <w:tab w:val="left" w:pos="630"/>
          <w:tab w:val="left" w:pos="945"/>
          <w:tab w:val="left" w:pos="1155"/>
        </w:tabs>
        <w:spacing w:line="360" w:lineRule="auto"/>
        <w:rPr>
          <w:rFonts w:ascii="宋体"/>
          <w:bCs/>
          <w:color w:val="auto"/>
          <w:sz w:val="24"/>
          <w:szCs w:val="24"/>
          <w:highlight w:val="none"/>
        </w:rPr>
      </w:pPr>
      <w:r>
        <w:rPr>
          <w:rFonts w:hint="eastAsia" w:ascii="宋体" w:hAnsi="宋体"/>
          <w:bCs/>
          <w:color w:val="auto"/>
          <w:sz w:val="24"/>
          <w:highlight w:val="none"/>
        </w:rPr>
        <w:tab/>
      </w:r>
      <w:r>
        <w:rPr>
          <w:rFonts w:hint="eastAsia" w:ascii="宋体" w:hAnsi="宋体"/>
          <w:bCs/>
          <w:color w:val="auto"/>
          <w:sz w:val="24"/>
          <w:highlight w:val="none"/>
        </w:rPr>
        <w:t>（1）投标文件初审。初审分为资格性检查和符合性检查。</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hAnsi="宋体"/>
          <w:bCs/>
          <w:color w:val="auto"/>
          <w:sz w:val="24"/>
          <w:highlight w:val="none"/>
        </w:rPr>
      </w:pPr>
      <w:r>
        <w:rPr>
          <w:rFonts w:hint="eastAsia" w:ascii="宋体" w:hAnsi="宋体"/>
          <w:bCs/>
          <w:color w:val="auto"/>
          <w:sz w:val="24"/>
          <w:highlight w:val="none"/>
        </w:rPr>
        <w:t>资格性检查。接收投标文件截止时间后，采购人依据法律法规和招标文件的规定，对电子投标文件中的资格证明进行审查；在信用中国（www.creditchina.gov.cn）、中国政府采购网(www.ccgp.gov.cn)网站输入供应商全称或统一社会信用代码查询信用记录并逐一打印。在对供应商进行资格性审查时，应根据查询结果对供应商的不良信用记录逐项甄别确认。按照《中华人民共和国政府采购法》第二十二条规定，下列信用记录属于应依法拒绝供应商参加政府采购的失信信息：</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A、政府采购严重违法记录，即供应商被全国各级财政部门列入“政府采购严重违法失信 行为记录名单”，且在处罚有效期内的。</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B、财政部门与法院、工商、税务等部门联合惩戒的失信信息，包括：</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1)被列入失信被执行人名单；</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2)被列入重大税收违法案件当事人名单；</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3)企业经营异常名录中被责令停产停业、暂扣或者吊销许可证或者执照，或者对经营活动 中的违法行为处以较大数额罚款的信用记录。处罚生效日至递交投标文件日未满三年的。</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查询证据留存方式：对存在失信信息的供应商，采购人及无锡市惠山区政府采购中心应填写《无锡市政府采购供应商失信信息确认函》，由失信供应商应签名确认。同时，无锡市惠山区政府采购中心工作人员应登陆到来源网站页面进行复核并打印，作为证据留存。</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经审查供应商存在上述失信行为的，资格审查不予通过，其投标无效。</w:t>
      </w:r>
    </w:p>
    <w:p>
      <w:pPr>
        <w:tabs>
          <w:tab w:val="left" w:pos="945"/>
        </w:tabs>
        <w:spacing w:line="360" w:lineRule="auto"/>
        <w:ind w:firstLine="523" w:firstLineChars="218"/>
        <w:rPr>
          <w:rFonts w:ascii="宋体"/>
          <w:bCs/>
          <w:color w:val="auto"/>
          <w:sz w:val="24"/>
          <w:highlight w:val="none"/>
        </w:rPr>
      </w:pPr>
      <w:r>
        <w:rPr>
          <w:rFonts w:hint="eastAsia" w:ascii="宋体" w:hAnsi="宋体"/>
          <w:bCs/>
          <w:color w:val="auto"/>
          <w:sz w:val="24"/>
          <w:szCs w:val="24"/>
          <w:highlight w:val="none"/>
        </w:rPr>
        <w:t>无锡市惠山区政府采购中心将通过相关渠道查询的供应商主体信用记录，与项目其他采 购资料一并保存。</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auto"/>
          <w:sz w:val="24"/>
          <w:highlight w:val="none"/>
        </w:rPr>
      </w:pPr>
      <w:r>
        <w:rPr>
          <w:rFonts w:hint="eastAsia" w:ascii="宋体" w:hAnsi="宋体"/>
          <w:bCs/>
          <w:color w:val="auto"/>
          <w:sz w:val="24"/>
          <w:highlight w:val="none"/>
        </w:rPr>
        <w:t>符合性检查。评标委员会依据招标文件的规定，从投标文件的有效性、完整性和对招标文件的响应程度进行审查，以确定是否对招标文件的实质性要求作出响应。</w:t>
      </w:r>
    </w:p>
    <w:p>
      <w:pPr>
        <w:numPr>
          <w:ilvl w:val="0"/>
          <w:numId w:val="11"/>
        </w:numPr>
        <w:tabs>
          <w:tab w:val="left" w:pos="525"/>
          <w:tab w:val="left" w:pos="630"/>
          <w:tab w:val="left" w:pos="945"/>
          <w:tab w:val="left" w:pos="1365"/>
          <w:tab w:val="clear" w:pos="881"/>
        </w:tabs>
        <w:spacing w:line="360" w:lineRule="auto"/>
        <w:ind w:left="0" w:firstLine="523" w:firstLineChars="218"/>
        <w:rPr>
          <w:rFonts w:ascii="宋体"/>
          <w:bCs/>
          <w:color w:val="auto"/>
          <w:sz w:val="24"/>
          <w:highlight w:val="none"/>
        </w:rPr>
      </w:pPr>
      <w:r>
        <w:rPr>
          <w:rFonts w:hint="eastAsia" w:ascii="宋体" w:hAnsi="宋体"/>
          <w:bCs/>
          <w:color w:val="auto"/>
          <w:sz w:val="24"/>
          <w:highlight w:val="none"/>
        </w:rPr>
        <w:t>评审因素：评标委员会发起在线演示后，投标人若未在规定时间内作出演示，视作无演示。</w:t>
      </w:r>
    </w:p>
    <w:p>
      <w:pPr>
        <w:tabs>
          <w:tab w:val="left" w:pos="630"/>
          <w:tab w:val="left" w:pos="945"/>
          <w:tab w:val="left" w:pos="115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highlight w:val="none"/>
        </w:rPr>
        <w:t>（2）澄清有关问题。对投标文件中含义不明确、同类问题表述不一致或者有明显文字和计算错误的内容，</w:t>
      </w:r>
      <w:r>
        <w:rPr>
          <w:rFonts w:hint="eastAsia" w:ascii="宋体" w:hAnsi="宋体"/>
          <w:bCs/>
          <w:color w:val="auto"/>
          <w:sz w:val="24"/>
          <w:szCs w:val="24"/>
          <w:highlight w:val="none"/>
        </w:rPr>
        <w:t>评标委员会可以</w:t>
      </w:r>
      <w:r>
        <w:rPr>
          <w:rFonts w:hint="eastAsia" w:ascii="宋体" w:hAnsi="宋体"/>
          <w:bCs/>
          <w:color w:val="auto"/>
          <w:sz w:val="24"/>
          <w:highlight w:val="none"/>
        </w:rPr>
        <w:t>通过</w:t>
      </w:r>
      <w:r>
        <w:rPr>
          <w:rFonts w:hint="eastAsia" w:ascii="宋体" w:hAnsi="宋体"/>
          <w:bCs/>
          <w:color w:val="auto"/>
          <w:sz w:val="24"/>
          <w:szCs w:val="24"/>
          <w:highlight w:val="none"/>
        </w:rPr>
        <w:t>政府采购交易管理一体化系统</w:t>
      </w:r>
      <w:r>
        <w:rPr>
          <w:rFonts w:hint="eastAsia" w:ascii="宋体" w:hAnsi="宋体"/>
          <w:bCs/>
          <w:color w:val="auto"/>
          <w:sz w:val="24"/>
          <w:highlight w:val="none"/>
        </w:rPr>
        <w:t>发起询标</w:t>
      </w:r>
      <w:r>
        <w:rPr>
          <w:rFonts w:hint="eastAsia" w:ascii="宋体" w:hAnsi="宋体"/>
          <w:bCs/>
          <w:color w:val="auto"/>
          <w:sz w:val="24"/>
          <w:szCs w:val="24"/>
          <w:highlight w:val="none"/>
        </w:rPr>
        <w:t>要求投标人作出必要的澄清、说明或者纠正。投标人的澄清、说明或者补正应当</w:t>
      </w:r>
      <w:r>
        <w:rPr>
          <w:rFonts w:hint="eastAsia" w:ascii="宋体" w:hAnsi="宋体"/>
          <w:bCs/>
          <w:color w:val="auto"/>
          <w:sz w:val="24"/>
          <w:highlight w:val="none"/>
        </w:rPr>
        <w:t>通过</w:t>
      </w:r>
      <w:r>
        <w:rPr>
          <w:rFonts w:hint="eastAsia" w:ascii="宋体" w:hAnsi="宋体"/>
          <w:bCs/>
          <w:color w:val="auto"/>
          <w:sz w:val="24"/>
          <w:szCs w:val="24"/>
          <w:highlight w:val="none"/>
        </w:rPr>
        <w:t>政府采购交易管理一体化系统，由其授权的代表</w:t>
      </w:r>
      <w:r>
        <w:rPr>
          <w:rFonts w:hint="eastAsia" w:ascii="宋体" w:hAnsi="宋体"/>
          <w:bCs/>
          <w:color w:val="auto"/>
          <w:sz w:val="24"/>
          <w:highlight w:val="none"/>
        </w:rPr>
        <w:t>应答并加盖电子公章，且不得超出投标文件的范围或者改变投标文件的实质性内容</w:t>
      </w:r>
      <w:r>
        <w:rPr>
          <w:rFonts w:hint="eastAsia" w:ascii="宋体" w:hAnsi="宋体"/>
          <w:bCs/>
          <w:color w:val="auto"/>
          <w:sz w:val="24"/>
          <w:szCs w:val="24"/>
          <w:highlight w:val="none"/>
        </w:rPr>
        <w:t>。</w:t>
      </w:r>
      <w:r>
        <w:rPr>
          <w:rFonts w:hint="eastAsia" w:ascii="宋体" w:hAnsi="宋体"/>
          <w:bCs/>
          <w:color w:val="auto"/>
          <w:sz w:val="24"/>
          <w:highlight w:val="none"/>
        </w:rPr>
        <w:t>投标人须在评审过程中等待评标委员会的询标。如未按要求应答，由此所产生的损失及风险由报价人自行承担。</w:t>
      </w:r>
    </w:p>
    <w:p>
      <w:pPr>
        <w:tabs>
          <w:tab w:val="left" w:pos="525"/>
          <w:tab w:val="left" w:pos="630"/>
          <w:tab w:val="left" w:pos="945"/>
          <w:tab w:val="left" w:pos="1155"/>
        </w:tabs>
        <w:spacing w:line="360" w:lineRule="auto"/>
        <w:ind w:firstLine="480" w:firstLineChars="200"/>
        <w:rPr>
          <w:rFonts w:ascii="宋体"/>
          <w:bCs/>
          <w:color w:val="auto"/>
          <w:sz w:val="24"/>
          <w:szCs w:val="24"/>
          <w:highlight w:val="none"/>
        </w:rPr>
      </w:pPr>
      <w:r>
        <w:rPr>
          <w:rFonts w:hint="eastAsia" w:ascii="宋体" w:hAnsi="宋体"/>
          <w:bCs/>
          <w:color w:val="auto"/>
          <w:sz w:val="24"/>
          <w:highlight w:val="none"/>
        </w:rPr>
        <w:t>（3）比较与评价。按招标文件中规定的评标方法和标准，对资格性检查和符合性检查合格的投标文件进行商务和技术评估，综合比较与评价</w:t>
      </w:r>
      <w:r>
        <w:rPr>
          <w:rFonts w:hint="eastAsia" w:ascii="宋体" w:hAnsi="宋体"/>
          <w:bCs/>
          <w:color w:val="auto"/>
          <w:sz w:val="24"/>
          <w:szCs w:val="24"/>
          <w:highlight w:val="none"/>
        </w:rPr>
        <w:t>。</w:t>
      </w:r>
    </w:p>
    <w:p>
      <w:pPr>
        <w:numPr>
          <w:ilvl w:val="1"/>
          <w:numId w:val="10"/>
        </w:numPr>
        <w:tabs>
          <w:tab w:val="left" w:pos="525"/>
          <w:tab w:val="left" w:pos="945"/>
        </w:tabs>
        <w:spacing w:line="360" w:lineRule="auto"/>
        <w:ind w:left="1" w:firstLine="523" w:firstLineChars="218"/>
        <w:rPr>
          <w:rFonts w:ascii="宋体"/>
          <w:bCs/>
          <w:color w:val="auto"/>
          <w:sz w:val="24"/>
          <w:szCs w:val="24"/>
          <w:highlight w:val="none"/>
        </w:rPr>
      </w:pPr>
      <w:r>
        <w:rPr>
          <w:rFonts w:hint="eastAsia" w:ascii="宋体" w:hAnsi="宋体"/>
          <w:bCs/>
          <w:color w:val="auto"/>
          <w:sz w:val="24"/>
          <w:szCs w:val="24"/>
          <w:highlight w:val="none"/>
        </w:rPr>
        <w:t>评标方法</w:t>
      </w:r>
    </w:p>
    <w:p>
      <w:pPr>
        <w:tabs>
          <w:tab w:val="left" w:pos="945"/>
        </w:tabs>
        <w:spacing w:line="360" w:lineRule="auto"/>
        <w:ind w:firstLine="523" w:firstLineChars="218"/>
        <w:rPr>
          <w:rFonts w:ascii="宋体"/>
          <w:bCs/>
          <w:color w:val="auto"/>
          <w:sz w:val="24"/>
          <w:szCs w:val="24"/>
          <w:highlight w:val="none"/>
        </w:rPr>
      </w:pPr>
      <w:r>
        <w:rPr>
          <w:rFonts w:hint="eastAsia" w:ascii="宋体" w:hAnsi="宋体"/>
          <w:bCs/>
          <w:color w:val="auto"/>
          <w:sz w:val="24"/>
          <w:szCs w:val="24"/>
          <w:highlight w:val="none"/>
        </w:rPr>
        <w:t>投标人通过初审的，方可进入</w:t>
      </w:r>
      <w:r>
        <w:rPr>
          <w:rFonts w:hint="eastAsia" w:ascii="宋体" w:hAnsi="宋体"/>
          <w:bCs/>
          <w:color w:val="auto"/>
          <w:sz w:val="24"/>
          <w:highlight w:val="none"/>
        </w:rPr>
        <w:t>比较与评价程序</w:t>
      </w:r>
      <w:r>
        <w:rPr>
          <w:rFonts w:hint="eastAsia" w:ascii="宋体" w:hAnsi="宋体"/>
          <w:bCs/>
          <w:color w:val="auto"/>
          <w:sz w:val="24"/>
          <w:szCs w:val="24"/>
          <w:highlight w:val="none"/>
        </w:rPr>
        <w:t>。</w:t>
      </w:r>
    </w:p>
    <w:p>
      <w:pPr>
        <w:tabs>
          <w:tab w:val="left" w:pos="945"/>
        </w:tabs>
        <w:spacing w:line="360" w:lineRule="auto"/>
        <w:ind w:firstLine="523" w:firstLineChars="218"/>
        <w:rPr>
          <w:rFonts w:ascii="宋体"/>
          <w:bCs/>
          <w:color w:val="auto"/>
          <w:sz w:val="24"/>
          <w:szCs w:val="24"/>
          <w:highlight w:val="none"/>
        </w:rPr>
      </w:pPr>
      <w:r>
        <w:rPr>
          <w:rFonts w:hint="eastAsia" w:ascii="宋体" w:hAnsi="宋体"/>
          <w:bCs/>
          <w:color w:val="auto"/>
          <w:sz w:val="24"/>
          <w:highlight w:val="none"/>
        </w:rPr>
        <w:t>比较与评价</w:t>
      </w:r>
      <w:r>
        <w:rPr>
          <w:rFonts w:hint="eastAsia" w:ascii="宋体" w:hAnsi="宋体"/>
          <w:bCs/>
          <w:color w:val="auto"/>
          <w:sz w:val="24"/>
          <w:szCs w:val="24"/>
          <w:highlight w:val="none"/>
        </w:rPr>
        <w:t>采用综合评分法。</w:t>
      </w:r>
    </w:p>
    <w:p>
      <w:pPr>
        <w:tabs>
          <w:tab w:val="left" w:pos="945"/>
        </w:tabs>
        <w:spacing w:line="360" w:lineRule="auto"/>
        <w:ind w:firstLine="523" w:firstLineChars="218"/>
        <w:rPr>
          <w:rFonts w:ascii="宋体" w:hAnsi="宋体"/>
          <w:bCs/>
          <w:color w:val="auto"/>
          <w:sz w:val="24"/>
          <w:szCs w:val="24"/>
          <w:highlight w:val="none"/>
        </w:rPr>
      </w:pPr>
      <w:r>
        <w:rPr>
          <w:rFonts w:hint="eastAsia" w:ascii="宋体" w:hAnsi="宋体"/>
          <w:bCs/>
          <w:color w:val="auto"/>
          <w:sz w:val="24"/>
          <w:szCs w:val="24"/>
          <w:highlight w:val="none"/>
        </w:rPr>
        <w:t>评标委员会遵循公平、公正、择优原则，独立按照评分标准分别评定投标人的分值；各投标人的评审后得分为各评委所评定分值的平均值，并按高低顺序排列。得分相同的，按投标报价由低到高顺序排列，得分且投标报价相同的并列。投标文件满足招标文件全部实质性要求，且按照评审因素的量化指标评审得分最高的投标人排名第一，为中标单位。提供相同品牌产品且通过资格审查、符合性审查的不同投标人参加同一合同项下投标的，按一家投标人计算，评审后得分最高的同品牌投标人获得评审排名资格；评审得分相同的，由采购人确定其中一个投标人获得评审排名资格，其他同品牌投标人无评审排名资格。</w:t>
      </w:r>
      <w:r>
        <w:rPr>
          <w:rFonts w:hint="eastAsia" w:ascii="宋体" w:hAnsi="宋体"/>
          <w:bCs/>
          <w:color w:val="auto"/>
          <w:sz w:val="24"/>
          <w:highlight w:val="none"/>
        </w:rPr>
        <w:t>非单一产品采购项目，多家投标人提供的核心产品品牌相同的，同上处理。</w:t>
      </w:r>
    </w:p>
    <w:p>
      <w:pPr>
        <w:numPr>
          <w:ilvl w:val="1"/>
          <w:numId w:val="10"/>
        </w:numPr>
        <w:tabs>
          <w:tab w:val="left" w:pos="525"/>
          <w:tab w:val="left" w:pos="945"/>
        </w:tabs>
        <w:spacing w:line="360" w:lineRule="auto"/>
        <w:ind w:left="1" w:firstLine="523" w:firstLineChars="218"/>
        <w:rPr>
          <w:rFonts w:ascii="宋体" w:hAnsi="宋体"/>
          <w:bCs/>
          <w:color w:val="auto"/>
          <w:sz w:val="24"/>
          <w:szCs w:val="24"/>
          <w:highlight w:val="none"/>
        </w:rPr>
      </w:pPr>
      <w:r>
        <w:rPr>
          <w:rFonts w:hint="eastAsia" w:ascii="宋体" w:hAnsi="宋体"/>
          <w:bCs/>
          <w:color w:val="auto"/>
          <w:sz w:val="24"/>
          <w:szCs w:val="24"/>
          <w:highlight w:val="none"/>
        </w:rPr>
        <w:t>评分标准</w:t>
      </w:r>
    </w:p>
    <w:p>
      <w:pPr>
        <w:tabs>
          <w:tab w:val="left" w:pos="525"/>
          <w:tab w:val="left" w:pos="945"/>
        </w:tabs>
        <w:spacing w:line="360" w:lineRule="auto"/>
        <w:ind w:left="524"/>
        <w:rPr>
          <w:rFonts w:ascii="宋体" w:hAnsi="宋体"/>
          <w:bCs/>
          <w:color w:val="auto"/>
          <w:sz w:val="24"/>
          <w:szCs w:val="24"/>
          <w:highlight w:val="none"/>
        </w:rPr>
      </w:pPr>
      <w:r>
        <w:rPr>
          <w:rFonts w:hint="eastAsia" w:ascii="宋体" w:hAnsi="宋体"/>
          <w:bCs/>
          <w:color w:val="auto"/>
          <w:sz w:val="24"/>
          <w:szCs w:val="24"/>
          <w:highlight w:val="none"/>
        </w:rPr>
        <w:t>详见附件。</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定标：</w:t>
      </w:r>
    </w:p>
    <w:p>
      <w:pPr>
        <w:numPr>
          <w:ilvl w:val="0"/>
          <w:numId w:val="12"/>
        </w:numPr>
        <w:tabs>
          <w:tab w:val="left" w:pos="52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评标委员会根据招标文件规定的评标方法和评标标准进行评审，按招标文件的要求依法确定中标供应商。无锡市惠山区政府采购中心将在惠山区公共资源交易中心网、江苏政府采购网发布中标公告。无锡市惠山区政府采购中心和评标委员会对未中标原因不做解释。如有质疑，应在法定质疑期限内，即</w:t>
      </w:r>
      <w:r>
        <w:rPr>
          <w:rFonts w:hint="eastAsia" w:ascii="宋体" w:hAnsi="宋体"/>
          <w:color w:val="auto"/>
          <w:sz w:val="24"/>
          <w:szCs w:val="24"/>
          <w:highlight w:val="none"/>
        </w:rPr>
        <w:t>中标公告</w:t>
      </w:r>
      <w:r>
        <w:rPr>
          <w:rFonts w:hint="eastAsia" w:ascii="宋体" w:hAnsi="宋体" w:cs="宋体"/>
          <w:bCs/>
          <w:color w:val="auto"/>
          <w:kern w:val="0"/>
          <w:sz w:val="24"/>
          <w:highlight w:val="none"/>
        </w:rPr>
        <w:t>期限届满之日</w:t>
      </w:r>
      <w:r>
        <w:rPr>
          <w:rFonts w:hint="eastAsia" w:ascii="宋体" w:hAnsi="宋体"/>
          <w:color w:val="auto"/>
          <w:sz w:val="24"/>
          <w:szCs w:val="24"/>
          <w:highlight w:val="none"/>
        </w:rPr>
        <w:t>起7个工作日</w:t>
      </w:r>
      <w:r>
        <w:rPr>
          <w:rFonts w:hint="eastAsia" w:ascii="宋体" w:hAnsi="宋体"/>
          <w:bCs/>
          <w:color w:val="auto"/>
          <w:sz w:val="24"/>
          <w:szCs w:val="24"/>
          <w:highlight w:val="none"/>
        </w:rPr>
        <w:t>内，以书面形式（原件）送达无锡市惠山区政府采购中心，并且针对同一采购程序环节的质疑，须在法定质疑期内一次性提出。质疑函的质疑事项应具体、明确，并有必要的事实依据和法律依据（格式详见中国政府采购网《</w:t>
      </w:r>
      <w:r>
        <w:rPr>
          <w:color w:val="auto"/>
          <w:highlight w:val="none"/>
        </w:rPr>
        <w:fldChar w:fldCharType="begin"/>
      </w:r>
      <w:r>
        <w:rPr>
          <w:color w:val="auto"/>
          <w:highlight w:val="none"/>
        </w:rPr>
        <w:instrText xml:space="preserve"> HYPERLINK "http://download.ccgp.gov.cn/2018/zhiyihanfanben.zip" \t "_blank" </w:instrText>
      </w:r>
      <w:r>
        <w:rPr>
          <w:color w:val="auto"/>
          <w:highlight w:val="none"/>
        </w:rPr>
        <w:fldChar w:fldCharType="separate"/>
      </w:r>
      <w:r>
        <w:rPr>
          <w:rStyle w:val="32"/>
          <w:bCs/>
          <w:color w:val="auto"/>
          <w:sz w:val="24"/>
          <w:szCs w:val="24"/>
          <w:highlight w:val="none"/>
        </w:rPr>
        <w:t>政府采购供应商质疑函范本</w:t>
      </w:r>
      <w:r>
        <w:rPr>
          <w:rStyle w:val="32"/>
          <w:bCs/>
          <w:color w:val="auto"/>
          <w:sz w:val="24"/>
          <w:szCs w:val="24"/>
          <w:highlight w:val="none"/>
        </w:rPr>
        <w:fldChar w:fldCharType="end"/>
      </w:r>
      <w:r>
        <w:rPr>
          <w:rFonts w:hint="eastAsia" w:ascii="宋体" w:hAnsi="宋体"/>
          <w:bCs/>
          <w:color w:val="auto"/>
          <w:sz w:val="24"/>
          <w:szCs w:val="24"/>
          <w:highlight w:val="none"/>
        </w:rPr>
        <w:t>》），同时该质疑函应由投标人法定代表人签字并加盖单位公章（原件）。无锡市惠山区政府采购中心将在收到符合上述要求的书面质疑后七个工作日内，对质疑内容做出答复。投标人在法定质疑期限外送达的质疑函或法定质疑期限内送达的质疑函不符合上述要求的均为无效质疑，无锡市惠山区政府采购中心对无效质疑不予受理。如质疑查无实据或投标人捏造事实，提供虚假材料进行恶意举报，不配合或采用不正当手段干扰政府采购质疑的，将记入投标人在江苏省和无锡市的政府采购“供应商诚信记录”，并按相关规定处理。</w:t>
      </w:r>
    </w:p>
    <w:p>
      <w:pPr>
        <w:numPr>
          <w:ilvl w:val="0"/>
          <w:numId w:val="12"/>
        </w:numPr>
        <w:tabs>
          <w:tab w:val="left" w:pos="52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无锡市惠山区政府采购中心向中标供应商发中标通知书。</w:t>
      </w:r>
    </w:p>
    <w:p>
      <w:pPr>
        <w:numPr>
          <w:ilvl w:val="0"/>
          <w:numId w:val="12"/>
        </w:numPr>
        <w:tabs>
          <w:tab w:val="left" w:pos="52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投标供应商电子投标文件将作为电子档案保存。</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废标的确认：</w:t>
      </w:r>
    </w:p>
    <w:p>
      <w:pPr>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在招标采购中，出现下列情况之一的，应予废标：</w:t>
      </w:r>
    </w:p>
    <w:p>
      <w:pPr>
        <w:numPr>
          <w:ilvl w:val="0"/>
          <w:numId w:val="13"/>
        </w:numPr>
        <w:tabs>
          <w:tab w:val="left" w:pos="525"/>
          <w:tab w:val="left" w:pos="945"/>
          <w:tab w:val="left" w:pos="1260"/>
          <w:tab w:val="clear" w:pos="57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符合专业条件的投标人或者对招标文件作出实质性响应的投标人不足三家；</w:t>
      </w:r>
    </w:p>
    <w:p>
      <w:pPr>
        <w:numPr>
          <w:ilvl w:val="0"/>
          <w:numId w:val="13"/>
        </w:numPr>
        <w:tabs>
          <w:tab w:val="left" w:pos="525"/>
          <w:tab w:val="left" w:pos="945"/>
          <w:tab w:val="left" w:pos="1260"/>
          <w:tab w:val="clear" w:pos="57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出现影响采购公正的违法、违规行为；</w:t>
      </w:r>
    </w:p>
    <w:p>
      <w:pPr>
        <w:numPr>
          <w:ilvl w:val="0"/>
          <w:numId w:val="13"/>
        </w:numPr>
        <w:tabs>
          <w:tab w:val="left" w:pos="525"/>
          <w:tab w:val="left" w:pos="945"/>
          <w:tab w:val="left" w:pos="1260"/>
          <w:tab w:val="clear" w:pos="57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投标人的投标均超过采购预算，采购人不能支付的；</w:t>
      </w:r>
    </w:p>
    <w:p>
      <w:pPr>
        <w:numPr>
          <w:ilvl w:val="0"/>
          <w:numId w:val="13"/>
        </w:numPr>
        <w:tabs>
          <w:tab w:val="right" w:pos="180"/>
          <w:tab w:val="left" w:pos="525"/>
          <w:tab w:val="left" w:pos="945"/>
          <w:tab w:val="left" w:pos="1260"/>
          <w:tab w:val="clear" w:pos="57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因重大变故，采购任务取消。</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中标无效的确认：</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提供虚假材料谋取中标的；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采取不正当手段诋毁、排挤其他投标人的；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与招标采购单位、其他投标人恶意串通的；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向招标采购单位行贿或者提供其他不正当利益的；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在招标过程中与招标采购单位进行协商谈判、不按照招标文件和中标供应商的投标文件订立合同，或者与采购人另行订立背离合同实质性内容的协议的；</w:t>
      </w:r>
    </w:p>
    <w:p>
      <w:pPr>
        <w:numPr>
          <w:ilvl w:val="0"/>
          <w:numId w:val="14"/>
        </w:numPr>
        <w:tabs>
          <w:tab w:val="left" w:pos="420"/>
          <w:tab w:val="left" w:pos="945"/>
          <w:tab w:val="left" w:pos="1155"/>
        </w:tabs>
        <w:spacing w:line="360" w:lineRule="auto"/>
        <w:ind w:left="0" w:firstLine="523" w:firstLineChars="218"/>
        <w:rPr>
          <w:rFonts w:ascii="宋体" w:hAnsi="宋体"/>
          <w:bCs/>
          <w:color w:val="auto"/>
          <w:sz w:val="24"/>
          <w:szCs w:val="24"/>
          <w:highlight w:val="none"/>
        </w:rPr>
      </w:pPr>
      <w:r>
        <w:rPr>
          <w:rFonts w:hint="eastAsia" w:ascii="宋体" w:hAnsi="宋体"/>
          <w:bCs/>
          <w:color w:val="auto"/>
          <w:sz w:val="24"/>
          <w:szCs w:val="24"/>
          <w:highlight w:val="none"/>
        </w:rPr>
        <w:t>拒绝有关部门监督检查或者提供虚假情况的。</w:t>
      </w:r>
    </w:p>
    <w:p>
      <w:pPr>
        <w:tabs>
          <w:tab w:val="left" w:pos="945"/>
        </w:tabs>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投标人有上述（1）至（5）项情形之一的，中标无效。有上述（1）至（6）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numPr>
          <w:ilvl w:val="0"/>
          <w:numId w:val="3"/>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签订</w:t>
      </w:r>
      <w:r>
        <w:rPr>
          <w:rFonts w:hint="eastAsia" w:ascii="黑体" w:hAnsi="宋体" w:eastAsia="黑体"/>
          <w:b/>
          <w:color w:val="auto"/>
          <w:sz w:val="24"/>
          <w:szCs w:val="24"/>
          <w:highlight w:val="none"/>
        </w:rPr>
        <w:t>、履行</w:t>
      </w:r>
      <w:r>
        <w:rPr>
          <w:rFonts w:hint="eastAsia" w:ascii="黑体" w:hAnsi="宋体" w:eastAsia="黑体"/>
          <w:bCs/>
          <w:color w:val="auto"/>
          <w:sz w:val="24"/>
          <w:szCs w:val="24"/>
          <w:highlight w:val="none"/>
        </w:rPr>
        <w:t>合同：</w:t>
      </w:r>
    </w:p>
    <w:p>
      <w:pPr>
        <w:numPr>
          <w:ilvl w:val="0"/>
          <w:numId w:val="15"/>
        </w:numPr>
        <w:tabs>
          <w:tab w:val="left" w:pos="525"/>
          <w:tab w:val="left" w:pos="945"/>
          <w:tab w:val="left" w:pos="105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采购人应当自中标通知书发出之日起三十日内（到新冠疫情应急响应解除之日前缩短至十五日内），按照招标文件和中标供应商投标文件的约定，与中标供应商签订书面合同。所签订的合同不得对招标文件和中标供应商投标文件作实质性修改。采购人不得向中标供应商提出任何不合理的要求，作为签订合同的条件，不得与中标供应商私下订立背离合同实质性内容的协议。</w:t>
      </w:r>
    </w:p>
    <w:p>
      <w:pPr>
        <w:numPr>
          <w:ilvl w:val="0"/>
          <w:numId w:val="15"/>
        </w:numPr>
        <w:tabs>
          <w:tab w:val="left" w:pos="525"/>
          <w:tab w:val="left" w:pos="945"/>
          <w:tab w:val="left" w:pos="105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中标方非因不可抗力未履行招、投标文件和合同规定的义务，一经查实，无锡市惠山区政府采购中心将根据具体情况提请政府采购管理部门作出相应处理。</w:t>
      </w:r>
    </w:p>
    <w:p>
      <w:pPr>
        <w:numPr>
          <w:ilvl w:val="0"/>
          <w:numId w:val="15"/>
        </w:numPr>
        <w:tabs>
          <w:tab w:val="left" w:pos="525"/>
          <w:tab w:val="left" w:pos="945"/>
          <w:tab w:val="left" w:pos="1050"/>
        </w:tabs>
        <w:spacing w:line="360" w:lineRule="auto"/>
        <w:ind w:left="0" w:firstLine="525"/>
        <w:rPr>
          <w:rFonts w:ascii="宋体"/>
          <w:bCs/>
          <w:color w:val="auto"/>
          <w:sz w:val="24"/>
          <w:szCs w:val="24"/>
          <w:highlight w:val="none"/>
        </w:rPr>
      </w:pPr>
      <w:r>
        <w:rPr>
          <w:rFonts w:hint="eastAsia" w:ascii="宋体" w:hAnsi="宋体"/>
          <w:bCs/>
          <w:color w:val="auto"/>
          <w:sz w:val="24"/>
          <w:szCs w:val="24"/>
          <w:highlight w:val="none"/>
        </w:rPr>
        <w:t>中标供应商在采购合同签订前与采购人自行商定履约保证金的相关事项,确需收取履约保证金的，履约保证金不超过政府采购合同金额的10%。采购人应当允许供应商自主选择以支票、汇票、本票、保函等非现金形式缴纳或提交，并与中标供应商在采购合同中约定履约保证金退还的方式、时间、条件和不予退还的情形，明确逾期退还履约保证金的违约责任。</w:t>
      </w:r>
    </w:p>
    <w:p>
      <w:pPr>
        <w:numPr>
          <w:ilvl w:val="0"/>
          <w:numId w:val="3"/>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注意事项：</w:t>
      </w:r>
    </w:p>
    <w:p>
      <w:pPr>
        <w:tabs>
          <w:tab w:val="left" w:pos="945"/>
        </w:tabs>
        <w:spacing w:line="360" w:lineRule="auto"/>
        <w:ind w:firstLine="480" w:firstLineChars="200"/>
        <w:rPr>
          <w:rFonts w:ascii="宋体"/>
          <w:bCs/>
          <w:color w:val="auto"/>
          <w:sz w:val="24"/>
          <w:szCs w:val="24"/>
          <w:highlight w:val="none"/>
        </w:rPr>
      </w:pPr>
      <w:r>
        <w:rPr>
          <w:rFonts w:hint="eastAsia" w:ascii="宋体" w:hAnsi="宋体"/>
          <w:bCs/>
          <w:color w:val="auto"/>
          <w:sz w:val="24"/>
          <w:szCs w:val="24"/>
          <w:highlight w:val="none"/>
        </w:rPr>
        <w:t>中标供应商有下列情形之一的，情节严重的，由财政部门将其列入不良行为记录名单，在一至三年内禁止参加政府采购活动，并予以通报：</w:t>
      </w:r>
    </w:p>
    <w:p>
      <w:pPr>
        <w:numPr>
          <w:ilvl w:val="3"/>
          <w:numId w:val="10"/>
        </w:numPr>
        <w:tabs>
          <w:tab w:val="left" w:pos="73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中标后无正当理由不与采购人签订合同的；</w:t>
      </w:r>
    </w:p>
    <w:p>
      <w:pPr>
        <w:numPr>
          <w:ilvl w:val="3"/>
          <w:numId w:val="10"/>
        </w:numPr>
        <w:tabs>
          <w:tab w:val="left" w:pos="73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将中标项目转让给他人，或者在投标文件中未说明，且未经过采购人同意，将中标项目分包给他人的；</w:t>
      </w:r>
    </w:p>
    <w:p>
      <w:pPr>
        <w:numPr>
          <w:ilvl w:val="3"/>
          <w:numId w:val="10"/>
        </w:numPr>
        <w:tabs>
          <w:tab w:val="left" w:pos="735"/>
          <w:tab w:val="left" w:pos="945"/>
          <w:tab w:val="left" w:pos="1155"/>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拒绝履行合同义务的。</w:t>
      </w:r>
    </w:p>
    <w:p>
      <w:pPr>
        <w:numPr>
          <w:ilvl w:val="0"/>
          <w:numId w:val="3"/>
        </w:numPr>
        <w:tabs>
          <w:tab w:val="left" w:pos="630"/>
        </w:tabs>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中标服务费：</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本次招标，无锡市惠山区政府采购中心为中标供应商提供免费服务，不收取中标服务费。</w:t>
      </w:r>
    </w:p>
    <w:p>
      <w:pPr>
        <w:numPr>
          <w:ilvl w:val="0"/>
          <w:numId w:val="3"/>
        </w:numPr>
        <w:spacing w:line="360" w:lineRule="auto"/>
        <w:rPr>
          <w:rFonts w:ascii="黑体" w:hAnsi="宋体" w:eastAsia="黑体"/>
          <w:bCs/>
          <w:color w:val="auto"/>
          <w:sz w:val="24"/>
          <w:szCs w:val="24"/>
          <w:highlight w:val="none"/>
        </w:rPr>
      </w:pPr>
      <w:r>
        <w:rPr>
          <w:rFonts w:hint="eastAsia" w:ascii="黑体" w:hAnsi="宋体" w:eastAsia="黑体"/>
          <w:bCs/>
          <w:color w:val="auto"/>
          <w:sz w:val="24"/>
          <w:szCs w:val="24"/>
          <w:highlight w:val="none"/>
        </w:rPr>
        <w:t>合同融资与履约担保：</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1.根据国家扶持中小企业的有关政策，在我中心组织的采购项目中标(成交)的供应商，如需要政府采购合同融资，请按锡财购【2020】17号文件执行。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合同融资，是指参与政府采购的供应商，凭借中标、成交通知书或政府采购合同向金融机构申请融资，金融机构以供应商信用审查和政府采购信誉为基础，按便捷贷款程序和优惠利率，为其发放无财产抵押贷款的一种融资模式。供应商与金融机构按照“银企自愿，风险共担”的原则开展融资活动，有融资需求的中标、成交供应商可根据自身情况，在无锡市政府采购交易管理一体化系统凭政府采购中标、成交通知书或政府采购合同在线提出融资申请，自主选择金融机构及其融资产品，金融机构进行融资信息审查决定是否为其提供融资，做好预授信。双方达成融资意向后签订融资协议，确定融资成交信息并约定融资回款账户。</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中标、成交供应商可根据自身情况，自行决定是否选择采用合同融资形式，在无锡政府采购网——政采贷专栏提供的银行名录内自主选择合作银行。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具体事项详见《关于开展政府采购合同融资工作的通知》（http://cz.wuxi.gov.cn/doc/2020/11/20/3111344.shtml）。</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2. 根据我市政府采购信用担保政策文件要求，在我中心组织的采购项目中标(成交)的供应商，如需要履约担保，可参照以下执行。</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履约担保，是指由专业担保机构为中标、成交供应商支付履约保证金的义务向采购人提供的保函担保。专业担保机构根据中标、成交供应商的中标（成交）通知书为凭据，进行资信审查后出具保函, 中标、成交供应商以保函形式缴纳履约保证金；供应商未按政府采购合同履行约定义务而应实际支付保证金的，由专业担保机构按照担保函约定履行担保责任。供应商可以自愿选择是否采取履约担保函的形式交纳履约保证金。</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中标、成交供应商可以根据自身情况，自行决定是否选择采用履约担保形式，自主选择合作银行。除江苏省财政厅确定的江苏省再担保有限公司和无锡市财政局确定的科发投资担保有限公司为无锡市政府采购信用担保合作担保机构外，民生银行南京分行、江苏银行和中信银行南京分行、浙商银行无锡分行可以在无锡市范围内开展政府采购履约担保业务。</w:t>
      </w:r>
    </w:p>
    <w:p>
      <w:pPr>
        <w:pStyle w:val="4"/>
        <w:pageBreakBefore/>
        <w:rPr>
          <w:rFonts w:ascii="黑体" w:hAnsi="黑体" w:eastAsia="黑体"/>
          <w:b w:val="0"/>
          <w:sz w:val="32"/>
          <w:szCs w:val="32"/>
        </w:rPr>
      </w:pPr>
      <w:bookmarkStart w:id="3" w:name="_Toc86134312"/>
      <w:r>
        <w:rPr>
          <w:rFonts w:hint="eastAsia" w:ascii="黑体" w:hAnsi="黑体" w:eastAsia="黑体"/>
          <w:b w:val="0"/>
          <w:sz w:val="32"/>
          <w:szCs w:val="32"/>
        </w:rPr>
        <w:t>三．项目技术要求和有关说明</w:t>
      </w:r>
      <w:bookmarkEnd w:id="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宋体"/>
        </w:rPr>
      </w:pPr>
      <w:r>
        <w:rPr>
          <w:rFonts w:hint="eastAsia" w:ascii="宋体" w:hAnsi="宋体" w:eastAsia="宋体" w:cs="宋体"/>
        </w:rPr>
        <w:t>投标人所投内容必须满足招标文件要求，不得有负偏离。</w:t>
      </w:r>
    </w:p>
    <w:p>
      <w:pPr>
        <w:pStyle w:val="2"/>
        <w:keepNext w:val="0"/>
        <w:keepLines w:val="0"/>
        <w:pageBreakBefore w:val="0"/>
        <w:widowControl w:val="0"/>
        <w:numPr>
          <w:ilvl w:val="0"/>
          <w:numId w:val="16"/>
        </w:numPr>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rPr>
        <w:t>项目概况</w:t>
      </w:r>
    </w:p>
    <w:p>
      <w:pPr>
        <w:pStyle w:val="3"/>
        <w:keepNext w:val="0"/>
        <w:keepLines w:val="0"/>
        <w:pageBreakBefore w:val="0"/>
        <w:widowControl w:val="0"/>
        <w:tabs>
          <w:tab w:val="left" w:pos="0"/>
        </w:tabs>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rPr>
      </w:pPr>
      <w:r>
        <w:rPr>
          <w:rFonts w:hint="eastAsia" w:ascii="宋体" w:hAnsi="宋体" w:eastAsia="宋体" w:cs="宋体"/>
        </w:rPr>
        <w:t>根据学校的现状需要搭建网站平台及搭建一款性能稳定、功能全面、使用方建设需求</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2.1、网站群管理平台</w:t>
      </w:r>
    </w:p>
    <w:tbl>
      <w:tblPr>
        <w:tblStyle w:val="2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850" w:type="dxa"/>
            <w:vAlign w:val="center"/>
          </w:tcPr>
          <w:p>
            <w:pPr>
              <w:widowControl/>
              <w:wordWrap w:val="0"/>
              <w:snapToGrid/>
              <w:jc w:val="center"/>
              <w:rPr>
                <w:rFonts w:ascii="宋体" w:hAnsi="宋体" w:eastAsia="宋体" w:cs="宋体"/>
                <w:b/>
                <w:kern w:val="0"/>
              </w:rPr>
            </w:pPr>
            <w:r>
              <w:rPr>
                <w:rFonts w:hint="eastAsia" w:ascii="宋体" w:hAnsi="宋体" w:eastAsia="宋体" w:cs="宋体"/>
                <w:b/>
                <w:kern w:val="0"/>
              </w:rPr>
              <w:t>指标项</w:t>
            </w:r>
          </w:p>
        </w:tc>
        <w:tc>
          <w:tcPr>
            <w:tcW w:w="8169" w:type="dxa"/>
            <w:vAlign w:val="center"/>
          </w:tcPr>
          <w:p>
            <w:pPr>
              <w:widowControl/>
              <w:wordWrap w:val="0"/>
              <w:snapToGrid/>
              <w:jc w:val="center"/>
              <w:rPr>
                <w:rFonts w:ascii="宋体" w:hAnsi="宋体" w:eastAsia="宋体" w:cs="宋体"/>
                <w:b/>
                <w:kern w:val="0"/>
              </w:rPr>
            </w:pPr>
            <w:r>
              <w:rPr>
                <w:rFonts w:hint="eastAsia" w:ascii="宋体" w:hAnsi="宋体" w:eastAsia="宋体" w:cs="宋体"/>
                <w:b/>
                <w:kern w:val="0"/>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50" w:type="dxa"/>
            <w:vAlign w:val="center"/>
          </w:tcPr>
          <w:p>
            <w:pPr>
              <w:wordWrap w:val="0"/>
              <w:snapToGrid/>
              <w:jc w:val="center"/>
              <w:rPr>
                <w:rFonts w:ascii="宋体" w:hAnsi="宋体" w:eastAsia="宋体" w:cs="宋体"/>
                <w:kern w:val="0"/>
              </w:rPr>
            </w:pPr>
            <w:r>
              <w:rPr>
                <w:rFonts w:hint="eastAsia" w:ascii="宋体" w:hAnsi="宋体" w:eastAsia="宋体" w:cs="宋体"/>
                <w:kern w:val="0"/>
              </w:rPr>
              <w:t>官网定制化设计服务</w:t>
            </w:r>
          </w:p>
        </w:tc>
        <w:tc>
          <w:tcPr>
            <w:tcW w:w="8169" w:type="dxa"/>
            <w:vAlign w:val="center"/>
          </w:tcPr>
          <w:p>
            <w:pPr>
              <w:wordWrap w:val="0"/>
              <w:snapToGrid/>
              <w:ind w:left="420" w:leftChars="200"/>
              <w:rPr>
                <w:rFonts w:ascii="宋体" w:hAnsi="宋体" w:eastAsia="宋体" w:cs="宋体"/>
                <w:szCs w:val="20"/>
              </w:rPr>
            </w:pPr>
            <w:r>
              <w:rPr>
                <w:rFonts w:hint="eastAsia" w:ascii="宋体" w:hAnsi="宋体" w:eastAsia="宋体" w:cs="宋体"/>
                <w:szCs w:val="20"/>
              </w:rPr>
              <w:t>1、调研分析</w:t>
            </w:r>
          </w:p>
          <w:p>
            <w:pPr>
              <w:widowControl/>
              <w:numPr>
                <w:ilvl w:val="0"/>
                <w:numId w:val="17"/>
              </w:numPr>
              <w:wordWrap w:val="0"/>
              <w:snapToGrid/>
              <w:rPr>
                <w:rFonts w:ascii="宋体" w:hAnsi="宋体" w:eastAsia="宋体" w:cs="宋体"/>
                <w:kern w:val="0"/>
              </w:rPr>
            </w:pPr>
            <w:r>
              <w:rPr>
                <w:rFonts w:hint="eastAsia" w:ascii="宋体" w:hAnsi="宋体" w:eastAsia="宋体" w:cs="宋体"/>
                <w:kern w:val="0"/>
              </w:rPr>
              <w:t>项目实施前，需要供应商充分调研国内同类高级中学门户网站的建设情况，并对我校门户网站现状进行针对性分析。</w:t>
            </w:r>
          </w:p>
          <w:p>
            <w:pPr>
              <w:widowControl/>
              <w:numPr>
                <w:ilvl w:val="0"/>
                <w:numId w:val="17"/>
              </w:numPr>
              <w:wordWrap w:val="0"/>
              <w:snapToGrid/>
              <w:rPr>
                <w:rFonts w:ascii="宋体" w:hAnsi="宋体" w:eastAsia="宋体" w:cs="宋体"/>
                <w:kern w:val="0"/>
              </w:rPr>
            </w:pPr>
            <w:r>
              <w:rPr>
                <w:rFonts w:hint="eastAsia" w:ascii="宋体" w:hAnsi="宋体" w:eastAsia="宋体" w:cs="宋体"/>
                <w:kern w:val="0"/>
              </w:rPr>
              <w:t>结合我校办学理念、办学特色、特殊定位和自身特点，确定规划方案，提出规划建议，包含栏目设置、首页内容规划、功能规划、布局及整体形象设计等。</w:t>
            </w:r>
          </w:p>
          <w:p>
            <w:pPr>
              <w:numPr>
                <w:ilvl w:val="0"/>
                <w:numId w:val="18"/>
              </w:numPr>
              <w:wordWrap w:val="0"/>
              <w:snapToGrid/>
              <w:ind w:left="420" w:leftChars="200"/>
              <w:rPr>
                <w:rFonts w:ascii="宋体" w:hAnsi="宋体" w:eastAsia="宋体" w:cs="宋体"/>
                <w:kern w:val="0"/>
              </w:rPr>
            </w:pPr>
            <w:r>
              <w:rPr>
                <w:rFonts w:hint="eastAsia" w:ascii="宋体" w:hAnsi="宋体" w:eastAsia="宋体" w:cs="宋体"/>
                <w:kern w:val="0"/>
              </w:rPr>
              <w:t>技术要求</w:t>
            </w:r>
          </w:p>
          <w:p>
            <w:pPr>
              <w:widowControl/>
              <w:numPr>
                <w:ilvl w:val="0"/>
                <w:numId w:val="19"/>
              </w:numPr>
              <w:wordWrap w:val="0"/>
              <w:snapToGrid/>
              <w:rPr>
                <w:rFonts w:ascii="宋体" w:hAnsi="宋体" w:eastAsia="宋体" w:cs="宋体"/>
                <w:kern w:val="0"/>
              </w:rPr>
            </w:pPr>
            <w:r>
              <w:rPr>
                <w:rFonts w:hint="eastAsia" w:ascii="宋体" w:hAnsi="宋体" w:eastAsia="宋体" w:cs="宋体"/>
                <w:kern w:val="0"/>
              </w:rPr>
              <w:t>采用扁平化设计风格、体现学校特点、符合高级中学网站发展趋势。</w:t>
            </w:r>
          </w:p>
          <w:p>
            <w:pPr>
              <w:widowControl/>
              <w:numPr>
                <w:ilvl w:val="0"/>
                <w:numId w:val="19"/>
              </w:numPr>
              <w:wordWrap w:val="0"/>
              <w:snapToGrid/>
              <w:rPr>
                <w:rFonts w:ascii="宋体" w:hAnsi="宋体" w:eastAsia="宋体" w:cs="宋体"/>
                <w:kern w:val="0"/>
              </w:rPr>
            </w:pPr>
            <w:r>
              <w:rPr>
                <w:rFonts w:hint="eastAsia" w:ascii="宋体" w:hAnsi="宋体" w:eastAsia="宋体" w:cs="宋体"/>
                <w:kern w:val="0"/>
              </w:rPr>
              <w:t>版面设计：版面设计新颖、美观、大方、清新，展现学校特色风采。</w:t>
            </w:r>
          </w:p>
          <w:p>
            <w:pPr>
              <w:widowControl/>
              <w:numPr>
                <w:ilvl w:val="0"/>
                <w:numId w:val="19"/>
              </w:numPr>
              <w:wordWrap w:val="0"/>
              <w:snapToGrid/>
              <w:rPr>
                <w:rFonts w:ascii="宋体" w:hAnsi="宋体" w:eastAsia="宋体" w:cs="宋体"/>
                <w:kern w:val="0"/>
              </w:rPr>
            </w:pPr>
            <w:r>
              <w:rPr>
                <w:rFonts w:hint="eastAsia" w:ascii="宋体" w:hAnsi="宋体" w:eastAsia="宋体" w:cs="宋体"/>
                <w:kern w:val="0"/>
              </w:rPr>
              <w:t>要求页面布局合理，层级内容丰富，有统一的色彩风格和主色调，主页错层叠加，卡片式设计风格。</w:t>
            </w:r>
          </w:p>
          <w:p>
            <w:pPr>
              <w:widowControl/>
              <w:numPr>
                <w:ilvl w:val="0"/>
                <w:numId w:val="19"/>
              </w:numPr>
              <w:wordWrap w:val="0"/>
              <w:snapToGrid/>
              <w:rPr>
                <w:rFonts w:ascii="宋体" w:hAnsi="宋体" w:eastAsia="宋体" w:cs="宋体"/>
                <w:kern w:val="0"/>
              </w:rPr>
            </w:pPr>
            <w:r>
              <w:rPr>
                <w:rFonts w:hint="eastAsia" w:ascii="宋体" w:hAnsi="宋体" w:eastAsia="宋体" w:cs="宋体"/>
                <w:kern w:val="0"/>
              </w:rPr>
              <w:t>先设计效果图，经学校审核同意后，按照效果图，在学校网站群平台上进行网页定制建设。</w:t>
            </w:r>
          </w:p>
          <w:p>
            <w:pPr>
              <w:widowControl/>
              <w:numPr>
                <w:ilvl w:val="0"/>
                <w:numId w:val="19"/>
              </w:numPr>
              <w:wordWrap w:val="0"/>
              <w:snapToGrid/>
              <w:rPr>
                <w:rFonts w:ascii="宋体" w:hAnsi="宋体" w:eastAsia="宋体" w:cs="宋体"/>
                <w:kern w:val="0"/>
              </w:rPr>
            </w:pPr>
            <w:r>
              <w:rPr>
                <w:rFonts w:hint="eastAsia" w:ascii="宋体" w:hAnsi="宋体" w:eastAsia="宋体" w:cs="宋体"/>
                <w:kern w:val="0"/>
              </w:rPr>
              <w:t>本项目网站建设严格遵循安全性原则，以保证整体安全性。所使用的VI、代码、CSS完全符合当前教育和信息行业的规范。结合学校现有的站群系统对数据和应用的安全性作充分考虑，提供完善的数据加密及健全机制或接口以及日志跟踪与分析功能。</w:t>
            </w:r>
          </w:p>
          <w:p>
            <w:pPr>
              <w:widowControl/>
              <w:numPr>
                <w:ilvl w:val="0"/>
                <w:numId w:val="19"/>
              </w:numPr>
              <w:wordWrap w:val="0"/>
              <w:snapToGrid/>
              <w:rPr>
                <w:rFonts w:ascii="宋体" w:hAnsi="宋体" w:eastAsia="宋体" w:cs="宋体"/>
                <w:kern w:val="0"/>
              </w:rPr>
            </w:pPr>
            <w:r>
              <w:rPr>
                <w:rFonts w:hint="eastAsia" w:ascii="宋体" w:hAnsi="宋体" w:eastAsia="宋体" w:cs="宋体"/>
                <w:kern w:val="0"/>
              </w:rPr>
              <w:t>针对原有网站内容，需要实现无缝迁移，数据无损。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50" w:type="dxa"/>
            <w:vAlign w:val="center"/>
          </w:tcPr>
          <w:p>
            <w:pPr>
              <w:wordWrap w:val="0"/>
              <w:snapToGrid/>
              <w:jc w:val="center"/>
              <w:rPr>
                <w:rFonts w:ascii="宋体" w:hAnsi="宋体" w:eastAsia="宋体" w:cs="宋体"/>
                <w:kern w:val="0"/>
              </w:rPr>
            </w:pPr>
            <w:r>
              <w:rPr>
                <w:rFonts w:hint="eastAsia" w:ascii="宋体" w:hAnsi="宋体" w:eastAsia="宋体" w:cs="宋体"/>
                <w:kern w:val="0"/>
              </w:rPr>
              <w:t>总体技术要求</w:t>
            </w:r>
          </w:p>
        </w:tc>
        <w:tc>
          <w:tcPr>
            <w:tcW w:w="8169" w:type="dxa"/>
            <w:vAlign w:val="center"/>
          </w:tcPr>
          <w:p>
            <w:pPr>
              <w:numPr>
                <w:ilvl w:val="0"/>
                <w:numId w:val="20"/>
              </w:numPr>
              <w:wordWrap w:val="0"/>
              <w:snapToGrid/>
              <w:rPr>
                <w:rFonts w:ascii="宋体" w:hAnsi="宋体" w:eastAsia="宋体" w:cs="宋体"/>
                <w:kern w:val="0"/>
              </w:rPr>
            </w:pPr>
            <w:r>
              <w:rPr>
                <w:rFonts w:hint="eastAsia" w:ascii="宋体" w:hAnsi="宋体" w:eastAsia="宋体" w:cs="宋体"/>
                <w:kern w:val="0"/>
              </w:rPr>
              <w:t>全媒体管理平台软件要求采用B/S结构设计、JAVA语言开发、J2EE技术架构。</w:t>
            </w:r>
          </w:p>
          <w:p>
            <w:pPr>
              <w:numPr>
                <w:ilvl w:val="0"/>
                <w:numId w:val="20"/>
              </w:numPr>
              <w:wordWrap w:val="0"/>
              <w:snapToGrid/>
              <w:rPr>
                <w:rFonts w:ascii="宋体" w:hAnsi="宋体" w:eastAsia="宋体" w:cs="宋体"/>
                <w:kern w:val="0"/>
              </w:rPr>
            </w:pPr>
            <w:r>
              <w:rPr>
                <w:rFonts w:hint="eastAsia" w:ascii="宋体" w:hAnsi="宋体" w:eastAsia="宋体" w:cs="宋体"/>
                <w:kern w:val="0"/>
              </w:rPr>
              <w:t>系统需具有良好的跨平台特性，支持基于主流Linux、Windows、Unix平台搭建；支持Tomcat、Apache、WebSphere、WebLogic等应用服务器；支持Oracle、DB2、SQL Server、MySQL、PostgreSQL等多种主流数据库，在初始安装部署时，需要内置可以商用的应用服务器软件及数据库软件。</w:t>
            </w:r>
          </w:p>
          <w:p>
            <w:pPr>
              <w:numPr>
                <w:ilvl w:val="0"/>
                <w:numId w:val="20"/>
              </w:numPr>
              <w:wordWrap w:val="0"/>
              <w:snapToGrid/>
              <w:rPr>
                <w:rFonts w:ascii="宋体" w:hAnsi="宋体" w:eastAsia="宋体" w:cs="宋体"/>
                <w:kern w:val="0"/>
              </w:rPr>
            </w:pPr>
            <w:r>
              <w:rPr>
                <w:rFonts w:hint="eastAsia" w:ascii="宋体" w:hAnsi="宋体" w:eastAsia="宋体" w:cs="宋体"/>
                <w:kern w:val="0"/>
              </w:rPr>
              <w:t>兼容微软IE、谷歌Chrome、360浏览器、搜狗浏览器、苹果Safari、QQ浏览器、火狐Firefox等多种浏览器。</w:t>
            </w:r>
          </w:p>
          <w:p>
            <w:pPr>
              <w:numPr>
                <w:ilvl w:val="0"/>
                <w:numId w:val="20"/>
              </w:numPr>
              <w:wordWrap w:val="0"/>
              <w:snapToGrid/>
              <w:rPr>
                <w:rFonts w:ascii="宋体" w:hAnsi="宋体" w:eastAsia="宋体" w:cs="宋体"/>
                <w:kern w:val="0"/>
              </w:rPr>
            </w:pPr>
            <w:r>
              <w:rPr>
                <w:rFonts w:hint="eastAsia" w:ascii="宋体" w:hAnsi="宋体" w:eastAsia="宋体" w:cs="宋体"/>
                <w:kern w:val="0"/>
              </w:rPr>
              <w:t>系统后台数据库及表结构字段清晰易懂，有明确的注释标记。</w:t>
            </w:r>
          </w:p>
          <w:p>
            <w:pPr>
              <w:numPr>
                <w:ilvl w:val="0"/>
                <w:numId w:val="20"/>
              </w:numPr>
              <w:wordWrap w:val="0"/>
              <w:snapToGrid/>
              <w:rPr>
                <w:rFonts w:ascii="宋体" w:hAnsi="宋体" w:eastAsia="宋体" w:cs="宋体"/>
                <w:kern w:val="0"/>
              </w:rPr>
            </w:pPr>
            <w:r>
              <w:rPr>
                <w:rFonts w:hint="eastAsia" w:ascii="宋体" w:hAnsi="宋体" w:eastAsia="宋体" w:cs="宋体"/>
                <w:kern w:val="0"/>
              </w:rPr>
              <w:t>系统后台支持一键换肤，可内置多套后台肤色供网站管理员进行挑选，符合用户使用审美习惯。</w:t>
            </w:r>
          </w:p>
          <w:p>
            <w:pPr>
              <w:numPr>
                <w:ilvl w:val="0"/>
                <w:numId w:val="20"/>
              </w:numPr>
              <w:wordWrap w:val="0"/>
              <w:snapToGrid/>
              <w:rPr>
                <w:rFonts w:ascii="宋体" w:hAnsi="宋体" w:eastAsia="宋体" w:cs="宋体"/>
                <w:kern w:val="0"/>
              </w:rPr>
            </w:pPr>
            <w:r>
              <w:rPr>
                <w:rFonts w:hint="eastAsia" w:ascii="宋体" w:hAnsi="宋体" w:eastAsia="宋体" w:cs="宋体"/>
                <w:kern w:val="0"/>
              </w:rPr>
              <w:t>系统安装可根据单位内实际情况选择不同的部署方式，要求支持常见的几类部署方式（单服务器部署、多服务器部署、虚拟化部署等），可实现动态服务器和静态服务器分开部署。</w:t>
            </w:r>
          </w:p>
          <w:p>
            <w:pPr>
              <w:numPr>
                <w:ilvl w:val="0"/>
                <w:numId w:val="20"/>
              </w:numPr>
              <w:wordWrap w:val="0"/>
              <w:snapToGrid/>
              <w:rPr>
                <w:rFonts w:ascii="宋体" w:hAnsi="宋体" w:eastAsia="宋体" w:cs="宋体"/>
                <w:kern w:val="0"/>
              </w:rPr>
            </w:pPr>
            <w:r>
              <w:rPr>
                <w:rFonts w:hint="eastAsia" w:ascii="宋体" w:hAnsi="宋体" w:eastAsia="宋体" w:cs="宋体"/>
                <w:kern w:val="0"/>
              </w:rPr>
              <w:t>平台需要支持</w:t>
            </w:r>
            <w:r>
              <w:rPr>
                <w:rFonts w:ascii="宋体" w:hAnsi="宋体" w:eastAsia="宋体" w:cs="宋体"/>
                <w:kern w:val="0"/>
              </w:rPr>
              <w:t>D</w:t>
            </w:r>
            <w:r>
              <w:rPr>
                <w:rFonts w:hint="eastAsia" w:ascii="宋体" w:hAnsi="宋体" w:eastAsia="宋体" w:cs="宋体"/>
                <w:kern w:val="0"/>
              </w:rPr>
              <w:t>ocker容器部署，提升部署效率和便捷性。</w:t>
            </w:r>
          </w:p>
          <w:p>
            <w:pPr>
              <w:numPr>
                <w:ilvl w:val="0"/>
                <w:numId w:val="20"/>
              </w:numPr>
              <w:wordWrap w:val="0"/>
              <w:snapToGrid/>
              <w:rPr>
                <w:rFonts w:ascii="宋体" w:hAnsi="宋体" w:eastAsia="宋体" w:cs="宋体"/>
                <w:kern w:val="0"/>
              </w:rPr>
            </w:pPr>
            <w:r>
              <w:rPr>
                <w:rFonts w:hint="eastAsia" w:ascii="宋体" w:hAnsi="宋体" w:eastAsia="宋体" w:cs="宋体"/>
                <w:kern w:val="0"/>
              </w:rPr>
              <w:t>平台针对数据库的读写，需要进行分离，提升数据库的读取速率。</w:t>
            </w:r>
          </w:p>
          <w:p>
            <w:pPr>
              <w:numPr>
                <w:ilvl w:val="0"/>
                <w:numId w:val="20"/>
              </w:numPr>
              <w:wordWrap w:val="0"/>
              <w:snapToGrid/>
              <w:rPr>
                <w:rFonts w:ascii="宋体" w:hAnsi="宋体" w:eastAsia="宋体" w:cs="宋体"/>
                <w:kern w:val="0"/>
              </w:rPr>
            </w:pPr>
            <w:r>
              <w:rPr>
                <w:rFonts w:hint="eastAsia" w:ascii="宋体" w:hAnsi="宋体" w:eastAsia="宋体" w:cs="宋体"/>
              </w:rPr>
              <w:t>★</w:t>
            </w:r>
            <w:r>
              <w:rPr>
                <w:rFonts w:hint="eastAsia" w:ascii="宋体" w:hAnsi="宋体" w:eastAsia="宋体" w:cs="宋体"/>
                <w:kern w:val="0"/>
              </w:rPr>
              <w:t>系统应支持反向代理设置，方便获取客户端的真实IP地址，能够添加可信任的反向代理。对于反向代理服务器，支持添加至可信列表。</w:t>
            </w:r>
          </w:p>
          <w:p>
            <w:pPr>
              <w:numPr>
                <w:ilvl w:val="0"/>
                <w:numId w:val="20"/>
              </w:numPr>
              <w:wordWrap w:val="0"/>
              <w:snapToGrid/>
              <w:rPr>
                <w:rFonts w:ascii="宋体" w:hAnsi="宋体" w:eastAsia="宋体" w:cs="宋体"/>
                <w:kern w:val="0"/>
              </w:rPr>
            </w:pPr>
            <w:r>
              <w:rPr>
                <w:rFonts w:hint="eastAsia" w:ascii="宋体" w:hAnsi="宋体" w:eastAsia="宋体" w:cs="宋体"/>
                <w:kern w:val="0"/>
              </w:rPr>
              <w:t>系统支持虚拟目录和虚拟主机方式，支持离线/连线状态下的篡改保护。</w:t>
            </w:r>
          </w:p>
          <w:p>
            <w:pPr>
              <w:numPr>
                <w:ilvl w:val="0"/>
                <w:numId w:val="20"/>
              </w:numPr>
              <w:wordWrap w:val="0"/>
              <w:snapToGrid/>
              <w:rPr>
                <w:rFonts w:ascii="宋体" w:hAnsi="宋体" w:eastAsia="宋体" w:cs="宋体"/>
                <w:kern w:val="0"/>
              </w:rPr>
            </w:pPr>
            <w:r>
              <w:rPr>
                <w:rFonts w:hint="eastAsia" w:ascii="宋体" w:hAnsi="宋体" w:eastAsia="宋体" w:cs="宋体"/>
                <w:kern w:val="0"/>
              </w:rPr>
              <w:t>系统针对IPv6提供全面访问支持，同时支持基于IPv4和IPv6地址的访问控制，访问记录及统计。</w:t>
            </w:r>
          </w:p>
          <w:p>
            <w:pPr>
              <w:numPr>
                <w:ilvl w:val="0"/>
                <w:numId w:val="20"/>
              </w:numPr>
              <w:wordWrap w:val="0"/>
              <w:snapToGrid/>
              <w:rPr>
                <w:rFonts w:ascii="宋体" w:hAnsi="宋体" w:eastAsia="宋体" w:cs="宋体"/>
                <w:kern w:val="0"/>
              </w:rPr>
            </w:pPr>
            <w:r>
              <w:rPr>
                <w:rFonts w:hint="eastAsia" w:ascii="宋体" w:hAnsi="宋体" w:eastAsia="宋体" w:cs="宋体"/>
                <w:kern w:val="0"/>
              </w:rPr>
              <w:t>系统全面支持HTTPS安全传输协议。</w:t>
            </w:r>
          </w:p>
          <w:p>
            <w:pPr>
              <w:numPr>
                <w:ilvl w:val="0"/>
                <w:numId w:val="20"/>
              </w:numPr>
              <w:wordWrap w:val="0"/>
              <w:snapToGrid/>
              <w:rPr>
                <w:rFonts w:ascii="宋体" w:hAnsi="宋体" w:eastAsia="宋体" w:cs="宋体"/>
                <w:kern w:val="0"/>
              </w:rPr>
            </w:pPr>
            <w:r>
              <w:rPr>
                <w:rFonts w:hint="eastAsia" w:ascii="宋体" w:hAnsi="宋体" w:eastAsia="宋体" w:cs="宋体"/>
                <w:kern w:val="0"/>
              </w:rPr>
              <w:t>提供针对售后服务提供成熟的信息化客户服务系统，系统业务显示用户客户售后服务，实现客户问题处理的显性化跟踪处理。</w:t>
            </w:r>
          </w:p>
          <w:p>
            <w:pPr>
              <w:numPr>
                <w:ilvl w:val="0"/>
                <w:numId w:val="20"/>
              </w:numPr>
              <w:wordWrap w:val="0"/>
              <w:snapToGrid/>
              <w:rPr>
                <w:rFonts w:ascii="宋体" w:hAnsi="宋体" w:eastAsia="宋体" w:cs="宋体"/>
                <w:kern w:val="0"/>
              </w:rPr>
            </w:pPr>
            <w:r>
              <w:rPr>
                <w:rFonts w:hint="eastAsia" w:ascii="宋体" w:hAnsi="宋体" w:eastAsia="宋体" w:cs="宋体"/>
                <w:kern w:val="0"/>
              </w:rPr>
              <w:t>提供服务小程序，解决服务入口统一的问题，小程序需要具备报修/首页结构变化监测/报修任务查看等功能，能够在服务小程序上实现问题快速报修，支持语音、文字、图片方式进行问题反馈。同时集成网站群运行与管理的知识体系，满足使用者日常维护服务的需求。</w:t>
            </w:r>
          </w:p>
          <w:p>
            <w:pPr>
              <w:numPr>
                <w:ilvl w:val="0"/>
                <w:numId w:val="20"/>
              </w:numPr>
              <w:wordWrap w:val="0"/>
              <w:snapToGrid/>
              <w:rPr>
                <w:rFonts w:ascii="宋体" w:hAnsi="宋体" w:eastAsia="宋体" w:cs="宋体"/>
                <w:kern w:val="0"/>
              </w:rPr>
            </w:pPr>
            <w:r>
              <w:rPr>
                <w:rFonts w:hint="eastAsia" w:ascii="宋体" w:hAnsi="宋体" w:eastAsia="宋体" w:cs="宋体"/>
                <w:kern w:val="0"/>
              </w:rPr>
              <w:t>系统使用成熟稳定的产品，具有国家相关资质认证。</w:t>
            </w:r>
          </w:p>
          <w:p>
            <w:pPr>
              <w:numPr>
                <w:ilvl w:val="0"/>
                <w:numId w:val="20"/>
              </w:numPr>
              <w:wordWrap w:val="0"/>
              <w:snapToGrid/>
              <w:rPr>
                <w:rFonts w:ascii="宋体" w:hAnsi="宋体" w:eastAsia="宋体" w:cs="宋体"/>
                <w:kern w:val="0"/>
              </w:rPr>
            </w:pPr>
            <w:r>
              <w:rPr>
                <w:rFonts w:hint="eastAsia" w:ascii="宋体" w:hAnsi="宋体" w:eastAsia="宋体" w:cs="宋体"/>
                <w:kern w:val="0"/>
              </w:rPr>
              <w:t>系统采用UTF-8国际编码，支持多国语言前台展示。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wordWrap w:val="0"/>
              <w:snapToGrid/>
              <w:rPr>
                <w:rFonts w:ascii="宋体" w:hAnsi="宋体" w:eastAsia="宋体" w:cs="宋体"/>
                <w:kern w:val="0"/>
              </w:rPr>
            </w:pPr>
            <w:r>
              <w:rPr>
                <w:rFonts w:hint="eastAsia" w:ascii="宋体" w:hAnsi="宋体" w:eastAsia="宋体" w:cs="宋体"/>
                <w:kern w:val="0"/>
              </w:rPr>
              <w:t>网站群管理</w:t>
            </w:r>
          </w:p>
        </w:tc>
        <w:tc>
          <w:tcPr>
            <w:tcW w:w="8169" w:type="dxa"/>
            <w:vAlign w:val="center"/>
          </w:tcPr>
          <w:p>
            <w:pPr>
              <w:numPr>
                <w:ilvl w:val="0"/>
                <w:numId w:val="21"/>
              </w:numPr>
              <w:wordWrap w:val="0"/>
              <w:snapToGrid/>
              <w:ind w:firstLine="420" w:firstLineChars="200"/>
              <w:rPr>
                <w:rFonts w:ascii="宋体" w:hAnsi="宋体" w:eastAsia="宋体" w:cs="宋体"/>
                <w:kern w:val="0"/>
              </w:rPr>
            </w:pPr>
            <w:r>
              <w:rPr>
                <w:rFonts w:hint="eastAsia" w:ascii="宋体" w:hAnsi="宋体" w:eastAsia="宋体" w:cs="宋体"/>
                <w:kern w:val="0"/>
              </w:rPr>
              <w:t>站点管理</w:t>
            </w:r>
          </w:p>
          <w:p>
            <w:pPr>
              <w:numPr>
                <w:ilvl w:val="0"/>
                <w:numId w:val="22"/>
              </w:numPr>
              <w:wordWrap w:val="0"/>
              <w:snapToGrid/>
              <w:rPr>
                <w:rFonts w:ascii="宋体" w:hAnsi="宋体" w:eastAsia="宋体" w:cs="宋体"/>
                <w:kern w:val="0"/>
              </w:rPr>
            </w:pPr>
            <w:r>
              <w:rPr>
                <w:rFonts w:hint="eastAsia" w:ascii="宋体" w:hAnsi="宋体" w:eastAsia="宋体" w:cs="宋体"/>
                <w:kern w:val="0"/>
              </w:rPr>
              <w:t>系统具有对网站的新增、删除、停止、发布等方面的功能，并提供网站检索、网站排序功能。</w:t>
            </w:r>
          </w:p>
          <w:p>
            <w:pPr>
              <w:numPr>
                <w:ilvl w:val="0"/>
                <w:numId w:val="22"/>
              </w:numPr>
              <w:wordWrap w:val="0"/>
              <w:snapToGrid/>
              <w:rPr>
                <w:rFonts w:ascii="宋体" w:hAnsi="宋体" w:eastAsia="宋体" w:cs="宋体"/>
                <w:kern w:val="0"/>
              </w:rPr>
            </w:pPr>
            <w:r>
              <w:rPr>
                <w:rFonts w:hint="eastAsia" w:ascii="宋体" w:hAnsi="宋体" w:eastAsia="宋体" w:cs="宋体"/>
                <w:kern w:val="0"/>
              </w:rPr>
              <w:t>所有站点使用一套软件统一管理，各站点可以有独立的域名、Logo、栏目结构、功能组件、风格模板和后台管理。</w:t>
            </w:r>
          </w:p>
          <w:p>
            <w:pPr>
              <w:numPr>
                <w:ilvl w:val="0"/>
                <w:numId w:val="22"/>
              </w:numPr>
              <w:wordWrap w:val="0"/>
              <w:snapToGrid/>
              <w:rPr>
                <w:rFonts w:ascii="宋体" w:hAnsi="宋体" w:eastAsia="宋体" w:cs="宋体"/>
                <w:kern w:val="0"/>
              </w:rPr>
            </w:pPr>
            <w:r>
              <w:rPr>
                <w:rFonts w:hint="eastAsia" w:ascii="宋体" w:hAnsi="宋体" w:eastAsia="宋体" w:cs="宋体"/>
                <w:kern w:val="0"/>
              </w:rPr>
              <w:t>系统提供一键关停功能，可对当前平台站点统一进行关停，当处于一键关停状态中，外界无法针对关停站点进行访问，同时支持一键启用，对关停站点进行恢复。</w:t>
            </w:r>
            <w:r>
              <w:rPr>
                <w:rFonts w:ascii="宋体" w:hAnsi="宋体" w:eastAsia="宋体" w:cs="宋体"/>
                <w:kern w:val="0"/>
              </w:rPr>
              <w:t xml:space="preserve"> </w:t>
            </w:r>
          </w:p>
          <w:p>
            <w:pPr>
              <w:numPr>
                <w:ilvl w:val="0"/>
                <w:numId w:val="22"/>
              </w:numPr>
              <w:wordWrap w:val="0"/>
              <w:snapToGrid/>
              <w:rPr>
                <w:rFonts w:ascii="宋体" w:hAnsi="宋体" w:eastAsia="宋体" w:cs="宋体"/>
                <w:b/>
                <w:bCs/>
                <w:kern w:val="0"/>
              </w:rPr>
            </w:pPr>
            <w:r>
              <w:rPr>
                <w:rFonts w:hint="eastAsia" w:ascii="宋体" w:hAnsi="宋体" w:eastAsia="宋体" w:cs="宋体"/>
                <w:b/>
                <w:bCs/>
                <w:kern w:val="0"/>
              </w:rPr>
              <w:t>能够实现针对当前站点批量实现停止维护、停止浏览、停止维护和浏览、正常运转等多种管控模式</w:t>
            </w:r>
            <w:r>
              <w:rPr>
                <w:rFonts w:hint="eastAsia" w:ascii="宋体" w:hAnsi="宋体"/>
                <w:b/>
                <w:bCs/>
                <w:szCs w:val="22"/>
              </w:rPr>
              <w:t>；</w:t>
            </w:r>
            <w:r>
              <w:rPr>
                <w:rFonts w:hint="eastAsia" w:ascii="宋体" w:hAnsi="宋体" w:eastAsia="宋体" w:cs="宋体"/>
                <w:b/>
                <w:bCs/>
                <w:kern w:val="0"/>
                <w:lang w:eastAsia="zh-CN"/>
              </w:rPr>
              <w:t>（</w:t>
            </w:r>
            <w:r>
              <w:rPr>
                <w:rFonts w:hint="eastAsia" w:ascii="宋体" w:hAnsi="宋体" w:eastAsia="宋体" w:cs="Times New Roman"/>
                <w:b/>
                <w:bCs/>
                <w:color w:val="000000" w:themeColor="text1"/>
                <w:sz w:val="24"/>
                <w:lang w:eastAsia="zh-CN"/>
                <w14:textFill>
                  <w14:solidFill>
                    <w14:schemeClr w14:val="tx1"/>
                  </w14:solidFill>
                </w14:textFill>
              </w:rPr>
              <w:t>需提供截图证明材料）</w:t>
            </w:r>
          </w:p>
          <w:p>
            <w:pPr>
              <w:numPr>
                <w:ilvl w:val="0"/>
                <w:numId w:val="22"/>
              </w:numPr>
              <w:wordWrap w:val="0"/>
              <w:snapToGrid/>
              <w:rPr>
                <w:rFonts w:ascii="宋体" w:hAnsi="宋体" w:eastAsia="宋体" w:cs="宋体"/>
                <w:kern w:val="0"/>
              </w:rPr>
            </w:pPr>
            <w:r>
              <w:rPr>
                <w:rFonts w:hint="eastAsia" w:ascii="宋体" w:hAnsi="宋体" w:eastAsia="宋体" w:cs="宋体"/>
                <w:kern w:val="0"/>
              </w:rPr>
              <w:t>网站支持动态发布及静态发布，用户可灵活选择发布方式，静态页面自动生成，在对站点模板、栏目或文章做任何修改后，静态页面能自动增量更新，无需手工触发。</w:t>
            </w:r>
          </w:p>
          <w:p>
            <w:pPr>
              <w:numPr>
                <w:ilvl w:val="0"/>
                <w:numId w:val="22"/>
              </w:numPr>
              <w:wordWrap w:val="0"/>
              <w:snapToGrid/>
              <w:rPr>
                <w:rFonts w:ascii="宋体" w:hAnsi="宋体" w:eastAsia="宋体" w:cs="宋体"/>
                <w:kern w:val="0"/>
              </w:rPr>
            </w:pPr>
            <w:r>
              <w:rPr>
                <w:rFonts w:hint="eastAsia" w:ascii="宋体" w:hAnsi="宋体" w:eastAsia="宋体" w:cs="宋体"/>
                <w:kern w:val="0"/>
              </w:rPr>
              <w:t>站点切换提供站点树、站点列表、站点搜索三种展示形式，帮助学校明确站点之间从属关系，精准查找站点。</w:t>
            </w:r>
          </w:p>
          <w:p>
            <w:pPr>
              <w:numPr>
                <w:ilvl w:val="0"/>
                <w:numId w:val="22"/>
              </w:numPr>
              <w:wordWrap w:val="0"/>
              <w:snapToGrid/>
              <w:rPr>
                <w:rFonts w:ascii="宋体" w:hAnsi="宋体" w:eastAsia="宋体" w:cs="宋体"/>
                <w:kern w:val="0"/>
              </w:rPr>
            </w:pPr>
            <w:r>
              <w:rPr>
                <w:rFonts w:hint="eastAsia" w:ascii="宋体" w:hAnsi="宋体" w:eastAsia="宋体" w:cs="宋体"/>
                <w:kern w:val="0"/>
              </w:rPr>
              <w:t>网站静态化管理应该采用断点机制，新闻栏目中插入某条信息之后，展示页面应该即时更新信息排序。</w:t>
            </w:r>
          </w:p>
          <w:p>
            <w:pPr>
              <w:numPr>
                <w:ilvl w:val="0"/>
                <w:numId w:val="22"/>
              </w:numPr>
              <w:wordWrap w:val="0"/>
              <w:snapToGrid/>
              <w:rPr>
                <w:rFonts w:ascii="宋体" w:hAnsi="宋体" w:eastAsia="宋体" w:cs="宋体"/>
                <w:kern w:val="0"/>
              </w:rPr>
            </w:pPr>
            <w:r>
              <w:rPr>
                <w:rFonts w:hint="eastAsia" w:ascii="宋体" w:hAnsi="宋体" w:eastAsia="宋体" w:cs="宋体"/>
                <w:kern w:val="0"/>
              </w:rPr>
              <w:t>支持网站一键变灰。</w:t>
            </w:r>
          </w:p>
          <w:p>
            <w:pPr>
              <w:numPr>
                <w:ilvl w:val="0"/>
                <w:numId w:val="22"/>
              </w:numPr>
              <w:wordWrap w:val="0"/>
              <w:snapToGrid/>
              <w:rPr>
                <w:rFonts w:ascii="宋体" w:hAnsi="宋体" w:eastAsia="宋体" w:cs="宋体"/>
                <w:kern w:val="0"/>
              </w:rPr>
            </w:pPr>
            <w:r>
              <w:rPr>
                <w:rFonts w:hint="eastAsia" w:ascii="宋体" w:hAnsi="宋体" w:eastAsia="宋体" w:cs="宋体"/>
                <w:kern w:val="0"/>
              </w:rPr>
              <w:t>网站特殊时期可切换至单位内运行。</w:t>
            </w:r>
          </w:p>
          <w:p>
            <w:pPr>
              <w:numPr>
                <w:ilvl w:val="0"/>
                <w:numId w:val="22"/>
              </w:numPr>
              <w:wordWrap w:val="0"/>
              <w:snapToGrid/>
              <w:rPr>
                <w:rFonts w:ascii="宋体" w:hAnsi="宋体" w:eastAsia="宋体" w:cs="宋体"/>
                <w:kern w:val="0"/>
              </w:rPr>
            </w:pPr>
            <w:r>
              <w:rPr>
                <w:rFonts w:hint="eastAsia" w:ascii="宋体" w:hAnsi="宋体" w:eastAsia="宋体" w:cs="宋体"/>
                <w:kern w:val="0"/>
              </w:rPr>
              <w:t>支持站点启停生命周期管理，设置站点自动启停计划，系统自动执行站点的启停时间。</w:t>
            </w:r>
          </w:p>
          <w:p>
            <w:pPr>
              <w:numPr>
                <w:ilvl w:val="0"/>
                <w:numId w:val="21"/>
              </w:numPr>
              <w:wordWrap w:val="0"/>
              <w:snapToGrid/>
              <w:ind w:firstLine="420" w:firstLineChars="200"/>
              <w:rPr>
                <w:rFonts w:ascii="宋体" w:hAnsi="宋体" w:eastAsia="宋体" w:cs="宋体"/>
                <w:kern w:val="0"/>
              </w:rPr>
            </w:pPr>
            <w:r>
              <w:rPr>
                <w:rFonts w:hint="eastAsia" w:ascii="宋体" w:hAnsi="宋体" w:eastAsia="宋体" w:cs="宋体"/>
                <w:kern w:val="0"/>
              </w:rPr>
              <w:t>用户权限与角色</w:t>
            </w:r>
          </w:p>
          <w:p>
            <w:pPr>
              <w:numPr>
                <w:ilvl w:val="0"/>
                <w:numId w:val="23"/>
              </w:numPr>
              <w:wordWrap w:val="0"/>
              <w:snapToGrid/>
              <w:rPr>
                <w:rFonts w:ascii="宋体" w:hAnsi="宋体" w:eastAsia="宋体" w:cs="宋体"/>
                <w:kern w:val="0"/>
              </w:rPr>
            </w:pPr>
            <w:r>
              <w:rPr>
                <w:rFonts w:hint="eastAsia" w:ascii="宋体" w:hAnsi="宋体" w:eastAsia="宋体" w:cs="宋体"/>
                <w:kern w:val="0"/>
              </w:rPr>
              <w:t>可以实现对所有用户的统一管理，可设置其能够管理的网站及所属部门或组织机构。</w:t>
            </w:r>
          </w:p>
          <w:p>
            <w:pPr>
              <w:numPr>
                <w:ilvl w:val="0"/>
                <w:numId w:val="23"/>
              </w:numPr>
              <w:wordWrap w:val="0"/>
              <w:snapToGrid/>
              <w:rPr>
                <w:rFonts w:ascii="宋体" w:hAnsi="宋体" w:eastAsia="宋体" w:cs="宋体"/>
                <w:kern w:val="0"/>
              </w:rPr>
            </w:pPr>
            <w:r>
              <w:rPr>
                <w:rFonts w:hint="eastAsia" w:ascii="宋体" w:hAnsi="宋体" w:eastAsia="宋体" w:cs="宋体"/>
                <w:kern w:val="0"/>
              </w:rPr>
              <w:t>系统支持分级、细粒度的权限划分，功能权限分配可详细到每一个菜单，内容管理权限可以细化到对每一个栏目的不同操作。</w:t>
            </w:r>
          </w:p>
          <w:p>
            <w:pPr>
              <w:numPr>
                <w:ilvl w:val="0"/>
                <w:numId w:val="23"/>
              </w:numPr>
              <w:wordWrap w:val="0"/>
              <w:snapToGrid/>
              <w:rPr>
                <w:rFonts w:ascii="宋体" w:hAnsi="宋体" w:eastAsia="宋体" w:cs="宋体"/>
                <w:kern w:val="0"/>
              </w:rPr>
            </w:pPr>
            <w:r>
              <w:rPr>
                <w:rFonts w:hint="eastAsia" w:ascii="宋体" w:hAnsi="宋体" w:eastAsia="宋体" w:cs="宋体"/>
                <w:kern w:val="0"/>
              </w:rPr>
              <w:t>可设置系统级别和部门级别角色，每个角色具备不同的权限，能够针对角色指派成员。</w:t>
            </w:r>
          </w:p>
          <w:p>
            <w:pPr>
              <w:numPr>
                <w:ilvl w:val="0"/>
                <w:numId w:val="23"/>
              </w:numPr>
              <w:wordWrap w:val="0"/>
              <w:snapToGrid/>
              <w:rPr>
                <w:rFonts w:ascii="宋体" w:hAnsi="宋体" w:eastAsia="宋体" w:cs="宋体"/>
                <w:kern w:val="0"/>
              </w:rPr>
            </w:pPr>
            <w:r>
              <w:rPr>
                <w:rFonts w:hint="eastAsia" w:ascii="宋体" w:hAnsi="宋体" w:eastAsia="宋体" w:cs="宋体"/>
                <w:kern w:val="0"/>
              </w:rPr>
              <w:t>支持对部门进行管理，可配置部门相关基础信息，进行增删改等相关操作，可以设置部门相关联站点。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pPr>
              <w:widowControl/>
              <w:wordWrap w:val="0"/>
              <w:snapToGrid/>
              <w:rPr>
                <w:rFonts w:ascii="宋体" w:hAnsi="宋体" w:eastAsia="宋体" w:cs="宋体"/>
                <w:kern w:val="0"/>
              </w:rPr>
            </w:pPr>
            <w:r>
              <w:rPr>
                <w:rFonts w:hint="eastAsia" w:ascii="宋体" w:hAnsi="宋体" w:eastAsia="宋体" w:cs="宋体"/>
                <w:kern w:val="0"/>
              </w:rPr>
              <w:t>网站建设</w:t>
            </w:r>
          </w:p>
        </w:tc>
        <w:tc>
          <w:tcPr>
            <w:tcW w:w="8169" w:type="dxa"/>
            <w:vAlign w:val="center"/>
          </w:tcPr>
          <w:p>
            <w:pPr>
              <w:numPr>
                <w:ilvl w:val="0"/>
                <w:numId w:val="24"/>
              </w:numPr>
              <w:wordWrap w:val="0"/>
              <w:snapToGrid/>
              <w:ind w:left="480" w:hanging="480"/>
              <w:rPr>
                <w:rFonts w:ascii="宋体" w:hAnsi="宋体" w:eastAsia="宋体" w:cs="宋体"/>
                <w:kern w:val="0"/>
              </w:rPr>
            </w:pPr>
            <w:r>
              <w:rPr>
                <w:rFonts w:hint="eastAsia" w:ascii="宋体" w:hAnsi="宋体" w:eastAsia="宋体" w:cs="宋体"/>
                <w:kern w:val="0"/>
              </w:rPr>
              <w:t>系统需实现模板、栏目、资料三者分离，后台资料添加不会影响前台页面的正常展示。</w:t>
            </w:r>
          </w:p>
          <w:p>
            <w:pPr>
              <w:numPr>
                <w:ilvl w:val="0"/>
                <w:numId w:val="24"/>
              </w:numPr>
              <w:wordWrap w:val="0"/>
              <w:snapToGrid/>
              <w:ind w:left="480" w:hanging="480"/>
              <w:rPr>
                <w:rFonts w:ascii="宋体" w:hAnsi="宋体" w:eastAsia="宋体" w:cs="宋体"/>
                <w:kern w:val="0"/>
              </w:rPr>
            </w:pPr>
            <w:r>
              <w:rPr>
                <w:rFonts w:hint="eastAsia" w:ascii="宋体" w:hAnsi="宋体" w:eastAsia="宋体" w:cs="宋体"/>
              </w:rPr>
              <w:t>★</w:t>
            </w:r>
            <w:r>
              <w:rPr>
                <w:rFonts w:hint="eastAsia" w:ascii="宋体" w:hAnsi="宋体" w:eastAsia="宋体" w:cs="宋体"/>
                <w:kern w:val="0"/>
              </w:rPr>
              <w:t>系统</w:t>
            </w:r>
            <w:r>
              <w:rPr>
                <w:rFonts w:ascii="宋体" w:hAnsi="宋体" w:eastAsia="宋体" w:cs="宋体"/>
                <w:kern w:val="0"/>
              </w:rPr>
              <w:t>支持</w:t>
            </w:r>
            <w:r>
              <w:rPr>
                <w:rFonts w:hint="eastAsia" w:ascii="宋体" w:hAnsi="宋体" w:eastAsia="宋体" w:cs="宋体"/>
                <w:kern w:val="0"/>
              </w:rPr>
              <w:t>对信息中心官方建设网站进行标记认证，规避后续二级单位自发建站，导致技术不规范且未经过安全评审的问题，经过安全评审后的网站可实现加V标记</w:t>
            </w:r>
            <w:r>
              <w:rPr>
                <w:rFonts w:hint="eastAsia" w:ascii="宋体" w:hAnsi="宋体"/>
                <w:szCs w:val="22"/>
              </w:rPr>
              <w:t>；</w:t>
            </w:r>
          </w:p>
          <w:p>
            <w:pPr>
              <w:numPr>
                <w:ilvl w:val="0"/>
                <w:numId w:val="24"/>
              </w:numPr>
              <w:wordWrap w:val="0"/>
              <w:snapToGrid/>
              <w:ind w:left="480" w:hanging="480"/>
              <w:rPr>
                <w:rFonts w:ascii="宋体" w:hAnsi="宋体" w:eastAsia="宋体" w:cs="宋体"/>
                <w:kern w:val="0"/>
              </w:rPr>
            </w:pPr>
            <w:r>
              <w:rPr>
                <w:rFonts w:hint="eastAsia" w:ascii="宋体" w:hAnsi="宋体" w:eastAsia="宋体" w:cs="宋体"/>
                <w:kern w:val="0"/>
              </w:rPr>
              <w:t>要求支持网站原样迁移，可以通过输入网址下载页面文件、图片、样式表等数据，并保持页面样式和兼容性。</w:t>
            </w:r>
          </w:p>
          <w:p>
            <w:pPr>
              <w:numPr>
                <w:ilvl w:val="0"/>
                <w:numId w:val="24"/>
              </w:numPr>
              <w:wordWrap w:val="0"/>
              <w:snapToGrid/>
              <w:ind w:left="480" w:hanging="480"/>
              <w:rPr>
                <w:rFonts w:ascii="宋体" w:hAnsi="宋体" w:eastAsia="宋体" w:cs="宋体"/>
                <w:kern w:val="0"/>
              </w:rPr>
            </w:pPr>
            <w:r>
              <w:rPr>
                <w:rFonts w:hint="eastAsia" w:ascii="宋体" w:hAnsi="宋体" w:eastAsia="宋体" w:cs="宋体"/>
                <w:kern w:val="0"/>
              </w:rPr>
              <w:t>在系统使用设计好的HTML模板进行制作时，兼容所有主流设计工具生成的HTML模板，直接选择当前HTML文件进行上传，不需要重新进行RAR或ZIP打包，避免打包层级过多系统无法识别导入。</w:t>
            </w:r>
          </w:p>
          <w:p>
            <w:pPr>
              <w:numPr>
                <w:ilvl w:val="0"/>
                <w:numId w:val="24"/>
              </w:numPr>
              <w:wordWrap w:val="0"/>
              <w:snapToGrid/>
              <w:ind w:left="480" w:hanging="480"/>
              <w:rPr>
                <w:rFonts w:ascii="宋体" w:hAnsi="宋体" w:eastAsia="宋体" w:cs="宋体"/>
                <w:kern w:val="0"/>
              </w:rPr>
            </w:pPr>
            <w:r>
              <w:rPr>
                <w:rFonts w:hint="eastAsia" w:ascii="宋体" w:hAnsi="宋体" w:eastAsia="宋体" w:cs="宋体"/>
                <w:kern w:val="0"/>
              </w:rPr>
              <w:t>网站建设过程需提供历史数据还原功能，避免修改错误导致页面无法正确恢复。</w:t>
            </w:r>
          </w:p>
          <w:p>
            <w:pPr>
              <w:numPr>
                <w:ilvl w:val="0"/>
                <w:numId w:val="24"/>
              </w:numPr>
              <w:wordWrap w:val="0"/>
              <w:snapToGrid/>
              <w:ind w:left="480" w:hanging="480"/>
              <w:rPr>
                <w:rFonts w:ascii="宋体" w:hAnsi="宋体" w:eastAsia="宋体" w:cs="宋体"/>
                <w:kern w:val="0"/>
              </w:rPr>
            </w:pPr>
            <w:r>
              <w:rPr>
                <w:rFonts w:hint="eastAsia" w:ascii="宋体" w:hAnsi="宋体" w:eastAsia="宋体" w:cs="宋体"/>
                <w:kern w:val="0"/>
              </w:rPr>
              <w:t>系统提供350多种不同类型的常用组件及移动化组件，全面支持DIV+CSS架构，用来实现网站丰富多彩的展现形式，各类组件之间可以相互复制副本或引用，便于同源数据的快速展示。</w:t>
            </w:r>
          </w:p>
          <w:p>
            <w:pPr>
              <w:numPr>
                <w:ilvl w:val="0"/>
                <w:numId w:val="24"/>
              </w:numPr>
              <w:wordWrap w:val="0"/>
              <w:snapToGrid/>
              <w:ind w:left="480" w:hanging="480"/>
              <w:rPr>
                <w:rFonts w:ascii="宋体" w:hAnsi="宋体" w:eastAsia="宋体" w:cs="宋体"/>
                <w:kern w:val="0"/>
              </w:rPr>
            </w:pPr>
            <w:r>
              <w:rPr>
                <w:rFonts w:hint="eastAsia" w:ascii="宋体" w:hAnsi="宋体" w:eastAsia="宋体" w:cs="宋体"/>
                <w:kern w:val="0"/>
              </w:rPr>
              <w:t>支持手机建站扫描二维码预览，在建设网站时可通过手机扫描二维码进行实时预览网站效果。并且二维码的有效期仅供一人使用，保障页面安全。</w:t>
            </w:r>
          </w:p>
          <w:p>
            <w:pPr>
              <w:numPr>
                <w:ilvl w:val="0"/>
                <w:numId w:val="24"/>
              </w:numPr>
              <w:wordWrap w:val="0"/>
              <w:snapToGrid/>
              <w:ind w:left="480" w:hanging="480"/>
              <w:rPr>
                <w:rFonts w:ascii="宋体" w:hAnsi="宋体" w:eastAsia="宋体" w:cs="宋体"/>
                <w:kern w:val="0"/>
              </w:rPr>
            </w:pPr>
            <w:r>
              <w:rPr>
                <w:rFonts w:hint="eastAsia" w:ascii="宋体" w:hAnsi="宋体" w:eastAsia="宋体" w:cs="宋体"/>
                <w:kern w:val="0"/>
              </w:rPr>
              <w:t>栏目建设支持手动创建，同时支持通过使用逗号","或换行分隔栏目名，快速新建栏目，实现批量创建。</w:t>
            </w:r>
          </w:p>
          <w:p>
            <w:pPr>
              <w:numPr>
                <w:ilvl w:val="0"/>
                <w:numId w:val="24"/>
              </w:numPr>
              <w:wordWrap w:val="0"/>
              <w:snapToGrid/>
              <w:ind w:left="480" w:hanging="480"/>
              <w:rPr>
                <w:rFonts w:ascii="宋体" w:hAnsi="宋体" w:eastAsia="宋体" w:cs="宋体"/>
                <w:kern w:val="0"/>
              </w:rPr>
            </w:pPr>
            <w:r>
              <w:rPr>
                <w:rFonts w:hint="eastAsia" w:ascii="宋体" w:hAnsi="宋体" w:eastAsia="宋体" w:cs="宋体"/>
                <w:kern w:val="0"/>
              </w:rPr>
              <w:t>系统支持资料自动检测，可快速检测到未配置内容的网站组件，同时进行快速资料源配置。</w:t>
            </w:r>
          </w:p>
          <w:p>
            <w:pPr>
              <w:numPr>
                <w:ilvl w:val="0"/>
                <w:numId w:val="24"/>
              </w:numPr>
              <w:wordWrap w:val="0"/>
              <w:snapToGrid/>
              <w:ind w:left="480" w:hanging="480"/>
              <w:rPr>
                <w:rFonts w:ascii="宋体" w:hAnsi="宋体" w:eastAsia="宋体" w:cs="宋体"/>
                <w:kern w:val="0"/>
              </w:rPr>
            </w:pPr>
            <w:r>
              <w:rPr>
                <w:rFonts w:hint="eastAsia" w:ascii="宋体" w:hAnsi="宋体" w:eastAsia="宋体" w:cs="宋体"/>
                <w:kern w:val="0"/>
              </w:rPr>
              <w:t>系统支持子站移动版一键生成，实现内容一次发布，PC、手机、平板多设备内容同步更新。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0" w:type="dxa"/>
            <w:vAlign w:val="center"/>
          </w:tcPr>
          <w:p>
            <w:pPr>
              <w:wordWrap w:val="0"/>
              <w:snapToGrid/>
              <w:rPr>
                <w:rFonts w:ascii="宋体" w:hAnsi="宋体" w:eastAsia="宋体" w:cs="宋体"/>
                <w:kern w:val="0"/>
              </w:rPr>
            </w:pPr>
            <w:r>
              <w:rPr>
                <w:rFonts w:hint="eastAsia" w:ascii="宋体" w:hAnsi="宋体" w:eastAsia="宋体" w:cs="宋体"/>
                <w:kern w:val="0"/>
              </w:rPr>
              <w:t>内容管理</w:t>
            </w:r>
          </w:p>
        </w:tc>
        <w:tc>
          <w:tcPr>
            <w:tcW w:w="8169" w:type="dxa"/>
            <w:vAlign w:val="center"/>
          </w:tcPr>
          <w:p>
            <w:pPr>
              <w:numPr>
                <w:ilvl w:val="0"/>
                <w:numId w:val="25"/>
              </w:numPr>
              <w:wordWrap w:val="0"/>
              <w:rPr>
                <w:rFonts w:ascii="宋体" w:hAnsi="宋体" w:eastAsia="宋体" w:cs="宋体"/>
              </w:rPr>
            </w:pPr>
            <w:r>
              <w:rPr>
                <w:rFonts w:hint="eastAsia" w:ascii="宋体" w:hAnsi="宋体" w:eastAsia="宋体" w:cs="宋体"/>
              </w:rPr>
              <w:t>系统具有“个人桌面”功能，可根据用户个人习惯自定义配置、拖动相关功能模块，支持拖拽设置快捷方式，实现对应模块管理界面的快速跳转。</w:t>
            </w:r>
          </w:p>
          <w:p>
            <w:pPr>
              <w:numPr>
                <w:ilvl w:val="0"/>
                <w:numId w:val="25"/>
              </w:numPr>
              <w:wordWrap w:val="0"/>
              <w:rPr>
                <w:rFonts w:ascii="宋体" w:hAnsi="宋体" w:eastAsia="宋体" w:cs="宋体"/>
              </w:rPr>
            </w:pPr>
            <w:r>
              <w:rPr>
                <w:rFonts w:hint="eastAsia" w:ascii="宋体" w:hAnsi="宋体" w:eastAsia="宋体" w:cs="宋体"/>
              </w:rPr>
              <w:t>系统应具有简单、稳定、易用的文章编辑器，并且支持Word/WPS文档一键原样在线导入，导入后的文字、图片、表格等格式与原样保持一致。</w:t>
            </w:r>
          </w:p>
          <w:p>
            <w:pPr>
              <w:numPr>
                <w:ilvl w:val="0"/>
                <w:numId w:val="25"/>
              </w:numPr>
              <w:wordWrap w:val="0"/>
              <w:rPr>
                <w:rFonts w:ascii="宋体" w:hAnsi="宋体" w:eastAsia="宋体" w:cs="宋体"/>
                <w:b/>
                <w:bCs/>
                <w:color w:val="auto"/>
              </w:rPr>
            </w:pPr>
            <w:r>
              <w:rPr>
                <w:rFonts w:hint="eastAsia" w:ascii="宋体" w:hAnsi="宋体" w:eastAsia="宋体" w:cs="宋体"/>
                <w:b/>
                <w:bCs/>
              </w:rPr>
              <w:t>系统应具备“云导入”功能，在不需要下载多余插件的情况下，就能够实现Word文档的直接导入。导入过程能够自动识别word的标题、关键字、发布日期、摘要等word中的关键信息，并自动填充到编辑器对应字段位置。</w:t>
            </w:r>
            <w:r>
              <w:rPr>
                <w:rFonts w:hint="eastAsia" w:ascii="宋体" w:hAnsi="宋体" w:eastAsia="宋体" w:cs="宋体"/>
                <w:b/>
                <w:bCs/>
                <w:color w:val="auto"/>
                <w:kern w:val="0"/>
                <w:lang w:eastAsia="zh-CN"/>
              </w:rPr>
              <w:t>（</w:t>
            </w:r>
            <w:r>
              <w:rPr>
                <w:rFonts w:hint="eastAsia" w:ascii="宋体" w:hAnsi="宋体" w:eastAsia="宋体" w:cs="Times New Roman"/>
                <w:b/>
                <w:bCs/>
                <w:color w:val="auto"/>
                <w:sz w:val="24"/>
                <w:lang w:eastAsia="zh-CN"/>
              </w:rPr>
              <w:t>需提供截图证明材料）</w:t>
            </w:r>
          </w:p>
          <w:p>
            <w:pPr>
              <w:numPr>
                <w:ilvl w:val="0"/>
                <w:numId w:val="25"/>
              </w:numPr>
              <w:wordWrap w:val="0"/>
              <w:rPr>
                <w:rFonts w:ascii="宋体" w:hAnsi="宋体" w:eastAsia="宋体" w:cs="宋体"/>
              </w:rPr>
            </w:pPr>
            <w:r>
              <w:rPr>
                <w:rFonts w:hint="eastAsia" w:ascii="宋体" w:hAnsi="宋体" w:eastAsia="宋体" w:cs="宋体"/>
              </w:rPr>
              <w:t>系统需要支持内容编辑器内对网络文本的采集，能够采集对应的U</w:t>
            </w:r>
            <w:r>
              <w:rPr>
                <w:rFonts w:ascii="宋体" w:hAnsi="宋体" w:eastAsia="宋体" w:cs="宋体"/>
              </w:rPr>
              <w:t>RL</w:t>
            </w:r>
            <w:r>
              <w:rPr>
                <w:rFonts w:hint="eastAsia" w:ascii="宋体" w:hAnsi="宋体" w:eastAsia="宋体" w:cs="宋体"/>
              </w:rPr>
              <w:t>网络内容资源，直接添加进文章不同字段区间。</w:t>
            </w:r>
          </w:p>
          <w:p>
            <w:pPr>
              <w:numPr>
                <w:ilvl w:val="0"/>
                <w:numId w:val="25"/>
              </w:numPr>
              <w:wordWrap w:val="0"/>
              <w:rPr>
                <w:rFonts w:ascii="宋体" w:hAnsi="宋体" w:eastAsia="宋体" w:cs="宋体"/>
              </w:rPr>
            </w:pPr>
            <w:r>
              <w:rPr>
                <w:rFonts w:hint="eastAsia" w:ascii="宋体" w:hAnsi="宋体" w:eastAsia="宋体" w:cs="宋体"/>
              </w:rPr>
              <w:t>提供文章编辑一键排版工具，一键排版功能支持多种预设样式，可在后台下载并参考样例来定义样式文件，自主上传录入排版样式文件，</w:t>
            </w:r>
            <w:r>
              <w:rPr>
                <w:rFonts w:ascii="宋体" w:hAnsi="宋体" w:eastAsia="宋体" w:cs="宋体"/>
              </w:rPr>
              <w:t xml:space="preserve"> 文档可按照预先自定义的格式进行排版，排版过程会针对文章内容源代码进行规范化整理，确保多种浏览器</w:t>
            </w:r>
            <w:r>
              <w:rPr>
                <w:rFonts w:hint="eastAsia" w:ascii="宋体" w:hAnsi="宋体" w:eastAsia="宋体" w:cs="宋体"/>
              </w:rPr>
              <w:t>更好的</w:t>
            </w:r>
            <w:r>
              <w:rPr>
                <w:rFonts w:ascii="宋体" w:hAnsi="宋体" w:eastAsia="宋体" w:cs="宋体"/>
              </w:rPr>
              <w:t>兼容</w:t>
            </w:r>
            <w:r>
              <w:rPr>
                <w:rFonts w:hint="eastAsia" w:ascii="宋体" w:hAnsi="宋体" w:eastAsia="宋体" w:cs="宋体"/>
              </w:rPr>
              <w:t>。</w:t>
            </w:r>
          </w:p>
          <w:p>
            <w:pPr>
              <w:numPr>
                <w:ilvl w:val="0"/>
                <w:numId w:val="25"/>
              </w:numPr>
              <w:wordWrap w:val="0"/>
              <w:rPr>
                <w:rFonts w:ascii="宋体" w:hAnsi="宋体" w:eastAsia="宋体" w:cs="宋体"/>
              </w:rPr>
            </w:pPr>
            <w:r>
              <w:rPr>
                <w:rFonts w:hint="eastAsia" w:ascii="宋体" w:hAnsi="宋体" w:eastAsia="宋体" w:cs="宋体"/>
              </w:rPr>
              <w:t>系统支持针对文章发布的新闻缩略图进行在线裁剪，支持多种比例裁剪、翻转、镜像，满足新闻缩略图的展现需求。</w:t>
            </w:r>
          </w:p>
          <w:p>
            <w:pPr>
              <w:numPr>
                <w:ilvl w:val="0"/>
                <w:numId w:val="25"/>
              </w:numPr>
              <w:wordWrap w:val="0"/>
              <w:rPr>
                <w:rFonts w:ascii="宋体" w:hAnsi="宋体" w:eastAsia="宋体" w:cs="宋体"/>
              </w:rPr>
            </w:pPr>
            <w:r>
              <w:rPr>
                <w:rFonts w:hint="eastAsia" w:ascii="宋体" w:hAnsi="宋体" w:eastAsia="宋体" w:cs="宋体"/>
              </w:rPr>
              <w:t>支持站群级别、站点级别的文章扩展字段自定义。</w:t>
            </w:r>
          </w:p>
          <w:p>
            <w:pPr>
              <w:numPr>
                <w:ilvl w:val="0"/>
                <w:numId w:val="25"/>
              </w:numPr>
              <w:wordWrap w:val="0"/>
              <w:rPr>
                <w:rFonts w:ascii="宋体" w:hAnsi="宋体" w:eastAsia="宋体" w:cs="宋体"/>
              </w:rPr>
            </w:pPr>
            <w:r>
              <w:rPr>
                <w:rFonts w:hint="eastAsia" w:ascii="宋体" w:hAnsi="宋体" w:eastAsia="宋体" w:cs="宋体"/>
              </w:rPr>
              <w:t>支持新闻时效性管理，可以设置新闻上线及下线时间。</w:t>
            </w:r>
          </w:p>
          <w:p>
            <w:pPr>
              <w:numPr>
                <w:ilvl w:val="0"/>
                <w:numId w:val="25"/>
              </w:numPr>
              <w:wordWrap w:val="0"/>
              <w:rPr>
                <w:rFonts w:ascii="宋体" w:hAnsi="宋体" w:eastAsia="宋体" w:cs="宋体"/>
              </w:rPr>
            </w:pPr>
            <w:r>
              <w:rPr>
                <w:rFonts w:hint="eastAsia" w:ascii="宋体" w:hAnsi="宋体" w:eastAsia="宋体" w:cs="宋体"/>
              </w:rPr>
              <w:t>支持文章或栏目访问权限管理，可以设置配置对应的访问权限IP规则或可访问角色。</w:t>
            </w:r>
          </w:p>
          <w:p>
            <w:pPr>
              <w:numPr>
                <w:ilvl w:val="0"/>
                <w:numId w:val="25"/>
              </w:numPr>
              <w:wordWrap w:val="0"/>
              <w:rPr>
                <w:rFonts w:ascii="宋体" w:hAnsi="宋体" w:eastAsia="宋体" w:cs="宋体"/>
              </w:rPr>
            </w:pPr>
            <w:r>
              <w:rPr>
                <w:rFonts w:hint="eastAsia" w:ascii="宋体" w:hAnsi="宋体" w:eastAsia="宋体" w:cs="宋体"/>
              </w:rPr>
              <w:t>支持对历史数据进行归档，提升网站前台加载速度。</w:t>
            </w:r>
          </w:p>
          <w:p>
            <w:pPr>
              <w:numPr>
                <w:ilvl w:val="0"/>
                <w:numId w:val="25"/>
              </w:numPr>
              <w:wordWrap w:val="0"/>
              <w:rPr>
                <w:rFonts w:ascii="宋体" w:hAnsi="宋体" w:eastAsia="宋体" w:cs="宋体"/>
              </w:rPr>
            </w:pPr>
            <w:r>
              <w:rPr>
                <w:rFonts w:hint="eastAsia" w:ascii="宋体" w:hAnsi="宋体" w:eastAsia="宋体" w:cs="宋体"/>
              </w:rPr>
              <w:t>编辑器会定期对文章进行保存形成草稿，在草稿箱中可以调用草稿文章，避免浏览器崩溃或其他原因引起的新闻丢失。</w:t>
            </w:r>
          </w:p>
          <w:p>
            <w:pPr>
              <w:numPr>
                <w:ilvl w:val="0"/>
                <w:numId w:val="25"/>
              </w:numPr>
              <w:wordWrap w:val="0"/>
              <w:rPr>
                <w:rFonts w:ascii="宋体" w:hAnsi="宋体" w:eastAsia="宋体" w:cs="宋体"/>
              </w:rPr>
            </w:pPr>
            <w:r>
              <w:rPr>
                <w:rFonts w:hint="eastAsia" w:ascii="宋体" w:hAnsi="宋体"/>
                <w:szCs w:val="22"/>
              </w:rPr>
              <w:t>支持文章历史修改过程记录，能够针对文章的不同历史版本，指定两个历史稿件进行同一界面下的双窗口内容比对，针对增删改等不同的修改点，实现不同颜色标记，便于审核人员审核校对。</w:t>
            </w:r>
          </w:p>
          <w:p>
            <w:pPr>
              <w:numPr>
                <w:ilvl w:val="0"/>
                <w:numId w:val="25"/>
              </w:numPr>
              <w:wordWrap w:val="0"/>
              <w:rPr>
                <w:rFonts w:ascii="宋体" w:hAnsi="宋体" w:eastAsia="宋体" w:cs="宋体"/>
              </w:rPr>
            </w:pPr>
            <w:r>
              <w:rPr>
                <w:rFonts w:hint="eastAsia" w:ascii="宋体" w:hAnsi="宋体" w:eastAsia="宋体" w:cs="宋体"/>
              </w:rPr>
              <w:t>文章列支持拖拽式排序，可通过显性化拖拽方便的针对当前模块文章进行排序，拖拽排序之后保存，无需重新发布，即可实现前端页面文章顺序同步更新。</w:t>
            </w:r>
          </w:p>
          <w:p>
            <w:pPr>
              <w:numPr>
                <w:ilvl w:val="0"/>
                <w:numId w:val="25"/>
              </w:numPr>
              <w:wordWrap w:val="0"/>
              <w:rPr>
                <w:rFonts w:ascii="宋体" w:hAnsi="宋体" w:eastAsia="宋体" w:cs="宋体"/>
              </w:rPr>
            </w:pPr>
            <w:r>
              <w:rPr>
                <w:rFonts w:hint="eastAsia" w:ascii="宋体" w:hAnsi="宋体" w:eastAsia="宋体" w:cs="宋体"/>
              </w:rPr>
              <w:t>支持文章发布时投递功能，在文章发布时，可以选择推送至本网站其他栏目，或者其他网站的多个栏目。</w:t>
            </w:r>
          </w:p>
          <w:p>
            <w:pPr>
              <w:numPr>
                <w:ilvl w:val="0"/>
                <w:numId w:val="25"/>
              </w:numPr>
              <w:wordWrap w:val="0"/>
              <w:rPr>
                <w:rFonts w:ascii="宋体" w:hAnsi="宋体" w:eastAsia="宋体" w:cs="宋体"/>
              </w:rPr>
            </w:pPr>
            <w:r>
              <w:rPr>
                <w:rFonts w:hint="eastAsia" w:ascii="宋体" w:hAnsi="宋体" w:eastAsia="宋体" w:cs="宋体"/>
              </w:rPr>
              <w:t>系统能够记录详细的文章操作日志，可以记录站群系统中被操作文章的网站名称、网站账号、操作者账号、姓名、IP地址、操作时间、操作内容、操作类型等信息，支持按照站点和操作类型进行查看，并具有查询功能，同时支持以Excel文件导出，使得每篇文章内容操作都有据可查，保障站群中所有站点内容安全。</w:t>
            </w:r>
          </w:p>
          <w:p>
            <w:pPr>
              <w:numPr>
                <w:ilvl w:val="0"/>
                <w:numId w:val="25"/>
              </w:numPr>
              <w:wordWrap w:val="0"/>
              <w:rPr>
                <w:rFonts w:ascii="宋体" w:hAnsi="宋体" w:eastAsia="宋体" w:cs="宋体"/>
              </w:rPr>
            </w:pPr>
            <w:r>
              <w:rPr>
                <w:rFonts w:hint="eastAsia" w:ascii="宋体" w:hAnsi="宋体" w:eastAsia="宋体" w:cs="宋体"/>
              </w:rPr>
              <w:t>系统具有可视化审核流程配置功能，可以针对不同的栏目设置不同的审核体系，审核过程全程可视化，可以配置多级审核流程，可以对多个栏目快速设置相同的审核流程。可以查看被审核文章当前的审核状态及处理人、处理意见等相关信息。</w:t>
            </w:r>
          </w:p>
          <w:p>
            <w:pPr>
              <w:numPr>
                <w:ilvl w:val="0"/>
                <w:numId w:val="25"/>
              </w:numPr>
              <w:wordWrap w:val="0"/>
              <w:rPr>
                <w:rFonts w:ascii="宋体" w:hAnsi="宋体" w:eastAsia="宋体" w:cs="宋体"/>
              </w:rPr>
            </w:pPr>
            <w:r>
              <w:rPr>
                <w:rFonts w:hint="eastAsia" w:ascii="宋体" w:hAnsi="宋体" w:eastAsia="宋体" w:cs="宋体"/>
              </w:rPr>
              <w:t>系统内置消息通知机制，消息可分为个人消息和系统消息，管理员可根据需求来自定义接收消息类型，并且支持选择多种接收方式，如消息接收或者邮件接收。</w:t>
            </w:r>
          </w:p>
          <w:p>
            <w:pPr>
              <w:numPr>
                <w:ilvl w:val="0"/>
                <w:numId w:val="25"/>
              </w:numPr>
              <w:wordWrap w:val="0"/>
              <w:rPr>
                <w:rFonts w:ascii="宋体" w:hAnsi="宋体" w:eastAsia="宋体" w:cs="宋体"/>
              </w:rPr>
            </w:pPr>
            <w:r>
              <w:rPr>
                <w:rFonts w:hint="eastAsia" w:ascii="宋体" w:hAnsi="宋体" w:eastAsia="宋体" w:cs="宋体"/>
                <w:kern w:val="0"/>
              </w:rPr>
              <w:t>系统提供信息采集功能，支持web采集与数据库采集两种方式。利用信息采集功能，使系统能对通过第三方数据库，或者对指定网站、版块或栏目进行自动搜索和信息采集。</w:t>
            </w:r>
          </w:p>
          <w:p>
            <w:pPr>
              <w:numPr>
                <w:ilvl w:val="0"/>
                <w:numId w:val="25"/>
              </w:numPr>
              <w:wordWrap w:val="0"/>
              <w:rPr>
                <w:rFonts w:ascii="宋体" w:hAnsi="宋体" w:eastAsia="宋体" w:cs="宋体"/>
              </w:rPr>
            </w:pPr>
            <w:r>
              <w:rPr>
                <w:rFonts w:hint="eastAsia" w:ascii="宋体" w:hAnsi="宋体" w:eastAsia="宋体" w:cs="宋体"/>
                <w:kern w:val="0"/>
              </w:rPr>
              <w:t>支持跨站全文检索，用户可以在任意网站群站点中搜索网站群内部的信息。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50" w:type="dxa"/>
            <w:vAlign w:val="center"/>
          </w:tcPr>
          <w:p>
            <w:pPr>
              <w:wordWrap w:val="0"/>
              <w:snapToGrid/>
              <w:jc w:val="center"/>
              <w:rPr>
                <w:rFonts w:ascii="宋体" w:hAnsi="宋体" w:eastAsia="宋体" w:cs="宋体"/>
                <w:kern w:val="0"/>
              </w:rPr>
            </w:pPr>
            <w:r>
              <w:rPr>
                <w:rFonts w:hint="eastAsia" w:ascii="宋体" w:hAnsi="宋体" w:eastAsia="宋体" w:cs="宋体"/>
                <w:kern w:val="0"/>
              </w:rPr>
              <w:t>内容安全</w:t>
            </w:r>
          </w:p>
        </w:tc>
        <w:tc>
          <w:tcPr>
            <w:tcW w:w="8169" w:type="dxa"/>
            <w:vAlign w:val="center"/>
          </w:tcPr>
          <w:p>
            <w:pPr>
              <w:numPr>
                <w:ilvl w:val="0"/>
                <w:numId w:val="26"/>
              </w:numPr>
              <w:wordWrap w:val="0"/>
              <w:ind w:hanging="630"/>
              <w:rPr>
                <w:rFonts w:ascii="宋体" w:hAnsi="宋体" w:eastAsia="宋体" w:cs="宋体"/>
              </w:rPr>
            </w:pPr>
            <w:r>
              <w:rPr>
                <w:rFonts w:hint="eastAsia" w:ascii="宋体" w:hAnsi="宋体" w:eastAsia="宋体" w:cs="宋体"/>
              </w:rPr>
              <w:t>★系统支持配置开设专属的内容安全管理员入口，方便校级内容安全管理人员对平台及各个站点的内容安全问题数据进行全面检测及处理跟踪。</w:t>
            </w:r>
          </w:p>
          <w:p>
            <w:pPr>
              <w:numPr>
                <w:ilvl w:val="0"/>
                <w:numId w:val="26"/>
              </w:numPr>
              <w:wordWrap w:val="0"/>
              <w:ind w:hanging="630"/>
              <w:rPr>
                <w:rFonts w:ascii="宋体" w:hAnsi="宋体" w:eastAsia="宋体" w:cs="宋体"/>
              </w:rPr>
            </w:pPr>
            <w:r>
              <w:rPr>
                <w:rFonts w:hint="eastAsia" w:ascii="宋体" w:hAnsi="宋体" w:eastAsia="宋体" w:cs="宋体"/>
              </w:rPr>
              <w:t>要求系统提供自定义的敏感词库、自定义的错别字库、非法链接库、敏感人物库，词库词条支持手动添加/下载/批量导入等操作，支持对单个词汇或链接进行启用、修改、删除等操作，支持对库内的词汇或链接进行模糊搜索查询。此外，也要求支持敏感内容的上报功能，实现敏感词库自定义。</w:t>
            </w:r>
          </w:p>
          <w:p>
            <w:pPr>
              <w:numPr>
                <w:ilvl w:val="0"/>
                <w:numId w:val="26"/>
              </w:numPr>
              <w:wordWrap w:val="0"/>
              <w:ind w:hanging="630"/>
              <w:rPr>
                <w:rFonts w:ascii="宋体" w:hAnsi="宋体" w:eastAsia="宋体" w:cs="宋体"/>
              </w:rPr>
            </w:pPr>
            <w:r>
              <w:rPr>
                <w:rFonts w:hint="eastAsia" w:ascii="宋体" w:hAnsi="宋体" w:eastAsia="宋体" w:cs="宋体"/>
              </w:rPr>
              <w:t>要求系统提供误报词库，系统支持手动添加、删除、修改、启用误报词，支持下载误报词库模板、导入误报词库，支持对误报词库内的误报词进行模糊搜索查询。</w:t>
            </w:r>
          </w:p>
          <w:p>
            <w:pPr>
              <w:numPr>
                <w:ilvl w:val="0"/>
                <w:numId w:val="26"/>
              </w:numPr>
              <w:wordWrap w:val="0"/>
              <w:ind w:hanging="630"/>
              <w:rPr>
                <w:rFonts w:ascii="宋体" w:hAnsi="宋体" w:eastAsia="宋体" w:cs="宋体"/>
              </w:rPr>
            </w:pPr>
            <w:r>
              <w:rPr>
                <w:rFonts w:hint="eastAsia" w:ascii="宋体" w:hAnsi="宋体" w:eastAsia="宋体" w:cs="宋体"/>
              </w:rPr>
              <w:t>文章敏感信息事前检测：添加文章时，支持对文章内容进行手动检测，发布文章时，支持对文章内容进行自动检测，检测文章是否存在敏感词、错别字、隐私信息、非法链接、敏感人物，发现问题弹窗告警用户，对文章内的敏感信息支持定位处理。</w:t>
            </w:r>
          </w:p>
          <w:p>
            <w:pPr>
              <w:numPr>
                <w:ilvl w:val="0"/>
                <w:numId w:val="26"/>
              </w:numPr>
              <w:wordWrap w:val="0"/>
              <w:ind w:hanging="630"/>
              <w:rPr>
                <w:rFonts w:ascii="宋体" w:hAnsi="宋体" w:eastAsia="宋体" w:cs="宋体"/>
                <w:b/>
                <w:bCs/>
              </w:rPr>
            </w:pPr>
            <w:r>
              <w:rPr>
                <w:rFonts w:hint="eastAsia" w:ascii="宋体" w:hAnsi="宋体" w:eastAsia="宋体" w:cs="宋体"/>
                <w:b/>
                <w:bCs/>
              </w:rPr>
              <w:t>在针对文章敏感信息的处理过程中，如需针对当前敏感信息进行忽略，则后台需提供忽略原因回复窗口，存在敏感信息被忽略的文档条目，将持续展示忽略标记，便于管理员快速了解到文章的敏感信息忽略具体原因。</w:t>
            </w:r>
            <w:r>
              <w:rPr>
                <w:rFonts w:hint="eastAsia" w:ascii="宋体" w:hAnsi="宋体" w:eastAsia="宋体" w:cs="宋体"/>
                <w:b/>
                <w:bCs/>
                <w:kern w:val="0"/>
                <w:lang w:eastAsia="zh-CN"/>
              </w:rPr>
              <w:t>（</w:t>
            </w:r>
            <w:r>
              <w:rPr>
                <w:rFonts w:hint="eastAsia" w:ascii="宋体" w:hAnsi="宋体" w:eastAsia="宋体" w:cs="Times New Roman"/>
                <w:b/>
                <w:bCs/>
                <w:color w:val="000000" w:themeColor="text1"/>
                <w:sz w:val="24"/>
                <w:lang w:eastAsia="zh-CN"/>
                <w14:textFill>
                  <w14:solidFill>
                    <w14:schemeClr w14:val="tx1"/>
                  </w14:solidFill>
                </w14:textFill>
              </w:rPr>
              <w:t>需提供截图证明材料）</w:t>
            </w:r>
          </w:p>
          <w:p>
            <w:pPr>
              <w:numPr>
                <w:ilvl w:val="0"/>
                <w:numId w:val="26"/>
              </w:numPr>
              <w:wordWrap w:val="0"/>
              <w:ind w:hanging="630"/>
              <w:rPr>
                <w:rFonts w:ascii="宋体" w:hAnsi="宋体" w:eastAsia="宋体" w:cs="宋体"/>
              </w:rPr>
            </w:pPr>
            <w:r>
              <w:rPr>
                <w:rFonts w:hint="eastAsia" w:ascii="宋体" w:hAnsi="宋体" w:eastAsia="宋体" w:cs="宋体"/>
              </w:rPr>
              <w:t>支持对网站群所有站点进行内容安全检测，检测当前站群所有网站文章、资料、模板、附件是否存在敏感信息，支持一键检测或自定义范围检测，在检测过程中，展示当前检测站点及进度，检测完成后展示当前检测结果概览。</w:t>
            </w:r>
          </w:p>
          <w:p>
            <w:pPr>
              <w:numPr>
                <w:ilvl w:val="0"/>
                <w:numId w:val="26"/>
              </w:numPr>
              <w:wordWrap w:val="0"/>
              <w:ind w:hanging="630"/>
              <w:rPr>
                <w:rFonts w:ascii="宋体" w:hAnsi="宋体" w:eastAsia="宋体" w:cs="宋体"/>
              </w:rPr>
            </w:pPr>
            <w:r>
              <w:rPr>
                <w:rFonts w:hint="eastAsia" w:ascii="宋体" w:hAnsi="宋体" w:eastAsia="宋体" w:cs="宋体"/>
              </w:rPr>
              <w:t>支持以站点视角及全局视角两种维度，查看站群下的各个站点内容安全检测结果，可对文章、资料、模板、附件进行单个或批量处理，处理完成后可对处理结果进行一键验证。</w:t>
            </w:r>
          </w:p>
          <w:p>
            <w:pPr>
              <w:numPr>
                <w:ilvl w:val="0"/>
                <w:numId w:val="26"/>
              </w:numPr>
              <w:wordWrap w:val="0"/>
              <w:ind w:hanging="630"/>
              <w:rPr>
                <w:rFonts w:ascii="宋体" w:hAnsi="宋体" w:eastAsia="宋体" w:cs="宋体"/>
              </w:rPr>
            </w:pPr>
            <w:r>
              <w:rPr>
                <w:rFonts w:hint="eastAsia" w:ascii="宋体" w:hAnsi="宋体" w:eastAsia="宋体" w:cs="宋体"/>
              </w:rPr>
              <w:t>支持查看当前站点敏感信息检测结果，可对当前站点文章、资料、模板、附件内容进行单个处理，处理完成后可对处理结果进行一键验证。</w:t>
            </w:r>
          </w:p>
          <w:p>
            <w:pPr>
              <w:numPr>
                <w:ilvl w:val="0"/>
                <w:numId w:val="26"/>
              </w:numPr>
              <w:wordWrap w:val="0"/>
              <w:ind w:hanging="630"/>
              <w:rPr>
                <w:rFonts w:ascii="宋体" w:hAnsi="宋体" w:eastAsia="宋体" w:cs="宋体"/>
              </w:rPr>
            </w:pPr>
            <w:r>
              <w:rPr>
                <w:rFonts w:hint="eastAsia" w:ascii="宋体" w:hAnsi="宋体" w:eastAsia="宋体" w:cs="宋体"/>
              </w:rPr>
              <w:t>历史处理结果统计：支持对每次检测后的处理结果进行统计分析，包括已处理数量及未处理数量，可对单次检测后的处理结果进行本地excel导出。</w:t>
            </w:r>
          </w:p>
          <w:p>
            <w:pPr>
              <w:numPr>
                <w:ilvl w:val="0"/>
                <w:numId w:val="26"/>
              </w:numPr>
              <w:wordWrap w:val="0"/>
              <w:ind w:hanging="630"/>
              <w:rPr>
                <w:rFonts w:ascii="宋体" w:hAnsi="宋体" w:eastAsia="宋体" w:cs="宋体"/>
                <w:kern w:val="0"/>
              </w:rPr>
            </w:pPr>
            <w:r>
              <w:rPr>
                <w:rFonts w:hint="eastAsia" w:ascii="宋体" w:hAnsi="宋体" w:eastAsia="宋体" w:cs="宋体"/>
                <w:kern w:val="0"/>
              </w:rPr>
              <w:t>支持分别从文章、附件（word、excel、可解析的PDF等）、评论、栏目、模板等不同类型的内容进行敏感信息精准搜索；搜索结果可实现快速撤稿或逐一修改处理。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50" w:type="dxa"/>
            <w:vAlign w:val="center"/>
          </w:tcPr>
          <w:p>
            <w:pPr>
              <w:wordWrap w:val="0"/>
              <w:snapToGrid/>
              <w:jc w:val="center"/>
              <w:rPr>
                <w:rFonts w:ascii="宋体" w:hAnsi="宋体" w:eastAsia="宋体" w:cs="宋体"/>
                <w:kern w:val="0"/>
              </w:rPr>
            </w:pPr>
            <w:r>
              <w:rPr>
                <w:rFonts w:hint="eastAsia" w:ascii="宋体" w:hAnsi="宋体" w:eastAsia="宋体" w:cs="宋体"/>
                <w:kern w:val="0"/>
              </w:rPr>
              <w:t>统计分析</w:t>
            </w:r>
          </w:p>
        </w:tc>
        <w:tc>
          <w:tcPr>
            <w:tcW w:w="8169" w:type="dxa"/>
            <w:vAlign w:val="center"/>
          </w:tcPr>
          <w:p>
            <w:pPr>
              <w:numPr>
                <w:ilvl w:val="0"/>
                <w:numId w:val="27"/>
              </w:numPr>
              <w:wordWrap w:val="0"/>
              <w:snapToGrid/>
              <w:rPr>
                <w:rFonts w:ascii="宋体" w:hAnsi="宋体" w:eastAsia="宋体" w:cs="宋体"/>
                <w:kern w:val="0"/>
              </w:rPr>
            </w:pPr>
            <w:r>
              <w:rPr>
                <w:rFonts w:hint="eastAsia" w:ascii="宋体" w:hAnsi="宋体" w:eastAsia="宋体" w:cs="宋体"/>
                <w:kern w:val="0"/>
              </w:rPr>
              <w:t>支持针对网站访问的相关数据统计，包括统计访问记录、页面浏览数、来访IP数、访问时间段、访问排名及来访省份统计。</w:t>
            </w:r>
          </w:p>
          <w:p>
            <w:pPr>
              <w:numPr>
                <w:ilvl w:val="0"/>
                <w:numId w:val="27"/>
              </w:numPr>
              <w:wordWrap w:val="0"/>
              <w:snapToGrid/>
              <w:rPr>
                <w:rFonts w:ascii="宋体" w:hAnsi="宋体" w:eastAsia="宋体" w:cs="宋体"/>
                <w:kern w:val="0"/>
              </w:rPr>
            </w:pPr>
            <w:r>
              <w:rPr>
                <w:rFonts w:hint="eastAsia" w:ascii="宋体" w:hAnsi="宋体" w:eastAsia="宋体" w:cs="宋体"/>
                <w:kern w:val="0"/>
              </w:rPr>
              <w:t>支持针对网站内容的相关数据统计，包括网站管理员信息量、栏目信息量、分组信息量、栏目新闻数、网站在线管理员等数据的统计。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50" w:type="dxa"/>
            <w:vAlign w:val="center"/>
          </w:tcPr>
          <w:p>
            <w:pPr>
              <w:wordWrap w:val="0"/>
              <w:snapToGrid/>
              <w:jc w:val="center"/>
              <w:rPr>
                <w:rFonts w:ascii="宋体" w:hAnsi="宋体" w:eastAsia="宋体" w:cs="宋体"/>
                <w:kern w:val="0"/>
              </w:rPr>
            </w:pPr>
            <w:r>
              <w:rPr>
                <w:rFonts w:hint="eastAsia" w:ascii="宋体" w:hAnsi="宋体" w:eastAsia="宋体" w:cs="宋体"/>
                <w:kern w:val="0"/>
              </w:rPr>
              <w:t>安全防护</w:t>
            </w:r>
          </w:p>
        </w:tc>
        <w:tc>
          <w:tcPr>
            <w:tcW w:w="8169" w:type="dxa"/>
            <w:vAlign w:val="center"/>
          </w:tcPr>
          <w:p>
            <w:pPr>
              <w:wordWrap w:val="0"/>
              <w:snapToGrid/>
              <w:ind w:firstLine="420" w:firstLineChars="200"/>
              <w:rPr>
                <w:rFonts w:ascii="宋体" w:hAnsi="宋体" w:eastAsia="宋体" w:cs="宋体"/>
                <w:kern w:val="0"/>
              </w:rPr>
            </w:pPr>
            <w:r>
              <w:rPr>
                <w:rFonts w:hint="eastAsia" w:ascii="宋体" w:hAnsi="宋体" w:eastAsia="宋体" w:cs="宋体"/>
                <w:kern w:val="0"/>
              </w:rPr>
              <w:t>1、数据备份安全</w:t>
            </w:r>
          </w:p>
          <w:p>
            <w:pPr>
              <w:numPr>
                <w:ilvl w:val="0"/>
                <w:numId w:val="28"/>
              </w:numPr>
              <w:wordWrap w:val="0"/>
              <w:snapToGrid/>
              <w:rPr>
                <w:rFonts w:ascii="宋体" w:hAnsi="宋体" w:eastAsia="宋体" w:cs="宋体"/>
                <w:kern w:val="0"/>
              </w:rPr>
            </w:pPr>
            <w:r>
              <w:rPr>
                <w:rFonts w:hint="eastAsia" w:ascii="宋体" w:hAnsi="宋体" w:eastAsia="宋体" w:cs="宋体"/>
                <w:kern w:val="0"/>
              </w:rPr>
              <w:t>要求具备独立的远程异地备份系统，使用独立的后台实现登录及备份快照管理和恢复，系统支持对网站进行快照式备份，恢复过程可针对数据单独恢复或对网站数据及模板进行全量恢复。同时，系统提供自动检测备份包的完整性功能。</w:t>
            </w:r>
          </w:p>
          <w:p>
            <w:pPr>
              <w:numPr>
                <w:ilvl w:val="0"/>
                <w:numId w:val="28"/>
              </w:numPr>
              <w:wordWrap w:val="0"/>
              <w:snapToGrid/>
              <w:rPr>
                <w:rFonts w:ascii="宋体" w:hAnsi="宋体" w:eastAsia="宋体" w:cs="宋体"/>
                <w:kern w:val="0"/>
              </w:rPr>
            </w:pPr>
            <w:r>
              <w:rPr>
                <w:rFonts w:hint="eastAsia" w:ascii="宋体" w:hAnsi="宋体" w:eastAsia="宋体" w:cs="宋体"/>
                <w:kern w:val="0"/>
              </w:rPr>
              <w:t>网站群系统要求具有站点恢复功能，子站不需要单独备份，可直接使用系统备份文件实现抽取式恢复。</w:t>
            </w:r>
          </w:p>
          <w:p>
            <w:pPr>
              <w:numPr>
                <w:ilvl w:val="0"/>
                <w:numId w:val="28"/>
              </w:numPr>
              <w:wordWrap w:val="0"/>
              <w:snapToGrid/>
              <w:rPr>
                <w:rFonts w:ascii="宋体" w:hAnsi="宋体" w:eastAsia="宋体" w:cs="宋体"/>
                <w:kern w:val="0"/>
              </w:rPr>
            </w:pPr>
            <w:r>
              <w:rPr>
                <w:rFonts w:hint="eastAsia" w:ascii="宋体" w:hAnsi="宋体" w:eastAsia="宋体" w:cs="宋体"/>
                <w:kern w:val="0"/>
              </w:rPr>
              <w:t>系统提供备份包自动清理功能。用户可以通过设置清理策略，系统会根据策略定时自行清理掉不需要的备份包，节省磁盘空间占用。</w:t>
            </w:r>
          </w:p>
          <w:p>
            <w:pPr>
              <w:wordWrap w:val="0"/>
              <w:snapToGrid/>
              <w:ind w:firstLine="420" w:firstLineChars="200"/>
              <w:rPr>
                <w:rFonts w:ascii="宋体" w:hAnsi="宋体" w:eastAsia="宋体" w:cs="宋体"/>
                <w:kern w:val="0"/>
              </w:rPr>
            </w:pPr>
            <w:r>
              <w:rPr>
                <w:rFonts w:hint="eastAsia" w:ascii="宋体" w:hAnsi="宋体" w:eastAsia="宋体" w:cs="宋体"/>
                <w:kern w:val="0"/>
              </w:rPr>
              <w:t>2、安全防护措施</w:t>
            </w:r>
          </w:p>
          <w:p>
            <w:pPr>
              <w:numPr>
                <w:ilvl w:val="0"/>
                <w:numId w:val="29"/>
              </w:numPr>
              <w:wordWrap w:val="0"/>
              <w:snapToGrid/>
              <w:rPr>
                <w:rFonts w:ascii="宋体" w:hAnsi="宋体" w:eastAsia="宋体" w:cs="宋体"/>
                <w:kern w:val="0"/>
              </w:rPr>
            </w:pPr>
            <w:r>
              <w:rPr>
                <w:rFonts w:hint="eastAsia" w:ascii="宋体" w:hAnsi="宋体" w:eastAsia="宋体" w:cs="宋体"/>
                <w:kern w:val="0"/>
              </w:rPr>
              <w:t>支持密码强度规则设置，并且提供简单密码口令库，对密码进行统一查看、管理维护。使用简单口令库中的密码在创建用户时系统会自动阻止。系统针对密码加密，采用国密算法，保障密码不被暴力猜解。</w:t>
            </w:r>
          </w:p>
          <w:p>
            <w:pPr>
              <w:numPr>
                <w:ilvl w:val="0"/>
                <w:numId w:val="29"/>
              </w:numPr>
              <w:wordWrap w:val="0"/>
              <w:snapToGrid/>
              <w:rPr>
                <w:rFonts w:ascii="宋体" w:hAnsi="宋体" w:eastAsia="宋体" w:cs="宋体"/>
                <w:kern w:val="0"/>
              </w:rPr>
            </w:pPr>
            <w:r>
              <w:rPr>
                <w:rFonts w:hint="eastAsia" w:ascii="宋体" w:hAnsi="宋体" w:eastAsia="宋体" w:cs="宋体"/>
                <w:kern w:val="0"/>
              </w:rPr>
              <w:t>网站群系统要求具有IP规则设置和账号安全管理功能，管理员可以设置不同的IP范围，用来限制管理员后台登录。</w:t>
            </w:r>
          </w:p>
          <w:p>
            <w:pPr>
              <w:numPr>
                <w:ilvl w:val="0"/>
                <w:numId w:val="29"/>
              </w:numPr>
              <w:wordWrap w:val="0"/>
              <w:snapToGrid/>
              <w:rPr>
                <w:rFonts w:ascii="宋体" w:hAnsi="宋体" w:eastAsia="宋体" w:cs="宋体"/>
                <w:kern w:val="0"/>
              </w:rPr>
            </w:pPr>
            <w:r>
              <w:rPr>
                <w:rFonts w:hint="eastAsia" w:ascii="宋体" w:hAnsi="宋体" w:eastAsia="宋体" w:cs="宋体"/>
                <w:kern w:val="0"/>
              </w:rPr>
              <w:t>系统应内置应用防火墙，内置被动防御策略集，针对危险行为进行IP封禁，并可管理黑名单及白名单，通过使用入侵防护日志，可以详细了解攻击者的归属地、IP地址、攻击位置、攻击特征以及攻击时间等重要信息。</w:t>
            </w:r>
          </w:p>
          <w:p>
            <w:pPr>
              <w:numPr>
                <w:ilvl w:val="0"/>
                <w:numId w:val="29"/>
              </w:numPr>
              <w:wordWrap w:val="0"/>
              <w:snapToGrid/>
              <w:rPr>
                <w:rFonts w:ascii="宋体" w:hAnsi="宋体" w:eastAsia="宋体" w:cs="宋体"/>
                <w:kern w:val="0"/>
              </w:rPr>
            </w:pPr>
            <w:r>
              <w:rPr>
                <w:rFonts w:hint="eastAsia" w:ascii="宋体" w:hAnsi="宋体" w:eastAsia="宋体" w:cs="宋体"/>
                <w:kern w:val="0"/>
              </w:rPr>
              <w:t>系统应支持危险文件</w:t>
            </w:r>
            <w:r>
              <w:rPr>
                <w:rFonts w:hint="eastAsia" w:ascii="宋体" w:hAnsi="宋体" w:eastAsia="宋体" w:cs="宋体"/>
              </w:rPr>
              <w:t>检测</w:t>
            </w:r>
            <w:r>
              <w:rPr>
                <w:rFonts w:hint="eastAsia" w:ascii="宋体" w:hAnsi="宋体" w:eastAsia="宋体" w:cs="宋体"/>
                <w:kern w:val="0"/>
              </w:rPr>
              <w:t>，</w:t>
            </w:r>
            <w:r>
              <w:rPr>
                <w:rFonts w:hint="eastAsia" w:ascii="宋体" w:hAnsi="宋体" w:eastAsia="宋体" w:cs="宋体"/>
              </w:rPr>
              <w:t>检测</w:t>
            </w:r>
            <w:r>
              <w:rPr>
                <w:rFonts w:hint="eastAsia" w:ascii="宋体" w:hAnsi="宋体" w:eastAsia="宋体" w:cs="宋体"/>
                <w:kern w:val="0"/>
              </w:rPr>
              <w:t>服务器中包含特殊代码的文件，并提供</w:t>
            </w:r>
            <w:r>
              <w:rPr>
                <w:rFonts w:hint="eastAsia" w:ascii="宋体" w:hAnsi="宋体" w:eastAsia="宋体" w:cs="宋体"/>
              </w:rPr>
              <w:t>检测</w:t>
            </w:r>
            <w:r>
              <w:rPr>
                <w:rFonts w:hint="eastAsia" w:ascii="宋体" w:hAnsi="宋体" w:eastAsia="宋体" w:cs="宋体"/>
                <w:kern w:val="0"/>
              </w:rPr>
              <w:t>日志，同时允许手动、自动更新危险网站黑名单及信任网站白名单。</w:t>
            </w:r>
          </w:p>
          <w:p>
            <w:pPr>
              <w:numPr>
                <w:ilvl w:val="0"/>
                <w:numId w:val="29"/>
              </w:numPr>
              <w:wordWrap w:val="0"/>
              <w:snapToGrid/>
              <w:rPr>
                <w:rFonts w:ascii="宋体" w:hAnsi="宋体" w:eastAsia="宋体" w:cs="宋体"/>
                <w:kern w:val="0"/>
              </w:rPr>
            </w:pPr>
            <w:r>
              <w:rPr>
                <w:rFonts w:hint="eastAsia" w:ascii="宋体" w:hAnsi="宋体" w:eastAsia="宋体" w:cs="宋体"/>
                <w:kern w:val="0"/>
              </w:rPr>
              <w:t>系统应支持网站群体检功能，提供危险项目、安全项目、其他项目的系统体检、并可以在体检结果后直接对结果进行处理操作。</w:t>
            </w:r>
          </w:p>
          <w:p>
            <w:pPr>
              <w:numPr>
                <w:ilvl w:val="0"/>
                <w:numId w:val="29"/>
              </w:numPr>
              <w:wordWrap w:val="0"/>
              <w:snapToGrid/>
              <w:rPr>
                <w:rFonts w:ascii="宋体" w:hAnsi="宋体" w:eastAsia="宋体" w:cs="宋体"/>
                <w:kern w:val="0"/>
              </w:rPr>
            </w:pPr>
            <w:r>
              <w:rPr>
                <w:rFonts w:hint="eastAsia" w:ascii="宋体" w:hAnsi="宋体" w:eastAsia="宋体" w:cs="宋体"/>
                <w:kern w:val="0"/>
              </w:rPr>
              <w:t>在用户登录和信息传递过程中，系统支持外部SSL协议对用户名和密码的传输进行加密，保证关键信息的通信保密性。</w:t>
            </w:r>
          </w:p>
          <w:p>
            <w:pPr>
              <w:numPr>
                <w:ilvl w:val="0"/>
                <w:numId w:val="29"/>
              </w:numPr>
              <w:wordWrap w:val="0"/>
              <w:snapToGrid/>
              <w:rPr>
                <w:rFonts w:ascii="宋体" w:hAnsi="宋体" w:eastAsia="宋体" w:cs="宋体"/>
                <w:kern w:val="0"/>
              </w:rPr>
            </w:pPr>
            <w:r>
              <w:rPr>
                <w:rFonts w:hint="eastAsia" w:ascii="宋体" w:hAnsi="宋体" w:eastAsia="宋体" w:cs="宋体"/>
                <w:kern w:val="0"/>
              </w:rPr>
              <w:t>平台需要具备动态内容安全防护功能，支持对整个站群的所有动态页面进行</w:t>
            </w:r>
            <w:r>
              <w:rPr>
                <w:rFonts w:ascii="宋体" w:hAnsi="宋体" w:eastAsia="宋体" w:cs="宋体"/>
                <w:kern w:val="0"/>
              </w:rPr>
              <w:t>IP、URL等</w:t>
            </w:r>
            <w:r>
              <w:rPr>
                <w:rFonts w:hint="eastAsia" w:ascii="宋体" w:hAnsi="宋体" w:eastAsia="宋体" w:cs="宋体"/>
                <w:kern w:val="0"/>
              </w:rPr>
              <w:t>层面</w:t>
            </w:r>
            <w:r>
              <w:rPr>
                <w:rFonts w:ascii="宋体" w:hAnsi="宋体" w:eastAsia="宋体" w:cs="宋体"/>
                <w:kern w:val="0"/>
              </w:rPr>
              <w:t>和拦截处理，保证</w:t>
            </w:r>
            <w:r>
              <w:rPr>
                <w:rFonts w:hint="eastAsia" w:ascii="宋体" w:hAnsi="宋体" w:eastAsia="宋体" w:cs="宋体"/>
                <w:kern w:val="0"/>
              </w:rPr>
              <w:t>我校</w:t>
            </w:r>
            <w:r>
              <w:rPr>
                <w:rFonts w:ascii="宋体" w:hAnsi="宋体" w:eastAsia="宋体" w:cs="宋体"/>
                <w:kern w:val="0"/>
              </w:rPr>
              <w:t>平台的稳定运行</w:t>
            </w:r>
            <w:r>
              <w:rPr>
                <w:rFonts w:hint="eastAsia" w:ascii="宋体" w:hAnsi="宋体" w:eastAsia="宋体" w:cs="宋体"/>
                <w:kern w:val="0"/>
              </w:rPr>
              <w:t>。</w:t>
            </w:r>
          </w:p>
          <w:p>
            <w:pPr>
              <w:wordWrap w:val="0"/>
              <w:snapToGrid/>
              <w:ind w:firstLine="420" w:firstLineChars="200"/>
              <w:rPr>
                <w:rFonts w:ascii="宋体" w:hAnsi="宋体" w:eastAsia="宋体" w:cs="宋体"/>
                <w:kern w:val="0"/>
              </w:rPr>
            </w:pPr>
            <w:r>
              <w:rPr>
                <w:rFonts w:hint="eastAsia" w:ascii="宋体" w:hAnsi="宋体" w:eastAsia="宋体" w:cs="宋体"/>
                <w:kern w:val="0"/>
              </w:rPr>
              <w:t>3、接口管控</w:t>
            </w:r>
          </w:p>
          <w:p>
            <w:pPr>
              <w:numPr>
                <w:ilvl w:val="0"/>
                <w:numId w:val="30"/>
              </w:numPr>
              <w:wordWrap w:val="0"/>
              <w:snapToGrid/>
              <w:rPr>
                <w:rFonts w:ascii="宋体" w:hAnsi="宋体" w:eastAsia="宋体" w:cs="宋体"/>
                <w:kern w:val="0"/>
              </w:rPr>
            </w:pPr>
            <w:r>
              <w:rPr>
                <w:rFonts w:hint="eastAsia" w:ascii="宋体" w:hAnsi="宋体" w:eastAsia="宋体" w:cs="宋体"/>
                <w:kern w:val="0"/>
              </w:rPr>
              <w:t>本次投标平台需要提供开放的</w:t>
            </w:r>
            <w:r>
              <w:rPr>
                <w:rFonts w:ascii="宋体" w:hAnsi="宋体" w:eastAsia="宋体" w:cs="宋体"/>
                <w:kern w:val="0"/>
              </w:rPr>
              <w:t>API接口，支持二次开发，能实现与其他应用系统的数据交换。</w:t>
            </w:r>
          </w:p>
          <w:p>
            <w:pPr>
              <w:numPr>
                <w:ilvl w:val="0"/>
                <w:numId w:val="30"/>
              </w:numPr>
              <w:wordWrap w:val="0"/>
              <w:snapToGrid/>
              <w:rPr>
                <w:rFonts w:ascii="宋体" w:hAnsi="宋体" w:eastAsia="宋体" w:cs="宋体"/>
                <w:kern w:val="0"/>
              </w:rPr>
            </w:pPr>
            <w:r>
              <w:rPr>
                <w:rFonts w:hint="eastAsia" w:ascii="宋体" w:hAnsi="宋体" w:eastAsia="宋体" w:cs="宋体"/>
                <w:kern w:val="0"/>
              </w:rPr>
              <w:t>系统后台需要对网站开放接口调用的授权进行管理，实现开放接口的调用的安全管控。</w:t>
            </w:r>
          </w:p>
          <w:p>
            <w:pPr>
              <w:numPr>
                <w:ilvl w:val="0"/>
                <w:numId w:val="30"/>
              </w:numPr>
              <w:wordWrap w:val="0"/>
              <w:snapToGrid/>
              <w:rPr>
                <w:rFonts w:ascii="等线" w:hAnsi="等线" w:eastAsia="等线" w:cs="宋体"/>
                <w:sz w:val="21"/>
                <w:szCs w:val="22"/>
              </w:rPr>
            </w:pPr>
            <w:r>
              <w:rPr>
                <w:rFonts w:hint="eastAsia" w:ascii="宋体" w:hAnsi="宋体" w:eastAsia="宋体" w:cs="宋体"/>
                <w:kern w:val="0"/>
              </w:rPr>
              <w:t>平台需要详细记录其他应用系统对网站群的调用，完成跟踪其他应用系统调用过程。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850" w:type="dxa"/>
            <w:vAlign w:val="center"/>
          </w:tcPr>
          <w:p>
            <w:pPr>
              <w:snapToGrid/>
              <w:jc w:val="center"/>
              <w:rPr>
                <w:rFonts w:ascii="宋体" w:hAnsi="宋体" w:eastAsia="宋体" w:cs="宋体"/>
                <w:kern w:val="0"/>
              </w:rPr>
            </w:pPr>
            <w:r>
              <w:rPr>
                <w:rFonts w:hint="eastAsia" w:ascii="宋体" w:hAnsi="宋体" w:eastAsia="宋体" w:cs="宋体"/>
                <w:kern w:val="0"/>
              </w:rPr>
              <w:t>安全中心</w:t>
            </w:r>
          </w:p>
        </w:tc>
        <w:tc>
          <w:tcPr>
            <w:tcW w:w="8169" w:type="dxa"/>
            <w:vAlign w:val="center"/>
          </w:tcPr>
          <w:p>
            <w:pPr>
              <w:wordWrap w:val="0"/>
              <w:snapToGrid/>
              <w:ind w:firstLine="420" w:firstLineChars="200"/>
              <w:rPr>
                <w:rFonts w:ascii="宋体" w:hAnsi="宋体" w:eastAsia="宋体" w:cs="宋体"/>
                <w:kern w:val="0"/>
              </w:rPr>
            </w:pPr>
            <w:r>
              <w:rPr>
                <w:rFonts w:hint="eastAsia" w:ascii="宋体" w:hAnsi="宋体" w:eastAsia="宋体" w:cs="宋体"/>
                <w:kern w:val="0"/>
              </w:rPr>
              <w:t>1、安全预警</w:t>
            </w:r>
          </w:p>
          <w:p>
            <w:pPr>
              <w:numPr>
                <w:ilvl w:val="0"/>
                <w:numId w:val="31"/>
              </w:numPr>
              <w:wordWrap w:val="0"/>
              <w:snapToGrid/>
              <w:rPr>
                <w:rFonts w:ascii="宋体" w:hAnsi="宋体" w:eastAsia="宋体" w:cs="宋体"/>
                <w:kern w:val="0"/>
              </w:rPr>
            </w:pPr>
            <w:r>
              <w:rPr>
                <w:rFonts w:hint="eastAsia" w:ascii="宋体" w:hAnsi="宋体" w:eastAsia="宋体" w:cs="宋体"/>
                <w:kern w:val="0"/>
              </w:rPr>
              <w:t>提供统一的安全中心，可展示网站群系统部署结构，完整结构包含终端、发布机（多个）、运行机、管理机、远备、冷备、数据库等，可以展示各服务器运行状态及相关参数，方便管理员直观查看系统运行整体情况。</w:t>
            </w:r>
          </w:p>
          <w:p>
            <w:pPr>
              <w:numPr>
                <w:ilvl w:val="0"/>
                <w:numId w:val="31"/>
              </w:numPr>
              <w:wordWrap w:val="0"/>
              <w:snapToGrid/>
              <w:rPr>
                <w:rFonts w:ascii="宋体" w:hAnsi="宋体" w:eastAsia="宋体" w:cs="宋体"/>
                <w:kern w:val="0"/>
              </w:rPr>
            </w:pPr>
            <w:r>
              <w:rPr>
                <w:rFonts w:hint="eastAsia" w:ascii="宋体" w:hAnsi="宋体" w:eastAsia="宋体" w:cs="宋体"/>
                <w:kern w:val="0"/>
              </w:rPr>
              <w:t>提供展示安全防护项功能数量、敏感词库数量、攻击防御数量、近7日完整备份包，其中敏感词库可以进行云端更新。</w:t>
            </w:r>
          </w:p>
          <w:p>
            <w:pPr>
              <w:numPr>
                <w:ilvl w:val="0"/>
                <w:numId w:val="31"/>
              </w:numPr>
              <w:wordWrap w:val="0"/>
              <w:snapToGrid/>
              <w:rPr>
                <w:rFonts w:ascii="宋体" w:hAnsi="宋体" w:eastAsia="宋体" w:cs="宋体"/>
                <w:kern w:val="0"/>
              </w:rPr>
            </w:pPr>
            <w:r>
              <w:rPr>
                <w:rFonts w:hint="eastAsia" w:ascii="宋体" w:hAnsi="宋体" w:eastAsia="宋体" w:cs="宋体"/>
                <w:kern w:val="0"/>
              </w:rPr>
              <w:t>支持自动预警及检测，自动预警系统运维情况，点击运维情况可以进行对应的安全操作。</w:t>
            </w:r>
          </w:p>
          <w:p>
            <w:pPr>
              <w:wordWrap w:val="0"/>
              <w:snapToGrid/>
              <w:ind w:firstLine="420" w:firstLineChars="200"/>
              <w:rPr>
                <w:rFonts w:ascii="宋体" w:hAnsi="宋体" w:eastAsia="宋体" w:cs="宋体"/>
                <w:kern w:val="0"/>
              </w:rPr>
            </w:pPr>
            <w:r>
              <w:rPr>
                <w:rFonts w:hint="eastAsia" w:ascii="宋体" w:hAnsi="宋体" w:eastAsia="宋体" w:cs="宋体"/>
                <w:kern w:val="0"/>
              </w:rPr>
              <w:t>2、安全防护控制</w:t>
            </w:r>
          </w:p>
          <w:p>
            <w:pPr>
              <w:numPr>
                <w:ilvl w:val="0"/>
                <w:numId w:val="32"/>
              </w:numPr>
              <w:wordWrap w:val="0"/>
              <w:snapToGrid/>
              <w:rPr>
                <w:rFonts w:ascii="宋体" w:hAnsi="宋体" w:eastAsia="宋体" w:cs="宋体"/>
                <w:kern w:val="0"/>
              </w:rPr>
            </w:pPr>
            <w:r>
              <w:rPr>
                <w:rFonts w:hint="eastAsia" w:ascii="宋体" w:hAnsi="宋体" w:eastAsia="宋体" w:cs="宋体"/>
                <w:kern w:val="0"/>
              </w:rPr>
              <w:t>提供系统安全防护控制功能，从系统防火墙、应用防火墙、用户访问控制等维度进行网站群系统防护功能控制。</w:t>
            </w:r>
          </w:p>
          <w:p>
            <w:pPr>
              <w:numPr>
                <w:ilvl w:val="0"/>
                <w:numId w:val="32"/>
              </w:numPr>
              <w:wordWrap w:val="0"/>
              <w:snapToGrid/>
              <w:rPr>
                <w:rFonts w:ascii="宋体" w:hAnsi="宋体" w:eastAsia="宋体" w:cs="宋体"/>
                <w:kern w:val="0"/>
              </w:rPr>
            </w:pPr>
            <w:r>
              <w:rPr>
                <w:rFonts w:hint="eastAsia" w:ascii="宋体" w:hAnsi="宋体" w:eastAsia="宋体" w:cs="宋体"/>
                <w:kern w:val="0"/>
              </w:rPr>
              <w:t>安全防护控制至少包含文件防火墙、sql语法检查、注入防火墙、xss防火墙、dwr防火墙、网站访问IP封禁、账号冻结、强制修改密码、弱密码等防护项目。</w:t>
            </w:r>
          </w:p>
          <w:p>
            <w:pPr>
              <w:numPr>
                <w:ilvl w:val="0"/>
                <w:numId w:val="32"/>
              </w:numPr>
              <w:wordWrap w:val="0"/>
              <w:snapToGrid/>
              <w:rPr>
                <w:rFonts w:ascii="宋体" w:hAnsi="宋体" w:eastAsia="宋体" w:cs="宋体"/>
                <w:kern w:val="0"/>
              </w:rPr>
            </w:pPr>
            <w:r>
              <w:rPr>
                <w:rFonts w:hint="eastAsia" w:ascii="宋体" w:hAnsi="宋体" w:eastAsia="宋体" w:cs="宋体"/>
                <w:kern w:val="0"/>
              </w:rPr>
              <w:t>安全防护功能可以根据开启状态进行筛选。</w:t>
            </w:r>
          </w:p>
          <w:p>
            <w:pPr>
              <w:wordWrap w:val="0"/>
              <w:snapToGrid/>
              <w:ind w:firstLine="420" w:firstLineChars="200"/>
              <w:rPr>
                <w:rFonts w:ascii="宋体" w:hAnsi="宋体" w:eastAsia="宋体" w:cs="宋体"/>
                <w:kern w:val="0"/>
              </w:rPr>
            </w:pPr>
            <w:r>
              <w:rPr>
                <w:rFonts w:hint="eastAsia" w:ascii="宋体" w:hAnsi="宋体" w:eastAsia="宋体" w:cs="宋体"/>
                <w:kern w:val="0"/>
              </w:rPr>
              <w:t>3、系统运维监控</w:t>
            </w:r>
          </w:p>
          <w:p>
            <w:pPr>
              <w:numPr>
                <w:ilvl w:val="0"/>
                <w:numId w:val="33"/>
              </w:numPr>
              <w:wordWrap w:val="0"/>
              <w:snapToGrid/>
              <w:rPr>
                <w:rFonts w:ascii="宋体" w:hAnsi="宋体" w:eastAsia="宋体" w:cs="宋体"/>
                <w:kern w:val="0"/>
              </w:rPr>
            </w:pPr>
            <w:r>
              <w:rPr>
                <w:rFonts w:hint="eastAsia" w:ascii="宋体" w:hAnsi="宋体" w:eastAsia="宋体" w:cs="宋体"/>
                <w:kern w:val="0"/>
              </w:rPr>
              <w:t>支持查看服务器运行状态，了解资源使用情况。</w:t>
            </w:r>
          </w:p>
          <w:p>
            <w:pPr>
              <w:numPr>
                <w:ilvl w:val="0"/>
                <w:numId w:val="33"/>
              </w:numPr>
              <w:wordWrap w:val="0"/>
              <w:snapToGrid/>
              <w:rPr>
                <w:rFonts w:ascii="宋体" w:hAnsi="宋体" w:eastAsia="宋体" w:cs="宋体"/>
                <w:kern w:val="0"/>
              </w:rPr>
            </w:pPr>
            <w:r>
              <w:rPr>
                <w:rFonts w:hint="eastAsia" w:ascii="宋体" w:hAnsi="宋体" w:eastAsia="宋体" w:cs="宋体"/>
                <w:kern w:val="0"/>
              </w:rPr>
              <w:t>展示服务器CPU、内存、应用内存使用状态。</w:t>
            </w:r>
          </w:p>
          <w:p>
            <w:pPr>
              <w:numPr>
                <w:ilvl w:val="0"/>
                <w:numId w:val="33"/>
              </w:numPr>
              <w:wordWrap w:val="0"/>
              <w:snapToGrid/>
              <w:rPr>
                <w:rFonts w:ascii="宋体" w:hAnsi="宋体" w:eastAsia="宋体" w:cs="宋体"/>
                <w:kern w:val="0"/>
              </w:rPr>
            </w:pPr>
            <w:r>
              <w:rPr>
                <w:rFonts w:hint="eastAsia" w:ascii="宋体" w:hAnsi="宋体" w:eastAsia="宋体" w:cs="宋体"/>
                <w:kern w:val="0"/>
              </w:rPr>
              <w:t>支持查看和导出历史使用状态数据。</w:t>
            </w:r>
          </w:p>
          <w:p>
            <w:pPr>
              <w:wordWrap w:val="0"/>
              <w:snapToGrid/>
              <w:ind w:firstLine="420" w:firstLineChars="200"/>
              <w:rPr>
                <w:rFonts w:ascii="宋体" w:hAnsi="宋体" w:eastAsia="宋体" w:cs="宋体"/>
                <w:kern w:val="0"/>
              </w:rPr>
            </w:pPr>
            <w:r>
              <w:rPr>
                <w:rFonts w:hint="eastAsia" w:ascii="宋体" w:hAnsi="宋体" w:eastAsia="宋体" w:cs="宋体"/>
                <w:kern w:val="0"/>
              </w:rPr>
              <w:t>4、重保支持</w:t>
            </w:r>
          </w:p>
          <w:p>
            <w:pPr>
              <w:numPr>
                <w:ilvl w:val="0"/>
                <w:numId w:val="34"/>
              </w:numPr>
              <w:wordWrap w:val="0"/>
              <w:snapToGrid/>
              <w:rPr>
                <w:rFonts w:ascii="宋体" w:hAnsi="宋体" w:eastAsia="宋体" w:cs="宋体"/>
                <w:kern w:val="0"/>
              </w:rPr>
            </w:pPr>
            <w:r>
              <w:rPr>
                <w:rFonts w:hint="eastAsia" w:ascii="宋体" w:hAnsi="宋体" w:eastAsia="宋体" w:cs="宋体"/>
              </w:rPr>
              <w:t>日</w:t>
            </w:r>
            <w:r>
              <w:rPr>
                <w:rFonts w:hint="eastAsia" w:ascii="宋体" w:hAnsi="宋体" w:eastAsia="宋体" w:cs="宋体"/>
                <w:kern w:val="0"/>
              </w:rPr>
              <w:t>志管理中心</w:t>
            </w:r>
          </w:p>
          <w:p>
            <w:pPr>
              <w:wordWrap w:val="0"/>
              <w:snapToGrid/>
              <w:ind w:firstLine="420" w:firstLineChars="200"/>
              <w:rPr>
                <w:rFonts w:ascii="宋体" w:hAnsi="宋体" w:eastAsia="宋体" w:cs="宋体"/>
                <w:kern w:val="0"/>
              </w:rPr>
            </w:pPr>
            <w:r>
              <w:rPr>
                <w:rFonts w:hint="eastAsia" w:ascii="宋体" w:hAnsi="宋体" w:eastAsia="宋体" w:cs="宋体"/>
                <w:kern w:val="0"/>
              </w:rPr>
              <w:t>平台需要提供重保护网时期的工作台，实现重点操作监控及详细的日志跟踪，方便护网工作人员及时发现问题，提升护网效率。</w:t>
            </w:r>
          </w:p>
          <w:p>
            <w:pPr>
              <w:numPr>
                <w:ilvl w:val="0"/>
                <w:numId w:val="34"/>
              </w:numPr>
              <w:wordWrap w:val="0"/>
              <w:snapToGrid/>
              <w:rPr>
                <w:rFonts w:ascii="宋体" w:hAnsi="宋体" w:eastAsia="宋体" w:cs="宋体"/>
                <w:kern w:val="0"/>
              </w:rPr>
            </w:pPr>
            <w:r>
              <w:rPr>
                <w:rFonts w:hint="eastAsia" w:ascii="宋体" w:hAnsi="宋体" w:eastAsia="宋体" w:cs="宋体"/>
                <w:kern w:val="0"/>
              </w:rPr>
              <w:t>系统文件监控</w:t>
            </w:r>
          </w:p>
          <w:p>
            <w:pPr>
              <w:wordWrap w:val="0"/>
              <w:snapToGrid/>
              <w:ind w:firstLine="420" w:firstLineChars="200"/>
              <w:rPr>
                <w:rFonts w:ascii="宋体" w:hAnsi="宋体" w:eastAsia="宋体" w:cs="宋体"/>
                <w:kern w:val="0"/>
              </w:rPr>
            </w:pPr>
            <w:bookmarkStart w:id="4" w:name="_Hlk106093014"/>
            <w:r>
              <w:rPr>
                <w:rFonts w:hint="eastAsia" w:ascii="宋体" w:hAnsi="宋体" w:eastAsia="宋体" w:cs="宋体"/>
              </w:rPr>
              <w:t>★</w:t>
            </w:r>
            <w:r>
              <w:rPr>
                <w:rFonts w:hint="eastAsia" w:ascii="宋体" w:hAnsi="宋体" w:eastAsia="宋体" w:cs="宋体"/>
                <w:kern w:val="0"/>
              </w:rPr>
              <w:t>平台需支持对网站群系统进行监控，及时发现对网站群系统文件的修改，防止对系统的篡改。</w:t>
            </w:r>
            <w:bookmarkEnd w:id="4"/>
          </w:p>
        </w:tc>
      </w:tr>
    </w:tbl>
    <w:p>
      <w:pPr>
        <w:pStyle w:val="3"/>
        <w:ind w:left="480" w:hanging="480"/>
      </w:pPr>
    </w:p>
    <w:p>
      <w:pPr>
        <w:pStyle w:val="3"/>
        <w:ind w:left="480" w:hanging="480"/>
        <w:rPr>
          <w:rFonts w:ascii="宋体" w:hAnsi="宋体" w:eastAsia="宋体" w:cs="宋体"/>
          <w:sz w:val="24"/>
          <w:szCs w:val="24"/>
        </w:rPr>
      </w:pPr>
      <w:r>
        <w:rPr>
          <w:rFonts w:hint="eastAsia" w:ascii="宋体" w:hAnsi="宋体" w:eastAsia="宋体" w:cs="宋体"/>
          <w:sz w:val="24"/>
          <w:szCs w:val="24"/>
        </w:rPr>
        <w:t>2.2、</w:t>
      </w:r>
      <w:r>
        <w:rPr>
          <w:rFonts w:hint="eastAsia" w:ascii="宋体" w:hAnsi="宋体" w:eastAsia="宋体" w:cs="宋体"/>
          <w:kern w:val="0"/>
          <w:sz w:val="24"/>
          <w:szCs w:val="24"/>
        </w:rPr>
        <w:t>网页防篡改系统</w:t>
      </w:r>
    </w:p>
    <w:tbl>
      <w:tblPr>
        <w:tblStyle w:val="2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50" w:type="dxa"/>
            <w:vAlign w:val="center"/>
          </w:tcPr>
          <w:p>
            <w:pPr>
              <w:wordWrap w:val="0"/>
              <w:snapToGrid/>
              <w:jc w:val="center"/>
              <w:rPr>
                <w:rFonts w:ascii="宋体" w:hAnsi="宋体" w:eastAsia="宋体" w:cs="宋体"/>
                <w:kern w:val="0"/>
              </w:rPr>
            </w:pPr>
            <w:r>
              <w:rPr>
                <w:rFonts w:hint="eastAsia" w:ascii="宋体" w:hAnsi="宋体" w:eastAsia="宋体" w:cs="宋体"/>
                <w:kern w:val="0"/>
              </w:rPr>
              <w:t>网页防篡改系统</w:t>
            </w:r>
          </w:p>
        </w:tc>
        <w:tc>
          <w:tcPr>
            <w:tcW w:w="8078" w:type="dxa"/>
            <w:vAlign w:val="center"/>
          </w:tcPr>
          <w:p>
            <w:pPr>
              <w:wordWrap w:val="0"/>
              <w:snapToGrid/>
              <w:rPr>
                <w:rFonts w:ascii="宋体" w:hAnsi="宋体" w:eastAsia="宋体" w:cs="宋体"/>
                <w:kern w:val="0"/>
              </w:rPr>
            </w:pPr>
            <w:r>
              <w:rPr>
                <w:rFonts w:hint="eastAsia" w:ascii="宋体" w:hAnsi="宋体" w:eastAsia="宋体" w:cs="宋体"/>
              </w:rPr>
              <w:t>(1)★</w:t>
            </w:r>
            <w:r>
              <w:rPr>
                <w:rFonts w:hint="eastAsia" w:ascii="宋体" w:hAnsi="宋体" w:eastAsia="宋体" w:cs="宋体"/>
                <w:kern w:val="0"/>
              </w:rPr>
              <w:t>系统内置防篡改模块，能够针对每一个网站实现防篡改级别强弱设定，可以有效的保护页面安全，可以保护站群内所有站点的安全，支持批量网页防篡改服务器配置。</w:t>
            </w:r>
          </w:p>
          <w:p>
            <w:pPr>
              <w:wordWrap w:val="0"/>
              <w:snapToGrid/>
              <w:rPr>
                <w:rFonts w:ascii="宋体" w:hAnsi="宋体" w:eastAsia="宋体" w:cs="宋体"/>
                <w:kern w:val="0"/>
              </w:rPr>
            </w:pPr>
            <w:r>
              <w:rPr>
                <w:rFonts w:hint="eastAsia" w:ascii="宋体" w:hAnsi="宋体" w:eastAsia="宋体" w:cs="宋体"/>
              </w:rPr>
              <w:t>(2)平台需要内嵌先进、专业、成熟、产品化的网页防篡改系统，具备完善的网页安全防护和技术服务能力。系统需要实现实时篡改检测和恢复机制，一旦发现网页被非法篡改，即进行实时自动恢复，保证非法网页内容不被公众浏览。</w:t>
            </w:r>
          </w:p>
          <w:p>
            <w:pPr>
              <w:wordWrap w:val="0"/>
              <w:snapToGrid/>
              <w:rPr>
                <w:rFonts w:ascii="宋体" w:hAnsi="宋体" w:eastAsia="宋体" w:cs="宋体"/>
                <w:kern w:val="0"/>
              </w:rPr>
            </w:pPr>
            <w:r>
              <w:rPr>
                <w:rFonts w:hint="eastAsia" w:ascii="宋体" w:hAnsi="宋体" w:eastAsia="宋体" w:cs="宋体"/>
              </w:rPr>
              <w:t>(3)系统需将安全模块内嵌在Web服务器系统中，要求利用数字水印技术对网站进行完整性检查，使得系统的稳定性和兼容性更强，并且运行后，消耗资源极少，内存不超过10M，CPU占用率不超过1%，不影响原有系统的运行。</w:t>
            </w:r>
          </w:p>
        </w:tc>
      </w:tr>
    </w:tbl>
    <w:p>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ascii="宋体" w:hAnsi="宋体" w:eastAsia="宋体" w:cs="宋体"/>
          <w:sz w:val="24"/>
          <w:szCs w:val="24"/>
        </w:rPr>
      </w:pPr>
      <w:r>
        <w:rPr>
          <w:rFonts w:hint="eastAsia" w:ascii="宋体" w:hAnsi="宋体" w:eastAsia="宋体" w:cs="宋体"/>
          <w:sz w:val="24"/>
          <w:szCs w:val="24"/>
        </w:rPr>
        <w:t>2.3、协同办公系统</w:t>
      </w:r>
    </w:p>
    <w:p>
      <w:pPr>
        <w:pStyle w:val="3"/>
        <w:keepNext w:val="0"/>
        <w:keepLines w:val="0"/>
        <w:pageBreakBefore w:val="0"/>
        <w:widowControl w:val="0"/>
        <w:kinsoku/>
        <w:wordWrap/>
        <w:overflowPunct/>
        <w:topLinePunct w:val="0"/>
        <w:autoSpaceDE/>
        <w:autoSpaceDN/>
        <w:bidi w:val="0"/>
        <w:adjustRightInd/>
        <w:snapToGrid/>
        <w:spacing w:line="360" w:lineRule="auto"/>
        <w:ind w:left="480" w:hanging="480"/>
        <w:textAlignment w:val="auto"/>
        <w:rPr>
          <w:rFonts w:ascii="宋体" w:hAnsi="宋体" w:eastAsia="宋体" w:cs="宋体"/>
          <w:sz w:val="24"/>
          <w:szCs w:val="24"/>
        </w:rPr>
      </w:pPr>
      <w:r>
        <w:rPr>
          <w:rFonts w:hint="eastAsia" w:ascii="宋体" w:hAnsi="宋体" w:eastAsia="宋体" w:cs="宋体"/>
          <w:sz w:val="24"/>
          <w:szCs w:val="24"/>
        </w:rPr>
        <w:t>2.3.1、总体说明</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pPr>
      <w:r>
        <w:rPr>
          <w:rFonts w:hint="eastAsia"/>
        </w:rPr>
        <w:t>协同</w:t>
      </w:r>
      <w:r>
        <w:t>办公系统依托智能工作流引擎，根据学校需要制定业务流程，满足学校公共信息、个人办公、公文流转、行政管理等全方位的办公需求，加强学校基地学校间、学校机构间、教职工间的协同工作，提高教务和校务的整体工作效率。同时，</w:t>
      </w:r>
      <w:r>
        <w:rPr>
          <w:rFonts w:hint="eastAsia"/>
        </w:rPr>
        <w:t>协同</w:t>
      </w:r>
      <w:r>
        <w:t>办公系统能通过专网接入上级部门办公系统，大大提高学校基地教育与实训的管理水平。</w:t>
      </w:r>
    </w:p>
    <w:p>
      <w:pPr>
        <w:pStyle w:val="3"/>
        <w:keepNext w:val="0"/>
        <w:keepLines w:val="0"/>
        <w:pageBreakBefore w:val="0"/>
        <w:widowControl w:val="0"/>
        <w:kinsoku/>
        <w:wordWrap/>
        <w:overflowPunct/>
        <w:topLinePunct w:val="0"/>
        <w:autoSpaceDE/>
        <w:autoSpaceDN/>
        <w:bidi w:val="0"/>
        <w:adjustRightInd/>
        <w:snapToGrid/>
        <w:spacing w:line="360" w:lineRule="auto"/>
        <w:ind w:left="480" w:hanging="480"/>
        <w:textAlignment w:val="auto"/>
        <w:rPr>
          <w:sz w:val="24"/>
          <w:szCs w:val="24"/>
        </w:rPr>
      </w:pPr>
      <w:r>
        <w:rPr>
          <w:rFonts w:hint="eastAsia"/>
          <w:sz w:val="24"/>
          <w:szCs w:val="24"/>
        </w:rPr>
        <w:t>2.3.2、主要软件功能要求</w:t>
      </w:r>
    </w:p>
    <w:tbl>
      <w:tblPr>
        <w:tblStyle w:val="26"/>
        <w:tblW w:w="8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指标项</w:t>
            </w:r>
          </w:p>
        </w:tc>
        <w:tc>
          <w:tcPr>
            <w:tcW w:w="7383" w:type="dxa"/>
          </w:tcPr>
          <w:p>
            <w:pPr>
              <w:rPr>
                <w:rFonts w:ascii="宋体" w:hAnsi="宋体" w:eastAsia="宋体" w:cs="宋体"/>
              </w:rPr>
            </w:pPr>
            <w:r>
              <w:rPr>
                <w:rFonts w:hint="eastAsia" w:ascii="宋体" w:hAnsi="宋体" w:eastAsia="宋体" w:cs="宋体"/>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总体要求</w:t>
            </w:r>
          </w:p>
        </w:tc>
        <w:tc>
          <w:tcPr>
            <w:tcW w:w="7383" w:type="dxa"/>
          </w:tcPr>
          <w:p>
            <w:pPr>
              <w:ind w:firstLine="420" w:firstLineChars="200"/>
              <w:rPr>
                <w:rFonts w:ascii="宋体" w:hAnsi="宋体" w:eastAsia="宋体" w:cs="宋体"/>
              </w:rPr>
            </w:pPr>
            <w:r>
              <w:rPr>
                <w:rFonts w:hint="eastAsia" w:ascii="宋体" w:hAnsi="宋体" w:eastAsia="宋体" w:cs="宋体"/>
              </w:rPr>
              <w:t>★为</w:t>
            </w:r>
            <w:r>
              <w:rPr>
                <w:rFonts w:hint="eastAsia" w:ascii="宋体" w:hAnsi="宋体" w:eastAsia="宋体" w:cs="宋体"/>
                <w:kern w:val="0"/>
              </w:rPr>
              <w:t>了降低项目技术风险，本项目需要采用成熟的产品进行项目实施，整体要求：（1）用户数：不限制；（2）并发数：不限制；（3）升级包终生免费提供；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技术要求</w:t>
            </w:r>
          </w:p>
        </w:tc>
        <w:tc>
          <w:tcPr>
            <w:tcW w:w="7383" w:type="dxa"/>
          </w:tcPr>
          <w:p>
            <w:pPr>
              <w:pStyle w:val="181"/>
              <w:spacing w:line="360" w:lineRule="auto"/>
              <w:ind w:firstLine="420" w:firstLineChars="200"/>
              <w:rPr>
                <w:rFonts w:ascii="宋体" w:hAnsi="宋体" w:eastAsia="宋体" w:cs="宋体"/>
                <w:szCs w:val="24"/>
              </w:rPr>
            </w:pPr>
            <w:r>
              <w:rPr>
                <w:rFonts w:hint="eastAsia" w:ascii="宋体" w:hAnsi="宋体" w:eastAsia="宋体" w:cs="宋体"/>
                <w:szCs w:val="24"/>
              </w:rPr>
              <w:t>（1）软件系统开发语言要求php， 数据库使用MySQL正版企业版</w:t>
            </w:r>
          </w:p>
          <w:p>
            <w:pPr>
              <w:ind w:firstLine="420" w:firstLineChars="200"/>
              <w:rPr>
                <w:rFonts w:ascii="宋体" w:hAnsi="宋体" w:eastAsia="宋体" w:cs="宋体"/>
              </w:rPr>
            </w:pPr>
            <w:r>
              <w:rPr>
                <w:rFonts w:hint="eastAsia" w:ascii="宋体" w:hAnsi="宋体" w:eastAsia="宋体" w:cs="宋体"/>
              </w:rPr>
              <w:t>★（2）PC端及移动端采用C/S架构客户端模式，能够有原生态的流畅体验，须提供Android、IOS、windows、macOS四个版本客户端；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个人事务</w:t>
            </w:r>
          </w:p>
        </w:tc>
        <w:tc>
          <w:tcPr>
            <w:tcW w:w="7383" w:type="dxa"/>
          </w:tcPr>
          <w:p>
            <w:pPr>
              <w:pStyle w:val="3"/>
              <w:ind w:left="0" w:firstLine="420" w:firstLineChars="200"/>
              <w:rPr>
                <w:rFonts w:ascii="宋体" w:hAnsi="宋体" w:eastAsia="宋体" w:cs="宋体"/>
              </w:rPr>
            </w:pPr>
            <w:r>
              <w:rPr>
                <w:rFonts w:hint="eastAsia" w:ascii="宋体" w:hAnsi="宋体" w:eastAsia="宋体" w:cs="宋体"/>
              </w:rPr>
              <w:t>（1）日程安排:工作日程安排以图标形式呈现，只进行鼠标拖拽，即可完成对工作时间流的规划与设置；支持颜色标注、区分日程类别及紧急程度；支持管理员总览全局时间安排；可利用时间轴自由调整视图时间段；点击时间标题随意跳转至对应日期，切换工作周，安排工作计划简单快捷；支持导入导出日程数据；支持多种视图切换，满足不同客户使用习惯。</w:t>
            </w:r>
          </w:p>
          <w:p>
            <w:pPr>
              <w:pStyle w:val="3"/>
              <w:ind w:left="0" w:firstLine="420" w:firstLineChars="200"/>
              <w:rPr>
                <w:rFonts w:ascii="宋体" w:hAnsi="宋体" w:eastAsia="宋体" w:cs="宋体"/>
              </w:rPr>
            </w:pPr>
            <w:r>
              <w:rPr>
                <w:rFonts w:hint="eastAsia" w:ascii="宋体" w:hAnsi="宋体" w:eastAsia="宋体" w:cs="宋体"/>
              </w:rPr>
              <w:t>（2）个人文件柜：通过个人文件柜管理个人私有文档，且可选择性共享给他人。</w:t>
            </w:r>
          </w:p>
          <w:p>
            <w:pPr>
              <w:pStyle w:val="3"/>
              <w:ind w:left="0" w:firstLine="420" w:firstLineChars="200"/>
              <w:rPr>
                <w:rFonts w:ascii="宋体" w:hAnsi="宋体" w:eastAsia="宋体" w:cs="宋体"/>
              </w:rPr>
            </w:pPr>
            <w:r>
              <w:rPr>
                <w:rFonts w:hint="eastAsia" w:ascii="宋体" w:hAnsi="宋体" w:eastAsia="宋体" w:cs="宋体"/>
              </w:rPr>
              <w:t>（3）工作日志： 轻博客般的操作体验；快速记录工作进度、分享工作心得；支持鼠标手势功能，按住鼠标右键拖动并释放，自动跳转至下一篇；支持管理人员查询员工工作日志并点评与共享。</w:t>
            </w:r>
          </w:p>
          <w:p>
            <w:pPr>
              <w:pStyle w:val="3"/>
              <w:ind w:left="0" w:firstLine="420" w:firstLineChars="200"/>
              <w:rPr>
                <w:rFonts w:ascii="宋体" w:hAnsi="宋体" w:eastAsia="宋体" w:cs="宋体"/>
              </w:rPr>
            </w:pPr>
            <w:r>
              <w:rPr>
                <w:rFonts w:hint="eastAsia" w:ascii="宋体" w:hAnsi="宋体" w:eastAsia="宋体" w:cs="宋体"/>
              </w:rPr>
              <w:t>（4）通讯簿：个人通讯簿和公共通讯簿统一入口，管理更方便；支持联系人共享；支持分组管理联系人；支持向联系人直接发送电子邮件和手机短信；支持群发邮件和手机短信给联系人；支持上传和显示联系人照片；支持按姓氏字母快速定位通讯簿；支持快捷查询我的所有分组联系人；支持按姓名、手机号码、家庭电话、办公电话、QQ号码、邮箱地址等信息进行查询；支持一键删除联系人姓名、手机号码、邮箱地址及相同的联系人信息。</w:t>
            </w:r>
          </w:p>
          <w:p>
            <w:pPr>
              <w:pStyle w:val="3"/>
              <w:ind w:left="0" w:firstLine="420" w:firstLineChars="200"/>
              <w:rPr>
                <w:rFonts w:ascii="宋体" w:hAnsi="宋体" w:eastAsia="宋体" w:cs="宋体"/>
              </w:rPr>
            </w:pPr>
            <w:r>
              <w:rPr>
                <w:rFonts w:hint="eastAsia" w:ascii="宋体" w:hAnsi="宋体" w:eastAsia="宋体" w:cs="宋体"/>
              </w:rPr>
              <w:t>（5）电子邮件：一体化电子邮箱支持内外部邮件的同时收发、实时提醒；支持标准POP3协议收取内部邮件，无需配置邮箱，新建用户后，该用户即可收发内部邮件简单实用，内部邮件即发即收，没有延迟；已发送邮件、待发邮件、已删除邮件和自建邮件箱管理；邮件查询提供对内部邮件的查询，可以通过邮箱、邮件状态、时间、主题、关键词、内容以及附件所包含的查询词进行查询，其中内容最多可以选择三个包含查询词；支持自定义邮件箱，并允许设置邮箱整理规则，由系统将邮件自动归类；支持邮件关键词提取；支持管理员可统一管理用户在系统里配置的Internet邮箱。</w:t>
            </w:r>
          </w:p>
          <w:p>
            <w:pPr>
              <w:pStyle w:val="3"/>
              <w:ind w:left="0" w:firstLine="420" w:firstLineChars="200"/>
              <w:rPr>
                <w:rFonts w:ascii="宋体" w:hAnsi="宋体" w:eastAsia="宋体" w:cs="宋体"/>
              </w:rPr>
            </w:pPr>
            <w:r>
              <w:rPr>
                <w:rFonts w:hint="eastAsia" w:ascii="宋体" w:hAnsi="宋体" w:eastAsia="宋体" w:cs="宋体"/>
              </w:rPr>
              <w:t>（6）消息管理：微讯支持文字、语音传输；微讯支持网页、PC客户端、移动客户端之间的发送和查阅；实现各个功能模块的实时短信提醒功能，无发送费用，支持一键已阅、一键查看所有提醒详情；支持离线文件管理；支持即时通讯群组以及临时讨论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流程中心</w:t>
            </w:r>
          </w:p>
        </w:tc>
        <w:tc>
          <w:tcPr>
            <w:tcW w:w="7383" w:type="dxa"/>
          </w:tcPr>
          <w:p>
            <w:pPr>
              <w:pStyle w:val="3"/>
              <w:ind w:left="0" w:firstLine="420" w:firstLineChars="200"/>
              <w:rPr>
                <w:rFonts w:ascii="宋体" w:hAnsi="宋体" w:eastAsia="宋体" w:cs="宋体"/>
              </w:rPr>
            </w:pPr>
            <w:r>
              <w:rPr>
                <w:rFonts w:hint="eastAsia" w:ascii="宋体" w:hAnsi="宋体" w:eastAsia="宋体" w:cs="宋体"/>
              </w:rPr>
              <w:t>智能表单设计，支持在线设计表单，包含十八种表单控件，实现复杂数据的录入，设计思想处于国内领先地位；</w:t>
            </w:r>
          </w:p>
          <w:p>
            <w:pPr>
              <w:pStyle w:val="3"/>
              <w:ind w:left="0" w:firstLine="420" w:firstLineChars="200"/>
              <w:rPr>
                <w:rFonts w:ascii="宋体" w:hAnsi="宋体" w:eastAsia="宋体" w:cs="宋体"/>
              </w:rPr>
            </w:pPr>
            <w:r>
              <w:rPr>
                <w:rFonts w:hint="eastAsia" w:ascii="宋体" w:hAnsi="宋体" w:eastAsia="宋体" w:cs="宋体"/>
              </w:rPr>
              <w:t>支持表单复制功能，简化表单制作程序；</w:t>
            </w:r>
          </w:p>
          <w:p>
            <w:pPr>
              <w:pStyle w:val="3"/>
              <w:ind w:left="0" w:firstLine="420" w:firstLineChars="200"/>
              <w:rPr>
                <w:rFonts w:ascii="宋体" w:hAnsi="宋体" w:eastAsia="宋体" w:cs="宋体"/>
              </w:rPr>
            </w:pPr>
            <w:r>
              <w:rPr>
                <w:rFonts w:hint="eastAsia" w:ascii="宋体" w:hAnsi="宋体" w:eastAsia="宋体" w:cs="宋体"/>
              </w:rPr>
              <w:t>支持外部数据源；</w:t>
            </w:r>
          </w:p>
          <w:p>
            <w:pPr>
              <w:pStyle w:val="3"/>
              <w:ind w:left="0" w:firstLine="422" w:firstLineChars="200"/>
              <w:rPr>
                <w:rFonts w:ascii="宋体" w:hAnsi="宋体" w:eastAsia="宋体" w:cs="宋体"/>
                <w:b/>
                <w:bCs/>
              </w:rPr>
            </w:pPr>
            <w:r>
              <w:rPr>
                <w:rFonts w:hint="eastAsia" w:ascii="宋体" w:hAnsi="宋体" w:eastAsia="宋体" w:cs="宋体"/>
                <w:b/>
                <w:bCs/>
              </w:rPr>
              <w:t>支持表单网页手写签章，一经授权，不限点数；</w:t>
            </w:r>
            <w:r>
              <w:rPr>
                <w:rFonts w:hint="eastAsia" w:ascii="宋体" w:hAnsi="宋体" w:eastAsia="宋体" w:cs="宋体"/>
                <w:b/>
                <w:bCs/>
                <w:kern w:val="0"/>
                <w:lang w:eastAsia="zh-CN"/>
              </w:rPr>
              <w:t>（</w:t>
            </w:r>
            <w:r>
              <w:rPr>
                <w:rFonts w:hint="eastAsia" w:ascii="宋体" w:hAnsi="宋体" w:eastAsia="宋体" w:cs="Times New Roman"/>
                <w:b/>
                <w:bCs/>
                <w:color w:val="000000" w:themeColor="text1"/>
                <w:sz w:val="24"/>
                <w:lang w:eastAsia="zh-CN"/>
                <w14:textFill>
                  <w14:solidFill>
                    <w14:schemeClr w14:val="tx1"/>
                  </w14:solidFill>
                </w14:textFill>
              </w:rPr>
              <w:t>需提供截图证明材料）</w:t>
            </w:r>
          </w:p>
          <w:p>
            <w:pPr>
              <w:pStyle w:val="3"/>
              <w:ind w:left="0" w:firstLine="420" w:firstLineChars="200"/>
              <w:rPr>
                <w:rFonts w:ascii="宋体" w:hAnsi="宋体" w:eastAsia="宋体" w:cs="宋体"/>
              </w:rPr>
            </w:pPr>
            <w:r>
              <w:rPr>
                <w:rFonts w:hint="eastAsia" w:ascii="宋体" w:hAnsi="宋体" w:eastAsia="宋体" w:cs="宋体"/>
              </w:rPr>
              <w:t>支持表单版本管理；</w:t>
            </w:r>
          </w:p>
          <w:p>
            <w:pPr>
              <w:pStyle w:val="3"/>
              <w:ind w:left="0" w:firstLine="420" w:firstLineChars="200"/>
              <w:rPr>
                <w:rFonts w:ascii="宋体" w:hAnsi="宋体" w:eastAsia="宋体" w:cs="宋体"/>
              </w:rPr>
            </w:pPr>
            <w:r>
              <w:rPr>
                <w:rFonts w:hint="eastAsia" w:ascii="宋体" w:hAnsi="宋体" w:eastAsia="宋体" w:cs="宋体"/>
              </w:rPr>
              <w:t>支持表单排序，管理操作一步到位；</w:t>
            </w:r>
          </w:p>
          <w:p>
            <w:pPr>
              <w:pStyle w:val="3"/>
              <w:ind w:left="0" w:firstLine="420" w:firstLineChars="200"/>
              <w:rPr>
                <w:rFonts w:ascii="宋体" w:hAnsi="宋体" w:eastAsia="宋体" w:cs="宋体"/>
              </w:rPr>
            </w:pPr>
            <w:r>
              <w:rPr>
                <w:rFonts w:hint="eastAsia" w:ascii="宋体" w:hAnsi="宋体" w:eastAsia="宋体" w:cs="宋体"/>
              </w:rPr>
              <w:t>支持表单与流程的分类管理；</w:t>
            </w:r>
          </w:p>
          <w:p>
            <w:pPr>
              <w:pStyle w:val="3"/>
              <w:ind w:left="0" w:firstLine="420" w:firstLineChars="200"/>
              <w:rPr>
                <w:rFonts w:ascii="宋体" w:hAnsi="宋体" w:eastAsia="宋体" w:cs="宋体"/>
              </w:rPr>
            </w:pPr>
            <w:r>
              <w:rPr>
                <w:rFonts w:hint="eastAsia" w:ascii="宋体" w:hAnsi="宋体" w:eastAsia="宋体" w:cs="宋体"/>
              </w:rPr>
              <w:t>支持表单与流程的导入导出操作；</w:t>
            </w:r>
          </w:p>
          <w:p>
            <w:pPr>
              <w:pStyle w:val="3"/>
              <w:ind w:left="0" w:firstLine="420" w:firstLineChars="200"/>
              <w:rPr>
                <w:rFonts w:ascii="宋体" w:hAnsi="宋体" w:eastAsia="宋体" w:cs="宋体"/>
              </w:rPr>
            </w:pPr>
            <w:r>
              <w:rPr>
                <w:rFonts w:hint="eastAsia" w:ascii="宋体" w:hAnsi="宋体" w:eastAsia="宋体" w:cs="宋体"/>
              </w:rPr>
              <w:t>支持自由流程、固定流程和柔性流程；</w:t>
            </w:r>
          </w:p>
          <w:p>
            <w:pPr>
              <w:pStyle w:val="3"/>
              <w:ind w:left="0" w:firstLine="420" w:firstLineChars="200"/>
              <w:rPr>
                <w:rFonts w:ascii="宋体" w:hAnsi="宋体" w:eastAsia="宋体" w:cs="宋体"/>
              </w:rPr>
            </w:pPr>
            <w:r>
              <w:rPr>
                <w:rFonts w:hint="eastAsia" w:ascii="宋体" w:hAnsi="宋体" w:eastAsia="宋体" w:cs="宋体"/>
              </w:rPr>
              <w:t>支持自动生成工作名称/文号，支持自定义工作名称/文号的生成规则；</w:t>
            </w:r>
          </w:p>
          <w:p>
            <w:pPr>
              <w:pStyle w:val="3"/>
              <w:ind w:left="0" w:firstLine="420" w:firstLineChars="200"/>
              <w:rPr>
                <w:rFonts w:ascii="宋体" w:hAnsi="宋体" w:eastAsia="宋体" w:cs="宋体"/>
              </w:rPr>
            </w:pPr>
            <w:r>
              <w:rPr>
                <w:rFonts w:hint="eastAsia" w:ascii="宋体" w:hAnsi="宋体" w:eastAsia="宋体" w:cs="宋体"/>
              </w:rPr>
              <w:t>设计向导模式，提供设计思路，简化工作流设计过程；图形化流程制作页面，无需代码基础，即可完成流程制作；</w:t>
            </w:r>
          </w:p>
          <w:p>
            <w:pPr>
              <w:pStyle w:val="3"/>
              <w:ind w:left="0" w:firstLine="420" w:firstLineChars="200"/>
              <w:rPr>
                <w:rFonts w:ascii="宋体" w:hAnsi="宋体" w:eastAsia="宋体" w:cs="宋体"/>
              </w:rPr>
            </w:pPr>
            <w:r>
              <w:rPr>
                <w:rFonts w:hint="eastAsia" w:ascii="宋体" w:hAnsi="宋体" w:eastAsia="宋体" w:cs="宋体"/>
              </w:rPr>
              <w:t>支持流程分支设置，支持通过条件自由控制流程走向；</w:t>
            </w:r>
          </w:p>
          <w:p>
            <w:pPr>
              <w:pStyle w:val="3"/>
              <w:ind w:left="0" w:firstLine="420" w:firstLineChars="200"/>
              <w:rPr>
                <w:rFonts w:ascii="宋体" w:hAnsi="宋体" w:eastAsia="宋体" w:cs="宋体"/>
              </w:rPr>
            </w:pPr>
            <w:r>
              <w:rPr>
                <w:rFonts w:hint="eastAsia" w:ascii="宋体" w:hAnsi="宋体" w:eastAsia="宋体" w:cs="宋体"/>
              </w:rPr>
              <w:t>支持流程并发与合并的设置；</w:t>
            </w:r>
          </w:p>
          <w:p>
            <w:pPr>
              <w:ind w:firstLine="420" w:firstLineChars="200"/>
              <w:rPr>
                <w:rFonts w:ascii="宋体" w:hAnsi="宋体" w:eastAsia="宋体" w:cs="宋体"/>
              </w:rPr>
            </w:pPr>
            <w:r>
              <w:rPr>
                <w:rFonts w:hint="eastAsia" w:ascii="宋体" w:hAnsi="宋体" w:eastAsia="宋体" w:cs="宋体"/>
              </w:rPr>
              <w:t>支持子流程设置包含流程数据校验功能；</w:t>
            </w:r>
          </w:p>
          <w:p>
            <w:pPr>
              <w:ind w:firstLine="420" w:firstLineChars="200"/>
              <w:rPr>
                <w:rFonts w:ascii="宋体" w:hAnsi="宋体" w:eastAsia="宋体" w:cs="宋体"/>
              </w:rPr>
            </w:pPr>
            <w:r>
              <w:rPr>
                <w:rFonts w:hint="eastAsia" w:ascii="宋体" w:hAnsi="宋体" w:eastAsia="宋体" w:cs="宋体"/>
              </w:rPr>
              <w:t>支持流程附带公共附件，并允许设置对公共附件的详细权限；</w:t>
            </w:r>
          </w:p>
          <w:p>
            <w:pPr>
              <w:ind w:firstLine="420" w:firstLineChars="200"/>
              <w:rPr>
                <w:rFonts w:ascii="宋体" w:hAnsi="宋体" w:eastAsia="宋体" w:cs="宋体"/>
              </w:rPr>
            </w:pPr>
            <w:r>
              <w:rPr>
                <w:rFonts w:hint="eastAsia" w:ascii="宋体" w:hAnsi="宋体" w:eastAsia="宋体" w:cs="宋体"/>
              </w:rPr>
              <w:t>支持流程权限设置，包括管理权限、监控权限、查询权限、点评权限支持流程查询模板定义；</w:t>
            </w:r>
          </w:p>
          <w:p>
            <w:pPr>
              <w:ind w:firstLine="420" w:firstLineChars="200"/>
              <w:rPr>
                <w:rFonts w:ascii="宋体" w:hAnsi="宋体" w:eastAsia="宋体" w:cs="宋体"/>
              </w:rPr>
            </w:pPr>
            <w:r>
              <w:rPr>
                <w:rFonts w:hint="eastAsia" w:ascii="宋体" w:hAnsi="宋体" w:eastAsia="宋体" w:cs="宋体"/>
              </w:rPr>
              <w:t>支持流程定时发起；</w:t>
            </w:r>
          </w:p>
          <w:p>
            <w:pPr>
              <w:ind w:firstLine="420" w:firstLineChars="200"/>
              <w:rPr>
                <w:rFonts w:ascii="宋体" w:hAnsi="宋体" w:eastAsia="宋体" w:cs="宋体"/>
              </w:rPr>
            </w:pPr>
            <w:r>
              <w:rPr>
                <w:rFonts w:hint="eastAsia" w:ascii="宋体" w:hAnsi="宋体" w:eastAsia="宋体" w:cs="宋体"/>
              </w:rPr>
              <w:t>允许按人员、部门、角色设定经办权限；</w:t>
            </w:r>
          </w:p>
          <w:p>
            <w:pPr>
              <w:ind w:firstLine="420" w:firstLineChars="200"/>
              <w:rPr>
                <w:rFonts w:ascii="宋体" w:hAnsi="宋体" w:eastAsia="宋体" w:cs="宋体"/>
              </w:rPr>
            </w:pPr>
            <w:r>
              <w:rPr>
                <w:rFonts w:hint="eastAsia" w:ascii="宋体" w:hAnsi="宋体" w:eastAsia="宋体" w:cs="宋体"/>
              </w:rPr>
              <w:t>允许针对每个步骤设置可写字段；</w:t>
            </w:r>
          </w:p>
          <w:p>
            <w:pPr>
              <w:ind w:firstLine="420" w:firstLineChars="200"/>
              <w:rPr>
                <w:rFonts w:ascii="宋体" w:hAnsi="宋体" w:eastAsia="宋体" w:cs="宋体"/>
              </w:rPr>
            </w:pPr>
            <w:r>
              <w:rPr>
                <w:rFonts w:hint="eastAsia" w:ascii="宋体" w:hAnsi="宋体" w:eastAsia="宋体" w:cs="宋体"/>
              </w:rPr>
              <w:t>支持流程自动选人支持流程插件，为工作流与其他模块的数据交互提供平台；</w:t>
            </w:r>
          </w:p>
          <w:p>
            <w:pPr>
              <w:ind w:firstLine="420" w:firstLineChars="200"/>
              <w:rPr>
                <w:rFonts w:ascii="宋体" w:hAnsi="宋体" w:eastAsia="宋体" w:cs="宋体"/>
              </w:rPr>
            </w:pPr>
            <w:r>
              <w:rPr>
                <w:rFonts w:hint="eastAsia" w:ascii="宋体" w:hAnsi="宋体" w:eastAsia="宋体" w:cs="宋体"/>
              </w:rPr>
              <w:t>支持会签，会签人可以填写各自的会签意见和上传私有附件；</w:t>
            </w:r>
          </w:p>
          <w:p>
            <w:pPr>
              <w:ind w:firstLine="420" w:firstLineChars="200"/>
              <w:rPr>
                <w:rFonts w:ascii="宋体" w:hAnsi="宋体" w:eastAsia="宋体" w:cs="宋体"/>
              </w:rPr>
            </w:pPr>
            <w:r>
              <w:rPr>
                <w:rFonts w:hint="eastAsia" w:ascii="宋体" w:hAnsi="宋体" w:eastAsia="宋体" w:cs="宋体"/>
              </w:rPr>
              <w:t>可监控流程的办理过程，查看各步骤办理状态和办理时间；</w:t>
            </w:r>
          </w:p>
          <w:p>
            <w:pPr>
              <w:ind w:firstLine="420" w:firstLineChars="200"/>
              <w:rPr>
                <w:rFonts w:ascii="宋体" w:hAnsi="宋体" w:eastAsia="宋体" w:cs="宋体"/>
              </w:rPr>
            </w:pPr>
            <w:r>
              <w:rPr>
                <w:rFonts w:hint="eastAsia" w:ascii="宋体" w:hAnsi="宋体" w:eastAsia="宋体" w:cs="宋体"/>
              </w:rPr>
              <w:t>传递流程，支持由首先接收者办理；添加重要级别的概念，办理人可以根据级别进行流程的优先办理；</w:t>
            </w:r>
          </w:p>
          <w:p>
            <w:pPr>
              <w:ind w:firstLine="420" w:firstLineChars="200"/>
              <w:rPr>
                <w:rFonts w:ascii="宋体" w:hAnsi="宋体" w:eastAsia="宋体" w:cs="宋体"/>
              </w:rPr>
            </w:pPr>
            <w:r>
              <w:rPr>
                <w:rFonts w:hint="eastAsia" w:ascii="宋体" w:hAnsi="宋体" w:eastAsia="宋体" w:cs="宋体"/>
              </w:rPr>
              <w:t>流转过程可通过内部事务提醒、手机短信，internet邮件提醒办理人；</w:t>
            </w:r>
          </w:p>
          <w:p>
            <w:pPr>
              <w:ind w:firstLine="420" w:firstLineChars="200"/>
              <w:rPr>
                <w:rFonts w:ascii="宋体" w:hAnsi="宋体" w:eastAsia="宋体" w:cs="宋体"/>
              </w:rPr>
            </w:pPr>
            <w:r>
              <w:rPr>
                <w:rFonts w:hint="eastAsia" w:ascii="宋体" w:hAnsi="宋体" w:eastAsia="宋体" w:cs="宋体"/>
              </w:rPr>
              <w:t>提供对流程数据的多种统计方式，excel统计和报表统计；</w:t>
            </w:r>
          </w:p>
          <w:p>
            <w:pPr>
              <w:ind w:firstLine="420" w:firstLineChars="200"/>
              <w:rPr>
                <w:rFonts w:ascii="宋体" w:hAnsi="宋体" w:eastAsia="宋体" w:cs="宋体"/>
              </w:rPr>
            </w:pPr>
            <w:r>
              <w:rPr>
                <w:rFonts w:hint="eastAsia" w:ascii="宋体" w:hAnsi="宋体" w:eastAsia="宋体" w:cs="宋体"/>
              </w:rPr>
              <w:t>全面的流程数据管理，支持表单与数据同步调整，适应发展变化；</w:t>
            </w:r>
          </w:p>
          <w:p>
            <w:pPr>
              <w:ind w:firstLine="420" w:firstLineChars="200"/>
              <w:rPr>
                <w:rFonts w:ascii="宋体" w:hAnsi="宋体" w:eastAsia="宋体" w:cs="宋体"/>
              </w:rPr>
            </w:pPr>
            <w:r>
              <w:rPr>
                <w:rFonts w:hint="eastAsia" w:ascii="宋体" w:hAnsi="宋体" w:eastAsia="宋体" w:cs="宋体"/>
              </w:rPr>
              <w:t>允许将某一工作流程定义为独立的系统菜单，便于操作；</w:t>
            </w:r>
          </w:p>
          <w:p>
            <w:pPr>
              <w:ind w:firstLine="420" w:firstLineChars="200"/>
              <w:rPr>
                <w:rFonts w:ascii="宋体" w:hAnsi="宋体" w:eastAsia="宋体" w:cs="宋体"/>
              </w:rPr>
            </w:pPr>
            <w:r>
              <w:rPr>
                <w:rFonts w:hint="eastAsia" w:ascii="宋体" w:hAnsi="宋体" w:eastAsia="宋体" w:cs="宋体"/>
              </w:rPr>
              <w:t>支持工作流超时提示与催办提醒；</w:t>
            </w:r>
          </w:p>
          <w:p>
            <w:pPr>
              <w:ind w:firstLine="420" w:firstLineChars="200"/>
              <w:rPr>
                <w:rFonts w:ascii="宋体" w:hAnsi="宋体" w:eastAsia="宋体" w:cs="宋体"/>
              </w:rPr>
            </w:pPr>
            <w:r>
              <w:rPr>
                <w:rFonts w:hint="eastAsia" w:ascii="宋体" w:hAnsi="宋体" w:eastAsia="宋体" w:cs="宋体"/>
              </w:rPr>
              <w:t>支持超时工作统计分析；</w:t>
            </w:r>
          </w:p>
          <w:p>
            <w:pPr>
              <w:ind w:firstLine="420" w:firstLineChars="200"/>
              <w:rPr>
                <w:rFonts w:ascii="宋体" w:hAnsi="宋体" w:eastAsia="宋体" w:cs="宋体"/>
              </w:rPr>
            </w:pPr>
            <w:r>
              <w:rPr>
                <w:rFonts w:hint="eastAsia" w:ascii="宋体" w:hAnsi="宋体" w:eastAsia="宋体" w:cs="宋体"/>
              </w:rPr>
              <w:t>支持非超时执行中的工作的催办提醒；</w:t>
            </w:r>
          </w:p>
          <w:p>
            <w:pPr>
              <w:ind w:firstLine="420" w:firstLineChars="200"/>
              <w:rPr>
                <w:rFonts w:ascii="宋体" w:hAnsi="宋体" w:eastAsia="宋体" w:cs="宋体"/>
              </w:rPr>
            </w:pPr>
            <w:r>
              <w:rPr>
                <w:rFonts w:hint="eastAsia" w:ascii="宋体" w:hAnsi="宋体" w:eastAsia="宋体" w:cs="宋体"/>
              </w:rPr>
              <w:t>支持工作流数据归档与归档流程查询，提升操作速度；</w:t>
            </w:r>
          </w:p>
          <w:p>
            <w:pPr>
              <w:ind w:firstLine="420" w:firstLineChars="200"/>
              <w:rPr>
                <w:rFonts w:ascii="宋体" w:hAnsi="宋体" w:eastAsia="宋体" w:cs="宋体"/>
              </w:rPr>
            </w:pPr>
            <w:r>
              <w:rPr>
                <w:rFonts w:hint="eastAsia" w:ascii="宋体" w:hAnsi="宋体" w:eastAsia="宋体" w:cs="宋体"/>
              </w:rPr>
              <w:t>业务引擎实现工作流与系统内置部分模块数据的整合；</w:t>
            </w:r>
          </w:p>
          <w:p>
            <w:pPr>
              <w:ind w:firstLine="420" w:firstLineChars="200"/>
              <w:rPr>
                <w:rFonts w:ascii="宋体" w:hAnsi="宋体" w:eastAsia="宋体" w:cs="宋体"/>
              </w:rPr>
            </w:pPr>
            <w:r>
              <w:rPr>
                <w:rFonts w:hint="eastAsia" w:ascii="宋体" w:hAnsi="宋体" w:eastAsia="宋体" w:cs="宋体"/>
              </w:rPr>
              <w:t>数据源为提取常用数据开放便捷的通道；</w:t>
            </w:r>
          </w:p>
          <w:p>
            <w:pPr>
              <w:ind w:firstLine="420" w:firstLineChars="200"/>
              <w:rPr>
                <w:rFonts w:ascii="宋体" w:hAnsi="宋体" w:eastAsia="宋体" w:cs="宋体"/>
              </w:rPr>
            </w:pPr>
            <w:r>
              <w:rPr>
                <w:rFonts w:hint="eastAsia" w:ascii="宋体" w:hAnsi="宋体" w:eastAsia="宋体" w:cs="宋体"/>
              </w:rPr>
              <w:t>所有对流程的操作都写入日志记录。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行政办公</w:t>
            </w:r>
          </w:p>
        </w:tc>
        <w:tc>
          <w:tcPr>
            <w:tcW w:w="7383" w:type="dxa"/>
          </w:tcPr>
          <w:p>
            <w:pPr>
              <w:pStyle w:val="3"/>
              <w:ind w:left="0" w:firstLine="420" w:firstLineChars="200"/>
              <w:rPr>
                <w:rFonts w:ascii="宋体" w:hAnsi="宋体" w:eastAsia="宋体" w:cs="宋体"/>
              </w:rPr>
            </w:pPr>
            <w:r>
              <w:rPr>
                <w:rFonts w:hint="eastAsia" w:ascii="宋体" w:hAnsi="宋体" w:eastAsia="宋体" w:cs="宋体"/>
              </w:rPr>
              <w:t>允许管理人员查询员工日程安排并安排工作；</w:t>
            </w:r>
          </w:p>
          <w:p>
            <w:pPr>
              <w:pStyle w:val="3"/>
              <w:ind w:left="0" w:firstLine="420" w:firstLineChars="200"/>
              <w:rPr>
                <w:rFonts w:ascii="宋体" w:hAnsi="宋体" w:eastAsia="宋体" w:cs="宋体"/>
              </w:rPr>
            </w:pPr>
            <w:r>
              <w:rPr>
                <w:rFonts w:hint="eastAsia" w:ascii="宋体" w:hAnsi="宋体" w:eastAsia="宋体" w:cs="宋体"/>
              </w:rPr>
              <w:t>提供工作计划管理、办公用品管理、固定资产、图书管理、资源申请与管理、会议申请与安排、车辆申请与安排、公共通讯簿等行政办公管理模块；提供组织机构信息查询平台。</w:t>
            </w:r>
          </w:p>
          <w:p>
            <w:pPr>
              <w:pStyle w:val="3"/>
              <w:ind w:left="0" w:firstLine="420" w:firstLineChars="200"/>
              <w:rPr>
                <w:rFonts w:ascii="宋体" w:hAnsi="宋体" w:eastAsia="宋体" w:cs="宋体"/>
              </w:rPr>
            </w:pPr>
            <w:r>
              <w:rPr>
                <w:rFonts w:hint="eastAsia" w:ascii="宋体" w:hAnsi="宋体" w:eastAsia="宋体" w:cs="宋体"/>
              </w:rPr>
              <w:t>公告通知：支持设置公告的审批规则；支持公告置顶；支持多种公告通知格式；支持按人员、部门、角色多种方式确定发布范围；允许设置附件的下载打印权限；允许设置公告有效期；支持提取关键字，并通过关键字查看相关公告、新闻、邮件、文件柜相关信息；支持查看查阅情况；支持按公告通知类型设置是否需要审批。</w:t>
            </w:r>
          </w:p>
          <w:p>
            <w:pPr>
              <w:pStyle w:val="3"/>
              <w:ind w:left="0" w:firstLine="420" w:firstLineChars="200"/>
              <w:rPr>
                <w:rFonts w:ascii="宋体" w:hAnsi="宋体" w:eastAsia="宋体" w:cs="宋体"/>
              </w:rPr>
            </w:pPr>
            <w:r>
              <w:rPr>
                <w:rFonts w:hint="eastAsia" w:ascii="宋体" w:hAnsi="宋体" w:eastAsia="宋体" w:cs="宋体"/>
              </w:rPr>
              <w:t>新闻：支持新闻置顶；支持多种新闻发布格式；支持按人员、部门、角色多种方式确定发布范围；支持定时发布；支持评论，包含实名评论和匿名评论；支持提取关键字，并通过关键字查看相关公告、新闻、邮件、文件柜相关信息。</w:t>
            </w:r>
          </w:p>
          <w:p>
            <w:pPr>
              <w:pStyle w:val="3"/>
              <w:ind w:left="0" w:firstLine="420" w:firstLineChars="200"/>
              <w:rPr>
                <w:rFonts w:ascii="宋体" w:hAnsi="宋体" w:eastAsia="宋体" w:cs="宋体"/>
              </w:rPr>
            </w:pPr>
            <w:r>
              <w:rPr>
                <w:rFonts w:hint="eastAsia" w:ascii="宋体" w:hAnsi="宋体" w:eastAsia="宋体" w:cs="宋体"/>
              </w:rPr>
              <w:t>投票：支持投票置顶；支持子投票；支持有效期设置；支持匿名投票；支持投票数据统计与导出。</w:t>
            </w:r>
          </w:p>
          <w:p>
            <w:pPr>
              <w:ind w:firstLine="420" w:firstLineChars="200"/>
              <w:rPr>
                <w:rFonts w:ascii="宋体" w:hAnsi="宋体" w:eastAsia="宋体" w:cs="宋体"/>
              </w:rPr>
            </w:pPr>
            <w:r>
              <w:rPr>
                <w:rFonts w:hint="eastAsia" w:ascii="宋体" w:hAnsi="宋体" w:eastAsia="宋体" w:cs="宋体"/>
              </w:rPr>
              <w:t>固定资产：参数设置；固定资产管理；固定资产查询。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知识管理</w:t>
            </w:r>
          </w:p>
        </w:tc>
        <w:tc>
          <w:tcPr>
            <w:tcW w:w="7383" w:type="dxa"/>
          </w:tcPr>
          <w:p>
            <w:pPr>
              <w:rPr>
                <w:rFonts w:ascii="宋体" w:hAnsi="宋体" w:eastAsia="宋体" w:cs="宋体"/>
              </w:rPr>
            </w:pPr>
            <w:r>
              <w:rPr>
                <w:rFonts w:hint="eastAsia" w:ascii="宋体" w:hAnsi="宋体" w:eastAsia="宋体" w:cs="宋体"/>
              </w:rPr>
              <w:t>（1）公共文档管理模块：公共文件柜与网络硬盘；</w:t>
            </w:r>
          </w:p>
          <w:p>
            <w:pPr>
              <w:ind w:firstLine="420" w:firstLineChars="200"/>
              <w:rPr>
                <w:rFonts w:ascii="宋体" w:hAnsi="宋体" w:eastAsia="宋体" w:cs="宋体"/>
              </w:rPr>
            </w:pPr>
            <w:r>
              <w:rPr>
                <w:rFonts w:hint="eastAsia" w:ascii="宋体" w:hAnsi="宋体" w:eastAsia="宋体" w:cs="宋体"/>
              </w:rPr>
              <w:t>支持任意多级目录层次；均支持全局搜索；均支持多媒体文件播放与浏览；支持权限控制，公共文件柜还可以指定任一层次目录的访问及操作权限；</w:t>
            </w:r>
          </w:p>
          <w:p>
            <w:pPr>
              <w:ind w:firstLine="420" w:firstLineChars="200"/>
              <w:rPr>
                <w:rFonts w:ascii="宋体" w:hAnsi="宋体" w:eastAsia="宋体" w:cs="宋体"/>
              </w:rPr>
            </w:pPr>
            <w:r>
              <w:rPr>
                <w:rFonts w:hint="eastAsia" w:ascii="宋体" w:hAnsi="宋体" w:eastAsia="宋体" w:cs="宋体"/>
              </w:rPr>
              <w:t>网络硬盘管理的文件是磁盘中实际存储的文件，不仅可以支持局域网文件共享，还可以支持广域网文件共享；通过图片浏览可对公司共享的图片文件进行统一管理；</w:t>
            </w:r>
          </w:p>
          <w:p>
            <w:pPr>
              <w:rPr>
                <w:rFonts w:ascii="宋体" w:hAnsi="宋体" w:eastAsia="宋体" w:cs="宋体"/>
              </w:rPr>
            </w:pPr>
            <w:r>
              <w:rPr>
                <w:rFonts w:hint="eastAsia" w:ascii="宋体" w:hAnsi="宋体" w:eastAsia="宋体" w:cs="宋体"/>
              </w:rPr>
              <w:t>（2）OA知道可实现问题交流、内部互动；</w:t>
            </w:r>
          </w:p>
          <w:p>
            <w:pPr>
              <w:ind w:firstLine="420" w:firstLineChars="200"/>
              <w:rPr>
                <w:rFonts w:ascii="宋体" w:hAnsi="宋体" w:eastAsia="宋体" w:cs="宋体"/>
              </w:rPr>
            </w:pPr>
            <w:r>
              <w:rPr>
                <w:rFonts w:hint="eastAsia" w:ascii="宋体" w:hAnsi="宋体" w:eastAsia="宋体" w:cs="宋体"/>
              </w:rPr>
              <w:t>维基百科提供了一个单位内部所有用户均能平等浏览、创造、完善内容的平台；文档检索中心提取公共文件柜与网络硬盘内文件的关键词形成词汇云，可进行快速检索。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智能门户</w:t>
            </w:r>
          </w:p>
        </w:tc>
        <w:tc>
          <w:tcPr>
            <w:tcW w:w="7383" w:type="dxa"/>
          </w:tcPr>
          <w:p>
            <w:pPr>
              <w:ind w:firstLine="420" w:firstLineChars="200"/>
              <w:rPr>
                <w:rFonts w:ascii="宋体" w:hAnsi="宋体" w:eastAsia="宋体" w:cs="宋体"/>
              </w:rPr>
            </w:pPr>
            <w:r>
              <w:rPr>
                <w:rFonts w:hint="eastAsia" w:ascii="宋体" w:hAnsi="宋体" w:eastAsia="宋体" w:cs="宋体"/>
              </w:rPr>
              <w:t>产品基于开放性理念，使得用户无需为界面定制付费，登录界面模板化；</w:t>
            </w:r>
          </w:p>
          <w:p>
            <w:pPr>
              <w:ind w:firstLine="420" w:firstLineChars="200"/>
              <w:rPr>
                <w:rFonts w:ascii="宋体" w:hAnsi="宋体" w:eastAsia="宋体" w:cs="宋体"/>
              </w:rPr>
            </w:pPr>
            <w:r>
              <w:rPr>
                <w:rFonts w:hint="eastAsia" w:ascii="宋体" w:hAnsi="宋体" w:eastAsia="宋体" w:cs="宋体"/>
              </w:rPr>
              <w:t>支持用户自定义登录界面模板和个性化设置布局排版，允许自定义IE浏览器标题和主界面文字和单位LOGO，界面简洁实用，易于操作，无需专业培训即可掌握使用方法，独特的在线人员列表，方便即时交流，采用无刷新技术实现内部消息与在线人数显示；</w:t>
            </w:r>
          </w:p>
          <w:p>
            <w:pPr>
              <w:ind w:firstLine="420" w:firstLineChars="200"/>
              <w:rPr>
                <w:rFonts w:ascii="宋体" w:hAnsi="宋体" w:eastAsia="宋体" w:cs="宋体"/>
              </w:rPr>
            </w:pPr>
            <w:r>
              <w:rPr>
                <w:rFonts w:hint="eastAsia" w:ascii="宋体" w:hAnsi="宋体" w:eastAsia="宋体" w:cs="宋体"/>
              </w:rPr>
              <w:t>支持触屏客户端滑动操作，支持分屏设置，基于模版快速建立门户；</w:t>
            </w:r>
          </w:p>
          <w:p>
            <w:pPr>
              <w:ind w:firstLine="420" w:firstLineChars="200"/>
              <w:rPr>
                <w:rFonts w:ascii="宋体" w:hAnsi="宋体" w:eastAsia="宋体" w:cs="宋体"/>
              </w:rPr>
            </w:pPr>
            <w:r>
              <w:rPr>
                <w:rFonts w:hint="eastAsia" w:ascii="宋体" w:hAnsi="宋体" w:eastAsia="宋体" w:cs="宋体"/>
              </w:rPr>
              <w:t>支持多个门户切换，可基于相同的模版为不同的部门（机构）建立各自的门户，门户模版高度可定制化，基于开发接口定制个性化模版，各个门户的内容管理权限可分别设置，灵活方便，功能强大灵活的CMS系统，简洁易用，支持链接外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人力资源</w:t>
            </w:r>
          </w:p>
        </w:tc>
        <w:tc>
          <w:tcPr>
            <w:tcW w:w="7383" w:type="dxa"/>
          </w:tcPr>
          <w:p>
            <w:pPr>
              <w:ind w:firstLine="420" w:firstLineChars="200"/>
              <w:rPr>
                <w:rFonts w:ascii="宋体" w:hAnsi="宋体" w:eastAsia="宋体" w:cs="宋体"/>
              </w:rPr>
            </w:pPr>
            <w:r>
              <w:rPr>
                <w:rFonts w:hint="eastAsia" w:ascii="宋体" w:hAnsi="宋体" w:eastAsia="宋体" w:cs="宋体"/>
              </w:rPr>
              <w:t>人事档案管理：实现档案信息管理与统计分析，实现离职与复职管理。</w:t>
            </w:r>
          </w:p>
          <w:p>
            <w:pPr>
              <w:ind w:firstLine="420" w:firstLineChars="200"/>
              <w:rPr>
                <w:rFonts w:ascii="宋体" w:hAnsi="宋体" w:eastAsia="宋体" w:cs="宋体"/>
              </w:rPr>
            </w:pPr>
            <w:r>
              <w:rPr>
                <w:rFonts w:hint="eastAsia" w:ascii="宋体" w:hAnsi="宋体" w:eastAsia="宋体" w:cs="宋体"/>
              </w:rPr>
              <w:t>合同到期、员工转正、退休的预警；奖惩、证照、学习经历、工作经历、劳动技能、社会关系、职称评定、员工关怀的电子化管理及信息到期的提醒。</w:t>
            </w:r>
          </w:p>
          <w:p>
            <w:pPr>
              <w:ind w:firstLine="420" w:firstLineChars="200"/>
              <w:rPr>
                <w:rFonts w:ascii="宋体" w:hAnsi="宋体" w:eastAsia="宋体" w:cs="宋体"/>
              </w:rPr>
            </w:pPr>
            <w:r>
              <w:rPr>
                <w:rFonts w:hint="eastAsia" w:ascii="宋体" w:hAnsi="宋体" w:eastAsia="宋体" w:cs="宋体"/>
              </w:rPr>
              <w:t>考勤管理：实现上下班登记、外出登记、请假登记、出差登记，支持设置排班类型、考勤管理人员、免签人员、上下班登记时间段、公休日、节假日，提供考勤数据统计分析与管理，默认集成中控考勤机，将考勤机软件中上下班数据同步到OA的上下班登记中，支持轮班，倒班设置。</w:t>
            </w:r>
          </w:p>
          <w:p>
            <w:pPr>
              <w:ind w:firstLine="420" w:firstLineChars="200"/>
              <w:rPr>
                <w:rFonts w:ascii="宋体" w:hAnsi="宋体" w:eastAsia="宋体" w:cs="宋体"/>
              </w:rPr>
            </w:pPr>
            <w:r>
              <w:rPr>
                <w:rFonts w:hint="eastAsia" w:ascii="宋体" w:hAnsi="宋体" w:eastAsia="宋体" w:cs="宋体"/>
              </w:rPr>
              <w:t>积分管理：根据OA使用情况自动计算积分，积分项可自定义，生成积分榜。</w:t>
            </w:r>
          </w:p>
          <w:p>
            <w:pPr>
              <w:ind w:firstLine="420" w:firstLineChars="200"/>
              <w:rPr>
                <w:rFonts w:ascii="宋体" w:hAnsi="宋体" w:eastAsia="宋体" w:cs="宋体"/>
              </w:rPr>
            </w:pPr>
            <w:r>
              <w:rPr>
                <w:rFonts w:hint="eastAsia" w:ascii="宋体" w:hAnsi="宋体" w:eastAsia="宋体" w:cs="宋体"/>
              </w:rPr>
              <w:t>薪酬管理：允许设置工资项目、定义计算公式，通过管理工资流程，实现部门效益工资上报、财务录入、统计分析、工资条通过内部邮件和手机短信发放。</w:t>
            </w:r>
          </w:p>
          <w:p>
            <w:pPr>
              <w:ind w:firstLine="420" w:firstLineChars="200"/>
              <w:rPr>
                <w:rFonts w:ascii="宋体" w:hAnsi="宋体" w:eastAsia="宋体" w:cs="宋体"/>
              </w:rPr>
            </w:pPr>
            <w:r>
              <w:rPr>
                <w:rFonts w:hint="eastAsia" w:ascii="宋体" w:hAnsi="宋体" w:eastAsia="宋体" w:cs="宋体"/>
              </w:rPr>
              <w:t>人员考核：支持考核指标集定义、考核任务管理，有助于将员工考核、管理人员考核日常化，并包含自评选项。</w:t>
            </w:r>
          </w:p>
          <w:p>
            <w:pPr>
              <w:ind w:firstLine="420" w:firstLineChars="200"/>
              <w:rPr>
                <w:rFonts w:ascii="宋体" w:hAnsi="宋体" w:eastAsia="宋体" w:cs="宋体"/>
              </w:rPr>
            </w:pPr>
            <w:r>
              <w:rPr>
                <w:rFonts w:hint="eastAsia" w:ascii="宋体" w:hAnsi="宋体" w:eastAsia="宋体" w:cs="宋体"/>
              </w:rPr>
              <w:t>员工自助查询：可以查到与当前用户相关的人事、薪酬、考核等信息。</w:t>
            </w:r>
          </w:p>
          <w:p>
            <w:pPr>
              <w:ind w:firstLine="420" w:firstLineChars="200"/>
              <w:rPr>
                <w:rFonts w:ascii="宋体" w:hAnsi="宋体" w:eastAsia="宋体" w:cs="宋体"/>
              </w:rPr>
            </w:pPr>
            <w:r>
              <w:rPr>
                <w:rFonts w:hint="eastAsia" w:ascii="宋体" w:hAnsi="宋体" w:eastAsia="宋体" w:cs="宋体"/>
              </w:rPr>
              <w:t>在线考试：实现内部培训考核，支持单选、多选与主观题，支持重考，支持自动选题。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公文管理</w:t>
            </w:r>
          </w:p>
        </w:tc>
        <w:tc>
          <w:tcPr>
            <w:tcW w:w="7383" w:type="dxa"/>
          </w:tcPr>
          <w:p>
            <w:pPr>
              <w:ind w:firstLine="420" w:firstLineChars="200"/>
              <w:rPr>
                <w:rFonts w:hint="eastAsia" w:ascii="宋体" w:hAnsi="宋体" w:eastAsia="宋体" w:cs="宋体"/>
                <w:lang w:eastAsia="zh-CN"/>
              </w:rPr>
            </w:pPr>
            <w:r>
              <w:rPr>
                <w:rFonts w:hint="eastAsia" w:ascii="宋体" w:hAnsi="宋体" w:eastAsia="宋体" w:cs="宋体"/>
              </w:rPr>
              <w:t>实现行政机关公文收发的过程，使用固化流程并引入版式文件，实现对打印的精确控制以及对印章的有效管理；</w:t>
            </w:r>
          </w:p>
          <w:p>
            <w:pPr>
              <w:ind w:firstLine="420" w:firstLineChars="200"/>
              <w:rPr>
                <w:rFonts w:ascii="宋体" w:hAnsi="宋体" w:eastAsia="宋体" w:cs="宋体"/>
              </w:rPr>
            </w:pPr>
            <w:r>
              <w:rPr>
                <w:rFonts w:hint="eastAsia" w:ascii="宋体" w:hAnsi="宋体" w:eastAsia="宋体" w:cs="宋体"/>
              </w:rPr>
              <w:t>支持多次核稿及多人依次核稿；支持按公文类别绑定套红模板；支持公文归档；</w:t>
            </w:r>
          </w:p>
          <w:p>
            <w:pPr>
              <w:ind w:firstLine="420" w:firstLineChars="200"/>
              <w:rPr>
                <w:rFonts w:ascii="宋体" w:hAnsi="宋体" w:eastAsia="宋体" w:cs="宋体"/>
              </w:rPr>
            </w:pPr>
            <w:r>
              <w:rPr>
                <w:rFonts w:hint="eastAsia" w:ascii="宋体" w:hAnsi="宋体" w:eastAsia="宋体" w:cs="宋体"/>
              </w:rPr>
              <w:t>支持版式文件，防篡改，保证公文安全性；支持自动编号。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档案管理</w:t>
            </w:r>
          </w:p>
        </w:tc>
        <w:tc>
          <w:tcPr>
            <w:tcW w:w="7383" w:type="dxa"/>
          </w:tcPr>
          <w:p>
            <w:pPr>
              <w:ind w:firstLine="420" w:firstLineChars="200"/>
              <w:rPr>
                <w:rFonts w:ascii="宋体" w:hAnsi="宋体" w:eastAsia="宋体" w:cs="宋体"/>
              </w:rPr>
            </w:pPr>
            <w:r>
              <w:rPr>
                <w:rFonts w:hint="eastAsia" w:ascii="宋体" w:hAnsi="宋体" w:eastAsia="宋体" w:cs="宋体"/>
              </w:rPr>
              <w:t>实现档案的电子化管理，提高检索效率，档案的借阅与审核也都在系统中完成，提升工作效率；</w:t>
            </w:r>
          </w:p>
          <w:p>
            <w:pPr>
              <w:ind w:firstLine="420" w:firstLineChars="200"/>
              <w:rPr>
                <w:rFonts w:ascii="宋体" w:hAnsi="宋体" w:eastAsia="宋体" w:cs="宋体"/>
              </w:rPr>
            </w:pPr>
            <w:r>
              <w:rPr>
                <w:rFonts w:hint="eastAsia" w:ascii="宋体" w:hAnsi="宋体" w:eastAsia="宋体" w:cs="宋体"/>
              </w:rPr>
              <w:t>支持卷库、案卷、文件的层级管理，案卷管理具有组卷和封卷功能；支持案卷借阅，借阅审批的权限管理；支持档案统计，可统计借阅次数；支持档案销毁；可支撑其他模块数据的归档管理。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交流园地</w:t>
            </w:r>
          </w:p>
        </w:tc>
        <w:tc>
          <w:tcPr>
            <w:tcW w:w="7383" w:type="dxa"/>
          </w:tcPr>
          <w:p>
            <w:pPr>
              <w:rPr>
                <w:rFonts w:ascii="宋体" w:hAnsi="宋体" w:eastAsia="宋体" w:cs="宋体"/>
              </w:rPr>
            </w:pPr>
            <w:r>
              <w:rPr>
                <w:rFonts w:hint="eastAsia" w:ascii="宋体" w:hAnsi="宋体" w:eastAsia="宋体" w:cs="宋体"/>
              </w:rPr>
              <w:t>提供讨论区、论坛等交流渠道；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微讯分享</w:t>
            </w:r>
          </w:p>
        </w:tc>
        <w:tc>
          <w:tcPr>
            <w:tcW w:w="7383" w:type="dxa"/>
          </w:tcPr>
          <w:p>
            <w:pPr>
              <w:ind w:firstLine="420" w:firstLineChars="200"/>
              <w:rPr>
                <w:rFonts w:ascii="宋体" w:hAnsi="宋体" w:eastAsia="宋体" w:cs="宋体"/>
              </w:rPr>
            </w:pPr>
            <w:r>
              <w:rPr>
                <w:rFonts w:hint="eastAsia" w:ascii="宋体" w:hAnsi="宋体" w:eastAsia="宋体" w:cs="宋体"/>
              </w:rPr>
              <w:t>支持用户发布分享信息、语音、图片、支持@人、插入表情等；支持信息的删除、转播；支持主题创建、查看、以及参与讨论；可以选择关心的用户查看个人分享主页。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系统管理</w:t>
            </w:r>
          </w:p>
        </w:tc>
        <w:tc>
          <w:tcPr>
            <w:tcW w:w="7383" w:type="dxa"/>
          </w:tcPr>
          <w:p>
            <w:pPr>
              <w:ind w:firstLine="420" w:firstLineChars="200"/>
              <w:rPr>
                <w:rFonts w:ascii="宋体" w:hAnsi="宋体" w:eastAsia="宋体" w:cs="宋体"/>
              </w:rPr>
            </w:pPr>
            <w:r>
              <w:rPr>
                <w:rFonts w:hint="eastAsia" w:ascii="宋体" w:hAnsi="宋体" w:eastAsia="宋体" w:cs="宋体"/>
              </w:rPr>
              <w:t>系统安全控制： 根据角色权限设置，全部程序页面自动检查模块权限，提供高度安全保障；完备的系统日志管理，提供访问量年度、月、日统计报表，重要操作日志的查询管理；通过系统访问控制，设置IP访问权限，对登录与考勤做出限制，提高访问安全性；提供系统安全设置选项，包括密码强度、USB用户KEY设置、动态密码卡、指纹验证、域用户绑定。</w:t>
            </w:r>
          </w:p>
          <w:p>
            <w:pPr>
              <w:ind w:firstLine="420" w:firstLineChars="200"/>
              <w:rPr>
                <w:rFonts w:ascii="宋体" w:hAnsi="宋体" w:eastAsia="宋体" w:cs="宋体"/>
              </w:rPr>
            </w:pPr>
            <w:r>
              <w:rPr>
                <w:rFonts w:hint="eastAsia" w:ascii="宋体" w:hAnsi="宋体" w:eastAsia="宋体" w:cs="宋体"/>
              </w:rPr>
              <w:t>系统资源管理： 允许指定邮箱和个人文件柜空间限制；系统资源监控与回收，删除过期数据，提高空间利用效率；数据归档与数据压缩可降低服务器数据占用空间，提高访问速度；</w:t>
            </w:r>
          </w:p>
          <w:p>
            <w:pPr>
              <w:ind w:firstLine="420" w:firstLineChars="200"/>
              <w:rPr>
                <w:rFonts w:ascii="宋体" w:hAnsi="宋体" w:eastAsia="宋体" w:cs="宋体"/>
              </w:rPr>
            </w:pPr>
            <w:r>
              <w:rPr>
                <w:rFonts w:hint="eastAsia" w:ascii="宋体" w:hAnsi="宋体" w:eastAsia="宋体" w:cs="宋体"/>
              </w:rPr>
              <w:t>支持office文档备份管理；支持IM资源管理。</w:t>
            </w:r>
          </w:p>
          <w:p>
            <w:pPr>
              <w:ind w:firstLine="420" w:firstLineChars="200"/>
              <w:rPr>
                <w:rFonts w:ascii="宋体" w:hAnsi="宋体" w:eastAsia="宋体" w:cs="宋体"/>
              </w:rPr>
            </w:pPr>
            <w:r>
              <w:rPr>
                <w:rFonts w:hint="eastAsia" w:ascii="宋体" w:hAnsi="宋体" w:eastAsia="宋体" w:cs="宋体"/>
              </w:rPr>
              <w:t>★微信集成：微信单位号、服务号、公众号的集成，实现新闻、公告通知、即时信息同步。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客户端工具</w:t>
            </w:r>
          </w:p>
        </w:tc>
        <w:tc>
          <w:tcPr>
            <w:tcW w:w="7383" w:type="dxa"/>
          </w:tcPr>
          <w:p>
            <w:pPr>
              <w:ind w:firstLine="420" w:firstLineChars="200"/>
              <w:rPr>
                <w:rFonts w:ascii="宋体" w:hAnsi="宋体" w:eastAsia="宋体" w:cs="宋体"/>
              </w:rPr>
            </w:pPr>
            <w:r>
              <w:rPr>
                <w:rFonts w:hint="eastAsia" w:ascii="宋体" w:hAnsi="宋体" w:eastAsia="宋体" w:cs="宋体"/>
              </w:rPr>
              <w:t>除浏览器登录外，提供OA客户端工具，实现开机自动登录OA，包含windows及MAC OS版；支持内外网地址快速切换；提供多套皮肤可供选择；支持天气预报显示，可查看3日天气详情；支持类似QQ的闪动效果与精灵动画提示；支持二维码扫描添加联系人；支持记忆最常使用菜单和添加页面收藏夹。提供单位内部即时通讯功能，可实现用户之间的实时通讯、文件及文件夹传输；支持即时通讯群组设置；支持自定义临时讨论组；支持查看最近联系人；支持名片显示对方请假、外出、出差等状态信息，快速了解对方所处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2" w:type="dxa"/>
          </w:tcPr>
          <w:p>
            <w:pPr>
              <w:rPr>
                <w:rFonts w:ascii="宋体" w:hAnsi="宋体" w:eastAsia="宋体" w:cs="宋体"/>
              </w:rPr>
            </w:pPr>
            <w:r>
              <w:rPr>
                <w:rFonts w:hint="eastAsia" w:ascii="宋体" w:hAnsi="宋体" w:eastAsia="宋体" w:cs="宋体"/>
              </w:rPr>
              <w:t>移动客户端</w:t>
            </w:r>
          </w:p>
        </w:tc>
        <w:tc>
          <w:tcPr>
            <w:tcW w:w="7383" w:type="dxa"/>
          </w:tcPr>
          <w:p>
            <w:pPr>
              <w:ind w:firstLine="420" w:firstLineChars="200"/>
              <w:rPr>
                <w:rFonts w:ascii="宋体" w:hAnsi="宋体" w:eastAsia="宋体" w:cs="宋体"/>
              </w:rPr>
            </w:pPr>
            <w:r>
              <w:rPr>
                <w:rFonts w:hint="eastAsia" w:ascii="宋体" w:hAnsi="宋体" w:eastAsia="宋体" w:cs="宋体"/>
              </w:rPr>
              <w:t>移动版客户端(Android/iOS)，实现无线移动办公；初次使用引导设计，方便快速掌握移动版客户端的使用；</w:t>
            </w:r>
          </w:p>
          <w:p>
            <w:pPr>
              <w:ind w:firstLine="422" w:firstLineChars="200"/>
              <w:rPr>
                <w:rFonts w:ascii="宋体" w:hAnsi="宋体" w:eastAsia="宋体" w:cs="宋体"/>
                <w:b/>
                <w:bCs/>
              </w:rPr>
            </w:pPr>
            <w:r>
              <w:rPr>
                <w:rFonts w:hint="eastAsia" w:ascii="宋体" w:hAnsi="宋体" w:eastAsia="宋体" w:cs="宋体"/>
                <w:b/>
                <w:bCs/>
              </w:rPr>
              <w:t>提供电子邮件、工作日志、公告、工作流、微讯等模块功能，随时查阅办公数据；</w:t>
            </w:r>
            <w:r>
              <w:rPr>
                <w:rFonts w:hint="eastAsia" w:ascii="宋体" w:hAnsi="宋体" w:eastAsia="宋体" w:cs="宋体"/>
                <w:b/>
                <w:bCs/>
                <w:kern w:val="0"/>
                <w:lang w:eastAsia="zh-CN"/>
              </w:rPr>
              <w:t>（</w:t>
            </w:r>
            <w:r>
              <w:rPr>
                <w:rFonts w:hint="eastAsia" w:ascii="宋体" w:hAnsi="宋体" w:eastAsia="宋体" w:cs="Times New Roman"/>
                <w:b/>
                <w:bCs/>
                <w:color w:val="000000" w:themeColor="text1"/>
                <w:sz w:val="24"/>
                <w:lang w:eastAsia="zh-CN"/>
                <w14:textFill>
                  <w14:solidFill>
                    <w14:schemeClr w14:val="tx1"/>
                  </w14:solidFill>
                </w14:textFill>
              </w:rPr>
              <w:t>需提供截图证明材料）</w:t>
            </w:r>
          </w:p>
          <w:p>
            <w:pPr>
              <w:ind w:firstLine="420" w:firstLineChars="200"/>
              <w:rPr>
                <w:rFonts w:ascii="宋体" w:hAnsi="宋体" w:eastAsia="宋体" w:cs="宋体"/>
              </w:rPr>
            </w:pPr>
            <w:r>
              <w:rPr>
                <w:rFonts w:hint="eastAsia" w:ascii="宋体" w:hAnsi="宋体" w:eastAsia="宋体" w:cs="宋体"/>
              </w:rPr>
              <w:t>支持以手机新建便签，且在登录Windows版精灵后，以手机创建的便签会自动跳到桌面上一次，来提醒使用者，可以防止遗忘重要事项；</w:t>
            </w:r>
          </w:p>
          <w:p>
            <w:pPr>
              <w:ind w:firstLine="420" w:firstLineChars="200"/>
              <w:rPr>
                <w:rFonts w:ascii="宋体" w:hAnsi="宋体" w:eastAsia="宋体" w:cs="宋体"/>
              </w:rPr>
            </w:pPr>
            <w:r>
              <w:rPr>
                <w:rFonts w:hint="eastAsia" w:ascii="宋体" w:hAnsi="宋体" w:eastAsia="宋体" w:cs="宋体"/>
              </w:rPr>
              <w:t>支持OA中日程与手机系统中的日历模块同步数据，实现日程的导入导出功能；</w:t>
            </w:r>
          </w:p>
          <w:p>
            <w:pPr>
              <w:ind w:firstLine="420" w:firstLineChars="200"/>
              <w:rPr>
                <w:rFonts w:ascii="宋体" w:hAnsi="宋体" w:eastAsia="宋体" w:cs="宋体"/>
              </w:rPr>
            </w:pPr>
            <w:r>
              <w:rPr>
                <w:rFonts w:hint="eastAsia" w:ascii="宋体" w:hAnsi="宋体" w:eastAsia="宋体" w:cs="宋体"/>
              </w:rPr>
              <w:t>支持天气预报功能，且能够省、市、县三级联动检索；</w:t>
            </w:r>
          </w:p>
          <w:p>
            <w:pPr>
              <w:ind w:firstLine="420" w:firstLineChars="200"/>
              <w:rPr>
                <w:rFonts w:ascii="宋体" w:hAnsi="宋体" w:eastAsia="宋体" w:cs="宋体"/>
              </w:rPr>
            </w:pPr>
            <w:r>
              <w:rPr>
                <w:rFonts w:hint="eastAsia" w:ascii="宋体" w:hAnsi="宋体" w:eastAsia="宋体" w:cs="宋体"/>
              </w:rPr>
              <w:t>支持自定义多种网络环境，快捷切换，使用方便；</w:t>
            </w:r>
          </w:p>
          <w:p>
            <w:pPr>
              <w:ind w:firstLine="420" w:firstLineChars="200"/>
              <w:rPr>
                <w:rFonts w:ascii="宋体" w:hAnsi="宋体" w:eastAsia="宋体" w:cs="宋体"/>
              </w:rPr>
            </w:pPr>
            <w:r>
              <w:rPr>
                <w:rFonts w:hint="eastAsia" w:ascii="宋体" w:hAnsi="宋体" w:eastAsia="宋体" w:cs="宋体"/>
              </w:rPr>
              <w:t>采用全新的网络交互技术，提高访问速度，大幅节约流量；</w:t>
            </w:r>
          </w:p>
          <w:p>
            <w:pPr>
              <w:ind w:firstLine="420" w:firstLineChars="200"/>
              <w:rPr>
                <w:rFonts w:ascii="宋体" w:hAnsi="宋体" w:eastAsia="宋体" w:cs="宋体"/>
              </w:rPr>
            </w:pPr>
            <w:r>
              <w:rPr>
                <w:rFonts w:hint="eastAsia" w:ascii="宋体" w:hAnsi="宋体" w:eastAsia="宋体" w:cs="宋体"/>
              </w:rPr>
              <w:t>支持新建工作，工作流转交、办理、会签及表单查看等功能，移动办公简单可靠；</w:t>
            </w:r>
          </w:p>
          <w:p>
            <w:pPr>
              <w:ind w:firstLine="420" w:firstLineChars="200"/>
              <w:rPr>
                <w:rFonts w:ascii="宋体" w:hAnsi="宋体" w:eastAsia="宋体" w:cs="宋体"/>
              </w:rPr>
            </w:pPr>
            <w:r>
              <w:rPr>
                <w:rFonts w:hint="eastAsia" w:ascii="宋体" w:hAnsi="宋体" w:eastAsia="宋体" w:cs="宋体"/>
              </w:rPr>
              <w:t>支持消息推送，移动办公更加及时；</w:t>
            </w:r>
          </w:p>
          <w:p>
            <w:pPr>
              <w:ind w:firstLine="420" w:firstLineChars="200"/>
              <w:rPr>
                <w:rFonts w:ascii="宋体" w:hAnsi="宋体" w:eastAsia="宋体" w:cs="宋体"/>
              </w:rPr>
            </w:pPr>
            <w:r>
              <w:rPr>
                <w:rFonts w:hint="eastAsia" w:ascii="宋体" w:hAnsi="宋体" w:eastAsia="宋体" w:cs="宋体"/>
              </w:rPr>
              <w:t>支持写邮件写日志时上传图片、附件功能，信息交流更加丰富；</w:t>
            </w:r>
          </w:p>
          <w:p>
            <w:pPr>
              <w:ind w:firstLine="420" w:firstLineChars="200"/>
              <w:rPr>
                <w:rFonts w:ascii="宋体" w:hAnsi="宋体" w:eastAsia="宋体" w:cs="宋体"/>
              </w:rPr>
            </w:pPr>
            <w:r>
              <w:rPr>
                <w:rFonts w:hint="eastAsia" w:ascii="宋体" w:hAnsi="宋体" w:eastAsia="宋体" w:cs="宋体"/>
              </w:rPr>
              <w:t>支持手机签章，办理工作更加安全可靠；</w:t>
            </w:r>
          </w:p>
          <w:p>
            <w:pPr>
              <w:ind w:firstLine="420" w:firstLineChars="200"/>
              <w:rPr>
                <w:rFonts w:ascii="宋体" w:hAnsi="宋体" w:eastAsia="宋体" w:cs="宋体"/>
              </w:rPr>
            </w:pPr>
            <w:r>
              <w:rPr>
                <w:rFonts w:hint="eastAsia" w:ascii="宋体" w:hAnsi="宋体" w:eastAsia="宋体" w:cs="宋体"/>
              </w:rPr>
              <w:t>支持图片、Office文档在线阅读，Android手机版支持图片、Office文档本地下载；</w:t>
            </w:r>
          </w:p>
          <w:p>
            <w:pPr>
              <w:ind w:firstLine="420" w:firstLineChars="200"/>
              <w:rPr>
                <w:rFonts w:ascii="宋体" w:hAnsi="宋体" w:eastAsia="宋体" w:cs="宋体"/>
              </w:rPr>
            </w:pPr>
            <w:r>
              <w:rPr>
                <w:rFonts w:hint="eastAsia" w:ascii="宋体" w:hAnsi="宋体" w:eastAsia="宋体" w:cs="宋体"/>
              </w:rPr>
              <w:t>多套主题任意切换；</w:t>
            </w:r>
          </w:p>
          <w:p>
            <w:pPr>
              <w:ind w:firstLine="420" w:firstLineChars="200"/>
              <w:rPr>
                <w:rFonts w:ascii="宋体" w:hAnsi="宋体" w:eastAsia="宋体" w:cs="宋体"/>
              </w:rPr>
            </w:pPr>
            <w:r>
              <w:rPr>
                <w:rFonts w:hint="eastAsia" w:ascii="宋体" w:hAnsi="宋体" w:eastAsia="宋体" w:cs="宋体"/>
              </w:rPr>
              <w:t>支持发送图片、定位和语音微讯，带来全新的移动互联办公体验；</w:t>
            </w:r>
          </w:p>
          <w:p>
            <w:pPr>
              <w:ind w:firstLine="420" w:firstLineChars="200"/>
              <w:rPr>
                <w:rFonts w:ascii="宋体" w:hAnsi="宋体" w:eastAsia="宋体" w:cs="宋体"/>
              </w:rPr>
            </w:pPr>
            <w:r>
              <w:rPr>
                <w:rFonts w:hint="eastAsia" w:ascii="宋体" w:hAnsi="宋体" w:eastAsia="宋体" w:cs="宋体"/>
              </w:rPr>
              <w:t>提供手机报表和管理中心，方便领导随时掌控情况；</w:t>
            </w:r>
          </w:p>
          <w:p>
            <w:pPr>
              <w:ind w:firstLine="420" w:firstLineChars="200"/>
              <w:rPr>
                <w:rFonts w:ascii="宋体" w:hAnsi="宋体" w:eastAsia="宋体" w:cs="宋体"/>
              </w:rPr>
            </w:pPr>
            <w:r>
              <w:rPr>
                <w:rFonts w:hint="eastAsia" w:ascii="宋体" w:hAnsi="宋体" w:eastAsia="宋体" w:cs="宋体"/>
              </w:rPr>
              <w:t>支持将管理中心图表转发为邮件；</w:t>
            </w:r>
          </w:p>
          <w:p>
            <w:pPr>
              <w:ind w:firstLine="420" w:firstLineChars="200"/>
              <w:rPr>
                <w:rFonts w:ascii="宋体" w:hAnsi="宋体" w:eastAsia="宋体" w:cs="宋体"/>
              </w:rPr>
            </w:pPr>
            <w:r>
              <w:rPr>
                <w:rFonts w:hint="eastAsia" w:ascii="宋体" w:hAnsi="宋体" w:eastAsia="宋体" w:cs="宋体"/>
              </w:rPr>
              <w:t>微讯分享，单位内部的微博，关注同事的最新动态。</w:t>
            </w:r>
          </w:p>
        </w:tc>
      </w:tr>
    </w:tbl>
    <w:p>
      <w:pPr>
        <w:pStyle w:val="3"/>
        <w:ind w:left="0" w:firstLine="420" w:firstLineChars="200"/>
      </w:pPr>
    </w:p>
    <w:p>
      <w:pPr>
        <w:pStyle w:val="2"/>
        <w:numPr>
          <w:ilvl w:val="0"/>
          <w:numId w:val="16"/>
        </w:numPr>
        <w:rPr>
          <w:sz w:val="24"/>
        </w:rPr>
      </w:pPr>
      <w:r>
        <w:rPr>
          <w:rFonts w:hint="eastAsia"/>
          <w:sz w:val="24"/>
        </w:rPr>
        <w:t>采购清单</w:t>
      </w:r>
    </w:p>
    <w:tbl>
      <w:tblPr>
        <w:tblStyle w:val="25"/>
        <w:tblW w:w="9330" w:type="dxa"/>
        <w:jc w:val="center"/>
        <w:tblLayout w:type="fixed"/>
        <w:tblCellMar>
          <w:top w:w="0" w:type="dxa"/>
          <w:left w:w="108" w:type="dxa"/>
          <w:bottom w:w="0" w:type="dxa"/>
          <w:right w:w="108" w:type="dxa"/>
        </w:tblCellMar>
      </w:tblPr>
      <w:tblGrid>
        <w:gridCol w:w="769"/>
        <w:gridCol w:w="2438"/>
        <w:gridCol w:w="4423"/>
        <w:gridCol w:w="847"/>
        <w:gridCol w:w="853"/>
      </w:tblGrid>
      <w:tr>
        <w:tblPrEx>
          <w:tblCellMar>
            <w:top w:w="0" w:type="dxa"/>
            <w:left w:w="108" w:type="dxa"/>
            <w:bottom w:w="0" w:type="dxa"/>
            <w:right w:w="108" w:type="dxa"/>
          </w:tblCellMar>
        </w:tblPrEx>
        <w:trPr>
          <w:trHeight w:val="50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序号</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设备名称</w:t>
            </w:r>
          </w:p>
        </w:tc>
        <w:tc>
          <w:tcPr>
            <w:tcW w:w="4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规格</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 xml:space="preserve"> 数量</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b/>
                <w:bCs/>
                <w:color w:val="000000"/>
              </w:rPr>
            </w:pPr>
            <w:r>
              <w:rPr>
                <w:rFonts w:hint="eastAsia" w:ascii="宋体" w:hAnsi="宋体" w:eastAsia="宋体" w:cs="宋体"/>
                <w:b/>
                <w:bCs/>
                <w:color w:val="000000"/>
                <w:kern w:val="0"/>
                <w:lang w:bidi="ar"/>
              </w:rPr>
              <w:t>单位</w:t>
            </w:r>
          </w:p>
        </w:tc>
      </w:tr>
      <w:tr>
        <w:tblPrEx>
          <w:tblCellMar>
            <w:top w:w="0" w:type="dxa"/>
            <w:left w:w="108" w:type="dxa"/>
            <w:bottom w:w="0" w:type="dxa"/>
            <w:right w:w="108" w:type="dxa"/>
          </w:tblCellMar>
        </w:tblPrEx>
        <w:trPr>
          <w:trHeight w:val="504" w:hRule="atLeast"/>
          <w:jc w:val="center"/>
        </w:trPr>
        <w:tc>
          <w:tcPr>
            <w:tcW w:w="933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b/>
                <w:bCs/>
                <w:color w:val="000000"/>
              </w:rPr>
            </w:pPr>
            <w:r>
              <w:rPr>
                <w:rFonts w:hint="eastAsia" w:ascii="宋体" w:hAnsi="宋体" w:eastAsia="宋体" w:cs="宋体"/>
                <w:b/>
                <w:bCs/>
                <w:color w:val="000000"/>
                <w:kern w:val="0"/>
                <w:lang w:bidi="ar"/>
              </w:rPr>
              <w:t>一、云资源租赁</w:t>
            </w:r>
          </w:p>
        </w:tc>
      </w:tr>
      <w:tr>
        <w:tblPrEx>
          <w:tblCellMar>
            <w:top w:w="0" w:type="dxa"/>
            <w:left w:w="108" w:type="dxa"/>
            <w:bottom w:w="0" w:type="dxa"/>
            <w:right w:w="108" w:type="dxa"/>
          </w:tblCellMar>
        </w:tblPrEx>
        <w:trPr>
          <w:trHeight w:val="50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1</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WEB服务器</w:t>
            </w:r>
          </w:p>
        </w:tc>
        <w:tc>
          <w:tcPr>
            <w:tcW w:w="4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政务云虚拟主机A，8核CPU，8G内存，标配160G硬盘+1T 2.5吋 10K SAS硬盘</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36</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台·月</w:t>
            </w:r>
          </w:p>
        </w:tc>
      </w:tr>
      <w:tr>
        <w:tblPrEx>
          <w:tblCellMar>
            <w:top w:w="0" w:type="dxa"/>
            <w:left w:w="108" w:type="dxa"/>
            <w:bottom w:w="0" w:type="dxa"/>
            <w:right w:w="108" w:type="dxa"/>
          </w:tblCellMar>
        </w:tblPrEx>
        <w:trPr>
          <w:trHeight w:val="50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2</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平台管理服务器</w:t>
            </w:r>
          </w:p>
        </w:tc>
        <w:tc>
          <w:tcPr>
            <w:tcW w:w="4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政务云虚拟主机B，12核CPU，16G内存，标配500G硬盘+1T 2.5吋 10K SAS硬盘</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36</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台·月</w:t>
            </w:r>
          </w:p>
        </w:tc>
      </w:tr>
      <w:tr>
        <w:tblPrEx>
          <w:tblCellMar>
            <w:top w:w="0" w:type="dxa"/>
            <w:left w:w="108" w:type="dxa"/>
            <w:bottom w:w="0" w:type="dxa"/>
            <w:right w:w="108" w:type="dxa"/>
          </w:tblCellMar>
        </w:tblPrEx>
        <w:trPr>
          <w:trHeight w:val="50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3</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平台远程备份服务器</w:t>
            </w:r>
          </w:p>
        </w:tc>
        <w:tc>
          <w:tcPr>
            <w:tcW w:w="4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政务云虚拟主机A，8核CPU，8G内存，标配160G硬盘+1T 3.5吋 7.2K SATA硬盘</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36</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台·月</w:t>
            </w:r>
          </w:p>
        </w:tc>
      </w:tr>
      <w:tr>
        <w:tblPrEx>
          <w:tblCellMar>
            <w:top w:w="0" w:type="dxa"/>
            <w:left w:w="108" w:type="dxa"/>
            <w:bottom w:w="0" w:type="dxa"/>
            <w:right w:w="108" w:type="dxa"/>
          </w:tblCellMar>
        </w:tblPrEx>
        <w:trPr>
          <w:trHeight w:val="50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4</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安全服务组合版</w:t>
            </w:r>
          </w:p>
        </w:tc>
        <w:tc>
          <w:tcPr>
            <w:tcW w:w="4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政务云基础安全服务组合B，主机安全（5节点），云防火墙（1000M），日志审计（5节点），云堡垒机（5节点），云Web应用防火墙。</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36</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套·月</w:t>
            </w:r>
          </w:p>
        </w:tc>
      </w:tr>
      <w:tr>
        <w:tblPrEx>
          <w:tblCellMar>
            <w:top w:w="0" w:type="dxa"/>
            <w:left w:w="108" w:type="dxa"/>
            <w:bottom w:w="0" w:type="dxa"/>
            <w:right w:w="108" w:type="dxa"/>
          </w:tblCellMar>
        </w:tblPrEx>
        <w:trPr>
          <w:trHeight w:val="504" w:hRule="atLeast"/>
          <w:jc w:val="center"/>
        </w:trPr>
        <w:tc>
          <w:tcPr>
            <w:tcW w:w="933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b/>
                <w:bCs/>
                <w:color w:val="000000"/>
              </w:rPr>
            </w:pPr>
            <w:r>
              <w:rPr>
                <w:rFonts w:hint="eastAsia" w:ascii="宋体" w:hAnsi="宋体" w:eastAsia="宋体" w:cs="宋体"/>
                <w:b/>
                <w:bCs/>
                <w:color w:val="000000"/>
                <w:kern w:val="0"/>
                <w:lang w:bidi="ar"/>
              </w:rPr>
              <w:t>二、智慧管理与服务平台</w:t>
            </w:r>
          </w:p>
        </w:tc>
      </w:tr>
      <w:tr>
        <w:tblPrEx>
          <w:tblCellMar>
            <w:top w:w="0" w:type="dxa"/>
            <w:left w:w="108" w:type="dxa"/>
            <w:bottom w:w="0" w:type="dxa"/>
            <w:right w:w="108" w:type="dxa"/>
          </w:tblCellMar>
        </w:tblPrEx>
        <w:trPr>
          <w:trHeight w:val="50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5</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网站群管理平台</w:t>
            </w:r>
          </w:p>
        </w:tc>
        <w:tc>
          <w:tcPr>
            <w:tcW w:w="4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rPr>
              <w:t>详见技术要求</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50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6</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网页防篡改系统模块</w:t>
            </w:r>
          </w:p>
        </w:tc>
        <w:tc>
          <w:tcPr>
            <w:tcW w:w="4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rPr>
              <w:t>详见技术要求</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50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7</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协同办公系统</w:t>
            </w:r>
          </w:p>
        </w:tc>
        <w:tc>
          <w:tcPr>
            <w:tcW w:w="4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rPr>
              <w:t>详见技术要求</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套</w:t>
            </w:r>
          </w:p>
        </w:tc>
      </w:tr>
      <w:tr>
        <w:tblPrEx>
          <w:tblCellMar>
            <w:top w:w="0" w:type="dxa"/>
            <w:left w:w="108" w:type="dxa"/>
            <w:bottom w:w="0" w:type="dxa"/>
            <w:right w:w="108" w:type="dxa"/>
          </w:tblCellMar>
        </w:tblPrEx>
        <w:trPr>
          <w:trHeight w:val="504" w:hRule="atLeast"/>
          <w:jc w:val="center"/>
        </w:trPr>
        <w:tc>
          <w:tcPr>
            <w:tcW w:w="9330"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ascii="宋体" w:hAnsi="宋体" w:eastAsia="宋体" w:cs="宋体"/>
                <w:color w:val="000000"/>
              </w:rPr>
            </w:pPr>
            <w:r>
              <w:rPr>
                <w:rFonts w:hint="eastAsia" w:ascii="宋体" w:hAnsi="宋体" w:eastAsia="宋体" w:cs="宋体"/>
                <w:b/>
                <w:bCs/>
                <w:color w:val="000000"/>
                <w:kern w:val="0"/>
                <w:lang w:bidi="ar"/>
              </w:rPr>
              <w:t>三、等保测评</w:t>
            </w:r>
          </w:p>
        </w:tc>
      </w:tr>
      <w:tr>
        <w:tblPrEx>
          <w:tblCellMar>
            <w:top w:w="0" w:type="dxa"/>
            <w:left w:w="108" w:type="dxa"/>
            <w:bottom w:w="0" w:type="dxa"/>
            <w:right w:w="108" w:type="dxa"/>
          </w:tblCellMar>
        </w:tblPrEx>
        <w:trPr>
          <w:trHeight w:val="504" w:hRule="atLeast"/>
          <w:jc w:val="center"/>
        </w:trPr>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1</w:t>
            </w:r>
          </w:p>
        </w:tc>
        <w:tc>
          <w:tcPr>
            <w:tcW w:w="243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等保测评费用</w:t>
            </w:r>
          </w:p>
        </w:tc>
        <w:tc>
          <w:tcPr>
            <w:tcW w:w="4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hAnsi="宋体" w:eastAsia="宋体" w:cs="宋体"/>
                <w:color w:val="000000"/>
              </w:rPr>
            </w:pPr>
            <w:r>
              <w:rPr>
                <w:rFonts w:hint="eastAsia" w:ascii="宋体" w:hAnsi="宋体" w:eastAsia="宋体" w:cs="宋体"/>
                <w:color w:val="000000"/>
                <w:kern w:val="0"/>
                <w:lang w:bidi="ar"/>
              </w:rPr>
              <w:t>二级等保测评</w:t>
            </w:r>
          </w:p>
        </w:tc>
        <w:tc>
          <w:tcPr>
            <w:tcW w:w="84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1</w:t>
            </w:r>
          </w:p>
        </w:tc>
        <w:tc>
          <w:tcPr>
            <w:tcW w:w="85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eastAsia="宋体" w:cs="宋体"/>
                <w:color w:val="000000"/>
              </w:rPr>
            </w:pPr>
            <w:r>
              <w:rPr>
                <w:rFonts w:hint="eastAsia" w:ascii="宋体" w:hAnsi="宋体" w:eastAsia="宋体" w:cs="宋体"/>
                <w:color w:val="000000"/>
                <w:kern w:val="0"/>
                <w:lang w:bidi="ar"/>
              </w:rPr>
              <w:t>项</w:t>
            </w:r>
          </w:p>
        </w:tc>
      </w:tr>
    </w:tbl>
    <w:p>
      <w:pPr>
        <w:rPr>
          <w:rFonts w:hint="eastAsia" w:ascii="宋体" w:hAnsi="宋体" w:eastAsia="宋体" w:cs="宋体"/>
          <w:b/>
          <w:sz w:val="24"/>
          <w:szCs w:val="24"/>
        </w:rPr>
      </w:pPr>
    </w:p>
    <w:p>
      <w:pPr>
        <w:rPr>
          <w:rFonts w:ascii="宋体" w:hAnsi="宋体" w:eastAsia="宋体" w:cs="宋体"/>
          <w:b/>
          <w:sz w:val="24"/>
          <w:szCs w:val="24"/>
        </w:rPr>
      </w:pPr>
      <w:r>
        <w:rPr>
          <w:rFonts w:hint="eastAsia" w:ascii="宋体" w:hAnsi="宋体" w:eastAsia="宋体" w:cs="宋体"/>
          <w:b/>
          <w:sz w:val="24"/>
          <w:szCs w:val="24"/>
        </w:rPr>
        <w:t>实施要求</w:t>
      </w:r>
    </w:p>
    <w:p>
      <w:pPr>
        <w:rPr>
          <w:rFonts w:ascii="宋体" w:hAnsi="宋体" w:eastAsia="宋体" w:cs="宋体"/>
          <w:color w:val="auto"/>
          <w:sz w:val="24"/>
          <w:szCs w:val="24"/>
        </w:rPr>
      </w:pPr>
      <w:r>
        <w:rPr>
          <w:rFonts w:hint="eastAsia" w:ascii="宋体" w:hAnsi="宋体" w:eastAsia="宋体" w:cs="宋体"/>
          <w:color w:val="auto"/>
          <w:sz w:val="24"/>
          <w:szCs w:val="24"/>
        </w:rPr>
        <w:t>（1）实施周期</w:t>
      </w:r>
    </w:p>
    <w:p>
      <w:pPr>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30日历天。</w:t>
      </w:r>
    </w:p>
    <w:p>
      <w:pPr>
        <w:rPr>
          <w:rFonts w:ascii="宋体" w:hAnsi="宋体" w:eastAsia="宋体" w:cs="宋体"/>
          <w:sz w:val="24"/>
          <w:szCs w:val="24"/>
        </w:rPr>
      </w:pPr>
      <w:r>
        <w:rPr>
          <w:rFonts w:hint="eastAsia" w:ascii="宋体" w:hAnsi="宋体" w:eastAsia="宋体" w:cs="宋体"/>
          <w:sz w:val="24"/>
          <w:szCs w:val="24"/>
        </w:rPr>
        <w:t>（2）售后服务</w:t>
      </w:r>
    </w:p>
    <w:p>
      <w:pPr>
        <w:ind w:firstLine="480" w:firstLineChars="200"/>
        <w:rPr>
          <w:rFonts w:ascii="宋体" w:hAnsi="宋体" w:eastAsia="宋体" w:cs="宋体"/>
          <w:sz w:val="24"/>
          <w:szCs w:val="24"/>
        </w:rPr>
      </w:pPr>
      <w:r>
        <w:rPr>
          <w:rFonts w:hint="eastAsia" w:ascii="宋体" w:hAnsi="宋体" w:eastAsia="宋体" w:cs="宋体"/>
          <w:sz w:val="24"/>
          <w:szCs w:val="24"/>
        </w:rPr>
        <w:t>a、电话服务</w:t>
      </w:r>
    </w:p>
    <w:p>
      <w:pPr>
        <w:ind w:firstLine="480" w:firstLineChars="200"/>
        <w:rPr>
          <w:rFonts w:ascii="宋体" w:hAnsi="宋体" w:eastAsia="宋体" w:cs="宋体"/>
          <w:sz w:val="24"/>
          <w:szCs w:val="24"/>
        </w:rPr>
      </w:pPr>
      <w:r>
        <w:rPr>
          <w:rFonts w:hint="eastAsia" w:ascii="宋体" w:hAnsi="宋体" w:eastAsia="宋体" w:cs="宋体"/>
          <w:sz w:val="24"/>
          <w:szCs w:val="24"/>
        </w:rPr>
        <w:t>需提供7*24小时不间断电话技术支持服务，软件使用中发生问题拨打公司技术热线，为用户快捷排除故障。较为严重的系统故障响应时间不得超过 2 小时，日常维护响应时间不得超过 4 小时。</w:t>
      </w:r>
    </w:p>
    <w:p>
      <w:pPr>
        <w:ind w:firstLine="480" w:firstLineChars="200"/>
        <w:rPr>
          <w:rFonts w:ascii="宋体" w:hAnsi="宋体" w:eastAsia="宋体" w:cs="宋体"/>
          <w:sz w:val="24"/>
          <w:szCs w:val="24"/>
        </w:rPr>
      </w:pPr>
      <w:r>
        <w:rPr>
          <w:rFonts w:hint="eastAsia" w:ascii="宋体" w:hAnsi="宋体" w:eastAsia="宋体" w:cs="宋体"/>
          <w:sz w:val="24"/>
          <w:szCs w:val="24"/>
        </w:rPr>
        <w:t>b、上门服务</w:t>
      </w:r>
    </w:p>
    <w:p>
      <w:pPr>
        <w:ind w:firstLine="480" w:firstLineChars="200"/>
        <w:rPr>
          <w:rFonts w:ascii="宋体" w:hAnsi="宋体" w:eastAsia="宋体" w:cs="宋体"/>
          <w:sz w:val="24"/>
          <w:szCs w:val="24"/>
        </w:rPr>
      </w:pPr>
      <w:r>
        <w:rPr>
          <w:rFonts w:hint="eastAsia" w:ascii="宋体" w:hAnsi="宋体" w:eastAsia="宋体" w:cs="宋体"/>
          <w:sz w:val="24"/>
          <w:szCs w:val="24"/>
        </w:rPr>
        <w:t>在保质期内，在发生故障且接报后立即响应，4小时到达现场排除故障。</w:t>
      </w:r>
    </w:p>
    <w:p>
      <w:pPr>
        <w:rPr>
          <w:rFonts w:ascii="宋体" w:hAnsi="宋体" w:eastAsia="宋体" w:cs="宋体"/>
          <w:sz w:val="24"/>
          <w:szCs w:val="24"/>
        </w:rPr>
      </w:pPr>
      <w:r>
        <w:rPr>
          <w:rFonts w:hint="eastAsia" w:ascii="宋体" w:hAnsi="宋体" w:eastAsia="宋体" w:cs="宋体"/>
          <w:sz w:val="24"/>
          <w:szCs w:val="24"/>
        </w:rPr>
        <w:t>（3）免费维护期</w:t>
      </w:r>
    </w:p>
    <w:p>
      <w:pPr>
        <w:ind w:firstLine="480" w:firstLineChars="200"/>
        <w:rPr>
          <w:rFonts w:ascii="宋体" w:hAnsi="宋体" w:eastAsia="宋体" w:cs="宋体"/>
          <w:sz w:val="24"/>
          <w:szCs w:val="24"/>
        </w:rPr>
      </w:pPr>
      <w:r>
        <w:rPr>
          <w:rFonts w:hint="eastAsia" w:ascii="宋体" w:hAnsi="宋体" w:eastAsia="宋体" w:cs="宋体"/>
          <w:sz w:val="24"/>
          <w:szCs w:val="24"/>
        </w:rPr>
        <w:t>项目上线验收后软件系统免费运维三年。</w:t>
      </w:r>
    </w:p>
    <w:p>
      <w:pPr>
        <w:spacing w:line="360" w:lineRule="auto"/>
        <w:rPr>
          <w:rFonts w:hint="eastAsia" w:ascii="黑体" w:hAnsi="宋体" w:eastAsia="黑体"/>
          <w:bCs/>
          <w:color w:val="000000"/>
          <w:sz w:val="24"/>
          <w:szCs w:val="24"/>
          <w:highlight w:val="green"/>
        </w:rPr>
      </w:pPr>
    </w:p>
    <w:p>
      <w:pPr>
        <w:spacing w:line="360" w:lineRule="auto"/>
        <w:rPr>
          <w:rFonts w:hint="eastAsia" w:ascii="黑体" w:hAnsi="宋体" w:eastAsia="黑体"/>
          <w:bCs/>
          <w:color w:val="000000"/>
          <w:sz w:val="24"/>
          <w:szCs w:val="24"/>
          <w:highlight w:val="none"/>
        </w:rPr>
      </w:pPr>
    </w:p>
    <w:p>
      <w:pPr>
        <w:spacing w:line="360" w:lineRule="auto"/>
        <w:rPr>
          <w:rFonts w:ascii="黑体" w:hAnsi="宋体" w:eastAsia="黑体"/>
          <w:bCs/>
          <w:color w:val="000000"/>
          <w:sz w:val="24"/>
          <w:szCs w:val="24"/>
          <w:highlight w:val="none"/>
        </w:rPr>
      </w:pPr>
      <w:r>
        <w:rPr>
          <w:rFonts w:hint="eastAsia" w:ascii="黑体" w:hAnsi="宋体" w:eastAsia="黑体"/>
          <w:bCs/>
          <w:color w:val="000000"/>
          <w:sz w:val="24"/>
          <w:szCs w:val="24"/>
          <w:highlight w:val="none"/>
        </w:rPr>
        <w:t xml:space="preserve">有关说明： </w:t>
      </w:r>
    </w:p>
    <w:p>
      <w:pPr>
        <w:numPr>
          <w:ilvl w:val="1"/>
          <w:numId w:val="35"/>
        </w:numPr>
        <w:tabs>
          <w:tab w:val="left" w:pos="525"/>
          <w:tab w:val="left" w:pos="945"/>
          <w:tab w:val="clear" w:pos="780"/>
        </w:tabs>
        <w:spacing w:line="360" w:lineRule="auto"/>
        <w:ind w:left="0" w:firstLine="525"/>
        <w:rPr>
          <w:rFonts w:ascii="宋体"/>
          <w:bCs/>
          <w:color w:val="000000"/>
          <w:sz w:val="24"/>
          <w:szCs w:val="24"/>
          <w:highlight w:val="none"/>
        </w:rPr>
      </w:pPr>
      <w:r>
        <w:rPr>
          <w:rFonts w:hint="eastAsia" w:ascii="宋体" w:hAnsi="宋体"/>
          <w:bCs/>
          <w:color w:val="000000"/>
          <w:sz w:val="24"/>
          <w:szCs w:val="24"/>
          <w:highlight w:val="none"/>
        </w:rPr>
        <w:t>投标总报价包括满足本项目要求的所有产品及其配件、包装、运杂、安装调试及售后服务等从项目中标起到项目正式交付以及质保期内所发生的一切费用。</w:t>
      </w:r>
    </w:p>
    <w:p>
      <w:pPr>
        <w:numPr>
          <w:ilvl w:val="1"/>
          <w:numId w:val="35"/>
        </w:numPr>
        <w:tabs>
          <w:tab w:val="left" w:pos="525"/>
          <w:tab w:val="left" w:pos="945"/>
          <w:tab w:val="clear" w:pos="780"/>
        </w:tabs>
        <w:spacing w:line="360" w:lineRule="auto"/>
        <w:ind w:left="0" w:firstLine="525"/>
        <w:rPr>
          <w:rFonts w:ascii="宋体"/>
          <w:bCs/>
          <w:color w:val="000000"/>
          <w:sz w:val="24"/>
          <w:szCs w:val="24"/>
          <w:highlight w:val="none"/>
        </w:rPr>
      </w:pPr>
      <w:r>
        <w:rPr>
          <w:rFonts w:hint="eastAsia" w:ascii="宋体" w:hAnsi="宋体"/>
          <w:bCs/>
          <w:color w:val="000000"/>
          <w:sz w:val="24"/>
          <w:szCs w:val="24"/>
          <w:highlight w:val="none"/>
        </w:rPr>
        <w:t>通过中国海关报关验放进入中国境内且产自关境外的产品不在本项目的报价范围。（如财政部门审核同意购买进口产品的，本条改为：本项目中</w:t>
      </w:r>
      <w:r>
        <w:rPr>
          <w:rFonts w:hint="eastAsia" w:ascii="宋体"/>
          <w:bCs/>
          <w:color w:val="000000"/>
          <w:sz w:val="24"/>
          <w:szCs w:val="24"/>
          <w:highlight w:val="none"/>
        </w:rPr>
        <w:t>……</w:t>
      </w:r>
      <w:r>
        <w:rPr>
          <w:rFonts w:hint="eastAsia" w:ascii="宋体" w:hAnsi="宋体"/>
          <w:bCs/>
          <w:color w:val="000000"/>
          <w:sz w:val="24"/>
          <w:szCs w:val="24"/>
          <w:highlight w:val="none"/>
        </w:rPr>
        <w:t>可以采购进口产品。）</w:t>
      </w:r>
    </w:p>
    <w:p>
      <w:pPr>
        <w:numPr>
          <w:ilvl w:val="1"/>
          <w:numId w:val="35"/>
        </w:numPr>
        <w:tabs>
          <w:tab w:val="left" w:pos="525"/>
          <w:tab w:val="left" w:pos="945"/>
          <w:tab w:val="clear" w:pos="780"/>
        </w:tabs>
        <w:spacing w:line="360" w:lineRule="auto"/>
        <w:ind w:left="0" w:firstLine="525"/>
        <w:rPr>
          <w:rFonts w:ascii="宋体"/>
          <w:bCs/>
          <w:color w:val="000000"/>
          <w:sz w:val="24"/>
          <w:szCs w:val="24"/>
          <w:highlight w:val="none"/>
        </w:rPr>
      </w:pPr>
      <w:r>
        <w:rPr>
          <w:rFonts w:hint="eastAsia" w:ascii="宋体" w:hAnsi="宋体"/>
          <w:bCs/>
          <w:color w:val="000000"/>
          <w:sz w:val="24"/>
          <w:szCs w:val="24"/>
          <w:highlight w:val="none"/>
        </w:rPr>
        <w:t>本项目中有信息安全产品的，必须选择经国家认证的信息安全产品，并提供由中国信息安全认证中心（中国网络安全审查技术与认证中心）颁发的有效认证证书复印件。</w:t>
      </w:r>
    </w:p>
    <w:p>
      <w:pPr>
        <w:numPr>
          <w:ilvl w:val="1"/>
          <w:numId w:val="35"/>
        </w:numPr>
        <w:tabs>
          <w:tab w:val="left" w:pos="525"/>
          <w:tab w:val="left" w:pos="945"/>
          <w:tab w:val="clear" w:pos="780"/>
        </w:tabs>
        <w:spacing w:line="360" w:lineRule="auto"/>
        <w:ind w:left="0" w:firstLine="525"/>
        <w:rPr>
          <w:rFonts w:ascii="宋体"/>
          <w:bCs/>
          <w:color w:val="000000"/>
          <w:sz w:val="24"/>
          <w:szCs w:val="24"/>
          <w:highlight w:val="none"/>
        </w:rPr>
      </w:pPr>
      <w:r>
        <w:rPr>
          <w:rFonts w:hint="eastAsia" w:ascii="宋体" w:hAnsi="宋体" w:cs="宋体"/>
          <w:color w:val="000000"/>
          <w:kern w:val="0"/>
          <w:sz w:val="24"/>
          <w:szCs w:val="24"/>
          <w:highlight w:val="none"/>
        </w:rPr>
        <w:t>依据财政部、发展改革委发布的《节能产品政府采购品目清单》，本项目采购</w:t>
      </w:r>
      <w:r>
        <w:rPr>
          <w:rFonts w:hint="eastAsia" w:ascii="宋体" w:hAnsi="宋体" w:cs="宋体"/>
          <w:color w:val="auto"/>
          <w:kern w:val="0"/>
          <w:sz w:val="24"/>
          <w:szCs w:val="24"/>
          <w:highlight w:val="none"/>
          <w:lang w:eastAsia="zh-CN"/>
        </w:rPr>
        <w:t>中有</w:t>
      </w:r>
      <w:r>
        <w:rPr>
          <w:rFonts w:hint="eastAsia" w:ascii="宋体" w:hAnsi="宋体" w:cs="宋体"/>
          <w:color w:val="auto"/>
          <w:kern w:val="0"/>
          <w:sz w:val="24"/>
          <w:szCs w:val="24"/>
          <w:highlight w:val="none"/>
        </w:rPr>
        <w:t>政府强制采购节能产品</w:t>
      </w:r>
      <w:r>
        <w:rPr>
          <w:rFonts w:hint="eastAsia" w:ascii="宋体" w:hAnsi="宋体" w:cs="宋体"/>
          <w:color w:val="000000"/>
          <w:kern w:val="0"/>
          <w:sz w:val="24"/>
          <w:szCs w:val="24"/>
          <w:highlight w:val="none"/>
        </w:rPr>
        <w:t>（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pPr>
        <w:numPr>
          <w:ilvl w:val="1"/>
          <w:numId w:val="35"/>
        </w:numPr>
        <w:tabs>
          <w:tab w:val="left" w:pos="525"/>
          <w:tab w:val="left" w:pos="945"/>
          <w:tab w:val="clear" w:pos="780"/>
        </w:tabs>
        <w:spacing w:line="360" w:lineRule="auto"/>
        <w:ind w:left="0" w:firstLine="525"/>
        <w:rPr>
          <w:rFonts w:ascii="宋体"/>
          <w:bCs/>
          <w:color w:val="000000"/>
          <w:sz w:val="24"/>
          <w:szCs w:val="24"/>
          <w:highlight w:val="none"/>
        </w:rPr>
      </w:pPr>
      <w:r>
        <w:rPr>
          <w:rFonts w:hint="eastAsia" w:ascii="宋体" w:hAnsi="宋体"/>
          <w:bCs/>
          <w:color w:val="000000"/>
          <w:sz w:val="24"/>
          <w:szCs w:val="24"/>
          <w:highlight w:val="none"/>
        </w:rPr>
        <w:t>投标人必须在满足招标文件要求的基础上进行报价，如有技术偏离请于投标偏离表中说明。</w:t>
      </w:r>
    </w:p>
    <w:p>
      <w:pPr>
        <w:numPr>
          <w:ilvl w:val="1"/>
          <w:numId w:val="35"/>
        </w:numPr>
        <w:tabs>
          <w:tab w:val="left" w:pos="525"/>
          <w:tab w:val="left" w:pos="630"/>
          <w:tab w:val="left" w:pos="735"/>
          <w:tab w:val="left" w:pos="945"/>
          <w:tab w:val="clear" w:pos="780"/>
        </w:tabs>
        <w:spacing w:line="360" w:lineRule="auto"/>
        <w:ind w:left="0" w:firstLine="525"/>
        <w:rPr>
          <w:rFonts w:ascii="宋体"/>
          <w:bCs/>
          <w:color w:val="000000"/>
          <w:sz w:val="24"/>
          <w:szCs w:val="24"/>
          <w:highlight w:val="none"/>
        </w:rPr>
      </w:pPr>
      <w:r>
        <w:rPr>
          <w:rFonts w:hint="eastAsia" w:ascii="宋体" w:hAnsi="宋体"/>
          <w:bCs/>
          <w:color w:val="000000"/>
          <w:sz w:val="24"/>
          <w:szCs w:val="24"/>
          <w:highlight w:val="none"/>
        </w:rPr>
        <w:t>完工期：</w:t>
      </w:r>
      <w:r>
        <w:rPr>
          <w:rFonts w:hint="eastAsia" w:ascii="宋体" w:hAnsi="宋体"/>
          <w:bCs/>
          <w:color w:val="000000"/>
          <w:sz w:val="24"/>
          <w:szCs w:val="24"/>
          <w:highlight w:val="none"/>
          <w:lang w:val="en-US" w:eastAsia="zh-CN"/>
        </w:rPr>
        <w:t>30日历天。</w:t>
      </w:r>
    </w:p>
    <w:p>
      <w:pPr>
        <w:numPr>
          <w:ilvl w:val="1"/>
          <w:numId w:val="35"/>
        </w:numPr>
        <w:tabs>
          <w:tab w:val="left" w:pos="525"/>
          <w:tab w:val="left" w:pos="630"/>
          <w:tab w:val="left" w:pos="735"/>
          <w:tab w:val="left" w:pos="945"/>
          <w:tab w:val="clear" w:pos="780"/>
        </w:tabs>
        <w:spacing w:line="360" w:lineRule="auto"/>
        <w:ind w:left="0" w:firstLine="525"/>
        <w:rPr>
          <w:rFonts w:ascii="宋体"/>
          <w:bCs/>
          <w:color w:val="000000"/>
          <w:sz w:val="24"/>
          <w:szCs w:val="24"/>
          <w:highlight w:val="none"/>
        </w:rPr>
      </w:pPr>
      <w:r>
        <w:rPr>
          <w:rFonts w:hint="eastAsia" w:ascii="宋体" w:hAnsi="宋体"/>
          <w:bCs/>
          <w:color w:val="000000"/>
          <w:sz w:val="24"/>
          <w:szCs w:val="24"/>
          <w:highlight w:val="none"/>
        </w:rPr>
        <w:t>本项目合同履行地点：</w:t>
      </w:r>
      <w:r>
        <w:rPr>
          <w:rFonts w:hint="eastAsia" w:ascii="宋体" w:hAnsi="宋体" w:eastAsia="宋体" w:cs="Times New Roman"/>
          <w:bCs/>
          <w:color w:val="000000"/>
          <w:sz w:val="24"/>
          <w:szCs w:val="24"/>
          <w:highlight w:val="none"/>
        </w:rPr>
        <w:t>直接送到需方指定地点，即：以合同书上的地点为准</w:t>
      </w:r>
      <w:r>
        <w:rPr>
          <w:rFonts w:hint="eastAsia" w:ascii="宋体" w:hAnsi="宋体"/>
          <w:bCs/>
          <w:color w:val="000000"/>
          <w:sz w:val="24"/>
          <w:szCs w:val="24"/>
          <w:highlight w:val="none"/>
        </w:rPr>
        <w:t>。中标方必须按采购人要求将本项目中货物送到指定地点(包括可能的分布范围)，并分地实施安装调试。</w:t>
      </w:r>
    </w:p>
    <w:p>
      <w:pPr>
        <w:numPr>
          <w:ilvl w:val="1"/>
          <w:numId w:val="35"/>
        </w:numPr>
        <w:tabs>
          <w:tab w:val="left" w:pos="525"/>
          <w:tab w:val="left" w:pos="630"/>
          <w:tab w:val="left" w:pos="735"/>
          <w:tab w:val="left" w:pos="945"/>
          <w:tab w:val="clear" w:pos="780"/>
        </w:tabs>
        <w:spacing w:line="360" w:lineRule="auto"/>
        <w:ind w:left="0" w:firstLine="525"/>
        <w:rPr>
          <w:rFonts w:ascii="宋体"/>
          <w:bCs/>
          <w:color w:val="000000"/>
          <w:sz w:val="24"/>
          <w:szCs w:val="24"/>
          <w:highlight w:val="none"/>
        </w:rPr>
      </w:pPr>
      <w:r>
        <w:rPr>
          <w:rFonts w:hint="eastAsia" w:ascii="宋体" w:hAnsi="宋体"/>
          <w:bCs/>
          <w:color w:val="000000"/>
          <w:sz w:val="24"/>
          <w:szCs w:val="24"/>
          <w:highlight w:val="none"/>
        </w:rPr>
        <w:t>付款方式：</w:t>
      </w:r>
      <w:r>
        <w:rPr>
          <w:rFonts w:hint="eastAsia" w:ascii="宋体" w:hAnsi="宋体"/>
          <w:bCs/>
          <w:color w:val="000000"/>
          <w:sz w:val="24"/>
          <w:szCs w:val="24"/>
          <w:highlight w:val="none"/>
          <w:lang w:eastAsia="zh-CN"/>
        </w:rPr>
        <w:t>签订合同</w:t>
      </w:r>
      <w:r>
        <w:rPr>
          <w:rFonts w:hint="eastAsia" w:ascii="宋体" w:hAnsi="宋体" w:eastAsia="宋体" w:cs="Times New Roman"/>
          <w:bCs/>
          <w:color w:val="000000"/>
          <w:sz w:val="24"/>
          <w:szCs w:val="24"/>
          <w:highlight w:val="none"/>
        </w:rPr>
        <w:t>后十个工作日内付合同价的40%预付款，竣工验收合格后付至合同价的78%，第二年支付合同价的11%，第三年付清尾款。</w:t>
      </w:r>
      <w:r>
        <w:rPr>
          <w:rFonts w:hint="eastAsia" w:ascii="宋体" w:hAnsi="宋体"/>
          <w:bCs/>
          <w:color w:val="000000"/>
          <w:sz w:val="24"/>
          <w:szCs w:val="24"/>
          <w:highlight w:val="none"/>
        </w:rPr>
        <w:t xml:space="preserve"> </w:t>
      </w:r>
    </w:p>
    <w:p>
      <w:pPr>
        <w:numPr>
          <w:ilvl w:val="1"/>
          <w:numId w:val="35"/>
        </w:numPr>
        <w:tabs>
          <w:tab w:val="left" w:pos="525"/>
          <w:tab w:val="left" w:pos="630"/>
          <w:tab w:val="left" w:pos="735"/>
          <w:tab w:val="left" w:pos="945"/>
          <w:tab w:val="clear" w:pos="780"/>
        </w:tabs>
        <w:spacing w:line="360" w:lineRule="auto"/>
        <w:ind w:left="0" w:firstLine="525"/>
        <w:rPr>
          <w:rFonts w:ascii="宋体"/>
          <w:bCs/>
          <w:color w:val="000000"/>
          <w:sz w:val="24"/>
          <w:szCs w:val="24"/>
          <w:highlight w:val="none"/>
        </w:rPr>
      </w:pPr>
      <w:r>
        <w:rPr>
          <w:rFonts w:hint="eastAsia" w:ascii="宋体"/>
          <w:bCs/>
          <w:sz w:val="24"/>
          <w:szCs w:val="24"/>
          <w:highlight w:val="none"/>
        </w:rPr>
        <w:t>项目整体质保期：</w:t>
      </w:r>
      <w:r>
        <w:rPr>
          <w:rFonts w:hint="eastAsia" w:ascii="宋体"/>
          <w:bCs/>
          <w:sz w:val="24"/>
          <w:szCs w:val="24"/>
          <w:highlight w:val="none"/>
          <w:lang w:eastAsia="zh-CN"/>
        </w:rPr>
        <w:t>三年</w:t>
      </w:r>
    </w:p>
    <w:p>
      <w:pPr>
        <w:numPr>
          <w:ilvl w:val="1"/>
          <w:numId w:val="35"/>
        </w:numPr>
        <w:tabs>
          <w:tab w:val="left" w:pos="525"/>
          <w:tab w:val="left" w:pos="630"/>
          <w:tab w:val="left" w:pos="735"/>
          <w:tab w:val="left" w:pos="945"/>
          <w:tab w:val="clear" w:pos="780"/>
        </w:tabs>
        <w:spacing w:line="360" w:lineRule="auto"/>
        <w:ind w:left="0" w:firstLine="525"/>
        <w:rPr>
          <w:rFonts w:ascii="宋体"/>
          <w:bCs/>
          <w:color w:val="000000"/>
          <w:sz w:val="24"/>
          <w:szCs w:val="24"/>
          <w:highlight w:val="none"/>
        </w:rPr>
      </w:pPr>
      <w:r>
        <w:rPr>
          <w:rFonts w:hint="eastAsia" w:ascii="宋体" w:hAnsi="宋体"/>
          <w:bCs/>
          <w:color w:val="000000"/>
          <w:sz w:val="24"/>
          <w:szCs w:val="24"/>
          <w:highlight w:val="none"/>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pPr>
        <w:numPr>
          <w:ilvl w:val="1"/>
          <w:numId w:val="35"/>
        </w:numPr>
        <w:tabs>
          <w:tab w:val="left" w:pos="525"/>
          <w:tab w:val="left" w:pos="630"/>
          <w:tab w:val="left" w:pos="735"/>
          <w:tab w:val="left" w:pos="945"/>
          <w:tab w:val="clear" w:pos="780"/>
        </w:tabs>
        <w:spacing w:line="360" w:lineRule="auto"/>
        <w:ind w:left="0" w:firstLine="525"/>
        <w:rPr>
          <w:rFonts w:ascii="宋体" w:hAnsi="宋体"/>
          <w:bCs/>
          <w:color w:val="000000"/>
          <w:sz w:val="24"/>
          <w:szCs w:val="24"/>
          <w:highlight w:val="none"/>
        </w:rPr>
      </w:pPr>
      <w:r>
        <w:rPr>
          <w:rFonts w:hint="eastAsia" w:ascii="宋体" w:hAnsi="宋体"/>
          <w:bCs/>
          <w:color w:val="000000"/>
          <w:sz w:val="24"/>
          <w:highlight w:val="none"/>
        </w:rPr>
        <w:t>依据《政府采购促进中小企业发展管理办法》规定享受扶持政策获得政府采购合同的，小微企业不得将合同分包给大中型企业，中型企业不得将合同分包给大型企业。</w:t>
      </w:r>
    </w:p>
    <w:p>
      <w:pPr>
        <w:tabs>
          <w:tab w:val="left" w:pos="525"/>
          <w:tab w:val="left" w:pos="630"/>
          <w:tab w:val="left" w:pos="735"/>
          <w:tab w:val="left" w:pos="945"/>
        </w:tabs>
        <w:spacing w:line="360" w:lineRule="auto"/>
        <w:ind w:left="525"/>
        <w:rPr>
          <w:rFonts w:ascii="宋体"/>
          <w:bCs/>
          <w:color w:val="E36C0A"/>
          <w:sz w:val="24"/>
          <w:szCs w:val="24"/>
          <w:highlight w:val="none"/>
        </w:rPr>
      </w:pPr>
    </w:p>
    <w:p>
      <w:pPr>
        <w:tabs>
          <w:tab w:val="left" w:pos="735"/>
          <w:tab w:val="left" w:pos="945"/>
          <w:tab w:val="left" w:pos="1080"/>
        </w:tabs>
        <w:spacing w:line="360" w:lineRule="auto"/>
        <w:ind w:left="525"/>
        <w:rPr>
          <w:rFonts w:ascii="宋体" w:hAnsi="宋体"/>
          <w:bCs/>
          <w:color w:val="000000"/>
          <w:sz w:val="24"/>
          <w:szCs w:val="24"/>
          <w:highlight w:val="green"/>
        </w:rPr>
      </w:pPr>
    </w:p>
    <w:p>
      <w:pPr>
        <w:spacing w:line="360" w:lineRule="auto"/>
        <w:ind w:firstLine="415"/>
        <w:rPr>
          <w:rFonts w:ascii="黑体" w:eastAsia="黑体"/>
          <w:color w:val="FF0000"/>
          <w:sz w:val="30"/>
          <w:szCs w:val="30"/>
        </w:rPr>
      </w:pPr>
    </w:p>
    <w:p>
      <w:pPr>
        <w:pStyle w:val="4"/>
        <w:pageBreakBefore/>
        <w:rPr>
          <w:rFonts w:ascii="黑体" w:eastAsia="黑体"/>
          <w:bCs w:val="0"/>
          <w:sz w:val="28"/>
          <w:szCs w:val="28"/>
        </w:rPr>
      </w:pPr>
      <w:bookmarkStart w:id="5" w:name="_Toc86134313"/>
      <w:r>
        <w:rPr>
          <w:rFonts w:hint="eastAsia" w:ascii="黑体" w:hAnsi="黑体" w:eastAsia="黑体"/>
          <w:b w:val="0"/>
          <w:sz w:val="32"/>
          <w:szCs w:val="32"/>
        </w:rPr>
        <w:t>四．合同书（格式文本）</w:t>
      </w:r>
      <w:bookmarkEnd w:id="5"/>
    </w:p>
    <w:p>
      <w:pPr>
        <w:spacing w:line="360" w:lineRule="auto"/>
        <w:jc w:val="center"/>
        <w:rPr>
          <w:rFonts w:ascii="黑体" w:hAnsi="宋体" w:eastAsia="黑体"/>
          <w:b/>
          <w:color w:val="auto"/>
          <w:sz w:val="28"/>
          <w:szCs w:val="28"/>
        </w:rPr>
      </w:pPr>
      <w:r>
        <w:rPr>
          <w:rFonts w:hint="eastAsia" w:ascii="黑体" w:hAnsi="宋体" w:eastAsia="黑体"/>
          <w:b/>
          <w:color w:val="auto"/>
          <w:sz w:val="28"/>
          <w:szCs w:val="28"/>
        </w:rPr>
        <w:t>合同书（服务）格式条款</w:t>
      </w:r>
    </w:p>
    <w:p>
      <w:pPr>
        <w:spacing w:line="360" w:lineRule="auto"/>
        <w:ind w:firstLine="482" w:firstLineChars="200"/>
        <w:rPr>
          <w:rFonts w:ascii="黑体" w:eastAsia="黑体"/>
          <w:b/>
          <w:color w:val="auto"/>
          <w:sz w:val="28"/>
          <w:szCs w:val="28"/>
        </w:rPr>
      </w:pPr>
      <w:r>
        <w:rPr>
          <w:rFonts w:hint="eastAsia" w:ascii="宋体" w:hAnsi="宋体"/>
          <w:b/>
          <w:color w:val="auto"/>
          <w:sz w:val="24"/>
          <w:szCs w:val="24"/>
        </w:rPr>
        <w:t>根据《中华人民共和国政府采购法》及相关法规、《中华人民共和国民法典》，遵循平等、自愿、公平和诚实信用的原则，甲乙双方就项目（项目编号： ）实施及有关事项协商一致，共同达成如下协议：</w:t>
      </w:r>
    </w:p>
    <w:p>
      <w:pPr>
        <w:spacing w:line="440" w:lineRule="exact"/>
        <w:rPr>
          <w:rFonts w:ascii="宋体"/>
          <w:bCs/>
          <w:color w:val="auto"/>
          <w:sz w:val="24"/>
          <w:szCs w:val="24"/>
          <w:u w:val="single"/>
        </w:rPr>
      </w:pPr>
      <w:r>
        <w:rPr>
          <w:rFonts w:hint="eastAsia" w:ascii="宋体" w:hAnsi="宋体"/>
          <w:bCs/>
          <w:color w:val="auto"/>
          <w:sz w:val="24"/>
          <w:szCs w:val="24"/>
        </w:rPr>
        <w:t>需方（采购人）：</w:t>
      </w:r>
    </w:p>
    <w:p>
      <w:pPr>
        <w:spacing w:line="440" w:lineRule="exact"/>
        <w:rPr>
          <w:rFonts w:ascii="宋体"/>
          <w:bCs/>
          <w:color w:val="auto"/>
          <w:sz w:val="24"/>
          <w:szCs w:val="24"/>
          <w:u w:val="single"/>
        </w:rPr>
      </w:pPr>
      <w:r>
        <w:rPr>
          <w:rFonts w:hint="eastAsia" w:ascii="宋体" w:hAnsi="宋体"/>
          <w:bCs/>
          <w:color w:val="auto"/>
          <w:sz w:val="24"/>
          <w:szCs w:val="24"/>
        </w:rPr>
        <w:t>供方（中标方）：</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一、采购项目编号：</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二、采购项目名称：</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三、中标（成交）总金额：</w:t>
      </w:r>
      <w:r>
        <w:rPr>
          <w:rFonts w:hint="eastAsia" w:ascii="宋体" w:hAnsi="宋体"/>
          <w:bCs/>
          <w:color w:val="auto"/>
          <w:sz w:val="24"/>
          <w:szCs w:val="24"/>
          <w:u w:val="single"/>
        </w:rPr>
        <w:t xml:space="preserve">                   </w:t>
      </w:r>
      <w:r>
        <w:rPr>
          <w:rFonts w:hint="eastAsia" w:ascii="宋体" w:hAnsi="宋体"/>
          <w:bCs/>
          <w:color w:val="auto"/>
          <w:sz w:val="24"/>
          <w:szCs w:val="24"/>
        </w:rPr>
        <w:t>（大写）；</w:t>
      </w:r>
      <w:r>
        <w:rPr>
          <w:rFonts w:hint="eastAsia" w:ascii="宋体" w:hAnsi="宋体"/>
          <w:bCs/>
          <w:color w:val="auto"/>
          <w:sz w:val="24"/>
          <w:szCs w:val="24"/>
          <w:u w:val="single"/>
        </w:rPr>
        <w:t xml:space="preserve">                   </w:t>
      </w:r>
      <w:r>
        <w:rPr>
          <w:rFonts w:hint="eastAsia" w:ascii="宋体" w:hAnsi="宋体"/>
          <w:bCs/>
          <w:color w:val="auto"/>
          <w:sz w:val="24"/>
          <w:szCs w:val="24"/>
        </w:rPr>
        <w:t>（小写）</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四、项目服务期限：</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五、项目整体免费服务期：</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六、货款支付步骤和办法：</w:t>
      </w:r>
    </w:p>
    <w:p>
      <w:pPr>
        <w:tabs>
          <w:tab w:val="left" w:pos="210"/>
          <w:tab w:val="left" w:pos="450"/>
          <w:tab w:val="left" w:pos="840"/>
          <w:tab w:val="left" w:pos="1260"/>
        </w:tabs>
        <w:spacing w:line="440" w:lineRule="exact"/>
        <w:ind w:left="523"/>
        <w:rPr>
          <w:rFonts w:ascii="宋体"/>
          <w:bCs/>
          <w:color w:val="auto"/>
          <w:sz w:val="24"/>
          <w:szCs w:val="24"/>
        </w:rPr>
      </w:pPr>
      <w:r>
        <w:rPr>
          <w:rFonts w:hint="eastAsia" w:ascii="宋体" w:hAnsi="宋体"/>
          <w:bCs/>
          <w:color w:val="auto"/>
          <w:sz w:val="24"/>
          <w:szCs w:val="24"/>
        </w:rPr>
        <w:t>七、合同书不可分割部分：</w:t>
      </w:r>
    </w:p>
    <w:p>
      <w:pPr>
        <w:tabs>
          <w:tab w:val="left" w:pos="210"/>
          <w:tab w:val="left" w:pos="420"/>
          <w:tab w:val="left" w:pos="1155"/>
        </w:tabs>
        <w:spacing w:line="440" w:lineRule="exact"/>
        <w:ind w:firstLine="480" w:firstLineChars="200"/>
        <w:rPr>
          <w:rFonts w:ascii="宋体"/>
          <w:bCs/>
          <w:color w:val="auto"/>
          <w:sz w:val="24"/>
          <w:szCs w:val="24"/>
        </w:rPr>
      </w:pPr>
      <w:r>
        <w:rPr>
          <w:rFonts w:hint="eastAsia" w:ascii="宋体" w:hAnsi="宋体"/>
          <w:bCs/>
          <w:color w:val="auto"/>
          <w:sz w:val="24"/>
          <w:szCs w:val="24"/>
        </w:rPr>
        <w:t>招标（采购）文件、投标（报价）文件、合同条款及中标</w:t>
      </w:r>
      <w:r>
        <w:rPr>
          <w:rFonts w:hint="eastAsia" w:ascii="宋体" w:hAnsi="宋体"/>
          <w:color w:val="auto"/>
          <w:sz w:val="24"/>
          <w:szCs w:val="24"/>
        </w:rPr>
        <w:t>（成交）</w:t>
      </w:r>
      <w:r>
        <w:rPr>
          <w:rFonts w:hint="eastAsia" w:ascii="宋体" w:hAnsi="宋体"/>
          <w:bCs/>
          <w:color w:val="auto"/>
          <w:sz w:val="24"/>
          <w:szCs w:val="24"/>
        </w:rPr>
        <w:t>通知书，供方在投标（响应）、评标（评审）过程中所作其它有关承诺、声明、书面澄清等均为合同不可分割的部分，与主合同具有同等法律效力。</w:t>
      </w:r>
    </w:p>
    <w:p>
      <w:pPr>
        <w:tabs>
          <w:tab w:val="left" w:pos="210"/>
          <w:tab w:val="left" w:pos="735"/>
          <w:tab w:val="left" w:pos="1155"/>
        </w:tabs>
        <w:spacing w:line="440" w:lineRule="exact"/>
        <w:ind w:firstLine="480" w:firstLineChars="200"/>
        <w:rPr>
          <w:rFonts w:ascii="宋体" w:hAnsi="宋体"/>
          <w:color w:val="auto"/>
          <w:sz w:val="24"/>
          <w:szCs w:val="24"/>
        </w:rPr>
      </w:pPr>
      <w:r>
        <w:rPr>
          <w:rFonts w:hint="eastAsia" w:ascii="宋体" w:hAnsi="宋体"/>
          <w:color w:val="auto"/>
          <w:sz w:val="24"/>
          <w:szCs w:val="24"/>
        </w:rPr>
        <w:t>八、合同书组成：</w:t>
      </w:r>
    </w:p>
    <w:p>
      <w:pPr>
        <w:tabs>
          <w:tab w:val="left" w:pos="210"/>
          <w:tab w:val="left" w:pos="735"/>
          <w:tab w:val="left" w:pos="1155"/>
        </w:tabs>
        <w:spacing w:line="440" w:lineRule="exact"/>
        <w:ind w:firstLine="480" w:firstLineChars="200"/>
        <w:rPr>
          <w:rFonts w:ascii="宋体" w:hAnsi="宋体"/>
          <w:bCs/>
          <w:color w:val="auto"/>
          <w:sz w:val="24"/>
          <w:szCs w:val="24"/>
        </w:rPr>
      </w:pPr>
      <w:r>
        <w:rPr>
          <w:rFonts w:hint="eastAsia" w:ascii="宋体" w:hAnsi="宋体"/>
          <w:color w:val="auto"/>
          <w:sz w:val="24"/>
          <w:szCs w:val="24"/>
        </w:rPr>
        <w:t>合同书由格式条款</w:t>
      </w:r>
      <w:r>
        <w:rPr>
          <w:rFonts w:hint="eastAsia" w:ascii="宋体" w:hAnsi="宋体"/>
          <w:bCs/>
          <w:color w:val="auto"/>
          <w:sz w:val="24"/>
          <w:szCs w:val="24"/>
        </w:rPr>
        <w:t>和合同条款二部分组成。合同条款应当包含法定必备条款和采购需求的所有内容，并应与“合同书不可分割部分”的内容一致，包括但不限于标的名称、采购标的质量、规模，知识产权归属和处理方式，履行期限、地点和方式，包装方式，履约保证金要求，价款或报酬、付款进度安排、</w:t>
      </w:r>
      <w:r>
        <w:rPr>
          <w:rFonts w:hint="eastAsia" w:ascii="宋体" w:hAnsi="宋体" w:cs="宋体"/>
          <w:color w:val="auto"/>
          <w:sz w:val="24"/>
          <w:szCs w:val="24"/>
        </w:rPr>
        <w:t>与履约验收挂钩的资金支付条件及时间</w:t>
      </w:r>
      <w:r>
        <w:rPr>
          <w:rFonts w:hint="eastAsia" w:ascii="宋体" w:hAnsi="宋体"/>
          <w:bCs/>
          <w:color w:val="auto"/>
          <w:sz w:val="24"/>
          <w:szCs w:val="24"/>
        </w:rPr>
        <w:t>，验收、交付标准和方法，质量保修范围和保修期，违约责任与解决争议的方法，甲乙双方权利与义务，合同分包要求，</w:t>
      </w:r>
      <w:r>
        <w:rPr>
          <w:rFonts w:hint="eastAsia" w:ascii="宋体" w:hAnsi="宋体"/>
          <w:color w:val="auto"/>
          <w:sz w:val="24"/>
          <w:szCs w:val="24"/>
        </w:rPr>
        <w:t>合同类型</w:t>
      </w:r>
      <w:r>
        <w:rPr>
          <w:rFonts w:hint="eastAsia" w:ascii="宋体" w:hAnsi="宋体"/>
          <w:bCs/>
          <w:color w:val="auto"/>
          <w:sz w:val="24"/>
          <w:szCs w:val="24"/>
        </w:rPr>
        <w:t>等。</w:t>
      </w:r>
    </w:p>
    <w:p>
      <w:pPr>
        <w:tabs>
          <w:tab w:val="left" w:pos="210"/>
          <w:tab w:val="left" w:pos="735"/>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九、合同备案：</w:t>
      </w:r>
    </w:p>
    <w:p>
      <w:pPr>
        <w:tabs>
          <w:tab w:val="left" w:pos="210"/>
          <w:tab w:val="left" w:pos="735"/>
          <w:tab w:val="left" w:pos="1155"/>
        </w:tabs>
        <w:spacing w:line="440" w:lineRule="exact"/>
        <w:ind w:firstLine="480" w:firstLineChars="200"/>
        <w:rPr>
          <w:rFonts w:ascii="宋体" w:hAnsi="宋体"/>
          <w:bCs/>
          <w:color w:val="auto"/>
          <w:sz w:val="24"/>
          <w:szCs w:val="24"/>
        </w:rPr>
      </w:pPr>
      <w:r>
        <w:rPr>
          <w:rFonts w:hint="eastAsia" w:ascii="宋体"/>
          <w:bCs/>
          <w:color w:val="auto"/>
          <w:sz w:val="24"/>
          <w:szCs w:val="24"/>
        </w:rPr>
        <w:t>合同一式四份，供需双方各执一份，区财政局采购办(镇、街道招标办)一份,区采购中心一份。</w:t>
      </w:r>
    </w:p>
    <w:p>
      <w:pPr>
        <w:tabs>
          <w:tab w:val="left" w:pos="210"/>
          <w:tab w:val="left" w:pos="840"/>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十、合同书生效及注意事项：</w:t>
      </w:r>
    </w:p>
    <w:p>
      <w:pPr>
        <w:tabs>
          <w:tab w:val="left" w:pos="210"/>
          <w:tab w:val="left" w:pos="840"/>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合同书格式条款与合同条款共同组成完整合同书。采购人在确定中标（成交）供应商之日起三十个日历天内，完成合同书签订工作。供需双方在合同书上确认签章后，合同即生效并经系统自动将合同书推送“无锡市政府采购网”进行公示。</w:t>
      </w:r>
    </w:p>
    <w:p>
      <w:pPr>
        <w:tabs>
          <w:tab w:val="left" w:pos="210"/>
          <w:tab w:val="left" w:pos="840"/>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十一、供需双方如有其它要求，可参照招标（采购）文件、投标（报价）文件（采购人不得向供应商提出超出采购文件以外的任何要求作为签订合同的条件，不得与成交供应商订立背离采购文件确定的合同文本以及采购标的、规格型号、采购金额、采购数量、技术和服务要求等实质性内容的协议），并在不违反本合同条款的前提下，供需双方自行拟定补充条款。</w:t>
      </w:r>
    </w:p>
    <w:p>
      <w:pPr>
        <w:tabs>
          <w:tab w:val="left" w:pos="210"/>
          <w:tab w:val="left" w:pos="840"/>
          <w:tab w:val="left" w:pos="1155"/>
        </w:tabs>
        <w:spacing w:line="440" w:lineRule="exact"/>
        <w:ind w:firstLine="480" w:firstLineChars="200"/>
        <w:rPr>
          <w:rFonts w:ascii="宋体" w:hAnsi="宋体"/>
          <w:bCs/>
          <w:color w:val="auto"/>
          <w:sz w:val="24"/>
          <w:szCs w:val="24"/>
        </w:rPr>
      </w:pPr>
      <w:r>
        <w:rPr>
          <w:rFonts w:hint="eastAsia" w:ascii="宋体" w:hAnsi="宋体"/>
          <w:bCs/>
          <w:color w:val="auto"/>
          <w:sz w:val="24"/>
          <w:szCs w:val="24"/>
        </w:rPr>
        <w:t>十二、根据《政府采购法》第四十九、五十条规定，甲乙双方不得擅自变更、中止或终止合同。</w:t>
      </w:r>
    </w:p>
    <w:p>
      <w:pPr>
        <w:spacing w:line="440" w:lineRule="exact"/>
        <w:rPr>
          <w:rFonts w:ascii="宋体" w:hAnsi="宋体"/>
          <w:bCs/>
          <w:color w:val="auto"/>
          <w:sz w:val="24"/>
          <w:szCs w:val="24"/>
        </w:rPr>
      </w:pPr>
    </w:p>
    <w:p>
      <w:pPr>
        <w:spacing w:line="440" w:lineRule="exact"/>
        <w:rPr>
          <w:rFonts w:ascii="宋体" w:hAnsi="宋体"/>
          <w:bCs/>
          <w:color w:val="auto"/>
          <w:sz w:val="24"/>
          <w:szCs w:val="24"/>
        </w:rPr>
      </w:pPr>
    </w:p>
    <w:p>
      <w:pPr>
        <w:spacing w:line="440" w:lineRule="exact"/>
        <w:ind w:firstLine="480" w:firstLineChars="200"/>
        <w:rPr>
          <w:rFonts w:ascii="宋体" w:hAnsi="宋体"/>
          <w:bCs/>
          <w:color w:val="auto"/>
          <w:sz w:val="24"/>
          <w:szCs w:val="24"/>
        </w:rPr>
      </w:pPr>
    </w:p>
    <w:p>
      <w:pPr>
        <w:spacing w:line="440" w:lineRule="exact"/>
        <w:ind w:firstLine="480" w:firstLineChars="200"/>
        <w:rPr>
          <w:rFonts w:ascii="宋体" w:hAnsi="宋体"/>
          <w:bCs/>
          <w:color w:val="auto"/>
          <w:sz w:val="24"/>
          <w:szCs w:val="24"/>
        </w:rPr>
      </w:pPr>
    </w:p>
    <w:p>
      <w:pPr>
        <w:spacing w:line="440" w:lineRule="exact"/>
        <w:rPr>
          <w:rFonts w:ascii="宋体" w:hAnsi="宋体"/>
          <w:bCs/>
          <w:color w:val="auto"/>
          <w:sz w:val="24"/>
          <w:szCs w:val="24"/>
        </w:rPr>
      </w:pPr>
    </w:p>
    <w:p>
      <w:pPr>
        <w:pStyle w:val="4"/>
        <w:pageBreakBefore/>
        <w:rPr>
          <w:rFonts w:ascii="黑体" w:hAnsi="黑体" w:eastAsia="黑体"/>
          <w:b w:val="0"/>
          <w:color w:val="auto"/>
          <w:sz w:val="32"/>
          <w:szCs w:val="32"/>
        </w:rPr>
      </w:pPr>
      <w:bookmarkStart w:id="6" w:name="_Toc86134314"/>
      <w:r>
        <w:rPr>
          <w:rFonts w:hint="eastAsia" w:ascii="黑体" w:hAnsi="黑体" w:eastAsia="黑体"/>
          <w:b w:val="0"/>
          <w:color w:val="auto"/>
          <w:sz w:val="32"/>
          <w:szCs w:val="32"/>
        </w:rPr>
        <w:t>五．合同条款</w:t>
      </w:r>
      <w:bookmarkEnd w:id="6"/>
    </w:p>
    <w:p>
      <w:pPr>
        <w:spacing w:line="440" w:lineRule="exact"/>
        <w:ind w:firstLine="480" w:firstLineChars="200"/>
        <w:jc w:val="center"/>
        <w:rPr>
          <w:rFonts w:ascii="宋体" w:hAnsi="宋体"/>
          <w:bCs/>
          <w:color w:val="auto"/>
          <w:sz w:val="24"/>
          <w:szCs w:val="24"/>
        </w:rPr>
      </w:pPr>
      <w:r>
        <w:rPr>
          <w:rFonts w:hint="eastAsia" w:ascii="宋体" w:hAnsi="宋体"/>
          <w:bCs/>
          <w:color w:val="auto"/>
          <w:sz w:val="24"/>
          <w:szCs w:val="24"/>
        </w:rPr>
        <w:t>（根据相关法律规定以及招标文件确定事项订立）</w:t>
      </w:r>
    </w:p>
    <w:p>
      <w:pPr>
        <w:spacing w:line="440" w:lineRule="exact"/>
        <w:rPr>
          <w:rFonts w:ascii="宋体" w:hAnsi="宋体"/>
          <w:bCs/>
          <w:color w:val="auto"/>
          <w:sz w:val="24"/>
          <w:szCs w:val="24"/>
        </w:rPr>
      </w:pPr>
    </w:p>
    <w:p>
      <w:pPr>
        <w:spacing w:line="360" w:lineRule="auto"/>
        <w:ind w:firstLine="525"/>
        <w:rPr>
          <w:rFonts w:ascii="宋体"/>
          <w:bCs/>
          <w:color w:val="auto"/>
          <w:sz w:val="24"/>
          <w:szCs w:val="24"/>
        </w:rPr>
      </w:pPr>
      <w:r>
        <w:rPr>
          <w:rFonts w:hint="eastAsia" w:ascii="宋体" w:hAnsi="宋体"/>
          <w:bCs/>
          <w:color w:val="auto"/>
          <w:sz w:val="24"/>
          <w:szCs w:val="24"/>
        </w:rPr>
        <w:t>（一）合同内容：需方向供方购买。</w:t>
      </w:r>
    </w:p>
    <w:p>
      <w:pPr>
        <w:spacing w:line="360" w:lineRule="auto"/>
        <w:ind w:firstLine="525"/>
        <w:rPr>
          <w:rFonts w:ascii="宋体"/>
          <w:bCs/>
          <w:color w:val="auto"/>
          <w:sz w:val="24"/>
          <w:szCs w:val="24"/>
        </w:rPr>
      </w:pPr>
      <w:r>
        <w:rPr>
          <w:rFonts w:hint="eastAsia" w:ascii="宋体" w:hAnsi="宋体"/>
          <w:bCs/>
          <w:color w:val="auto"/>
          <w:sz w:val="24"/>
          <w:szCs w:val="24"/>
        </w:rPr>
        <w:t>（二）价格及支付：</w:t>
      </w:r>
    </w:p>
    <w:p>
      <w:pPr>
        <w:tabs>
          <w:tab w:val="left" w:pos="525"/>
          <w:tab w:val="left" w:pos="1050"/>
          <w:tab w:val="left" w:pos="1155"/>
        </w:tabs>
        <w:spacing w:line="360" w:lineRule="auto"/>
        <w:ind w:firstLine="523" w:firstLineChars="218"/>
        <w:rPr>
          <w:rFonts w:ascii="宋体"/>
          <w:bCs/>
          <w:color w:val="auto"/>
          <w:sz w:val="24"/>
          <w:szCs w:val="24"/>
        </w:rPr>
      </w:pPr>
      <w:r>
        <w:rPr>
          <w:rFonts w:hint="eastAsia" w:ascii="宋体" w:hAnsi="宋体"/>
          <w:bCs/>
          <w:color w:val="auto"/>
          <w:sz w:val="24"/>
          <w:szCs w:val="24"/>
        </w:rPr>
        <w:t>1. 按此次中标价格执行，合同总标的额为</w:t>
      </w:r>
      <w:r>
        <w:rPr>
          <w:rFonts w:hint="eastAsia" w:ascii="宋体" w:hAnsi="宋体"/>
          <w:bCs/>
          <w:color w:val="auto"/>
          <w:sz w:val="24"/>
          <w:szCs w:val="24"/>
          <w:u w:val="single"/>
        </w:rPr>
        <w:t xml:space="preserve">            </w:t>
      </w:r>
      <w:r>
        <w:rPr>
          <w:rFonts w:hint="eastAsia" w:ascii="宋体" w:hAnsi="宋体"/>
          <w:bCs/>
          <w:color w:val="auto"/>
          <w:sz w:val="24"/>
          <w:szCs w:val="24"/>
        </w:rPr>
        <w:t>元。</w:t>
      </w:r>
    </w:p>
    <w:p>
      <w:pPr>
        <w:numPr>
          <w:ilvl w:val="1"/>
          <w:numId w:val="14"/>
        </w:numPr>
        <w:tabs>
          <w:tab w:val="left" w:pos="945"/>
          <w:tab w:val="left" w:pos="2100"/>
          <w:tab w:val="clear" w:pos="1770"/>
        </w:tabs>
        <w:spacing w:line="360" w:lineRule="auto"/>
        <w:ind w:left="0" w:firstLine="525"/>
        <w:rPr>
          <w:rFonts w:ascii="宋体"/>
          <w:bCs/>
          <w:color w:val="auto"/>
          <w:sz w:val="24"/>
          <w:szCs w:val="24"/>
        </w:rPr>
      </w:pPr>
      <w:r>
        <w:rPr>
          <w:rFonts w:hint="eastAsia" w:ascii="宋体" w:hAnsi="宋体"/>
          <w:bCs/>
          <w:color w:val="auto"/>
          <w:sz w:val="24"/>
          <w:szCs w:val="24"/>
        </w:rPr>
        <w:t>付款方式：</w:t>
      </w:r>
    </w:p>
    <w:p>
      <w:pPr>
        <w:numPr>
          <w:ilvl w:val="1"/>
          <w:numId w:val="14"/>
        </w:numPr>
        <w:tabs>
          <w:tab w:val="left" w:pos="945"/>
          <w:tab w:val="left" w:pos="2100"/>
          <w:tab w:val="clear" w:pos="1770"/>
        </w:tabs>
        <w:spacing w:line="360" w:lineRule="auto"/>
        <w:ind w:left="0" w:firstLine="525"/>
        <w:rPr>
          <w:rFonts w:ascii="宋体"/>
          <w:bCs/>
          <w:color w:val="auto"/>
          <w:sz w:val="24"/>
          <w:szCs w:val="24"/>
        </w:rPr>
      </w:pPr>
      <w:r>
        <w:rPr>
          <w:rFonts w:hint="eastAsia" w:ascii="宋体" w:hAnsi="宋体"/>
          <w:bCs/>
          <w:color w:val="auto"/>
          <w:sz w:val="24"/>
          <w:szCs w:val="24"/>
        </w:rPr>
        <w:t>履约保证金的缴纳和退付：</w:t>
      </w:r>
    </w:p>
    <w:p>
      <w:pPr>
        <w:tabs>
          <w:tab w:val="left" w:pos="945"/>
          <w:tab w:val="left" w:pos="2100"/>
        </w:tabs>
        <w:spacing w:line="360" w:lineRule="auto"/>
        <w:ind w:firstLine="480" w:firstLineChars="200"/>
        <w:rPr>
          <w:rFonts w:ascii="宋体" w:hAnsi="宋体"/>
          <w:bCs/>
          <w:color w:val="auto"/>
          <w:sz w:val="24"/>
          <w:szCs w:val="24"/>
        </w:rPr>
      </w:pPr>
      <w:r>
        <w:rPr>
          <w:rFonts w:hint="eastAsia" w:ascii="宋体" w:hAnsi="宋体"/>
          <w:bCs/>
          <w:color w:val="auto"/>
          <w:sz w:val="24"/>
          <w:szCs w:val="24"/>
        </w:rPr>
        <w:t>本项目是/否向采购人缴纳履约保证金：</w:t>
      </w:r>
      <w:r>
        <w:rPr>
          <w:rFonts w:hint="eastAsia" w:ascii="宋体" w:hAnsi="宋体"/>
          <w:bCs/>
          <w:color w:val="auto"/>
          <w:sz w:val="24"/>
          <w:szCs w:val="24"/>
          <w:u w:val="single"/>
        </w:rPr>
        <w:t xml:space="preserve">               </w:t>
      </w:r>
      <w:r>
        <w:rPr>
          <w:rFonts w:hint="eastAsia" w:ascii="宋体" w:hAnsi="宋体"/>
          <w:bCs/>
          <w:color w:val="auto"/>
          <w:sz w:val="24"/>
          <w:szCs w:val="24"/>
        </w:rPr>
        <w:t>。</w:t>
      </w:r>
    </w:p>
    <w:p>
      <w:pPr>
        <w:tabs>
          <w:tab w:val="left" w:pos="945"/>
          <w:tab w:val="left" w:pos="2100"/>
        </w:tabs>
        <w:spacing w:line="360" w:lineRule="auto"/>
        <w:ind w:firstLine="480" w:firstLineChars="200"/>
        <w:rPr>
          <w:rFonts w:ascii="宋体" w:hAnsi="宋体"/>
          <w:bCs/>
          <w:color w:val="auto"/>
          <w:sz w:val="24"/>
          <w:szCs w:val="24"/>
        </w:rPr>
      </w:pPr>
      <w:r>
        <w:rPr>
          <w:rFonts w:hint="eastAsia" w:ascii="宋体" w:hAnsi="宋体"/>
          <w:bCs/>
          <w:color w:val="auto"/>
          <w:sz w:val="24"/>
          <w:szCs w:val="24"/>
        </w:rPr>
        <w:t>履约保证金缴纳金额：</w:t>
      </w:r>
      <w:r>
        <w:rPr>
          <w:rFonts w:hint="eastAsia" w:ascii="宋体" w:hAnsi="宋体"/>
          <w:bCs/>
          <w:color w:val="auto"/>
          <w:sz w:val="24"/>
          <w:szCs w:val="24"/>
          <w:u w:val="single"/>
        </w:rPr>
        <w:t xml:space="preserve">                            </w:t>
      </w:r>
      <w:r>
        <w:rPr>
          <w:rFonts w:hint="eastAsia" w:ascii="宋体" w:hAnsi="宋体"/>
          <w:bCs/>
          <w:color w:val="auto"/>
          <w:sz w:val="24"/>
          <w:szCs w:val="24"/>
        </w:rPr>
        <w:t>元。</w:t>
      </w:r>
    </w:p>
    <w:p>
      <w:pPr>
        <w:tabs>
          <w:tab w:val="left" w:pos="945"/>
          <w:tab w:val="left" w:pos="2100"/>
        </w:tabs>
        <w:spacing w:line="360" w:lineRule="auto"/>
        <w:ind w:firstLine="480" w:firstLineChars="200"/>
        <w:rPr>
          <w:rFonts w:ascii="宋体" w:hAnsi="宋体"/>
          <w:bCs/>
          <w:color w:val="auto"/>
          <w:sz w:val="24"/>
        </w:rPr>
      </w:pPr>
      <w:r>
        <w:rPr>
          <w:rFonts w:hint="eastAsia" w:ascii="宋体" w:hAnsi="宋体"/>
          <w:bCs/>
          <w:color w:val="auto"/>
          <w:sz w:val="24"/>
          <w:szCs w:val="24"/>
        </w:rPr>
        <w:t>履约保证金的缴纳时间：</w:t>
      </w:r>
      <w:r>
        <w:rPr>
          <w:rFonts w:hint="eastAsia" w:ascii="宋体" w:hAnsi="宋体"/>
          <w:bCs/>
          <w:color w:val="auto"/>
          <w:sz w:val="24"/>
          <w:szCs w:val="24"/>
          <w:u w:val="single"/>
        </w:rPr>
        <w:t xml:space="preserve">        </w:t>
      </w:r>
      <w:r>
        <w:rPr>
          <w:rFonts w:hint="eastAsia" w:ascii="宋体" w:hAnsi="宋体"/>
          <w:bCs/>
          <w:color w:val="auto"/>
          <w:sz w:val="24"/>
          <w:szCs w:val="24"/>
        </w:rPr>
        <w:t>，缴纳形式：</w:t>
      </w:r>
      <w:r>
        <w:rPr>
          <w:rFonts w:hint="eastAsia" w:ascii="宋体" w:hAnsi="宋体"/>
          <w:bCs/>
          <w:color w:val="auto"/>
          <w:sz w:val="24"/>
          <w:szCs w:val="24"/>
          <w:u w:val="single"/>
        </w:rPr>
        <w:t xml:space="preserve">        </w:t>
      </w:r>
      <w:r>
        <w:rPr>
          <w:rFonts w:hint="eastAsia" w:ascii="宋体" w:hAnsi="宋体"/>
          <w:bCs/>
          <w:color w:val="auto"/>
          <w:sz w:val="24"/>
        </w:rPr>
        <w:t>。</w:t>
      </w:r>
    </w:p>
    <w:p>
      <w:pPr>
        <w:tabs>
          <w:tab w:val="left" w:pos="945"/>
          <w:tab w:val="left" w:pos="2100"/>
        </w:tabs>
        <w:spacing w:line="360" w:lineRule="auto"/>
        <w:ind w:firstLine="480" w:firstLineChars="200"/>
        <w:rPr>
          <w:rFonts w:ascii="宋体" w:hAnsi="宋体"/>
          <w:bCs/>
          <w:color w:val="auto"/>
          <w:sz w:val="24"/>
        </w:rPr>
      </w:pPr>
      <w:r>
        <w:rPr>
          <w:rFonts w:hint="eastAsia" w:ascii="宋体" w:hAnsi="宋体"/>
          <w:bCs/>
          <w:color w:val="auto"/>
          <w:sz w:val="24"/>
          <w:szCs w:val="24"/>
        </w:rPr>
        <w:t>履约保证金的退付时间：</w:t>
      </w:r>
      <w:r>
        <w:rPr>
          <w:rFonts w:hint="eastAsia" w:ascii="宋体" w:hAnsi="宋体"/>
          <w:bCs/>
          <w:color w:val="auto"/>
          <w:sz w:val="24"/>
          <w:szCs w:val="24"/>
          <w:u w:val="single"/>
        </w:rPr>
        <w:t xml:space="preserve">        </w:t>
      </w:r>
      <w:r>
        <w:rPr>
          <w:rFonts w:hint="eastAsia" w:ascii="宋体" w:hAnsi="宋体"/>
          <w:bCs/>
          <w:color w:val="auto"/>
          <w:sz w:val="24"/>
          <w:szCs w:val="24"/>
        </w:rPr>
        <w:t>，退付办法：</w:t>
      </w:r>
      <w:r>
        <w:rPr>
          <w:rFonts w:hint="eastAsia" w:ascii="宋体" w:hAnsi="宋体"/>
          <w:bCs/>
          <w:color w:val="auto"/>
          <w:sz w:val="24"/>
          <w:szCs w:val="24"/>
          <w:u w:val="single"/>
        </w:rPr>
        <w:t xml:space="preserve">        </w:t>
      </w:r>
      <w:r>
        <w:rPr>
          <w:rFonts w:hint="eastAsia" w:ascii="宋体" w:hAnsi="宋体"/>
          <w:bCs/>
          <w:color w:val="auto"/>
          <w:sz w:val="24"/>
        </w:rPr>
        <w:t>。</w:t>
      </w:r>
    </w:p>
    <w:p>
      <w:pPr>
        <w:tabs>
          <w:tab w:val="left" w:pos="945"/>
          <w:tab w:val="left" w:pos="2100"/>
        </w:tabs>
        <w:spacing w:line="360" w:lineRule="auto"/>
        <w:ind w:firstLine="480" w:firstLineChars="200"/>
        <w:rPr>
          <w:rFonts w:ascii="宋体" w:hAnsi="宋体"/>
          <w:bCs/>
          <w:color w:val="auto"/>
          <w:sz w:val="24"/>
        </w:rPr>
      </w:pPr>
      <w:r>
        <w:rPr>
          <w:rFonts w:hint="eastAsia" w:ascii="宋体" w:hAnsi="宋体"/>
          <w:bCs/>
          <w:color w:val="auto"/>
          <w:sz w:val="24"/>
        </w:rPr>
        <w:t>履约保证金不予退还的情形：</w:t>
      </w:r>
      <w:r>
        <w:rPr>
          <w:rFonts w:hint="eastAsia" w:ascii="宋体" w:hAnsi="宋体"/>
          <w:bCs/>
          <w:color w:val="auto"/>
          <w:sz w:val="24"/>
          <w:szCs w:val="24"/>
          <w:u w:val="single"/>
        </w:rPr>
        <w:t xml:space="preserve">                        </w:t>
      </w:r>
      <w:r>
        <w:rPr>
          <w:rFonts w:hint="eastAsia" w:ascii="宋体" w:hAnsi="宋体"/>
          <w:bCs/>
          <w:color w:val="auto"/>
          <w:sz w:val="24"/>
        </w:rPr>
        <w:t>。</w:t>
      </w:r>
    </w:p>
    <w:p>
      <w:pPr>
        <w:tabs>
          <w:tab w:val="left" w:pos="945"/>
          <w:tab w:val="left" w:pos="2100"/>
        </w:tabs>
        <w:spacing w:line="360" w:lineRule="auto"/>
        <w:ind w:firstLine="480" w:firstLineChars="200"/>
        <w:rPr>
          <w:rFonts w:ascii="宋体"/>
          <w:bCs/>
          <w:color w:val="auto"/>
          <w:sz w:val="24"/>
          <w:szCs w:val="24"/>
        </w:rPr>
      </w:pPr>
      <w:r>
        <w:rPr>
          <w:rFonts w:hint="eastAsia" w:ascii="宋体" w:hAnsi="宋体"/>
          <w:bCs/>
          <w:color w:val="auto"/>
          <w:sz w:val="24"/>
        </w:rPr>
        <w:t>逾期退还履约保证金的违约责任：</w:t>
      </w:r>
      <w:r>
        <w:rPr>
          <w:rFonts w:hint="eastAsia" w:ascii="宋体" w:hAnsi="宋体"/>
          <w:bCs/>
          <w:color w:val="auto"/>
          <w:sz w:val="24"/>
          <w:szCs w:val="24"/>
          <w:u w:val="single"/>
        </w:rPr>
        <w:t xml:space="preserve">                    </w:t>
      </w:r>
      <w:r>
        <w:rPr>
          <w:rFonts w:hint="eastAsia" w:ascii="宋体" w:hAnsi="宋体"/>
          <w:bCs/>
          <w:color w:val="auto"/>
          <w:sz w:val="24"/>
        </w:rPr>
        <w:t>。</w:t>
      </w:r>
    </w:p>
    <w:p>
      <w:pPr>
        <w:tabs>
          <w:tab w:val="left" w:pos="0"/>
          <w:tab w:val="left" w:pos="855"/>
          <w:tab w:val="left" w:pos="1365"/>
        </w:tabs>
        <w:spacing w:line="360" w:lineRule="auto"/>
        <w:ind w:left="525"/>
        <w:rPr>
          <w:rFonts w:ascii="宋体"/>
          <w:bCs/>
          <w:color w:val="auto"/>
          <w:sz w:val="24"/>
          <w:szCs w:val="24"/>
        </w:rPr>
      </w:pPr>
      <w:r>
        <w:rPr>
          <w:rFonts w:hint="eastAsia" w:ascii="宋体" w:hAnsi="宋体"/>
          <w:bCs/>
          <w:color w:val="auto"/>
          <w:sz w:val="24"/>
          <w:szCs w:val="24"/>
        </w:rPr>
        <w:t>（三）知识产权</w:t>
      </w:r>
    </w:p>
    <w:p>
      <w:pPr>
        <w:tabs>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供方应保证需方在使用其交付物、服务及其任何部分时不受到第三方关于侵犯专利权、商标权或软件著作权等知识产权的指控。任何第三方如果提出侵权指控，供方应承担可能发生的一切法律责任和费用。</w:t>
      </w:r>
    </w:p>
    <w:p>
      <w:pPr>
        <w:tabs>
          <w:tab w:val="left" w:pos="735"/>
          <w:tab w:val="left" w:pos="855"/>
        </w:tabs>
        <w:spacing w:line="360" w:lineRule="auto"/>
        <w:ind w:left="521"/>
        <w:rPr>
          <w:rFonts w:ascii="宋体"/>
          <w:bCs/>
          <w:color w:val="auto"/>
          <w:sz w:val="24"/>
          <w:szCs w:val="24"/>
        </w:rPr>
      </w:pPr>
      <w:r>
        <w:rPr>
          <w:rFonts w:hint="eastAsia" w:ascii="宋体" w:hAnsi="宋体"/>
          <w:bCs/>
          <w:color w:val="auto"/>
          <w:sz w:val="24"/>
          <w:szCs w:val="24"/>
        </w:rPr>
        <w:t>（四）质量要求与检验：</w:t>
      </w:r>
    </w:p>
    <w:p>
      <w:pPr>
        <w:tabs>
          <w:tab w:val="left" w:pos="525"/>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1.供方应严格按照招标文件的有关规定和供方投标文件提供合格的货物及服务。</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2.如果任何被检验的货物或服务不符合质量要求，需方均可以拒绝接受，供方应及时更换被拒绝的货物或重新提供服务，且不得影响需方正常工作，费用由供方承担，如因更换或重作导致供方逾期交付货物的，供方还应承担逾期交付的违约责任。本规定并不免除供方在本合同项下的货物质量保证义务或其他义务。</w:t>
      </w:r>
    </w:p>
    <w:p>
      <w:pPr>
        <w:tabs>
          <w:tab w:val="left" w:pos="420"/>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3.货物的到货验收包括：数量、外观、质量、性能、随机备件、装箱单、质量证书等随机资料及包装完整无破损。</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4.货物和系统调试验收标准：按行业通行标准、厂方出厂标准、招标文件要求和供方投标文件的承诺，并不低于国家相关标准。</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5.货物运到需方指定地点并经需方验证签收后，由于需方保管不善造成的质量问题，供方应负责修理，但有关费用由需方承担。</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6.经验收不合格的，供方应当按照需方要求在指定的合理期限内进行整改和完善，直至符合招标文件要求的相关标准。逾期不予整改或经整改仍不能符合相关要求，或者导致合同目的无法实现，需方有权依照法律程序解除合同，并追究供方的违约责任。</w:t>
      </w:r>
    </w:p>
    <w:p>
      <w:pPr>
        <w:tabs>
          <w:tab w:val="left" w:pos="105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7.需方不得擅自变更招投标文件约定的性能、指标等相关内容，如有变更应按《中华人民共和国政府采购法》、财政部《政府采购货物和服务招标投标管理办法》的相关程序执行。</w:t>
      </w:r>
    </w:p>
    <w:p>
      <w:pPr>
        <w:spacing w:line="360" w:lineRule="auto"/>
        <w:ind w:left="-2" w:leftChars="-1" w:firstLine="520" w:firstLineChars="217"/>
        <w:rPr>
          <w:rFonts w:ascii="宋体"/>
          <w:bCs/>
          <w:color w:val="auto"/>
          <w:sz w:val="24"/>
          <w:szCs w:val="24"/>
        </w:rPr>
      </w:pPr>
      <w:r>
        <w:rPr>
          <w:rFonts w:hint="eastAsia" w:ascii="宋体" w:hAnsi="宋体"/>
          <w:bCs/>
          <w:color w:val="auto"/>
          <w:sz w:val="24"/>
          <w:szCs w:val="24"/>
        </w:rPr>
        <w:t>（五）交货条件：</w:t>
      </w:r>
    </w:p>
    <w:p>
      <w:pPr>
        <w:tabs>
          <w:tab w:val="left" w:pos="420"/>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1.交货日期（或完工期）：</w:t>
      </w:r>
    </w:p>
    <w:p>
      <w:pPr>
        <w:tabs>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2.供方在验收时应先用信函、传真、电子邮件等书面方式通知需方。</w:t>
      </w:r>
    </w:p>
    <w:p>
      <w:pPr>
        <w:tabs>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3.货物的外观、包装、运输应按国家有关规定或相关部颁标准执行。如因供方包装或运输不当等原因造成损坏或丢失，应由供方负责调换或补缺，如因此导致供方逾期交付货物的，供方还应承担逾期交付的违约责任。</w:t>
      </w:r>
    </w:p>
    <w:p>
      <w:pPr>
        <w:tabs>
          <w:tab w:val="left" w:pos="1155"/>
        </w:tabs>
        <w:spacing w:line="360" w:lineRule="auto"/>
        <w:ind w:firstLine="520" w:firstLineChars="217"/>
        <w:rPr>
          <w:rFonts w:ascii="宋体"/>
          <w:bCs/>
          <w:color w:val="auto"/>
          <w:sz w:val="24"/>
          <w:szCs w:val="24"/>
        </w:rPr>
      </w:pPr>
      <w:r>
        <w:rPr>
          <w:rFonts w:hint="eastAsia" w:ascii="宋体" w:hAnsi="宋体"/>
          <w:bCs/>
          <w:color w:val="auto"/>
          <w:sz w:val="24"/>
          <w:szCs w:val="24"/>
        </w:rPr>
        <w:t>4.货物交货时，所有货物必须带有货物质量检验合格证书、中文质保单、装箱单、中文货物安装使用说明书。其它附件所有部件必须原包装。</w:t>
      </w:r>
    </w:p>
    <w:p>
      <w:pPr>
        <w:tabs>
          <w:tab w:val="left" w:pos="945"/>
          <w:tab w:val="left" w:pos="1155"/>
        </w:tabs>
        <w:spacing w:line="360" w:lineRule="auto"/>
        <w:ind w:left="2" w:firstLine="520" w:firstLineChars="217"/>
        <w:rPr>
          <w:rFonts w:ascii="宋体"/>
          <w:bCs/>
          <w:color w:val="auto"/>
          <w:sz w:val="24"/>
          <w:szCs w:val="24"/>
        </w:rPr>
      </w:pPr>
      <w:r>
        <w:rPr>
          <w:rFonts w:hint="eastAsia" w:ascii="宋体" w:hAnsi="宋体"/>
          <w:bCs/>
          <w:color w:val="auto"/>
          <w:sz w:val="24"/>
          <w:szCs w:val="24"/>
        </w:rPr>
        <w:t>5.运输及到货地点：由供方负责办理运输并承担所有费用，直接送到需方指定地点，即：以合同书上的地点为准。</w:t>
      </w:r>
    </w:p>
    <w:p>
      <w:pPr>
        <w:spacing w:line="360" w:lineRule="auto"/>
        <w:ind w:firstLine="480" w:firstLineChars="200"/>
        <w:rPr>
          <w:rFonts w:ascii="宋体"/>
          <w:bCs/>
          <w:color w:val="auto"/>
          <w:sz w:val="24"/>
          <w:szCs w:val="24"/>
        </w:rPr>
      </w:pPr>
      <w:r>
        <w:rPr>
          <w:rFonts w:hint="eastAsia" w:ascii="宋体" w:hAnsi="宋体"/>
          <w:bCs/>
          <w:color w:val="auto"/>
          <w:sz w:val="24"/>
          <w:szCs w:val="24"/>
        </w:rPr>
        <w:t>（六）安装调试及售后服务：</w:t>
      </w:r>
    </w:p>
    <w:p>
      <w:pPr>
        <w:tabs>
          <w:tab w:val="left" w:pos="525"/>
          <w:tab w:val="left" w:pos="840"/>
          <w:tab w:val="left" w:pos="945"/>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1.供方负责本项目的安装和调试，并保证其提供的货物符合国家、行业、地方、招投标文件及合同规定的质量、性能和标准，并正确且安全地安装。</w:t>
      </w:r>
    </w:p>
    <w:p>
      <w:pPr>
        <w:tabs>
          <w:tab w:val="left" w:pos="525"/>
          <w:tab w:val="left" w:pos="840"/>
          <w:tab w:val="left" w:pos="945"/>
          <w:tab w:val="left" w:pos="1050"/>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2.供方提供的服务全部按照国家有关法律法规规章和“三包”规定以及按招标文件要求和供方投标文件中的承诺执行。</w:t>
      </w:r>
    </w:p>
    <w:p>
      <w:pPr>
        <w:tabs>
          <w:tab w:val="left" w:pos="525"/>
          <w:tab w:val="left" w:pos="840"/>
          <w:tab w:val="left" w:pos="945"/>
          <w:tab w:val="left" w:pos="1050"/>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3.质保期后的货物维护由双方协商再定。</w:t>
      </w:r>
    </w:p>
    <w:p>
      <w:pPr>
        <w:tabs>
          <w:tab w:val="left" w:pos="525"/>
          <w:tab w:val="left" w:pos="840"/>
          <w:tab w:val="left" w:pos="945"/>
          <w:tab w:val="left" w:pos="1050"/>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4.需方应向供方现场调试的技术人员及维修人员提供方便条件，有关费用由供方负责。</w:t>
      </w:r>
    </w:p>
    <w:p>
      <w:pPr>
        <w:tabs>
          <w:tab w:val="left" w:pos="525"/>
          <w:tab w:val="left" w:pos="840"/>
          <w:tab w:val="left" w:pos="945"/>
          <w:tab w:val="left" w:pos="1050"/>
          <w:tab w:val="left" w:pos="1965"/>
        </w:tabs>
        <w:spacing w:line="360" w:lineRule="auto"/>
        <w:ind w:firstLine="480" w:firstLineChars="200"/>
        <w:rPr>
          <w:rFonts w:ascii="宋体"/>
          <w:bCs/>
          <w:color w:val="auto"/>
          <w:sz w:val="24"/>
          <w:szCs w:val="24"/>
        </w:rPr>
      </w:pPr>
      <w:r>
        <w:rPr>
          <w:rFonts w:hint="eastAsia" w:ascii="宋体" w:hAnsi="宋体"/>
          <w:bCs/>
          <w:color w:val="auto"/>
          <w:sz w:val="24"/>
          <w:szCs w:val="24"/>
        </w:rPr>
        <w:t>5.需方如要求供方提供招标文件及供方投标文件以外的其它服务，其费用另定。</w:t>
      </w:r>
    </w:p>
    <w:p>
      <w:pPr>
        <w:spacing w:line="360" w:lineRule="auto"/>
        <w:ind w:firstLine="360" w:firstLineChars="150"/>
        <w:rPr>
          <w:rFonts w:ascii="宋体"/>
          <w:bCs/>
          <w:color w:val="auto"/>
          <w:sz w:val="24"/>
          <w:szCs w:val="24"/>
        </w:rPr>
      </w:pPr>
      <w:r>
        <w:rPr>
          <w:rFonts w:hint="eastAsia" w:ascii="宋体" w:hAnsi="宋体"/>
          <w:bCs/>
          <w:color w:val="auto"/>
          <w:sz w:val="24"/>
          <w:szCs w:val="24"/>
        </w:rPr>
        <w:t>（七）违约责任：</w:t>
      </w:r>
    </w:p>
    <w:p>
      <w:pPr>
        <w:tabs>
          <w:tab w:val="left" w:pos="0"/>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1.在履行合同的过程中，如果供方遇到妨碍按时交货和提供服务的情况时，应及时以书面形式将拖延的事实、可能拖延的时间和原因通知需方。需方在收到供方通知后，应尽快对情况进行核实，并有权根据情况确定是否酌情延长交货时间以及是否收取逾期交货的违约金及损害赔偿金（如有），或依照法律程序解除部分或全部合同。延期应通过签订补充合同的方式由双方认可并履行。</w:t>
      </w:r>
    </w:p>
    <w:p>
      <w:pPr>
        <w:tabs>
          <w:tab w:val="left" w:pos="0"/>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2.如供方逾期交货且未经需方同意延长交货时间，除不可抗力外，每逾期一日，供方应按照逾期交货金额的万分之五的标准累计计算向需方支付违约金。逾期超过20个工作日的，需方有权依照法律程序解除合同，需方如已支付费用的，供方全部返还，且供方应按照合同总价的30%向需方支付违约金，如给需方造成损失的，还应赔偿损失。</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3.需方无正当理由逾期付款时，每逾期一日，需方应按照逾期付款金额的万分之五的标准累计计算向供方支付违约金。</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4.由于需方的原因要求延期交货，需方应按规定承付货款，并承担供方提供的代为保管费。（有关仓储规定另议）</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5.供方如无不可抗力，又未履行招标文件、投标文件和合同条款的，一经查实，由供方赔偿由此给需方造成的损失，并按照合同总价的30%向需方支付违约金，因招、投标产生的其他责任及后果按招标文件的相关要求及处理方式执行。</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6.由于供方提供货物质量和安装存在问题和缺陷导致任何人身、财产损害的，供方应负责承担由此产生的责任，与需方无关。如不可避免地造成需方损失的，需方有权向供方追偿（该等损失包括但不限于损害赔偿金、需方为解决纠纷支付的律师费、诉讼费、差旅费等合理费用）。供方并应按照合同总价的20%向需方支付违约金，如给需方造成其他损失的，供方还应负责赔偿。</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7.如遭遇不可抗力事件，遭遇不可抗力的一方应尽快以书面形式将不可抗力的情况和原因通知另一方，并积极采取措施防止损失扩大。因不可抗力造成的损失，供、需双方按照法律规定处理。</w:t>
      </w:r>
    </w:p>
    <w:p>
      <w:pPr>
        <w:tabs>
          <w:tab w:val="left" w:pos="105"/>
          <w:tab w:val="left" w:pos="315"/>
          <w:tab w:val="left" w:pos="525"/>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8.招标文件及合同中所述之“不可抗力”系指不可预见、不可避免、不可克服的事件，包括但不限于：战争、洪水、台风、地震及其他法律、法规规定的事件。</w:t>
      </w:r>
    </w:p>
    <w:p>
      <w:pPr>
        <w:spacing w:line="360" w:lineRule="auto"/>
        <w:ind w:firstLine="360" w:firstLineChars="150"/>
        <w:rPr>
          <w:rFonts w:ascii="宋体"/>
          <w:bCs/>
          <w:color w:val="auto"/>
          <w:sz w:val="24"/>
          <w:szCs w:val="24"/>
        </w:rPr>
      </w:pPr>
      <w:r>
        <w:rPr>
          <w:rFonts w:hint="eastAsia" w:ascii="宋体" w:hAnsi="宋体"/>
          <w:bCs/>
          <w:color w:val="auto"/>
          <w:sz w:val="24"/>
          <w:szCs w:val="24"/>
        </w:rPr>
        <w:t>（八）合同生效及其它：</w:t>
      </w:r>
    </w:p>
    <w:p>
      <w:pPr>
        <w:tabs>
          <w:tab w:val="left" w:pos="0"/>
          <w:tab w:val="left" w:pos="525"/>
          <w:tab w:val="left" w:pos="741"/>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1.合同经供需双方代表签字并盖章。</w:t>
      </w:r>
    </w:p>
    <w:p>
      <w:pPr>
        <w:tabs>
          <w:tab w:val="left" w:pos="0"/>
          <w:tab w:val="left" w:pos="525"/>
          <w:tab w:val="left" w:pos="741"/>
          <w:tab w:val="left" w:pos="945"/>
        </w:tabs>
        <w:spacing w:line="360" w:lineRule="auto"/>
        <w:ind w:firstLine="480" w:firstLineChars="200"/>
        <w:rPr>
          <w:rFonts w:ascii="宋体"/>
          <w:color w:val="auto"/>
          <w:sz w:val="24"/>
          <w:szCs w:val="24"/>
        </w:rPr>
      </w:pPr>
      <w:r>
        <w:rPr>
          <w:rFonts w:hint="eastAsia" w:ascii="宋体" w:hAnsi="宋体"/>
          <w:bCs/>
          <w:color w:val="auto"/>
          <w:sz w:val="24"/>
          <w:szCs w:val="24"/>
        </w:rPr>
        <w:t>2.合同签订后供需双方即直接产生权利与义务的关系，合同执行过程中出现的问题应按照合同约定、法律法规的规定办理。在合同履行过程中，双方如有争议，</w:t>
      </w:r>
      <w:r>
        <w:rPr>
          <w:rFonts w:hint="eastAsia" w:ascii="宋体" w:hAnsi="宋体"/>
          <w:color w:val="auto"/>
          <w:sz w:val="24"/>
          <w:szCs w:val="24"/>
        </w:rPr>
        <w:t>由供需双方协商处理，若协商不成，</w:t>
      </w:r>
      <w:r>
        <w:rPr>
          <w:rFonts w:hint="eastAsia" w:ascii="宋体" w:hAnsi="宋体"/>
          <w:bCs/>
          <w:color w:val="auto"/>
          <w:sz w:val="24"/>
          <w:szCs w:val="24"/>
        </w:rPr>
        <w:t>可选择以下方式处理：</w:t>
      </w:r>
    </w:p>
    <w:p>
      <w:pPr>
        <w:tabs>
          <w:tab w:val="left" w:pos="525"/>
          <w:tab w:val="left" w:pos="945"/>
        </w:tabs>
        <w:spacing w:line="360" w:lineRule="auto"/>
        <w:ind w:firstLine="480" w:firstLineChars="200"/>
        <w:rPr>
          <w:rFonts w:ascii="宋体"/>
          <w:color w:val="auto"/>
          <w:sz w:val="24"/>
          <w:szCs w:val="24"/>
        </w:rPr>
      </w:pPr>
      <w:r>
        <w:rPr>
          <w:rFonts w:hint="eastAsia" w:ascii="宋体" w:hAnsi="宋体"/>
          <w:color w:val="auto"/>
          <w:sz w:val="24"/>
          <w:szCs w:val="24"/>
        </w:rPr>
        <w:t>（1）向无锡仲裁委员会申请仲裁。</w:t>
      </w:r>
    </w:p>
    <w:p>
      <w:pPr>
        <w:tabs>
          <w:tab w:val="left" w:pos="525"/>
          <w:tab w:val="left" w:pos="945"/>
        </w:tabs>
        <w:spacing w:line="360" w:lineRule="auto"/>
        <w:ind w:firstLine="480" w:firstLineChars="200"/>
        <w:rPr>
          <w:rFonts w:ascii="宋体"/>
          <w:color w:val="auto"/>
          <w:sz w:val="24"/>
          <w:szCs w:val="24"/>
        </w:rPr>
      </w:pPr>
      <w:r>
        <w:rPr>
          <w:rFonts w:hint="eastAsia" w:ascii="宋体" w:hAnsi="宋体"/>
          <w:color w:val="auto"/>
          <w:sz w:val="24"/>
          <w:szCs w:val="24"/>
        </w:rPr>
        <w:t>（2）向需方所在地法院提起诉讼。</w:t>
      </w:r>
    </w:p>
    <w:p>
      <w:pPr>
        <w:tabs>
          <w:tab w:val="left" w:pos="0"/>
          <w:tab w:val="left" w:pos="525"/>
          <w:tab w:val="left" w:pos="741"/>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3.合同在执行过程中出现的未尽事宜，双方在不违背本合同和招标文件的原则下协商解决，协商结果以书面形式签订补充协议，且补充协议与本合同具有同等效力。</w:t>
      </w:r>
    </w:p>
    <w:p>
      <w:pPr>
        <w:tabs>
          <w:tab w:val="left" w:pos="0"/>
          <w:tab w:val="left" w:pos="525"/>
          <w:tab w:val="left" w:pos="741"/>
          <w:tab w:val="left" w:pos="945"/>
        </w:tabs>
        <w:spacing w:line="360" w:lineRule="auto"/>
        <w:ind w:firstLine="480" w:firstLineChars="200"/>
        <w:rPr>
          <w:rFonts w:ascii="宋体" w:hAnsi="宋体"/>
          <w:color w:val="auto"/>
          <w:sz w:val="24"/>
          <w:szCs w:val="24"/>
        </w:rPr>
      </w:pPr>
      <w:r>
        <w:rPr>
          <w:rFonts w:hint="eastAsia" w:ascii="宋体" w:hAnsi="宋体"/>
          <w:color w:val="auto"/>
          <w:sz w:val="24"/>
          <w:szCs w:val="24"/>
        </w:rPr>
        <w:t>4.合同中未有约定的按照有关的法律法规以及国家行业标准或技术文件规定予以解决。</w:t>
      </w:r>
    </w:p>
    <w:p>
      <w:pPr>
        <w:tabs>
          <w:tab w:val="left" w:pos="0"/>
          <w:tab w:val="left" w:pos="525"/>
          <w:tab w:val="left" w:pos="741"/>
          <w:tab w:val="left" w:pos="945"/>
        </w:tabs>
        <w:spacing w:line="360" w:lineRule="auto"/>
        <w:ind w:firstLine="480" w:firstLineChars="200"/>
        <w:rPr>
          <w:rFonts w:ascii="宋体"/>
          <w:bCs/>
          <w:color w:val="auto"/>
          <w:sz w:val="24"/>
          <w:szCs w:val="24"/>
        </w:rPr>
      </w:pPr>
      <w:r>
        <w:rPr>
          <w:rFonts w:hint="eastAsia" w:ascii="宋体" w:hAnsi="宋体"/>
          <w:bCs/>
          <w:color w:val="auto"/>
          <w:sz w:val="24"/>
          <w:szCs w:val="24"/>
        </w:rPr>
        <w:t>5.供需双方确认：对本合同条款及后果均已知悉，一致确认不存在欺诈、胁迫、乘人之危、重大误解、显失公平等任何可能导致合同无效或被撤销的情形。</w:t>
      </w:r>
    </w:p>
    <w:p>
      <w:pPr>
        <w:spacing w:line="440" w:lineRule="exact"/>
        <w:rPr>
          <w:rFonts w:ascii="宋体" w:hAnsi="宋体"/>
          <w:bCs/>
          <w:color w:val="auto"/>
          <w:sz w:val="24"/>
          <w:szCs w:val="24"/>
        </w:rPr>
      </w:pPr>
    </w:p>
    <w:p>
      <w:pPr>
        <w:spacing w:line="440" w:lineRule="exact"/>
        <w:rPr>
          <w:rFonts w:ascii="宋体" w:hAnsi="宋体"/>
          <w:bCs/>
          <w:color w:val="auto"/>
          <w:sz w:val="24"/>
          <w:szCs w:val="24"/>
        </w:rPr>
      </w:pPr>
    </w:p>
    <w:p>
      <w:pPr>
        <w:spacing w:line="440" w:lineRule="exact"/>
        <w:ind w:firstLine="480" w:firstLineChars="200"/>
        <w:jc w:val="center"/>
        <w:rPr>
          <w:rFonts w:ascii="宋体" w:hAnsi="宋体"/>
          <w:bCs/>
          <w:color w:val="auto"/>
          <w:sz w:val="24"/>
          <w:szCs w:val="24"/>
        </w:rPr>
      </w:pPr>
    </w:p>
    <w:p>
      <w:pPr>
        <w:spacing w:line="440" w:lineRule="exact"/>
        <w:rPr>
          <w:rFonts w:ascii="宋体"/>
          <w:bCs/>
          <w:color w:val="auto"/>
          <w:sz w:val="24"/>
          <w:szCs w:val="24"/>
          <w:u w:val="single"/>
        </w:rPr>
      </w:pPr>
      <w:r>
        <w:rPr>
          <w:rFonts w:hint="eastAsia" w:ascii="宋体" w:hAnsi="宋体"/>
          <w:bCs/>
          <w:color w:val="auto"/>
          <w:sz w:val="24"/>
          <w:szCs w:val="24"/>
        </w:rPr>
        <w:t>需方（采购人）：（签章）                   供方（中标方）：（签章）</w:t>
      </w:r>
    </w:p>
    <w:p>
      <w:pPr>
        <w:spacing w:line="440" w:lineRule="exact"/>
        <w:rPr>
          <w:rFonts w:ascii="宋体" w:hAnsi="宋体"/>
          <w:bCs/>
          <w:color w:val="auto"/>
          <w:sz w:val="24"/>
          <w:szCs w:val="24"/>
        </w:rPr>
      </w:pPr>
      <w:r>
        <w:rPr>
          <w:rFonts w:hint="eastAsia" w:ascii="宋体" w:hAnsi="宋体"/>
          <w:bCs/>
          <w:color w:val="auto"/>
          <w:sz w:val="24"/>
          <w:szCs w:val="24"/>
        </w:rPr>
        <w:t>法定（授权）代表人：                     法定（授权）代表人：</w:t>
      </w:r>
    </w:p>
    <w:p>
      <w:pPr>
        <w:spacing w:line="440" w:lineRule="exact"/>
        <w:rPr>
          <w:rFonts w:ascii="宋体" w:hAnsi="宋体"/>
          <w:bCs/>
          <w:color w:val="auto"/>
          <w:sz w:val="24"/>
          <w:szCs w:val="24"/>
          <w:u w:val="single"/>
        </w:rPr>
      </w:pPr>
      <w:r>
        <w:rPr>
          <w:rFonts w:hint="eastAsia" w:ascii="宋体" w:hAnsi="宋体"/>
          <w:bCs/>
          <w:color w:val="auto"/>
          <w:sz w:val="24"/>
          <w:szCs w:val="24"/>
        </w:rPr>
        <w:t>地址：                                   地址：</w:t>
      </w:r>
    </w:p>
    <w:p>
      <w:pPr>
        <w:spacing w:line="440" w:lineRule="exact"/>
        <w:ind w:firstLine="480" w:firstLineChars="200"/>
        <w:rPr>
          <w:rFonts w:ascii="宋体"/>
          <w:bCs/>
          <w:color w:val="auto"/>
          <w:sz w:val="24"/>
          <w:szCs w:val="24"/>
          <w:u w:val="single"/>
        </w:rPr>
      </w:pPr>
      <w:r>
        <w:rPr>
          <w:rFonts w:hint="eastAsia" w:ascii="宋体" w:hAnsi="宋体"/>
          <w:bCs/>
          <w:color w:val="auto"/>
          <w:sz w:val="24"/>
          <w:szCs w:val="24"/>
        </w:rPr>
        <w:t>年    月    日                           年      月       日</w:t>
      </w:r>
    </w:p>
    <w:p>
      <w:pPr>
        <w:spacing w:line="440" w:lineRule="exact"/>
        <w:ind w:firstLine="480" w:firstLineChars="200"/>
        <w:rPr>
          <w:rFonts w:ascii="宋体" w:hAnsi="宋体"/>
          <w:bCs/>
          <w:color w:val="auto"/>
          <w:sz w:val="24"/>
          <w:szCs w:val="24"/>
          <w:u w:val="single"/>
        </w:rPr>
      </w:pPr>
      <w:r>
        <w:rPr>
          <w:rFonts w:hint="eastAsia" w:ascii="宋体" w:hAnsi="宋体"/>
          <w:bCs/>
          <w:color w:val="auto"/>
          <w:sz w:val="24"/>
          <w:szCs w:val="24"/>
        </w:rPr>
        <w:t xml:space="preserve">                                     供方户名：</w:t>
      </w:r>
    </w:p>
    <w:p>
      <w:pPr>
        <w:spacing w:line="440" w:lineRule="exact"/>
        <w:rPr>
          <w:rFonts w:ascii="宋体" w:hAnsi="宋体"/>
          <w:bCs/>
          <w:color w:val="auto"/>
          <w:sz w:val="24"/>
          <w:szCs w:val="24"/>
          <w:u w:val="single"/>
        </w:rPr>
      </w:pPr>
      <w:r>
        <w:rPr>
          <w:rFonts w:hint="eastAsia" w:ascii="宋体" w:hAnsi="宋体"/>
          <w:bCs/>
          <w:color w:val="auto"/>
          <w:sz w:val="24"/>
          <w:szCs w:val="24"/>
        </w:rPr>
        <w:t xml:space="preserve">                                         供方开户银行：</w:t>
      </w:r>
    </w:p>
    <w:p>
      <w:pPr>
        <w:spacing w:line="440" w:lineRule="exact"/>
        <w:ind w:firstLine="480" w:firstLineChars="200"/>
        <w:rPr>
          <w:rFonts w:ascii="宋体"/>
          <w:bCs/>
          <w:color w:val="auto"/>
          <w:sz w:val="24"/>
          <w:szCs w:val="24"/>
          <w:u w:val="single"/>
        </w:rPr>
      </w:pPr>
      <w:r>
        <w:rPr>
          <w:rFonts w:hint="eastAsia" w:ascii="宋体" w:hAnsi="宋体"/>
          <w:bCs/>
          <w:color w:val="auto"/>
          <w:sz w:val="24"/>
          <w:szCs w:val="24"/>
        </w:rPr>
        <w:t xml:space="preserve">                                     供方帐号：</w:t>
      </w:r>
    </w:p>
    <w:p>
      <w:pPr>
        <w:pStyle w:val="4"/>
        <w:pageBreakBefore/>
        <w:rPr>
          <w:rFonts w:ascii="黑体" w:eastAsia="黑体"/>
          <w:bCs w:val="0"/>
          <w:color w:val="FF0000"/>
          <w:sz w:val="28"/>
          <w:szCs w:val="28"/>
        </w:rPr>
      </w:pPr>
      <w:bookmarkStart w:id="7" w:name="_Toc86134315"/>
      <w:r>
        <w:rPr>
          <w:rFonts w:hint="eastAsia" w:ascii="黑体" w:hAnsi="黑体" w:eastAsia="黑体"/>
          <w:b w:val="0"/>
          <w:sz w:val="32"/>
          <w:szCs w:val="32"/>
        </w:rPr>
        <w:t>六.附件</w:t>
      </w:r>
      <w:bookmarkEnd w:id="7"/>
    </w:p>
    <w:p>
      <w:pPr>
        <w:spacing w:line="360" w:lineRule="auto"/>
        <w:jc w:val="left"/>
        <w:rPr>
          <w:rFonts w:ascii="黑体" w:eastAsia="黑体"/>
          <w:bCs/>
          <w:sz w:val="24"/>
          <w:szCs w:val="24"/>
        </w:rPr>
      </w:pPr>
      <w:r>
        <w:rPr>
          <w:rFonts w:hint="eastAsia" w:ascii="黑体" w:eastAsia="黑体"/>
          <w:bCs/>
          <w:sz w:val="24"/>
          <w:szCs w:val="24"/>
        </w:rPr>
        <w:t>附件一：评分标准</w:t>
      </w:r>
    </w:p>
    <w:p>
      <w:pPr>
        <w:spacing w:line="360" w:lineRule="auto"/>
        <w:ind w:firstLine="236" w:firstLineChars="98"/>
        <w:rPr>
          <w:rFonts w:ascii="宋体" w:hAnsi="宋体"/>
          <w:b/>
          <w:bCs/>
          <w:sz w:val="24"/>
          <w:szCs w:val="24"/>
          <w:highlight w:val="none"/>
        </w:rPr>
      </w:pPr>
      <w:r>
        <w:rPr>
          <w:rFonts w:hint="eastAsia" w:ascii="宋体" w:hAnsi="宋体"/>
          <w:b/>
          <w:bCs/>
          <w:sz w:val="24"/>
          <w:highlight w:val="none"/>
        </w:rPr>
        <w:t>（1）</w:t>
      </w:r>
      <w:r>
        <w:rPr>
          <w:rFonts w:hint="eastAsia" w:ascii="宋体" w:hAnsi="宋体"/>
          <w:b/>
          <w:bCs/>
          <w:sz w:val="24"/>
          <w:szCs w:val="24"/>
          <w:highlight w:val="none"/>
        </w:rPr>
        <w:t>投标报价（</w:t>
      </w:r>
      <w:r>
        <w:rPr>
          <w:rFonts w:hint="eastAsia" w:ascii="宋体" w:hAnsi="宋体"/>
          <w:b/>
          <w:bCs/>
          <w:sz w:val="24"/>
          <w:szCs w:val="24"/>
          <w:highlight w:val="none"/>
          <w:lang w:val="en-US" w:eastAsia="zh-CN"/>
        </w:rPr>
        <w:t>15</w:t>
      </w:r>
      <w:r>
        <w:rPr>
          <w:rFonts w:hint="eastAsia" w:ascii="宋体" w:hAnsi="宋体"/>
          <w:b/>
          <w:bCs/>
          <w:sz w:val="24"/>
          <w:szCs w:val="24"/>
          <w:highlight w:val="none"/>
        </w:rPr>
        <w:t>分）</w:t>
      </w:r>
    </w:p>
    <w:p>
      <w:pPr>
        <w:spacing w:line="360" w:lineRule="auto"/>
        <w:ind w:firstLine="470" w:firstLineChars="196"/>
        <w:rPr>
          <w:rFonts w:ascii="宋体" w:hAnsi="宋体"/>
          <w:bCs/>
          <w:sz w:val="24"/>
          <w:szCs w:val="24"/>
          <w:highlight w:val="none"/>
        </w:rPr>
      </w:pPr>
      <w:r>
        <w:rPr>
          <w:rFonts w:hint="eastAsia" w:ascii="宋体" w:hAnsi="宋体"/>
          <w:bCs/>
          <w:sz w:val="24"/>
          <w:szCs w:val="24"/>
          <w:highlight w:val="none"/>
        </w:rPr>
        <w:t>采用低价优先法计算，即满足招标文件要求且投标价格最低的投标报价为评标基准价，其价格分为满分。其他投标人的价格分统一按照下列公式计算：</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投标报价得分=(评标基准价／投标报价)×价格权值×100。</w:t>
      </w:r>
    </w:p>
    <w:p>
      <w:pPr>
        <w:spacing w:line="360" w:lineRule="auto"/>
        <w:ind w:firstLine="480" w:firstLineChars="200"/>
        <w:rPr>
          <w:rFonts w:ascii="宋体" w:hAnsi="宋体"/>
          <w:bCs/>
          <w:sz w:val="24"/>
          <w:szCs w:val="24"/>
          <w:highlight w:val="none"/>
        </w:rPr>
      </w:pPr>
      <w:r>
        <w:rPr>
          <w:rFonts w:hint="eastAsia" w:ascii="宋体" w:hAnsi="宋体"/>
          <w:bCs/>
          <w:sz w:val="24"/>
          <w:szCs w:val="24"/>
          <w:highlight w:val="none"/>
        </w:rPr>
        <w:t>价格扣除：专门面向中小/小微企业的项目除外。</w:t>
      </w:r>
    </w:p>
    <w:p>
      <w:pPr>
        <w:spacing w:line="360" w:lineRule="auto"/>
        <w:ind w:firstLine="424"/>
        <w:jc w:val="left"/>
        <w:rPr>
          <w:rFonts w:ascii="宋体" w:hAnsi="宋体"/>
          <w:bCs/>
          <w:color w:val="000000"/>
          <w:sz w:val="24"/>
          <w:highlight w:val="none"/>
        </w:rPr>
      </w:pPr>
      <w:r>
        <w:rPr>
          <w:rFonts w:hint="eastAsia" w:ascii="宋体" w:hAnsi="宋体"/>
          <w:bCs/>
          <w:color w:val="000000"/>
          <w:sz w:val="24"/>
          <w:highlight w:val="none"/>
        </w:rPr>
        <w:t>①对小型和微型企业产品的价格给予10%的扣除，用扣除后的价格参与评审。参加投标的中小企业，应当按照</w:t>
      </w:r>
      <w:r>
        <w:rPr>
          <w:rFonts w:hint="eastAsia" w:ascii="宋体" w:hAnsi="宋体"/>
          <w:bCs/>
          <w:sz w:val="24"/>
          <w:highlight w:val="none"/>
        </w:rPr>
        <w:t>《政府采购促进中小企业发展管理办法》（财库﹝2020﹞46号）</w:t>
      </w:r>
      <w:r>
        <w:rPr>
          <w:rFonts w:hint="eastAsia" w:ascii="宋体" w:hAnsi="宋体"/>
          <w:bCs/>
          <w:color w:val="000000"/>
          <w:sz w:val="24"/>
          <w:highlight w:val="none"/>
        </w:rPr>
        <w:t>的规定提供《中小企业声明函》（中小企业划型标准详见《关于印发中小企业划型标准规定的通知》工信部联企业〔2011〕300号）。</w:t>
      </w:r>
    </w:p>
    <w:p>
      <w:pPr>
        <w:spacing w:line="360" w:lineRule="auto"/>
        <w:ind w:firstLine="480" w:firstLineChars="200"/>
        <w:jc w:val="left"/>
        <w:rPr>
          <w:rFonts w:ascii="宋体" w:hAnsi="宋体"/>
          <w:bCs/>
          <w:color w:val="000000"/>
          <w:sz w:val="24"/>
        </w:rPr>
      </w:pPr>
      <w:r>
        <w:rPr>
          <w:rFonts w:hint="eastAsia" w:ascii="宋体" w:hAnsi="宋体"/>
          <w:bCs/>
          <w:color w:val="000000"/>
          <w:sz w:val="24"/>
          <w:highlight w:val="none"/>
        </w:rPr>
        <w:t>②监狱企业视同小型、微型企业，对其产品价格给予10%的扣除，用扣除后</w:t>
      </w:r>
      <w:r>
        <w:rPr>
          <w:rFonts w:hint="eastAsia" w:ascii="宋体" w:hAnsi="宋体"/>
          <w:bCs/>
          <w:color w:val="000000"/>
          <w:sz w:val="24"/>
        </w:rPr>
        <w:t>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spacing w:line="360" w:lineRule="auto"/>
        <w:ind w:firstLine="480"/>
        <w:jc w:val="left"/>
        <w:rPr>
          <w:rFonts w:ascii="宋体" w:hAnsi="宋体"/>
          <w:bCs/>
          <w:color w:val="000000"/>
          <w:sz w:val="24"/>
        </w:rPr>
      </w:pPr>
      <w:r>
        <w:rPr>
          <w:rFonts w:hint="eastAsia" w:ascii="宋体" w:hAnsi="宋体"/>
          <w:bCs/>
          <w:color w:val="000000"/>
          <w:sz w:val="24"/>
        </w:rPr>
        <w:t>③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spacing w:line="360" w:lineRule="auto"/>
        <w:ind w:firstLine="1687" w:firstLineChars="700"/>
        <w:rPr>
          <w:rFonts w:ascii="宋体" w:hAnsi="宋体"/>
          <w:b/>
          <w:bCs/>
          <w:color w:val="000000"/>
          <w:sz w:val="24"/>
        </w:rPr>
      </w:pPr>
      <w:r>
        <w:rPr>
          <w:rFonts w:hint="eastAsia" w:ascii="宋体" w:hAnsi="宋体"/>
          <w:b/>
          <w:bCs/>
          <w:color w:val="000000"/>
          <w:sz w:val="24"/>
        </w:rPr>
        <w:t>同一投标人，上述①②③三项价格扣除优惠不得重复享受。</w:t>
      </w:r>
    </w:p>
    <w:p>
      <w:pPr>
        <w:spacing w:line="360" w:lineRule="auto"/>
        <w:jc w:val="left"/>
        <w:rPr>
          <w:rFonts w:ascii="宋体" w:hAnsi="宋体"/>
          <w:bCs/>
          <w:color w:val="000000"/>
          <w:sz w:val="24"/>
        </w:rPr>
      </w:pPr>
      <w:r>
        <w:rPr>
          <w:rFonts w:hint="eastAsia" w:ascii="宋体" w:hAnsi="宋体"/>
          <w:bCs/>
          <w:color w:val="000000"/>
          <w:sz w:val="24"/>
        </w:rPr>
        <w:t>说明:1.评标价指经澄清、补正和修正算术计算错误的投标报价；</w:t>
      </w:r>
    </w:p>
    <w:p>
      <w:pPr>
        <w:spacing w:line="360" w:lineRule="auto"/>
        <w:jc w:val="left"/>
        <w:rPr>
          <w:rFonts w:ascii="宋体" w:hAnsi="宋体"/>
          <w:bCs/>
          <w:color w:val="000000"/>
          <w:sz w:val="24"/>
        </w:rPr>
      </w:pPr>
      <w:r>
        <w:rPr>
          <w:rFonts w:hint="eastAsia" w:ascii="宋体" w:hAnsi="宋体"/>
          <w:bCs/>
          <w:color w:val="000000"/>
          <w:sz w:val="24"/>
        </w:rPr>
        <w:t>2.评标委员会认为投标人的报价显低于其他通过符合性审查投标人的报价，有可能影响服务质量或者不能诚信履约的，将要求其在评标规定的时间内提供线上书面说明，必要时提交相关证明材料；投标人不能证明其报价合理性的,评标委员会将其作为无效投标处理。</w:t>
      </w:r>
    </w:p>
    <w:p>
      <w:pPr>
        <w:keepNext w:val="0"/>
        <w:keepLines w:val="0"/>
        <w:pageBreakBefore w:val="0"/>
        <w:widowControl w:val="0"/>
        <w:numPr>
          <w:ilvl w:val="0"/>
          <w:numId w:val="36"/>
        </w:numPr>
        <w:tabs>
          <w:tab w:val="left" w:pos="945"/>
          <w:tab w:val="left" w:pos="1155"/>
          <w:tab w:val="left" w:pos="1271"/>
          <w:tab w:val="left" w:pos="1555"/>
        </w:tabs>
        <w:kinsoku/>
        <w:wordWrap/>
        <w:overflowPunct/>
        <w:topLinePunct w:val="0"/>
        <w:autoSpaceDE/>
        <w:autoSpaceDN/>
        <w:bidi w:val="0"/>
        <w:adjustRightInd/>
        <w:snapToGrid/>
        <w:spacing w:line="360" w:lineRule="auto"/>
        <w:ind w:left="0"/>
        <w:textAlignment w:val="auto"/>
        <w:rPr>
          <w:color w:val="auto"/>
          <w:sz w:val="24"/>
          <w:szCs w:val="24"/>
        </w:rPr>
      </w:pPr>
      <w:r>
        <w:rPr>
          <w:rFonts w:hint="eastAsia" w:ascii="Times New Roman" w:hAnsi="Times New Roman" w:eastAsia="宋体" w:cs="Times New Roman"/>
          <w:b/>
          <w:color w:val="auto"/>
          <w:sz w:val="24"/>
          <w:szCs w:val="24"/>
        </w:rPr>
        <w:t>技术配置（</w:t>
      </w:r>
      <w:r>
        <w:rPr>
          <w:rFonts w:hint="eastAsia" w:ascii="Times New Roman" w:hAnsi="Times New Roman" w:eastAsia="宋体" w:cs="Times New Roman"/>
          <w:b/>
          <w:color w:val="auto"/>
          <w:sz w:val="24"/>
          <w:szCs w:val="24"/>
          <w:lang w:val="en-US" w:eastAsia="zh-CN"/>
        </w:rPr>
        <w:t>22</w:t>
      </w:r>
      <w:r>
        <w:rPr>
          <w:rFonts w:hint="eastAsia" w:ascii="Times New Roman" w:hAnsi="Times New Roman" w:eastAsia="宋体" w:cs="Times New Roman"/>
          <w:b/>
          <w:color w:val="auto"/>
          <w:sz w:val="24"/>
          <w:szCs w:val="24"/>
        </w:rPr>
        <w:t>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ascii="宋体" w:hAnsi="宋体" w:eastAsia="宋体" w:cs="Times New Roman"/>
          <w:bCs/>
          <w:color w:val="auto"/>
          <w:sz w:val="24"/>
        </w:rPr>
        <w:t>1、投标人的投标文件中产品的主要技术指标、性能、技术参数的响应情况。根据招标文件要求，</w:t>
      </w:r>
      <w:r>
        <w:rPr>
          <w:rFonts w:hint="eastAsia" w:ascii="宋体" w:hAnsi="宋体"/>
          <w:bCs/>
          <w:color w:val="auto"/>
          <w:sz w:val="24"/>
        </w:rPr>
        <w:t>实质性内容全部满足的得</w:t>
      </w:r>
      <w:r>
        <w:rPr>
          <w:rFonts w:hint="eastAsia" w:ascii="宋体" w:hAnsi="宋体"/>
          <w:bCs/>
          <w:color w:val="auto"/>
          <w:sz w:val="24"/>
          <w:lang w:val="en-US" w:eastAsia="zh-CN"/>
        </w:rPr>
        <w:t>10</w:t>
      </w:r>
      <w:r>
        <w:rPr>
          <w:rFonts w:hint="eastAsia" w:ascii="宋体" w:hAnsi="宋体"/>
          <w:bCs/>
          <w:color w:val="auto"/>
          <w:sz w:val="24"/>
        </w:rPr>
        <w:t>分，负偏离或不满足将做无效标处理；</w:t>
      </w:r>
      <w:r>
        <w:rPr>
          <w:rFonts w:hint="eastAsia" w:ascii="宋体" w:hAnsi="宋体" w:eastAsia="宋体" w:cs="Times New Roman"/>
          <w:bCs/>
          <w:color w:val="auto"/>
          <w:sz w:val="24"/>
        </w:rPr>
        <w:t>标“★”的是重点功能项，需提供截图证明材料并加盖</w:t>
      </w:r>
      <w:r>
        <w:rPr>
          <w:rFonts w:hint="eastAsia" w:ascii="宋体" w:hAnsi="宋体" w:eastAsia="宋体" w:cs="Times New Roman"/>
          <w:bCs/>
          <w:color w:val="auto"/>
          <w:sz w:val="24"/>
          <w:lang w:eastAsia="zh-CN"/>
        </w:rPr>
        <w:t>投标</w:t>
      </w:r>
      <w:r>
        <w:rPr>
          <w:rFonts w:hint="eastAsia" w:ascii="宋体" w:hAnsi="宋体" w:eastAsia="宋体" w:cs="Times New Roman"/>
          <w:bCs/>
          <w:color w:val="auto"/>
          <w:sz w:val="24"/>
          <w:lang w:val="en-US" w:eastAsia="zh-CN"/>
        </w:rPr>
        <w:t>人</w:t>
      </w:r>
      <w:r>
        <w:rPr>
          <w:rFonts w:hint="eastAsia" w:ascii="宋体" w:hAnsi="宋体" w:eastAsia="宋体" w:cs="Times New Roman"/>
          <w:bCs/>
          <w:color w:val="auto"/>
          <w:sz w:val="24"/>
        </w:rPr>
        <w:t>公章，每满足1项得</w:t>
      </w:r>
      <w:r>
        <w:rPr>
          <w:rFonts w:hint="eastAsia" w:ascii="宋体" w:hAnsi="宋体" w:eastAsia="宋体" w:cs="Times New Roman"/>
          <w:bCs/>
          <w:color w:val="auto"/>
          <w:sz w:val="24"/>
          <w:lang w:val="en-US" w:eastAsia="zh-CN"/>
        </w:rPr>
        <w:t>1</w:t>
      </w:r>
      <w:r>
        <w:rPr>
          <w:rFonts w:hint="eastAsia" w:ascii="宋体" w:hAnsi="宋体" w:eastAsia="宋体" w:cs="Times New Roman"/>
          <w:bCs/>
          <w:color w:val="auto"/>
          <w:sz w:val="24"/>
        </w:rPr>
        <w:t>分，最多得</w:t>
      </w:r>
      <w:r>
        <w:rPr>
          <w:rFonts w:hint="eastAsia" w:ascii="宋体" w:hAnsi="宋体" w:eastAsia="宋体" w:cs="Times New Roman"/>
          <w:bCs/>
          <w:color w:val="auto"/>
          <w:sz w:val="24"/>
          <w:lang w:val="en-US" w:eastAsia="zh-CN"/>
        </w:rPr>
        <w:t>8</w:t>
      </w:r>
      <w:r>
        <w:rPr>
          <w:rFonts w:hint="eastAsia" w:ascii="宋体" w:hAnsi="宋体" w:eastAsia="宋体" w:cs="Times New Roman"/>
          <w:bCs/>
          <w:color w:val="auto"/>
          <w:sz w:val="24"/>
        </w:rPr>
        <w:t>分。本项最高得</w:t>
      </w:r>
      <w:r>
        <w:rPr>
          <w:rFonts w:hint="eastAsia" w:ascii="宋体" w:hAnsi="宋体" w:eastAsia="宋体" w:cs="Times New Roman"/>
          <w:bCs/>
          <w:color w:val="auto"/>
          <w:sz w:val="24"/>
          <w:lang w:val="en-US" w:eastAsia="zh-CN"/>
        </w:rPr>
        <w:t>18</w:t>
      </w:r>
      <w:r>
        <w:rPr>
          <w:rFonts w:hint="eastAsia" w:ascii="宋体" w:hAnsi="宋体" w:eastAsia="宋体" w:cs="Times New Roman"/>
          <w:bCs/>
          <w:color w:val="auto"/>
          <w:sz w:val="24"/>
        </w:rPr>
        <w:t>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lang w:bidi="ar"/>
        </w:rPr>
        <w:t>2、网站群管理平台（</w:t>
      </w:r>
      <w:r>
        <w:rPr>
          <w:rFonts w:ascii="宋体" w:hAnsi="宋体" w:eastAsia="宋体" w:cs="宋体"/>
          <w:sz w:val="24"/>
          <w:lang w:bidi="ar"/>
        </w:rPr>
        <w:t>4</w:t>
      </w:r>
      <w:r>
        <w:rPr>
          <w:rFonts w:hint="eastAsia" w:ascii="宋体" w:hAnsi="宋体" w:eastAsia="宋体" w:cs="宋体"/>
          <w:sz w:val="24"/>
          <w:lang w:bidi="ar"/>
        </w:rPr>
        <w:t>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Times New Roman"/>
          <w:bCs/>
          <w:sz w:val="24"/>
        </w:rPr>
        <w:t>①</w:t>
      </w:r>
      <w:r>
        <w:rPr>
          <w:rFonts w:hint="eastAsia" w:ascii="宋体" w:hAnsi="宋体" w:eastAsia="宋体" w:cs="宋体"/>
          <w:sz w:val="24"/>
        </w:rPr>
        <w:t>鉴于近期安全漏洞频发，为了保障本次项目建设所选产品的安全性，也为了保障厂商本身的安全实力，本次采购要求所投站群厂商没有任何在“国家信息安全漏洞共享平台”被通报的安全漏洞事件（危害级别为中、高级）。要求</w:t>
      </w:r>
      <w:r>
        <w:rPr>
          <w:rFonts w:hint="eastAsia" w:ascii="宋体" w:hAnsi="宋体" w:eastAsia="宋体" w:cs="宋体"/>
          <w:sz w:val="24"/>
          <w:lang w:bidi="ar"/>
        </w:rPr>
        <w:t>产品</w:t>
      </w:r>
      <w:r>
        <w:rPr>
          <w:rFonts w:hint="eastAsia" w:ascii="宋体" w:hAnsi="宋体" w:eastAsia="宋体" w:cs="宋体"/>
          <w:sz w:val="24"/>
        </w:rPr>
        <w:t>出具相关证明承诺及相关查询截图原件扫描件</w:t>
      </w:r>
      <w:r>
        <w:rPr>
          <w:rFonts w:hint="eastAsia" w:ascii="宋体" w:hAnsi="宋体" w:eastAsia="宋体" w:cs="Times New Roman"/>
          <w:bCs/>
          <w:sz w:val="24"/>
        </w:rPr>
        <w:t>并加盖</w:t>
      </w:r>
      <w:r>
        <w:rPr>
          <w:rFonts w:hint="eastAsia" w:ascii="宋体" w:hAnsi="宋体" w:eastAsia="宋体" w:cs="Times New Roman"/>
          <w:bCs/>
          <w:sz w:val="24"/>
          <w:lang w:val="en-US" w:eastAsia="zh-CN"/>
        </w:rPr>
        <w:t>投标人</w:t>
      </w:r>
      <w:r>
        <w:rPr>
          <w:rFonts w:hint="eastAsia" w:ascii="宋体" w:hAnsi="宋体" w:eastAsia="宋体" w:cs="Times New Roman"/>
          <w:bCs/>
          <w:sz w:val="24"/>
        </w:rPr>
        <w:t>公章</w:t>
      </w:r>
      <w:r>
        <w:rPr>
          <w:rFonts w:hint="eastAsia" w:ascii="宋体" w:hAnsi="宋体" w:eastAsia="宋体" w:cs="宋体"/>
          <w:sz w:val="24"/>
        </w:rPr>
        <w:t>，提供得</w:t>
      </w:r>
      <w:r>
        <w:rPr>
          <w:rFonts w:ascii="宋体" w:hAnsi="宋体" w:eastAsia="宋体" w:cs="宋体"/>
          <w:sz w:val="24"/>
        </w:rPr>
        <w:t>2</w:t>
      </w:r>
      <w:r>
        <w:rPr>
          <w:rFonts w:hint="eastAsia" w:ascii="宋体" w:hAnsi="宋体" w:eastAsia="宋体" w:cs="宋体"/>
          <w:sz w:val="24"/>
        </w:rPr>
        <w:t>分，未提供不得分。弄虚作假按无效投标处理，并承担一切责任。</w:t>
      </w:r>
    </w:p>
    <w:p>
      <w:pPr>
        <w:pStyle w:val="3"/>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宋体"/>
          <w:kern w:val="0"/>
        </w:rPr>
      </w:pPr>
      <w:r>
        <w:rPr>
          <w:rFonts w:hint="eastAsia" w:ascii="宋体" w:hAnsi="宋体" w:eastAsia="宋体" w:cs="Times New Roman"/>
          <w:bCs/>
        </w:rPr>
        <w:t>②</w:t>
      </w:r>
      <w:r>
        <w:rPr>
          <w:rFonts w:hint="eastAsia" w:ascii="宋体" w:hAnsi="宋体" w:eastAsia="宋体" w:cs="宋体"/>
          <w:kern w:val="0"/>
        </w:rPr>
        <w:t>为保障本次项目的建设安全符合国家要求，本项目所投产品须提供内容发布类产品信息安全等级保</w:t>
      </w:r>
      <w:r>
        <w:rPr>
          <w:rFonts w:hint="eastAsia" w:ascii="宋体" w:hAnsi="宋体" w:eastAsia="宋体" w:cs="宋体"/>
          <w:color w:val="auto"/>
          <w:kern w:val="0"/>
        </w:rPr>
        <w:t>护二级及以上的测评报告，报告内容必须至少包括等保合规性检查、渗透测试、源代码审计三项内容，提供并符合要求的相关报告原件扫描件</w:t>
      </w:r>
      <w:r>
        <w:rPr>
          <w:rFonts w:hint="eastAsia" w:ascii="宋体" w:hAnsi="宋体" w:eastAsia="宋体" w:cs="Times New Roman"/>
          <w:bCs/>
          <w:color w:val="auto"/>
        </w:rPr>
        <w:t>并加盖</w:t>
      </w:r>
      <w:r>
        <w:rPr>
          <w:rFonts w:hint="eastAsia" w:ascii="宋体" w:hAnsi="宋体" w:eastAsia="宋体" w:cs="Times New Roman"/>
          <w:bCs/>
          <w:color w:val="auto"/>
          <w:lang w:val="en-US" w:eastAsia="zh-CN"/>
        </w:rPr>
        <w:t>投标人</w:t>
      </w:r>
      <w:r>
        <w:rPr>
          <w:rFonts w:hint="eastAsia" w:ascii="宋体" w:hAnsi="宋体" w:eastAsia="宋体" w:cs="Times New Roman"/>
          <w:bCs/>
          <w:color w:val="auto"/>
        </w:rPr>
        <w:t>公章</w:t>
      </w:r>
      <w:r>
        <w:rPr>
          <w:rFonts w:hint="eastAsia" w:ascii="宋体" w:hAnsi="宋体" w:eastAsia="宋体" w:cs="宋体"/>
          <w:color w:val="auto"/>
          <w:kern w:val="0"/>
        </w:rPr>
        <w:t>，等保二级得1分，等保三级得</w:t>
      </w:r>
      <w:r>
        <w:rPr>
          <w:rFonts w:ascii="宋体" w:hAnsi="宋体" w:eastAsia="宋体" w:cs="宋体"/>
          <w:color w:val="auto"/>
          <w:kern w:val="0"/>
        </w:rPr>
        <w:t>2</w:t>
      </w:r>
      <w:r>
        <w:rPr>
          <w:rFonts w:hint="eastAsia" w:ascii="宋体" w:hAnsi="宋体" w:eastAsia="宋体" w:cs="宋体"/>
          <w:color w:val="auto"/>
          <w:kern w:val="0"/>
        </w:rPr>
        <w:t>分，</w:t>
      </w:r>
      <w:r>
        <w:rPr>
          <w:rFonts w:hint="eastAsia" w:ascii="宋体" w:hAnsi="宋体" w:eastAsia="宋体" w:cs="宋体"/>
          <w:kern w:val="0"/>
        </w:rPr>
        <w:t>未提供者不得分。</w:t>
      </w:r>
    </w:p>
    <w:p>
      <w:pPr>
        <w:keepNext w:val="0"/>
        <w:keepLines w:val="0"/>
        <w:pageBreakBefore w:val="0"/>
        <w:widowControl w:val="0"/>
        <w:numPr>
          <w:ilvl w:val="0"/>
          <w:numId w:val="36"/>
        </w:numPr>
        <w:tabs>
          <w:tab w:val="left" w:pos="945"/>
          <w:tab w:val="left" w:pos="1155"/>
          <w:tab w:val="left" w:pos="1271"/>
          <w:tab w:val="left" w:pos="1555"/>
        </w:tabs>
        <w:kinsoku/>
        <w:wordWrap/>
        <w:overflowPunct/>
        <w:topLinePunct w:val="0"/>
        <w:autoSpaceDE/>
        <w:autoSpaceDN/>
        <w:bidi w:val="0"/>
        <w:adjustRightInd/>
        <w:snapToGrid/>
        <w:spacing w:line="360" w:lineRule="auto"/>
        <w:ind w:left="0"/>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软件著作权（</w:t>
      </w:r>
      <w:r>
        <w:rPr>
          <w:rFonts w:ascii="Times New Roman" w:hAnsi="Times New Roman" w:eastAsia="宋体" w:cs="Times New Roman"/>
          <w:b/>
          <w:sz w:val="24"/>
          <w:szCs w:val="24"/>
        </w:rPr>
        <w:t>4</w:t>
      </w:r>
      <w:r>
        <w:rPr>
          <w:rFonts w:hint="eastAsia" w:ascii="Times New Roman" w:hAnsi="Times New Roman" w:eastAsia="宋体" w:cs="Times New Roman"/>
          <w:b/>
          <w:sz w:val="24"/>
          <w:szCs w:val="24"/>
        </w:rPr>
        <w:t>分）</w:t>
      </w:r>
    </w:p>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rPr>
      </w:pPr>
      <w:r>
        <w:rPr>
          <w:rFonts w:hint="eastAsia" w:ascii="宋体" w:hAnsi="宋体" w:eastAsia="宋体" w:cs="宋体"/>
          <w:bCs/>
          <w:sz w:val="24"/>
        </w:rPr>
        <w:t>为保障用户在使用网站群管理平台与协同办公系统时不受到第三方关于软件著作权的知识产权的指控，所投产品需具有：①全媒体网站群管理平台软件著作权证书；②网站群Word云导入平台软件著作权证书；③网站群重保工作台系统软件著作权证书；④微服务快速开发平台软件著作权证书；⑤网络智能办公系统软件著作权证书；⑥OA精灵软件著作权证书；⑦公文管理系统软件著作权证书；⑧安全OA平台软件著作权证书（分别提供软件著作权证书原件扫描件</w:t>
      </w:r>
      <w:r>
        <w:rPr>
          <w:rFonts w:hint="eastAsia" w:ascii="宋体" w:hAnsi="宋体" w:eastAsia="宋体" w:cs="Times New Roman"/>
          <w:bCs/>
          <w:sz w:val="24"/>
        </w:rPr>
        <w:t>并加盖</w:t>
      </w:r>
      <w:r>
        <w:rPr>
          <w:rFonts w:hint="eastAsia" w:ascii="宋体" w:hAnsi="宋体" w:eastAsia="宋体" w:cs="Times New Roman"/>
          <w:bCs/>
          <w:sz w:val="24"/>
          <w:lang w:val="en-US" w:eastAsia="zh-CN"/>
        </w:rPr>
        <w:t>投标人</w:t>
      </w:r>
      <w:r>
        <w:rPr>
          <w:rFonts w:hint="eastAsia" w:ascii="宋体" w:hAnsi="宋体" w:eastAsia="宋体" w:cs="Times New Roman"/>
          <w:bCs/>
          <w:sz w:val="24"/>
        </w:rPr>
        <w:t>公章</w:t>
      </w:r>
      <w:r>
        <w:rPr>
          <w:rFonts w:hint="eastAsia" w:ascii="宋体" w:hAnsi="宋体" w:eastAsia="宋体" w:cs="宋体"/>
          <w:bCs/>
          <w:sz w:val="24"/>
        </w:rPr>
        <w:t>，每项</w:t>
      </w:r>
      <w:r>
        <w:rPr>
          <w:rFonts w:ascii="宋体" w:hAnsi="宋体" w:eastAsia="宋体" w:cs="宋体"/>
          <w:bCs/>
          <w:sz w:val="24"/>
        </w:rPr>
        <w:t>0.5</w:t>
      </w:r>
      <w:r>
        <w:rPr>
          <w:rFonts w:hint="eastAsia" w:ascii="宋体" w:hAnsi="宋体" w:eastAsia="宋体" w:cs="宋体"/>
          <w:bCs/>
          <w:sz w:val="24"/>
        </w:rPr>
        <w:t>分，不提供不得分），证书名称无需完全相同，内容实质性相同即可。</w:t>
      </w:r>
    </w:p>
    <w:p>
      <w:pPr>
        <w:keepNext w:val="0"/>
        <w:keepLines w:val="0"/>
        <w:pageBreakBefore w:val="0"/>
        <w:widowControl w:val="0"/>
        <w:numPr>
          <w:ilvl w:val="0"/>
          <w:numId w:val="36"/>
        </w:numPr>
        <w:tabs>
          <w:tab w:val="left" w:pos="945"/>
          <w:tab w:val="left" w:pos="1155"/>
          <w:tab w:val="left" w:pos="1271"/>
          <w:tab w:val="left" w:pos="1555"/>
        </w:tabs>
        <w:kinsoku/>
        <w:wordWrap/>
        <w:overflowPunct/>
        <w:topLinePunct w:val="0"/>
        <w:autoSpaceDE/>
        <w:autoSpaceDN/>
        <w:bidi w:val="0"/>
        <w:adjustRightInd/>
        <w:snapToGrid/>
        <w:spacing w:line="360" w:lineRule="auto"/>
        <w:ind w:left="0"/>
        <w:textAlignment w:val="auto"/>
        <w:rPr>
          <w:rFonts w:ascii="Times New Roman" w:hAnsi="Times New Roman" w:eastAsia="宋体" w:cs="Times New Roman"/>
          <w:b/>
          <w:sz w:val="24"/>
          <w:szCs w:val="24"/>
        </w:rPr>
      </w:pPr>
      <w:r>
        <w:rPr>
          <w:rFonts w:hint="eastAsia" w:ascii="Times New Roman" w:hAnsi="Times New Roman" w:eastAsia="宋体" w:cs="Times New Roman"/>
          <w:b/>
          <w:sz w:val="24"/>
          <w:szCs w:val="24"/>
        </w:rPr>
        <w:t>投标人</w:t>
      </w:r>
      <w:r>
        <w:rPr>
          <w:rFonts w:hint="eastAsia" w:ascii="Times New Roman" w:hAnsi="Times New Roman" w:eastAsia="宋体" w:cs="Times New Roman"/>
          <w:b/>
          <w:color w:val="auto"/>
          <w:sz w:val="24"/>
          <w:szCs w:val="24"/>
        </w:rPr>
        <w:t>综合情况（21分）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1、投标供应商具有有效的ISO 9001质量管理体系认证证书、ISO 14001环境管理体系认证证书、ISO 45001职业健康安全管理体系认证证书、ISO 20000信息技术服务管理体系认证证书、ISO 27001信息安全体系认证证书的，提供证书原件扫描件每个得1分，最高得5分；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2、投标人近三年（自本项目公告发布之日起往前顺推，以合同签订日期为准）起至今承担过同类业务的，每提供一份有效合同扫描件加盖投标人公章得2分，最高4分。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3、投标人具有IT资源管理系统的软件著作权登记证书,得1分；具有综合监管平台的软件著作权登记证书，得1分；需提供证书扫描件。</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4、本地化服务（2分）：本地投标人不需提供资料。投标人不在本地的，中标后须承诺在本地设立售后服务机构或驻本地服务人员，并提供本地办公场所相关证明原件扫描件或本项目所有售后服务相关人员连续三个月(至少包含近三个月中任意一个月份(不含投标当月))的社保证明原件扫描件。</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5、拟投入本项目人员配备情况（8分）：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①项目负责人具有认证网络专家证书（CCIE/HCIE/H3CIE），得2分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②项目组成员（项目负责人除外）具有：</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网络安全认证高级工程师证书每有一个得1分，最高2分；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容灾备份认证工程师证书得2分；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云计算认证工程师证书得2分；</w:t>
      </w:r>
    </w:p>
    <w:p>
      <w:pPr>
        <w:keepNext w:val="0"/>
        <w:keepLines w:val="0"/>
        <w:pageBreakBefore w:val="0"/>
        <w:widowControl w:val="0"/>
        <w:tabs>
          <w:tab w:val="left" w:pos="945"/>
          <w:tab w:val="left" w:pos="11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kern w:val="0"/>
          <w:sz w:val="24"/>
          <w:szCs w:val="20"/>
          <w:lang w:val="en-US" w:eastAsia="zh-CN" w:bidi="ar-SA"/>
        </w:rPr>
      </w:pPr>
      <w:r>
        <w:rPr>
          <w:rFonts w:hint="eastAsia" w:ascii="宋体" w:hAnsi="宋体" w:eastAsia="宋体" w:cs="宋体"/>
          <w:bCs/>
          <w:kern w:val="0"/>
          <w:sz w:val="24"/>
          <w:szCs w:val="20"/>
          <w:lang w:val="en-US" w:eastAsia="zh-CN" w:bidi="ar-SA"/>
        </w:rPr>
        <w:t>提供</w:t>
      </w:r>
      <w:r>
        <w:rPr>
          <w:rFonts w:hint="eastAsia" w:ascii="宋体" w:hAnsi="宋体" w:eastAsia="宋体" w:cs="宋体"/>
          <w:bCs/>
          <w:kern w:val="0"/>
          <w:sz w:val="24"/>
          <w:szCs w:val="20"/>
          <w:lang w:val="en-US" w:eastAsia="zh-Hans" w:bidi="ar-SA"/>
        </w:rPr>
        <w:t>项目成员</w:t>
      </w:r>
      <w:r>
        <w:rPr>
          <w:rFonts w:hint="eastAsia" w:ascii="宋体" w:hAnsi="宋体" w:eastAsia="宋体" w:cs="宋体"/>
          <w:bCs/>
          <w:kern w:val="0"/>
          <w:sz w:val="24"/>
          <w:szCs w:val="20"/>
          <w:lang w:val="en-US" w:eastAsia="zh-CN" w:bidi="ar-SA"/>
        </w:rPr>
        <w:t>的</w:t>
      </w:r>
      <w:r>
        <w:rPr>
          <w:rFonts w:hint="eastAsia" w:ascii="宋体" w:hAnsi="宋体" w:eastAsia="宋体" w:cs="宋体"/>
          <w:bCs/>
          <w:kern w:val="0"/>
          <w:sz w:val="24"/>
          <w:szCs w:val="20"/>
          <w:lang w:val="zh-CN" w:eastAsia="zh-CN" w:bidi="ar-SA"/>
        </w:rPr>
        <w:t>由法定的社保收缴部门出具的</w:t>
      </w:r>
      <w:r>
        <w:rPr>
          <w:rFonts w:hint="eastAsia" w:ascii="宋体" w:hAnsi="宋体" w:eastAsia="宋体" w:cs="宋体"/>
          <w:bCs/>
          <w:kern w:val="0"/>
          <w:sz w:val="24"/>
          <w:szCs w:val="20"/>
          <w:lang w:val="en-US" w:eastAsia="zh-CN" w:bidi="ar-SA"/>
        </w:rPr>
        <w:t>连续三个月(至少包含近三个月中任意一个月份(不含投标当月))社保缴纳证明并加盖公章，不提供不得分。</w:t>
      </w:r>
    </w:p>
    <w:p>
      <w:pPr>
        <w:keepNext w:val="0"/>
        <w:keepLines w:val="0"/>
        <w:pageBreakBefore w:val="0"/>
        <w:widowControl w:val="0"/>
        <w:numPr>
          <w:ilvl w:val="0"/>
          <w:numId w:val="36"/>
        </w:numPr>
        <w:tabs>
          <w:tab w:val="left" w:pos="945"/>
          <w:tab w:val="left" w:pos="1155"/>
          <w:tab w:val="left" w:pos="1271"/>
          <w:tab w:val="left" w:pos="1555"/>
        </w:tabs>
        <w:kinsoku/>
        <w:wordWrap/>
        <w:overflowPunct/>
        <w:topLinePunct w:val="0"/>
        <w:autoSpaceDE/>
        <w:autoSpaceDN/>
        <w:bidi w:val="0"/>
        <w:adjustRightInd/>
        <w:snapToGrid/>
        <w:spacing w:line="360" w:lineRule="auto"/>
        <w:ind w:left="0"/>
        <w:textAlignment w:val="auto"/>
        <w:rPr>
          <w:rFonts w:ascii="宋体" w:hAnsi="宋体" w:eastAsia="宋体" w:cs="宋体"/>
          <w:b/>
          <w:bCs/>
          <w:color w:val="auto"/>
          <w:sz w:val="24"/>
          <w:szCs w:val="24"/>
        </w:rPr>
      </w:pPr>
      <w:r>
        <w:rPr>
          <w:rFonts w:hint="eastAsia" w:ascii="宋体" w:hAnsi="宋体" w:eastAsia="宋体" w:cs="宋体"/>
          <w:b/>
          <w:bCs/>
          <w:color w:val="auto"/>
          <w:sz w:val="24"/>
          <w:szCs w:val="24"/>
        </w:rPr>
        <w:t>项目方案（</w:t>
      </w:r>
      <w:r>
        <w:rPr>
          <w:rFonts w:hint="eastAsia" w:ascii="宋体" w:hAnsi="宋体" w:eastAsia="宋体" w:cs="宋体"/>
          <w:b/>
          <w:bCs/>
          <w:color w:val="auto"/>
          <w:sz w:val="24"/>
          <w:szCs w:val="24"/>
          <w:lang w:val="en-US" w:eastAsia="zh-CN"/>
        </w:rPr>
        <w:t>38</w:t>
      </w:r>
      <w:r>
        <w:rPr>
          <w:rFonts w:hint="eastAsia" w:ascii="宋体" w:hAnsi="宋体" w:eastAsia="宋体" w:cs="宋体"/>
          <w:b/>
          <w:bCs/>
          <w:color w:val="auto"/>
          <w:sz w:val="24"/>
          <w:szCs w:val="24"/>
        </w:rPr>
        <w:t>分）</w:t>
      </w:r>
    </w:p>
    <w:p>
      <w:pPr>
        <w:pStyle w:val="18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cs="宋体"/>
          <w:color w:val="auto"/>
          <w:sz w:val="24"/>
          <w:szCs w:val="24"/>
        </w:rPr>
      </w:pPr>
      <w:r>
        <w:rPr>
          <w:rFonts w:hint="eastAsia" w:ascii="宋体" w:hAnsi="宋体" w:cs="宋体"/>
          <w:color w:val="auto"/>
          <w:sz w:val="24"/>
          <w:szCs w:val="24"/>
        </w:rPr>
        <w:t>1、技术方案的专业性及完整性（</w:t>
      </w:r>
      <w:r>
        <w:rPr>
          <w:rFonts w:hint="eastAsia" w:ascii="宋体" w:hAnsi="宋体" w:cs="宋体"/>
          <w:color w:val="auto"/>
          <w:sz w:val="24"/>
          <w:szCs w:val="24"/>
          <w:lang w:val="en-US" w:eastAsia="zh-CN"/>
        </w:rPr>
        <w:t>16</w:t>
      </w:r>
      <w:r>
        <w:rPr>
          <w:rFonts w:hint="eastAsia" w:ascii="宋体" w:hAnsi="宋体" w:cs="宋体"/>
          <w:color w:val="auto"/>
          <w:sz w:val="24"/>
          <w:szCs w:val="24"/>
        </w:rPr>
        <w:t>分）：</w:t>
      </w:r>
    </w:p>
    <w:p>
      <w:pPr>
        <w:pStyle w:val="18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cs="宋体"/>
          <w:color w:val="auto"/>
          <w:sz w:val="24"/>
          <w:szCs w:val="24"/>
        </w:rPr>
      </w:pPr>
      <w:r>
        <w:rPr>
          <w:rFonts w:hint="eastAsia" w:ascii="宋体" w:hAnsi="宋体" w:cs="宋体"/>
          <w:color w:val="auto"/>
          <w:sz w:val="24"/>
          <w:szCs w:val="24"/>
        </w:rPr>
        <w:t>①</w:t>
      </w:r>
      <w:r>
        <w:rPr>
          <w:rFonts w:hint="eastAsia" w:ascii="宋体" w:hAnsi="宋体" w:cs="宋体"/>
          <w:color w:val="auto"/>
          <w:sz w:val="24"/>
          <w:szCs w:val="24"/>
          <w:lang w:val="en-US" w:eastAsia="zh-CN"/>
        </w:rPr>
        <w:t>用户现状描述</w:t>
      </w:r>
      <w:r>
        <w:rPr>
          <w:rFonts w:hint="eastAsia" w:ascii="宋体" w:hAnsi="宋体" w:cs="宋体"/>
          <w:color w:val="auto"/>
          <w:sz w:val="24"/>
          <w:szCs w:val="24"/>
        </w:rPr>
        <w:t>（</w:t>
      </w:r>
      <w:r>
        <w:rPr>
          <w:rFonts w:ascii="宋体" w:hAnsi="宋体" w:cs="宋体"/>
          <w:color w:val="auto"/>
          <w:sz w:val="24"/>
          <w:szCs w:val="24"/>
        </w:rPr>
        <w:t>1-</w:t>
      </w:r>
      <w:r>
        <w:rPr>
          <w:rFonts w:hint="eastAsia" w:ascii="宋体" w:hAnsi="宋体" w:cs="宋体"/>
          <w:color w:val="auto"/>
          <w:sz w:val="24"/>
          <w:szCs w:val="24"/>
          <w:lang w:val="en-US" w:eastAsia="zh-CN"/>
        </w:rPr>
        <w:t>6</w:t>
      </w:r>
      <w:r>
        <w:rPr>
          <w:rFonts w:hint="eastAsia" w:ascii="宋体" w:hAnsi="宋体" w:cs="宋体"/>
          <w:color w:val="auto"/>
          <w:sz w:val="24"/>
          <w:szCs w:val="24"/>
        </w:rPr>
        <w:t>分）</w:t>
      </w:r>
      <w:r>
        <w:rPr>
          <w:rFonts w:hint="eastAsia" w:ascii="宋体" w:hAnsi="宋体" w:cs="宋体"/>
          <w:color w:val="auto"/>
          <w:sz w:val="24"/>
          <w:szCs w:val="24"/>
          <w:lang w:val="en-US" w:eastAsia="zh-CN"/>
        </w:rPr>
        <w:t>；</w:t>
      </w:r>
      <w:r>
        <w:rPr>
          <w:rFonts w:hint="eastAsia" w:ascii="宋体" w:hAnsi="宋体" w:cs="宋体"/>
          <w:color w:val="auto"/>
          <w:sz w:val="24"/>
          <w:szCs w:val="24"/>
        </w:rPr>
        <w:t>②方案设计依据（</w:t>
      </w:r>
      <w:r>
        <w:rPr>
          <w:rFonts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分）；</w:t>
      </w:r>
      <w:r>
        <w:rPr>
          <w:rFonts w:hint="eastAsia" w:ascii="宋体" w:hAnsi="宋体"/>
          <w:bCs/>
          <w:color w:val="auto"/>
          <w:sz w:val="24"/>
          <w:szCs w:val="24"/>
          <w:lang w:eastAsia="zh-Hans"/>
        </w:rPr>
        <w:t>③</w:t>
      </w:r>
      <w:r>
        <w:rPr>
          <w:rFonts w:hint="eastAsia" w:ascii="宋体" w:hAnsi="宋体" w:cs="宋体"/>
          <w:color w:val="auto"/>
          <w:sz w:val="24"/>
          <w:szCs w:val="24"/>
        </w:rPr>
        <w:t>技术方案描述（1-</w:t>
      </w:r>
      <w:r>
        <w:rPr>
          <w:rFonts w:hint="eastAsia" w:ascii="宋体" w:hAnsi="宋体" w:cs="宋体"/>
          <w:color w:val="auto"/>
          <w:sz w:val="24"/>
          <w:szCs w:val="24"/>
          <w:lang w:val="en-US" w:eastAsia="zh-CN"/>
        </w:rPr>
        <w:t>6</w:t>
      </w:r>
      <w:r>
        <w:rPr>
          <w:rFonts w:hint="eastAsia" w:ascii="宋体" w:hAnsi="宋体" w:cs="宋体"/>
          <w:color w:val="auto"/>
          <w:sz w:val="24"/>
          <w:szCs w:val="24"/>
        </w:rPr>
        <w:t>分）。由评委根据投标供应商响应情况进行综合评分，不提供不得分。</w:t>
      </w:r>
    </w:p>
    <w:p>
      <w:pPr>
        <w:pStyle w:val="18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cs="宋体"/>
          <w:color w:val="auto"/>
          <w:sz w:val="24"/>
          <w:szCs w:val="24"/>
        </w:rPr>
      </w:pPr>
      <w:r>
        <w:rPr>
          <w:rFonts w:hint="eastAsia" w:ascii="宋体" w:hAnsi="宋体" w:cs="宋体"/>
          <w:color w:val="auto"/>
          <w:sz w:val="24"/>
          <w:szCs w:val="24"/>
        </w:rPr>
        <w:t>2、施工及组织实施方案（</w:t>
      </w:r>
      <w:r>
        <w:rPr>
          <w:rFonts w:hint="eastAsia" w:ascii="宋体" w:hAnsi="宋体" w:cs="宋体"/>
          <w:color w:val="auto"/>
          <w:sz w:val="24"/>
          <w:szCs w:val="24"/>
          <w:lang w:val="en-US" w:eastAsia="zh-CN"/>
        </w:rPr>
        <w:t>16</w:t>
      </w:r>
      <w:r>
        <w:rPr>
          <w:rFonts w:hint="eastAsia" w:ascii="宋体" w:hAnsi="宋体" w:cs="宋体"/>
          <w:color w:val="auto"/>
          <w:sz w:val="24"/>
          <w:szCs w:val="24"/>
        </w:rPr>
        <w:t>分）：</w:t>
      </w:r>
    </w:p>
    <w:p>
      <w:pPr>
        <w:pStyle w:val="18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cs="宋体"/>
          <w:color w:val="auto"/>
          <w:sz w:val="24"/>
          <w:szCs w:val="24"/>
        </w:rPr>
      </w:pPr>
      <w:r>
        <w:rPr>
          <w:rFonts w:hint="eastAsia" w:ascii="宋体" w:hAnsi="宋体" w:cs="宋体"/>
          <w:color w:val="auto"/>
          <w:sz w:val="24"/>
          <w:szCs w:val="24"/>
        </w:rPr>
        <w:t>①进度计划（1-</w:t>
      </w:r>
      <w:r>
        <w:rPr>
          <w:rFonts w:hint="eastAsia" w:ascii="宋体" w:hAnsi="宋体" w:cs="宋体"/>
          <w:color w:val="auto"/>
          <w:sz w:val="24"/>
          <w:szCs w:val="24"/>
          <w:lang w:val="en-US" w:eastAsia="zh-CN"/>
        </w:rPr>
        <w:t>2</w:t>
      </w:r>
      <w:r>
        <w:rPr>
          <w:rFonts w:hint="eastAsia" w:ascii="宋体" w:hAnsi="宋体" w:cs="宋体"/>
          <w:color w:val="auto"/>
          <w:sz w:val="24"/>
          <w:szCs w:val="24"/>
        </w:rPr>
        <w:t>分）；②</w:t>
      </w:r>
      <w:r>
        <w:rPr>
          <w:rFonts w:hint="eastAsia" w:ascii="宋体" w:hAnsi="宋体" w:cs="宋体"/>
          <w:color w:val="auto"/>
          <w:sz w:val="24"/>
          <w:szCs w:val="24"/>
          <w:lang w:val="en-US" w:eastAsia="zh-CN"/>
        </w:rPr>
        <w:t>人员配置</w:t>
      </w: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分）；</w:t>
      </w:r>
      <w:r>
        <w:rPr>
          <w:rFonts w:hint="eastAsia" w:ascii="宋体" w:hAnsi="宋体"/>
          <w:bCs/>
          <w:color w:val="auto"/>
          <w:sz w:val="24"/>
          <w:szCs w:val="24"/>
          <w:lang w:eastAsia="zh-Hans"/>
        </w:rPr>
        <w:t>③</w:t>
      </w:r>
      <w:r>
        <w:rPr>
          <w:rFonts w:hint="eastAsia" w:ascii="宋体" w:hAnsi="宋体" w:cs="宋体"/>
          <w:color w:val="auto"/>
          <w:sz w:val="24"/>
          <w:szCs w:val="24"/>
        </w:rPr>
        <w:t>实施流程（1-</w:t>
      </w:r>
      <w:r>
        <w:rPr>
          <w:rFonts w:hint="eastAsia" w:ascii="宋体" w:hAnsi="宋体" w:cs="宋体"/>
          <w:color w:val="auto"/>
          <w:sz w:val="24"/>
          <w:szCs w:val="24"/>
          <w:lang w:val="en-US" w:eastAsia="zh-CN"/>
        </w:rPr>
        <w:t>2</w:t>
      </w:r>
      <w:r>
        <w:rPr>
          <w:rFonts w:hint="eastAsia" w:ascii="宋体" w:hAnsi="宋体" w:cs="宋体"/>
          <w:color w:val="auto"/>
          <w:sz w:val="24"/>
          <w:szCs w:val="24"/>
        </w:rPr>
        <w:t>分）；</w:t>
      </w:r>
      <w:r>
        <w:rPr>
          <w:rFonts w:hint="eastAsia" w:ascii="宋体" w:hAnsi="宋体" w:cs="宋体"/>
          <w:color w:val="auto"/>
          <w:sz w:val="24"/>
          <w:szCs w:val="24"/>
          <w:lang w:eastAsia="zh-Hans"/>
        </w:rPr>
        <w:t>④</w:t>
      </w:r>
      <w:r>
        <w:rPr>
          <w:rFonts w:hint="eastAsia" w:ascii="宋体" w:hAnsi="宋体" w:cs="宋体"/>
          <w:color w:val="auto"/>
          <w:sz w:val="24"/>
          <w:szCs w:val="24"/>
        </w:rPr>
        <w:t>质量保证</w:t>
      </w:r>
      <w:r>
        <w:rPr>
          <w:rFonts w:hint="eastAsia" w:ascii="宋体" w:hAnsi="宋体" w:cs="宋体"/>
          <w:color w:val="auto"/>
          <w:sz w:val="24"/>
          <w:szCs w:val="24"/>
          <w:lang w:val="en-US" w:eastAsia="zh-CN"/>
        </w:rPr>
        <w:t>方案</w:t>
      </w: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分）</w:t>
      </w:r>
      <w:r>
        <w:rPr>
          <w:rFonts w:hint="eastAsia" w:ascii="宋体" w:hAnsi="宋体" w:cs="宋体"/>
          <w:color w:val="auto"/>
          <w:sz w:val="24"/>
          <w:szCs w:val="24"/>
          <w:lang w:val="en-US" w:eastAsia="zh-CN"/>
        </w:rPr>
        <w:t>；</w:t>
      </w:r>
      <w:r>
        <w:rPr>
          <w:rFonts w:hint="eastAsia" w:ascii="宋体" w:hAnsi="宋体" w:cs="宋体"/>
          <w:color w:val="auto"/>
          <w:sz w:val="24"/>
          <w:szCs w:val="24"/>
        </w:rPr>
        <w:t>⑤</w:t>
      </w:r>
      <w:r>
        <w:rPr>
          <w:rFonts w:hint="eastAsia" w:ascii="宋体" w:hAnsi="宋体" w:cs="宋体"/>
          <w:color w:val="auto"/>
          <w:sz w:val="24"/>
          <w:szCs w:val="24"/>
          <w:lang w:val="en-US" w:eastAsia="zh-CN"/>
        </w:rPr>
        <w:t>系统安全方案</w:t>
      </w: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分）；⑥</w:t>
      </w:r>
      <w:r>
        <w:rPr>
          <w:rFonts w:hint="eastAsia" w:ascii="宋体" w:hAnsi="宋体" w:cs="宋体"/>
          <w:color w:val="auto"/>
          <w:sz w:val="24"/>
          <w:szCs w:val="24"/>
          <w:lang w:val="en-US" w:eastAsia="zh-CN"/>
        </w:rPr>
        <w:t>系统测试方案</w:t>
      </w:r>
      <w:r>
        <w:rPr>
          <w:rFonts w:hint="eastAsia" w:ascii="宋体" w:hAnsi="宋体" w:cs="宋体"/>
          <w:color w:val="auto"/>
          <w:sz w:val="24"/>
          <w:szCs w:val="24"/>
        </w:rPr>
        <w:t>（1-</w:t>
      </w:r>
      <w:r>
        <w:rPr>
          <w:rFonts w:hint="eastAsia" w:ascii="宋体" w:hAnsi="宋体" w:cs="宋体"/>
          <w:color w:val="auto"/>
          <w:sz w:val="24"/>
          <w:szCs w:val="24"/>
          <w:lang w:val="en-US" w:eastAsia="zh-CN"/>
        </w:rPr>
        <w:t>2</w:t>
      </w:r>
      <w:r>
        <w:rPr>
          <w:rFonts w:hint="eastAsia" w:ascii="宋体" w:hAnsi="宋体" w:cs="宋体"/>
          <w:color w:val="auto"/>
          <w:sz w:val="24"/>
          <w:szCs w:val="24"/>
        </w:rPr>
        <w:t>分）；⑦培训方案（1-</w:t>
      </w:r>
      <w:r>
        <w:rPr>
          <w:rFonts w:hint="eastAsia" w:ascii="宋体" w:hAnsi="宋体" w:cs="宋体"/>
          <w:color w:val="auto"/>
          <w:sz w:val="24"/>
          <w:szCs w:val="24"/>
          <w:lang w:val="en-US" w:eastAsia="zh-CN"/>
        </w:rPr>
        <w:t>2</w:t>
      </w:r>
      <w:r>
        <w:rPr>
          <w:rFonts w:hint="eastAsia" w:ascii="宋体" w:hAnsi="宋体" w:cs="宋体"/>
          <w:color w:val="auto"/>
          <w:sz w:val="24"/>
          <w:szCs w:val="24"/>
        </w:rPr>
        <w:t>分）；</w:t>
      </w:r>
      <w:r>
        <w:rPr>
          <w:rFonts w:hint="eastAsia" w:ascii="宋体" w:hAnsi="宋体" w:eastAsia="宋体" w:cs="宋体"/>
          <w:color w:val="auto"/>
          <w:sz w:val="24"/>
          <w:szCs w:val="24"/>
        </w:rPr>
        <w:t>⑧验收</w:t>
      </w:r>
      <w:r>
        <w:rPr>
          <w:rFonts w:hint="eastAsia" w:ascii="宋体" w:hAnsi="宋体" w:cs="宋体"/>
          <w:color w:val="auto"/>
          <w:sz w:val="24"/>
          <w:szCs w:val="24"/>
        </w:rPr>
        <w:t>方案（1-</w:t>
      </w:r>
      <w:r>
        <w:rPr>
          <w:rFonts w:hint="eastAsia" w:ascii="宋体" w:hAnsi="宋体" w:cs="宋体"/>
          <w:color w:val="auto"/>
          <w:sz w:val="24"/>
          <w:szCs w:val="24"/>
          <w:lang w:val="en-US" w:eastAsia="zh-CN"/>
        </w:rPr>
        <w:t>2</w:t>
      </w:r>
      <w:r>
        <w:rPr>
          <w:rFonts w:hint="eastAsia" w:ascii="宋体" w:hAnsi="宋体" w:cs="宋体"/>
          <w:color w:val="auto"/>
          <w:sz w:val="24"/>
          <w:szCs w:val="24"/>
        </w:rPr>
        <w:t>分）。由评委根据投标供应商响应情况进行综合评分，不提供不得分。</w:t>
      </w:r>
    </w:p>
    <w:p>
      <w:pPr>
        <w:pStyle w:val="18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cs="宋体"/>
          <w:color w:val="auto"/>
          <w:sz w:val="24"/>
          <w:szCs w:val="24"/>
        </w:rPr>
      </w:pPr>
      <w:r>
        <w:rPr>
          <w:rFonts w:hint="eastAsia" w:ascii="宋体" w:hAnsi="宋体" w:cs="宋体"/>
          <w:color w:val="auto"/>
          <w:sz w:val="24"/>
          <w:szCs w:val="24"/>
        </w:rPr>
        <w:t>3、售后服务方案（6分）：</w:t>
      </w:r>
    </w:p>
    <w:p>
      <w:pPr>
        <w:pStyle w:val="182"/>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ascii="宋体" w:hAnsi="宋体"/>
          <w:bCs/>
          <w:color w:val="auto"/>
          <w:sz w:val="24"/>
          <w:szCs w:val="24"/>
          <w:lang w:eastAsia="zh-Hans"/>
        </w:rPr>
      </w:pPr>
      <w:r>
        <w:rPr>
          <w:rFonts w:hint="eastAsia" w:ascii="宋体" w:hAnsi="宋体"/>
          <w:bCs/>
          <w:color w:val="auto"/>
          <w:sz w:val="24"/>
          <w:szCs w:val="24"/>
          <w:lang w:eastAsia="zh-Hans"/>
        </w:rPr>
        <w:t>①应急故障处理</w:t>
      </w:r>
      <w:r>
        <w:rPr>
          <w:rFonts w:hint="eastAsia" w:ascii="宋体" w:hAnsi="宋体"/>
          <w:bCs/>
          <w:color w:val="auto"/>
          <w:sz w:val="24"/>
          <w:szCs w:val="24"/>
        </w:rPr>
        <w:t>响应</w:t>
      </w:r>
      <w:r>
        <w:rPr>
          <w:rFonts w:hint="eastAsia" w:ascii="宋体" w:hAnsi="宋体"/>
          <w:bCs/>
          <w:color w:val="auto"/>
          <w:sz w:val="24"/>
          <w:szCs w:val="24"/>
          <w:lang w:eastAsia="zh-Hans"/>
        </w:rPr>
        <w:t>（1-</w:t>
      </w:r>
      <w:r>
        <w:rPr>
          <w:rFonts w:hint="eastAsia" w:ascii="宋体" w:hAnsi="宋体"/>
          <w:bCs/>
          <w:color w:val="auto"/>
          <w:sz w:val="24"/>
          <w:szCs w:val="24"/>
        </w:rPr>
        <w:t>2</w:t>
      </w:r>
      <w:r>
        <w:rPr>
          <w:rFonts w:hint="eastAsia" w:ascii="宋体" w:hAnsi="宋体"/>
          <w:bCs/>
          <w:color w:val="auto"/>
          <w:sz w:val="24"/>
          <w:szCs w:val="24"/>
          <w:lang w:eastAsia="zh-Hans"/>
        </w:rPr>
        <w:t>分）；</w:t>
      </w:r>
      <w:r>
        <w:rPr>
          <w:rFonts w:hint="eastAsia" w:ascii="宋体" w:hAnsi="宋体" w:cs="宋体"/>
          <w:color w:val="auto"/>
          <w:sz w:val="24"/>
          <w:szCs w:val="24"/>
        </w:rPr>
        <w:t>②</w:t>
      </w:r>
      <w:r>
        <w:rPr>
          <w:rFonts w:hint="eastAsia" w:ascii="宋体" w:hAnsi="宋体"/>
          <w:bCs/>
          <w:color w:val="auto"/>
          <w:sz w:val="24"/>
          <w:szCs w:val="24"/>
        </w:rPr>
        <w:t>故障解决方案</w:t>
      </w:r>
      <w:r>
        <w:rPr>
          <w:rFonts w:hint="eastAsia" w:ascii="宋体" w:hAnsi="宋体"/>
          <w:bCs/>
          <w:color w:val="auto"/>
          <w:sz w:val="24"/>
          <w:szCs w:val="24"/>
          <w:lang w:eastAsia="zh-Hans"/>
        </w:rPr>
        <w:t>（</w:t>
      </w:r>
      <w:r>
        <w:rPr>
          <w:rFonts w:hint="eastAsia" w:ascii="宋体" w:hAnsi="宋体"/>
          <w:bCs/>
          <w:color w:val="auto"/>
          <w:sz w:val="24"/>
          <w:szCs w:val="24"/>
        </w:rPr>
        <w:t>1</w:t>
      </w:r>
      <w:r>
        <w:rPr>
          <w:rFonts w:hint="eastAsia" w:ascii="宋体" w:hAnsi="宋体"/>
          <w:bCs/>
          <w:color w:val="auto"/>
          <w:sz w:val="24"/>
          <w:szCs w:val="24"/>
          <w:lang w:eastAsia="zh-Hans"/>
        </w:rPr>
        <w:t>-</w:t>
      </w:r>
      <w:r>
        <w:rPr>
          <w:rFonts w:hint="eastAsia" w:ascii="宋体" w:hAnsi="宋体"/>
          <w:bCs/>
          <w:color w:val="auto"/>
          <w:sz w:val="24"/>
          <w:szCs w:val="24"/>
        </w:rPr>
        <w:t>2</w:t>
      </w:r>
      <w:r>
        <w:rPr>
          <w:rFonts w:hint="eastAsia" w:ascii="宋体" w:hAnsi="宋体"/>
          <w:bCs/>
          <w:color w:val="auto"/>
          <w:sz w:val="24"/>
          <w:szCs w:val="24"/>
          <w:lang w:eastAsia="zh-Hans"/>
        </w:rPr>
        <w:t>分）；③</w:t>
      </w:r>
      <w:r>
        <w:rPr>
          <w:rFonts w:hint="eastAsia" w:ascii="宋体" w:hAnsi="宋体"/>
          <w:bCs/>
          <w:color w:val="auto"/>
          <w:sz w:val="24"/>
          <w:szCs w:val="24"/>
        </w:rPr>
        <w:t>巡检服务</w:t>
      </w:r>
      <w:r>
        <w:rPr>
          <w:rFonts w:hint="eastAsia" w:ascii="宋体" w:hAnsi="宋体" w:cs="宋体"/>
          <w:color w:val="auto"/>
          <w:sz w:val="24"/>
          <w:szCs w:val="24"/>
          <w:lang w:val="en-US" w:eastAsia="zh-CN"/>
        </w:rPr>
        <w:t>方案</w:t>
      </w:r>
      <w:r>
        <w:rPr>
          <w:rFonts w:hint="eastAsia" w:ascii="宋体" w:hAnsi="宋体"/>
          <w:bCs/>
          <w:color w:val="auto"/>
          <w:sz w:val="24"/>
          <w:szCs w:val="24"/>
          <w:lang w:eastAsia="zh-Hans"/>
        </w:rPr>
        <w:t>（1-</w:t>
      </w:r>
      <w:r>
        <w:rPr>
          <w:rFonts w:hint="eastAsia" w:ascii="宋体" w:hAnsi="宋体"/>
          <w:bCs/>
          <w:color w:val="auto"/>
          <w:sz w:val="24"/>
          <w:szCs w:val="24"/>
        </w:rPr>
        <w:t>2</w:t>
      </w:r>
      <w:r>
        <w:rPr>
          <w:rFonts w:hint="eastAsia" w:ascii="宋体" w:hAnsi="宋体"/>
          <w:bCs/>
          <w:color w:val="auto"/>
          <w:sz w:val="24"/>
          <w:szCs w:val="24"/>
          <w:lang w:eastAsia="zh-Hans"/>
        </w:rPr>
        <w:t>分）。由评委根据投标供应商响应情况进行综合评分，不提供不得分。</w:t>
      </w:r>
    </w:p>
    <w:p>
      <w:pPr>
        <w:rPr>
          <w:rFonts w:ascii="宋体" w:hAnsi="宋体"/>
          <w:sz w:val="24"/>
        </w:rPr>
      </w:pPr>
    </w:p>
    <w:p>
      <w:pPr>
        <w:rPr>
          <w:rFonts w:ascii="宋体" w:hAnsi="宋体"/>
          <w:sz w:val="24"/>
        </w:rPr>
      </w:pPr>
    </w:p>
    <w:p>
      <w:pPr>
        <w:tabs>
          <w:tab w:val="left" w:pos="945"/>
        </w:tabs>
        <w:spacing w:line="360" w:lineRule="auto"/>
        <w:rPr>
          <w:rFonts w:ascii="宋体" w:hAnsi="宋体"/>
          <w:bCs/>
          <w:color w:val="000000"/>
          <w:sz w:val="24"/>
          <w:szCs w:val="24"/>
          <w:highlight w:val="none"/>
        </w:rPr>
      </w:pPr>
      <w:r>
        <w:rPr>
          <w:rFonts w:hint="eastAsia" w:ascii="宋体" w:hAnsi="宋体"/>
          <w:b/>
          <w:bCs/>
          <w:color w:val="000000"/>
          <w:sz w:val="24"/>
          <w:szCs w:val="24"/>
          <w:highlight w:val="none"/>
        </w:rPr>
        <w:t>加分因素：</w:t>
      </w:r>
      <w:r>
        <w:rPr>
          <w:rFonts w:hint="eastAsia" w:ascii="宋体" w:hAnsi="宋体" w:cs="宋体"/>
          <w:color w:val="000000"/>
          <w:kern w:val="0"/>
          <w:sz w:val="24"/>
          <w:szCs w:val="24"/>
          <w:highlight w:val="none"/>
        </w:rPr>
        <w:t>依据财政部、发展改革委发布的《节能产品政府采购品目清单》和财政部、生态环境部发布的《环境标志产品政府采购品目清单》，投标产品为政府采购</w:t>
      </w:r>
      <w:r>
        <w:rPr>
          <w:rFonts w:hint="eastAsia" w:ascii="宋体" w:hAnsi="宋体"/>
          <w:bCs/>
          <w:color w:val="000000"/>
          <w:sz w:val="24"/>
          <w:szCs w:val="24"/>
          <w:highlight w:val="none"/>
        </w:rPr>
        <w:t>节能（政府强制采购节能产品除外）、环保产品分别加1分（投标时须提供所投产品</w:t>
      </w:r>
      <w:r>
        <w:rPr>
          <w:rFonts w:hint="eastAsia" w:ascii="宋体" w:hAnsi="宋体" w:cs="宋体"/>
          <w:color w:val="000000"/>
          <w:kern w:val="0"/>
          <w:sz w:val="24"/>
          <w:szCs w:val="24"/>
          <w:highlight w:val="none"/>
        </w:rPr>
        <w:t>由国家确定的认证机构出具的、处于有效期之内的节能产品认证证书复印件、环境标志产品认证证书</w:t>
      </w:r>
      <w:r>
        <w:rPr>
          <w:rFonts w:hint="eastAsia" w:ascii="宋体" w:hAnsi="宋体"/>
          <w:bCs/>
          <w:color w:val="000000"/>
          <w:sz w:val="24"/>
          <w:szCs w:val="24"/>
          <w:highlight w:val="none"/>
        </w:rPr>
        <w:t>复印件，否则不得分）。</w:t>
      </w:r>
    </w:p>
    <w:p>
      <w:pPr>
        <w:pageBreakBefore/>
        <w:jc w:val="left"/>
        <w:rPr>
          <w:rFonts w:ascii="黑体" w:eastAsia="黑体"/>
          <w:bCs/>
          <w:sz w:val="24"/>
          <w:szCs w:val="24"/>
        </w:rPr>
      </w:pPr>
      <w:r>
        <w:rPr>
          <w:rFonts w:hint="eastAsia" w:ascii="黑体" w:eastAsia="黑体"/>
          <w:bCs/>
          <w:sz w:val="24"/>
          <w:szCs w:val="24"/>
        </w:rPr>
        <w:t>附件二：投标文件格式</w:t>
      </w:r>
    </w:p>
    <w:p>
      <w:pPr>
        <w:rPr>
          <w:rFonts w:ascii="黑体" w:eastAsia="黑体"/>
          <w:bCs/>
          <w:sz w:val="32"/>
        </w:rPr>
      </w:pPr>
    </w:p>
    <w:p>
      <w:pPr>
        <w:rPr>
          <w:rFonts w:ascii="黑体" w:eastAsia="黑体"/>
          <w:bCs/>
          <w:sz w:val="32"/>
        </w:rPr>
      </w:pPr>
    </w:p>
    <w:p>
      <w:pPr>
        <w:jc w:val="center"/>
        <w:rPr>
          <w:rFonts w:ascii="黑体" w:eastAsia="黑体"/>
          <w:bCs/>
          <w:sz w:val="52"/>
          <w:szCs w:val="52"/>
        </w:rPr>
      </w:pPr>
      <w:r>
        <w:rPr>
          <w:rFonts w:hint="eastAsia" w:ascii="黑体" w:eastAsia="黑体"/>
          <w:bCs/>
          <w:sz w:val="52"/>
          <w:szCs w:val="52"/>
        </w:rPr>
        <w:t>投</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标</w:t>
      </w:r>
    </w:p>
    <w:p>
      <w:pPr>
        <w:jc w:val="center"/>
        <w:rPr>
          <w:rFonts w:ascii="黑体" w:eastAsia="黑体"/>
          <w:bCs/>
          <w:sz w:val="72"/>
        </w:rPr>
      </w:pPr>
    </w:p>
    <w:p>
      <w:pPr>
        <w:jc w:val="center"/>
        <w:rPr>
          <w:rFonts w:ascii="黑体" w:eastAsia="黑体"/>
          <w:bCs/>
          <w:sz w:val="52"/>
          <w:szCs w:val="52"/>
        </w:rPr>
      </w:pPr>
      <w:r>
        <w:rPr>
          <w:rFonts w:hint="eastAsia" w:ascii="黑体" w:eastAsia="黑体"/>
          <w:bCs/>
          <w:sz w:val="52"/>
          <w:szCs w:val="52"/>
        </w:rPr>
        <w:t>文</w:t>
      </w:r>
    </w:p>
    <w:p>
      <w:pPr>
        <w:jc w:val="center"/>
        <w:rPr>
          <w:rFonts w:ascii="黑体" w:eastAsia="黑体"/>
          <w:bCs/>
          <w:sz w:val="52"/>
          <w:szCs w:val="52"/>
        </w:rPr>
      </w:pPr>
    </w:p>
    <w:p>
      <w:pPr>
        <w:jc w:val="center"/>
        <w:rPr>
          <w:rFonts w:ascii="黑体" w:eastAsia="黑体"/>
          <w:bCs/>
          <w:sz w:val="52"/>
          <w:szCs w:val="52"/>
        </w:rPr>
      </w:pPr>
      <w:r>
        <w:rPr>
          <w:rFonts w:hint="eastAsia" w:ascii="黑体" w:eastAsia="黑体"/>
          <w:bCs/>
          <w:sz w:val="52"/>
          <w:szCs w:val="52"/>
        </w:rPr>
        <w:t>件</w:t>
      </w:r>
    </w:p>
    <w:p>
      <w:pPr>
        <w:rPr>
          <w:rFonts w:ascii="楷体_GB2312" w:eastAsia="楷体_GB2312"/>
          <w:bCs/>
          <w:sz w:val="72"/>
        </w:rPr>
      </w:pPr>
    </w:p>
    <w:p>
      <w:pPr>
        <w:rPr>
          <w:rFonts w:ascii="楷体_GB2312" w:eastAsia="楷体_GB2312"/>
          <w:bCs/>
          <w:color w:val="auto"/>
          <w:sz w:val="28"/>
        </w:rPr>
      </w:pPr>
    </w:p>
    <w:p>
      <w:pPr>
        <w:ind w:firstLine="2240" w:firstLineChars="800"/>
        <w:rPr>
          <w:rFonts w:hint="default" w:ascii="黑体" w:eastAsia="黑体"/>
          <w:bCs/>
          <w:color w:val="auto"/>
          <w:sz w:val="28"/>
          <w:szCs w:val="28"/>
          <w:lang w:val="en-US" w:eastAsia="zh-CN"/>
        </w:rPr>
      </w:pPr>
      <w:r>
        <w:rPr>
          <w:rFonts w:hint="eastAsia" w:ascii="黑体" w:eastAsia="黑体"/>
          <w:bCs/>
          <w:color w:val="auto"/>
          <w:sz w:val="28"/>
          <w:szCs w:val="28"/>
        </w:rPr>
        <w:t>采购项目编号：HSCGZX(G)</w:t>
      </w:r>
      <w:r>
        <w:rPr>
          <w:rFonts w:hint="eastAsia" w:ascii="黑体" w:eastAsia="黑体"/>
          <w:bCs/>
          <w:color w:val="auto"/>
          <w:sz w:val="28"/>
          <w:szCs w:val="28"/>
          <w:lang w:val="en-US" w:eastAsia="zh-CN"/>
        </w:rPr>
        <w:t>20230034</w:t>
      </w:r>
    </w:p>
    <w:p>
      <w:pPr>
        <w:ind w:firstLine="2240" w:firstLineChars="800"/>
        <w:rPr>
          <w:rFonts w:ascii="宋体" w:hAnsi="宋体" w:cs="宋体"/>
          <w:b/>
          <w:color w:val="auto"/>
          <w:sz w:val="30"/>
          <w:szCs w:val="30"/>
        </w:rPr>
      </w:pPr>
      <w:r>
        <w:rPr>
          <w:rFonts w:hint="eastAsia" w:ascii="黑体" w:eastAsia="黑体"/>
          <w:bCs/>
          <w:color w:val="auto"/>
          <w:sz w:val="28"/>
          <w:szCs w:val="28"/>
        </w:rPr>
        <w:t>采购项目名称：</w:t>
      </w:r>
      <w:r>
        <w:rPr>
          <w:rFonts w:hint="eastAsia" w:ascii="黑体" w:hAnsi="Times New Roman" w:eastAsia="黑体" w:cs="Times New Roman"/>
          <w:bCs/>
          <w:color w:val="auto"/>
          <w:sz w:val="28"/>
          <w:szCs w:val="28"/>
          <w:lang w:val="en-US" w:eastAsia="zh-CN"/>
        </w:rPr>
        <w:t>无锡市玉祁高级中学智慧管理与服务平台项目</w:t>
      </w:r>
      <w:r>
        <w:rPr>
          <w:rFonts w:hint="eastAsia" w:ascii="黑体" w:hAnsi="Times New Roman" w:eastAsia="黑体" w:cs="Times New Roman"/>
          <w:bCs/>
          <w:color w:val="auto"/>
          <w:sz w:val="28"/>
          <w:szCs w:val="28"/>
        </w:rPr>
        <w:t xml:space="preserve">  </w:t>
      </w:r>
    </w:p>
    <w:p>
      <w:pPr>
        <w:ind w:firstLine="2240" w:firstLineChars="800"/>
        <w:rPr>
          <w:rFonts w:ascii="黑体" w:eastAsia="黑体"/>
          <w:bCs/>
          <w:sz w:val="28"/>
          <w:szCs w:val="28"/>
        </w:rPr>
      </w:pPr>
      <w:r>
        <w:rPr>
          <w:rFonts w:hint="eastAsia" w:ascii="黑体" w:eastAsia="黑体"/>
          <w:bCs/>
          <w:sz w:val="28"/>
          <w:szCs w:val="28"/>
        </w:rPr>
        <w:t>投标人：</w:t>
      </w:r>
    </w:p>
    <w:p>
      <w:pPr>
        <w:rPr>
          <w:rFonts w:ascii="黑体" w:eastAsia="黑体"/>
          <w:bCs/>
          <w:sz w:val="32"/>
        </w:rPr>
      </w:pPr>
    </w:p>
    <w:p>
      <w:pPr>
        <w:rPr>
          <w:rFonts w:ascii="黑体" w:eastAsia="黑体"/>
          <w:bCs/>
          <w:sz w:val="32"/>
        </w:rPr>
      </w:pPr>
    </w:p>
    <w:p>
      <w:pPr>
        <w:jc w:val="center"/>
        <w:rPr>
          <w:rFonts w:ascii="黑体" w:eastAsia="黑体"/>
          <w:bCs/>
          <w:sz w:val="36"/>
          <w:szCs w:val="36"/>
        </w:rPr>
      </w:pPr>
      <w:r>
        <w:rPr>
          <w:rFonts w:hint="eastAsia" w:ascii="黑体" w:eastAsia="黑体"/>
          <w:bCs/>
          <w:sz w:val="36"/>
          <w:szCs w:val="36"/>
        </w:rPr>
        <w:t>二○  年  月  日</w:t>
      </w:r>
      <w:bookmarkStart w:id="8" w:name="一．报价函（格式）"/>
      <w:bookmarkEnd w:id="8"/>
    </w:p>
    <w:p>
      <w:pPr>
        <w:outlineLvl w:val="0"/>
        <w:rPr>
          <w:rFonts w:ascii="黑体" w:hAnsi="宋体" w:eastAsia="黑体"/>
          <w:bCs/>
          <w:sz w:val="24"/>
          <w:szCs w:val="24"/>
        </w:rPr>
      </w:pPr>
    </w:p>
    <w:p>
      <w:pPr>
        <w:pageBreakBefore/>
        <w:outlineLvl w:val="0"/>
        <w:rPr>
          <w:rFonts w:ascii="黑体" w:hAnsi="宋体" w:eastAsia="黑体"/>
          <w:bCs/>
          <w:sz w:val="24"/>
          <w:szCs w:val="24"/>
        </w:rPr>
      </w:pPr>
    </w:p>
    <w:p>
      <w:pPr>
        <w:ind w:firstLine="480" w:firstLineChars="200"/>
        <w:outlineLvl w:val="0"/>
        <w:rPr>
          <w:rFonts w:ascii="黑体" w:hAnsi="宋体" w:eastAsia="黑体"/>
          <w:bCs/>
          <w:sz w:val="24"/>
          <w:szCs w:val="24"/>
        </w:rPr>
      </w:pPr>
      <w:bookmarkStart w:id="9" w:name="_Toc86134316"/>
      <w:bookmarkStart w:id="10" w:name="_Toc61444105"/>
      <w:r>
        <w:rPr>
          <w:rFonts w:hint="eastAsia" w:ascii="黑体" w:hAnsi="宋体" w:eastAsia="黑体"/>
          <w:bCs/>
          <w:sz w:val="24"/>
          <w:szCs w:val="24"/>
        </w:rPr>
        <w:t>（一）投标函（格式）：</w:t>
      </w:r>
      <w:bookmarkEnd w:id="9"/>
      <w:bookmarkEnd w:id="10"/>
    </w:p>
    <w:p>
      <w:pPr>
        <w:outlineLvl w:val="0"/>
        <w:rPr>
          <w:rFonts w:ascii="宋体"/>
          <w:b/>
          <w:bCs/>
          <w:sz w:val="24"/>
          <w:szCs w:val="24"/>
        </w:rPr>
      </w:pPr>
    </w:p>
    <w:p>
      <w:pPr>
        <w:spacing w:line="360" w:lineRule="auto"/>
        <w:jc w:val="center"/>
        <w:rPr>
          <w:rFonts w:ascii="宋体"/>
          <w:bCs/>
          <w:sz w:val="24"/>
          <w:szCs w:val="24"/>
        </w:rPr>
      </w:pPr>
      <w:r>
        <w:rPr>
          <w:rFonts w:hint="eastAsia" w:ascii="黑体" w:eastAsia="黑体"/>
          <w:bCs/>
          <w:sz w:val="28"/>
          <w:szCs w:val="28"/>
        </w:rPr>
        <w:t>投标函</w:t>
      </w:r>
    </w:p>
    <w:p>
      <w:pPr>
        <w:spacing w:line="360" w:lineRule="auto"/>
        <w:rPr>
          <w:rFonts w:ascii="宋体"/>
          <w:bCs/>
          <w:sz w:val="24"/>
          <w:szCs w:val="24"/>
        </w:rPr>
      </w:pPr>
      <w:r>
        <w:rPr>
          <w:rFonts w:hint="eastAsia" w:ascii="宋体" w:hAnsi="宋体"/>
          <w:bCs/>
          <w:sz w:val="24"/>
          <w:szCs w:val="24"/>
        </w:rPr>
        <w:t>致无锡市惠山区政府采购中心：</w:t>
      </w:r>
      <w:bookmarkStart w:id="56" w:name="_GoBack"/>
      <w:bookmarkEnd w:id="56"/>
    </w:p>
    <w:p>
      <w:pPr>
        <w:spacing w:line="360" w:lineRule="auto"/>
        <w:ind w:firstLine="480" w:firstLineChars="200"/>
        <w:rPr>
          <w:rFonts w:ascii="宋体"/>
          <w:bCs/>
          <w:sz w:val="24"/>
          <w:szCs w:val="24"/>
        </w:rPr>
      </w:pPr>
    </w:p>
    <w:p>
      <w:pPr>
        <w:spacing w:line="360" w:lineRule="auto"/>
        <w:ind w:firstLine="480" w:firstLineChars="200"/>
        <w:rPr>
          <w:rFonts w:ascii="宋体"/>
          <w:bCs/>
          <w:sz w:val="24"/>
          <w:szCs w:val="24"/>
          <w:highlight w:val="none"/>
        </w:rPr>
      </w:pPr>
      <w:r>
        <w:rPr>
          <w:rFonts w:hint="eastAsia" w:ascii="宋体" w:hAnsi="宋体"/>
          <w:bCs/>
          <w:sz w:val="24"/>
          <w:szCs w:val="24"/>
        </w:rPr>
        <w:t>我方收到贵方编号</w:t>
      </w:r>
      <w:r>
        <w:rPr>
          <w:rFonts w:hint="eastAsia" w:ascii="宋体" w:hAnsi="宋体"/>
          <w:bCs/>
          <w:color w:val="auto"/>
          <w:sz w:val="24"/>
          <w:szCs w:val="24"/>
          <w:highlight w:val="none"/>
        </w:rPr>
        <w:t>HSCGZX(G)</w:t>
      </w:r>
      <w:r>
        <w:rPr>
          <w:rFonts w:hint="eastAsia" w:ascii="宋体" w:hAnsi="宋体"/>
          <w:bCs/>
          <w:color w:val="auto"/>
          <w:sz w:val="24"/>
          <w:szCs w:val="24"/>
          <w:highlight w:val="none"/>
          <w:lang w:val="en-US" w:eastAsia="zh-CN"/>
        </w:rPr>
        <w:t>20230034</w:t>
      </w:r>
      <w:r>
        <w:rPr>
          <w:rFonts w:hint="eastAsia" w:ascii="宋体" w:hAnsi="宋体"/>
          <w:bCs/>
          <w:color w:val="auto"/>
          <w:sz w:val="24"/>
          <w:szCs w:val="24"/>
          <w:highlight w:val="none"/>
        </w:rPr>
        <w:t>招</w:t>
      </w:r>
      <w:r>
        <w:rPr>
          <w:rFonts w:hint="eastAsia" w:ascii="宋体" w:hAnsi="宋体"/>
          <w:bCs/>
          <w:sz w:val="24"/>
          <w:szCs w:val="24"/>
          <w:highlight w:val="none"/>
        </w:rPr>
        <w:t>标文件，经仔细阅读和研究，我方决定参加此项目的投标。</w:t>
      </w:r>
    </w:p>
    <w:p>
      <w:pPr>
        <w:numPr>
          <w:ilvl w:val="0"/>
          <w:numId w:val="37"/>
        </w:numPr>
        <w:tabs>
          <w:tab w:val="left" w:pos="315"/>
          <w:tab w:val="left" w:pos="840"/>
          <w:tab w:val="left" w:pos="945"/>
          <w:tab w:val="left" w:pos="1050"/>
          <w:tab w:val="left" w:pos="1260"/>
          <w:tab w:val="clear" w:pos="552"/>
        </w:tabs>
        <w:spacing w:line="360" w:lineRule="auto"/>
        <w:ind w:left="0" w:firstLine="525"/>
        <w:rPr>
          <w:rFonts w:ascii="宋体"/>
          <w:bCs/>
          <w:sz w:val="24"/>
          <w:szCs w:val="24"/>
          <w:highlight w:val="none"/>
        </w:rPr>
      </w:pPr>
      <w:r>
        <w:rPr>
          <w:rFonts w:hint="eastAsia" w:ascii="宋体" w:hAnsi="宋体"/>
          <w:bCs/>
          <w:sz w:val="24"/>
          <w:szCs w:val="24"/>
          <w:highlight w:val="none"/>
        </w:rPr>
        <w:t>我方愿意按照招标文件的一切要求，提供本项目的投标，投标总价见《开标一览表》。</w:t>
      </w:r>
    </w:p>
    <w:p>
      <w:pPr>
        <w:numPr>
          <w:ilvl w:val="0"/>
          <w:numId w:val="37"/>
        </w:numPr>
        <w:tabs>
          <w:tab w:val="left" w:pos="0"/>
          <w:tab w:val="left" w:pos="315"/>
          <w:tab w:val="left" w:pos="525"/>
          <w:tab w:val="left" w:pos="840"/>
          <w:tab w:val="left" w:pos="945"/>
          <w:tab w:val="left" w:pos="1050"/>
          <w:tab w:val="clear" w:pos="552"/>
        </w:tabs>
        <w:spacing w:line="360" w:lineRule="auto"/>
        <w:ind w:left="0" w:firstLine="523" w:firstLineChars="218"/>
        <w:rPr>
          <w:rStyle w:val="31"/>
          <w:rFonts w:hint="default"/>
          <w:highlight w:val="none"/>
        </w:rPr>
      </w:pPr>
      <w:r>
        <w:rPr>
          <w:rFonts w:hint="eastAsia" w:ascii="宋体" w:hAnsi="宋体"/>
          <w:bCs/>
          <w:sz w:val="24"/>
          <w:szCs w:val="24"/>
          <w:highlight w:val="none"/>
        </w:rPr>
        <w:t>我方愿意提供无锡市惠山区政府采购中心在招标文件中要求的文件、资料。</w:t>
      </w:r>
    </w:p>
    <w:p>
      <w:pPr>
        <w:numPr>
          <w:ilvl w:val="0"/>
          <w:numId w:val="37"/>
        </w:numPr>
        <w:tabs>
          <w:tab w:val="left" w:pos="0"/>
          <w:tab w:val="left" w:pos="315"/>
          <w:tab w:val="left" w:pos="525"/>
          <w:tab w:val="left" w:pos="945"/>
          <w:tab w:val="left" w:pos="1050"/>
          <w:tab w:val="clear" w:pos="552"/>
        </w:tabs>
        <w:spacing w:line="360" w:lineRule="auto"/>
        <w:ind w:left="0" w:firstLine="523" w:firstLineChars="218"/>
        <w:rPr>
          <w:highlight w:val="none"/>
        </w:rPr>
      </w:pPr>
      <w:r>
        <w:rPr>
          <w:rFonts w:hint="eastAsia" w:ascii="宋体" w:hAnsi="宋体"/>
          <w:bCs/>
          <w:sz w:val="24"/>
          <w:szCs w:val="24"/>
          <w:highlight w:val="none"/>
        </w:rPr>
        <w:t>我方同意按招标文件中的规定，本投标文件投标的有效期限为开标之日起90天。</w:t>
      </w:r>
    </w:p>
    <w:p>
      <w:pPr>
        <w:numPr>
          <w:ilvl w:val="0"/>
          <w:numId w:val="37"/>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highlight w:val="none"/>
        </w:rPr>
      </w:pPr>
      <w:r>
        <w:rPr>
          <w:rFonts w:hint="eastAsia" w:ascii="宋体" w:hAnsi="宋体"/>
          <w:bCs/>
          <w:sz w:val="24"/>
          <w:szCs w:val="24"/>
          <w:highlight w:val="none"/>
        </w:rPr>
        <w:t>如果我方的投标文件被接受，我方将履行招标文件中规定的每一项要求，按期、按质、按量，完成交货任务。</w:t>
      </w:r>
    </w:p>
    <w:p>
      <w:pPr>
        <w:numPr>
          <w:ilvl w:val="0"/>
          <w:numId w:val="37"/>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highlight w:val="none"/>
        </w:rPr>
      </w:pPr>
      <w:r>
        <w:rPr>
          <w:rFonts w:hint="eastAsia" w:ascii="宋体" w:hAnsi="宋体"/>
          <w:bCs/>
          <w:sz w:val="24"/>
          <w:szCs w:val="24"/>
          <w:highlight w:val="none"/>
        </w:rPr>
        <w:t>我方认为贵中心有权决定中标者。</w:t>
      </w:r>
    </w:p>
    <w:p>
      <w:pPr>
        <w:numPr>
          <w:ilvl w:val="0"/>
          <w:numId w:val="37"/>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highlight w:val="none"/>
        </w:rPr>
      </w:pPr>
      <w:r>
        <w:rPr>
          <w:rFonts w:hint="eastAsia" w:ascii="宋体" w:hAnsi="宋体"/>
          <w:bCs/>
          <w:sz w:val="24"/>
          <w:szCs w:val="24"/>
          <w:highlight w:val="none"/>
        </w:rPr>
        <w:t>我方愿意遵守《中华人民共和国政府采购法》，并按《中华人民共和国民法典》、财政部《政府采购货物和服务招标投标管理办法》</w:t>
      </w:r>
      <w:r>
        <w:rPr>
          <w:rFonts w:hint="eastAsia" w:ascii="宋体" w:hAnsi="宋体"/>
          <w:sz w:val="24"/>
          <w:szCs w:val="24"/>
          <w:highlight w:val="none"/>
        </w:rPr>
        <w:t>和</w:t>
      </w:r>
      <w:r>
        <w:rPr>
          <w:rFonts w:hint="eastAsia" w:ascii="宋体" w:hAnsi="宋体"/>
          <w:bCs/>
          <w:sz w:val="24"/>
          <w:szCs w:val="24"/>
          <w:highlight w:val="none"/>
        </w:rPr>
        <w:t>合同条款履行自己的全部责任。</w:t>
      </w:r>
    </w:p>
    <w:p>
      <w:pPr>
        <w:numPr>
          <w:ilvl w:val="0"/>
          <w:numId w:val="37"/>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highlight w:val="none"/>
        </w:rPr>
      </w:pPr>
      <w:r>
        <w:rPr>
          <w:rFonts w:hint="eastAsia" w:ascii="宋体" w:hAnsi="宋体"/>
          <w:bCs/>
          <w:sz w:val="24"/>
          <w:szCs w:val="24"/>
          <w:highlight w:val="none"/>
        </w:rPr>
        <w:t>我方认可并遵守招标文件的所有规定，放弃对招标文件提出质疑的权利。</w:t>
      </w:r>
    </w:p>
    <w:p>
      <w:pPr>
        <w:numPr>
          <w:ilvl w:val="0"/>
          <w:numId w:val="37"/>
        </w:numPr>
        <w:tabs>
          <w:tab w:val="left" w:pos="0"/>
          <w:tab w:val="left" w:pos="315"/>
          <w:tab w:val="left" w:pos="525"/>
          <w:tab w:val="left" w:pos="945"/>
          <w:tab w:val="left" w:pos="1050"/>
          <w:tab w:val="clear" w:pos="552"/>
        </w:tabs>
        <w:spacing w:line="360" w:lineRule="auto"/>
        <w:ind w:left="0" w:firstLine="523" w:firstLineChars="218"/>
        <w:rPr>
          <w:rFonts w:ascii="宋体"/>
          <w:bCs/>
          <w:color w:val="auto"/>
          <w:sz w:val="24"/>
          <w:szCs w:val="24"/>
          <w:highlight w:val="none"/>
        </w:rPr>
      </w:pPr>
      <w:r>
        <w:rPr>
          <w:rFonts w:hint="eastAsia" w:ascii="宋体" w:hAnsi="宋体"/>
          <w:bCs/>
          <w:sz w:val="24"/>
          <w:szCs w:val="24"/>
          <w:highlight w:val="none"/>
        </w:rPr>
        <w:t>如我方在投标截止期后撤回投标及中标后拒绝遵守投标承诺或拒绝在规定的时间内与采购人签订合同，则接受政府采购监</w:t>
      </w:r>
      <w:r>
        <w:rPr>
          <w:rFonts w:hint="eastAsia" w:ascii="宋体" w:hAnsi="宋体"/>
          <w:bCs/>
          <w:color w:val="auto"/>
          <w:sz w:val="24"/>
          <w:szCs w:val="24"/>
          <w:highlight w:val="none"/>
        </w:rPr>
        <w:t>督管理部门的处理。</w:t>
      </w:r>
    </w:p>
    <w:p>
      <w:pPr>
        <w:numPr>
          <w:ilvl w:val="0"/>
          <w:numId w:val="37"/>
        </w:numPr>
        <w:tabs>
          <w:tab w:val="left" w:pos="0"/>
          <w:tab w:val="left" w:pos="315"/>
          <w:tab w:val="left" w:pos="525"/>
          <w:tab w:val="left" w:pos="945"/>
          <w:tab w:val="left" w:pos="1050"/>
          <w:tab w:val="clear" w:pos="552"/>
        </w:tabs>
        <w:spacing w:line="360" w:lineRule="auto"/>
        <w:ind w:left="0" w:firstLine="523" w:firstLineChars="218"/>
        <w:rPr>
          <w:rFonts w:ascii="宋体"/>
          <w:bCs/>
          <w:color w:val="auto"/>
          <w:sz w:val="24"/>
          <w:szCs w:val="24"/>
          <w:highlight w:val="none"/>
        </w:rPr>
      </w:pPr>
      <w:r>
        <w:rPr>
          <w:rFonts w:hint="eastAsia" w:ascii="宋体" w:hAnsi="宋体"/>
          <w:bCs/>
          <w:color w:val="auto"/>
          <w:sz w:val="24"/>
          <w:szCs w:val="24"/>
          <w:highlight w:val="none"/>
        </w:rPr>
        <w:t>如果我方被确定为中标供应商，我方愿意向采购人交纳不超过政府采购合同金额10%的履约保证金。且我方如无不可抗力，又未履行招标文件、投标文件和合同条款的，一经查实，我方愿意赔偿由此而造成的一切损失，并同意接受按招标文件的相关要求对我方进行的处理。</w:t>
      </w:r>
    </w:p>
    <w:p>
      <w:pPr>
        <w:numPr>
          <w:ilvl w:val="0"/>
          <w:numId w:val="37"/>
        </w:numPr>
        <w:tabs>
          <w:tab w:val="left" w:pos="0"/>
          <w:tab w:val="left" w:pos="315"/>
          <w:tab w:val="left" w:pos="525"/>
          <w:tab w:val="left" w:pos="945"/>
          <w:tab w:val="left" w:pos="1050"/>
          <w:tab w:val="clear" w:pos="552"/>
        </w:tabs>
        <w:spacing w:line="360" w:lineRule="auto"/>
        <w:ind w:left="0" w:firstLine="523" w:firstLineChars="218"/>
        <w:rPr>
          <w:rFonts w:ascii="宋体"/>
          <w:bCs/>
          <w:sz w:val="24"/>
          <w:szCs w:val="24"/>
          <w:highlight w:val="none"/>
        </w:rPr>
      </w:pPr>
      <w:r>
        <w:rPr>
          <w:rFonts w:hint="eastAsia" w:ascii="宋体" w:hAnsi="宋体"/>
          <w:bCs/>
          <w:color w:val="auto"/>
          <w:sz w:val="24"/>
          <w:szCs w:val="24"/>
          <w:highlight w:val="none"/>
        </w:rPr>
        <w:t>我方决不提供虚假材料谋取中标、</w:t>
      </w:r>
      <w:r>
        <w:rPr>
          <w:rFonts w:hint="eastAsia" w:ascii="宋体" w:hAnsi="宋体"/>
          <w:bCs/>
          <w:sz w:val="24"/>
          <w:szCs w:val="24"/>
          <w:highlight w:val="none"/>
        </w:rPr>
        <w:t>决不采取不正当手段诋毁、排挤其他供应商、决不与采购人、其它供应商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pPr>
        <w:spacing w:line="360" w:lineRule="auto"/>
        <w:ind w:firstLine="720" w:firstLineChars="300"/>
        <w:rPr>
          <w:rFonts w:ascii="宋体"/>
          <w:bCs/>
          <w:sz w:val="24"/>
          <w:szCs w:val="24"/>
          <w:highlight w:val="none"/>
        </w:rPr>
      </w:pPr>
    </w:p>
    <w:p>
      <w:pPr>
        <w:spacing w:line="400" w:lineRule="exact"/>
        <w:ind w:firstLine="480" w:firstLineChars="200"/>
        <w:rPr>
          <w:rFonts w:ascii="宋体"/>
          <w:bCs/>
          <w:sz w:val="24"/>
          <w:szCs w:val="24"/>
          <w:highlight w:val="none"/>
        </w:rPr>
      </w:pPr>
      <w:r>
        <w:rPr>
          <w:rFonts w:hint="eastAsia" w:ascii="宋体" w:hAnsi="宋体"/>
          <w:bCs/>
          <w:sz w:val="24"/>
          <w:szCs w:val="24"/>
          <w:highlight w:val="none"/>
        </w:rPr>
        <w:t xml:space="preserve">投标人（盖章）：     </w:t>
      </w:r>
    </w:p>
    <w:p>
      <w:pPr>
        <w:spacing w:line="400" w:lineRule="exact"/>
        <w:ind w:firstLine="480" w:firstLineChars="200"/>
        <w:rPr>
          <w:rFonts w:ascii="宋体"/>
          <w:bCs/>
          <w:sz w:val="24"/>
          <w:szCs w:val="24"/>
          <w:highlight w:val="none"/>
        </w:rPr>
      </w:pPr>
      <w:r>
        <w:rPr>
          <w:rFonts w:hint="eastAsia" w:ascii="宋体" w:hAnsi="宋体"/>
          <w:bCs/>
          <w:sz w:val="24"/>
          <w:szCs w:val="24"/>
          <w:highlight w:val="none"/>
        </w:rPr>
        <w:t>法定代表人或法定代表人授权代表签字或盖章：</w:t>
      </w:r>
    </w:p>
    <w:p>
      <w:pPr>
        <w:spacing w:line="400" w:lineRule="exact"/>
        <w:ind w:firstLine="480" w:firstLineChars="200"/>
        <w:rPr>
          <w:rFonts w:ascii="宋体"/>
          <w:bCs/>
          <w:sz w:val="24"/>
          <w:szCs w:val="24"/>
        </w:rPr>
      </w:pPr>
      <w:r>
        <w:rPr>
          <w:rFonts w:hint="eastAsia" w:ascii="宋体" w:hAnsi="宋体"/>
          <w:bCs/>
          <w:sz w:val="24"/>
          <w:szCs w:val="24"/>
        </w:rPr>
        <w:t>电话：                              传真：</w:t>
      </w:r>
    </w:p>
    <w:p>
      <w:pPr>
        <w:spacing w:line="400" w:lineRule="exact"/>
        <w:ind w:firstLine="480" w:firstLineChars="200"/>
        <w:rPr>
          <w:rFonts w:ascii="宋体" w:hAnsi="宋体"/>
          <w:bCs/>
          <w:sz w:val="24"/>
          <w:szCs w:val="24"/>
        </w:rPr>
      </w:pPr>
      <w:r>
        <w:rPr>
          <w:rFonts w:hint="eastAsia" w:ascii="宋体" w:hAnsi="宋体"/>
          <w:bCs/>
          <w:sz w:val="24"/>
          <w:szCs w:val="24"/>
        </w:rPr>
        <w:t>通讯地址：                          邮编：</w:t>
      </w:r>
    </w:p>
    <w:p>
      <w:pPr>
        <w:pageBreakBefore/>
        <w:spacing w:line="400" w:lineRule="exact"/>
        <w:rPr>
          <w:rFonts w:ascii="宋体" w:hAnsi="宋体"/>
          <w:bCs/>
          <w:sz w:val="24"/>
          <w:szCs w:val="24"/>
        </w:rPr>
      </w:pPr>
    </w:p>
    <w:p>
      <w:pPr>
        <w:ind w:firstLine="480" w:firstLineChars="200"/>
        <w:outlineLvl w:val="0"/>
        <w:rPr>
          <w:rFonts w:ascii="黑体" w:eastAsia="黑体"/>
          <w:bCs/>
          <w:sz w:val="28"/>
          <w:szCs w:val="28"/>
        </w:rPr>
      </w:pPr>
      <w:bookmarkStart w:id="11" w:name="_Toc61444106"/>
      <w:bookmarkStart w:id="12" w:name="_Toc86134317"/>
      <w:r>
        <w:rPr>
          <w:rFonts w:hint="eastAsia" w:ascii="黑体" w:hAnsi="宋体" w:eastAsia="黑体"/>
          <w:bCs/>
          <w:sz w:val="24"/>
          <w:szCs w:val="24"/>
        </w:rPr>
        <w:t>（二）（投标人）关于资格的声明函（格式）：</w:t>
      </w:r>
      <w:bookmarkEnd w:id="11"/>
      <w:bookmarkEnd w:id="12"/>
    </w:p>
    <w:p>
      <w:pPr>
        <w:spacing w:line="360" w:lineRule="auto"/>
        <w:rPr>
          <w:rFonts w:ascii="黑体" w:eastAsia="黑体"/>
          <w:bCs/>
          <w:sz w:val="36"/>
        </w:rPr>
      </w:pPr>
    </w:p>
    <w:p>
      <w:pPr>
        <w:jc w:val="center"/>
        <w:outlineLvl w:val="0"/>
        <w:rPr>
          <w:rFonts w:ascii="黑体" w:eastAsia="黑体"/>
          <w:bCs/>
          <w:sz w:val="28"/>
          <w:szCs w:val="28"/>
        </w:rPr>
      </w:pPr>
      <w:bookmarkStart w:id="13" w:name="报价方关于资格的声明函（格式）"/>
      <w:bookmarkEnd w:id="13"/>
      <w:bookmarkStart w:id="14" w:name="_Toc86134318"/>
      <w:bookmarkStart w:id="15" w:name="_Toc61444107"/>
      <w:r>
        <w:rPr>
          <w:rFonts w:hint="eastAsia" w:ascii="黑体" w:eastAsia="黑体"/>
          <w:bCs/>
          <w:sz w:val="28"/>
          <w:szCs w:val="28"/>
        </w:rPr>
        <w:t>关于资格的声明函</w:t>
      </w:r>
      <w:bookmarkEnd w:id="14"/>
      <w:bookmarkEnd w:id="15"/>
    </w:p>
    <w:p>
      <w:pPr>
        <w:jc w:val="center"/>
        <w:rPr>
          <w:rFonts w:ascii="黑体" w:eastAsia="黑体"/>
          <w:bCs/>
          <w:sz w:val="32"/>
        </w:rPr>
      </w:pPr>
    </w:p>
    <w:p>
      <w:pPr>
        <w:spacing w:line="480" w:lineRule="auto"/>
        <w:jc w:val="center"/>
        <w:rPr>
          <w:rFonts w:hint="default" w:ascii="宋体" w:eastAsia="黑体"/>
          <w:bCs/>
          <w:sz w:val="24"/>
          <w:szCs w:val="24"/>
          <w:lang w:val="en-US" w:eastAsia="zh-CN"/>
        </w:rPr>
      </w:pPr>
      <w:r>
        <w:rPr>
          <w:rFonts w:hint="eastAsia" w:ascii="宋体" w:hAnsi="宋体"/>
          <w:bCs/>
          <w:sz w:val="24"/>
          <w:szCs w:val="24"/>
        </w:rPr>
        <w:t xml:space="preserve"> 政府采购编号：</w:t>
      </w:r>
      <w:r>
        <w:rPr>
          <w:rFonts w:hint="eastAsia" w:ascii="黑体" w:eastAsia="黑体"/>
          <w:bCs/>
          <w:color w:val="auto"/>
          <w:sz w:val="24"/>
          <w:szCs w:val="24"/>
        </w:rPr>
        <w:t>HSCGZX(G)</w:t>
      </w:r>
      <w:r>
        <w:rPr>
          <w:rFonts w:hint="eastAsia" w:ascii="黑体" w:eastAsia="黑体"/>
          <w:bCs/>
          <w:color w:val="auto"/>
          <w:sz w:val="24"/>
          <w:szCs w:val="24"/>
          <w:lang w:val="en-US" w:eastAsia="zh-CN"/>
        </w:rPr>
        <w:t>20230034</w:t>
      </w:r>
    </w:p>
    <w:p>
      <w:pPr>
        <w:tabs>
          <w:tab w:val="left" w:pos="6300"/>
        </w:tabs>
        <w:spacing w:line="480" w:lineRule="auto"/>
        <w:jc w:val="center"/>
        <w:rPr>
          <w:rFonts w:ascii="宋体"/>
          <w:bCs/>
          <w:sz w:val="24"/>
          <w:szCs w:val="24"/>
        </w:rPr>
      </w:pPr>
      <w:r>
        <w:rPr>
          <w:rFonts w:hint="eastAsia" w:ascii="宋体" w:hAnsi="宋体"/>
          <w:bCs/>
          <w:sz w:val="24"/>
          <w:szCs w:val="24"/>
        </w:rPr>
        <w:t xml:space="preserve">            日期：</w:t>
      </w:r>
    </w:p>
    <w:p>
      <w:pPr>
        <w:spacing w:line="480" w:lineRule="auto"/>
        <w:jc w:val="center"/>
        <w:rPr>
          <w:rFonts w:ascii="宋体"/>
          <w:bCs/>
          <w:sz w:val="24"/>
          <w:szCs w:val="24"/>
        </w:rPr>
      </w:pPr>
    </w:p>
    <w:p>
      <w:pPr>
        <w:spacing w:line="480" w:lineRule="auto"/>
        <w:rPr>
          <w:rFonts w:ascii="宋体"/>
          <w:bCs/>
          <w:sz w:val="24"/>
          <w:szCs w:val="24"/>
        </w:rPr>
      </w:pPr>
      <w:r>
        <w:rPr>
          <w:rFonts w:hint="eastAsia" w:ascii="宋体" w:hAnsi="宋体"/>
          <w:bCs/>
          <w:sz w:val="24"/>
          <w:szCs w:val="24"/>
        </w:rPr>
        <w:t>无锡市惠山区政府采购中心：</w:t>
      </w:r>
    </w:p>
    <w:p>
      <w:pPr>
        <w:spacing w:line="480" w:lineRule="auto"/>
        <w:rPr>
          <w:rFonts w:ascii="宋体"/>
          <w:bCs/>
          <w:sz w:val="24"/>
          <w:szCs w:val="24"/>
        </w:rPr>
      </w:pPr>
    </w:p>
    <w:p>
      <w:pPr>
        <w:spacing w:line="480" w:lineRule="auto"/>
        <w:ind w:firstLine="480" w:firstLineChars="200"/>
        <w:rPr>
          <w:rFonts w:ascii="宋体"/>
          <w:bCs/>
          <w:sz w:val="24"/>
          <w:szCs w:val="24"/>
        </w:rPr>
      </w:pPr>
      <w:r>
        <w:rPr>
          <w:rFonts w:hint="eastAsia" w:ascii="宋体" w:hAnsi="宋体"/>
          <w:bCs/>
          <w:color w:val="auto"/>
          <w:sz w:val="24"/>
          <w:szCs w:val="24"/>
        </w:rPr>
        <w:t>我公司（单位）参加本次项目（</w:t>
      </w:r>
      <w:r>
        <w:rPr>
          <w:rFonts w:hint="eastAsia" w:ascii="黑体" w:eastAsia="黑体"/>
          <w:bCs/>
          <w:color w:val="auto"/>
          <w:sz w:val="24"/>
          <w:szCs w:val="24"/>
        </w:rPr>
        <w:t>HSCGZX(G)</w:t>
      </w:r>
      <w:r>
        <w:rPr>
          <w:rFonts w:hint="eastAsia" w:ascii="黑体" w:eastAsia="黑体"/>
          <w:bCs/>
          <w:color w:val="auto"/>
          <w:sz w:val="24"/>
          <w:szCs w:val="24"/>
          <w:lang w:val="en-US" w:eastAsia="zh-CN"/>
        </w:rPr>
        <w:t>20230034</w:t>
      </w:r>
      <w:r>
        <w:rPr>
          <w:rFonts w:hint="eastAsia" w:ascii="黑体" w:eastAsia="黑体"/>
          <w:bCs/>
          <w:color w:val="auto"/>
          <w:sz w:val="24"/>
          <w:szCs w:val="24"/>
        </w:rPr>
        <w:t>）</w:t>
      </w:r>
      <w:r>
        <w:rPr>
          <w:rFonts w:hint="eastAsia" w:ascii="宋体" w:hAnsi="宋体"/>
          <w:bCs/>
          <w:color w:val="auto"/>
          <w:sz w:val="24"/>
          <w:szCs w:val="24"/>
        </w:rPr>
        <w:t>政府采购活动前三年内，在经营活动中没有重大违法记录，我公司（单位）愿针对本次项目（</w:t>
      </w:r>
      <w:r>
        <w:rPr>
          <w:rFonts w:hint="eastAsia" w:ascii="黑体" w:eastAsia="黑体"/>
          <w:bCs/>
          <w:color w:val="auto"/>
          <w:sz w:val="24"/>
          <w:szCs w:val="24"/>
        </w:rPr>
        <w:t>HSCGZX(G)</w:t>
      </w:r>
      <w:r>
        <w:rPr>
          <w:rFonts w:hint="eastAsia" w:ascii="黑体" w:eastAsia="黑体"/>
          <w:bCs/>
          <w:color w:val="auto"/>
          <w:sz w:val="24"/>
          <w:szCs w:val="24"/>
          <w:lang w:val="en-US" w:eastAsia="zh-CN"/>
        </w:rPr>
        <w:t>20230034</w:t>
      </w:r>
      <w:r>
        <w:rPr>
          <w:rFonts w:hint="eastAsia" w:ascii="黑体" w:eastAsia="黑体"/>
          <w:bCs/>
          <w:color w:val="auto"/>
          <w:sz w:val="24"/>
          <w:szCs w:val="24"/>
        </w:rPr>
        <w:t>）</w:t>
      </w:r>
      <w:r>
        <w:rPr>
          <w:rFonts w:hint="eastAsia" w:ascii="宋体" w:hAnsi="宋体"/>
          <w:bCs/>
          <w:color w:val="auto"/>
          <w:sz w:val="24"/>
          <w:szCs w:val="24"/>
        </w:rPr>
        <w:t>进行投</w:t>
      </w:r>
      <w:r>
        <w:rPr>
          <w:rFonts w:hint="eastAsia" w:ascii="宋体" w:hAnsi="宋体"/>
          <w:bCs/>
          <w:sz w:val="24"/>
          <w:szCs w:val="24"/>
        </w:rPr>
        <w:t>标，投标文件中所有关于投标资格的文件、证明、陈述均是真实的、准确的。若有违背，我公司（单位）          愿意承担由此而产生的一切后果。</w:t>
      </w:r>
    </w:p>
    <w:p>
      <w:pPr>
        <w:spacing w:line="480" w:lineRule="auto"/>
        <w:rPr>
          <w:rFonts w:ascii="宋体"/>
          <w:bCs/>
          <w:sz w:val="24"/>
          <w:szCs w:val="24"/>
        </w:rPr>
      </w:pPr>
    </w:p>
    <w:p>
      <w:pPr>
        <w:spacing w:line="480" w:lineRule="auto"/>
        <w:rPr>
          <w:rFonts w:ascii="宋体"/>
          <w:bCs/>
          <w:sz w:val="24"/>
          <w:szCs w:val="24"/>
        </w:rPr>
      </w:pPr>
      <w:r>
        <w:rPr>
          <w:rFonts w:hint="eastAsia" w:ascii="宋体" w:hAnsi="宋体"/>
          <w:bCs/>
          <w:sz w:val="24"/>
          <w:szCs w:val="24"/>
        </w:rPr>
        <w:t xml:space="preserve">                                       投标人（盖章）：</w:t>
      </w:r>
    </w:p>
    <w:p>
      <w:pPr>
        <w:spacing w:line="480" w:lineRule="auto"/>
        <w:rPr>
          <w:rFonts w:ascii="宋体"/>
          <w:bCs/>
          <w:sz w:val="24"/>
          <w:szCs w:val="24"/>
        </w:rPr>
      </w:pPr>
      <w:r>
        <w:rPr>
          <w:rFonts w:hint="eastAsia" w:ascii="宋体" w:hAnsi="宋体"/>
          <w:bCs/>
          <w:sz w:val="24"/>
          <w:szCs w:val="24"/>
        </w:rPr>
        <w:t xml:space="preserve">         法定代表人或法定代表人授权代表（签字或盖章）：</w:t>
      </w:r>
    </w:p>
    <w:p>
      <w:pPr>
        <w:spacing w:line="480" w:lineRule="auto"/>
        <w:rPr>
          <w:rFonts w:ascii="宋体"/>
          <w:bCs/>
          <w:sz w:val="24"/>
          <w:szCs w:val="24"/>
        </w:rPr>
      </w:pPr>
    </w:p>
    <w:p>
      <w:pPr>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20" w:firstLineChars="200"/>
        <w:outlineLvl w:val="0"/>
        <w:rPr>
          <w:rFonts w:ascii="黑体" w:hAnsi="宋体" w:eastAsia="黑体"/>
          <w:bCs/>
          <w:sz w:val="24"/>
          <w:szCs w:val="24"/>
          <w:highlight w:val="none"/>
        </w:rPr>
      </w:pPr>
      <w:bookmarkStart w:id="16" w:name="_Toc86134319"/>
      <w:r>
        <w:rPr>
          <w:rFonts w:hint="eastAsia"/>
          <w:szCs w:val="21"/>
          <w:highlight w:val="none"/>
        </w:rPr>
        <w:t>注：条款中所称</w:t>
      </w:r>
      <w:r>
        <w:rPr>
          <w:szCs w:val="21"/>
          <w:highlight w:val="none"/>
        </w:rPr>
        <w:t>“</w:t>
      </w:r>
      <w:r>
        <w:rPr>
          <w:rFonts w:hint="eastAsia"/>
          <w:szCs w:val="21"/>
          <w:highlight w:val="none"/>
        </w:rPr>
        <w:t>重大违法记录</w:t>
      </w:r>
      <w:r>
        <w:rPr>
          <w:szCs w:val="21"/>
          <w:highlight w:val="none"/>
        </w:rPr>
        <w:t>”</w:t>
      </w:r>
      <w:r>
        <w:rPr>
          <w:rFonts w:hint="eastAsia"/>
          <w:szCs w:val="21"/>
          <w:highlight w:val="none"/>
        </w:rPr>
        <w:t>，是指供应商因违法经营受到刑事处罚或者责令停产停业、吊销许可证或者执照、较大数额罚款等行政处罚。（</w:t>
      </w:r>
      <w:r>
        <w:rPr>
          <w:szCs w:val="21"/>
          <w:highlight w:val="none"/>
        </w:rPr>
        <w:t>“</w:t>
      </w:r>
      <w:r>
        <w:rPr>
          <w:rFonts w:hint="eastAsia"/>
          <w:szCs w:val="21"/>
          <w:highlight w:val="none"/>
        </w:rPr>
        <w:t>较大数额罚款</w:t>
      </w:r>
      <w:r>
        <w:rPr>
          <w:szCs w:val="21"/>
          <w:highlight w:val="none"/>
        </w:rPr>
        <w:t>”</w:t>
      </w:r>
      <w:r>
        <w:rPr>
          <w:rFonts w:hint="eastAsia"/>
          <w:szCs w:val="21"/>
          <w:highlight w:val="none"/>
        </w:rPr>
        <w:t>的金额标准是指：若采购项目所属行业行政主管部门对较大数额罚款金额标准有明文规定的，以所属行业行政主管部门规定的较大数额罚款金额标准；若采购项目所属行业行政主管部门对较大数额罚款金额标准未明文规定的，以江苏省人民政府规定的行政处罚罚款听证标准金额为准（详见江苏省行政处罚听证程序规则（试行））</w:t>
      </w:r>
      <w:bookmarkEnd w:id="16"/>
    </w:p>
    <w:p>
      <w:pPr>
        <w:pageBreakBefore/>
        <w:outlineLvl w:val="0"/>
        <w:rPr>
          <w:rFonts w:ascii="黑体" w:hAnsi="宋体" w:eastAsia="黑体"/>
          <w:bCs/>
          <w:sz w:val="24"/>
          <w:szCs w:val="24"/>
        </w:rPr>
      </w:pPr>
    </w:p>
    <w:p>
      <w:pPr>
        <w:ind w:firstLine="480" w:firstLineChars="200"/>
        <w:outlineLvl w:val="0"/>
        <w:rPr>
          <w:rFonts w:ascii="黑体" w:eastAsia="黑体"/>
          <w:bCs/>
          <w:sz w:val="28"/>
          <w:szCs w:val="28"/>
        </w:rPr>
      </w:pPr>
      <w:bookmarkStart w:id="17" w:name="_Toc61444109"/>
      <w:bookmarkStart w:id="18" w:name="_Toc86134320"/>
      <w:r>
        <w:rPr>
          <w:rFonts w:hint="eastAsia" w:ascii="黑体" w:hAnsi="宋体" w:eastAsia="黑体"/>
          <w:bCs/>
          <w:sz w:val="24"/>
          <w:szCs w:val="24"/>
        </w:rPr>
        <w:t>（三）（投标人）法定代表人授权委托书（格式）：</w:t>
      </w:r>
      <w:bookmarkEnd w:id="17"/>
      <w:bookmarkEnd w:id="18"/>
    </w:p>
    <w:p>
      <w:pPr>
        <w:outlineLvl w:val="0"/>
        <w:rPr>
          <w:rFonts w:ascii="黑体" w:eastAsia="黑体"/>
          <w:bCs/>
          <w:sz w:val="28"/>
          <w:szCs w:val="28"/>
        </w:rPr>
      </w:pPr>
    </w:p>
    <w:p>
      <w:pPr>
        <w:jc w:val="center"/>
        <w:outlineLvl w:val="0"/>
        <w:rPr>
          <w:rFonts w:ascii="黑体" w:eastAsia="黑体"/>
          <w:bCs/>
          <w:sz w:val="28"/>
          <w:szCs w:val="28"/>
        </w:rPr>
      </w:pPr>
      <w:bookmarkStart w:id="19" w:name="_Toc86134321"/>
      <w:bookmarkStart w:id="20" w:name="_Toc61444110"/>
      <w:r>
        <w:rPr>
          <w:rFonts w:hint="eastAsia" w:ascii="黑体" w:eastAsia="黑体"/>
          <w:bCs/>
          <w:sz w:val="28"/>
          <w:szCs w:val="28"/>
        </w:rPr>
        <w:t>法定代表人授权委托书</w:t>
      </w:r>
      <w:bookmarkEnd w:id="19"/>
      <w:bookmarkEnd w:id="20"/>
    </w:p>
    <w:p>
      <w:pPr>
        <w:spacing w:line="360" w:lineRule="auto"/>
        <w:jc w:val="center"/>
        <w:rPr>
          <w:rFonts w:ascii="楷体_GB2312" w:eastAsia="楷体_GB2312"/>
          <w:bCs/>
          <w:sz w:val="36"/>
        </w:rPr>
      </w:pPr>
    </w:p>
    <w:p>
      <w:pPr>
        <w:spacing w:line="480" w:lineRule="auto"/>
        <w:rPr>
          <w:rFonts w:hint="default" w:ascii="宋体" w:eastAsia="黑体"/>
          <w:bCs/>
          <w:sz w:val="24"/>
          <w:szCs w:val="24"/>
          <w:lang w:val="en-US" w:eastAsia="zh-CN"/>
        </w:rPr>
      </w:pPr>
      <w:r>
        <w:rPr>
          <w:rFonts w:hint="eastAsia" w:ascii="宋体" w:hAnsi="宋体"/>
          <w:bCs/>
          <w:sz w:val="24"/>
          <w:szCs w:val="24"/>
        </w:rPr>
        <w:t>政府采购编号：</w:t>
      </w:r>
      <w:r>
        <w:rPr>
          <w:rFonts w:hint="eastAsia" w:ascii="黑体" w:eastAsia="黑体"/>
          <w:bCs/>
          <w:color w:val="auto"/>
          <w:sz w:val="24"/>
          <w:szCs w:val="24"/>
        </w:rPr>
        <w:t>HSCGZX(G)</w:t>
      </w:r>
      <w:r>
        <w:rPr>
          <w:rFonts w:hint="eastAsia" w:ascii="黑体" w:eastAsia="黑体"/>
          <w:bCs/>
          <w:color w:val="auto"/>
          <w:sz w:val="24"/>
          <w:szCs w:val="24"/>
          <w:lang w:val="en-US" w:eastAsia="zh-CN"/>
        </w:rPr>
        <w:t>20230034</w:t>
      </w:r>
    </w:p>
    <w:p>
      <w:pPr>
        <w:spacing w:line="480" w:lineRule="auto"/>
        <w:rPr>
          <w:rFonts w:ascii="宋体"/>
          <w:bCs/>
          <w:sz w:val="24"/>
          <w:szCs w:val="24"/>
        </w:rPr>
      </w:pPr>
      <w:r>
        <w:rPr>
          <w:rFonts w:hint="eastAsia" w:ascii="宋体" w:hAnsi="宋体"/>
          <w:bCs/>
          <w:sz w:val="24"/>
          <w:szCs w:val="24"/>
        </w:rPr>
        <w:t xml:space="preserve">                                          日期：</w:t>
      </w:r>
    </w:p>
    <w:p>
      <w:pPr>
        <w:spacing w:line="600" w:lineRule="exact"/>
        <w:rPr>
          <w:rFonts w:ascii="宋体"/>
          <w:bCs/>
          <w:sz w:val="24"/>
          <w:szCs w:val="24"/>
        </w:rPr>
      </w:pPr>
      <w:r>
        <w:rPr>
          <w:rFonts w:hint="eastAsia" w:ascii="宋体" w:hAnsi="宋体"/>
          <w:bCs/>
          <w:sz w:val="24"/>
          <w:szCs w:val="24"/>
        </w:rPr>
        <w:t>无锡市惠山区政府采购中心：</w:t>
      </w:r>
    </w:p>
    <w:p>
      <w:pPr>
        <w:spacing w:line="580" w:lineRule="exact"/>
        <w:rPr>
          <w:rFonts w:ascii="宋体"/>
          <w:bCs/>
          <w:sz w:val="24"/>
          <w:szCs w:val="24"/>
        </w:rPr>
      </w:pPr>
      <w:r>
        <w:rPr>
          <w:rFonts w:hint="eastAsia" w:ascii="宋体" w:hAnsi="宋体"/>
          <w:bCs/>
          <w:sz w:val="24"/>
          <w:szCs w:val="24"/>
        </w:rPr>
        <w:t xml:space="preserve">                          系中华人民共和国合法公司（单位），特授权       代表我公司（单位）全权办理针对本项目</w:t>
      </w:r>
      <w:r>
        <w:rPr>
          <w:rFonts w:hint="eastAsia" w:ascii="宋体" w:hAnsi="宋体"/>
          <w:bCs/>
          <w:color w:val="auto"/>
          <w:sz w:val="24"/>
          <w:szCs w:val="24"/>
        </w:rPr>
        <w:t>（</w:t>
      </w:r>
      <w:r>
        <w:rPr>
          <w:rFonts w:hint="eastAsia" w:ascii="黑体" w:eastAsia="黑体"/>
          <w:bCs/>
          <w:color w:val="auto"/>
          <w:sz w:val="24"/>
          <w:szCs w:val="24"/>
        </w:rPr>
        <w:t>HSCGZX(G)</w:t>
      </w:r>
      <w:r>
        <w:rPr>
          <w:rFonts w:hint="eastAsia" w:ascii="黑体" w:eastAsia="黑体"/>
          <w:bCs/>
          <w:color w:val="auto"/>
          <w:sz w:val="24"/>
          <w:szCs w:val="24"/>
          <w:lang w:val="en-US" w:eastAsia="zh-CN"/>
        </w:rPr>
        <w:t>20230034</w:t>
      </w:r>
      <w:r>
        <w:rPr>
          <w:rFonts w:hint="eastAsia" w:ascii="黑体" w:eastAsia="黑体"/>
          <w:bCs/>
          <w:color w:val="auto"/>
          <w:sz w:val="24"/>
          <w:szCs w:val="24"/>
        </w:rPr>
        <w:t>）</w:t>
      </w:r>
      <w:r>
        <w:rPr>
          <w:rFonts w:hint="eastAsia" w:ascii="宋体" w:hAnsi="宋体"/>
          <w:bCs/>
          <w:sz w:val="24"/>
          <w:szCs w:val="24"/>
        </w:rPr>
        <w:t>的投标、参与开标、评标、签约等具体工作，并签署全部有关的文件、协议及合同。</w:t>
      </w:r>
    </w:p>
    <w:p>
      <w:pPr>
        <w:spacing w:line="580" w:lineRule="exact"/>
        <w:ind w:firstLine="480" w:firstLineChars="200"/>
        <w:rPr>
          <w:rFonts w:ascii="宋体"/>
          <w:bCs/>
          <w:sz w:val="24"/>
          <w:szCs w:val="24"/>
        </w:rPr>
      </w:pPr>
      <w:r>
        <w:rPr>
          <w:rFonts w:hint="eastAsia" w:ascii="宋体" w:hAnsi="宋体"/>
          <w:bCs/>
          <w:sz w:val="24"/>
          <w:szCs w:val="24"/>
        </w:rPr>
        <w:t>我公司（单位）对被授权代表的签名负全部责任。</w:t>
      </w:r>
    </w:p>
    <w:p>
      <w:pPr>
        <w:spacing w:line="580" w:lineRule="exact"/>
        <w:ind w:firstLine="480" w:firstLineChars="200"/>
        <w:rPr>
          <w:rFonts w:ascii="宋体"/>
          <w:bCs/>
          <w:sz w:val="24"/>
          <w:szCs w:val="24"/>
        </w:rPr>
      </w:pPr>
      <w:r>
        <w:rPr>
          <w:rFonts w:hint="eastAsia" w:ascii="宋体" w:hAnsi="宋体"/>
          <w:bCs/>
          <w:sz w:val="24"/>
          <w:szCs w:val="24"/>
        </w:rPr>
        <w:t>在撤销授权的书面通知送达你处以前，本授权书一直有效，被授权代表签署的所有文件（在授权书有效期内签署的）不因授权的撤销而失效。</w:t>
      </w:r>
    </w:p>
    <w:p>
      <w:pPr>
        <w:spacing w:line="580" w:lineRule="exact"/>
        <w:ind w:firstLine="480" w:firstLineChars="200"/>
        <w:rPr>
          <w:rFonts w:ascii="宋体"/>
          <w:bCs/>
          <w:sz w:val="24"/>
          <w:szCs w:val="24"/>
        </w:rPr>
      </w:pPr>
      <w:r>
        <w:rPr>
          <w:rFonts w:hint="eastAsia" w:ascii="宋体" w:hAnsi="宋体"/>
          <w:bCs/>
          <w:sz w:val="24"/>
          <w:szCs w:val="24"/>
        </w:rPr>
        <w:t>被授权代表情况：</w:t>
      </w:r>
    </w:p>
    <w:p>
      <w:pPr>
        <w:spacing w:line="580" w:lineRule="exact"/>
        <w:ind w:firstLine="525"/>
        <w:rPr>
          <w:rFonts w:ascii="宋体"/>
          <w:bCs/>
          <w:sz w:val="24"/>
          <w:szCs w:val="24"/>
        </w:rPr>
      </w:pPr>
      <w:r>
        <w:rPr>
          <w:rFonts w:hint="eastAsia" w:ascii="宋体" w:hAnsi="宋体"/>
          <w:bCs/>
          <w:sz w:val="24"/>
          <w:szCs w:val="24"/>
        </w:rPr>
        <w:t>姓名：         性别：       电话：</w:t>
      </w:r>
    </w:p>
    <w:p>
      <w:pPr>
        <w:spacing w:line="580" w:lineRule="exact"/>
        <w:ind w:firstLine="3240" w:firstLineChars="1350"/>
        <w:rPr>
          <w:rFonts w:ascii="宋体"/>
          <w:bCs/>
          <w:sz w:val="24"/>
          <w:szCs w:val="24"/>
        </w:rPr>
      </w:pPr>
    </w:p>
    <w:p>
      <w:pPr>
        <w:spacing w:line="580" w:lineRule="exact"/>
        <w:ind w:firstLine="3240" w:firstLineChars="1350"/>
        <w:rPr>
          <w:rFonts w:ascii="宋体"/>
          <w:bCs/>
          <w:sz w:val="24"/>
          <w:szCs w:val="24"/>
        </w:rPr>
      </w:pPr>
    </w:p>
    <w:p>
      <w:pPr>
        <w:spacing w:line="580" w:lineRule="exact"/>
        <w:ind w:firstLine="3240" w:firstLineChars="1350"/>
        <w:rPr>
          <w:rFonts w:ascii="宋体"/>
          <w:bCs/>
          <w:sz w:val="24"/>
          <w:szCs w:val="24"/>
        </w:rPr>
      </w:pPr>
      <w:r>
        <w:rPr>
          <w:rFonts w:hint="eastAsia" w:ascii="宋体" w:hAnsi="宋体"/>
          <w:bCs/>
          <w:sz w:val="24"/>
          <w:szCs w:val="24"/>
        </w:rPr>
        <w:t xml:space="preserve">               单位名称（盖章）：</w:t>
      </w:r>
    </w:p>
    <w:p>
      <w:pPr>
        <w:spacing w:line="580" w:lineRule="exact"/>
        <w:ind w:firstLine="4080" w:firstLineChars="1700"/>
        <w:rPr>
          <w:rFonts w:ascii="宋体"/>
          <w:bCs/>
          <w:sz w:val="24"/>
          <w:szCs w:val="24"/>
        </w:rPr>
      </w:pPr>
      <w:r>
        <w:rPr>
          <w:rFonts w:hint="eastAsia" w:ascii="宋体" w:hAnsi="宋体"/>
          <w:bCs/>
          <w:sz w:val="24"/>
          <w:szCs w:val="24"/>
        </w:rPr>
        <w:t>法定代表人（签字或盖章）：</w:t>
      </w:r>
    </w:p>
    <w:p>
      <w:pPr>
        <w:spacing w:line="580" w:lineRule="exact"/>
        <w:ind w:firstLine="420"/>
        <w:rPr>
          <w:rFonts w:ascii="宋体"/>
          <w:bCs/>
          <w:sz w:val="24"/>
          <w:szCs w:val="24"/>
        </w:rPr>
      </w:pPr>
    </w:p>
    <w:p>
      <w:pPr>
        <w:spacing w:line="580" w:lineRule="exact"/>
        <w:ind w:firstLine="420"/>
        <w:rPr>
          <w:rFonts w:ascii="宋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outlineLvl w:val="0"/>
        <w:rPr>
          <w:rFonts w:ascii="黑体" w:hAnsi="宋体" w:eastAsia="黑体"/>
          <w:bCs/>
          <w:sz w:val="24"/>
          <w:szCs w:val="24"/>
        </w:rPr>
      </w:pPr>
    </w:p>
    <w:p>
      <w:pPr>
        <w:pageBreakBefore/>
        <w:outlineLvl w:val="0"/>
        <w:rPr>
          <w:rFonts w:ascii="黑体" w:eastAsia="黑体"/>
          <w:bCs/>
          <w:sz w:val="28"/>
          <w:szCs w:val="28"/>
          <w:highlight w:val="none"/>
        </w:rPr>
      </w:pPr>
      <w:bookmarkStart w:id="21" w:name="_Toc86134322"/>
      <w:bookmarkStart w:id="22" w:name="_Toc61444111"/>
      <w:r>
        <w:rPr>
          <w:rFonts w:hint="eastAsia" w:ascii="黑体" w:hAnsi="宋体" w:eastAsia="黑体"/>
          <w:bCs/>
          <w:sz w:val="24"/>
          <w:szCs w:val="24"/>
          <w:highlight w:val="none"/>
        </w:rPr>
        <w:t>（四）（投标人）中小企业声明函（格式）：</w:t>
      </w:r>
      <w:bookmarkEnd w:id="21"/>
      <w:bookmarkEnd w:id="22"/>
    </w:p>
    <w:p>
      <w:pPr>
        <w:spacing w:line="480" w:lineRule="auto"/>
        <w:rPr>
          <w:rFonts w:ascii="宋体"/>
          <w:bCs/>
          <w:sz w:val="24"/>
          <w:szCs w:val="24"/>
        </w:rPr>
      </w:pPr>
    </w:p>
    <w:p>
      <w:pPr>
        <w:autoSpaceDE w:val="0"/>
        <w:autoSpaceDN w:val="0"/>
        <w:adjustRightInd w:val="0"/>
        <w:spacing w:line="361" w:lineRule="exact"/>
        <w:ind w:left="1624"/>
        <w:jc w:val="left"/>
        <w:rPr>
          <w:szCs w:val="21"/>
        </w:rPr>
      </w:pPr>
      <w:r>
        <w:rPr>
          <w:rFonts w:hint="eastAsia" w:ascii="宋体" w:cs="宋体"/>
          <w:b/>
          <w:bCs/>
          <w:color w:val="000000"/>
          <w:kern w:val="0"/>
          <w:sz w:val="35"/>
          <w:szCs w:val="35"/>
          <w:lang w:val="zh-CN"/>
        </w:rPr>
        <w:t>中</w:t>
      </w:r>
      <w:r>
        <w:rPr>
          <w:rFonts w:hint="eastAsia" w:ascii="宋体" w:cs="宋体"/>
          <w:b/>
          <w:bCs/>
          <w:color w:val="000000"/>
          <w:spacing w:val="-13"/>
          <w:kern w:val="0"/>
          <w:sz w:val="35"/>
          <w:szCs w:val="35"/>
          <w:lang w:val="zh-CN"/>
        </w:rPr>
        <w:t>小</w:t>
      </w:r>
      <w:r>
        <w:rPr>
          <w:rFonts w:hint="eastAsia" w:ascii="宋体" w:cs="宋体"/>
          <w:b/>
          <w:bCs/>
          <w:color w:val="000000"/>
          <w:kern w:val="0"/>
          <w:sz w:val="35"/>
          <w:szCs w:val="35"/>
          <w:lang w:val="zh-CN"/>
        </w:rPr>
        <w:t>企</w:t>
      </w:r>
      <w:r>
        <w:rPr>
          <w:rFonts w:hint="eastAsia" w:ascii="宋体" w:cs="宋体"/>
          <w:b/>
          <w:bCs/>
          <w:color w:val="000000"/>
          <w:spacing w:val="-6"/>
          <w:kern w:val="0"/>
          <w:sz w:val="35"/>
          <w:szCs w:val="35"/>
          <w:lang w:val="zh-CN"/>
        </w:rPr>
        <w:t>业</w:t>
      </w:r>
      <w:r>
        <w:rPr>
          <w:rFonts w:hint="eastAsia" w:ascii="宋体" w:cs="宋体"/>
          <w:b/>
          <w:bCs/>
          <w:color w:val="000000"/>
          <w:kern w:val="0"/>
          <w:sz w:val="35"/>
          <w:szCs w:val="35"/>
          <w:lang w:val="zh-CN"/>
        </w:rPr>
        <w:t>声</w:t>
      </w:r>
      <w:r>
        <w:rPr>
          <w:rFonts w:hint="eastAsia" w:ascii="宋体" w:cs="宋体"/>
          <w:b/>
          <w:bCs/>
          <w:color w:val="000000"/>
          <w:spacing w:val="-13"/>
          <w:kern w:val="0"/>
          <w:sz w:val="35"/>
          <w:szCs w:val="35"/>
          <w:lang w:val="zh-CN"/>
        </w:rPr>
        <w:t>明</w:t>
      </w:r>
      <w:r>
        <w:rPr>
          <w:rFonts w:hint="eastAsia" w:ascii="宋体" w:cs="宋体"/>
          <w:b/>
          <w:bCs/>
          <w:color w:val="000000"/>
          <w:spacing w:val="-9"/>
          <w:kern w:val="0"/>
          <w:sz w:val="35"/>
          <w:szCs w:val="35"/>
          <w:lang w:val="zh-CN"/>
        </w:rPr>
        <w:t>函</w:t>
      </w:r>
      <w:r>
        <w:rPr>
          <w:rFonts w:hint="eastAsia" w:ascii="宋体" w:cs="宋体"/>
          <w:b/>
          <w:bCs/>
          <w:color w:val="000000"/>
          <w:kern w:val="0"/>
          <w:sz w:val="35"/>
          <w:szCs w:val="35"/>
          <w:lang w:val="zh-CN"/>
        </w:rPr>
        <w:t>（</w:t>
      </w:r>
      <w:r>
        <w:rPr>
          <w:rFonts w:hint="eastAsia" w:ascii="宋体" w:cs="宋体"/>
          <w:b/>
          <w:bCs/>
          <w:color w:val="000000"/>
          <w:spacing w:val="-13"/>
          <w:kern w:val="0"/>
          <w:sz w:val="35"/>
          <w:szCs w:val="35"/>
          <w:lang w:val="zh-CN"/>
        </w:rPr>
        <w:t>工</w:t>
      </w:r>
      <w:r>
        <w:rPr>
          <w:rFonts w:hint="eastAsia" w:ascii="宋体" w:cs="宋体"/>
          <w:b/>
          <w:bCs/>
          <w:color w:val="000000"/>
          <w:kern w:val="0"/>
          <w:sz w:val="35"/>
          <w:szCs w:val="35"/>
          <w:lang w:val="zh-CN"/>
        </w:rPr>
        <w:t>程</w:t>
      </w:r>
      <w:r>
        <w:rPr>
          <w:rFonts w:hint="eastAsia" w:ascii="宋体" w:cs="宋体"/>
          <w:b/>
          <w:bCs/>
          <w:color w:val="000000"/>
          <w:spacing w:val="-6"/>
          <w:kern w:val="0"/>
          <w:sz w:val="35"/>
          <w:szCs w:val="35"/>
          <w:lang w:val="zh-CN"/>
        </w:rPr>
        <w:t>、</w:t>
      </w:r>
      <w:r>
        <w:rPr>
          <w:rFonts w:hint="eastAsia" w:ascii="宋体" w:cs="宋体"/>
          <w:b/>
          <w:bCs/>
          <w:color w:val="000000"/>
          <w:kern w:val="0"/>
          <w:sz w:val="35"/>
          <w:szCs w:val="35"/>
          <w:lang w:val="zh-CN"/>
        </w:rPr>
        <w:t>服</w:t>
      </w:r>
      <w:r>
        <w:rPr>
          <w:rFonts w:hint="eastAsia" w:ascii="宋体" w:cs="宋体"/>
          <w:b/>
          <w:bCs/>
          <w:color w:val="000000"/>
          <w:spacing w:val="-13"/>
          <w:kern w:val="0"/>
          <w:sz w:val="35"/>
          <w:szCs w:val="35"/>
          <w:lang w:val="zh-CN"/>
        </w:rPr>
        <w:t>务</w:t>
      </w:r>
      <w:r>
        <w:rPr>
          <w:rFonts w:hint="eastAsia" w:ascii="宋体" w:cs="宋体"/>
          <w:b/>
          <w:bCs/>
          <w:color w:val="000000"/>
          <w:spacing w:val="-9"/>
          <w:kern w:val="0"/>
          <w:sz w:val="35"/>
          <w:szCs w:val="35"/>
          <w:lang w:val="zh-CN"/>
        </w:rPr>
        <w:t>）</w:t>
      </w:r>
    </w:p>
    <w:p>
      <w:pPr>
        <w:autoSpaceDE w:val="0"/>
        <w:autoSpaceDN w:val="0"/>
        <w:adjustRightInd w:val="0"/>
        <w:spacing w:line="716" w:lineRule="exact"/>
        <w:jc w:val="left"/>
        <w:rPr>
          <w:szCs w:val="21"/>
        </w:rPr>
      </w:pPr>
    </w:p>
    <w:p>
      <w:pPr>
        <w:autoSpaceDE w:val="0"/>
        <w:autoSpaceDN w:val="0"/>
        <w:adjustRightInd w:val="0"/>
        <w:spacing w:line="492" w:lineRule="exact"/>
        <w:ind w:right="98" w:firstLine="640"/>
        <w:rPr>
          <w:rFonts w:ascii="宋体" w:hAnsi="宋体"/>
          <w:bCs/>
          <w:sz w:val="24"/>
          <w:szCs w:val="24"/>
        </w:rPr>
      </w:pPr>
      <w:r>
        <w:rPr>
          <w:rFonts w:hint="eastAsia" w:ascii="宋体" w:hAnsi="宋体"/>
          <w:bCs/>
          <w:sz w:val="24"/>
          <w:szCs w:val="24"/>
        </w:rPr>
        <w:t>本公司（联合体）郑重声明，根据《政府采购促进中小企业发展管理办法》（财库﹝2020﹞46号）的规定，本公司（联合体）参加</w:t>
      </w:r>
      <w:r>
        <w:rPr>
          <w:rFonts w:hint="eastAsia" w:ascii="宋体" w:hAnsi="宋体"/>
          <w:bCs/>
          <w:i/>
          <w:sz w:val="24"/>
          <w:szCs w:val="24"/>
          <w:u w:val="single"/>
        </w:rPr>
        <w:t>（ 单 位 名 称 ）</w:t>
      </w:r>
      <w:r>
        <w:rPr>
          <w:rFonts w:hint="eastAsia" w:ascii="宋体" w:hAnsi="宋体"/>
          <w:bCs/>
          <w:sz w:val="24"/>
          <w:szCs w:val="24"/>
        </w:rPr>
        <w:t>的</w:t>
      </w:r>
      <w:r>
        <w:rPr>
          <w:rFonts w:hint="eastAsia" w:ascii="宋体" w:hAnsi="宋体"/>
          <w:bCs/>
          <w:i/>
          <w:sz w:val="24"/>
          <w:szCs w:val="24"/>
          <w:u w:val="single"/>
        </w:rPr>
        <w:t>（ 项 目 名 称 ）</w:t>
      </w:r>
      <w:r>
        <w:rPr>
          <w:rFonts w:hint="eastAsia" w:ascii="宋体" w:hAnsi="宋体"/>
          <w:bCs/>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pacing w:line="580" w:lineRule="exact"/>
        <w:ind w:firstLine="480" w:firstLineChars="200"/>
        <w:rPr>
          <w:rFonts w:ascii="宋体" w:hAnsi="宋体"/>
          <w:bCs/>
          <w:sz w:val="24"/>
          <w:szCs w:val="24"/>
        </w:rPr>
      </w:pPr>
      <w:r>
        <w:rPr>
          <w:rFonts w:hint="eastAsia" w:ascii="宋体" w:hAnsi="宋体"/>
          <w:bCs/>
          <w:sz w:val="24"/>
          <w:szCs w:val="24"/>
        </w:rPr>
        <w:t>1.</w:t>
      </w:r>
      <w:r>
        <w:rPr>
          <w:rFonts w:hint="eastAsia" w:ascii="宋体" w:hAnsi="宋体"/>
          <w:bCs/>
          <w:i/>
          <w:sz w:val="24"/>
          <w:szCs w:val="24"/>
          <w:u w:val="single"/>
        </w:rPr>
        <w:t>（ 标 的 名 称 ）</w:t>
      </w:r>
      <w:r>
        <w:rPr>
          <w:rFonts w:hint="eastAsia" w:ascii="宋体" w:hAnsi="宋体"/>
          <w:bCs/>
          <w:sz w:val="24"/>
          <w:szCs w:val="24"/>
        </w:rPr>
        <w:t>，属于</w:t>
      </w:r>
      <w:r>
        <w:rPr>
          <w:rFonts w:hint="eastAsia" w:ascii="宋体" w:hAnsi="宋体"/>
          <w:bCs/>
          <w:i/>
          <w:sz w:val="24"/>
          <w:szCs w:val="24"/>
          <w:u w:val="single"/>
        </w:rPr>
        <w:t>（采购文件中明确的所属行业）</w:t>
      </w:r>
      <w:r>
        <w:rPr>
          <w:rFonts w:hint="eastAsia" w:ascii="宋体" w:hAnsi="宋体"/>
          <w:bCs/>
          <w:sz w:val="24"/>
          <w:szCs w:val="24"/>
        </w:rPr>
        <w:t>；承建（承接）企业为</w:t>
      </w:r>
      <w:r>
        <w:rPr>
          <w:rFonts w:hint="eastAsia" w:ascii="宋体" w:hAnsi="宋体"/>
          <w:bCs/>
          <w:i/>
          <w:sz w:val="24"/>
          <w:szCs w:val="24"/>
          <w:u w:val="single"/>
        </w:rPr>
        <w:t>（企业名称）</w:t>
      </w:r>
      <w:r>
        <w:rPr>
          <w:rFonts w:hint="eastAsia" w:ascii="宋体" w:hAnsi="宋体"/>
          <w:bCs/>
          <w:sz w:val="24"/>
          <w:szCs w:val="24"/>
        </w:rPr>
        <w:t>，从业人员人，营业收入为万元，资产总额为万元</w:t>
      </w:r>
      <w:r>
        <w:rPr>
          <w:rFonts w:hint="eastAsia" w:ascii="宋体" w:hAnsi="宋体"/>
          <w:bCs/>
          <w:sz w:val="24"/>
          <w:szCs w:val="24"/>
          <w:vertAlign w:val="superscript"/>
        </w:rPr>
        <w:t>1</w:t>
      </w:r>
      <w:r>
        <w:rPr>
          <w:rFonts w:hint="eastAsia" w:ascii="宋体" w:hAnsi="宋体"/>
          <w:bCs/>
          <w:sz w:val="24"/>
          <w:szCs w:val="24"/>
        </w:rPr>
        <w:t>，属于</w:t>
      </w:r>
      <w:r>
        <w:rPr>
          <w:rFonts w:hint="eastAsia" w:ascii="宋体" w:hAnsi="宋体"/>
          <w:bCs/>
          <w:i/>
          <w:sz w:val="24"/>
          <w:szCs w:val="24"/>
          <w:u w:val="single"/>
        </w:rPr>
        <w:t>（中型企业、小型企业、微型企业）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2.</w:t>
      </w:r>
      <w:r>
        <w:rPr>
          <w:rFonts w:hint="eastAsia" w:ascii="宋体" w:hAnsi="宋体"/>
          <w:bCs/>
          <w:i/>
          <w:sz w:val="24"/>
          <w:szCs w:val="24"/>
          <w:u w:val="single"/>
        </w:rPr>
        <w:t>（ 标 的 名 称 ）</w:t>
      </w:r>
      <w:r>
        <w:rPr>
          <w:rFonts w:hint="eastAsia" w:ascii="宋体" w:hAnsi="宋体"/>
          <w:bCs/>
          <w:sz w:val="24"/>
          <w:szCs w:val="24"/>
        </w:rPr>
        <w:t>，属于</w:t>
      </w:r>
      <w:r>
        <w:rPr>
          <w:rFonts w:hint="eastAsia" w:ascii="宋体" w:hAnsi="宋体"/>
          <w:bCs/>
          <w:i/>
          <w:sz w:val="24"/>
          <w:szCs w:val="24"/>
          <w:u w:val="single"/>
        </w:rPr>
        <w:t>（采购文件中明确的所属行业）</w:t>
      </w:r>
      <w:r>
        <w:rPr>
          <w:rFonts w:hint="eastAsia" w:ascii="宋体" w:hAnsi="宋体"/>
          <w:bCs/>
          <w:sz w:val="24"/>
          <w:szCs w:val="24"/>
        </w:rPr>
        <w:t>；承建（承接）企业为</w:t>
      </w:r>
      <w:r>
        <w:rPr>
          <w:rFonts w:hint="eastAsia" w:ascii="宋体" w:hAnsi="宋体"/>
          <w:bCs/>
          <w:i/>
          <w:sz w:val="24"/>
          <w:szCs w:val="24"/>
          <w:u w:val="single"/>
        </w:rPr>
        <w:t>（企业名称）</w:t>
      </w:r>
      <w:r>
        <w:rPr>
          <w:rFonts w:hint="eastAsia" w:ascii="宋体" w:hAnsi="宋体"/>
          <w:bCs/>
          <w:sz w:val="24"/>
          <w:szCs w:val="24"/>
        </w:rPr>
        <w:t>，从业人员人，营业收入为万元，资产总额为万元，属于</w:t>
      </w:r>
      <w:r>
        <w:rPr>
          <w:rFonts w:hint="eastAsia" w:ascii="宋体" w:hAnsi="宋体"/>
          <w:bCs/>
          <w:i/>
          <w:sz w:val="24"/>
          <w:szCs w:val="24"/>
          <w:u w:val="single"/>
        </w:rPr>
        <w:t>（ 中型企业 、小型企业、微型企业）</w:t>
      </w:r>
      <w:r>
        <w:rPr>
          <w:rFonts w:hint="eastAsia" w:ascii="宋体" w:hAnsi="宋体"/>
          <w:bCs/>
          <w:sz w:val="24"/>
          <w:szCs w:val="24"/>
        </w:rPr>
        <w:t>；</w:t>
      </w:r>
    </w:p>
    <w:p>
      <w:pPr>
        <w:spacing w:line="580" w:lineRule="exact"/>
        <w:ind w:firstLine="480" w:firstLineChars="200"/>
        <w:rPr>
          <w:rFonts w:ascii="宋体" w:hAnsi="宋体"/>
          <w:bCs/>
          <w:sz w:val="24"/>
          <w:szCs w:val="24"/>
        </w:rPr>
      </w:pPr>
      <w:r>
        <w:rPr>
          <w:rFonts w:hint="eastAsia" w:ascii="宋体" w:hAnsi="宋体"/>
          <w:bCs/>
          <w:sz w:val="24"/>
          <w:szCs w:val="24"/>
        </w:rPr>
        <w:t>……</w:t>
      </w:r>
    </w:p>
    <w:p>
      <w:pPr>
        <w:autoSpaceDE w:val="0"/>
        <w:autoSpaceDN w:val="0"/>
        <w:adjustRightInd w:val="0"/>
        <w:spacing w:line="456" w:lineRule="exact"/>
        <w:ind w:right="101" w:firstLine="645"/>
        <w:rPr>
          <w:rFonts w:ascii="宋体" w:hAnsi="宋体"/>
          <w:bCs/>
          <w:sz w:val="24"/>
          <w:szCs w:val="24"/>
        </w:rPr>
      </w:pPr>
      <w:r>
        <w:rPr>
          <w:rFonts w:hint="eastAsia" w:ascii="宋体" w:hAnsi="宋体"/>
          <w:bCs/>
          <w:sz w:val="24"/>
          <w:szCs w:val="24"/>
        </w:rPr>
        <w:t>以上企业，不属于大企业的分支机构，不存在控股股东为大企业的情形，也不存在与大企业的负责人为同一人的情形。</w:t>
      </w:r>
    </w:p>
    <w:p>
      <w:pPr>
        <w:autoSpaceDE w:val="0"/>
        <w:autoSpaceDN w:val="0"/>
        <w:adjustRightInd w:val="0"/>
        <w:spacing w:line="192" w:lineRule="exact"/>
        <w:jc w:val="left"/>
        <w:rPr>
          <w:rFonts w:ascii="宋体" w:hAnsi="宋体"/>
          <w:bCs/>
          <w:sz w:val="24"/>
          <w:szCs w:val="24"/>
        </w:rPr>
      </w:pPr>
    </w:p>
    <w:p>
      <w:pPr>
        <w:autoSpaceDE w:val="0"/>
        <w:autoSpaceDN w:val="0"/>
        <w:adjustRightInd w:val="0"/>
        <w:spacing w:line="423" w:lineRule="exact"/>
        <w:ind w:right="103" w:firstLine="640"/>
        <w:jc w:val="left"/>
        <w:rPr>
          <w:rFonts w:ascii="宋体" w:hAnsi="宋体"/>
          <w:bCs/>
          <w:sz w:val="24"/>
          <w:szCs w:val="24"/>
        </w:rPr>
      </w:pPr>
      <w:r>
        <w:rPr>
          <w:rFonts w:hint="eastAsia" w:ascii="宋体" w:hAnsi="宋体"/>
          <w:bCs/>
          <w:sz w:val="24"/>
          <w:szCs w:val="24"/>
        </w:rPr>
        <w:t>本企业对上述声明内容的真实性负责。如有虚假，将依法承担相应责任。</w:t>
      </w:r>
    </w:p>
    <w:p>
      <w:pPr>
        <w:autoSpaceDE w:val="0"/>
        <w:autoSpaceDN w:val="0"/>
        <w:adjustRightInd w:val="0"/>
        <w:spacing w:line="226" w:lineRule="exact"/>
        <w:jc w:val="left"/>
        <w:rPr>
          <w:rFonts w:ascii="宋体" w:hAnsi="宋体"/>
          <w:bCs/>
          <w:sz w:val="24"/>
          <w:szCs w:val="24"/>
        </w:rPr>
      </w:pPr>
    </w:p>
    <w:p>
      <w:pPr>
        <w:autoSpaceDE w:val="0"/>
        <w:autoSpaceDN w:val="0"/>
        <w:adjustRightInd w:val="0"/>
        <w:spacing w:line="326" w:lineRule="exact"/>
        <w:ind w:left="3838"/>
        <w:jc w:val="left"/>
        <w:rPr>
          <w:rFonts w:ascii="宋体" w:hAnsi="宋体"/>
          <w:bCs/>
          <w:sz w:val="24"/>
          <w:szCs w:val="24"/>
        </w:rPr>
      </w:pPr>
      <w:r>
        <w:rPr>
          <w:rFonts w:hint="eastAsia" w:ascii="宋体" w:hAnsi="宋体"/>
          <w:bCs/>
          <w:sz w:val="24"/>
          <w:szCs w:val="24"/>
        </w:rPr>
        <w:t>企业名称（盖章）：</w:t>
      </w:r>
    </w:p>
    <w:p>
      <w:pPr>
        <w:autoSpaceDE w:val="0"/>
        <w:autoSpaceDN w:val="0"/>
        <w:adjustRightInd w:val="0"/>
        <w:spacing w:line="214" w:lineRule="exact"/>
        <w:jc w:val="left"/>
        <w:rPr>
          <w:rFonts w:ascii="宋体" w:hAnsi="宋体"/>
          <w:bCs/>
          <w:sz w:val="24"/>
          <w:szCs w:val="24"/>
        </w:rPr>
      </w:pPr>
    </w:p>
    <w:p>
      <w:pPr>
        <w:autoSpaceDE w:val="0"/>
        <w:autoSpaceDN w:val="0"/>
        <w:adjustRightInd w:val="0"/>
        <w:spacing w:line="327" w:lineRule="exact"/>
        <w:ind w:left="3838"/>
        <w:jc w:val="left"/>
        <w:rPr>
          <w:rFonts w:ascii="宋体" w:hAnsi="宋体"/>
          <w:bCs/>
          <w:sz w:val="24"/>
          <w:szCs w:val="24"/>
        </w:rPr>
      </w:pPr>
      <w:r>
        <w:rPr>
          <w:rFonts w:hint="eastAsia" w:ascii="宋体" w:hAnsi="宋体"/>
          <w:bCs/>
          <w:sz w:val="24"/>
          <w:szCs w:val="24"/>
        </w:rPr>
        <w:t>日期：</w:t>
      </w:r>
    </w:p>
    <w:p>
      <w:pPr>
        <w:autoSpaceDE w:val="0"/>
        <w:autoSpaceDN w:val="0"/>
        <w:adjustRightInd w:val="0"/>
        <w:spacing w:line="327" w:lineRule="exact"/>
        <w:jc w:val="left"/>
        <w:rPr>
          <w:rFonts w:eastAsia="仿宋"/>
          <w:szCs w:val="21"/>
        </w:rPr>
      </w:pPr>
    </w:p>
    <w:p>
      <w:pPr>
        <w:autoSpaceDE w:val="0"/>
        <w:autoSpaceDN w:val="0"/>
        <w:adjustRightInd w:val="0"/>
        <w:spacing w:line="327" w:lineRule="exact"/>
        <w:ind w:left="3838"/>
        <w:jc w:val="left"/>
        <w:rPr>
          <w:rFonts w:eastAsia="仿宋"/>
          <w:szCs w:val="21"/>
        </w:rPr>
      </w:pPr>
    </w:p>
    <w:p>
      <w:pPr>
        <w:autoSpaceDE w:val="0"/>
        <w:autoSpaceDN w:val="0"/>
        <w:adjustRightInd w:val="0"/>
        <w:spacing w:line="327" w:lineRule="exact"/>
        <w:ind w:left="3838"/>
        <w:jc w:val="left"/>
        <w:rPr>
          <w:rFonts w:eastAsia="仿宋"/>
          <w:szCs w:val="21"/>
        </w:rPr>
      </w:pPr>
    </w:p>
    <w:p>
      <w:pPr>
        <w:autoSpaceDE w:val="0"/>
        <w:autoSpaceDN w:val="0"/>
        <w:adjustRightInd w:val="0"/>
        <w:spacing w:line="327" w:lineRule="exact"/>
        <w:ind w:left="3838"/>
        <w:jc w:val="left"/>
        <w:rPr>
          <w:rFonts w:eastAsia="仿宋"/>
          <w:szCs w:val="21"/>
        </w:rPr>
      </w:pPr>
    </w:p>
    <w:p>
      <w:pPr>
        <w:rPr>
          <w:szCs w:val="21"/>
          <w:highlight w:val="none"/>
        </w:rPr>
      </w:pPr>
      <w:r>
        <w:rPr>
          <w:rFonts w:hint="eastAsia"/>
          <w:szCs w:val="21"/>
        </w:rPr>
        <w:t>注：</w:t>
      </w:r>
      <w:r>
        <w:rPr>
          <w:rFonts w:hint="eastAsia"/>
          <w:szCs w:val="21"/>
          <w:highlight w:val="none"/>
        </w:rPr>
        <w:t>①从业人员、营业收入、资产总额填报上一年度数据，无上一年度数据的新成立企业可不填报。</w:t>
      </w:r>
    </w:p>
    <w:p>
      <w:pPr>
        <w:ind w:firstLine="420" w:firstLineChars="200"/>
        <w:rPr>
          <w:szCs w:val="21"/>
          <w:highlight w:val="none"/>
        </w:rPr>
      </w:pPr>
      <w:r>
        <w:rPr>
          <w:rFonts w:hint="eastAsia"/>
          <w:szCs w:val="21"/>
          <w:highlight w:val="none"/>
        </w:rPr>
        <w:t>②中标供应商的《中小企业声明函》将随中标公告进行公示。供应商按照本办法规定提供声明函内容不实的，属于提供虚假材料谋取中标，依照《中华人民共和国政府采购法》等国家有关规定追究相应责任。</w:t>
      </w:r>
    </w:p>
    <w:p>
      <w:pPr>
        <w:pageBreakBefore/>
        <w:outlineLvl w:val="0"/>
        <w:rPr>
          <w:rFonts w:ascii="黑体" w:hAnsi="宋体" w:eastAsia="黑体"/>
          <w:bCs/>
          <w:sz w:val="24"/>
          <w:szCs w:val="24"/>
        </w:rPr>
      </w:pPr>
    </w:p>
    <w:p>
      <w:pPr>
        <w:ind w:firstLine="480" w:firstLineChars="200"/>
        <w:outlineLvl w:val="0"/>
        <w:rPr>
          <w:rFonts w:ascii="黑体" w:hAnsi="宋体" w:eastAsia="黑体"/>
          <w:bCs/>
          <w:color w:val="000000"/>
          <w:sz w:val="24"/>
        </w:rPr>
      </w:pPr>
      <w:bookmarkStart w:id="23" w:name="_Toc61444112"/>
      <w:bookmarkStart w:id="24" w:name="_Toc86134323"/>
      <w:r>
        <w:rPr>
          <w:rFonts w:hint="eastAsia" w:ascii="黑体" w:hAnsi="宋体" w:eastAsia="黑体"/>
          <w:bCs/>
          <w:sz w:val="24"/>
          <w:szCs w:val="24"/>
        </w:rPr>
        <w:t>（五）</w:t>
      </w:r>
      <w:bookmarkStart w:id="25" w:name="OLE_LINK13"/>
      <w:bookmarkStart w:id="26" w:name="OLE_LINK14"/>
      <w:r>
        <w:rPr>
          <w:rFonts w:hint="eastAsia" w:ascii="黑体" w:hAnsi="宋体" w:eastAsia="黑体"/>
          <w:bCs/>
          <w:color w:val="000000"/>
          <w:sz w:val="24"/>
        </w:rPr>
        <w:t>（投标人）残疾人福利性单位声明函（格式）：</w:t>
      </w:r>
      <w:bookmarkEnd w:id="23"/>
      <w:bookmarkEnd w:id="24"/>
    </w:p>
    <w:bookmarkEnd w:id="25"/>
    <w:bookmarkEnd w:id="26"/>
    <w:p>
      <w:pPr>
        <w:spacing w:line="588" w:lineRule="exact"/>
        <w:rPr>
          <w:rFonts w:ascii="仿宋_GB2312" w:eastAsia="仿宋_GB2312"/>
          <w:b/>
          <w:color w:val="000000"/>
          <w:spacing w:val="6"/>
          <w:sz w:val="30"/>
          <w:szCs w:val="30"/>
        </w:rPr>
      </w:pPr>
    </w:p>
    <w:p>
      <w:pPr>
        <w:jc w:val="center"/>
        <w:rPr>
          <w:rFonts w:ascii="黑体" w:eastAsia="黑体"/>
          <w:bCs/>
          <w:color w:val="000000"/>
          <w:sz w:val="28"/>
          <w:szCs w:val="28"/>
        </w:rPr>
      </w:pPr>
      <w:r>
        <w:rPr>
          <w:rFonts w:hint="eastAsia" w:ascii="黑体" w:eastAsia="黑体"/>
          <w:bCs/>
          <w:color w:val="000000"/>
          <w:sz w:val="28"/>
          <w:szCs w:val="28"/>
        </w:rPr>
        <w:t>残疾人福利性单位声明函</w:t>
      </w:r>
    </w:p>
    <w:p>
      <w:pPr>
        <w:jc w:val="center"/>
        <w:rPr>
          <w:rFonts w:ascii="黑体" w:eastAsia="黑体"/>
          <w:bCs/>
          <w:color w:val="000000"/>
          <w:sz w:val="28"/>
          <w:szCs w:val="28"/>
        </w:rPr>
      </w:pPr>
    </w:p>
    <w:p>
      <w:pPr>
        <w:spacing w:line="580" w:lineRule="exact"/>
        <w:ind w:firstLine="480" w:firstLineChars="200"/>
        <w:rPr>
          <w:rFonts w:ascii="宋体" w:hAnsi="宋体"/>
          <w:bCs/>
          <w:color w:val="000000"/>
          <w:sz w:val="24"/>
        </w:rPr>
      </w:pPr>
      <w:r>
        <w:rPr>
          <w:rFonts w:hint="eastAsia" w:ascii="宋体" w:hAnsi="宋体"/>
          <w:bCs/>
          <w:color w:val="000000"/>
          <w:sz w:val="24"/>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bCs/>
          <w:sz w:val="24"/>
          <w:szCs w:val="24"/>
        </w:rPr>
        <w:t>__________________</w:t>
      </w:r>
      <w:r>
        <w:rPr>
          <w:rFonts w:hint="eastAsia" w:ascii="宋体" w:hAnsi="宋体"/>
          <w:bCs/>
          <w:color w:val="000000"/>
          <w:sz w:val="24"/>
        </w:rPr>
        <w:t>单位的</w:t>
      </w:r>
      <w:r>
        <w:rPr>
          <w:rFonts w:hint="eastAsia" w:ascii="宋体" w:hAnsi="宋体"/>
          <w:bCs/>
          <w:sz w:val="24"/>
          <w:szCs w:val="24"/>
        </w:rPr>
        <w:t>__________________</w:t>
      </w:r>
      <w:r>
        <w:rPr>
          <w:rFonts w:hint="eastAsia" w:ascii="宋体" w:hAnsi="宋体"/>
          <w:bCs/>
          <w:color w:val="000000"/>
          <w:sz w:val="24"/>
        </w:rPr>
        <w:t>项目采购活动提供本单位制造的货物（由本单位承担工程/提供服务），或者提供其他残疾人福利性单位制造的货物（不包括使用非残疾人福利性单位注册商标的货物）。</w:t>
      </w:r>
    </w:p>
    <w:p>
      <w:pPr>
        <w:spacing w:line="580" w:lineRule="exact"/>
        <w:ind w:firstLine="480" w:firstLineChars="200"/>
        <w:rPr>
          <w:rFonts w:ascii="宋体" w:hAnsi="宋体"/>
          <w:bCs/>
          <w:color w:val="000000"/>
          <w:sz w:val="24"/>
        </w:rPr>
      </w:pPr>
      <w:r>
        <w:rPr>
          <w:rFonts w:hint="eastAsia" w:ascii="宋体" w:hAnsi="宋体"/>
          <w:bCs/>
          <w:color w:val="000000"/>
          <w:sz w:val="24"/>
        </w:rPr>
        <w:t>本单位对上述声明的真实性负责。如有虚假，将依法承担相应责任。</w:t>
      </w:r>
    </w:p>
    <w:p>
      <w:pPr>
        <w:spacing w:line="580" w:lineRule="exact"/>
        <w:ind w:firstLine="480" w:firstLineChars="200"/>
        <w:rPr>
          <w:rFonts w:ascii="宋体" w:hAnsi="宋体"/>
          <w:bCs/>
          <w:color w:val="000000"/>
          <w:sz w:val="24"/>
        </w:rPr>
      </w:pPr>
    </w:p>
    <w:p>
      <w:pPr>
        <w:spacing w:line="580" w:lineRule="exact"/>
        <w:ind w:firstLine="480" w:firstLineChars="200"/>
        <w:rPr>
          <w:rFonts w:ascii="宋体" w:hAnsi="宋体"/>
          <w:bCs/>
          <w:color w:val="000000"/>
          <w:sz w:val="24"/>
        </w:rPr>
      </w:pPr>
    </w:p>
    <w:p>
      <w:pPr>
        <w:spacing w:line="580" w:lineRule="exact"/>
        <w:ind w:right="480" w:firstLine="5040" w:firstLineChars="2100"/>
        <w:rPr>
          <w:rFonts w:ascii="宋体" w:hAnsi="宋体"/>
          <w:bCs/>
          <w:color w:val="000000"/>
          <w:sz w:val="24"/>
        </w:rPr>
      </w:pPr>
      <w:r>
        <w:rPr>
          <w:rFonts w:hint="eastAsia" w:ascii="宋体" w:hAnsi="宋体"/>
          <w:bCs/>
          <w:color w:val="000000"/>
          <w:sz w:val="24"/>
        </w:rPr>
        <w:t>单位名称（盖章）：</w:t>
      </w:r>
    </w:p>
    <w:p>
      <w:pPr>
        <w:spacing w:line="580" w:lineRule="exact"/>
        <w:ind w:right="480" w:firstLine="6120" w:firstLineChars="2550"/>
        <w:rPr>
          <w:rFonts w:ascii="宋体" w:hAnsi="宋体"/>
          <w:bCs/>
          <w:color w:val="000000"/>
          <w:sz w:val="24"/>
        </w:rPr>
      </w:pPr>
      <w:r>
        <w:rPr>
          <w:rFonts w:hint="eastAsia" w:ascii="宋体" w:hAnsi="宋体"/>
          <w:bCs/>
          <w:color w:val="000000"/>
          <w:sz w:val="24"/>
        </w:rPr>
        <w:t>日  期：</w:t>
      </w:r>
    </w:p>
    <w:p>
      <w:pPr>
        <w:spacing w:line="480" w:lineRule="auto"/>
        <w:rPr>
          <w:rFonts w:ascii="宋体"/>
          <w:bCs/>
          <w:color w:val="000000"/>
          <w:sz w:val="24"/>
        </w:rPr>
      </w:pPr>
    </w:p>
    <w:p>
      <w:pPr>
        <w:spacing w:line="480" w:lineRule="auto"/>
        <w:rPr>
          <w:rFonts w:ascii="宋体"/>
          <w:bCs/>
          <w:color w:val="000000"/>
          <w:sz w:val="24"/>
        </w:rPr>
      </w:pPr>
    </w:p>
    <w:p>
      <w:pPr>
        <w:spacing w:line="480" w:lineRule="auto"/>
        <w:rPr>
          <w:rFonts w:ascii="宋体"/>
          <w:bCs/>
          <w:color w:val="000000"/>
          <w:sz w:val="24"/>
        </w:rPr>
      </w:pPr>
    </w:p>
    <w:p>
      <w:pPr>
        <w:spacing w:line="480" w:lineRule="auto"/>
        <w:rPr>
          <w:rFonts w:ascii="宋体"/>
          <w:bCs/>
          <w:color w:val="000000"/>
          <w:sz w:val="24"/>
        </w:rPr>
      </w:pPr>
    </w:p>
    <w:p>
      <w:pPr>
        <w:spacing w:line="480" w:lineRule="auto"/>
        <w:rPr>
          <w:rFonts w:ascii="宋体"/>
          <w:bCs/>
          <w:color w:val="000000"/>
          <w:sz w:val="24"/>
        </w:rPr>
      </w:pPr>
    </w:p>
    <w:p>
      <w:pPr>
        <w:outlineLvl w:val="0"/>
        <w:rPr>
          <w:rFonts w:ascii="黑体" w:hAnsi="宋体" w:eastAsia="黑体"/>
          <w:bCs/>
          <w:color w:val="000000"/>
          <w:sz w:val="24"/>
        </w:rPr>
      </w:pPr>
    </w:p>
    <w:p>
      <w:pPr>
        <w:ind w:firstLine="480" w:firstLineChars="200"/>
        <w:outlineLvl w:val="0"/>
        <w:rPr>
          <w:rFonts w:ascii="黑体" w:hAnsi="宋体" w:eastAsia="黑体"/>
          <w:bCs/>
          <w:color w:val="000000"/>
          <w:sz w:val="24"/>
        </w:rPr>
      </w:pPr>
    </w:p>
    <w:p>
      <w:pPr>
        <w:ind w:firstLine="480" w:firstLineChars="200"/>
        <w:outlineLvl w:val="0"/>
        <w:rPr>
          <w:rFonts w:ascii="黑体" w:hAnsi="宋体" w:eastAsia="黑体"/>
          <w:bCs/>
          <w:color w:val="000000"/>
          <w:sz w:val="24"/>
        </w:rPr>
      </w:pPr>
    </w:p>
    <w:p>
      <w:pPr>
        <w:ind w:firstLine="480" w:firstLineChars="200"/>
        <w:outlineLvl w:val="0"/>
        <w:rPr>
          <w:rFonts w:ascii="黑体" w:hAnsi="宋体" w:eastAsia="黑体"/>
          <w:bCs/>
          <w:color w:val="000000"/>
          <w:sz w:val="24"/>
        </w:rPr>
      </w:pPr>
    </w:p>
    <w:p>
      <w:pPr>
        <w:ind w:firstLine="420" w:firstLineChars="200"/>
        <w:outlineLvl w:val="0"/>
        <w:rPr>
          <w:szCs w:val="21"/>
          <w:highlight w:val="none"/>
        </w:rPr>
      </w:pPr>
      <w:bookmarkStart w:id="27" w:name="_Toc86134324"/>
      <w:r>
        <w:rPr>
          <w:rFonts w:hint="eastAsia"/>
          <w:szCs w:val="21"/>
          <w:highlight w:val="none"/>
        </w:rPr>
        <w:t>注：①供应商如不提供此声明函，价格将不做相应扣除。</w:t>
      </w:r>
      <w:bookmarkEnd w:id="27"/>
    </w:p>
    <w:p>
      <w:pPr>
        <w:ind w:firstLine="420" w:firstLineChars="200"/>
        <w:outlineLvl w:val="0"/>
        <w:rPr>
          <w:szCs w:val="21"/>
          <w:highlight w:val="none"/>
        </w:rPr>
      </w:pPr>
      <w:bookmarkStart w:id="28" w:name="_Toc86134325"/>
      <w:r>
        <w:rPr>
          <w:rFonts w:hint="eastAsia"/>
          <w:szCs w:val="21"/>
          <w:highlight w:val="none"/>
        </w:rPr>
        <w:t>②中标供应商为残疾人福利单位的，此声明函将随中标结果同时公告，接受社会监督。</w:t>
      </w:r>
      <w:bookmarkEnd w:id="28"/>
    </w:p>
    <w:p>
      <w:pPr>
        <w:ind w:firstLine="420" w:firstLineChars="200"/>
        <w:outlineLvl w:val="0"/>
        <w:rPr>
          <w:rFonts w:ascii="黑体" w:hAnsi="宋体" w:eastAsia="黑体"/>
          <w:bCs/>
          <w:color w:val="000000"/>
          <w:sz w:val="24"/>
          <w:highlight w:val="none"/>
        </w:rPr>
      </w:pPr>
      <w:bookmarkStart w:id="29" w:name="_Toc86134326"/>
      <w:r>
        <w:rPr>
          <w:rFonts w:hint="eastAsia"/>
          <w:bCs/>
          <w:szCs w:val="21"/>
          <w:highlight w:val="none"/>
        </w:rPr>
        <w:t>③投标人提供的《残疾人福利性单位声明函》与事实不符的，依照《政府采购法》第七十七条第一款的规定追究法律责任。</w:t>
      </w:r>
      <w:bookmarkEnd w:id="29"/>
    </w:p>
    <w:p>
      <w:pPr>
        <w:pageBreakBefore/>
        <w:ind w:firstLine="480" w:firstLineChars="200"/>
        <w:outlineLvl w:val="0"/>
        <w:rPr>
          <w:rFonts w:ascii="黑体" w:hAnsi="宋体" w:eastAsia="黑体"/>
          <w:bCs/>
          <w:color w:val="000000"/>
          <w:sz w:val="24"/>
        </w:rPr>
      </w:pPr>
    </w:p>
    <w:p>
      <w:pPr>
        <w:outlineLvl w:val="0"/>
        <w:rPr>
          <w:rFonts w:ascii="黑体" w:hAnsi="宋体" w:eastAsia="黑体"/>
          <w:bCs/>
          <w:sz w:val="24"/>
          <w:szCs w:val="24"/>
        </w:rPr>
      </w:pPr>
      <w:bookmarkStart w:id="30" w:name="_Toc86134327"/>
      <w:bookmarkStart w:id="31" w:name="_Toc61444113"/>
      <w:r>
        <w:rPr>
          <w:rFonts w:hint="eastAsia" w:ascii="黑体" w:hAnsi="宋体" w:eastAsia="黑体"/>
          <w:bCs/>
          <w:sz w:val="24"/>
          <w:szCs w:val="24"/>
        </w:rPr>
        <w:t>（六）服务保障承诺书（格式）：</w:t>
      </w:r>
      <w:bookmarkEnd w:id="30"/>
      <w:bookmarkEnd w:id="31"/>
    </w:p>
    <w:p>
      <w:pPr>
        <w:jc w:val="center"/>
        <w:rPr>
          <w:rFonts w:ascii="黑体" w:eastAsia="黑体"/>
          <w:bCs/>
          <w:sz w:val="28"/>
          <w:szCs w:val="28"/>
        </w:rPr>
      </w:pPr>
      <w:r>
        <w:rPr>
          <w:rFonts w:hint="eastAsia" w:ascii="黑体" w:eastAsia="黑体"/>
          <w:bCs/>
          <w:sz w:val="28"/>
          <w:szCs w:val="28"/>
        </w:rPr>
        <w:t>服务保障承诺书</w:t>
      </w:r>
    </w:p>
    <w:p>
      <w:pPr>
        <w:jc w:val="center"/>
        <w:rPr>
          <w:rFonts w:ascii="黑体" w:eastAsia="黑体"/>
          <w:bCs/>
          <w:sz w:val="28"/>
          <w:szCs w:val="28"/>
        </w:rPr>
      </w:pPr>
    </w:p>
    <w:p>
      <w:pPr>
        <w:spacing w:line="480" w:lineRule="auto"/>
        <w:rPr>
          <w:rFonts w:ascii="宋体" w:hAnsi="宋体"/>
          <w:sz w:val="24"/>
          <w:szCs w:val="24"/>
        </w:rPr>
      </w:pPr>
      <w:r>
        <w:rPr>
          <w:rFonts w:hint="eastAsia" w:ascii="宋体" w:hAnsi="宋体"/>
          <w:sz w:val="24"/>
          <w:szCs w:val="24"/>
        </w:rPr>
        <w:t>（投标人名称）在此承诺：</w:t>
      </w:r>
    </w:p>
    <w:p>
      <w:pPr>
        <w:spacing w:line="480" w:lineRule="auto"/>
        <w:rPr>
          <w:rFonts w:ascii="宋体" w:hAnsi="宋体"/>
          <w:sz w:val="24"/>
          <w:szCs w:val="24"/>
        </w:rPr>
      </w:pPr>
    </w:p>
    <w:p>
      <w:pPr>
        <w:spacing w:line="480" w:lineRule="auto"/>
        <w:ind w:firstLine="480" w:firstLineChars="200"/>
        <w:rPr>
          <w:rFonts w:ascii="宋体"/>
          <w:bCs/>
          <w:sz w:val="24"/>
          <w:szCs w:val="24"/>
        </w:rPr>
      </w:pPr>
      <w:r>
        <w:rPr>
          <w:rFonts w:hint="eastAsia" w:ascii="宋体" w:hAnsi="宋体"/>
          <w:sz w:val="24"/>
          <w:szCs w:val="24"/>
        </w:rPr>
        <w:t>1．本公司（单位）</w:t>
      </w:r>
      <w:r>
        <w:rPr>
          <w:rFonts w:hint="eastAsia" w:ascii="宋体" w:hAnsi="宋体"/>
          <w:bCs/>
          <w:sz w:val="24"/>
          <w:szCs w:val="24"/>
        </w:rPr>
        <w:t>对本项</w:t>
      </w:r>
      <w:r>
        <w:rPr>
          <w:rFonts w:hint="eastAsia" w:ascii="宋体" w:hAnsi="宋体"/>
          <w:bCs/>
          <w:color w:val="auto"/>
          <w:sz w:val="24"/>
          <w:szCs w:val="24"/>
          <w:highlight w:val="none"/>
        </w:rPr>
        <w:t>目（</w:t>
      </w:r>
      <w:r>
        <w:rPr>
          <w:rFonts w:hint="eastAsia" w:ascii="黑体" w:eastAsia="黑体"/>
          <w:bCs/>
          <w:color w:val="auto"/>
          <w:sz w:val="24"/>
          <w:szCs w:val="24"/>
          <w:highlight w:val="none"/>
        </w:rPr>
        <w:t>HSCGZX(G)</w:t>
      </w:r>
      <w:r>
        <w:rPr>
          <w:rFonts w:hint="eastAsia" w:ascii="黑体" w:eastAsia="黑体"/>
          <w:bCs/>
          <w:color w:val="auto"/>
          <w:sz w:val="24"/>
          <w:szCs w:val="24"/>
          <w:highlight w:val="none"/>
          <w:lang w:val="en-US" w:eastAsia="zh-CN"/>
        </w:rPr>
        <w:t>20230034</w:t>
      </w:r>
      <w:r>
        <w:rPr>
          <w:rFonts w:hint="eastAsia" w:ascii="宋体" w:hAnsi="宋体"/>
          <w:bCs/>
          <w:color w:val="auto"/>
          <w:sz w:val="24"/>
          <w:szCs w:val="24"/>
          <w:highlight w:val="none"/>
        </w:rPr>
        <w:t>）提供符合招标要求的产品和服务；</w:t>
      </w:r>
    </w:p>
    <w:p>
      <w:pPr>
        <w:spacing w:line="480" w:lineRule="auto"/>
        <w:ind w:firstLine="480" w:firstLineChars="200"/>
        <w:rPr>
          <w:rFonts w:ascii="宋体" w:hAnsi="宋体"/>
          <w:bCs/>
          <w:sz w:val="24"/>
          <w:szCs w:val="24"/>
        </w:rPr>
      </w:pPr>
      <w:r>
        <w:rPr>
          <w:rFonts w:hint="eastAsia" w:ascii="宋体" w:hAnsi="宋体"/>
          <w:bCs/>
          <w:sz w:val="24"/>
          <w:szCs w:val="24"/>
        </w:rPr>
        <w:t>2．</w:t>
      </w:r>
      <w:r>
        <w:rPr>
          <w:rFonts w:hint="eastAsia" w:ascii="宋体" w:hAnsi="宋体"/>
          <w:sz w:val="24"/>
          <w:szCs w:val="24"/>
        </w:rPr>
        <w:t>本公司（单位）</w:t>
      </w:r>
      <w:r>
        <w:rPr>
          <w:rFonts w:hint="eastAsia" w:ascii="宋体" w:hAnsi="宋体"/>
          <w:bCs/>
          <w:sz w:val="24"/>
          <w:szCs w:val="24"/>
        </w:rPr>
        <w:t>具备履行合同所必需的设备和专业技术能力；</w:t>
      </w:r>
    </w:p>
    <w:p>
      <w:pPr>
        <w:spacing w:line="480" w:lineRule="auto"/>
        <w:ind w:firstLine="480" w:firstLineChars="200"/>
        <w:rPr>
          <w:rFonts w:ascii="宋体" w:hAnsi="宋体"/>
          <w:sz w:val="24"/>
          <w:szCs w:val="24"/>
        </w:rPr>
      </w:pPr>
      <w:r>
        <w:rPr>
          <w:rFonts w:hint="eastAsia" w:ascii="宋体" w:hAnsi="宋体"/>
          <w:bCs/>
          <w:sz w:val="24"/>
          <w:szCs w:val="24"/>
        </w:rPr>
        <w:t>3.</w:t>
      </w:r>
      <w:r>
        <w:rPr>
          <w:rFonts w:hint="eastAsia" w:ascii="宋体" w:hAnsi="宋体"/>
          <w:sz w:val="24"/>
          <w:szCs w:val="24"/>
        </w:rPr>
        <w:t>本公司未被“</w:t>
      </w:r>
      <w:r>
        <w:rPr>
          <w:rFonts w:hint="eastAsia" w:ascii="宋体" w:hAnsi="宋体"/>
          <w:bCs/>
          <w:sz w:val="24"/>
          <w:szCs w:val="24"/>
        </w:rPr>
        <w:t>信用中国</w:t>
      </w:r>
      <w:r>
        <w:rPr>
          <w:rFonts w:hint="eastAsia" w:ascii="宋体" w:hAnsi="宋体"/>
          <w:sz w:val="24"/>
          <w:szCs w:val="24"/>
        </w:rPr>
        <w:t>”</w:t>
      </w:r>
      <w:r>
        <w:rPr>
          <w:rFonts w:hint="eastAsia" w:ascii="宋体" w:hAnsi="宋体"/>
          <w:bCs/>
          <w:sz w:val="24"/>
          <w:szCs w:val="24"/>
        </w:rPr>
        <w:t>网站（www.creditchina.gov.cn）</w:t>
      </w:r>
      <w:r>
        <w:rPr>
          <w:rFonts w:hint="eastAsia" w:ascii="宋体" w:hAnsi="宋体"/>
          <w:sz w:val="24"/>
          <w:szCs w:val="24"/>
        </w:rPr>
        <w:t>列入失信被执行人、重大税收违法案件当事人名单、政府采购严重违法失信行为记录名单。</w:t>
      </w:r>
    </w:p>
    <w:p>
      <w:pPr>
        <w:spacing w:line="480" w:lineRule="auto"/>
        <w:ind w:firstLine="480" w:firstLineChars="200"/>
        <w:rPr>
          <w:rFonts w:ascii="宋体"/>
          <w:bCs/>
          <w:sz w:val="24"/>
          <w:szCs w:val="24"/>
        </w:rPr>
      </w:pPr>
      <w:r>
        <w:rPr>
          <w:rFonts w:hint="eastAsia" w:ascii="宋体" w:hAnsi="宋体"/>
          <w:bCs/>
          <w:sz w:val="24"/>
          <w:szCs w:val="24"/>
        </w:rPr>
        <w:t>如违背上述承诺，本公司</w:t>
      </w:r>
      <w:r>
        <w:rPr>
          <w:rFonts w:hint="eastAsia" w:ascii="宋体" w:hAnsi="宋体"/>
          <w:sz w:val="24"/>
          <w:szCs w:val="24"/>
        </w:rPr>
        <w:t>（单位）</w:t>
      </w:r>
      <w:r>
        <w:rPr>
          <w:rFonts w:hint="eastAsia" w:ascii="宋体" w:hAnsi="宋体"/>
          <w:bCs/>
          <w:sz w:val="24"/>
          <w:szCs w:val="24"/>
        </w:rPr>
        <w:t>将承担一切法律责任。</w:t>
      </w:r>
    </w:p>
    <w:p>
      <w:pPr>
        <w:spacing w:line="480" w:lineRule="auto"/>
        <w:rPr>
          <w:rFonts w:ascii="宋体" w:hAnsi="宋体"/>
          <w:bCs/>
          <w:sz w:val="24"/>
          <w:szCs w:val="24"/>
        </w:rPr>
      </w:pPr>
    </w:p>
    <w:p>
      <w:pPr>
        <w:spacing w:line="480" w:lineRule="auto"/>
        <w:ind w:firstLine="3720" w:firstLineChars="1550"/>
        <w:rPr>
          <w:rFonts w:ascii="宋体" w:hAnsi="宋体"/>
          <w:bCs/>
          <w:sz w:val="24"/>
          <w:szCs w:val="24"/>
        </w:rPr>
      </w:pPr>
      <w:r>
        <w:rPr>
          <w:rFonts w:hint="eastAsia" w:ascii="宋体" w:hAnsi="宋体"/>
          <w:sz w:val="24"/>
          <w:szCs w:val="24"/>
        </w:rPr>
        <w:t>投标人</w:t>
      </w:r>
      <w:r>
        <w:rPr>
          <w:rFonts w:hint="eastAsia" w:ascii="宋体" w:hAnsi="宋体"/>
          <w:bCs/>
          <w:sz w:val="24"/>
          <w:szCs w:val="24"/>
        </w:rPr>
        <w:t>（盖章）：</w:t>
      </w:r>
    </w:p>
    <w:p>
      <w:pPr>
        <w:spacing w:line="480" w:lineRule="auto"/>
        <w:ind w:firstLine="480" w:firstLineChars="200"/>
        <w:rPr>
          <w:rFonts w:ascii="宋体" w:hAnsi="宋体"/>
          <w:bCs/>
          <w:sz w:val="24"/>
          <w:szCs w:val="24"/>
        </w:rPr>
      </w:pPr>
      <w:r>
        <w:rPr>
          <w:rFonts w:hint="eastAsia" w:ascii="宋体" w:hAnsi="宋体"/>
          <w:bCs/>
          <w:sz w:val="24"/>
          <w:szCs w:val="24"/>
        </w:rPr>
        <w:t>法定代表人或法定代表人授权代表签字或盖章：</w:t>
      </w:r>
    </w:p>
    <w:p>
      <w:pPr>
        <w:spacing w:line="480" w:lineRule="auto"/>
        <w:ind w:firstLine="480" w:firstLineChars="200"/>
        <w:rPr>
          <w:rFonts w:ascii="宋体" w:hAnsi="宋体"/>
          <w:bCs/>
          <w:sz w:val="24"/>
          <w:szCs w:val="24"/>
        </w:rPr>
      </w:pPr>
    </w:p>
    <w:p>
      <w:pPr>
        <w:spacing w:line="480" w:lineRule="auto"/>
        <w:rPr>
          <w:rFonts w:ascii="宋体" w:hAnsi="宋体"/>
          <w:bCs/>
          <w:sz w:val="24"/>
          <w:szCs w:val="24"/>
        </w:rPr>
      </w:pPr>
    </w:p>
    <w:p>
      <w:pPr>
        <w:jc w:val="center"/>
        <w:rPr>
          <w:rFonts w:ascii="黑体" w:eastAsia="黑体"/>
          <w:bCs/>
          <w:sz w:val="32"/>
        </w:rPr>
      </w:pPr>
    </w:p>
    <w:p>
      <w:pPr>
        <w:spacing w:line="240" w:lineRule="exact"/>
        <w:jc w:val="center"/>
        <w:rPr>
          <w:rFonts w:ascii="黑体" w:eastAsia="黑体"/>
          <w:bCs/>
          <w:sz w:val="32"/>
        </w:rPr>
      </w:pPr>
    </w:p>
    <w:p>
      <w:pPr>
        <w:spacing w:line="240" w:lineRule="exact"/>
        <w:jc w:val="center"/>
        <w:rPr>
          <w:rFonts w:ascii="黑体" w:eastAsia="黑体"/>
          <w:bCs/>
          <w:sz w:val="32"/>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outlineLvl w:val="0"/>
        <w:rPr>
          <w:rFonts w:ascii="黑体" w:hAnsi="宋体" w:eastAsia="黑体"/>
          <w:bCs/>
          <w:sz w:val="24"/>
          <w:szCs w:val="24"/>
        </w:rPr>
      </w:pPr>
    </w:p>
    <w:p>
      <w:pPr>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ind w:firstLine="480" w:firstLineChars="200"/>
        <w:outlineLvl w:val="0"/>
        <w:rPr>
          <w:rFonts w:ascii="黑体" w:hAnsi="宋体" w:eastAsia="黑体"/>
          <w:bCs/>
          <w:sz w:val="24"/>
          <w:szCs w:val="24"/>
        </w:rPr>
      </w:pPr>
    </w:p>
    <w:p>
      <w:pPr>
        <w:pageBreakBefore/>
        <w:outlineLvl w:val="0"/>
        <w:rPr>
          <w:rFonts w:ascii="黑体" w:hAnsi="宋体" w:eastAsia="黑体"/>
          <w:bCs/>
          <w:sz w:val="24"/>
          <w:szCs w:val="24"/>
        </w:rPr>
      </w:pPr>
    </w:p>
    <w:p>
      <w:pPr>
        <w:ind w:firstLine="480" w:firstLineChars="200"/>
        <w:outlineLvl w:val="0"/>
        <w:rPr>
          <w:rFonts w:ascii="黑体" w:eastAsia="黑体"/>
          <w:bCs/>
          <w:sz w:val="28"/>
          <w:szCs w:val="28"/>
        </w:rPr>
      </w:pPr>
      <w:bookmarkStart w:id="32" w:name="_Toc86134328"/>
      <w:bookmarkStart w:id="33" w:name="_Toc61444114"/>
      <w:r>
        <w:rPr>
          <w:rFonts w:hint="eastAsia" w:ascii="黑体" w:hAnsi="宋体" w:eastAsia="黑体"/>
          <w:bCs/>
          <w:sz w:val="24"/>
          <w:szCs w:val="24"/>
        </w:rPr>
        <w:t>（七）开标一览表（格式）：</w:t>
      </w:r>
      <w:bookmarkEnd w:id="32"/>
      <w:bookmarkEnd w:id="33"/>
    </w:p>
    <w:p>
      <w:pPr>
        <w:outlineLvl w:val="0"/>
        <w:rPr>
          <w:rFonts w:ascii="黑体" w:eastAsia="黑体"/>
          <w:bCs/>
          <w:sz w:val="28"/>
          <w:szCs w:val="28"/>
        </w:rPr>
      </w:pPr>
    </w:p>
    <w:p>
      <w:pPr>
        <w:outlineLvl w:val="0"/>
        <w:rPr>
          <w:rFonts w:ascii="黑体" w:eastAsia="黑体"/>
          <w:bCs/>
          <w:sz w:val="28"/>
          <w:szCs w:val="28"/>
        </w:rPr>
      </w:pPr>
    </w:p>
    <w:p>
      <w:pPr>
        <w:jc w:val="center"/>
        <w:outlineLvl w:val="0"/>
        <w:rPr>
          <w:rFonts w:ascii="黑体" w:eastAsia="黑体"/>
          <w:bCs/>
          <w:sz w:val="28"/>
          <w:szCs w:val="28"/>
        </w:rPr>
      </w:pPr>
      <w:bookmarkStart w:id="34" w:name="_Toc86134329"/>
      <w:bookmarkStart w:id="35" w:name="_Toc61444115"/>
      <w:r>
        <w:rPr>
          <w:rFonts w:hint="eastAsia" w:ascii="黑体" w:eastAsia="黑体"/>
          <w:bCs/>
          <w:sz w:val="28"/>
          <w:szCs w:val="28"/>
        </w:rPr>
        <w:t>开标一览表</w:t>
      </w:r>
      <w:bookmarkEnd w:id="34"/>
      <w:bookmarkEnd w:id="35"/>
    </w:p>
    <w:p>
      <w:pPr>
        <w:jc w:val="center"/>
        <w:outlineLvl w:val="0"/>
        <w:rPr>
          <w:rFonts w:ascii="黑体" w:eastAsia="黑体"/>
          <w:bCs/>
          <w:sz w:val="28"/>
          <w:szCs w:val="28"/>
        </w:rPr>
      </w:pPr>
    </w:p>
    <w:p>
      <w:pPr>
        <w:spacing w:line="360" w:lineRule="auto"/>
        <w:rPr>
          <w:rFonts w:hint="default" w:ascii="黑体" w:eastAsia="黑体"/>
          <w:bCs/>
          <w:sz w:val="24"/>
          <w:szCs w:val="24"/>
          <w:lang w:val="en-US" w:eastAsia="zh-CN"/>
        </w:rPr>
      </w:pPr>
      <w:r>
        <w:rPr>
          <w:rFonts w:hint="eastAsia" w:ascii="黑体" w:eastAsia="黑体"/>
          <w:bCs/>
          <w:sz w:val="24"/>
          <w:szCs w:val="24"/>
        </w:rPr>
        <w:t>投标人名称（盖章）                                  政府采购编号</w:t>
      </w:r>
      <w:r>
        <w:rPr>
          <w:rFonts w:hint="eastAsia" w:ascii="黑体" w:eastAsia="黑体"/>
          <w:bCs/>
          <w:color w:val="auto"/>
          <w:sz w:val="24"/>
          <w:szCs w:val="24"/>
        </w:rPr>
        <w:t>：</w:t>
      </w:r>
      <w:r>
        <w:rPr>
          <w:rFonts w:hint="eastAsia" w:ascii="宋体" w:hAnsi="宋体" w:eastAsia="黑体"/>
          <w:bCs/>
          <w:color w:val="auto"/>
          <w:sz w:val="24"/>
          <w:szCs w:val="24"/>
        </w:rPr>
        <w:t>HSCGZX(G)</w:t>
      </w:r>
      <w:r>
        <w:rPr>
          <w:rFonts w:hint="eastAsia" w:ascii="宋体" w:hAnsi="宋体" w:eastAsia="黑体"/>
          <w:bCs/>
          <w:color w:val="auto"/>
          <w:sz w:val="24"/>
          <w:szCs w:val="24"/>
          <w:lang w:val="en-US" w:eastAsia="zh-CN"/>
        </w:rPr>
        <w:t>20230034</w:t>
      </w:r>
    </w:p>
    <w:tbl>
      <w:tblPr>
        <w:tblStyle w:val="25"/>
        <w:tblW w:w="1008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6"/>
        <w:gridCol w:w="3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41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 w:val="24"/>
                <w:szCs w:val="24"/>
              </w:rPr>
            </w:pPr>
            <w:r>
              <w:rPr>
                <w:rFonts w:hint="eastAsia" w:ascii="宋体" w:hAnsi="宋体"/>
                <w:b/>
                <w:bCs/>
                <w:sz w:val="24"/>
                <w:szCs w:val="24"/>
              </w:rPr>
              <w:t>项目名称</w:t>
            </w:r>
          </w:p>
        </w:tc>
        <w:tc>
          <w:tcPr>
            <w:tcW w:w="36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b/>
                <w:bCs/>
                <w:sz w:val="24"/>
                <w:szCs w:val="24"/>
              </w:rPr>
            </w:pPr>
            <w:r>
              <w:rPr>
                <w:rFonts w:hint="eastAsia" w:ascii="宋体" w:hAnsi="宋体"/>
                <w:b/>
                <w:bCs/>
                <w:sz w:val="24"/>
                <w:szCs w:val="24"/>
              </w:rPr>
              <w:t>投标总报价(小写)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0" w:hRule="atLeast"/>
        </w:trPr>
        <w:tc>
          <w:tcPr>
            <w:tcW w:w="6416" w:type="dxa"/>
            <w:tcBorders>
              <w:top w:val="single" w:color="auto" w:sz="4" w:space="0"/>
              <w:left w:val="single" w:color="auto" w:sz="4" w:space="0"/>
              <w:bottom w:val="single" w:color="auto" w:sz="4" w:space="0"/>
              <w:right w:val="single" w:color="auto" w:sz="4" w:space="0"/>
            </w:tcBorders>
            <w:vAlign w:val="center"/>
          </w:tcPr>
          <w:p>
            <w:pPr>
              <w:pStyle w:val="128"/>
              <w:spacing w:line="400" w:lineRule="exact"/>
              <w:jc w:val="center"/>
              <w:rPr>
                <w:rFonts w:hAnsi="宋体"/>
                <w:bCs/>
                <w:szCs w:val="24"/>
              </w:rPr>
            </w:pPr>
            <w:r>
              <w:rPr>
                <w:rFonts w:hint="eastAsia" w:ascii="方正小标宋_GBK" w:hAnsi="华文中宋" w:eastAsia="方正小标宋_GBK"/>
                <w:bCs/>
                <w:color w:val="auto"/>
                <w:szCs w:val="21"/>
                <w:lang w:val="en-US" w:eastAsia="zh-CN"/>
              </w:rPr>
              <w:t>无锡市玉祁高级中学智慧管理与服务平台项目</w:t>
            </w:r>
          </w:p>
        </w:tc>
        <w:tc>
          <w:tcPr>
            <w:tcW w:w="3664" w:type="dxa"/>
            <w:tcBorders>
              <w:top w:val="single" w:color="auto" w:sz="4" w:space="0"/>
              <w:left w:val="single" w:color="auto" w:sz="4" w:space="0"/>
              <w:bottom w:val="single" w:color="auto" w:sz="4" w:space="0"/>
              <w:right w:val="single" w:color="auto" w:sz="4" w:space="0"/>
            </w:tcBorders>
            <w:vAlign w:val="center"/>
          </w:tcPr>
          <w:p>
            <w:pPr>
              <w:pStyle w:val="128"/>
              <w:rPr>
                <w:rFonts w:hAnsi="宋体"/>
                <w:b/>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atLeast"/>
        </w:trPr>
        <w:tc>
          <w:tcPr>
            <w:tcW w:w="10080" w:type="dxa"/>
            <w:gridSpan w:val="2"/>
            <w:tcBorders>
              <w:top w:val="single" w:color="auto" w:sz="4" w:space="0"/>
              <w:left w:val="single" w:color="auto" w:sz="4" w:space="0"/>
              <w:bottom w:val="single" w:color="auto" w:sz="4" w:space="0"/>
              <w:right w:val="single" w:color="auto" w:sz="4" w:space="0"/>
            </w:tcBorders>
            <w:vAlign w:val="center"/>
          </w:tcPr>
          <w:p>
            <w:pPr>
              <w:rPr>
                <w:rFonts w:ascii="宋体"/>
                <w:bCs/>
                <w:sz w:val="24"/>
                <w:szCs w:val="24"/>
              </w:rPr>
            </w:pPr>
            <w:r>
              <w:rPr>
                <w:rFonts w:hint="eastAsia" w:ascii="黑体" w:eastAsia="黑体"/>
                <w:sz w:val="24"/>
              </w:rPr>
              <w:t>投标总报价（大写）</w:t>
            </w:r>
            <w:r>
              <w:rPr>
                <w:rFonts w:hint="eastAsia" w:ascii="宋体" w:hAnsi="宋体"/>
                <w:bCs/>
                <w:kern w:val="0"/>
                <w:sz w:val="24"/>
                <w:szCs w:val="24"/>
              </w:rPr>
              <w:t>：　　　</w:t>
            </w:r>
          </w:p>
        </w:tc>
      </w:tr>
    </w:tbl>
    <w:p>
      <w:pPr>
        <w:spacing w:line="360" w:lineRule="auto"/>
        <w:rPr>
          <w:rFonts w:ascii="黑体" w:eastAsia="黑体"/>
          <w:bCs/>
          <w:sz w:val="24"/>
          <w:szCs w:val="24"/>
        </w:rPr>
      </w:pPr>
    </w:p>
    <w:p>
      <w:pPr>
        <w:spacing w:before="5"/>
        <w:rPr>
          <w:b/>
          <w:bCs/>
          <w:sz w:val="24"/>
          <w:szCs w:val="24"/>
        </w:rPr>
      </w:pPr>
      <w:r>
        <w:rPr>
          <w:rFonts w:hint="eastAsia"/>
          <w:b/>
          <w:bCs/>
          <w:sz w:val="24"/>
          <w:szCs w:val="24"/>
        </w:rPr>
        <w:t>法定代表人或法定代表人授权代表签字或盖章：</w:t>
      </w:r>
    </w:p>
    <w:p>
      <w:pPr>
        <w:spacing w:line="400" w:lineRule="exact"/>
        <w:rPr>
          <w:rFonts w:ascii="黑体" w:eastAsia="黑体"/>
          <w:bCs/>
          <w:sz w:val="32"/>
        </w:rPr>
      </w:pPr>
    </w:p>
    <w:p>
      <w:pPr>
        <w:spacing w:line="400" w:lineRule="exact"/>
        <w:rPr>
          <w:rFonts w:ascii="黑体" w:eastAsia="黑体"/>
          <w:bCs/>
          <w:sz w:val="32"/>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rPr>
          <w:rFonts w:ascii="黑体" w:eastAsia="黑体"/>
          <w:bCs/>
          <w:sz w:val="24"/>
          <w:szCs w:val="24"/>
        </w:rPr>
      </w:pPr>
    </w:p>
    <w:p>
      <w:pPr>
        <w:spacing w:line="400" w:lineRule="exact"/>
        <w:ind w:left="720" w:hanging="720" w:hangingChars="300"/>
        <w:rPr>
          <w:rFonts w:ascii="黑体" w:eastAsia="黑体"/>
          <w:bCs/>
          <w:sz w:val="24"/>
          <w:szCs w:val="24"/>
        </w:rPr>
      </w:pPr>
    </w:p>
    <w:p>
      <w:pPr>
        <w:spacing w:line="400" w:lineRule="exact"/>
        <w:ind w:left="720" w:hanging="720" w:hangingChars="300"/>
        <w:rPr>
          <w:rFonts w:ascii="黑体" w:eastAsia="黑体"/>
          <w:bCs/>
          <w:sz w:val="24"/>
          <w:szCs w:val="24"/>
        </w:rPr>
      </w:pPr>
    </w:p>
    <w:p>
      <w:pPr>
        <w:pageBreakBefore/>
        <w:spacing w:line="400" w:lineRule="exact"/>
        <w:ind w:left="720" w:hanging="720" w:hangingChars="300"/>
        <w:rPr>
          <w:rFonts w:ascii="黑体" w:eastAsia="黑体"/>
          <w:bCs/>
          <w:sz w:val="24"/>
          <w:szCs w:val="24"/>
        </w:rPr>
      </w:pPr>
    </w:p>
    <w:p>
      <w:pPr>
        <w:ind w:firstLine="480" w:firstLineChars="200"/>
        <w:outlineLvl w:val="0"/>
        <w:rPr>
          <w:rFonts w:ascii="黑体" w:hAnsi="宋体" w:eastAsia="黑体"/>
          <w:bCs/>
          <w:sz w:val="24"/>
          <w:szCs w:val="24"/>
        </w:rPr>
      </w:pPr>
      <w:bookmarkStart w:id="36" w:name="_Toc61444116"/>
      <w:bookmarkStart w:id="37" w:name="_Toc86134330"/>
      <w:r>
        <w:rPr>
          <w:rFonts w:hint="eastAsia" w:ascii="黑体" w:hAnsi="宋体" w:eastAsia="黑体"/>
          <w:bCs/>
          <w:sz w:val="24"/>
          <w:szCs w:val="24"/>
        </w:rPr>
        <w:t>（八）明细报价表（格式）：</w:t>
      </w:r>
      <w:bookmarkEnd w:id="36"/>
      <w:bookmarkEnd w:id="37"/>
    </w:p>
    <w:p>
      <w:pPr>
        <w:spacing w:line="400" w:lineRule="exact"/>
        <w:jc w:val="center"/>
        <w:outlineLvl w:val="0"/>
        <w:rPr>
          <w:rFonts w:ascii="黑体" w:eastAsia="黑体"/>
          <w:color w:val="000000"/>
          <w:sz w:val="28"/>
          <w:szCs w:val="28"/>
        </w:rPr>
      </w:pPr>
      <w:bookmarkStart w:id="38" w:name="_Toc86134331"/>
      <w:bookmarkStart w:id="39" w:name="_Toc61444117"/>
      <w:r>
        <w:rPr>
          <w:rFonts w:hint="eastAsia" w:ascii="黑体" w:eastAsia="黑体"/>
          <w:color w:val="000000"/>
          <w:sz w:val="28"/>
          <w:szCs w:val="28"/>
        </w:rPr>
        <w:t>明细报价表</w:t>
      </w:r>
      <w:bookmarkEnd w:id="38"/>
      <w:bookmarkEnd w:id="39"/>
    </w:p>
    <w:p>
      <w:pPr>
        <w:spacing w:line="400" w:lineRule="exact"/>
        <w:jc w:val="center"/>
        <w:outlineLvl w:val="0"/>
        <w:rPr>
          <w:rFonts w:ascii="黑体" w:eastAsia="黑体"/>
          <w:color w:val="FF0000"/>
          <w:sz w:val="28"/>
          <w:szCs w:val="28"/>
        </w:rPr>
      </w:pPr>
    </w:p>
    <w:p>
      <w:pPr>
        <w:spacing w:line="400" w:lineRule="exact"/>
        <w:rPr>
          <w:rFonts w:hint="default" w:ascii="黑体" w:eastAsia="黑体"/>
          <w:bCs/>
          <w:sz w:val="24"/>
          <w:szCs w:val="24"/>
          <w:lang w:val="en-US" w:eastAsia="zh-CN"/>
        </w:rPr>
      </w:pPr>
      <w:r>
        <w:rPr>
          <w:rFonts w:hint="eastAsia" w:ascii="黑体" w:eastAsia="黑体"/>
          <w:bCs/>
          <w:sz w:val="24"/>
          <w:szCs w:val="24"/>
        </w:rPr>
        <w:t>投标人名称（盖章）                                政府采购编号</w:t>
      </w:r>
      <w:r>
        <w:rPr>
          <w:rFonts w:hint="eastAsia" w:ascii="黑体" w:eastAsia="黑体"/>
          <w:bCs/>
          <w:color w:val="auto"/>
          <w:sz w:val="24"/>
          <w:szCs w:val="24"/>
        </w:rPr>
        <w:t>：HSCGZX(G)</w:t>
      </w:r>
      <w:r>
        <w:rPr>
          <w:rFonts w:hint="eastAsia" w:ascii="黑体" w:eastAsia="黑体"/>
          <w:bCs/>
          <w:color w:val="auto"/>
          <w:sz w:val="24"/>
          <w:szCs w:val="24"/>
          <w:lang w:val="en-US" w:eastAsia="zh-CN"/>
        </w:rPr>
        <w:t>20230034</w:t>
      </w:r>
    </w:p>
    <w:tbl>
      <w:tblPr>
        <w:tblStyle w:val="25"/>
        <w:tblW w:w="0" w:type="auto"/>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89"/>
        <w:gridCol w:w="241"/>
        <w:gridCol w:w="751"/>
        <w:gridCol w:w="709"/>
        <w:gridCol w:w="709"/>
        <w:gridCol w:w="2835"/>
        <w:gridCol w:w="708"/>
        <w:gridCol w:w="709"/>
        <w:gridCol w:w="851"/>
        <w:gridCol w:w="708"/>
        <w:gridCol w:w="567"/>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08"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color w:val="000000"/>
                <w:sz w:val="18"/>
              </w:rPr>
              <w:t>序号</w:t>
            </w:r>
          </w:p>
        </w:tc>
        <w:tc>
          <w:tcPr>
            <w:tcW w:w="9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color w:val="000000"/>
                <w:sz w:val="18"/>
              </w:rPr>
              <w:t>名称</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color w:val="000000"/>
                <w:sz w:val="18"/>
              </w:rPr>
              <w:t>品牌</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color w:val="000000"/>
                <w:sz w:val="18"/>
              </w:rPr>
              <w:t>型号</w:t>
            </w: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sz w:val="18"/>
              </w:rPr>
              <w:t>相关描述</w:t>
            </w: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color w:val="000000"/>
                <w:sz w:val="18"/>
              </w:rPr>
              <w:t>数量</w:t>
            </w: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color w:val="000000"/>
                <w:sz w:val="18"/>
              </w:rPr>
              <w:t>产地</w:t>
            </w:r>
          </w:p>
        </w:tc>
        <w:tc>
          <w:tcPr>
            <w:tcW w:w="851" w:type="dxa"/>
            <w:tcBorders>
              <w:top w:val="single" w:color="auto" w:sz="4" w:space="0"/>
              <w:left w:val="single" w:color="auto" w:sz="4" w:space="0"/>
              <w:bottom w:val="single" w:color="auto" w:sz="4" w:space="0"/>
              <w:right w:val="single" w:color="auto" w:sz="4" w:space="0"/>
            </w:tcBorders>
            <w:vAlign w:val="center"/>
          </w:tcPr>
          <w:p>
            <w:pPr>
              <w:spacing w:before="5"/>
              <w:jc w:val="center"/>
              <w:rPr>
                <w:color w:val="000000"/>
                <w:sz w:val="18"/>
              </w:rPr>
            </w:pPr>
            <w:r>
              <w:rPr>
                <w:rFonts w:hint="eastAsia"/>
                <w:color w:val="000000"/>
                <w:sz w:val="18"/>
              </w:rPr>
              <w:t>是否属于小、微型企业产品</w:t>
            </w: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before="5"/>
              <w:jc w:val="center"/>
              <w:rPr>
                <w:color w:val="000000"/>
                <w:sz w:val="18"/>
              </w:rPr>
            </w:pPr>
            <w:r>
              <w:rPr>
                <w:rFonts w:hint="eastAsia"/>
                <w:color w:val="000000"/>
                <w:sz w:val="18"/>
              </w:rPr>
              <w:t>质保期</w:t>
            </w:r>
          </w:p>
        </w:tc>
        <w:tc>
          <w:tcPr>
            <w:tcW w:w="567" w:type="dxa"/>
            <w:tcBorders>
              <w:top w:val="single" w:color="auto" w:sz="4" w:space="0"/>
              <w:left w:val="single" w:color="auto" w:sz="4" w:space="0"/>
              <w:bottom w:val="single" w:color="auto" w:sz="4" w:space="0"/>
              <w:right w:val="single" w:color="auto" w:sz="4" w:space="0"/>
            </w:tcBorders>
            <w:vAlign w:val="center"/>
          </w:tcPr>
          <w:p>
            <w:pPr>
              <w:spacing w:before="5"/>
              <w:jc w:val="center"/>
              <w:rPr>
                <w:color w:val="000000"/>
                <w:sz w:val="18"/>
              </w:rPr>
            </w:pPr>
            <w:r>
              <w:rPr>
                <w:rFonts w:hint="eastAsia"/>
                <w:color w:val="000000"/>
                <w:sz w:val="18"/>
              </w:rPr>
              <w:t>单报价</w:t>
            </w:r>
          </w:p>
        </w:tc>
        <w:tc>
          <w:tcPr>
            <w:tcW w:w="798" w:type="dxa"/>
            <w:tcBorders>
              <w:top w:val="single" w:color="auto" w:sz="4" w:space="0"/>
              <w:left w:val="single" w:color="auto" w:sz="4" w:space="0"/>
              <w:bottom w:val="single" w:color="auto" w:sz="4" w:space="0"/>
              <w:right w:val="single" w:color="auto" w:sz="4" w:space="0"/>
            </w:tcBorders>
            <w:vAlign w:val="center"/>
          </w:tcPr>
          <w:p>
            <w:pPr>
              <w:spacing w:before="5"/>
              <w:jc w:val="center"/>
              <w:rPr>
                <w:color w:val="000000"/>
                <w:sz w:val="18"/>
              </w:rPr>
            </w:pPr>
            <w:r>
              <w:rPr>
                <w:rFonts w:hint="eastAsia"/>
                <w:color w:val="000000"/>
                <w:sz w:val="18"/>
              </w:rPr>
              <w:t>分项总报价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5"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7"/>
              <w:pBdr>
                <w:bottom w:val="none" w:color="auto" w:sz="0" w:space="0"/>
              </w:pBdr>
              <w:tabs>
                <w:tab w:val="left" w:pos="420"/>
              </w:tabs>
              <w:snapToGrid/>
              <w:spacing w:before="5"/>
              <w:ind w:firstLine="640"/>
              <w:rPr>
                <w:rFonts w:ascii="宋体"/>
                <w:color w:val="000000"/>
              </w:rPr>
            </w:pPr>
          </w:p>
        </w:tc>
        <w:tc>
          <w:tcPr>
            <w:tcW w:w="9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7"/>
              <w:pBdr>
                <w:bottom w:val="none" w:color="auto" w:sz="0" w:space="0"/>
              </w:pBdr>
              <w:tabs>
                <w:tab w:val="left" w:pos="420"/>
              </w:tabs>
              <w:snapToGrid/>
              <w:ind w:firstLine="640"/>
              <w:rPr>
                <w:rFonts w:ascii="宋体"/>
                <w:bCs/>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7"/>
              <w:pBdr>
                <w:bottom w:val="none" w:color="auto" w:sz="0" w:space="0"/>
              </w:pBdr>
              <w:tabs>
                <w:tab w:val="left" w:pos="420"/>
              </w:tabs>
              <w:snapToGrid/>
              <w:ind w:firstLine="640"/>
              <w:rPr>
                <w:rFonts w:ascii="宋体"/>
                <w:bCs/>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7"/>
              <w:pBdr>
                <w:bottom w:val="none" w:color="auto" w:sz="0" w:space="0"/>
              </w:pBdr>
              <w:tabs>
                <w:tab w:val="left" w:pos="420"/>
              </w:tabs>
              <w:snapToGrid/>
              <w:ind w:firstLine="640"/>
              <w:rPr>
                <w:rFonts w:ascii="宋体"/>
                <w:bCs/>
                <w:color w:val="000000"/>
              </w:rPr>
            </w:pP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pPr>
              <w:jc w:val="center"/>
              <w:rPr>
                <w:rFonts w:ascii="宋体"/>
                <w:bCs/>
                <w:color w:val="000000"/>
                <w:sz w:val="18"/>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color w:val="000000"/>
                <w:sz w:val="18"/>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szCs w:val="24"/>
              </w:rPr>
            </w:pPr>
            <w:r>
              <w:rPr>
                <w:rFonts w:hint="eastAsia" w:ascii="黑体" w:eastAsia="黑体"/>
                <w:b/>
                <w:bCs/>
                <w:color w:val="000000"/>
              </w:rPr>
              <w:t>　</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000000"/>
                <w:sz w:val="24"/>
                <w:szCs w:val="24"/>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szCs w:val="24"/>
              </w:rPr>
            </w:pPr>
            <w:r>
              <w:rPr>
                <w:rFonts w:hint="eastAsia" w:ascii="黑体" w:eastAsia="黑体"/>
                <w:b/>
                <w:bCs/>
                <w:color w:val="000000"/>
              </w:rPr>
              <w:t>　</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000000"/>
                <w:sz w:val="24"/>
                <w:szCs w:val="24"/>
              </w:rPr>
            </w:pP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5" w:hRule="atLeast"/>
        </w:trPr>
        <w:tc>
          <w:tcPr>
            <w:tcW w:w="38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color w:val="000000"/>
                <w:sz w:val="18"/>
              </w:rPr>
            </w:pPr>
          </w:p>
        </w:tc>
        <w:tc>
          <w:tcPr>
            <w:tcW w:w="992" w:type="dxa"/>
            <w:gridSpan w:val="2"/>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7"/>
              <w:pBdr>
                <w:bottom w:val="none" w:color="auto" w:sz="0" w:space="0"/>
              </w:pBdr>
              <w:tabs>
                <w:tab w:val="left" w:pos="420"/>
              </w:tabs>
              <w:snapToGrid/>
              <w:ind w:firstLine="640"/>
              <w:rPr>
                <w:rFonts w:ascii="宋体"/>
                <w:bCs/>
                <w:color w:val="000000"/>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7"/>
              <w:pBdr>
                <w:bottom w:val="none" w:color="auto" w:sz="0" w:space="0"/>
              </w:pBdr>
              <w:tabs>
                <w:tab w:val="left" w:pos="420"/>
              </w:tabs>
              <w:snapToGrid/>
              <w:ind w:firstLine="640"/>
              <w:rPr>
                <w:rFonts w:ascii="宋体"/>
                <w:bCs/>
                <w:color w:val="000000"/>
              </w:rPr>
            </w:pPr>
          </w:p>
        </w:tc>
        <w:tc>
          <w:tcPr>
            <w:tcW w:w="28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color w:val="000000"/>
                <w:sz w:val="18"/>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bCs/>
                <w:color w:val="000000"/>
                <w:sz w:val="18"/>
              </w:rPr>
            </w:pPr>
          </w:p>
        </w:tc>
        <w:tc>
          <w:tcPr>
            <w:tcW w:w="709"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szCs w:val="24"/>
              </w:rPr>
            </w:pPr>
            <w:r>
              <w:rPr>
                <w:rFonts w:hint="eastAsia" w:ascii="黑体" w:eastAsia="黑体"/>
                <w:b/>
                <w:bCs/>
                <w:color w:val="000000"/>
              </w:rPr>
              <w:t>　</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000000"/>
                <w:sz w:val="24"/>
                <w:szCs w:val="24"/>
              </w:rPr>
            </w:pPr>
          </w:p>
        </w:tc>
        <w:tc>
          <w:tcPr>
            <w:tcW w:w="708"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szCs w:val="24"/>
              </w:rPr>
            </w:pPr>
            <w:r>
              <w:rPr>
                <w:rFonts w:hint="eastAsia" w:ascii="黑体" w:eastAsia="黑体"/>
                <w:b/>
                <w:bCs/>
                <w:color w:val="000000"/>
              </w:rPr>
              <w:t>　</w:t>
            </w:r>
          </w:p>
        </w:tc>
        <w:tc>
          <w:tcPr>
            <w:tcW w:w="567"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000000"/>
                <w:sz w:val="24"/>
                <w:szCs w:val="24"/>
              </w:rPr>
            </w:pP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黑体" w:hAnsi="宋体" w:eastAsia="黑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799"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7"/>
              <w:pBdr>
                <w:bottom w:val="none" w:color="auto" w:sz="0" w:space="0"/>
              </w:pBdr>
              <w:tabs>
                <w:tab w:val="left" w:pos="420"/>
              </w:tabs>
              <w:snapToGrid/>
              <w:ind w:firstLine="482"/>
              <w:rPr>
                <w:rFonts w:ascii="宋体"/>
                <w:b/>
                <w:bCs/>
                <w:color w:val="000000"/>
                <w:sz w:val="24"/>
              </w:rPr>
            </w:pPr>
            <w:r>
              <w:rPr>
                <w:rFonts w:hint="eastAsia" w:ascii="宋体"/>
                <w:b/>
                <w:bCs/>
                <w:sz w:val="24"/>
                <w:szCs w:val="20"/>
              </w:rPr>
              <w:t>完工期</w:t>
            </w:r>
          </w:p>
        </w:tc>
        <w:tc>
          <w:tcPr>
            <w:tcW w:w="7176"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szCs w:val="24"/>
              </w:rPr>
            </w:pPr>
            <w:r>
              <w:rPr>
                <w:rFonts w:hint="eastAsia" w:ascii="黑体" w:hAnsi="宋体" w:eastAsia="黑体"/>
                <w:b/>
                <w:bCs/>
                <w:sz w:val="24"/>
                <w:szCs w:val="24"/>
              </w:rPr>
              <w:t>合同签订生效后的日内完工。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2" w:hRule="atLeast"/>
        </w:trPr>
        <w:tc>
          <w:tcPr>
            <w:tcW w:w="2799" w:type="dxa"/>
            <w:gridSpan w:val="5"/>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17"/>
              <w:pBdr>
                <w:bottom w:val="none" w:color="auto" w:sz="0" w:space="0"/>
              </w:pBdr>
              <w:tabs>
                <w:tab w:val="left" w:pos="420"/>
              </w:tabs>
              <w:snapToGrid/>
              <w:ind w:firstLine="482"/>
              <w:rPr>
                <w:rFonts w:ascii="宋体"/>
                <w:b/>
                <w:bCs/>
                <w:color w:val="000000"/>
                <w:sz w:val="24"/>
              </w:rPr>
            </w:pPr>
            <w:r>
              <w:rPr>
                <w:rFonts w:hint="eastAsia" w:ascii="宋体"/>
                <w:b/>
                <w:bCs/>
                <w:color w:val="000000"/>
                <w:sz w:val="24"/>
              </w:rPr>
              <w:t>设备质保期</w:t>
            </w:r>
          </w:p>
        </w:tc>
        <w:tc>
          <w:tcPr>
            <w:tcW w:w="7176" w:type="dxa"/>
            <w:gridSpan w:val="7"/>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黑体" w:hAnsi="宋体" w:eastAsia="黑体"/>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trPr>
        <w:tc>
          <w:tcPr>
            <w:tcW w:w="630" w:type="dxa"/>
            <w:gridSpan w:val="2"/>
            <w:vMerge w:val="restart"/>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pStyle w:val="21"/>
              <w:spacing w:line="400" w:lineRule="exact"/>
              <w:ind w:firstLine="120" w:firstLineChars="50"/>
              <w:rPr>
                <w:rFonts w:ascii="宋体"/>
                <w:b/>
                <w:bCs/>
                <w:color w:val="000000"/>
                <w:sz w:val="24"/>
                <w:szCs w:val="24"/>
              </w:rPr>
            </w:pPr>
            <w:r>
              <w:rPr>
                <w:rFonts w:hint="eastAsia" w:ascii="宋体" w:hAnsi="宋体"/>
                <w:b/>
                <w:bCs/>
                <w:color w:val="000000"/>
                <w:sz w:val="24"/>
                <w:szCs w:val="24"/>
              </w:rPr>
              <w:t>服</w:t>
            </w:r>
          </w:p>
          <w:p>
            <w:pPr>
              <w:pStyle w:val="21"/>
              <w:spacing w:line="400" w:lineRule="exact"/>
              <w:rPr>
                <w:rFonts w:ascii="宋体"/>
                <w:b/>
                <w:bCs/>
                <w:color w:val="000000"/>
                <w:sz w:val="24"/>
                <w:szCs w:val="24"/>
              </w:rPr>
            </w:pPr>
          </w:p>
          <w:p>
            <w:pPr>
              <w:pStyle w:val="21"/>
              <w:spacing w:line="400" w:lineRule="exact"/>
              <w:ind w:firstLine="120" w:firstLineChars="50"/>
              <w:rPr>
                <w:rFonts w:ascii="宋体"/>
                <w:b/>
                <w:bCs/>
                <w:color w:val="000000"/>
                <w:sz w:val="24"/>
                <w:szCs w:val="24"/>
              </w:rPr>
            </w:pPr>
            <w:r>
              <w:rPr>
                <w:rFonts w:hint="eastAsia" w:ascii="宋体" w:hAnsi="宋体"/>
                <w:b/>
                <w:bCs/>
                <w:color w:val="000000"/>
                <w:sz w:val="24"/>
                <w:szCs w:val="24"/>
              </w:rPr>
              <w:t>务</w:t>
            </w:r>
          </w:p>
          <w:p>
            <w:pPr>
              <w:pStyle w:val="21"/>
              <w:spacing w:line="400" w:lineRule="exact"/>
              <w:rPr>
                <w:rFonts w:ascii="宋体"/>
                <w:b/>
                <w:bCs/>
                <w:color w:val="000000"/>
                <w:sz w:val="24"/>
                <w:szCs w:val="24"/>
              </w:rPr>
            </w:pPr>
          </w:p>
          <w:p>
            <w:pPr>
              <w:pStyle w:val="21"/>
              <w:spacing w:line="400" w:lineRule="exact"/>
              <w:ind w:firstLine="120" w:firstLineChars="50"/>
              <w:rPr>
                <w:rFonts w:ascii="宋体"/>
                <w:b/>
                <w:bCs/>
                <w:color w:val="000000"/>
                <w:sz w:val="24"/>
                <w:szCs w:val="24"/>
              </w:rPr>
            </w:pPr>
            <w:r>
              <w:rPr>
                <w:rFonts w:hint="eastAsia" w:ascii="宋体" w:hAnsi="宋体"/>
                <w:b/>
                <w:bCs/>
                <w:color w:val="000000"/>
                <w:sz w:val="24"/>
                <w:szCs w:val="24"/>
              </w:rPr>
              <w:t>承</w:t>
            </w:r>
          </w:p>
          <w:p>
            <w:pPr>
              <w:pStyle w:val="21"/>
              <w:spacing w:line="400" w:lineRule="exact"/>
              <w:rPr>
                <w:rFonts w:ascii="宋体"/>
                <w:b/>
                <w:bCs/>
                <w:color w:val="000000"/>
                <w:sz w:val="24"/>
                <w:szCs w:val="24"/>
              </w:rPr>
            </w:pPr>
          </w:p>
          <w:p>
            <w:pPr>
              <w:pStyle w:val="21"/>
              <w:spacing w:line="400" w:lineRule="exact"/>
              <w:ind w:firstLine="120" w:firstLineChars="50"/>
              <w:rPr>
                <w:rFonts w:ascii="宋体"/>
                <w:bCs/>
                <w:color w:val="000000"/>
                <w:sz w:val="24"/>
                <w:szCs w:val="24"/>
              </w:rPr>
            </w:pPr>
            <w:r>
              <w:rPr>
                <w:rFonts w:hint="eastAsia" w:ascii="宋体" w:hAnsi="宋体"/>
                <w:b/>
                <w:bCs/>
                <w:color w:val="000000"/>
                <w:sz w:val="24"/>
                <w:szCs w:val="24"/>
              </w:rPr>
              <w:t>诺</w:t>
            </w:r>
          </w:p>
        </w:tc>
        <w:tc>
          <w:tcPr>
            <w:tcW w:w="9345"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numPr>
                <w:ilvl w:val="0"/>
                <w:numId w:val="38"/>
              </w:numPr>
              <w:rPr>
                <w:rFonts w:ascii="宋体"/>
                <w:bCs/>
                <w:color w:val="000000"/>
                <w:sz w:val="24"/>
                <w:szCs w:val="24"/>
              </w:rPr>
            </w:pPr>
            <w:r>
              <w:rPr>
                <w:rFonts w:hint="eastAsia" w:ascii="宋体" w:hAnsi="宋体"/>
                <w:bCs/>
                <w:color w:val="000000"/>
                <w:sz w:val="24"/>
                <w:szCs w:val="24"/>
              </w:rPr>
              <w:t>质量 2.安装 3."三包"(包修、包退、包换)4</w:t>
            </w:r>
            <w:r>
              <w:rPr>
                <w:rFonts w:hint="eastAsia" w:ascii="宋体"/>
                <w:bCs/>
                <w:color w:val="000000"/>
                <w:sz w:val="24"/>
                <w:szCs w:val="24"/>
              </w:rPr>
              <w:t>.</w:t>
            </w:r>
            <w:r>
              <w:rPr>
                <w:rFonts w:hint="eastAsia" w:ascii="宋体" w:hAnsi="宋体"/>
                <w:bCs/>
                <w:color w:val="000000"/>
                <w:sz w:val="24"/>
                <w:szCs w:val="24"/>
              </w:rPr>
              <w:t>其他承诺</w:t>
            </w:r>
          </w:p>
          <w:p>
            <w:pPr>
              <w:rPr>
                <w:rFonts w:ascii="宋体"/>
                <w:bCs/>
                <w:color w:val="000000"/>
                <w:sz w:val="24"/>
                <w:szCs w:val="24"/>
              </w:rPr>
            </w:pPr>
            <w:r>
              <w:rPr>
                <w:rFonts w:hint="eastAsia" w:ascii="宋体" w:hAnsi="宋体"/>
                <w:bCs/>
                <w:color w:val="000000"/>
                <w:sz w:val="24"/>
                <w:szCs w:val="24"/>
              </w:rPr>
              <w:t>（以上是主要承诺，供投标人参考，投标人应在满足招标文件要求的基础上，根据自己单位的情况作出具体承诺）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743" w:hRule="atLeast"/>
        </w:trPr>
        <w:tc>
          <w:tcPr>
            <w:tcW w:w="379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Cs/>
                <w:color w:val="000000"/>
                <w:kern w:val="0"/>
                <w:sz w:val="24"/>
                <w:szCs w:val="24"/>
              </w:rPr>
            </w:pPr>
          </w:p>
        </w:tc>
        <w:tc>
          <w:tcPr>
            <w:tcW w:w="9345" w:type="dxa"/>
            <w:gridSpan w:val="10"/>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rPr>
                <w:rFonts w:ascii="宋体"/>
                <w:bCs/>
                <w:color w:val="000000"/>
                <w:sz w:val="24"/>
                <w:szCs w:val="24"/>
              </w:rPr>
            </w:pPr>
          </w:p>
        </w:tc>
      </w:tr>
    </w:tbl>
    <w:p>
      <w:pPr>
        <w:spacing w:line="400" w:lineRule="exact"/>
        <w:rPr>
          <w:b/>
          <w:bCs/>
          <w:sz w:val="24"/>
          <w:szCs w:val="24"/>
        </w:rPr>
      </w:pPr>
    </w:p>
    <w:p>
      <w:pPr>
        <w:spacing w:line="400" w:lineRule="exact"/>
        <w:rPr>
          <w:rFonts w:ascii="黑体" w:eastAsia="黑体"/>
          <w:bCs/>
          <w:color w:val="auto"/>
          <w:sz w:val="32"/>
          <w:highlight w:val="none"/>
        </w:rPr>
      </w:pPr>
      <w:r>
        <w:rPr>
          <w:rFonts w:hint="eastAsia"/>
          <w:b/>
          <w:bCs/>
          <w:color w:val="auto"/>
          <w:sz w:val="24"/>
          <w:szCs w:val="24"/>
          <w:highlight w:val="none"/>
        </w:rPr>
        <w:t>法定代表人或法定代表人授权代表签字或盖章：</w:t>
      </w:r>
    </w:p>
    <w:p>
      <w:pPr>
        <w:spacing w:line="320" w:lineRule="exact"/>
        <w:outlineLvl w:val="0"/>
        <w:rPr>
          <w:rFonts w:ascii="宋体"/>
          <w:bCs/>
          <w:color w:val="auto"/>
          <w:szCs w:val="21"/>
          <w:highlight w:val="none"/>
        </w:rPr>
      </w:pPr>
      <w:bookmarkStart w:id="40" w:name="_Toc61444118"/>
      <w:bookmarkStart w:id="41" w:name="_Toc86134332"/>
      <w:r>
        <w:rPr>
          <w:rFonts w:hint="eastAsia" w:ascii="宋体" w:hAnsi="宋体"/>
          <w:b/>
          <w:color w:val="auto"/>
          <w:szCs w:val="21"/>
          <w:highlight w:val="none"/>
        </w:rPr>
        <w:t>注：</w:t>
      </w:r>
      <w:r>
        <w:rPr>
          <w:rFonts w:hint="eastAsia" w:ascii="宋体" w:hAnsi="宋体"/>
          <w:bCs/>
          <w:color w:val="auto"/>
          <w:szCs w:val="21"/>
          <w:highlight w:val="none"/>
        </w:rPr>
        <w:t>（1）在“是否属于小、微型企业（或监狱企业、残疾人福利性单位）产品”栏内填写“是”或“否”。如填写“是”，</w:t>
      </w:r>
      <w:r>
        <w:rPr>
          <w:rFonts w:hint="eastAsia" w:ascii="宋体" w:hAnsi="宋体" w:cs="宋体"/>
          <w:color w:val="auto"/>
          <w:kern w:val="0"/>
          <w:szCs w:val="21"/>
          <w:highlight w:val="none"/>
          <w:lang w:val="zh-CN"/>
        </w:rPr>
        <w:t xml:space="preserve"> 投标人本项目提供的货物全部由符合政策要求的中小企业制造的，须提供按格式填写的《中小企业声明函》（货物）（《中小企业声明函》（货物）相应内容须与上表填列内容保持一致）；投标人本项目提供的服务全部由符合政策要求的中小企业承接的，须提供按格式填写的《中小企业声明函》（服务）</w:t>
      </w:r>
      <w:r>
        <w:rPr>
          <w:rFonts w:hint="eastAsia" w:ascii="宋体" w:hAnsi="宋体"/>
          <w:bCs/>
          <w:color w:val="auto"/>
          <w:szCs w:val="21"/>
          <w:highlight w:val="none"/>
        </w:rPr>
        <w:t>；或提供由省级以上监狱管理局、戒毒管理局(含新疆生产建设兵团)出具的投标人属于监狱企业的证明文件复印件；或提供投标人《残疾人福利性单位声明函》。如未按要求填写和提供有效证明或相关内容表述不清的，不得享受价格扣除。投标人对所报相关数据的真实性负责，无锡市惠山区政府采购中心有权将相关内容进行公示。</w:t>
      </w:r>
      <w:bookmarkEnd w:id="40"/>
      <w:bookmarkEnd w:id="41"/>
    </w:p>
    <w:p>
      <w:pPr>
        <w:spacing w:line="320" w:lineRule="exact"/>
        <w:ind w:firstLine="315" w:firstLineChars="150"/>
        <w:outlineLvl w:val="0"/>
        <w:rPr>
          <w:rFonts w:ascii="宋体" w:hAnsi="宋体"/>
          <w:bCs/>
          <w:color w:val="auto"/>
          <w:szCs w:val="21"/>
          <w:highlight w:val="none"/>
        </w:rPr>
      </w:pPr>
      <w:bookmarkStart w:id="42" w:name="_Toc86134333"/>
      <w:bookmarkStart w:id="43" w:name="_Toc61444119"/>
      <w:r>
        <w:rPr>
          <w:rFonts w:hint="eastAsia" w:ascii="宋体" w:hAnsi="宋体"/>
          <w:bCs/>
          <w:color w:val="auto"/>
          <w:szCs w:val="21"/>
          <w:highlight w:val="none"/>
        </w:rPr>
        <w:t>（2）投标人应当根据“项目技术要求和有关说明”的内容在上表中详细填写；</w:t>
      </w:r>
      <w:bookmarkEnd w:id="42"/>
      <w:bookmarkEnd w:id="43"/>
    </w:p>
    <w:p>
      <w:pPr>
        <w:spacing w:line="320" w:lineRule="exact"/>
        <w:ind w:firstLine="315" w:firstLineChars="150"/>
        <w:outlineLvl w:val="0"/>
        <w:rPr>
          <w:rFonts w:ascii="宋体" w:hAnsi="宋体"/>
          <w:bCs/>
          <w:color w:val="auto"/>
          <w:szCs w:val="21"/>
          <w:highlight w:val="none"/>
        </w:rPr>
      </w:pPr>
      <w:bookmarkStart w:id="44" w:name="_Toc86134334"/>
      <w:bookmarkStart w:id="45" w:name="_Toc61444120"/>
      <w:r>
        <w:rPr>
          <w:rFonts w:hint="eastAsia" w:ascii="宋体" w:hAnsi="宋体"/>
          <w:bCs/>
          <w:color w:val="auto"/>
          <w:szCs w:val="21"/>
          <w:highlight w:val="none"/>
        </w:rPr>
        <w:t>（3）表格不够可自行延长。</w:t>
      </w:r>
      <w:bookmarkEnd w:id="44"/>
      <w:bookmarkEnd w:id="45"/>
    </w:p>
    <w:p>
      <w:pPr>
        <w:ind w:firstLine="420" w:firstLineChars="175"/>
        <w:outlineLvl w:val="0"/>
        <w:rPr>
          <w:rFonts w:ascii="黑体" w:hAnsi="宋体" w:eastAsia="黑体"/>
          <w:bCs/>
          <w:sz w:val="24"/>
          <w:szCs w:val="24"/>
        </w:rPr>
      </w:pPr>
    </w:p>
    <w:p>
      <w:pPr>
        <w:ind w:firstLine="420" w:firstLineChars="175"/>
        <w:outlineLvl w:val="0"/>
        <w:rPr>
          <w:rFonts w:ascii="黑体" w:hAnsi="宋体" w:eastAsia="黑体"/>
          <w:bCs/>
          <w:sz w:val="24"/>
          <w:szCs w:val="24"/>
        </w:rPr>
      </w:pPr>
    </w:p>
    <w:p>
      <w:pPr>
        <w:pageBreakBefore/>
        <w:ind w:firstLine="420" w:firstLineChars="175"/>
        <w:outlineLvl w:val="0"/>
        <w:rPr>
          <w:rFonts w:ascii="黑体" w:eastAsia="黑体"/>
          <w:bCs/>
          <w:sz w:val="28"/>
          <w:szCs w:val="28"/>
        </w:rPr>
      </w:pPr>
      <w:bookmarkStart w:id="46" w:name="_Toc86134335"/>
      <w:bookmarkStart w:id="47" w:name="_Toc61444121"/>
      <w:r>
        <w:rPr>
          <w:rFonts w:hint="eastAsia" w:ascii="黑体" w:hAnsi="宋体" w:eastAsia="黑体"/>
          <w:bCs/>
          <w:sz w:val="24"/>
          <w:szCs w:val="24"/>
        </w:rPr>
        <w:t>（九）投标偏离表：</w:t>
      </w:r>
      <w:bookmarkEnd w:id="46"/>
      <w:bookmarkEnd w:id="47"/>
    </w:p>
    <w:p>
      <w:pPr>
        <w:ind w:firstLine="490" w:firstLineChars="175"/>
        <w:jc w:val="center"/>
        <w:outlineLvl w:val="0"/>
        <w:rPr>
          <w:rFonts w:ascii="黑体" w:eastAsia="黑体"/>
          <w:bCs/>
          <w:sz w:val="28"/>
          <w:szCs w:val="28"/>
        </w:rPr>
      </w:pPr>
      <w:bookmarkStart w:id="48" w:name="_Toc61444122"/>
      <w:bookmarkStart w:id="49" w:name="_Toc86134336"/>
      <w:r>
        <w:rPr>
          <w:rFonts w:hint="eastAsia" w:ascii="黑体" w:eastAsia="黑体"/>
          <w:bCs/>
          <w:sz w:val="28"/>
          <w:szCs w:val="28"/>
        </w:rPr>
        <w:t>投标偏离表</w:t>
      </w:r>
      <w:bookmarkEnd w:id="48"/>
      <w:bookmarkEnd w:id="49"/>
    </w:p>
    <w:p>
      <w:pPr>
        <w:spacing w:line="400" w:lineRule="exact"/>
        <w:jc w:val="center"/>
        <w:outlineLvl w:val="0"/>
        <w:rPr>
          <w:rFonts w:ascii="黑体" w:eastAsia="黑体"/>
          <w:bCs/>
          <w:sz w:val="28"/>
          <w:szCs w:val="28"/>
        </w:rPr>
      </w:pPr>
    </w:p>
    <w:p>
      <w:pPr>
        <w:spacing w:line="400" w:lineRule="exact"/>
        <w:rPr>
          <w:rFonts w:hint="default" w:ascii="黑体" w:eastAsia="黑体"/>
          <w:bCs/>
          <w:sz w:val="24"/>
          <w:szCs w:val="24"/>
          <w:lang w:val="en-US" w:eastAsia="zh-CN"/>
        </w:rPr>
      </w:pPr>
      <w:r>
        <w:rPr>
          <w:rFonts w:hint="eastAsia" w:ascii="黑体" w:eastAsia="黑体"/>
          <w:bCs/>
          <w:sz w:val="24"/>
          <w:szCs w:val="24"/>
        </w:rPr>
        <w:t>投标人名称（盖章）                                  政府采购编号</w:t>
      </w:r>
      <w:r>
        <w:rPr>
          <w:rFonts w:hint="eastAsia" w:ascii="黑体" w:eastAsia="黑体"/>
          <w:bCs/>
          <w:color w:val="auto"/>
          <w:sz w:val="24"/>
          <w:szCs w:val="24"/>
        </w:rPr>
        <w:t>：HSCGZX(G)</w:t>
      </w:r>
      <w:r>
        <w:rPr>
          <w:rFonts w:hint="eastAsia" w:ascii="黑体" w:eastAsia="黑体"/>
          <w:bCs/>
          <w:color w:val="auto"/>
          <w:sz w:val="24"/>
          <w:szCs w:val="24"/>
          <w:lang w:val="en-US" w:eastAsia="zh-CN"/>
        </w:rPr>
        <w:t>20230034</w:t>
      </w:r>
    </w:p>
    <w:tbl>
      <w:tblPr>
        <w:tblStyle w:val="25"/>
        <w:tblW w:w="0" w:type="auto"/>
        <w:tblInd w:w="0" w:type="dxa"/>
        <w:tblLayout w:type="fixed"/>
        <w:tblCellMar>
          <w:top w:w="0" w:type="dxa"/>
          <w:left w:w="0" w:type="dxa"/>
          <w:bottom w:w="0" w:type="dxa"/>
          <w:right w:w="0" w:type="dxa"/>
        </w:tblCellMar>
      </w:tblPr>
      <w:tblGrid>
        <w:gridCol w:w="1905"/>
        <w:gridCol w:w="2835"/>
        <w:gridCol w:w="2835"/>
        <w:gridCol w:w="2310"/>
      </w:tblGrid>
      <w:tr>
        <w:tblPrEx>
          <w:tblCellMar>
            <w:top w:w="0" w:type="dxa"/>
            <w:left w:w="0" w:type="dxa"/>
            <w:bottom w:w="0" w:type="dxa"/>
            <w:right w:w="0" w:type="dxa"/>
          </w:tblCellMar>
        </w:tblPrEx>
        <w:trPr>
          <w:cantSplit/>
          <w:trHeight w:val="555"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
                <w:bCs/>
                <w:sz w:val="24"/>
                <w:szCs w:val="24"/>
              </w:rPr>
            </w:pPr>
            <w:r>
              <w:rPr>
                <w:rFonts w:hint="eastAsia" w:ascii="宋体" w:hAnsi="宋体"/>
                <w:b/>
                <w:bCs/>
                <w:sz w:val="24"/>
                <w:szCs w:val="24"/>
              </w:rPr>
              <w:t>名称</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采购要求</w:t>
            </w: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实报内容</w:t>
            </w: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4"/>
              </w:rPr>
            </w:pPr>
            <w:r>
              <w:rPr>
                <w:rFonts w:hint="eastAsia" w:ascii="宋体" w:hAnsi="宋体"/>
                <w:b/>
                <w:bCs/>
                <w:sz w:val="24"/>
                <w:szCs w:val="24"/>
              </w:rPr>
              <w:t>偏离说明</w:t>
            </w:r>
          </w:p>
        </w:tc>
      </w:tr>
      <w:tr>
        <w:tblPrEx>
          <w:tblCellMar>
            <w:top w:w="0" w:type="dxa"/>
            <w:left w:w="0" w:type="dxa"/>
            <w:bottom w:w="0" w:type="dxa"/>
            <w:right w:w="0" w:type="dxa"/>
          </w:tblCellMar>
        </w:tblPrEx>
        <w:trPr>
          <w:cantSplit/>
          <w:trHeight w:val="510" w:hRule="atLeast"/>
        </w:trPr>
        <w:tc>
          <w:tcPr>
            <w:tcW w:w="190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jc w:val="center"/>
              <w:rPr>
                <w:rFonts w:ascii="宋体" w:hAnsi="宋体"/>
                <w:bCs/>
              </w:rPr>
            </w:pPr>
          </w:p>
        </w:tc>
        <w:tc>
          <w:tcPr>
            <w:tcW w:w="2835" w:type="dxa"/>
            <w:tcBorders>
              <w:top w:val="single" w:color="auto" w:sz="4" w:space="0"/>
              <w:left w:val="single" w:color="auto" w:sz="4" w:space="0"/>
              <w:bottom w:val="single" w:color="auto" w:sz="4" w:space="0"/>
              <w:right w:val="single" w:color="auto" w:sz="4" w:space="0"/>
            </w:tcBorders>
            <w:vAlign w:val="center"/>
          </w:tcPr>
          <w:p>
            <w:pPr>
              <w:rPr>
                <w:rFonts w:ascii="宋体" w:hAnsi="宋体"/>
                <w:bCs/>
              </w:rPr>
            </w:pPr>
          </w:p>
        </w:tc>
        <w:tc>
          <w:tcPr>
            <w:tcW w:w="283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p>
        </w:tc>
        <w:tc>
          <w:tcPr>
            <w:tcW w:w="23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rPr>
            </w:pPr>
          </w:p>
        </w:tc>
      </w:tr>
    </w:tbl>
    <w:p>
      <w:pPr>
        <w:outlineLvl w:val="0"/>
        <w:rPr>
          <w:rFonts w:ascii="宋体" w:hAnsi="宋体"/>
          <w:bCs/>
          <w:szCs w:val="21"/>
        </w:rPr>
      </w:pPr>
    </w:p>
    <w:p>
      <w:pPr>
        <w:outlineLvl w:val="0"/>
        <w:rPr>
          <w:rFonts w:ascii="宋体" w:hAnsi="宋体"/>
          <w:bCs/>
          <w:szCs w:val="21"/>
        </w:rPr>
      </w:pPr>
      <w:bookmarkStart w:id="50" w:name="_Toc86134337"/>
      <w:bookmarkStart w:id="51" w:name="_Toc61444123"/>
      <w:r>
        <w:rPr>
          <w:rFonts w:hint="eastAsia"/>
          <w:b/>
          <w:bCs/>
          <w:sz w:val="24"/>
          <w:szCs w:val="24"/>
        </w:rPr>
        <w:t>法定代表人或法定代表人授权代表签字或盖章：</w:t>
      </w:r>
      <w:bookmarkEnd w:id="50"/>
      <w:bookmarkEnd w:id="51"/>
    </w:p>
    <w:p>
      <w:pPr>
        <w:outlineLvl w:val="0"/>
        <w:rPr>
          <w:rFonts w:ascii="宋体" w:hAnsi="宋体"/>
          <w:bCs/>
          <w:szCs w:val="21"/>
        </w:rPr>
      </w:pPr>
    </w:p>
    <w:p>
      <w:pPr>
        <w:ind w:firstLine="367" w:firstLineChars="175"/>
        <w:outlineLvl w:val="0"/>
        <w:rPr>
          <w:rFonts w:ascii="宋体" w:hAnsi="宋体"/>
          <w:bCs/>
          <w:szCs w:val="21"/>
        </w:rPr>
      </w:pPr>
      <w:bookmarkStart w:id="52" w:name="_Toc86134338"/>
      <w:bookmarkStart w:id="53" w:name="_Toc61444124"/>
      <w:r>
        <w:rPr>
          <w:rFonts w:hint="eastAsia" w:ascii="宋体" w:hAnsi="宋体"/>
          <w:bCs/>
          <w:szCs w:val="21"/>
        </w:rPr>
        <w:t>注：（1）本表不得删除；</w:t>
      </w:r>
      <w:bookmarkEnd w:id="52"/>
      <w:bookmarkEnd w:id="53"/>
    </w:p>
    <w:p>
      <w:pPr>
        <w:ind w:firstLine="367" w:firstLineChars="175"/>
        <w:outlineLvl w:val="0"/>
        <w:rPr>
          <w:rFonts w:ascii="宋体" w:hAnsi="宋体"/>
          <w:bCs/>
          <w:szCs w:val="21"/>
        </w:rPr>
      </w:pPr>
      <w:bookmarkStart w:id="54" w:name="_Toc61444125"/>
      <w:bookmarkStart w:id="55" w:name="_Toc86134339"/>
      <w:r>
        <w:rPr>
          <w:rFonts w:hint="eastAsia" w:ascii="宋体" w:hAnsi="宋体"/>
          <w:bCs/>
          <w:szCs w:val="21"/>
        </w:rPr>
        <w:t>（2）如无任何技术偏离，请于本表 “偏离说明”中注明“无偏离”；</w:t>
      </w:r>
      <w:bookmarkEnd w:id="54"/>
      <w:bookmarkEnd w:id="55"/>
    </w:p>
    <w:p>
      <w:pPr>
        <w:spacing w:before="5"/>
        <w:ind w:firstLine="420" w:firstLineChars="200"/>
        <w:rPr>
          <w:b/>
          <w:bCs/>
          <w:sz w:val="24"/>
          <w:szCs w:val="24"/>
        </w:rPr>
      </w:pPr>
      <w:r>
        <w:rPr>
          <w:rFonts w:hint="eastAsia" w:ascii="宋体" w:hAnsi="宋体"/>
          <w:bCs/>
          <w:szCs w:val="21"/>
        </w:rPr>
        <w:t xml:space="preserve">   （3）如有技术偏离项，请于本表中列明偏离内容，如需要可自行延长，其余无偏离内容不须赘述。</w:t>
      </w:r>
    </w:p>
    <w:p>
      <w:pPr>
        <w:ind w:firstLine="480" w:firstLineChars="200"/>
        <w:outlineLvl w:val="0"/>
        <w:rPr>
          <w:rFonts w:ascii="黑体" w:hAnsi="宋体" w:eastAsia="黑体"/>
          <w:bCs/>
          <w:sz w:val="24"/>
          <w:szCs w:val="24"/>
        </w:rPr>
      </w:pPr>
    </w:p>
    <w:p>
      <w:pPr>
        <w:spacing w:line="560" w:lineRule="atLeast"/>
        <w:rPr>
          <w:sz w:val="24"/>
        </w:rPr>
      </w:pPr>
    </w:p>
    <w:p>
      <w:pPr>
        <w:spacing w:line="560" w:lineRule="atLeast"/>
        <w:rPr>
          <w:sz w:val="24"/>
        </w:rPr>
      </w:pPr>
    </w:p>
    <w:p>
      <w:pPr>
        <w:spacing w:line="560" w:lineRule="atLeast"/>
        <w:rPr>
          <w:sz w:val="24"/>
        </w:rPr>
      </w:pPr>
    </w:p>
    <w:p>
      <w:pPr>
        <w:rPr>
          <w:rFonts w:ascii="黑体" w:hAnsi="宋体" w:eastAsia="黑体"/>
          <w:bCs/>
          <w:sz w:val="24"/>
          <w:szCs w:val="24"/>
        </w:rPr>
      </w:pPr>
    </w:p>
    <w:p>
      <w:pPr>
        <w:spacing w:line="360" w:lineRule="auto"/>
        <w:jc w:val="center"/>
        <w:rPr>
          <w:rFonts w:ascii="黑体" w:hAnsi="宋体" w:eastAsia="黑体"/>
          <w:bCs/>
          <w:sz w:val="24"/>
          <w:szCs w:val="24"/>
        </w:rPr>
      </w:pPr>
    </w:p>
    <w:p/>
    <w:sectPr>
      <w:headerReference r:id="rId3" w:type="default"/>
      <w:footerReference r:id="rId4" w:type="default"/>
      <w:pgSz w:w="11906" w:h="16838"/>
      <w:pgMar w:top="1440" w:right="1080" w:bottom="1440" w:left="108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长城仿宋">
    <w:altName w:val="宋体"/>
    <w:panose1 w:val="00000000000000000000"/>
    <w:charset w:val="86"/>
    <w:family w:val="auto"/>
    <w:pitch w:val="default"/>
    <w:sig w:usb0="00000000" w:usb1="00000000" w:usb2="00000010" w:usb3="00000000" w:csb0="00040000" w:csb1="00000000"/>
  </w:font>
  <w:font w:name="Book Antiqua">
    <w:panose1 w:val="0204060205030503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DengXian">
    <w:altName w:val="Arial Unicode MS"/>
    <w:panose1 w:val="00000000000000000000"/>
    <w:charset w:val="86"/>
    <w:family w:val="script"/>
    <w:pitch w:val="default"/>
    <w:sig w:usb0="00000000" w:usb1="00000000" w:usb2="00000016" w:usb3="00000000" w:csb0="0004000F" w:csb1="00000000"/>
  </w:font>
  <w:font w:name="Univers">
    <w:altName w:val="Segoe Print"/>
    <w:panose1 w:val="00000000000000000000"/>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314837"/>
      <w:docPartObj>
        <w:docPartGallery w:val="autotext"/>
      </w:docPartObj>
    </w:sdtPr>
    <w:sdtContent>
      <w:p>
        <w:pPr>
          <w:pStyle w:val="16"/>
          <w:jc w:val="center"/>
        </w:pPr>
        <w:r>
          <w:fldChar w:fldCharType="begin"/>
        </w:r>
        <w:r>
          <w:instrText xml:space="preserve">PAGE   \* MERGEFORMAT</w:instrText>
        </w:r>
        <w:r>
          <w:fldChar w:fldCharType="separate"/>
        </w:r>
        <w:r>
          <w:rPr>
            <w:lang w:val="zh-CN"/>
          </w:rPr>
          <w:t>33</w:t>
        </w:r>
        <w:r>
          <w:fldChar w:fldCharType="end"/>
        </w:r>
      </w:p>
    </w:sdtContent>
  </w:sdt>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方正小标宋_GBK" w:hAnsi="华文中宋" w:eastAsia="方正小标宋_GBK"/>
        <w:bCs/>
        <w:color w:val="auto"/>
        <w:szCs w:val="21"/>
      </w:rPr>
      <w:t>HSCGZX(G)</w:t>
    </w:r>
    <w:r>
      <w:rPr>
        <w:rFonts w:hint="eastAsia" w:ascii="方正小标宋_GBK" w:hAnsi="华文中宋" w:eastAsia="方正小标宋_GBK"/>
        <w:bCs/>
        <w:color w:val="auto"/>
        <w:szCs w:val="21"/>
        <w:lang w:val="en-US" w:eastAsia="zh-CN"/>
      </w:rPr>
      <w:t>20230034无锡市玉祁高级中学智慧管理与服务平台项目</w:t>
    </w:r>
    <w:r>
      <w:rPr>
        <w:rFonts w:hint="eastAsia" w:ascii="方正小标宋_GBK" w:hAnsi="华文中宋" w:eastAsia="方正小标宋_GBK"/>
        <w:bCs/>
        <w:color w:val="FF0000"/>
        <w:szCs w:val="21"/>
        <w:lang w:val="en-US" w:eastAsia="zh-CN"/>
      </w:rPr>
      <w:t xml:space="preserve">            </w:t>
    </w:r>
    <w:r>
      <w:rPr>
        <w:rFonts w:hint="eastAsia" w:ascii="方正小标宋_GBK" w:hAnsi="华文中宋" w:eastAsia="方正小标宋_GBK"/>
        <w:bCs/>
        <w:color w:val="FF0000"/>
        <w:szCs w:val="21"/>
      </w:rPr>
      <w:t xml:space="preserve">       </w:t>
    </w:r>
    <w:r>
      <w:rPr>
        <w:rFonts w:hint="eastAsia" w:ascii="方正小标宋_GBK" w:hAnsi="华文中宋" w:eastAsia="方正小标宋_GBK"/>
        <w:bCs/>
        <w:szCs w:val="21"/>
      </w:rPr>
      <w:t>无锡市惠山区政府采购中心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E4BA92"/>
    <w:multiLevelType w:val="singleLevel"/>
    <w:tmpl w:val="90E4BA92"/>
    <w:lvl w:ilvl="0" w:tentative="0">
      <w:start w:val="1"/>
      <w:numFmt w:val="decimal"/>
      <w:lvlText w:val="(%1)"/>
      <w:lvlJc w:val="left"/>
      <w:pPr>
        <w:tabs>
          <w:tab w:val="left" w:pos="0"/>
        </w:tabs>
        <w:ind w:left="454" w:hanging="454"/>
      </w:pPr>
      <w:rPr>
        <w:rFonts w:hint="default"/>
      </w:rPr>
    </w:lvl>
  </w:abstractNum>
  <w:abstractNum w:abstractNumId="1">
    <w:nsid w:val="940C4C86"/>
    <w:multiLevelType w:val="singleLevel"/>
    <w:tmpl w:val="940C4C86"/>
    <w:lvl w:ilvl="0" w:tentative="0">
      <w:start w:val="2"/>
      <w:numFmt w:val="chineseCounting"/>
      <w:suff w:val="nothing"/>
      <w:lvlText w:val="%1、"/>
      <w:lvlJc w:val="left"/>
      <w:pPr>
        <w:ind w:left="-420"/>
      </w:pPr>
      <w:rPr>
        <w:rFonts w:hint="eastAsia"/>
      </w:rPr>
    </w:lvl>
  </w:abstractNum>
  <w:abstractNum w:abstractNumId="2">
    <w:nsid w:val="963D99CE"/>
    <w:multiLevelType w:val="singleLevel"/>
    <w:tmpl w:val="963D99CE"/>
    <w:lvl w:ilvl="0" w:tentative="0">
      <w:start w:val="1"/>
      <w:numFmt w:val="decimal"/>
      <w:lvlText w:val="(%1)"/>
      <w:lvlJc w:val="left"/>
      <w:pPr>
        <w:tabs>
          <w:tab w:val="left" w:pos="0"/>
        </w:tabs>
        <w:ind w:left="454" w:hanging="454"/>
      </w:pPr>
      <w:rPr>
        <w:rFonts w:hint="default"/>
      </w:rPr>
    </w:lvl>
  </w:abstractNum>
  <w:abstractNum w:abstractNumId="3">
    <w:nsid w:val="F98CC8DD"/>
    <w:multiLevelType w:val="multilevel"/>
    <w:tmpl w:val="F98CC8DD"/>
    <w:lvl w:ilvl="0" w:tentative="0">
      <w:start w:val="1"/>
      <w:numFmt w:val="decimal"/>
      <w:suff w:val="nothing"/>
      <w:lvlText w:val="(%1)"/>
      <w:lvlJc w:val="left"/>
      <w:pPr>
        <w:tabs>
          <w:tab w:val="left" w:pos="420"/>
        </w:tabs>
        <w:ind w:left="630" w:hanging="42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F98CF0AB"/>
    <w:multiLevelType w:val="singleLevel"/>
    <w:tmpl w:val="F98CF0AB"/>
    <w:lvl w:ilvl="0" w:tentative="0">
      <w:start w:val="1"/>
      <w:numFmt w:val="decimal"/>
      <w:suff w:val="nothing"/>
      <w:lvlText w:val="(%1)"/>
      <w:lvlJc w:val="left"/>
      <w:pPr>
        <w:tabs>
          <w:tab w:val="left" w:pos="0"/>
        </w:tabs>
        <w:ind w:left="454" w:hanging="454"/>
      </w:pPr>
      <w:rPr>
        <w:rFonts w:hint="default"/>
      </w:rPr>
    </w:lvl>
  </w:abstractNum>
  <w:abstractNum w:abstractNumId="5">
    <w:nsid w:val="00000001"/>
    <w:multiLevelType w:val="singleLevel"/>
    <w:tmpl w:val="00000001"/>
    <w:lvl w:ilvl="0" w:tentative="0">
      <w:start w:val="1"/>
      <w:numFmt w:val="decimal"/>
      <w:lvlText w:val="(%1)"/>
      <w:lvlJc w:val="left"/>
      <w:pPr>
        <w:ind w:left="425" w:hanging="425"/>
      </w:pPr>
      <w:rPr>
        <w:rFonts w:hint="default"/>
      </w:rPr>
    </w:lvl>
  </w:abstractNum>
  <w:abstractNum w:abstractNumId="6">
    <w:nsid w:val="00000004"/>
    <w:multiLevelType w:val="singleLevel"/>
    <w:tmpl w:val="00000004"/>
    <w:lvl w:ilvl="0" w:tentative="0">
      <w:start w:val="1"/>
      <w:numFmt w:val="decimal"/>
      <w:lvlText w:val="(%1)"/>
      <w:lvlJc w:val="left"/>
      <w:pPr>
        <w:ind w:left="425" w:hanging="425"/>
      </w:pPr>
      <w:rPr>
        <w:rFonts w:hint="default"/>
      </w:rPr>
    </w:lvl>
  </w:abstractNum>
  <w:abstractNum w:abstractNumId="7">
    <w:nsid w:val="00000005"/>
    <w:multiLevelType w:val="singleLevel"/>
    <w:tmpl w:val="00000005"/>
    <w:lvl w:ilvl="0" w:tentative="0">
      <w:start w:val="1"/>
      <w:numFmt w:val="decimal"/>
      <w:suff w:val="nothing"/>
      <w:lvlText w:val="%1、"/>
      <w:lvlJc w:val="left"/>
      <w:pPr>
        <w:ind w:left="0" w:firstLine="403"/>
      </w:pPr>
      <w:rPr>
        <w:rFonts w:hint="default"/>
      </w:rPr>
    </w:lvl>
  </w:abstractNum>
  <w:abstractNum w:abstractNumId="8">
    <w:nsid w:val="0000000E"/>
    <w:multiLevelType w:val="singleLevel"/>
    <w:tmpl w:val="0000000E"/>
    <w:lvl w:ilvl="0" w:tentative="0">
      <w:start w:val="2"/>
      <w:numFmt w:val="decimal"/>
      <w:suff w:val="nothing"/>
      <w:lvlText w:val="%1、"/>
      <w:lvlJc w:val="left"/>
    </w:lvl>
  </w:abstractNum>
  <w:abstractNum w:abstractNumId="9">
    <w:nsid w:val="013B226A"/>
    <w:multiLevelType w:val="singleLevel"/>
    <w:tmpl w:val="013B226A"/>
    <w:lvl w:ilvl="0" w:tentative="0">
      <w:start w:val="1"/>
      <w:numFmt w:val="decimal"/>
      <w:lvlText w:val="(%1)"/>
      <w:lvlJc w:val="left"/>
      <w:pPr>
        <w:tabs>
          <w:tab w:val="left" w:pos="0"/>
        </w:tabs>
        <w:ind w:left="454" w:hanging="454"/>
      </w:pPr>
      <w:rPr>
        <w:rFonts w:hint="default"/>
      </w:rPr>
    </w:lvl>
  </w:abstractNum>
  <w:abstractNum w:abstractNumId="10">
    <w:nsid w:val="085007CF"/>
    <w:multiLevelType w:val="multilevel"/>
    <w:tmpl w:val="085007CF"/>
    <w:lvl w:ilvl="0" w:tentative="0">
      <w:start w:val="1"/>
      <w:numFmt w:val="decimal"/>
      <w:lvlText w:val="%1."/>
      <w:lvlJc w:val="left"/>
      <w:pPr>
        <w:tabs>
          <w:tab w:val="left" w:pos="987"/>
        </w:tabs>
        <w:ind w:left="987" w:hanging="420"/>
      </w:pPr>
      <w:rPr>
        <w:rFonts w:cs="Times New Roman"/>
      </w:rPr>
    </w:lvl>
    <w:lvl w:ilvl="1" w:tentative="0">
      <w:start w:val="1"/>
      <w:numFmt w:val="decimal"/>
      <w:lvlText w:val="（%2）"/>
      <w:lvlJc w:val="left"/>
      <w:pPr>
        <w:tabs>
          <w:tab w:val="left" w:pos="2912"/>
        </w:tabs>
        <w:ind w:left="2912" w:hanging="360"/>
      </w:pPr>
      <w:rPr>
        <w:rFonts w:hint="eastAsia" w:ascii="宋体" w:hAnsi="宋体" w:eastAsia="宋体" w:cs="Times New Roman"/>
        <w:color w:val="auto"/>
      </w:rPr>
    </w:lvl>
    <w:lvl w:ilvl="2" w:tentative="0">
      <w:start w:val="1"/>
      <w:numFmt w:val="lowerRoman"/>
      <w:lvlText w:val="%3."/>
      <w:lvlJc w:val="right"/>
      <w:pPr>
        <w:tabs>
          <w:tab w:val="left" w:pos="1827"/>
        </w:tabs>
        <w:ind w:left="1827" w:hanging="420"/>
      </w:pPr>
      <w:rPr>
        <w:rFonts w:cs="Times New Roman"/>
      </w:rPr>
    </w:lvl>
    <w:lvl w:ilvl="3" w:tentative="0">
      <w:start w:val="1"/>
      <w:numFmt w:val="decimal"/>
      <w:lvlText w:val="%4."/>
      <w:lvlJc w:val="left"/>
      <w:pPr>
        <w:tabs>
          <w:tab w:val="left" w:pos="2247"/>
        </w:tabs>
        <w:ind w:left="2247" w:hanging="420"/>
      </w:pPr>
      <w:rPr>
        <w:rFonts w:cs="Times New Roman"/>
      </w:rPr>
    </w:lvl>
    <w:lvl w:ilvl="4" w:tentative="0">
      <w:start w:val="1"/>
      <w:numFmt w:val="lowerLetter"/>
      <w:lvlText w:val="%5)"/>
      <w:lvlJc w:val="left"/>
      <w:pPr>
        <w:tabs>
          <w:tab w:val="left" w:pos="2667"/>
        </w:tabs>
        <w:ind w:left="2667" w:hanging="420"/>
      </w:pPr>
      <w:rPr>
        <w:rFonts w:cs="Times New Roman"/>
      </w:rPr>
    </w:lvl>
    <w:lvl w:ilvl="5" w:tentative="0">
      <w:start w:val="1"/>
      <w:numFmt w:val="lowerRoman"/>
      <w:lvlText w:val="%6."/>
      <w:lvlJc w:val="right"/>
      <w:pPr>
        <w:tabs>
          <w:tab w:val="left" w:pos="3087"/>
        </w:tabs>
        <w:ind w:left="3087" w:hanging="420"/>
      </w:pPr>
      <w:rPr>
        <w:rFonts w:cs="Times New Roman"/>
      </w:rPr>
    </w:lvl>
    <w:lvl w:ilvl="6" w:tentative="0">
      <w:start w:val="1"/>
      <w:numFmt w:val="decimal"/>
      <w:lvlText w:val="%7."/>
      <w:lvlJc w:val="left"/>
      <w:pPr>
        <w:tabs>
          <w:tab w:val="left" w:pos="3507"/>
        </w:tabs>
        <w:ind w:left="3507" w:hanging="420"/>
      </w:pPr>
      <w:rPr>
        <w:rFonts w:cs="Times New Roman"/>
      </w:rPr>
    </w:lvl>
    <w:lvl w:ilvl="7" w:tentative="0">
      <w:start w:val="1"/>
      <w:numFmt w:val="lowerLetter"/>
      <w:lvlText w:val="%8)"/>
      <w:lvlJc w:val="left"/>
      <w:pPr>
        <w:tabs>
          <w:tab w:val="left" w:pos="3927"/>
        </w:tabs>
        <w:ind w:left="3927" w:hanging="420"/>
      </w:pPr>
      <w:rPr>
        <w:rFonts w:cs="Times New Roman"/>
      </w:rPr>
    </w:lvl>
    <w:lvl w:ilvl="8" w:tentative="0">
      <w:start w:val="1"/>
      <w:numFmt w:val="lowerRoman"/>
      <w:lvlText w:val="%9."/>
      <w:lvlJc w:val="right"/>
      <w:pPr>
        <w:tabs>
          <w:tab w:val="left" w:pos="4347"/>
        </w:tabs>
        <w:ind w:left="4347" w:hanging="420"/>
      </w:pPr>
      <w:rPr>
        <w:rFonts w:cs="Times New Roman"/>
      </w:rPr>
    </w:lvl>
  </w:abstractNum>
  <w:abstractNum w:abstractNumId="11">
    <w:nsid w:val="10926BFE"/>
    <w:multiLevelType w:val="multilevel"/>
    <w:tmpl w:val="10926BFE"/>
    <w:lvl w:ilvl="0" w:tentative="0">
      <w:start w:val="1"/>
      <w:numFmt w:val="japaneseCounting"/>
      <w:lvlText w:val="（%1）"/>
      <w:lvlJc w:val="left"/>
      <w:pPr>
        <w:tabs>
          <w:tab w:val="left" w:pos="1080"/>
        </w:tabs>
        <w:ind w:left="1080" w:hanging="1080"/>
      </w:pPr>
    </w:lvl>
    <w:lvl w:ilvl="1" w:tentative="0">
      <w:start w:val="1"/>
      <w:numFmt w:val="decimal"/>
      <w:lvlText w:val="%2."/>
      <w:lvlJc w:val="left"/>
      <w:pPr>
        <w:tabs>
          <w:tab w:val="left" w:pos="780"/>
        </w:tabs>
        <w:ind w:left="780" w:hanging="360"/>
      </w:pPr>
      <w:rPr>
        <w:color w:val="auto"/>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18ECFDC7"/>
    <w:multiLevelType w:val="singleLevel"/>
    <w:tmpl w:val="18ECFDC7"/>
    <w:lvl w:ilvl="0" w:tentative="0">
      <w:start w:val="1"/>
      <w:numFmt w:val="decimal"/>
      <w:lvlText w:val="(%1)"/>
      <w:lvlJc w:val="left"/>
      <w:pPr>
        <w:tabs>
          <w:tab w:val="left" w:pos="0"/>
        </w:tabs>
        <w:ind w:left="454" w:hanging="454"/>
      </w:pPr>
      <w:rPr>
        <w:rFonts w:hint="default"/>
      </w:rPr>
    </w:lvl>
  </w:abstractNum>
  <w:abstractNum w:abstractNumId="13">
    <w:nsid w:val="1D31CFAF"/>
    <w:multiLevelType w:val="singleLevel"/>
    <w:tmpl w:val="1D31CFAF"/>
    <w:lvl w:ilvl="0" w:tentative="0">
      <w:start w:val="1"/>
      <w:numFmt w:val="decimal"/>
      <w:lvlText w:val="(%1)"/>
      <w:lvlJc w:val="left"/>
      <w:pPr>
        <w:tabs>
          <w:tab w:val="left" w:pos="0"/>
        </w:tabs>
        <w:ind w:left="454" w:hanging="454"/>
      </w:pPr>
      <w:rPr>
        <w:rFonts w:hint="default"/>
      </w:rPr>
    </w:lvl>
  </w:abstractNum>
  <w:abstractNum w:abstractNumId="14">
    <w:nsid w:val="24BD4805"/>
    <w:multiLevelType w:val="singleLevel"/>
    <w:tmpl w:val="24BD4805"/>
    <w:lvl w:ilvl="0" w:tentative="0">
      <w:start w:val="1"/>
      <w:numFmt w:val="decimal"/>
      <w:suff w:val="nothing"/>
      <w:lvlText w:val="(%1)"/>
      <w:lvlJc w:val="left"/>
      <w:pPr>
        <w:tabs>
          <w:tab w:val="left" w:pos="0"/>
        </w:tabs>
        <w:ind w:left="454" w:hanging="454"/>
      </w:pPr>
      <w:rPr>
        <w:rFonts w:hint="default"/>
      </w:rPr>
    </w:lvl>
  </w:abstractNum>
  <w:abstractNum w:abstractNumId="15">
    <w:nsid w:val="26D85E2D"/>
    <w:multiLevelType w:val="multilevel"/>
    <w:tmpl w:val="26D85E2D"/>
    <w:lvl w:ilvl="0" w:tentative="0">
      <w:start w:val="1"/>
      <w:numFmt w:val="decimal"/>
      <w:lvlText w:val="%1．"/>
      <w:lvlJc w:val="left"/>
      <w:pPr>
        <w:tabs>
          <w:tab w:val="left" w:pos="898"/>
        </w:tabs>
        <w:ind w:left="898" w:hanging="720"/>
      </w:pPr>
      <w:rPr>
        <w:rFonts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6">
    <w:nsid w:val="30C36D78"/>
    <w:multiLevelType w:val="singleLevel"/>
    <w:tmpl w:val="30C36D78"/>
    <w:lvl w:ilvl="0" w:tentative="0">
      <w:start w:val="1"/>
      <w:numFmt w:val="decimal"/>
      <w:lvlText w:val="%1．"/>
      <w:lvlJc w:val="left"/>
      <w:pPr>
        <w:tabs>
          <w:tab w:val="left" w:pos="1413"/>
        </w:tabs>
        <w:ind w:left="1413" w:hanging="420"/>
      </w:pPr>
      <w:rPr>
        <w:rFonts w:cs="Times New Roman"/>
      </w:rPr>
    </w:lvl>
  </w:abstractNum>
  <w:abstractNum w:abstractNumId="17">
    <w:nsid w:val="33713120"/>
    <w:multiLevelType w:val="singleLevel"/>
    <w:tmpl w:val="33713120"/>
    <w:lvl w:ilvl="0" w:tentative="0">
      <w:start w:val="1"/>
      <w:numFmt w:val="decimal"/>
      <w:lvlText w:val="%1."/>
      <w:lvlJc w:val="left"/>
      <w:pPr>
        <w:tabs>
          <w:tab w:val="left" w:pos="210"/>
        </w:tabs>
        <w:ind w:left="210" w:hanging="210"/>
      </w:pPr>
      <w:rPr>
        <w:rFonts w:hint="default" w:ascii="Times New Roman" w:hAnsi="Times New Roman" w:cs="Times New Roman"/>
      </w:rPr>
    </w:lvl>
  </w:abstractNum>
  <w:abstractNum w:abstractNumId="18">
    <w:nsid w:val="38705783"/>
    <w:multiLevelType w:val="singleLevel"/>
    <w:tmpl w:val="38705783"/>
    <w:lvl w:ilvl="0" w:tentative="0">
      <w:start w:val="1"/>
      <w:numFmt w:val="decimal"/>
      <w:lvlText w:val="%1．"/>
      <w:lvlJc w:val="left"/>
      <w:pPr>
        <w:tabs>
          <w:tab w:val="left" w:pos="6374"/>
        </w:tabs>
        <w:ind w:left="6374" w:hanging="420"/>
      </w:pPr>
      <w:rPr>
        <w:rFonts w:cs="Times New Roman"/>
      </w:rPr>
    </w:lvl>
  </w:abstractNum>
  <w:abstractNum w:abstractNumId="19">
    <w:nsid w:val="3AE63A52"/>
    <w:multiLevelType w:val="singleLevel"/>
    <w:tmpl w:val="3AE63A52"/>
    <w:lvl w:ilvl="0" w:tentative="0">
      <w:start w:val="1"/>
      <w:numFmt w:val="decimal"/>
      <w:lvlText w:val="%1."/>
      <w:lvlJc w:val="left"/>
      <w:pPr>
        <w:tabs>
          <w:tab w:val="left" w:pos="762"/>
        </w:tabs>
        <w:ind w:left="762" w:hanging="210"/>
      </w:pPr>
      <w:rPr>
        <w:rFonts w:cs="Times New Roman"/>
      </w:rPr>
    </w:lvl>
  </w:abstractNum>
  <w:abstractNum w:abstractNumId="20">
    <w:nsid w:val="3ED77073"/>
    <w:multiLevelType w:val="multilevel"/>
    <w:tmpl w:val="3ED77073"/>
    <w:lvl w:ilvl="0" w:tentative="0">
      <w:start w:val="1"/>
      <w:numFmt w:val="japaneseCounting"/>
      <w:lvlText w:val="（%1）"/>
      <w:lvlJc w:val="left"/>
      <w:pPr>
        <w:ind w:left="1200" w:hanging="720"/>
      </w:pPr>
      <w:rPr>
        <w:rFonts w:hint="eastAsia" w:ascii="黑体" w:hAnsi="黑体" w:eastAsia="黑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1">
    <w:nsid w:val="41DC48F5"/>
    <w:multiLevelType w:val="multilevel"/>
    <w:tmpl w:val="41DC48F5"/>
    <w:lvl w:ilvl="0" w:tentative="0">
      <w:start w:val="1"/>
      <w:numFmt w:val="decimal"/>
      <w:lvlText w:val="%1．"/>
      <w:lvlJc w:val="left"/>
      <w:pPr>
        <w:tabs>
          <w:tab w:val="left" w:pos="898"/>
        </w:tabs>
        <w:ind w:left="898" w:hanging="720"/>
      </w:pPr>
      <w:rPr>
        <w:rFonts w:cs="Times New Roman"/>
        <w:color w:val="000000"/>
      </w:rPr>
    </w:lvl>
    <w:lvl w:ilvl="1" w:tentative="0">
      <w:start w:val="3"/>
      <w:numFmt w:val="decimal"/>
      <w:lvlText w:val="%2."/>
      <w:lvlJc w:val="left"/>
      <w:pPr>
        <w:tabs>
          <w:tab w:val="left" w:pos="958"/>
        </w:tabs>
        <w:ind w:left="958" w:hanging="360"/>
      </w:pPr>
      <w:rPr>
        <w:rFonts w:cs="Times New Roman"/>
      </w:rPr>
    </w:lvl>
    <w:lvl w:ilvl="2" w:tentative="0">
      <w:start w:val="1"/>
      <w:numFmt w:val="decimalEnclosedCircle"/>
      <w:lvlText w:val="%3"/>
      <w:lvlJc w:val="left"/>
      <w:pPr>
        <w:tabs>
          <w:tab w:val="left" w:pos="1378"/>
        </w:tabs>
        <w:ind w:left="1378" w:hanging="360"/>
      </w:pPr>
      <w:rPr>
        <w:rFonts w:cs="Times New Roman"/>
        <w:color w:val="auto"/>
      </w:rPr>
    </w:lvl>
    <w:lvl w:ilvl="3" w:tentative="0">
      <w:start w:val="1"/>
      <w:numFmt w:val="decimal"/>
      <w:lvlText w:val="%4."/>
      <w:lvlJc w:val="left"/>
      <w:pPr>
        <w:tabs>
          <w:tab w:val="left" w:pos="1858"/>
        </w:tabs>
        <w:ind w:left="1858" w:hanging="420"/>
      </w:pPr>
      <w:rPr>
        <w:rFonts w:cs="Times New Roman"/>
      </w:rPr>
    </w:lvl>
    <w:lvl w:ilvl="4" w:tentative="0">
      <w:start w:val="1"/>
      <w:numFmt w:val="lowerLetter"/>
      <w:lvlText w:val="%5)"/>
      <w:lvlJc w:val="left"/>
      <w:pPr>
        <w:tabs>
          <w:tab w:val="left" w:pos="2278"/>
        </w:tabs>
        <w:ind w:left="2278" w:hanging="420"/>
      </w:pPr>
      <w:rPr>
        <w:rFonts w:cs="Times New Roman"/>
      </w:rPr>
    </w:lvl>
    <w:lvl w:ilvl="5" w:tentative="0">
      <w:start w:val="1"/>
      <w:numFmt w:val="lowerRoman"/>
      <w:lvlText w:val="%6."/>
      <w:lvlJc w:val="right"/>
      <w:pPr>
        <w:tabs>
          <w:tab w:val="left" w:pos="2698"/>
        </w:tabs>
        <w:ind w:left="2698" w:hanging="420"/>
      </w:pPr>
      <w:rPr>
        <w:rFonts w:cs="Times New Roman"/>
      </w:rPr>
    </w:lvl>
    <w:lvl w:ilvl="6" w:tentative="0">
      <w:start w:val="1"/>
      <w:numFmt w:val="decimal"/>
      <w:lvlText w:val="%7."/>
      <w:lvlJc w:val="left"/>
      <w:pPr>
        <w:tabs>
          <w:tab w:val="left" w:pos="3118"/>
        </w:tabs>
        <w:ind w:left="3118" w:hanging="420"/>
      </w:pPr>
      <w:rPr>
        <w:rFonts w:cs="Times New Roman"/>
      </w:rPr>
    </w:lvl>
    <w:lvl w:ilvl="7" w:tentative="0">
      <w:start w:val="1"/>
      <w:numFmt w:val="lowerLetter"/>
      <w:lvlText w:val="%8)"/>
      <w:lvlJc w:val="left"/>
      <w:pPr>
        <w:tabs>
          <w:tab w:val="left" w:pos="3538"/>
        </w:tabs>
        <w:ind w:left="3538" w:hanging="420"/>
      </w:pPr>
      <w:rPr>
        <w:rFonts w:cs="Times New Roman"/>
      </w:rPr>
    </w:lvl>
    <w:lvl w:ilvl="8" w:tentative="0">
      <w:start w:val="1"/>
      <w:numFmt w:val="lowerRoman"/>
      <w:lvlText w:val="%9."/>
      <w:lvlJc w:val="right"/>
      <w:pPr>
        <w:tabs>
          <w:tab w:val="left" w:pos="3958"/>
        </w:tabs>
        <w:ind w:left="3958" w:hanging="420"/>
      </w:pPr>
      <w:rPr>
        <w:rFonts w:cs="Times New Roman"/>
      </w:rPr>
    </w:lvl>
  </w:abstractNum>
  <w:abstractNum w:abstractNumId="22">
    <w:nsid w:val="4A1A1C51"/>
    <w:multiLevelType w:val="multilevel"/>
    <w:tmpl w:val="4A1A1C51"/>
    <w:lvl w:ilvl="0" w:tentative="0">
      <w:start w:val="1"/>
      <w:numFmt w:val="japaneseCounting"/>
      <w:lvlText w:val="（%1）"/>
      <w:lvlJc w:val="left"/>
      <w:pPr>
        <w:ind w:left="1305" w:hanging="825"/>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4FE82BE3"/>
    <w:multiLevelType w:val="multilevel"/>
    <w:tmpl w:val="4FE82BE3"/>
    <w:lvl w:ilvl="0" w:tentative="0">
      <w:start w:val="1"/>
      <w:numFmt w:val="decimalEnclosedCircle"/>
      <w:lvlText w:val="%1"/>
      <w:lvlJc w:val="left"/>
      <w:pPr>
        <w:tabs>
          <w:tab w:val="left" w:pos="881"/>
        </w:tabs>
        <w:ind w:left="881" w:hanging="360"/>
      </w:pPr>
      <w:rPr>
        <w:rFonts w:ascii="宋体" w:hAnsi="宋体" w:eastAsia="宋体" w:cs="Times New Roman"/>
      </w:rPr>
    </w:lvl>
    <w:lvl w:ilvl="1" w:tentative="0">
      <w:start w:val="1"/>
      <w:numFmt w:val="lowerLetter"/>
      <w:lvlText w:val="%2)"/>
      <w:lvlJc w:val="left"/>
      <w:pPr>
        <w:tabs>
          <w:tab w:val="left" w:pos="1361"/>
        </w:tabs>
        <w:ind w:left="1361" w:hanging="420"/>
      </w:pPr>
      <w:rPr>
        <w:rFonts w:cs="Times New Roman"/>
      </w:rPr>
    </w:lvl>
    <w:lvl w:ilvl="2" w:tentative="0">
      <w:start w:val="1"/>
      <w:numFmt w:val="lowerRoman"/>
      <w:lvlText w:val="%3."/>
      <w:lvlJc w:val="right"/>
      <w:pPr>
        <w:tabs>
          <w:tab w:val="left" w:pos="1781"/>
        </w:tabs>
        <w:ind w:left="1781" w:hanging="420"/>
      </w:pPr>
      <w:rPr>
        <w:rFonts w:cs="Times New Roman"/>
      </w:rPr>
    </w:lvl>
    <w:lvl w:ilvl="3" w:tentative="0">
      <w:start w:val="1"/>
      <w:numFmt w:val="decimal"/>
      <w:lvlText w:val="%4."/>
      <w:lvlJc w:val="left"/>
      <w:pPr>
        <w:tabs>
          <w:tab w:val="left" w:pos="2201"/>
        </w:tabs>
        <w:ind w:left="2201" w:hanging="420"/>
      </w:pPr>
      <w:rPr>
        <w:rFonts w:cs="Times New Roman"/>
      </w:rPr>
    </w:lvl>
    <w:lvl w:ilvl="4" w:tentative="0">
      <w:start w:val="1"/>
      <w:numFmt w:val="lowerLetter"/>
      <w:lvlText w:val="%5)"/>
      <w:lvlJc w:val="left"/>
      <w:pPr>
        <w:tabs>
          <w:tab w:val="left" w:pos="2621"/>
        </w:tabs>
        <w:ind w:left="2621" w:hanging="420"/>
      </w:pPr>
      <w:rPr>
        <w:rFonts w:cs="Times New Roman"/>
      </w:rPr>
    </w:lvl>
    <w:lvl w:ilvl="5" w:tentative="0">
      <w:start w:val="1"/>
      <w:numFmt w:val="lowerRoman"/>
      <w:lvlText w:val="%6."/>
      <w:lvlJc w:val="right"/>
      <w:pPr>
        <w:tabs>
          <w:tab w:val="left" w:pos="3041"/>
        </w:tabs>
        <w:ind w:left="3041" w:hanging="420"/>
      </w:pPr>
      <w:rPr>
        <w:rFonts w:cs="Times New Roman"/>
      </w:rPr>
    </w:lvl>
    <w:lvl w:ilvl="6" w:tentative="0">
      <w:start w:val="1"/>
      <w:numFmt w:val="decimal"/>
      <w:lvlText w:val="%7."/>
      <w:lvlJc w:val="left"/>
      <w:pPr>
        <w:tabs>
          <w:tab w:val="left" w:pos="3461"/>
        </w:tabs>
        <w:ind w:left="3461" w:hanging="420"/>
      </w:pPr>
      <w:rPr>
        <w:rFonts w:cs="Times New Roman"/>
      </w:rPr>
    </w:lvl>
    <w:lvl w:ilvl="7" w:tentative="0">
      <w:start w:val="1"/>
      <w:numFmt w:val="lowerLetter"/>
      <w:lvlText w:val="%8)"/>
      <w:lvlJc w:val="left"/>
      <w:pPr>
        <w:tabs>
          <w:tab w:val="left" w:pos="3881"/>
        </w:tabs>
        <w:ind w:left="3881" w:hanging="420"/>
      </w:pPr>
      <w:rPr>
        <w:rFonts w:cs="Times New Roman"/>
      </w:rPr>
    </w:lvl>
    <w:lvl w:ilvl="8" w:tentative="0">
      <w:start w:val="1"/>
      <w:numFmt w:val="lowerRoman"/>
      <w:lvlText w:val="%9."/>
      <w:lvlJc w:val="right"/>
      <w:pPr>
        <w:tabs>
          <w:tab w:val="left" w:pos="4301"/>
        </w:tabs>
        <w:ind w:left="4301" w:hanging="420"/>
      </w:pPr>
      <w:rPr>
        <w:rFonts w:cs="Times New Roman"/>
      </w:rPr>
    </w:lvl>
  </w:abstractNum>
  <w:abstractNum w:abstractNumId="24">
    <w:nsid w:val="510B6456"/>
    <w:multiLevelType w:val="singleLevel"/>
    <w:tmpl w:val="510B6456"/>
    <w:lvl w:ilvl="0" w:tentative="0">
      <w:start w:val="1"/>
      <w:numFmt w:val="decimal"/>
      <w:lvlText w:val="%1．"/>
      <w:lvlJc w:val="left"/>
      <w:pPr>
        <w:tabs>
          <w:tab w:val="left" w:pos="2547"/>
        </w:tabs>
        <w:ind w:left="2547" w:hanging="420"/>
      </w:pPr>
      <w:rPr>
        <w:rFonts w:cs="Times New Roman"/>
      </w:rPr>
    </w:lvl>
  </w:abstractNum>
  <w:abstractNum w:abstractNumId="25">
    <w:nsid w:val="5369DE8E"/>
    <w:multiLevelType w:val="singleLevel"/>
    <w:tmpl w:val="5369DE8E"/>
    <w:lvl w:ilvl="0" w:tentative="0">
      <w:start w:val="1"/>
      <w:numFmt w:val="decimal"/>
      <w:lvlText w:val="(%1)"/>
      <w:lvlJc w:val="left"/>
      <w:pPr>
        <w:tabs>
          <w:tab w:val="left" w:pos="0"/>
        </w:tabs>
        <w:ind w:left="454" w:hanging="454"/>
      </w:pPr>
      <w:rPr>
        <w:rFonts w:hint="default"/>
      </w:rPr>
    </w:lvl>
  </w:abstractNum>
  <w:abstractNum w:abstractNumId="26">
    <w:nsid w:val="62029474"/>
    <w:multiLevelType w:val="singleLevel"/>
    <w:tmpl w:val="62029474"/>
    <w:lvl w:ilvl="0" w:tentative="0">
      <w:start w:val="1"/>
      <w:numFmt w:val="decimal"/>
      <w:lvlText w:val="(%1)"/>
      <w:lvlJc w:val="left"/>
      <w:pPr>
        <w:tabs>
          <w:tab w:val="left" w:pos="0"/>
        </w:tabs>
        <w:ind w:left="454" w:hanging="454"/>
      </w:pPr>
      <w:rPr>
        <w:rFonts w:hint="default"/>
      </w:rPr>
    </w:lvl>
  </w:abstractNum>
  <w:abstractNum w:abstractNumId="27">
    <w:nsid w:val="6253F1F5"/>
    <w:multiLevelType w:val="singleLevel"/>
    <w:tmpl w:val="6253F1F5"/>
    <w:lvl w:ilvl="0" w:tentative="0">
      <w:start w:val="1"/>
      <w:numFmt w:val="decimal"/>
      <w:lvlText w:val="(%1)"/>
      <w:lvlJc w:val="left"/>
      <w:pPr>
        <w:tabs>
          <w:tab w:val="left" w:pos="0"/>
        </w:tabs>
        <w:ind w:left="454" w:hanging="454"/>
      </w:pPr>
      <w:rPr>
        <w:rFonts w:hint="default"/>
      </w:rPr>
    </w:lvl>
  </w:abstractNum>
  <w:abstractNum w:abstractNumId="28">
    <w:nsid w:val="630C1BC3"/>
    <w:multiLevelType w:val="multilevel"/>
    <w:tmpl w:val="630C1BC3"/>
    <w:lvl w:ilvl="0" w:tentative="0">
      <w:start w:val="1"/>
      <w:numFmt w:val="decimal"/>
      <w:lvlText w:val="%1."/>
      <w:lvlJc w:val="left"/>
      <w:pPr>
        <w:tabs>
          <w:tab w:val="left" w:pos="510"/>
        </w:tabs>
        <w:ind w:left="510" w:hanging="360"/>
      </w:pPr>
      <w:rPr>
        <w:rFonts w:cs="Times New Roman"/>
      </w:rPr>
    </w:lvl>
    <w:lvl w:ilvl="1" w:tentative="0">
      <w:start w:val="1"/>
      <w:numFmt w:val="decimal"/>
      <w:lvlText w:val="%2．"/>
      <w:lvlJc w:val="left"/>
      <w:pPr>
        <w:tabs>
          <w:tab w:val="left" w:pos="2988"/>
        </w:tabs>
        <w:ind w:left="2988" w:hanging="720"/>
      </w:pPr>
      <w:rPr>
        <w:rFonts w:cs="Times New Roman"/>
      </w:rPr>
    </w:lvl>
    <w:lvl w:ilvl="2" w:tentative="0">
      <w:start w:val="3"/>
      <w:numFmt w:val="decimal"/>
      <w:lvlText w:val="（%3）"/>
      <w:lvlJc w:val="left"/>
      <w:pPr>
        <w:tabs>
          <w:tab w:val="left" w:pos="1140"/>
        </w:tabs>
        <w:ind w:left="1140" w:hanging="720"/>
      </w:pPr>
      <w:rPr>
        <w:rFonts w:cs="Times New Roman"/>
      </w:rPr>
    </w:lvl>
    <w:lvl w:ilvl="3" w:tentative="0">
      <w:start w:val="1"/>
      <w:numFmt w:val="decimal"/>
      <w:lvlText w:val="（%4）"/>
      <w:lvlJc w:val="left"/>
      <w:pPr>
        <w:tabs>
          <w:tab w:val="left" w:pos="1830"/>
        </w:tabs>
        <w:ind w:left="1830" w:hanging="420"/>
      </w:pPr>
      <w:rPr>
        <w:rFonts w:ascii="宋体" w:hAnsi="宋体" w:eastAsia="宋体" w:cs="Times New Roman"/>
      </w:rPr>
    </w:lvl>
    <w:lvl w:ilvl="4" w:tentative="0">
      <w:start w:val="1"/>
      <w:numFmt w:val="decimal"/>
      <w:lvlText w:val="（%5）"/>
      <w:lvlJc w:val="left"/>
      <w:pPr>
        <w:tabs>
          <w:tab w:val="left" w:pos="1271"/>
        </w:tabs>
        <w:ind w:left="1271" w:hanging="420"/>
      </w:pPr>
      <w:rPr>
        <w:rFonts w:cs="Times New Roman"/>
        <w:b/>
      </w:rPr>
    </w:lvl>
    <w:lvl w:ilvl="5" w:tentative="0">
      <w:start w:val="10"/>
      <w:numFmt w:val="japaneseCounting"/>
      <w:lvlText w:val="（%6）"/>
      <w:lvlJc w:val="left"/>
      <w:pPr>
        <w:ind w:left="2970" w:hanging="720"/>
      </w:pPr>
      <w:rPr>
        <w:rFonts w:cs="Times New Roman"/>
      </w:rPr>
    </w:lvl>
    <w:lvl w:ilvl="6" w:tentative="0">
      <w:start w:val="1"/>
      <w:numFmt w:val="decimal"/>
      <w:lvlText w:val="%7."/>
      <w:lvlJc w:val="left"/>
      <w:pPr>
        <w:tabs>
          <w:tab w:val="left" w:pos="3090"/>
        </w:tabs>
        <w:ind w:left="3090" w:hanging="420"/>
      </w:pPr>
      <w:rPr>
        <w:rFonts w:cs="Times New Roman"/>
      </w:rPr>
    </w:lvl>
    <w:lvl w:ilvl="7" w:tentative="0">
      <w:start w:val="1"/>
      <w:numFmt w:val="lowerLetter"/>
      <w:lvlText w:val="%8)"/>
      <w:lvlJc w:val="left"/>
      <w:pPr>
        <w:tabs>
          <w:tab w:val="left" w:pos="3510"/>
        </w:tabs>
        <w:ind w:left="3510" w:hanging="420"/>
      </w:pPr>
      <w:rPr>
        <w:rFonts w:cs="Times New Roman"/>
      </w:rPr>
    </w:lvl>
    <w:lvl w:ilvl="8" w:tentative="0">
      <w:start w:val="1"/>
      <w:numFmt w:val="lowerRoman"/>
      <w:lvlText w:val="%9."/>
      <w:lvlJc w:val="right"/>
      <w:pPr>
        <w:tabs>
          <w:tab w:val="left" w:pos="3930"/>
        </w:tabs>
        <w:ind w:left="3930" w:hanging="420"/>
      </w:pPr>
      <w:rPr>
        <w:rFonts w:cs="Times New Roman"/>
      </w:rPr>
    </w:lvl>
  </w:abstractNum>
  <w:abstractNum w:abstractNumId="29">
    <w:nsid w:val="64607A38"/>
    <w:multiLevelType w:val="multilevel"/>
    <w:tmpl w:val="64607A38"/>
    <w:lvl w:ilvl="0" w:tentative="0">
      <w:start w:val="1"/>
      <w:numFmt w:val="japaneseCounting"/>
      <w:lvlText w:val="%1、"/>
      <w:lvlJc w:val="left"/>
      <w:pPr>
        <w:tabs>
          <w:tab w:val="left" w:pos="552"/>
        </w:tabs>
        <w:ind w:left="552" w:hanging="420"/>
      </w:pPr>
      <w:rPr>
        <w:rFonts w:ascii="Times New Roman" w:hAnsi="Times New Roman" w:eastAsia="Times New Roman" w:cs="Times New Roman"/>
        <w:color w:val="auto"/>
      </w:rPr>
    </w:lvl>
    <w:lvl w:ilvl="1" w:tentative="0">
      <w:start w:val="1"/>
      <w:numFmt w:val="lowerLetter"/>
      <w:lvlText w:val="%2)"/>
      <w:lvlJc w:val="left"/>
      <w:pPr>
        <w:tabs>
          <w:tab w:val="left" w:pos="840"/>
        </w:tabs>
        <w:ind w:left="840" w:hanging="420"/>
      </w:pPr>
      <w:rPr>
        <w:rFonts w:cs="Times New Roman"/>
      </w:rPr>
    </w:lvl>
    <w:lvl w:ilvl="2" w:tentative="0">
      <w:start w:val="10"/>
      <w:numFmt w:val="decimal"/>
      <w:lvlText w:val="%3."/>
      <w:lvlJc w:val="left"/>
      <w:pPr>
        <w:tabs>
          <w:tab w:val="left" w:pos="1200"/>
        </w:tabs>
        <w:ind w:left="1200" w:hanging="36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0">
    <w:nsid w:val="666030AB"/>
    <w:multiLevelType w:val="multilevel"/>
    <w:tmpl w:val="666030AB"/>
    <w:lvl w:ilvl="0" w:tentative="0">
      <w:start w:val="1"/>
      <w:numFmt w:val="decimal"/>
      <w:lvlText w:val="（%1）"/>
      <w:lvlJc w:val="left"/>
      <w:pPr>
        <w:tabs>
          <w:tab w:val="left" w:pos="1710"/>
        </w:tabs>
        <w:ind w:left="1710" w:hanging="720"/>
      </w:pPr>
      <w:rPr>
        <w:rFonts w:cs="Times New Roman"/>
      </w:rPr>
    </w:lvl>
    <w:lvl w:ilvl="1" w:tentative="0">
      <w:start w:val="2"/>
      <w:numFmt w:val="decimal"/>
      <w:lvlText w:val="%2."/>
      <w:lvlJc w:val="left"/>
      <w:pPr>
        <w:tabs>
          <w:tab w:val="left" w:pos="1770"/>
        </w:tabs>
        <w:ind w:left="1770" w:hanging="360"/>
      </w:pPr>
      <w:rPr>
        <w:rFonts w:cs="Times New Roman"/>
      </w:rPr>
    </w:lvl>
    <w:lvl w:ilvl="2" w:tentative="0">
      <w:start w:val="1"/>
      <w:numFmt w:val="lowerRoman"/>
      <w:lvlText w:val="%3."/>
      <w:lvlJc w:val="right"/>
      <w:pPr>
        <w:tabs>
          <w:tab w:val="left" w:pos="2250"/>
        </w:tabs>
        <w:ind w:left="2250" w:hanging="420"/>
      </w:pPr>
      <w:rPr>
        <w:rFonts w:cs="Times New Roman"/>
      </w:rPr>
    </w:lvl>
    <w:lvl w:ilvl="3" w:tentative="0">
      <w:start w:val="1"/>
      <w:numFmt w:val="decimal"/>
      <w:lvlText w:val="%4."/>
      <w:lvlJc w:val="left"/>
      <w:pPr>
        <w:tabs>
          <w:tab w:val="left" w:pos="2670"/>
        </w:tabs>
        <w:ind w:left="2670" w:hanging="420"/>
      </w:pPr>
      <w:rPr>
        <w:rFonts w:cs="Times New Roman"/>
      </w:rPr>
    </w:lvl>
    <w:lvl w:ilvl="4" w:tentative="0">
      <w:start w:val="1"/>
      <w:numFmt w:val="lowerLetter"/>
      <w:lvlText w:val="%5)"/>
      <w:lvlJc w:val="left"/>
      <w:pPr>
        <w:tabs>
          <w:tab w:val="left" w:pos="3090"/>
        </w:tabs>
        <w:ind w:left="3090" w:hanging="420"/>
      </w:pPr>
      <w:rPr>
        <w:rFonts w:cs="Times New Roman"/>
      </w:rPr>
    </w:lvl>
    <w:lvl w:ilvl="5" w:tentative="0">
      <w:start w:val="1"/>
      <w:numFmt w:val="lowerRoman"/>
      <w:lvlText w:val="%6."/>
      <w:lvlJc w:val="right"/>
      <w:pPr>
        <w:tabs>
          <w:tab w:val="left" w:pos="3510"/>
        </w:tabs>
        <w:ind w:left="3510" w:hanging="420"/>
      </w:pPr>
      <w:rPr>
        <w:rFonts w:cs="Times New Roman"/>
      </w:rPr>
    </w:lvl>
    <w:lvl w:ilvl="6" w:tentative="0">
      <w:start w:val="1"/>
      <w:numFmt w:val="decimal"/>
      <w:lvlText w:val="%7."/>
      <w:lvlJc w:val="left"/>
      <w:pPr>
        <w:tabs>
          <w:tab w:val="left" w:pos="3930"/>
        </w:tabs>
        <w:ind w:left="3930" w:hanging="420"/>
      </w:pPr>
      <w:rPr>
        <w:rFonts w:cs="Times New Roman"/>
      </w:rPr>
    </w:lvl>
    <w:lvl w:ilvl="7" w:tentative="0">
      <w:start w:val="1"/>
      <w:numFmt w:val="lowerLetter"/>
      <w:lvlText w:val="%8)"/>
      <w:lvlJc w:val="left"/>
      <w:pPr>
        <w:tabs>
          <w:tab w:val="left" w:pos="4350"/>
        </w:tabs>
        <w:ind w:left="4350" w:hanging="420"/>
      </w:pPr>
      <w:rPr>
        <w:rFonts w:cs="Times New Roman"/>
      </w:rPr>
    </w:lvl>
    <w:lvl w:ilvl="8" w:tentative="0">
      <w:start w:val="1"/>
      <w:numFmt w:val="lowerRoman"/>
      <w:lvlText w:val="%9."/>
      <w:lvlJc w:val="right"/>
      <w:pPr>
        <w:tabs>
          <w:tab w:val="left" w:pos="4770"/>
        </w:tabs>
        <w:ind w:left="4770" w:hanging="420"/>
      </w:pPr>
      <w:rPr>
        <w:rFonts w:cs="Times New Roman"/>
      </w:rPr>
    </w:lvl>
  </w:abstractNum>
  <w:abstractNum w:abstractNumId="31">
    <w:nsid w:val="68C74878"/>
    <w:multiLevelType w:val="singleLevel"/>
    <w:tmpl w:val="68C74878"/>
    <w:lvl w:ilvl="0" w:tentative="0">
      <w:start w:val="1"/>
      <w:numFmt w:val="decimal"/>
      <w:suff w:val="nothing"/>
      <w:lvlText w:val="(%1)"/>
      <w:lvlJc w:val="left"/>
      <w:pPr>
        <w:tabs>
          <w:tab w:val="left" w:pos="0"/>
        </w:tabs>
        <w:ind w:left="454" w:hanging="454"/>
      </w:pPr>
      <w:rPr>
        <w:rFonts w:hint="default"/>
      </w:rPr>
    </w:lvl>
  </w:abstractNum>
  <w:abstractNum w:abstractNumId="32">
    <w:nsid w:val="691E62C6"/>
    <w:multiLevelType w:val="multilevel"/>
    <w:tmpl w:val="691E62C6"/>
    <w:lvl w:ilvl="0" w:tentative="0">
      <w:start w:val="2"/>
      <w:numFmt w:val="japaneseCounting"/>
      <w:lvlText w:val="（%1）"/>
      <w:lvlJc w:val="left"/>
      <w:pPr>
        <w:tabs>
          <w:tab w:val="left" w:pos="1200"/>
        </w:tabs>
        <w:ind w:left="1200" w:hanging="720"/>
      </w:pPr>
      <w:rPr>
        <w:rFonts w:hint="eastAsia" w:ascii="黑体" w:hAnsi="黑体" w:eastAsia="黑体"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33">
    <w:nsid w:val="6B004B45"/>
    <w:multiLevelType w:val="singleLevel"/>
    <w:tmpl w:val="6B004B45"/>
    <w:lvl w:ilvl="0" w:tentative="0">
      <w:start w:val="1"/>
      <w:numFmt w:val="decimal"/>
      <w:lvlText w:val="(%1)"/>
      <w:lvlJc w:val="left"/>
      <w:pPr>
        <w:tabs>
          <w:tab w:val="left" w:pos="0"/>
        </w:tabs>
        <w:ind w:left="454" w:hanging="454"/>
      </w:pPr>
      <w:rPr>
        <w:rFonts w:hint="default"/>
      </w:rPr>
    </w:lvl>
  </w:abstractNum>
  <w:abstractNum w:abstractNumId="34">
    <w:nsid w:val="6EE101FC"/>
    <w:multiLevelType w:val="singleLevel"/>
    <w:tmpl w:val="6EE101FC"/>
    <w:lvl w:ilvl="0" w:tentative="0">
      <w:start w:val="1"/>
      <w:numFmt w:val="decimal"/>
      <w:lvlText w:val="%1．"/>
      <w:lvlJc w:val="left"/>
      <w:pPr>
        <w:tabs>
          <w:tab w:val="left" w:pos="570"/>
        </w:tabs>
        <w:ind w:left="570" w:hanging="420"/>
      </w:pPr>
      <w:rPr>
        <w:rFonts w:cs="Times New Roman"/>
      </w:rPr>
    </w:lvl>
  </w:abstractNum>
  <w:abstractNum w:abstractNumId="35">
    <w:nsid w:val="76B687BD"/>
    <w:multiLevelType w:val="singleLevel"/>
    <w:tmpl w:val="76B687BD"/>
    <w:lvl w:ilvl="0" w:tentative="0">
      <w:start w:val="1"/>
      <w:numFmt w:val="decimal"/>
      <w:suff w:val="nothing"/>
      <w:lvlText w:val="(%1)"/>
      <w:lvlJc w:val="left"/>
      <w:pPr>
        <w:tabs>
          <w:tab w:val="left" w:pos="420"/>
        </w:tabs>
        <w:ind w:left="992" w:hanging="425"/>
      </w:pPr>
      <w:rPr>
        <w:rFonts w:hint="default"/>
      </w:rPr>
    </w:lvl>
  </w:abstractNum>
  <w:abstractNum w:abstractNumId="36">
    <w:nsid w:val="7A672089"/>
    <w:multiLevelType w:val="singleLevel"/>
    <w:tmpl w:val="7A672089"/>
    <w:lvl w:ilvl="0" w:tentative="0">
      <w:start w:val="1"/>
      <w:numFmt w:val="decimal"/>
      <w:lvlText w:val="%1."/>
      <w:lvlJc w:val="left"/>
      <w:pPr>
        <w:tabs>
          <w:tab w:val="left" w:pos="1061"/>
        </w:tabs>
        <w:ind w:left="1061" w:hanging="210"/>
      </w:pPr>
      <w:rPr>
        <w:rFonts w:hint="eastAsia" w:ascii="宋体" w:hAnsi="宋体" w:eastAsia="宋体" w:cs="Times New Roman"/>
      </w:rPr>
    </w:lvl>
  </w:abstractNum>
  <w:abstractNum w:abstractNumId="37">
    <w:nsid w:val="7DDAC2C1"/>
    <w:multiLevelType w:val="singleLevel"/>
    <w:tmpl w:val="7DDAC2C1"/>
    <w:lvl w:ilvl="0" w:tentative="0">
      <w:start w:val="1"/>
      <w:numFmt w:val="decimal"/>
      <w:suff w:val="nothing"/>
      <w:lvlText w:val="%1、"/>
      <w:lvlJc w:val="left"/>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num>
  <w:num w:numId="5">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num>
  <w:num w:numId="9">
    <w:abstractNumId w:val="19"/>
    <w:lvlOverride w:ilvl="0">
      <w:startOverride w:val="1"/>
    </w:lvlOverride>
  </w:num>
  <w:num w:numId="10">
    <w:abstractNumId w:val="2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0"/>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num>
  <w:num w:numId="13">
    <w:abstractNumId w:val="34"/>
    <w:lvlOverride w:ilvl="0">
      <w:startOverride w:val="1"/>
    </w:lvlOverride>
  </w:num>
  <w:num w:numId="14">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num>
  <w:num w:numId="16">
    <w:abstractNumId w:val="37"/>
  </w:num>
  <w:num w:numId="17">
    <w:abstractNumId w:val="5"/>
  </w:num>
  <w:num w:numId="18">
    <w:abstractNumId w:val="8"/>
  </w:num>
  <w:num w:numId="19">
    <w:abstractNumId w:val="6"/>
  </w:num>
  <w:num w:numId="20">
    <w:abstractNumId w:val="4"/>
  </w:num>
  <w:num w:numId="21">
    <w:abstractNumId w:val="7"/>
  </w:num>
  <w:num w:numId="22">
    <w:abstractNumId w:val="31"/>
  </w:num>
  <w:num w:numId="23">
    <w:abstractNumId w:val="2"/>
  </w:num>
  <w:num w:numId="24">
    <w:abstractNumId w:val="35"/>
  </w:num>
  <w:num w:numId="25">
    <w:abstractNumId w:val="14"/>
  </w:num>
  <w:num w:numId="26">
    <w:abstractNumId w:val="3"/>
  </w:num>
  <w:num w:numId="27">
    <w:abstractNumId w:val="25"/>
  </w:num>
  <w:num w:numId="28">
    <w:abstractNumId w:val="12"/>
  </w:num>
  <w:num w:numId="29">
    <w:abstractNumId w:val="13"/>
  </w:num>
  <w:num w:numId="30">
    <w:abstractNumId w:val="9"/>
  </w:num>
  <w:num w:numId="31">
    <w:abstractNumId w:val="26"/>
  </w:num>
  <w:num w:numId="32">
    <w:abstractNumId w:val="0"/>
  </w:num>
  <w:num w:numId="33">
    <w:abstractNumId w:val="27"/>
  </w:num>
  <w:num w:numId="34">
    <w:abstractNumId w:val="33"/>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29"/>
    <w:lvlOverride w:ilvl="0">
      <w:startOverride w:val="1"/>
    </w:lvlOverride>
    <w:lvlOverride w:ilvl="1">
      <w:startOverride w:val="1"/>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kODc3NjdkNjA4MDRlMDUyNzFiY2QxMmFlYzNiZjgifQ=="/>
  </w:docVars>
  <w:rsids>
    <w:rsidRoot w:val="00151B87"/>
    <w:rsid w:val="0001752D"/>
    <w:rsid w:val="00027A2E"/>
    <w:rsid w:val="00062B85"/>
    <w:rsid w:val="000A261D"/>
    <w:rsid w:val="000B77C4"/>
    <w:rsid w:val="000B7D6D"/>
    <w:rsid w:val="000C6906"/>
    <w:rsid w:val="000E0B6C"/>
    <w:rsid w:val="00130D3C"/>
    <w:rsid w:val="00132ABE"/>
    <w:rsid w:val="001338D8"/>
    <w:rsid w:val="00145982"/>
    <w:rsid w:val="00151B87"/>
    <w:rsid w:val="00164463"/>
    <w:rsid w:val="00180AC2"/>
    <w:rsid w:val="001B23AC"/>
    <w:rsid w:val="001D57D5"/>
    <w:rsid w:val="001F4CB1"/>
    <w:rsid w:val="00217ED7"/>
    <w:rsid w:val="00221039"/>
    <w:rsid w:val="00225A69"/>
    <w:rsid w:val="00234901"/>
    <w:rsid w:val="00247DEC"/>
    <w:rsid w:val="00277E16"/>
    <w:rsid w:val="002C54CA"/>
    <w:rsid w:val="002F0260"/>
    <w:rsid w:val="003B2EED"/>
    <w:rsid w:val="003E0B09"/>
    <w:rsid w:val="003F5639"/>
    <w:rsid w:val="00403BB8"/>
    <w:rsid w:val="004157F0"/>
    <w:rsid w:val="00434F2D"/>
    <w:rsid w:val="00475517"/>
    <w:rsid w:val="00494FF3"/>
    <w:rsid w:val="004C4BF4"/>
    <w:rsid w:val="004C5CBF"/>
    <w:rsid w:val="004E4942"/>
    <w:rsid w:val="004F1C9A"/>
    <w:rsid w:val="004F34E7"/>
    <w:rsid w:val="00506E71"/>
    <w:rsid w:val="00511656"/>
    <w:rsid w:val="0051677B"/>
    <w:rsid w:val="00542BBA"/>
    <w:rsid w:val="00551E0F"/>
    <w:rsid w:val="005639FD"/>
    <w:rsid w:val="005817A3"/>
    <w:rsid w:val="005826DC"/>
    <w:rsid w:val="005A2A9B"/>
    <w:rsid w:val="005E01C0"/>
    <w:rsid w:val="00602750"/>
    <w:rsid w:val="00615401"/>
    <w:rsid w:val="006210E1"/>
    <w:rsid w:val="00656D6B"/>
    <w:rsid w:val="00665E7F"/>
    <w:rsid w:val="006977BA"/>
    <w:rsid w:val="006A51EF"/>
    <w:rsid w:val="006F1833"/>
    <w:rsid w:val="00741305"/>
    <w:rsid w:val="007639EB"/>
    <w:rsid w:val="007D18CB"/>
    <w:rsid w:val="007D3F6C"/>
    <w:rsid w:val="007F0F55"/>
    <w:rsid w:val="008038F6"/>
    <w:rsid w:val="0081465D"/>
    <w:rsid w:val="0083347E"/>
    <w:rsid w:val="00843E57"/>
    <w:rsid w:val="00865BF0"/>
    <w:rsid w:val="008977F9"/>
    <w:rsid w:val="008C54B0"/>
    <w:rsid w:val="008F4253"/>
    <w:rsid w:val="009252F9"/>
    <w:rsid w:val="0098419A"/>
    <w:rsid w:val="009D1861"/>
    <w:rsid w:val="009D37A2"/>
    <w:rsid w:val="009F046E"/>
    <w:rsid w:val="00A44BA6"/>
    <w:rsid w:val="00A616D6"/>
    <w:rsid w:val="00A929D8"/>
    <w:rsid w:val="00AB5219"/>
    <w:rsid w:val="00AD79CF"/>
    <w:rsid w:val="00AF168A"/>
    <w:rsid w:val="00AF2DCD"/>
    <w:rsid w:val="00AF3F0D"/>
    <w:rsid w:val="00B20602"/>
    <w:rsid w:val="00B52701"/>
    <w:rsid w:val="00B54040"/>
    <w:rsid w:val="00BA2CE5"/>
    <w:rsid w:val="00BD3E0D"/>
    <w:rsid w:val="00C11490"/>
    <w:rsid w:val="00C17BD0"/>
    <w:rsid w:val="00C31FB2"/>
    <w:rsid w:val="00C405F5"/>
    <w:rsid w:val="00C476BE"/>
    <w:rsid w:val="00C5225F"/>
    <w:rsid w:val="00C91A3E"/>
    <w:rsid w:val="00CF7A8C"/>
    <w:rsid w:val="00D227A6"/>
    <w:rsid w:val="00D6483C"/>
    <w:rsid w:val="00D64EB2"/>
    <w:rsid w:val="00D74BE4"/>
    <w:rsid w:val="00D7604A"/>
    <w:rsid w:val="00D82C31"/>
    <w:rsid w:val="00D976D4"/>
    <w:rsid w:val="00DA282A"/>
    <w:rsid w:val="00DB1045"/>
    <w:rsid w:val="00DD0892"/>
    <w:rsid w:val="00DF5CD4"/>
    <w:rsid w:val="00E60C51"/>
    <w:rsid w:val="00E7357F"/>
    <w:rsid w:val="00E85BA5"/>
    <w:rsid w:val="00E93A90"/>
    <w:rsid w:val="00EC561A"/>
    <w:rsid w:val="00EE6BB0"/>
    <w:rsid w:val="00F42AEE"/>
    <w:rsid w:val="00F949F4"/>
    <w:rsid w:val="00FC0342"/>
    <w:rsid w:val="00FF3754"/>
    <w:rsid w:val="105C13F1"/>
    <w:rsid w:val="1A1F540B"/>
    <w:rsid w:val="1E511DE1"/>
    <w:rsid w:val="2D38491D"/>
    <w:rsid w:val="4F4B1C71"/>
    <w:rsid w:val="5E6B0941"/>
    <w:rsid w:val="7BE67A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qFormat="1"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link w:val="36"/>
    <w:qFormat/>
    <w:uiPriority w:val="0"/>
    <w:pPr>
      <w:keepNext/>
      <w:jc w:val="center"/>
      <w:outlineLvl w:val="0"/>
    </w:pPr>
    <w:rPr>
      <w:b/>
      <w:bCs/>
      <w:kern w:val="44"/>
      <w:sz w:val="44"/>
      <w:szCs w:val="44"/>
    </w:rPr>
  </w:style>
  <w:style w:type="paragraph" w:styleId="5">
    <w:name w:val="heading 2"/>
    <w:basedOn w:val="1"/>
    <w:next w:val="1"/>
    <w:link w:val="37"/>
    <w:semiHidden/>
    <w:unhideWhenUsed/>
    <w:qFormat/>
    <w:uiPriority w:val="0"/>
    <w:pPr>
      <w:keepNext/>
      <w:jc w:val="center"/>
      <w:outlineLvl w:val="1"/>
    </w:pPr>
    <w:rPr>
      <w:rFonts w:ascii="Cambria" w:hAnsi="Cambria"/>
      <w:b/>
      <w:bCs/>
      <w:kern w:val="0"/>
      <w:sz w:val="32"/>
      <w:szCs w:val="32"/>
    </w:rPr>
  </w:style>
  <w:style w:type="paragraph" w:styleId="6">
    <w:name w:val="heading 3"/>
    <w:basedOn w:val="1"/>
    <w:next w:val="1"/>
    <w:link w:val="38"/>
    <w:semiHidden/>
    <w:unhideWhenUsed/>
    <w:qFormat/>
    <w:uiPriority w:val="0"/>
    <w:pPr>
      <w:keepNext/>
      <w:jc w:val="center"/>
      <w:outlineLvl w:val="2"/>
    </w:pPr>
    <w:rPr>
      <w:b/>
      <w:bCs/>
      <w:kern w:val="0"/>
      <w:sz w:val="32"/>
      <w:szCs w:val="32"/>
    </w:rPr>
  </w:style>
  <w:style w:type="paragraph" w:styleId="7">
    <w:name w:val="heading 4"/>
    <w:basedOn w:val="1"/>
    <w:next w:val="1"/>
    <w:link w:val="39"/>
    <w:semiHidden/>
    <w:unhideWhenUsed/>
    <w:qFormat/>
    <w:uiPriority w:val="0"/>
    <w:pPr>
      <w:keepNext/>
      <w:jc w:val="center"/>
      <w:outlineLvl w:val="3"/>
    </w:pPr>
    <w:rPr>
      <w:rFonts w:ascii="Cambria" w:hAnsi="Cambria"/>
      <w:b/>
      <w:bCs/>
      <w:kern w:val="0"/>
      <w:sz w:val="28"/>
      <w:szCs w:val="28"/>
    </w:rPr>
  </w:style>
  <w:style w:type="paragraph" w:styleId="8">
    <w:name w:val="heading 5"/>
    <w:basedOn w:val="1"/>
    <w:next w:val="1"/>
    <w:link w:val="40"/>
    <w:semiHidden/>
    <w:unhideWhenUsed/>
    <w:qFormat/>
    <w:uiPriority w:val="0"/>
    <w:pPr>
      <w:keepNext/>
      <w:tabs>
        <w:tab w:val="left" w:pos="360"/>
      </w:tabs>
      <w:ind w:left="360" w:hanging="360"/>
      <w:outlineLvl w:val="4"/>
    </w:pPr>
    <w:rPr>
      <w:rFonts w:ascii="楷体_GB2312" w:eastAsia="楷体_GB2312"/>
      <w:bCs/>
      <w:sz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4"/>
    <w:semiHidden/>
    <w:unhideWhenUsed/>
    <w:qFormat/>
    <w:uiPriority w:val="99"/>
    <w:rPr>
      <w:kern w:val="0"/>
      <w:sz w:val="20"/>
    </w:rPr>
  </w:style>
  <w:style w:type="paragraph" w:styleId="3">
    <w:name w:val="List"/>
    <w:basedOn w:val="1"/>
    <w:unhideWhenUsed/>
    <w:qFormat/>
    <w:uiPriority w:val="99"/>
    <w:pPr>
      <w:ind w:left="200" w:hanging="200" w:hangingChars="200"/>
      <w:contextualSpacing/>
    </w:pPr>
  </w:style>
  <w:style w:type="paragraph" w:styleId="9">
    <w:name w:val="Normal Indent"/>
    <w:basedOn w:val="1"/>
    <w:link w:val="41"/>
    <w:semiHidden/>
    <w:unhideWhenUsed/>
    <w:qFormat/>
    <w:uiPriority w:val="0"/>
    <w:pPr>
      <w:ind w:firstLine="420"/>
    </w:pPr>
    <w:rPr>
      <w:rFonts w:asciiTheme="minorHAnsi" w:hAnsiTheme="minorHAnsi" w:eastAsiaTheme="minorEastAsia" w:cstheme="minorBidi"/>
      <w:szCs w:val="22"/>
    </w:rPr>
  </w:style>
  <w:style w:type="paragraph" w:styleId="10">
    <w:name w:val="Document Map"/>
    <w:basedOn w:val="1"/>
    <w:link w:val="51"/>
    <w:semiHidden/>
    <w:unhideWhenUsed/>
    <w:qFormat/>
    <w:uiPriority w:val="99"/>
    <w:pPr>
      <w:shd w:val="clear" w:color="auto" w:fill="000080"/>
    </w:pPr>
    <w:rPr>
      <w:kern w:val="0"/>
      <w:sz w:val="2"/>
    </w:rPr>
  </w:style>
  <w:style w:type="paragraph" w:styleId="11">
    <w:name w:val="annotation text"/>
    <w:basedOn w:val="1"/>
    <w:link w:val="42"/>
    <w:semiHidden/>
    <w:unhideWhenUsed/>
    <w:qFormat/>
    <w:uiPriority w:val="99"/>
    <w:pPr>
      <w:jc w:val="left"/>
    </w:pPr>
  </w:style>
  <w:style w:type="paragraph" w:styleId="12">
    <w:name w:val="Body Text Indent"/>
    <w:basedOn w:val="1"/>
    <w:link w:val="45"/>
    <w:semiHidden/>
    <w:unhideWhenUsed/>
    <w:qFormat/>
    <w:uiPriority w:val="99"/>
    <w:pPr>
      <w:ind w:firstLine="576"/>
    </w:pPr>
    <w:rPr>
      <w:kern w:val="0"/>
      <w:sz w:val="20"/>
    </w:rPr>
  </w:style>
  <w:style w:type="paragraph" w:styleId="13">
    <w:name w:val="Date"/>
    <w:basedOn w:val="1"/>
    <w:next w:val="1"/>
    <w:link w:val="47"/>
    <w:semiHidden/>
    <w:unhideWhenUsed/>
    <w:qFormat/>
    <w:uiPriority w:val="99"/>
    <w:rPr>
      <w:kern w:val="0"/>
      <w:sz w:val="20"/>
    </w:rPr>
  </w:style>
  <w:style w:type="paragraph" w:styleId="14">
    <w:name w:val="Body Text Indent 2"/>
    <w:basedOn w:val="1"/>
    <w:link w:val="49"/>
    <w:semiHidden/>
    <w:unhideWhenUsed/>
    <w:qFormat/>
    <w:uiPriority w:val="99"/>
    <w:pPr>
      <w:ind w:left="900"/>
    </w:pPr>
    <w:rPr>
      <w:kern w:val="0"/>
      <w:sz w:val="20"/>
    </w:rPr>
  </w:style>
  <w:style w:type="paragraph" w:styleId="15">
    <w:name w:val="Balloon Text"/>
    <w:basedOn w:val="1"/>
    <w:link w:val="53"/>
    <w:semiHidden/>
    <w:unhideWhenUsed/>
    <w:qFormat/>
    <w:uiPriority w:val="99"/>
    <w:rPr>
      <w:sz w:val="18"/>
      <w:szCs w:val="18"/>
    </w:rPr>
  </w:style>
  <w:style w:type="paragraph" w:styleId="16">
    <w:name w:val="footer"/>
    <w:basedOn w:val="1"/>
    <w:link w:val="35"/>
    <w:unhideWhenUsed/>
    <w:qFormat/>
    <w:uiPriority w:val="99"/>
    <w:pPr>
      <w:tabs>
        <w:tab w:val="center" w:pos="4153"/>
        <w:tab w:val="right" w:pos="8306"/>
      </w:tabs>
      <w:snapToGrid w:val="0"/>
      <w:jc w:val="left"/>
    </w:pPr>
    <w:rPr>
      <w:sz w:val="18"/>
      <w:szCs w:val="18"/>
    </w:rPr>
  </w:style>
  <w:style w:type="paragraph" w:styleId="17">
    <w:name w:val="header"/>
    <w:basedOn w:val="1"/>
    <w:link w:val="34"/>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Subtitle"/>
    <w:basedOn w:val="1"/>
    <w:next w:val="1"/>
    <w:link w:val="46"/>
    <w:qFormat/>
    <w:uiPriority w:val="11"/>
    <w:pPr>
      <w:spacing w:before="240" w:after="60" w:line="312" w:lineRule="auto"/>
      <w:jc w:val="center"/>
      <w:outlineLvl w:val="1"/>
    </w:pPr>
    <w:rPr>
      <w:rFonts w:ascii="Calibri Light" w:hAnsi="Calibri Light"/>
      <w:b/>
      <w:bCs/>
      <w:kern w:val="28"/>
      <w:sz w:val="32"/>
      <w:szCs w:val="32"/>
    </w:rPr>
  </w:style>
  <w:style w:type="paragraph" w:styleId="20">
    <w:name w:val="Body Text Indent 3"/>
    <w:basedOn w:val="1"/>
    <w:link w:val="50"/>
    <w:semiHidden/>
    <w:unhideWhenUsed/>
    <w:qFormat/>
    <w:uiPriority w:val="99"/>
    <w:pPr>
      <w:ind w:left="359" w:leftChars="171" w:firstLine="359" w:firstLineChars="171"/>
    </w:pPr>
    <w:rPr>
      <w:kern w:val="0"/>
      <w:sz w:val="16"/>
      <w:szCs w:val="16"/>
    </w:rPr>
  </w:style>
  <w:style w:type="paragraph" w:styleId="21">
    <w:name w:val="Body Text 2"/>
    <w:basedOn w:val="1"/>
    <w:link w:val="48"/>
    <w:unhideWhenUsed/>
    <w:qFormat/>
    <w:uiPriority w:val="99"/>
    <w:pPr>
      <w:spacing w:after="120" w:line="480" w:lineRule="auto"/>
    </w:pPr>
    <w:rPr>
      <w:kern w:val="0"/>
      <w:sz w:val="20"/>
    </w:rPr>
  </w:style>
  <w:style w:type="paragraph" w:styleId="22">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23">
    <w:name w:val="Title"/>
    <w:basedOn w:val="1"/>
    <w:next w:val="1"/>
    <w:link w:val="43"/>
    <w:qFormat/>
    <w:uiPriority w:val="99"/>
    <w:pPr>
      <w:overflowPunct w:val="0"/>
      <w:autoSpaceDE w:val="0"/>
      <w:autoSpaceDN w:val="0"/>
      <w:adjustRightInd w:val="0"/>
      <w:snapToGrid w:val="0"/>
      <w:spacing w:before="240" w:after="60" w:line="336" w:lineRule="auto"/>
      <w:ind w:firstLine="200" w:firstLineChars="200"/>
      <w:jc w:val="center"/>
      <w:outlineLvl w:val="0"/>
    </w:pPr>
    <w:rPr>
      <w:rFonts w:ascii="Cambria" w:hAnsi="Cambria" w:cs="Cambria"/>
      <w:b/>
      <w:bCs/>
      <w:sz w:val="32"/>
      <w:szCs w:val="32"/>
    </w:rPr>
  </w:style>
  <w:style w:type="paragraph" w:styleId="24">
    <w:name w:val="annotation subject"/>
    <w:basedOn w:val="11"/>
    <w:next w:val="11"/>
    <w:link w:val="52"/>
    <w:semiHidden/>
    <w:unhideWhenUsed/>
    <w:qFormat/>
    <w:uiPriority w:val="99"/>
    <w:rPr>
      <w:b/>
      <w:bCs/>
    </w:rPr>
  </w:style>
  <w:style w:type="table" w:styleId="26">
    <w:name w:val="Table Grid"/>
    <w:basedOn w:val="25"/>
    <w:qFormat/>
    <w:uiPriority w:val="99"/>
    <w:rPr>
      <w:rFonts w:ascii="Times" w:hAnsi="Times" w:eastAsia="宋体" w:cs="Times"/>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8">
    <w:name w:val="Strong"/>
    <w:qFormat/>
    <w:uiPriority w:val="0"/>
    <w:rPr>
      <w:rFonts w:hint="default" w:ascii="Times New Roman" w:hAnsi="Times New Roman" w:cs="Times New Roman"/>
      <w:b/>
      <w:bCs/>
    </w:rPr>
  </w:style>
  <w:style w:type="character" w:styleId="29">
    <w:name w:val="page number"/>
    <w:semiHidden/>
    <w:unhideWhenUsed/>
    <w:qFormat/>
    <w:uiPriority w:val="0"/>
    <w:rPr>
      <w:rFonts w:hint="default" w:ascii="Times New Roman" w:hAnsi="Times New Roman" w:cs="Times New Roman"/>
    </w:rPr>
  </w:style>
  <w:style w:type="character" w:styleId="30">
    <w:name w:val="FollowedHyperlink"/>
    <w:basedOn w:val="27"/>
    <w:semiHidden/>
    <w:unhideWhenUsed/>
    <w:qFormat/>
    <w:uiPriority w:val="99"/>
    <w:rPr>
      <w:color w:val="800080" w:themeColor="followedHyperlink"/>
      <w:u w:val="single"/>
      <w14:textFill>
        <w14:solidFill>
          <w14:schemeClr w14:val="folHlink"/>
        </w14:solidFill>
      </w14:textFill>
    </w:rPr>
  </w:style>
  <w:style w:type="character" w:styleId="31">
    <w:name w:val="HTML Typewriter"/>
    <w:semiHidden/>
    <w:unhideWhenUsed/>
    <w:qFormat/>
    <w:uiPriority w:val="99"/>
    <w:rPr>
      <w:rFonts w:hint="eastAsia" w:ascii="宋体" w:hAnsi="宋体" w:eastAsia="宋体" w:cs="宋体"/>
      <w:sz w:val="24"/>
      <w:szCs w:val="24"/>
    </w:rPr>
  </w:style>
  <w:style w:type="character" w:styleId="32">
    <w:name w:val="Hyperlink"/>
    <w:unhideWhenUsed/>
    <w:qFormat/>
    <w:uiPriority w:val="99"/>
    <w:rPr>
      <w:rFonts w:hint="default" w:ascii="Times New Roman" w:hAnsi="Times New Roman" w:cs="Times New Roman"/>
      <w:color w:val="auto"/>
      <w:u w:val="none"/>
    </w:rPr>
  </w:style>
  <w:style w:type="character" w:styleId="33">
    <w:name w:val="annotation reference"/>
    <w:semiHidden/>
    <w:unhideWhenUsed/>
    <w:qFormat/>
    <w:uiPriority w:val="99"/>
    <w:rPr>
      <w:sz w:val="21"/>
      <w:szCs w:val="21"/>
    </w:rPr>
  </w:style>
  <w:style w:type="character" w:customStyle="1" w:styleId="34">
    <w:name w:val="页眉 Char"/>
    <w:basedOn w:val="27"/>
    <w:link w:val="17"/>
    <w:qFormat/>
    <w:uiPriority w:val="99"/>
    <w:rPr>
      <w:sz w:val="18"/>
      <w:szCs w:val="18"/>
    </w:rPr>
  </w:style>
  <w:style w:type="character" w:customStyle="1" w:styleId="35">
    <w:name w:val="页脚 Char"/>
    <w:basedOn w:val="27"/>
    <w:link w:val="16"/>
    <w:qFormat/>
    <w:uiPriority w:val="99"/>
    <w:rPr>
      <w:sz w:val="18"/>
      <w:szCs w:val="18"/>
    </w:rPr>
  </w:style>
  <w:style w:type="character" w:customStyle="1" w:styleId="36">
    <w:name w:val="标题 1 Char"/>
    <w:basedOn w:val="27"/>
    <w:link w:val="4"/>
    <w:qFormat/>
    <w:uiPriority w:val="0"/>
    <w:rPr>
      <w:rFonts w:ascii="Times New Roman" w:hAnsi="Times New Roman" w:eastAsia="宋体" w:cs="Times New Roman"/>
      <w:b/>
      <w:bCs/>
      <w:kern w:val="44"/>
      <w:sz w:val="44"/>
      <w:szCs w:val="44"/>
    </w:rPr>
  </w:style>
  <w:style w:type="character" w:customStyle="1" w:styleId="37">
    <w:name w:val="标题 2 Char"/>
    <w:basedOn w:val="27"/>
    <w:link w:val="5"/>
    <w:semiHidden/>
    <w:qFormat/>
    <w:uiPriority w:val="0"/>
    <w:rPr>
      <w:rFonts w:ascii="Cambria" w:hAnsi="Cambria" w:eastAsia="宋体" w:cs="Times New Roman"/>
      <w:b/>
      <w:bCs/>
      <w:kern w:val="0"/>
      <w:sz w:val="32"/>
      <w:szCs w:val="32"/>
    </w:rPr>
  </w:style>
  <w:style w:type="character" w:customStyle="1" w:styleId="38">
    <w:name w:val="标题 3 Char"/>
    <w:basedOn w:val="27"/>
    <w:link w:val="6"/>
    <w:semiHidden/>
    <w:qFormat/>
    <w:uiPriority w:val="0"/>
    <w:rPr>
      <w:rFonts w:ascii="Times New Roman" w:hAnsi="Times New Roman" w:eastAsia="宋体" w:cs="Times New Roman"/>
      <w:b/>
      <w:bCs/>
      <w:kern w:val="0"/>
      <w:sz w:val="32"/>
      <w:szCs w:val="32"/>
    </w:rPr>
  </w:style>
  <w:style w:type="character" w:customStyle="1" w:styleId="39">
    <w:name w:val="标题 4 Char"/>
    <w:basedOn w:val="27"/>
    <w:link w:val="7"/>
    <w:semiHidden/>
    <w:qFormat/>
    <w:uiPriority w:val="0"/>
    <w:rPr>
      <w:rFonts w:ascii="Cambria" w:hAnsi="Cambria" w:eastAsia="宋体" w:cs="Times New Roman"/>
      <w:b/>
      <w:bCs/>
      <w:kern w:val="0"/>
      <w:sz w:val="28"/>
      <w:szCs w:val="28"/>
    </w:rPr>
  </w:style>
  <w:style w:type="character" w:customStyle="1" w:styleId="40">
    <w:name w:val="标题 5 Char"/>
    <w:basedOn w:val="27"/>
    <w:link w:val="8"/>
    <w:semiHidden/>
    <w:qFormat/>
    <w:uiPriority w:val="0"/>
    <w:rPr>
      <w:rFonts w:ascii="楷体_GB2312" w:hAnsi="Times New Roman" w:eastAsia="楷体_GB2312" w:cs="Times New Roman"/>
      <w:bCs/>
      <w:sz w:val="28"/>
      <w:szCs w:val="20"/>
    </w:rPr>
  </w:style>
  <w:style w:type="character" w:customStyle="1" w:styleId="41">
    <w:name w:val="正文缩进 Char"/>
    <w:link w:val="9"/>
    <w:semiHidden/>
    <w:qFormat/>
    <w:locked/>
    <w:uiPriority w:val="0"/>
  </w:style>
  <w:style w:type="character" w:customStyle="1" w:styleId="42">
    <w:name w:val="批注文字 Char"/>
    <w:basedOn w:val="27"/>
    <w:link w:val="11"/>
    <w:semiHidden/>
    <w:qFormat/>
    <w:uiPriority w:val="99"/>
    <w:rPr>
      <w:rFonts w:ascii="Times New Roman" w:hAnsi="Times New Roman" w:eastAsia="宋体" w:cs="Times New Roman"/>
      <w:szCs w:val="20"/>
    </w:rPr>
  </w:style>
  <w:style w:type="character" w:customStyle="1" w:styleId="43">
    <w:name w:val="标题 Char"/>
    <w:basedOn w:val="27"/>
    <w:link w:val="23"/>
    <w:qFormat/>
    <w:uiPriority w:val="99"/>
    <w:rPr>
      <w:rFonts w:ascii="Cambria" w:hAnsi="Cambria" w:eastAsia="宋体" w:cs="Cambria"/>
      <w:b/>
      <w:bCs/>
      <w:sz w:val="32"/>
      <w:szCs w:val="32"/>
    </w:rPr>
  </w:style>
  <w:style w:type="character" w:customStyle="1" w:styleId="44">
    <w:name w:val="正文文本 Char"/>
    <w:basedOn w:val="27"/>
    <w:link w:val="2"/>
    <w:semiHidden/>
    <w:qFormat/>
    <w:uiPriority w:val="99"/>
    <w:rPr>
      <w:rFonts w:ascii="Times New Roman" w:hAnsi="Times New Roman" w:eastAsia="宋体" w:cs="Times New Roman"/>
      <w:kern w:val="0"/>
      <w:sz w:val="20"/>
      <w:szCs w:val="20"/>
    </w:rPr>
  </w:style>
  <w:style w:type="character" w:customStyle="1" w:styleId="45">
    <w:name w:val="正文文本缩进 Char"/>
    <w:basedOn w:val="27"/>
    <w:link w:val="12"/>
    <w:semiHidden/>
    <w:qFormat/>
    <w:uiPriority w:val="99"/>
    <w:rPr>
      <w:rFonts w:ascii="Times New Roman" w:hAnsi="Times New Roman" w:eastAsia="宋体" w:cs="Times New Roman"/>
      <w:kern w:val="0"/>
      <w:sz w:val="20"/>
      <w:szCs w:val="20"/>
    </w:rPr>
  </w:style>
  <w:style w:type="character" w:customStyle="1" w:styleId="46">
    <w:name w:val="副标题 Char"/>
    <w:basedOn w:val="27"/>
    <w:link w:val="19"/>
    <w:qFormat/>
    <w:uiPriority w:val="11"/>
    <w:rPr>
      <w:rFonts w:ascii="Calibri Light" w:hAnsi="Calibri Light" w:eastAsia="宋体" w:cs="Times New Roman"/>
      <w:b/>
      <w:bCs/>
      <w:kern w:val="28"/>
      <w:sz w:val="32"/>
      <w:szCs w:val="32"/>
    </w:rPr>
  </w:style>
  <w:style w:type="character" w:customStyle="1" w:styleId="47">
    <w:name w:val="日期 Char"/>
    <w:basedOn w:val="27"/>
    <w:link w:val="13"/>
    <w:semiHidden/>
    <w:qFormat/>
    <w:uiPriority w:val="99"/>
    <w:rPr>
      <w:rFonts w:ascii="Times New Roman" w:hAnsi="Times New Roman" w:eastAsia="宋体" w:cs="Times New Roman"/>
      <w:kern w:val="0"/>
      <w:sz w:val="20"/>
      <w:szCs w:val="20"/>
    </w:rPr>
  </w:style>
  <w:style w:type="character" w:customStyle="1" w:styleId="48">
    <w:name w:val="正文文本 2 Char"/>
    <w:basedOn w:val="27"/>
    <w:link w:val="21"/>
    <w:qFormat/>
    <w:uiPriority w:val="99"/>
    <w:rPr>
      <w:rFonts w:ascii="Times New Roman" w:hAnsi="Times New Roman" w:eastAsia="宋体" w:cs="Times New Roman"/>
      <w:kern w:val="0"/>
      <w:sz w:val="20"/>
      <w:szCs w:val="20"/>
    </w:rPr>
  </w:style>
  <w:style w:type="character" w:customStyle="1" w:styleId="49">
    <w:name w:val="正文文本缩进 2 Char"/>
    <w:basedOn w:val="27"/>
    <w:link w:val="14"/>
    <w:semiHidden/>
    <w:qFormat/>
    <w:uiPriority w:val="99"/>
    <w:rPr>
      <w:rFonts w:ascii="Times New Roman" w:hAnsi="Times New Roman" w:eastAsia="宋体" w:cs="Times New Roman"/>
      <w:kern w:val="0"/>
      <w:sz w:val="20"/>
      <w:szCs w:val="20"/>
    </w:rPr>
  </w:style>
  <w:style w:type="character" w:customStyle="1" w:styleId="50">
    <w:name w:val="正文文本缩进 3 Char"/>
    <w:basedOn w:val="27"/>
    <w:link w:val="20"/>
    <w:semiHidden/>
    <w:qFormat/>
    <w:uiPriority w:val="99"/>
    <w:rPr>
      <w:rFonts w:ascii="Times New Roman" w:hAnsi="Times New Roman" w:eastAsia="宋体" w:cs="Times New Roman"/>
      <w:kern w:val="0"/>
      <w:sz w:val="16"/>
      <w:szCs w:val="16"/>
    </w:rPr>
  </w:style>
  <w:style w:type="character" w:customStyle="1" w:styleId="51">
    <w:name w:val="文档结构图 Char"/>
    <w:basedOn w:val="27"/>
    <w:link w:val="10"/>
    <w:semiHidden/>
    <w:qFormat/>
    <w:uiPriority w:val="99"/>
    <w:rPr>
      <w:rFonts w:ascii="Times New Roman" w:hAnsi="Times New Roman" w:eastAsia="宋体" w:cs="Times New Roman"/>
      <w:kern w:val="0"/>
      <w:sz w:val="2"/>
      <w:szCs w:val="20"/>
      <w:shd w:val="clear" w:color="auto" w:fill="000080"/>
    </w:rPr>
  </w:style>
  <w:style w:type="character" w:customStyle="1" w:styleId="52">
    <w:name w:val="批注主题 Char"/>
    <w:basedOn w:val="42"/>
    <w:link w:val="24"/>
    <w:semiHidden/>
    <w:qFormat/>
    <w:uiPriority w:val="99"/>
    <w:rPr>
      <w:rFonts w:ascii="Times New Roman" w:hAnsi="Times New Roman" w:eastAsia="宋体" w:cs="Times New Roman"/>
      <w:b/>
      <w:bCs/>
      <w:szCs w:val="20"/>
    </w:rPr>
  </w:style>
  <w:style w:type="character" w:customStyle="1" w:styleId="53">
    <w:name w:val="批注框文本 Char"/>
    <w:basedOn w:val="27"/>
    <w:link w:val="15"/>
    <w:semiHidden/>
    <w:qFormat/>
    <w:uiPriority w:val="99"/>
    <w:rPr>
      <w:rFonts w:ascii="Times New Roman" w:hAnsi="Times New Roman" w:eastAsia="宋体" w:cs="Times New Roman"/>
      <w:sz w:val="18"/>
      <w:szCs w:val="18"/>
    </w:rPr>
  </w:style>
  <w:style w:type="character" w:customStyle="1" w:styleId="54">
    <w:name w:val="列出段落 Char"/>
    <w:link w:val="55"/>
    <w:qFormat/>
    <w:locked/>
    <w:uiPriority w:val="34"/>
  </w:style>
  <w:style w:type="paragraph" w:styleId="55">
    <w:name w:val="List Paragraph"/>
    <w:basedOn w:val="1"/>
    <w:link w:val="54"/>
    <w:qFormat/>
    <w:uiPriority w:val="34"/>
    <w:pPr>
      <w:ind w:firstLine="420" w:firstLineChars="200"/>
    </w:pPr>
    <w:rPr>
      <w:rFonts w:asciiTheme="minorHAnsi" w:hAnsiTheme="minorHAnsi" w:eastAsiaTheme="minorEastAsia" w:cstheme="minorBidi"/>
      <w:szCs w:val="22"/>
    </w:rPr>
  </w:style>
  <w:style w:type="character" w:customStyle="1" w:styleId="56">
    <w:name w:val="_正文 Char"/>
    <w:link w:val="57"/>
    <w:qFormat/>
    <w:locked/>
    <w:uiPriority w:val="0"/>
    <w:rPr>
      <w:rFonts w:ascii="微软雅黑" w:hAnsi="微软雅黑" w:eastAsia="微软雅黑"/>
    </w:rPr>
  </w:style>
  <w:style w:type="paragraph" w:customStyle="1" w:styleId="57">
    <w:name w:val="_正文"/>
    <w:basedOn w:val="1"/>
    <w:link w:val="56"/>
    <w:qFormat/>
    <w:uiPriority w:val="0"/>
    <w:pPr>
      <w:widowControl/>
      <w:spacing w:line="360" w:lineRule="auto"/>
      <w:ind w:firstLine="200" w:firstLineChars="200"/>
      <w:jc w:val="left"/>
    </w:pPr>
    <w:rPr>
      <w:rFonts w:ascii="微软雅黑" w:hAnsi="微软雅黑" w:eastAsia="微软雅黑" w:cstheme="minorBidi"/>
      <w:szCs w:val="22"/>
    </w:rPr>
  </w:style>
  <w:style w:type="paragraph" w:customStyle="1" w:styleId="58">
    <w:name w:val="xl43"/>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59">
    <w:name w:val="xl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60">
    <w:name w:val="xl54"/>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rFonts w:ascii="宋体" w:hAnsi="宋体"/>
      <w:b/>
      <w:bCs/>
      <w:kern w:val="0"/>
      <w:sz w:val="20"/>
    </w:rPr>
  </w:style>
  <w:style w:type="paragraph" w:customStyle="1" w:styleId="61">
    <w:name w:val="xl51"/>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62">
    <w:name w:val="样式 首行缩进:  2 字符"/>
    <w:basedOn w:val="1"/>
    <w:qFormat/>
    <w:uiPriority w:val="99"/>
    <w:pPr>
      <w:overflowPunct w:val="0"/>
      <w:autoSpaceDE w:val="0"/>
      <w:autoSpaceDN w:val="0"/>
      <w:adjustRightInd w:val="0"/>
      <w:snapToGrid w:val="0"/>
      <w:spacing w:line="288" w:lineRule="auto"/>
      <w:ind w:firstLine="200" w:firstLineChars="200"/>
    </w:pPr>
    <w:rPr>
      <w:rFonts w:ascii="仿宋_GB2312" w:hAnsi="Times" w:eastAsia="仿宋_GB2312" w:cs="仿宋_GB2312"/>
      <w:kern w:val="0"/>
      <w:sz w:val="32"/>
      <w:szCs w:val="32"/>
    </w:rPr>
  </w:style>
  <w:style w:type="paragraph" w:customStyle="1" w:styleId="63">
    <w:name w:val="font13"/>
    <w:basedOn w:val="1"/>
    <w:qFormat/>
    <w:uiPriority w:val="99"/>
    <w:pPr>
      <w:widowControl/>
      <w:spacing w:before="100" w:beforeAutospacing="1" w:after="100" w:afterAutospacing="1"/>
      <w:jc w:val="left"/>
    </w:pPr>
    <w:rPr>
      <w:i/>
      <w:iCs/>
      <w:kern w:val="0"/>
      <w:sz w:val="36"/>
      <w:szCs w:val="36"/>
    </w:rPr>
  </w:style>
  <w:style w:type="paragraph" w:customStyle="1" w:styleId="64">
    <w:name w:val="xl62"/>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65">
    <w:name w:val="xl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66">
    <w:name w:val="xl46"/>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67">
    <w:name w:val="xl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68">
    <w:name w:val="xl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69">
    <w:name w:val="xl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0">
    <w:name w:val="样式 首行缩进:  2 字符1"/>
    <w:basedOn w:val="1"/>
    <w:qFormat/>
    <w:uiPriority w:val="99"/>
    <w:pPr>
      <w:overflowPunct w:val="0"/>
      <w:autoSpaceDE w:val="0"/>
      <w:autoSpaceDN w:val="0"/>
      <w:adjustRightInd w:val="0"/>
      <w:snapToGrid w:val="0"/>
      <w:spacing w:line="288" w:lineRule="auto"/>
      <w:ind w:firstLine="200" w:firstLineChars="200"/>
    </w:pPr>
    <w:rPr>
      <w:rFonts w:ascii="仿宋_GB2312" w:hAnsi="Times" w:eastAsia="仿宋_GB2312" w:cs="仿宋_GB2312"/>
      <w:sz w:val="32"/>
      <w:szCs w:val="32"/>
    </w:rPr>
  </w:style>
  <w:style w:type="paragraph" w:customStyle="1" w:styleId="71">
    <w:name w:val="font7"/>
    <w:basedOn w:val="1"/>
    <w:qFormat/>
    <w:uiPriority w:val="99"/>
    <w:pPr>
      <w:widowControl/>
      <w:spacing w:before="100" w:beforeAutospacing="1" w:after="100" w:afterAutospacing="1"/>
      <w:jc w:val="left"/>
    </w:pPr>
    <w:rPr>
      <w:b/>
      <w:bCs/>
      <w:i/>
      <w:iCs/>
      <w:kern w:val="0"/>
      <w:sz w:val="20"/>
    </w:rPr>
  </w:style>
  <w:style w:type="paragraph" w:customStyle="1" w:styleId="72">
    <w:name w:val="正文 New New New New"/>
    <w:qFormat/>
    <w:uiPriority w:val="99"/>
    <w:pPr>
      <w:widowControl w:val="0"/>
      <w:jc w:val="both"/>
    </w:pPr>
    <w:rPr>
      <w:rFonts w:ascii="Times New Roman" w:hAnsi="Times New Roman" w:eastAsia="宋体" w:cs="Times New Roman"/>
      <w:kern w:val="0"/>
      <w:sz w:val="20"/>
      <w:szCs w:val="24"/>
      <w:lang w:val="en-US" w:eastAsia="zh-CN" w:bidi="ar-SA"/>
    </w:rPr>
  </w:style>
  <w:style w:type="paragraph" w:customStyle="1" w:styleId="73">
    <w:name w:val="xl45"/>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74">
    <w:name w:val="xl56"/>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kern w:val="0"/>
      <w:sz w:val="20"/>
    </w:rPr>
  </w:style>
  <w:style w:type="paragraph" w:customStyle="1" w:styleId="75">
    <w:name w:val="xl53"/>
    <w:basedOn w:val="1"/>
    <w:qFormat/>
    <w:uiPriority w:val="99"/>
    <w:pPr>
      <w:widowControl/>
      <w:pBdr>
        <w:top w:val="single" w:color="auto" w:sz="4" w:space="0"/>
        <w:bottom w:val="single" w:color="auto" w:sz="4" w:space="0"/>
        <w:right w:val="single" w:color="auto" w:sz="4" w:space="0"/>
      </w:pBdr>
      <w:shd w:val="clear" w:color="auto" w:fill="969696"/>
      <w:spacing w:before="100" w:beforeAutospacing="1" w:after="100" w:afterAutospacing="1"/>
      <w:jc w:val="center"/>
    </w:pPr>
    <w:rPr>
      <w:b/>
      <w:bCs/>
      <w:i/>
      <w:iCs/>
      <w:kern w:val="0"/>
      <w:sz w:val="20"/>
    </w:rPr>
  </w:style>
  <w:style w:type="paragraph" w:customStyle="1" w:styleId="76">
    <w:name w:val="xl1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rPr>
  </w:style>
  <w:style w:type="character" w:customStyle="1" w:styleId="77">
    <w:name w:val="宋体&amp;Time5# Char"/>
    <w:link w:val="78"/>
    <w:qFormat/>
    <w:locked/>
    <w:uiPriority w:val="0"/>
    <w:rPr>
      <w:rFonts w:ascii="Calibri" w:hAnsi="Calibri" w:eastAsia="Times New Roman" w:cs="Calibri"/>
      <w:szCs w:val="21"/>
    </w:rPr>
  </w:style>
  <w:style w:type="paragraph" w:customStyle="1" w:styleId="78">
    <w:name w:val="宋体&amp;Time5#"/>
    <w:basedOn w:val="1"/>
    <w:link w:val="77"/>
    <w:qFormat/>
    <w:uiPriority w:val="0"/>
    <w:pPr>
      <w:jc w:val="center"/>
    </w:pPr>
    <w:rPr>
      <w:rFonts w:ascii="Calibri" w:hAnsi="Calibri" w:eastAsia="Times New Roman" w:cs="Calibri"/>
      <w:szCs w:val="21"/>
    </w:rPr>
  </w:style>
  <w:style w:type="paragraph" w:customStyle="1" w:styleId="79">
    <w:name w:val="xl3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80">
    <w:name w:val="xl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kern w:val="0"/>
      <w:sz w:val="20"/>
    </w:rPr>
  </w:style>
  <w:style w:type="paragraph" w:customStyle="1" w:styleId="81">
    <w:name w:val="font5"/>
    <w:basedOn w:val="1"/>
    <w:qFormat/>
    <w:uiPriority w:val="99"/>
    <w:pPr>
      <w:widowControl/>
      <w:spacing w:before="100" w:beforeAutospacing="1" w:after="100" w:afterAutospacing="1"/>
      <w:jc w:val="left"/>
    </w:pPr>
    <w:rPr>
      <w:rFonts w:ascii="宋体" w:hAnsi="宋体"/>
      <w:kern w:val="0"/>
      <w:sz w:val="18"/>
      <w:szCs w:val="18"/>
    </w:rPr>
  </w:style>
  <w:style w:type="paragraph" w:customStyle="1" w:styleId="82">
    <w:name w:val="xl48"/>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b/>
      <w:bCs/>
      <w:kern w:val="0"/>
      <w:sz w:val="20"/>
    </w:rPr>
  </w:style>
  <w:style w:type="paragraph" w:customStyle="1" w:styleId="83">
    <w:name w:val="Table Description"/>
    <w:basedOn w:val="1"/>
    <w:next w:val="1"/>
    <w:qFormat/>
    <w:uiPriority w:val="99"/>
    <w:pPr>
      <w:keepNext/>
      <w:widowControl/>
      <w:topLinePunct/>
      <w:adjustRightInd w:val="0"/>
      <w:snapToGrid w:val="0"/>
      <w:spacing w:before="320" w:after="80" w:line="240" w:lineRule="atLeast"/>
      <w:ind w:left="1701"/>
      <w:jc w:val="left"/>
      <w:outlineLvl w:val="7"/>
    </w:pPr>
    <w:rPr>
      <w:rFonts w:eastAsia="黑体" w:cs="Arial"/>
      <w:spacing w:val="-4"/>
      <w:szCs w:val="21"/>
    </w:rPr>
  </w:style>
  <w:style w:type="paragraph" w:customStyle="1" w:styleId="84">
    <w:name w:val="xl63"/>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b/>
      <w:bCs/>
      <w:kern w:val="0"/>
      <w:sz w:val="20"/>
    </w:rPr>
  </w:style>
  <w:style w:type="paragraph" w:customStyle="1" w:styleId="85">
    <w:name w:val="列出段落1"/>
    <w:basedOn w:val="1"/>
    <w:qFormat/>
    <w:uiPriority w:val="99"/>
    <w:pPr>
      <w:ind w:firstLine="420" w:firstLineChars="200"/>
    </w:pPr>
  </w:style>
  <w:style w:type="paragraph" w:customStyle="1" w:styleId="86">
    <w:name w:val="xl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87">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88">
    <w:name w:val="文件标题"/>
    <w:basedOn w:val="1"/>
    <w:qFormat/>
    <w:uiPriority w:val="99"/>
    <w:pPr>
      <w:overflowPunct w:val="0"/>
      <w:autoSpaceDE w:val="0"/>
      <w:autoSpaceDN w:val="0"/>
      <w:adjustRightInd w:val="0"/>
      <w:snapToGrid w:val="0"/>
      <w:spacing w:line="640" w:lineRule="exact"/>
      <w:jc w:val="center"/>
    </w:pPr>
    <w:rPr>
      <w:rFonts w:ascii="宋体" w:hAnsi="宋体" w:eastAsia="方正小标宋_GBK" w:cs="宋体"/>
      <w:kern w:val="0"/>
      <w:sz w:val="44"/>
      <w:szCs w:val="44"/>
    </w:rPr>
  </w:style>
  <w:style w:type="paragraph" w:customStyle="1" w:styleId="89">
    <w:name w:val="文档正文"/>
    <w:basedOn w:val="1"/>
    <w:qFormat/>
    <w:uiPriority w:val="99"/>
    <w:pPr>
      <w:adjustRightInd w:val="0"/>
      <w:spacing w:line="312" w:lineRule="atLeast"/>
      <w:ind w:firstLine="567"/>
    </w:pPr>
    <w:rPr>
      <w:rFonts w:ascii="长城仿宋" w:eastAsia="长城仿宋"/>
      <w:kern w:val="0"/>
      <w:sz w:val="28"/>
    </w:rPr>
  </w:style>
  <w:style w:type="paragraph" w:customStyle="1" w:styleId="90">
    <w:name w:val="xl3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楷体_GB2312" w:hAnsi="宋体" w:eastAsia="楷体_GB2312"/>
      <w:b/>
      <w:bCs/>
      <w:kern w:val="0"/>
      <w:sz w:val="24"/>
      <w:szCs w:val="24"/>
    </w:rPr>
  </w:style>
  <w:style w:type="paragraph" w:customStyle="1" w:styleId="91">
    <w:name w:val="font8"/>
    <w:basedOn w:val="1"/>
    <w:qFormat/>
    <w:uiPriority w:val="99"/>
    <w:pPr>
      <w:widowControl/>
      <w:spacing w:before="100" w:beforeAutospacing="1" w:after="100" w:afterAutospacing="1"/>
      <w:jc w:val="left"/>
    </w:pPr>
    <w:rPr>
      <w:rFonts w:ascii="宋体" w:hAnsi="宋体"/>
      <w:b/>
      <w:bCs/>
      <w:i/>
      <w:iCs/>
      <w:kern w:val="0"/>
      <w:sz w:val="20"/>
    </w:rPr>
  </w:style>
  <w:style w:type="paragraph" w:customStyle="1" w:styleId="92">
    <w:name w:val="Figure Description"/>
    <w:next w:val="1"/>
    <w:qFormat/>
    <w:uiPriority w:val="99"/>
    <w:pPr>
      <w:keepNext/>
      <w:adjustRightInd w:val="0"/>
      <w:snapToGrid w:val="0"/>
      <w:spacing w:before="320" w:after="80" w:line="240" w:lineRule="atLeast"/>
      <w:ind w:left="1701"/>
      <w:outlineLvl w:val="7"/>
    </w:pPr>
    <w:rPr>
      <w:rFonts w:ascii="Times New Roman" w:hAnsi="Times New Roman" w:eastAsia="黑体" w:cs="Arial"/>
      <w:spacing w:val="-4"/>
      <w:kern w:val="2"/>
      <w:sz w:val="21"/>
      <w:szCs w:val="21"/>
      <w:lang w:val="en-US" w:eastAsia="zh-CN" w:bidi="ar-SA"/>
    </w:rPr>
  </w:style>
  <w:style w:type="paragraph" w:customStyle="1" w:styleId="93">
    <w:name w:val="_标题 2"/>
    <w:basedOn w:val="5"/>
    <w:next w:val="57"/>
    <w:qFormat/>
    <w:uiPriority w:val="99"/>
    <w:pPr>
      <w:keepLines/>
      <w:widowControl/>
      <w:spacing w:before="260" w:after="260"/>
      <w:ind w:left="465" w:hanging="465"/>
      <w:jc w:val="left"/>
    </w:pPr>
    <w:rPr>
      <w:rFonts w:ascii="微软雅黑" w:hAnsi="微软雅黑"/>
      <w:sz w:val="21"/>
    </w:rPr>
  </w:style>
  <w:style w:type="paragraph" w:customStyle="1" w:styleId="94">
    <w:name w:val="Block Label"/>
    <w:basedOn w:val="1"/>
    <w:next w:val="1"/>
    <w:qFormat/>
    <w:uiPriority w:val="99"/>
    <w:pPr>
      <w:keepNext/>
      <w:keepLines/>
      <w:widowControl/>
      <w:topLinePunct/>
      <w:adjustRightInd w:val="0"/>
      <w:snapToGrid w:val="0"/>
      <w:spacing w:before="300" w:after="80" w:line="240" w:lineRule="atLeast"/>
      <w:jc w:val="left"/>
      <w:outlineLvl w:val="4"/>
    </w:pPr>
    <w:rPr>
      <w:rFonts w:ascii="Book Antiqua" w:hAnsi="Book Antiqua" w:eastAsia="黑体" w:cs="Book Antiqua"/>
      <w:bCs/>
      <w:kern w:val="0"/>
      <w:sz w:val="26"/>
      <w:szCs w:val="26"/>
    </w:rPr>
  </w:style>
  <w:style w:type="paragraph" w:customStyle="1" w:styleId="95">
    <w:name w:val="_标题 4"/>
    <w:basedOn w:val="7"/>
    <w:next w:val="57"/>
    <w:qFormat/>
    <w:uiPriority w:val="99"/>
    <w:pPr>
      <w:keepLines/>
      <w:widowControl/>
      <w:spacing w:before="260" w:after="260" w:line="376" w:lineRule="auto"/>
      <w:ind w:firstLine="283" w:firstLineChars="135"/>
      <w:jc w:val="left"/>
    </w:pPr>
    <w:rPr>
      <w:rFonts w:ascii="微软雅黑" w:hAnsi="微软雅黑"/>
      <w:color w:val="000000"/>
      <w:sz w:val="20"/>
      <w:szCs w:val="21"/>
    </w:rPr>
  </w:style>
  <w:style w:type="paragraph" w:customStyle="1" w:styleId="96">
    <w:name w:val="Char Char Char Char"/>
    <w:basedOn w:val="10"/>
    <w:qFormat/>
    <w:uiPriority w:val="99"/>
    <w:pPr>
      <w:adjustRightInd w:val="0"/>
      <w:snapToGrid w:val="0"/>
      <w:spacing w:line="360" w:lineRule="auto"/>
    </w:pPr>
    <w:rPr>
      <w:rFonts w:ascii="Tahoma" w:hAnsi="Tahoma"/>
      <w:sz w:val="24"/>
      <w:szCs w:val="24"/>
    </w:rPr>
  </w:style>
  <w:style w:type="paragraph" w:customStyle="1" w:styleId="97">
    <w:name w:val="xl58"/>
    <w:basedOn w:val="1"/>
    <w:qFormat/>
    <w:uiPriority w:val="99"/>
    <w:pPr>
      <w:widowControl/>
      <w:pBdr>
        <w:left w:val="single" w:color="auto" w:sz="4" w:space="0"/>
        <w:right w:val="single" w:color="auto" w:sz="4" w:space="0"/>
      </w:pBdr>
      <w:spacing w:before="100" w:beforeAutospacing="1" w:after="100" w:afterAutospacing="1"/>
      <w:jc w:val="center"/>
    </w:pPr>
    <w:rPr>
      <w:b/>
      <w:bCs/>
      <w:i/>
      <w:iCs/>
      <w:kern w:val="0"/>
      <w:sz w:val="20"/>
    </w:rPr>
  </w:style>
  <w:style w:type="paragraph" w:customStyle="1" w:styleId="98">
    <w:name w:val="xl60"/>
    <w:basedOn w:val="1"/>
    <w:qFormat/>
    <w:uiPriority w:val="99"/>
    <w:pPr>
      <w:widowControl/>
      <w:pBdr>
        <w:top w:val="single" w:color="auto" w:sz="4" w:space="0"/>
        <w:left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99">
    <w:name w:val="xl49"/>
    <w:basedOn w:val="1"/>
    <w:qFormat/>
    <w:uiPriority w:val="99"/>
    <w:pPr>
      <w:widowControl/>
      <w:pBdr>
        <w:left w:val="single" w:color="auto" w:sz="4" w:space="0"/>
        <w:right w:val="single" w:color="auto" w:sz="4" w:space="0"/>
      </w:pBdr>
      <w:spacing w:before="100" w:beforeAutospacing="1" w:after="100" w:afterAutospacing="1"/>
      <w:jc w:val="center"/>
    </w:pPr>
    <w:rPr>
      <w:b/>
      <w:bCs/>
      <w:kern w:val="0"/>
      <w:sz w:val="20"/>
    </w:rPr>
  </w:style>
  <w:style w:type="paragraph" w:customStyle="1" w:styleId="100">
    <w:name w:val="默认段落字体 Para Char"/>
    <w:basedOn w:val="1"/>
    <w:qFormat/>
    <w:uiPriority w:val="99"/>
    <w:pPr>
      <w:tabs>
        <w:tab w:val="left" w:pos="552"/>
      </w:tabs>
      <w:ind w:left="552" w:hanging="420"/>
    </w:pPr>
    <w:rPr>
      <w:sz w:val="24"/>
      <w:szCs w:val="24"/>
    </w:rPr>
  </w:style>
  <w:style w:type="paragraph" w:customStyle="1" w:styleId="101">
    <w:name w:val="xl52"/>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2">
    <w:name w:val="xl55"/>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kern w:val="0"/>
      <w:sz w:val="20"/>
    </w:rPr>
  </w:style>
  <w:style w:type="paragraph" w:customStyle="1" w:styleId="103">
    <w:name w:val="xl61"/>
    <w:basedOn w:val="1"/>
    <w:qFormat/>
    <w:uiPriority w:val="99"/>
    <w:pPr>
      <w:widowControl/>
      <w:pBdr>
        <w:top w:val="single" w:color="auto" w:sz="4" w:space="0"/>
        <w:bottom w:val="single" w:color="auto" w:sz="4" w:space="0"/>
      </w:pBdr>
      <w:shd w:val="clear" w:color="auto" w:fill="969696"/>
      <w:spacing w:before="100" w:beforeAutospacing="1" w:after="100" w:afterAutospacing="1"/>
      <w:jc w:val="center"/>
    </w:pPr>
    <w:rPr>
      <w:b/>
      <w:bCs/>
      <w:i/>
      <w:iCs/>
      <w:kern w:val="0"/>
      <w:sz w:val="20"/>
    </w:rPr>
  </w:style>
  <w:style w:type="paragraph" w:customStyle="1" w:styleId="104">
    <w:name w:val="xl3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05">
    <w:name w:val="xl57"/>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b/>
      <w:bCs/>
      <w:i/>
      <w:iCs/>
      <w:kern w:val="0"/>
      <w:sz w:val="20"/>
    </w:rPr>
  </w:style>
  <w:style w:type="paragraph" w:customStyle="1" w:styleId="106">
    <w:name w:val="xl47"/>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107">
    <w:name w:val="xl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i/>
      <w:iCs/>
      <w:kern w:val="0"/>
      <w:sz w:val="20"/>
    </w:rPr>
  </w:style>
  <w:style w:type="paragraph" w:customStyle="1" w:styleId="108">
    <w:name w:val="xl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09">
    <w:name w:val="xl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kern w:val="0"/>
      <w:sz w:val="20"/>
    </w:rPr>
  </w:style>
  <w:style w:type="paragraph" w:customStyle="1" w:styleId="110">
    <w:name w:val="font6"/>
    <w:basedOn w:val="1"/>
    <w:qFormat/>
    <w:uiPriority w:val="99"/>
    <w:pPr>
      <w:widowControl/>
      <w:spacing w:before="100" w:beforeAutospacing="1" w:after="100" w:afterAutospacing="1"/>
      <w:jc w:val="left"/>
    </w:pPr>
    <w:rPr>
      <w:rFonts w:ascii="宋体" w:hAnsi="宋体"/>
      <w:b/>
      <w:bCs/>
      <w:kern w:val="0"/>
      <w:sz w:val="20"/>
    </w:rPr>
  </w:style>
  <w:style w:type="paragraph" w:customStyle="1" w:styleId="111">
    <w:name w:val="主送"/>
    <w:basedOn w:val="1"/>
    <w:next w:val="1"/>
    <w:qFormat/>
    <w:uiPriority w:val="99"/>
    <w:pPr>
      <w:overflowPunct w:val="0"/>
      <w:autoSpaceDE w:val="0"/>
      <w:autoSpaceDN w:val="0"/>
      <w:adjustRightInd w:val="0"/>
      <w:snapToGrid w:val="0"/>
      <w:spacing w:line="336" w:lineRule="auto"/>
    </w:pPr>
    <w:rPr>
      <w:rFonts w:ascii="仿宋_GB2312" w:hAnsi="Times" w:eastAsia="仿宋_GB2312" w:cs="仿宋_GB2312"/>
      <w:sz w:val="32"/>
      <w:szCs w:val="32"/>
    </w:rPr>
  </w:style>
  <w:style w:type="paragraph" w:customStyle="1" w:styleId="112">
    <w:name w:val="_Style 22"/>
    <w:basedOn w:val="1"/>
    <w:qFormat/>
    <w:uiPriority w:val="99"/>
    <w:pPr>
      <w:adjustRightInd w:val="0"/>
      <w:snapToGrid w:val="0"/>
      <w:spacing w:line="300" w:lineRule="auto"/>
      <w:ind w:firstLine="200" w:firstLineChars="200"/>
    </w:pPr>
    <w:rPr>
      <w:rFonts w:ascii="宋体" w:hAnsi="Calibri" w:eastAsia="DengXian"/>
      <w:sz w:val="24"/>
      <w:szCs w:val="22"/>
    </w:rPr>
  </w:style>
  <w:style w:type="paragraph" w:customStyle="1" w:styleId="113">
    <w:name w:val="xl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14">
    <w:name w:val="Char Char1 Char Char Char Char"/>
    <w:basedOn w:val="10"/>
    <w:qFormat/>
    <w:uiPriority w:val="99"/>
    <w:pPr>
      <w:adjustRightInd w:val="0"/>
      <w:spacing w:line="436" w:lineRule="exact"/>
      <w:ind w:left="357"/>
      <w:jc w:val="left"/>
      <w:outlineLvl w:val="3"/>
    </w:pPr>
    <w:rPr>
      <w:rFonts w:ascii="Tahoma" w:hAnsi="Tahoma"/>
      <w:b/>
      <w:sz w:val="24"/>
      <w:szCs w:val="24"/>
    </w:rPr>
  </w:style>
  <w:style w:type="paragraph" w:customStyle="1" w:styleId="115">
    <w:name w:val="xl59"/>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b/>
      <w:bCs/>
      <w:i/>
      <w:iCs/>
      <w:kern w:val="0"/>
      <w:sz w:val="20"/>
    </w:rPr>
  </w:style>
  <w:style w:type="paragraph" w:customStyle="1" w:styleId="116">
    <w:name w:val="xl44"/>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17">
    <w:name w:val="font9"/>
    <w:basedOn w:val="1"/>
    <w:qFormat/>
    <w:uiPriority w:val="99"/>
    <w:pPr>
      <w:widowControl/>
      <w:spacing w:before="100" w:beforeAutospacing="1" w:after="100" w:afterAutospacing="1"/>
      <w:jc w:val="left"/>
    </w:pPr>
    <w:rPr>
      <w:b/>
      <w:bCs/>
      <w:kern w:val="0"/>
      <w:sz w:val="20"/>
    </w:rPr>
  </w:style>
  <w:style w:type="paragraph" w:customStyle="1" w:styleId="118">
    <w:name w:val="_Style 4"/>
    <w:qFormat/>
    <w:uiPriority w:val="99"/>
    <w:pPr>
      <w:widowControl w:val="0"/>
      <w:ind w:firstLine="420"/>
      <w:jc w:val="both"/>
    </w:pPr>
    <w:rPr>
      <w:rFonts w:ascii="Calibri" w:hAnsi="Calibri" w:eastAsia="宋体" w:cs="Calibri"/>
      <w:kern w:val="2"/>
      <w:sz w:val="21"/>
      <w:szCs w:val="21"/>
      <w:lang w:val="en-US" w:eastAsia="zh-CN" w:bidi="ar-SA"/>
    </w:rPr>
  </w:style>
  <w:style w:type="paragraph" w:customStyle="1" w:styleId="119">
    <w:name w:val="_Style 1"/>
    <w:basedOn w:val="1"/>
    <w:qFormat/>
    <w:uiPriority w:val="99"/>
    <w:pPr>
      <w:ind w:firstLine="420" w:firstLineChars="200"/>
    </w:pPr>
    <w:rPr>
      <w:szCs w:val="22"/>
    </w:rPr>
  </w:style>
  <w:style w:type="paragraph" w:customStyle="1" w:styleId="120">
    <w:name w:val="Body"/>
    <w:qFormat/>
    <w:uiPriority w:val="99"/>
    <w:pPr>
      <w:spacing w:before="130" w:after="130" w:line="260" w:lineRule="exact"/>
    </w:pPr>
    <w:rPr>
      <w:rFonts w:ascii="Univers" w:hAnsi="Univers" w:eastAsia="宋体" w:cs="Times New Roman"/>
      <w:color w:val="000000"/>
      <w:kern w:val="0"/>
      <w:sz w:val="22"/>
      <w:szCs w:val="20"/>
      <w:lang w:val="en-US" w:eastAsia="en-US" w:bidi="ar-SA"/>
    </w:rPr>
  </w:style>
  <w:style w:type="paragraph" w:customStyle="1" w:styleId="121">
    <w:name w:val="列出段落11"/>
    <w:basedOn w:val="1"/>
    <w:qFormat/>
    <w:uiPriority w:val="34"/>
    <w:pPr>
      <w:ind w:firstLine="420" w:firstLineChars="200"/>
    </w:pPr>
    <w:rPr>
      <w:kern w:val="0"/>
      <w:sz w:val="20"/>
    </w:rPr>
  </w:style>
  <w:style w:type="paragraph" w:customStyle="1" w:styleId="12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customStyle="1" w:styleId="123">
    <w:name w:val="xl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 w:val="20"/>
    </w:rPr>
  </w:style>
  <w:style w:type="paragraph" w:customStyle="1" w:styleId="124">
    <w:name w:val="font11"/>
    <w:basedOn w:val="1"/>
    <w:qFormat/>
    <w:uiPriority w:val="99"/>
    <w:pPr>
      <w:widowControl/>
      <w:spacing w:before="100" w:beforeAutospacing="1" w:after="100" w:afterAutospacing="1"/>
      <w:jc w:val="left"/>
    </w:pPr>
    <w:rPr>
      <w:b/>
      <w:bCs/>
      <w:kern w:val="0"/>
      <w:sz w:val="18"/>
      <w:szCs w:val="18"/>
    </w:rPr>
  </w:style>
  <w:style w:type="paragraph" w:customStyle="1" w:styleId="125">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26">
    <w:name w:val="Char1"/>
    <w:basedOn w:val="1"/>
    <w:qFormat/>
    <w:uiPriority w:val="99"/>
    <w:pPr>
      <w:widowControl/>
      <w:spacing w:after="160" w:line="240" w:lineRule="exact"/>
      <w:jc w:val="left"/>
    </w:pPr>
  </w:style>
  <w:style w:type="paragraph" w:customStyle="1" w:styleId="127">
    <w:name w:val="Item Step"/>
    <w:qFormat/>
    <w:uiPriority w:val="99"/>
    <w:pPr>
      <w:tabs>
        <w:tab w:val="left" w:pos="2126"/>
      </w:tabs>
      <w:adjustRightInd w:val="0"/>
      <w:snapToGrid w:val="0"/>
      <w:spacing w:before="80" w:after="80" w:line="240" w:lineRule="atLeast"/>
      <w:ind w:left="2126" w:hanging="425"/>
      <w:jc w:val="both"/>
      <w:outlineLvl w:val="6"/>
    </w:pPr>
    <w:rPr>
      <w:rFonts w:ascii="Times New Roman" w:hAnsi="Times New Roman" w:eastAsia="宋体" w:cs="Arial"/>
      <w:kern w:val="0"/>
      <w:sz w:val="21"/>
      <w:szCs w:val="21"/>
      <w:lang w:val="en-US" w:eastAsia="zh-CN" w:bidi="ar-SA"/>
    </w:rPr>
  </w:style>
  <w:style w:type="paragraph" w:customStyle="1" w:styleId="128">
    <w:name w:val="普通文字"/>
    <w:basedOn w:val="1"/>
    <w:next w:val="1"/>
    <w:qFormat/>
    <w:uiPriority w:val="99"/>
    <w:rPr>
      <w:rFonts w:ascii="宋体"/>
      <w:kern w:val="0"/>
      <w:sz w:val="24"/>
      <w:u w:color="000000"/>
    </w:rPr>
  </w:style>
  <w:style w:type="paragraph" w:customStyle="1" w:styleId="129">
    <w:name w:val="font12"/>
    <w:basedOn w:val="1"/>
    <w:qFormat/>
    <w:uiPriority w:val="99"/>
    <w:pPr>
      <w:widowControl/>
      <w:spacing w:before="100" w:beforeAutospacing="1" w:after="100" w:afterAutospacing="1"/>
      <w:jc w:val="left"/>
    </w:pPr>
    <w:rPr>
      <w:rFonts w:ascii="宋体" w:hAnsi="宋体"/>
      <w:kern w:val="0"/>
      <w:sz w:val="36"/>
      <w:szCs w:val="36"/>
    </w:rPr>
  </w:style>
  <w:style w:type="paragraph" w:customStyle="1" w:styleId="130">
    <w:name w:val="xl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b/>
      <w:bCs/>
      <w:i/>
      <w:iCs/>
      <w:kern w:val="0"/>
      <w:sz w:val="20"/>
    </w:rPr>
  </w:style>
  <w:style w:type="paragraph" w:customStyle="1" w:styleId="131">
    <w:name w:val="_标题 1"/>
    <w:basedOn w:val="1"/>
    <w:next w:val="57"/>
    <w:qFormat/>
    <w:uiPriority w:val="99"/>
    <w:pPr>
      <w:keepNext/>
      <w:keepLines/>
      <w:pageBreakBefore/>
      <w:widowControl/>
      <w:spacing w:before="340" w:after="330"/>
      <w:ind w:left="465"/>
      <w:jc w:val="center"/>
      <w:outlineLvl w:val="0"/>
    </w:pPr>
    <w:rPr>
      <w:rFonts w:ascii="微软雅黑" w:hAnsi="微软雅黑"/>
      <w:b/>
      <w:bCs/>
      <w:kern w:val="44"/>
      <w:sz w:val="32"/>
      <w:szCs w:val="28"/>
    </w:rPr>
  </w:style>
  <w:style w:type="paragraph" w:customStyle="1" w:styleId="132">
    <w:name w:val="_标题 3"/>
    <w:basedOn w:val="6"/>
    <w:next w:val="57"/>
    <w:qFormat/>
    <w:uiPriority w:val="99"/>
    <w:pPr>
      <w:keepLines/>
      <w:widowControl/>
      <w:spacing w:before="260" w:after="260"/>
      <w:ind w:left="720" w:hanging="720"/>
      <w:jc w:val="left"/>
    </w:pPr>
    <w:rPr>
      <w:rFonts w:ascii="微软雅黑" w:hAnsi="微软雅黑"/>
      <w:sz w:val="21"/>
      <w:szCs w:val="21"/>
    </w:rPr>
  </w:style>
  <w:style w:type="paragraph" w:customStyle="1" w:styleId="133">
    <w:name w:val="xl5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b/>
      <w:bCs/>
      <w:kern w:val="0"/>
      <w:sz w:val="20"/>
    </w:rPr>
  </w:style>
  <w:style w:type="paragraph" w:customStyle="1" w:styleId="134">
    <w:name w:val="Step"/>
    <w:basedOn w:val="1"/>
    <w:qFormat/>
    <w:uiPriority w:val="99"/>
    <w:pPr>
      <w:widowControl/>
      <w:tabs>
        <w:tab w:val="left" w:pos="1701"/>
      </w:tabs>
      <w:topLinePunct/>
      <w:adjustRightInd w:val="0"/>
      <w:snapToGrid w:val="0"/>
      <w:spacing w:before="160" w:after="160" w:line="240" w:lineRule="atLeast"/>
      <w:ind w:left="1701" w:hanging="159"/>
      <w:jc w:val="left"/>
      <w:outlineLvl w:val="5"/>
    </w:pPr>
    <w:rPr>
      <w:rFonts w:cs="Arial"/>
      <w:kern w:val="0"/>
      <w:szCs w:val="21"/>
    </w:rPr>
  </w:style>
  <w:style w:type="paragraph" w:customStyle="1" w:styleId="135">
    <w:name w:val="xl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i/>
      <w:iCs/>
      <w:kern w:val="0"/>
      <w:sz w:val="20"/>
    </w:rPr>
  </w:style>
  <w:style w:type="paragraph" w:customStyle="1" w:styleId="136">
    <w:name w:val="font14"/>
    <w:basedOn w:val="1"/>
    <w:qFormat/>
    <w:uiPriority w:val="99"/>
    <w:pPr>
      <w:widowControl/>
      <w:spacing w:before="100" w:beforeAutospacing="1" w:after="100" w:afterAutospacing="1"/>
      <w:jc w:val="left"/>
    </w:pPr>
    <w:rPr>
      <w:kern w:val="0"/>
      <w:sz w:val="36"/>
      <w:szCs w:val="36"/>
    </w:rPr>
  </w:style>
  <w:style w:type="paragraph" w:customStyle="1" w:styleId="137">
    <w:name w:val="彩色列表 - 着色 11"/>
    <w:basedOn w:val="1"/>
    <w:qFormat/>
    <w:uiPriority w:val="34"/>
    <w:pPr>
      <w:ind w:firstLine="420" w:firstLineChars="200"/>
    </w:pPr>
    <w:rPr>
      <w:szCs w:val="24"/>
    </w:rPr>
  </w:style>
  <w:style w:type="paragraph" w:customStyle="1" w:styleId="138">
    <w:name w:val="font10"/>
    <w:basedOn w:val="1"/>
    <w:qFormat/>
    <w:uiPriority w:val="99"/>
    <w:pPr>
      <w:widowControl/>
      <w:spacing w:before="100" w:beforeAutospacing="1" w:after="100" w:afterAutospacing="1"/>
      <w:jc w:val="left"/>
    </w:pPr>
    <w:rPr>
      <w:rFonts w:ascii="楷体_GB2312" w:hAnsi="宋体" w:eastAsia="楷体_GB2312"/>
      <w:b/>
      <w:bCs/>
      <w:kern w:val="0"/>
      <w:sz w:val="18"/>
      <w:szCs w:val="18"/>
    </w:rPr>
  </w:style>
  <w:style w:type="paragraph" w:customStyle="1" w:styleId="139">
    <w:name w:val="正文 A"/>
    <w:qFormat/>
    <w:uiPriority w:val="99"/>
    <w:pPr>
      <w:widowControl w:val="0"/>
      <w:jc w:val="both"/>
    </w:pPr>
    <w:rPr>
      <w:rFonts w:ascii="Times New Roman" w:hAnsi="Times New Roman" w:eastAsia="Arial Unicode MS" w:cs="Arial Unicode MS"/>
      <w:color w:val="000000"/>
      <w:kern w:val="2"/>
      <w:sz w:val="21"/>
      <w:szCs w:val="21"/>
      <w:lang w:val="en-US" w:eastAsia="zh-CN" w:bidi="ar-SA"/>
    </w:rPr>
  </w:style>
  <w:style w:type="paragraph" w:customStyle="1" w:styleId="140">
    <w:name w:val="Char1 Char Char Char"/>
    <w:basedOn w:val="1"/>
    <w:qFormat/>
    <w:uiPriority w:val="99"/>
    <w:rPr>
      <w:rFonts w:ascii="Tahoma" w:hAnsi="Tahoma"/>
      <w:sz w:val="24"/>
    </w:rPr>
  </w:style>
  <w:style w:type="paragraph" w:customStyle="1" w:styleId="141">
    <w:name w:val="纯文本1"/>
    <w:basedOn w:val="1"/>
    <w:qFormat/>
    <w:uiPriority w:val="99"/>
    <w:pPr>
      <w:adjustRightInd w:val="0"/>
    </w:pPr>
    <w:rPr>
      <w:rFonts w:ascii="宋体" w:hAnsi="Courier New" w:eastAsia="楷体_GB2312"/>
      <w:sz w:val="26"/>
    </w:rPr>
  </w:style>
  <w:style w:type="paragraph" w:customStyle="1" w:styleId="142">
    <w:name w:val="样式 小四 段前: 5 磅 段后: 5 磅 首行缩进:  2 字符"/>
    <w:basedOn w:val="1"/>
    <w:qFormat/>
    <w:uiPriority w:val="99"/>
    <w:pPr>
      <w:spacing w:line="360" w:lineRule="auto"/>
    </w:pPr>
    <w:rPr>
      <w:rFonts w:ascii="宋体" w:hAnsi="宋体"/>
      <w:szCs w:val="21"/>
    </w:rPr>
  </w:style>
  <w:style w:type="character" w:customStyle="1" w:styleId="143">
    <w:name w:val="style21"/>
    <w:qFormat/>
    <w:uiPriority w:val="99"/>
    <w:rPr>
      <w:sz w:val="22"/>
      <w:szCs w:val="22"/>
    </w:rPr>
  </w:style>
  <w:style w:type="character" w:customStyle="1" w:styleId="144">
    <w:name w:val="列出段落 字符"/>
    <w:qFormat/>
    <w:locked/>
    <w:uiPriority w:val="34"/>
    <w:rPr>
      <w:kern w:val="2"/>
      <w:sz w:val="21"/>
    </w:rPr>
  </w:style>
  <w:style w:type="character" w:customStyle="1" w:styleId="145">
    <w:name w:val="访问过的超链接1"/>
    <w:qFormat/>
    <w:uiPriority w:val="0"/>
    <w:rPr>
      <w:color w:val="auto"/>
      <w:u w:val="none"/>
    </w:rPr>
  </w:style>
  <w:style w:type="character" w:customStyle="1" w:styleId="146">
    <w:name w:val="case31"/>
    <w:qFormat/>
    <w:uiPriority w:val="0"/>
    <w:rPr>
      <w:rFonts w:hint="default" w:ascii="Times New Roman" w:hAnsi="Times New Roman" w:cs="Times New Roman"/>
      <w:spacing w:val="390"/>
      <w:sz w:val="21"/>
      <w:szCs w:val="21"/>
    </w:rPr>
  </w:style>
  <w:style w:type="character" w:customStyle="1" w:styleId="147">
    <w:name w:val="标题 Char1"/>
    <w:basedOn w:val="27"/>
    <w:qFormat/>
    <w:uiPriority w:val="10"/>
    <w:rPr>
      <w:rFonts w:hint="default" w:asciiTheme="majorHAnsi" w:hAnsiTheme="majorHAnsi" w:cstheme="majorBidi"/>
      <w:b/>
      <w:bCs/>
      <w:kern w:val="2"/>
      <w:sz w:val="32"/>
      <w:szCs w:val="32"/>
    </w:rPr>
  </w:style>
  <w:style w:type="character" w:customStyle="1" w:styleId="148">
    <w:name w:val="正文文本 2 Char1"/>
    <w:basedOn w:val="27"/>
    <w:semiHidden/>
    <w:qFormat/>
    <w:uiPriority w:val="99"/>
    <w:rPr>
      <w:kern w:val="2"/>
      <w:sz w:val="21"/>
    </w:rPr>
  </w:style>
  <w:style w:type="character" w:customStyle="1" w:styleId="149">
    <w:name w:val="副标题 Char1"/>
    <w:basedOn w:val="27"/>
    <w:qFormat/>
    <w:uiPriority w:val="11"/>
    <w:rPr>
      <w:rFonts w:hint="default" w:asciiTheme="majorHAnsi" w:hAnsiTheme="majorHAnsi" w:cstheme="majorBidi"/>
      <w:b/>
      <w:bCs/>
      <w:kern w:val="28"/>
      <w:sz w:val="32"/>
      <w:szCs w:val="32"/>
    </w:rPr>
  </w:style>
  <w:style w:type="character" w:customStyle="1" w:styleId="150">
    <w:name w:val="批注文字 Char1"/>
    <w:basedOn w:val="27"/>
    <w:semiHidden/>
    <w:qFormat/>
    <w:uiPriority w:val="99"/>
    <w:rPr>
      <w:kern w:val="2"/>
      <w:sz w:val="21"/>
    </w:rPr>
  </w:style>
  <w:style w:type="character" w:customStyle="1" w:styleId="151">
    <w:name w:val="文档结构图 Char1"/>
    <w:basedOn w:val="27"/>
    <w:semiHidden/>
    <w:qFormat/>
    <w:uiPriority w:val="99"/>
    <w:rPr>
      <w:rFonts w:hint="eastAsia" w:ascii="宋体" w:hAnsi="宋体" w:eastAsia="宋体"/>
      <w:kern w:val="2"/>
      <w:sz w:val="18"/>
      <w:szCs w:val="18"/>
    </w:rPr>
  </w:style>
  <w:style w:type="character" w:customStyle="1" w:styleId="152">
    <w:name w:val="页眉 Char1"/>
    <w:basedOn w:val="27"/>
    <w:semiHidden/>
    <w:qFormat/>
    <w:uiPriority w:val="99"/>
    <w:rPr>
      <w:kern w:val="2"/>
      <w:sz w:val="18"/>
      <w:szCs w:val="18"/>
    </w:rPr>
  </w:style>
  <w:style w:type="character" w:customStyle="1" w:styleId="153">
    <w:name w:val="批注框文本 Char1"/>
    <w:basedOn w:val="27"/>
    <w:semiHidden/>
    <w:qFormat/>
    <w:uiPriority w:val="99"/>
    <w:rPr>
      <w:kern w:val="2"/>
      <w:sz w:val="18"/>
      <w:szCs w:val="18"/>
    </w:rPr>
  </w:style>
  <w:style w:type="character" w:customStyle="1" w:styleId="154">
    <w:name w:val="正文文本缩进 3 Char1"/>
    <w:basedOn w:val="27"/>
    <w:semiHidden/>
    <w:qFormat/>
    <w:uiPriority w:val="99"/>
    <w:rPr>
      <w:kern w:val="2"/>
      <w:sz w:val="16"/>
      <w:szCs w:val="16"/>
    </w:rPr>
  </w:style>
  <w:style w:type="character" w:customStyle="1" w:styleId="155">
    <w:name w:val="日期 Char1"/>
    <w:basedOn w:val="27"/>
    <w:semiHidden/>
    <w:qFormat/>
    <w:uiPriority w:val="99"/>
    <w:rPr>
      <w:kern w:val="2"/>
      <w:sz w:val="21"/>
    </w:rPr>
  </w:style>
  <w:style w:type="character" w:customStyle="1" w:styleId="156">
    <w:name w:val="正文文本 Char1"/>
    <w:basedOn w:val="27"/>
    <w:semiHidden/>
    <w:qFormat/>
    <w:uiPriority w:val="99"/>
    <w:rPr>
      <w:kern w:val="2"/>
      <w:sz w:val="21"/>
    </w:rPr>
  </w:style>
  <w:style w:type="character" w:customStyle="1" w:styleId="157">
    <w:name w:val="批注主题 Char1"/>
    <w:basedOn w:val="150"/>
    <w:semiHidden/>
    <w:qFormat/>
    <w:uiPriority w:val="99"/>
    <w:rPr>
      <w:b/>
      <w:bCs/>
      <w:kern w:val="2"/>
      <w:sz w:val="21"/>
    </w:rPr>
  </w:style>
  <w:style w:type="character" w:customStyle="1" w:styleId="158">
    <w:name w:val="页脚 Char1"/>
    <w:basedOn w:val="27"/>
    <w:semiHidden/>
    <w:qFormat/>
    <w:uiPriority w:val="99"/>
    <w:rPr>
      <w:kern w:val="2"/>
      <w:sz w:val="18"/>
      <w:szCs w:val="18"/>
    </w:rPr>
  </w:style>
  <w:style w:type="character" w:customStyle="1" w:styleId="159">
    <w:name w:val="正文文本缩进 2 Char1"/>
    <w:basedOn w:val="27"/>
    <w:semiHidden/>
    <w:qFormat/>
    <w:uiPriority w:val="99"/>
    <w:rPr>
      <w:kern w:val="2"/>
      <w:sz w:val="21"/>
    </w:rPr>
  </w:style>
  <w:style w:type="character" w:customStyle="1" w:styleId="160">
    <w:name w:val="正文文本缩进 Char1"/>
    <w:basedOn w:val="27"/>
    <w:semiHidden/>
    <w:qFormat/>
    <w:uiPriority w:val="99"/>
    <w:rPr>
      <w:kern w:val="2"/>
      <w:sz w:val="21"/>
    </w:rPr>
  </w:style>
  <w:style w:type="character" w:customStyle="1" w:styleId="161">
    <w:name w:val="正文文本 字符"/>
    <w:semiHidden/>
    <w:qFormat/>
    <w:locked/>
    <w:uiPriority w:val="0"/>
    <w:rPr>
      <w:rFonts w:hint="default" w:ascii="Times New Roman" w:hAnsi="Times New Roman" w:cs="Times New Roman"/>
      <w:sz w:val="20"/>
      <w:szCs w:val="20"/>
    </w:rPr>
  </w:style>
  <w:style w:type="character" w:customStyle="1" w:styleId="162">
    <w:name w:val="页脚 字符"/>
    <w:qFormat/>
    <w:locked/>
    <w:uiPriority w:val="99"/>
    <w:rPr>
      <w:rFonts w:hint="default" w:ascii="Times New Roman" w:hAnsi="Times New Roman" w:cs="Times New Roman"/>
      <w:sz w:val="18"/>
      <w:szCs w:val="18"/>
    </w:rPr>
  </w:style>
  <w:style w:type="character" w:customStyle="1" w:styleId="163">
    <w:name w:val="正文文本缩进 字符"/>
    <w:semiHidden/>
    <w:qFormat/>
    <w:locked/>
    <w:uiPriority w:val="0"/>
    <w:rPr>
      <w:rFonts w:hint="default" w:ascii="Times New Roman" w:hAnsi="Times New Roman" w:cs="Times New Roman"/>
      <w:sz w:val="20"/>
      <w:szCs w:val="20"/>
    </w:rPr>
  </w:style>
  <w:style w:type="character" w:customStyle="1" w:styleId="164">
    <w:name w:val="批注框文本 字符"/>
    <w:qFormat/>
    <w:uiPriority w:val="0"/>
    <w:rPr>
      <w:kern w:val="2"/>
      <w:sz w:val="18"/>
      <w:szCs w:val="18"/>
    </w:rPr>
  </w:style>
  <w:style w:type="character" w:customStyle="1" w:styleId="165">
    <w:name w:val="批注主题 字符"/>
    <w:semiHidden/>
    <w:qFormat/>
    <w:uiPriority w:val="99"/>
    <w:rPr>
      <w:b/>
      <w:bCs/>
      <w:kern w:val="2"/>
      <w:sz w:val="21"/>
    </w:rPr>
  </w:style>
  <w:style w:type="character" w:customStyle="1" w:styleId="166">
    <w:name w:val="正文文本缩进 2 字符"/>
    <w:semiHidden/>
    <w:qFormat/>
    <w:locked/>
    <w:uiPriority w:val="0"/>
    <w:rPr>
      <w:rFonts w:hint="default" w:ascii="Times New Roman" w:hAnsi="Times New Roman" w:cs="Times New Roman"/>
      <w:sz w:val="20"/>
      <w:szCs w:val="20"/>
    </w:rPr>
  </w:style>
  <w:style w:type="character" w:customStyle="1" w:styleId="167">
    <w:name w:val="正文文本 2 字符"/>
    <w:semiHidden/>
    <w:qFormat/>
    <w:locked/>
    <w:uiPriority w:val="0"/>
    <w:rPr>
      <w:rFonts w:hint="default" w:ascii="Times New Roman" w:hAnsi="Times New Roman" w:cs="Times New Roman"/>
      <w:sz w:val="20"/>
      <w:szCs w:val="20"/>
    </w:rPr>
  </w:style>
  <w:style w:type="character" w:customStyle="1" w:styleId="168">
    <w:name w:val="正文文本缩进 3 字符"/>
    <w:semiHidden/>
    <w:qFormat/>
    <w:locked/>
    <w:uiPriority w:val="0"/>
    <w:rPr>
      <w:rFonts w:hint="default" w:ascii="Times New Roman" w:hAnsi="Times New Roman" w:cs="Times New Roman"/>
      <w:sz w:val="16"/>
      <w:szCs w:val="16"/>
    </w:rPr>
  </w:style>
  <w:style w:type="character" w:customStyle="1" w:styleId="169">
    <w:name w:val="标题 字符"/>
    <w:qFormat/>
    <w:uiPriority w:val="99"/>
    <w:rPr>
      <w:rFonts w:hint="default" w:ascii="Cambria" w:hAnsi="Cambria" w:cs="Cambria"/>
      <w:b/>
      <w:bCs/>
      <w:kern w:val="2"/>
      <w:sz w:val="32"/>
      <w:szCs w:val="32"/>
    </w:rPr>
  </w:style>
  <w:style w:type="character" w:customStyle="1" w:styleId="170">
    <w:name w:val="文档结构图 字符"/>
    <w:semiHidden/>
    <w:qFormat/>
    <w:locked/>
    <w:uiPriority w:val="0"/>
    <w:rPr>
      <w:rFonts w:hint="default" w:ascii="Times New Roman" w:hAnsi="Times New Roman" w:cs="Times New Roman"/>
      <w:sz w:val="2"/>
    </w:rPr>
  </w:style>
  <w:style w:type="character" w:customStyle="1" w:styleId="171">
    <w:name w:val="日期 字符"/>
    <w:semiHidden/>
    <w:qFormat/>
    <w:locked/>
    <w:uiPriority w:val="0"/>
    <w:rPr>
      <w:rFonts w:hint="default" w:ascii="Times New Roman" w:hAnsi="Times New Roman" w:cs="Times New Roman"/>
      <w:sz w:val="20"/>
      <w:szCs w:val="20"/>
    </w:rPr>
  </w:style>
  <w:style w:type="character" w:customStyle="1" w:styleId="172">
    <w:name w:val="标题 2 字符"/>
    <w:semiHidden/>
    <w:qFormat/>
    <w:locked/>
    <w:uiPriority w:val="0"/>
    <w:rPr>
      <w:rFonts w:hint="default" w:ascii="Cambria" w:hAnsi="Cambria" w:eastAsia="宋体" w:cs="Times New Roman"/>
      <w:b/>
      <w:bCs/>
      <w:sz w:val="32"/>
      <w:szCs w:val="32"/>
    </w:rPr>
  </w:style>
  <w:style w:type="character" w:customStyle="1" w:styleId="173">
    <w:name w:val="副标题 字符"/>
    <w:qFormat/>
    <w:uiPriority w:val="11"/>
    <w:rPr>
      <w:rFonts w:hint="default" w:ascii="Calibri Light" w:hAnsi="Calibri Light" w:cs="Calibri Light"/>
      <w:b/>
      <w:bCs/>
      <w:kern w:val="28"/>
      <w:sz w:val="32"/>
      <w:szCs w:val="32"/>
    </w:rPr>
  </w:style>
  <w:style w:type="character" w:customStyle="1" w:styleId="174">
    <w:name w:val="标题 4 字符"/>
    <w:semiHidden/>
    <w:qFormat/>
    <w:locked/>
    <w:uiPriority w:val="0"/>
    <w:rPr>
      <w:rFonts w:hint="default" w:ascii="Cambria" w:hAnsi="Cambria" w:eastAsia="宋体" w:cs="Times New Roman"/>
      <w:b/>
      <w:bCs/>
      <w:sz w:val="28"/>
      <w:szCs w:val="28"/>
    </w:rPr>
  </w:style>
  <w:style w:type="character" w:customStyle="1" w:styleId="175">
    <w:name w:val="标题 1 字符"/>
    <w:qFormat/>
    <w:locked/>
    <w:uiPriority w:val="0"/>
    <w:rPr>
      <w:rFonts w:hint="default" w:ascii="Times New Roman" w:hAnsi="Times New Roman" w:cs="Times New Roman"/>
      <w:b/>
      <w:bCs/>
      <w:kern w:val="44"/>
      <w:sz w:val="44"/>
      <w:szCs w:val="44"/>
    </w:rPr>
  </w:style>
  <w:style w:type="character" w:customStyle="1" w:styleId="176">
    <w:name w:val="标题 3 字符"/>
    <w:semiHidden/>
    <w:qFormat/>
    <w:locked/>
    <w:uiPriority w:val="0"/>
    <w:rPr>
      <w:rFonts w:hint="default" w:ascii="Times New Roman" w:hAnsi="Times New Roman" w:cs="Times New Roman"/>
      <w:b/>
      <w:bCs/>
      <w:sz w:val="32"/>
      <w:szCs w:val="32"/>
    </w:rPr>
  </w:style>
  <w:style w:type="character" w:customStyle="1" w:styleId="177">
    <w:name w:val="列出段落 字符1"/>
    <w:qFormat/>
    <w:locked/>
    <w:uiPriority w:val="34"/>
    <w:rPr>
      <w:kern w:val="2"/>
      <w:sz w:val="21"/>
    </w:rPr>
  </w:style>
  <w:style w:type="character" w:customStyle="1" w:styleId="178">
    <w:name w:val="标题 5 字符"/>
    <w:qFormat/>
    <w:locked/>
    <w:uiPriority w:val="0"/>
    <w:rPr>
      <w:rFonts w:hint="eastAsia" w:ascii="楷体_GB2312" w:eastAsia="楷体_GB2312"/>
      <w:bCs/>
      <w:kern w:val="2"/>
      <w:sz w:val="28"/>
    </w:rPr>
  </w:style>
  <w:style w:type="character" w:customStyle="1" w:styleId="179">
    <w:name w:val="页眉 字符"/>
    <w:qFormat/>
    <w:locked/>
    <w:uiPriority w:val="99"/>
    <w:rPr>
      <w:rFonts w:hint="default" w:ascii="Times New Roman" w:hAnsi="Times New Roman" w:cs="Times New Roman"/>
      <w:sz w:val="18"/>
      <w:szCs w:val="18"/>
    </w:rPr>
  </w:style>
  <w:style w:type="character" w:customStyle="1" w:styleId="180">
    <w:name w:val="批注文字 字符"/>
    <w:semiHidden/>
    <w:qFormat/>
    <w:uiPriority w:val="99"/>
    <w:rPr>
      <w:kern w:val="2"/>
      <w:sz w:val="21"/>
    </w:rPr>
  </w:style>
  <w:style w:type="paragraph" w:customStyle="1" w:styleId="181">
    <w:name w:val="p0"/>
    <w:basedOn w:val="1"/>
    <w:qFormat/>
    <w:uiPriority w:val="0"/>
    <w:pPr>
      <w:widowControl/>
      <w:spacing w:after="120" w:line="264" w:lineRule="auto"/>
      <w:jc w:val="left"/>
    </w:pPr>
    <w:rPr>
      <w:rFonts w:cs="Calibri"/>
      <w:szCs w:val="21"/>
    </w:rPr>
  </w:style>
  <w:style w:type="paragraph" w:customStyle="1" w:styleId="182">
    <w:name w:val="列表段落1"/>
    <w:qFormat/>
    <w:uiPriority w:val="0"/>
    <w:pPr>
      <w:widowControl w:val="0"/>
      <w:ind w:firstLine="420" w:firstLine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775C18-C224-4F90-A328-5ABAE53FA9F8}">
  <ds:schemaRefs/>
</ds:datastoreItem>
</file>

<file path=docProps/app.xml><?xml version="1.0" encoding="utf-8"?>
<Properties xmlns="http://schemas.openxmlformats.org/officeDocument/2006/extended-properties" xmlns:vt="http://schemas.openxmlformats.org/officeDocument/2006/docPropsVTypes">
  <Template>Normal</Template>
  <Pages>45</Pages>
  <Words>30732</Words>
  <Characters>32612</Characters>
  <Lines>151</Lines>
  <Paragraphs>42</Paragraphs>
  <TotalTime>22</TotalTime>
  <ScaleCrop>false</ScaleCrop>
  <LinksUpToDate>false</LinksUpToDate>
  <CharactersWithSpaces>33508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2021-10-13T06:53:00Z</dcterms:created>
  <dc:creator>lenovo</dc:creator>
  <cp:lastModifiedBy>小王紙</cp:lastModifiedBy>
  <dcterms:modified xsi:type="dcterms:W3CDTF">2023-06-15T05:07:57Z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4B3C8652B6784C2B8599DA9FEED208F9_13</vt:lpwstr>
  </property>
</Properties>
</file>