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auto"/>
          <w:sz w:val="30"/>
        </w:rPr>
      </w:pPr>
    </w:p>
    <w:p>
      <w:pPr>
        <w:ind w:left="660"/>
        <w:rPr>
          <w:rFonts w:ascii="楷体_GB2312" w:eastAsia="楷体_GB2312"/>
          <w:bCs/>
          <w:color w:val="auto"/>
          <w:sz w:val="30"/>
        </w:rPr>
      </w:pPr>
    </w:p>
    <w:p>
      <w:pPr>
        <w:jc w:val="center"/>
        <w:rPr>
          <w:rFonts w:ascii="黑体" w:hAnsi="华文中宋" w:eastAsia="黑体"/>
          <w:bCs/>
          <w:color w:val="auto"/>
          <w:spacing w:val="20"/>
          <w:sz w:val="72"/>
          <w:szCs w:val="72"/>
        </w:rPr>
      </w:pPr>
      <w:r>
        <w:rPr>
          <w:rFonts w:hint="eastAsia" w:ascii="黑体" w:hAnsi="华文中宋" w:eastAsia="黑体"/>
          <w:bCs/>
          <w:color w:val="auto"/>
          <w:spacing w:val="20"/>
          <w:sz w:val="72"/>
          <w:szCs w:val="72"/>
        </w:rPr>
        <w:t>无锡市惠山区政府采购</w:t>
      </w:r>
    </w:p>
    <w:p>
      <w:pPr>
        <w:rPr>
          <w:rFonts w:ascii="华文中宋" w:hAnsi="华文中宋" w:eastAsia="华文中宋"/>
          <w:bCs/>
          <w:color w:val="auto"/>
          <w:sz w:val="30"/>
        </w:rPr>
      </w:pPr>
    </w:p>
    <w:p>
      <w:pPr>
        <w:rPr>
          <w:rFonts w:ascii="华文中宋" w:hAnsi="华文中宋" w:eastAsia="华文中宋"/>
          <w:bCs/>
          <w:color w:val="auto"/>
          <w:sz w:val="30"/>
        </w:rPr>
      </w:pPr>
    </w:p>
    <w:p>
      <w:pPr>
        <w:rPr>
          <w:rFonts w:ascii="华文中宋" w:hAnsi="华文中宋" w:eastAsia="华文中宋"/>
          <w:bCs/>
          <w:color w:val="auto"/>
          <w:sz w:val="30"/>
        </w:rPr>
      </w:pPr>
    </w:p>
    <w:p>
      <w:pPr>
        <w:jc w:val="center"/>
        <w:rPr>
          <w:rFonts w:ascii="黑体" w:hAnsi="华文中宋" w:eastAsia="黑体"/>
          <w:bCs/>
          <w:color w:val="auto"/>
          <w:spacing w:val="20"/>
          <w:w w:val="90"/>
          <w:sz w:val="48"/>
          <w:szCs w:val="48"/>
        </w:rPr>
      </w:pPr>
      <w:r>
        <w:rPr>
          <w:rFonts w:hint="eastAsia" w:ascii="黑体" w:hAnsi="华文中宋" w:eastAsia="黑体"/>
          <w:bCs/>
          <w:color w:val="auto"/>
          <w:spacing w:val="20"/>
          <w:w w:val="90"/>
          <w:sz w:val="48"/>
          <w:szCs w:val="48"/>
        </w:rPr>
        <w:t>公   开</w:t>
      </w:r>
    </w:p>
    <w:p>
      <w:pPr>
        <w:jc w:val="center"/>
        <w:rPr>
          <w:rFonts w:ascii="黑体" w:hAnsi="华文中宋" w:eastAsia="黑体"/>
          <w:bCs/>
          <w:color w:val="auto"/>
          <w:spacing w:val="20"/>
          <w:sz w:val="52"/>
          <w:szCs w:val="52"/>
        </w:rPr>
      </w:pPr>
      <w:r>
        <w:rPr>
          <w:color w:val="auto"/>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v3/rXAAAA&#10;CQEAAA8AAAAAAAAAAQAgAAAAIgAAAGRycy9kb3ducmV2LnhtbFBLAQIUABQAAAAIAIdO4kChckE3&#10;5QEAALQDAAAOAAAAAAAAAAEAIAAAACYBAABkcnMvZTJvRG9jLnhtbFBLBQYAAAAABgAGAFkBAAB9&#10;BQAAAAA=&#10;">
                <v:fill on="f" focussize="0,0"/>
                <v:stroke color="#000000" joinstyle="round"/>
                <v:imagedata o:title=""/>
                <o:lock v:ext="edit" aspectratio="f"/>
              </v:line>
            </w:pict>
          </mc:Fallback>
        </mc:AlternateContent>
      </w:r>
      <w:r>
        <w:rPr>
          <w:rFonts w:hint="eastAsia" w:ascii="黑体" w:hAnsi="华文中宋" w:eastAsia="黑体"/>
          <w:bCs/>
          <w:color w:val="auto"/>
          <w:spacing w:val="20"/>
          <w:sz w:val="52"/>
          <w:szCs w:val="52"/>
        </w:rPr>
        <w:t>招  标  文  件</w:t>
      </w:r>
    </w:p>
    <w:p>
      <w:pPr>
        <w:rPr>
          <w:rFonts w:ascii="华文中宋" w:hAnsi="华文中宋" w:eastAsia="华文中宋"/>
          <w:bCs/>
          <w:color w:val="auto"/>
          <w:sz w:val="30"/>
        </w:rPr>
      </w:pPr>
    </w:p>
    <w:p>
      <w:pPr>
        <w:tabs>
          <w:tab w:val="left" w:pos="9921"/>
        </w:tabs>
        <w:jc w:val="center"/>
        <w:rPr>
          <w:rFonts w:ascii="华文中宋" w:hAnsi="华文中宋" w:eastAsia="华文中宋"/>
          <w:bCs/>
          <w:color w:val="auto"/>
          <w:sz w:val="30"/>
        </w:rPr>
      </w:pPr>
      <w:r>
        <w:rPr>
          <w:rFonts w:hint="eastAsia" w:ascii="华文中宋" w:hAnsi="华文中宋" w:eastAsia="华文中宋"/>
          <w:bCs/>
          <w:color w:val="auto"/>
          <w:sz w:val="30"/>
        </w:rPr>
        <w:t>（全流程电子化）</w:t>
      </w:r>
    </w:p>
    <w:p>
      <w:pPr>
        <w:jc w:val="left"/>
        <w:rPr>
          <w:rFonts w:ascii="华文中宋" w:hAnsi="华文中宋" w:eastAsia="华文中宋"/>
          <w:bCs/>
          <w:color w:val="auto"/>
          <w:sz w:val="30"/>
        </w:rPr>
      </w:pPr>
    </w:p>
    <w:p>
      <w:pPr>
        <w:rPr>
          <w:rFonts w:hint="default" w:ascii="黑体" w:hAnsi="华文中宋" w:eastAsia="黑体"/>
          <w:bCs/>
          <w:color w:val="auto"/>
          <w:sz w:val="30"/>
          <w:szCs w:val="30"/>
          <w:lang w:val="en-US" w:eastAsia="zh-CN"/>
        </w:rPr>
      </w:pPr>
      <w:r>
        <w:rPr>
          <w:rFonts w:hint="eastAsia" w:ascii="黑体" w:hAnsi="华文中宋" w:eastAsia="黑体"/>
          <w:bCs/>
          <w:color w:val="auto"/>
          <w:sz w:val="30"/>
          <w:szCs w:val="30"/>
        </w:rPr>
        <w:t xml:space="preserve">          采购项目编号：HSCGZX(G)</w:t>
      </w:r>
      <w:r>
        <w:rPr>
          <w:rFonts w:hint="eastAsia" w:ascii="黑体" w:hAnsi="华文中宋" w:eastAsia="黑体"/>
          <w:bCs/>
          <w:color w:val="auto"/>
          <w:sz w:val="30"/>
          <w:szCs w:val="30"/>
          <w:lang w:val="en-US" w:eastAsia="zh-CN"/>
        </w:rPr>
        <w:t>20230062</w:t>
      </w:r>
    </w:p>
    <w:p>
      <w:pPr>
        <w:ind w:left="3891" w:leftChars="710" w:hanging="2400" w:hangingChars="800"/>
        <w:rPr>
          <w:rFonts w:hint="eastAsia" w:ascii="黑体" w:hAnsi="华文中宋" w:eastAsia="黑体"/>
          <w:bCs/>
          <w:color w:val="auto"/>
          <w:sz w:val="30"/>
          <w:szCs w:val="30"/>
          <w:lang w:eastAsia="zh-CN"/>
        </w:rPr>
      </w:pPr>
      <w:r>
        <w:rPr>
          <w:rFonts w:hint="eastAsia" w:ascii="黑体" w:hAnsi="华文中宋" w:eastAsia="黑体"/>
          <w:bCs/>
          <w:color w:val="auto"/>
          <w:sz w:val="30"/>
          <w:szCs w:val="30"/>
        </w:rPr>
        <w:t>采购项目名称：</w:t>
      </w:r>
      <w:r>
        <w:rPr>
          <w:rFonts w:hint="eastAsia" w:ascii="黑体" w:hAnsi="华文中宋" w:eastAsia="黑体"/>
          <w:bCs/>
          <w:color w:val="auto"/>
          <w:sz w:val="30"/>
          <w:szCs w:val="30"/>
          <w:lang w:eastAsia="zh-CN"/>
        </w:rPr>
        <w:t>无锡市惠山区交通运输局交通执法一体化综合</w:t>
      </w:r>
      <w:r>
        <w:rPr>
          <w:rFonts w:hint="eastAsia" w:ascii="黑体" w:hAnsi="华文中宋" w:eastAsia="黑体"/>
          <w:bCs/>
          <w:color w:val="auto"/>
          <w:sz w:val="30"/>
          <w:szCs w:val="30"/>
          <w:lang w:val="en-US" w:eastAsia="zh-CN"/>
        </w:rPr>
        <w:t xml:space="preserve"> </w:t>
      </w:r>
      <w:r>
        <w:rPr>
          <w:rFonts w:hint="eastAsia" w:ascii="黑体" w:hAnsi="华文中宋" w:eastAsia="黑体"/>
          <w:bCs/>
          <w:color w:val="auto"/>
          <w:sz w:val="30"/>
          <w:szCs w:val="30"/>
          <w:lang w:eastAsia="zh-CN"/>
        </w:rPr>
        <w:t>管理平台项目</w:t>
      </w:r>
    </w:p>
    <w:p>
      <w:pPr>
        <w:rPr>
          <w:rFonts w:ascii="黑体" w:hAnsi="华文中宋" w:eastAsia="黑体"/>
          <w:bCs/>
          <w:color w:val="auto"/>
          <w:sz w:val="30"/>
          <w:szCs w:val="30"/>
        </w:rPr>
      </w:pPr>
      <w:r>
        <w:rPr>
          <w:rFonts w:hint="eastAsia" w:ascii="黑体" w:hAnsi="华文中宋" w:eastAsia="黑体"/>
          <w:bCs/>
          <w:color w:val="auto"/>
          <w:sz w:val="30"/>
          <w:szCs w:val="30"/>
        </w:rPr>
        <w:t xml:space="preserve">          集中采购机构: 无锡市惠山区政府采购中心</w:t>
      </w:r>
    </w:p>
    <w:p>
      <w:pPr>
        <w:rPr>
          <w:rFonts w:ascii="华文中宋" w:hAnsi="华文中宋" w:eastAsia="华文中宋"/>
          <w:bCs/>
          <w:color w:val="auto"/>
          <w:sz w:val="32"/>
        </w:rPr>
      </w:pPr>
    </w:p>
    <w:p>
      <w:pPr>
        <w:rPr>
          <w:rFonts w:ascii="华文中宋" w:hAnsi="华文中宋" w:eastAsia="华文中宋"/>
          <w:bCs/>
          <w:color w:val="auto"/>
          <w:sz w:val="30"/>
        </w:rPr>
      </w:pPr>
    </w:p>
    <w:p>
      <w:pPr>
        <w:rPr>
          <w:rFonts w:ascii="华文中宋" w:hAnsi="华文中宋" w:eastAsia="华文中宋"/>
          <w:bCs/>
          <w:color w:val="auto"/>
          <w:sz w:val="30"/>
        </w:rPr>
      </w:pPr>
    </w:p>
    <w:p>
      <w:pPr>
        <w:rPr>
          <w:rFonts w:ascii="华文中宋" w:hAnsi="华文中宋" w:eastAsia="华文中宋"/>
          <w:bCs/>
          <w:color w:val="auto"/>
          <w:sz w:val="30"/>
        </w:rPr>
      </w:pPr>
    </w:p>
    <w:p>
      <w:pPr>
        <w:jc w:val="center"/>
        <w:rPr>
          <w:rFonts w:ascii="黑体" w:hAnsi="华文中宋" w:eastAsia="黑体"/>
          <w:bCs/>
          <w:color w:val="auto"/>
          <w:sz w:val="44"/>
          <w:szCs w:val="44"/>
        </w:rPr>
      </w:pPr>
      <w:r>
        <w:rPr>
          <w:rFonts w:hint="eastAsia" w:ascii="黑体" w:hAnsi="华文中宋" w:eastAsia="黑体"/>
          <w:bCs/>
          <w:color w:val="auto"/>
          <w:sz w:val="44"/>
          <w:szCs w:val="44"/>
        </w:rPr>
        <w:t>二○二</w:t>
      </w:r>
      <w:r>
        <w:rPr>
          <w:rFonts w:hint="eastAsia" w:ascii="黑体" w:hAnsi="华文中宋" w:eastAsia="黑体"/>
          <w:bCs/>
          <w:color w:val="auto"/>
          <w:sz w:val="44"/>
          <w:szCs w:val="44"/>
          <w:lang w:eastAsia="zh-CN"/>
        </w:rPr>
        <w:t>三</w:t>
      </w:r>
      <w:r>
        <w:rPr>
          <w:rFonts w:hint="eastAsia" w:ascii="黑体" w:hAnsi="华文中宋" w:eastAsia="黑体"/>
          <w:bCs/>
          <w:color w:val="auto"/>
          <w:sz w:val="44"/>
          <w:szCs w:val="44"/>
        </w:rPr>
        <w:t>年</w:t>
      </w:r>
      <w:r>
        <w:rPr>
          <w:rFonts w:hint="eastAsia" w:ascii="黑体" w:hAnsi="华文中宋" w:eastAsia="黑体"/>
          <w:bCs/>
          <w:color w:val="auto"/>
          <w:sz w:val="44"/>
          <w:szCs w:val="44"/>
          <w:lang w:eastAsia="zh-CN"/>
        </w:rPr>
        <w:t>八</w:t>
      </w:r>
      <w:r>
        <w:rPr>
          <w:rFonts w:hint="eastAsia" w:ascii="黑体" w:hAnsi="华文中宋" w:eastAsia="黑体"/>
          <w:bCs/>
          <w:color w:val="auto"/>
          <w:sz w:val="44"/>
          <w:szCs w:val="44"/>
        </w:rPr>
        <w:t>月</w:t>
      </w:r>
      <w:r>
        <w:rPr>
          <w:rFonts w:hint="eastAsia" w:ascii="黑体" w:hAnsi="华文中宋" w:eastAsia="黑体"/>
          <w:bCs/>
          <w:color w:val="auto"/>
          <w:sz w:val="44"/>
          <w:szCs w:val="44"/>
          <w:lang w:eastAsia="zh-CN"/>
        </w:rPr>
        <w:t>二十四</w:t>
      </w:r>
      <w:r>
        <w:rPr>
          <w:rFonts w:hint="eastAsia" w:ascii="黑体" w:hAnsi="华文中宋" w:eastAsia="黑体"/>
          <w:bCs/>
          <w:color w:val="auto"/>
          <w:sz w:val="44"/>
          <w:szCs w:val="44"/>
        </w:rPr>
        <w:t>日</w:t>
      </w:r>
    </w:p>
    <w:p>
      <w:pPr>
        <w:rPr>
          <w:rFonts w:eastAsia="黑体"/>
          <w:bCs/>
          <w:color w:val="auto"/>
          <w:sz w:val="48"/>
        </w:rPr>
      </w:pPr>
    </w:p>
    <w:p>
      <w:pPr>
        <w:pageBreakBefore/>
        <w:rPr>
          <w:rFonts w:eastAsia="黑体"/>
          <w:bCs/>
          <w:color w:val="auto"/>
          <w:sz w:val="48"/>
        </w:rPr>
      </w:pPr>
    </w:p>
    <w:p>
      <w:pPr>
        <w:jc w:val="center"/>
        <w:rPr>
          <w:rFonts w:eastAsia="黑体"/>
          <w:bCs/>
          <w:color w:val="auto"/>
          <w:sz w:val="48"/>
        </w:rPr>
      </w:pPr>
      <w:r>
        <w:rPr>
          <w:rFonts w:hint="eastAsia" w:eastAsia="黑体"/>
          <w:bCs/>
          <w:color w:val="auto"/>
          <w:sz w:val="48"/>
        </w:rPr>
        <w:t>目   录</w:t>
      </w:r>
    </w:p>
    <w:p>
      <w:pPr>
        <w:jc w:val="center"/>
        <w:rPr>
          <w:rFonts w:eastAsia="黑体"/>
          <w:bCs/>
          <w:color w:val="auto"/>
          <w:sz w:val="48"/>
        </w:rPr>
      </w:pPr>
    </w:p>
    <w:p>
      <w:pPr>
        <w:jc w:val="center"/>
        <w:rPr>
          <w:rFonts w:eastAsia="黑体"/>
          <w:bCs/>
          <w:color w:val="auto"/>
          <w:sz w:val="48"/>
        </w:rPr>
      </w:pPr>
    </w:p>
    <w:p>
      <w:pPr>
        <w:jc w:val="center"/>
        <w:rPr>
          <w:rFonts w:eastAsia="黑体"/>
          <w:bCs/>
          <w:color w:val="auto"/>
          <w:sz w:val="48"/>
        </w:rPr>
      </w:pPr>
    </w:p>
    <w:p>
      <w:pPr>
        <w:pStyle w:val="17"/>
        <w:tabs>
          <w:tab w:val="right" w:leader="dot" w:pos="9911"/>
        </w:tabs>
        <w:spacing w:line="720" w:lineRule="auto"/>
        <w:ind w:firstLine="450" w:firstLineChars="150"/>
        <w:rPr>
          <w:rStyle w:val="31"/>
          <w:rFonts w:asciiTheme="majorEastAsia" w:hAnsiTheme="majorEastAsia" w:eastAsiaTheme="majorEastAsia"/>
          <w:color w:val="auto"/>
          <w:sz w:val="32"/>
          <w:szCs w:val="32"/>
        </w:rPr>
      </w:pPr>
      <w:r>
        <w:rPr>
          <w:rFonts w:ascii="黑体" w:eastAsia="黑体"/>
          <w:bCs/>
          <w:color w:val="auto"/>
          <w:sz w:val="30"/>
        </w:rPr>
        <w:fldChar w:fldCharType="begin"/>
      </w:r>
      <w:r>
        <w:rPr>
          <w:rFonts w:ascii="黑体" w:eastAsia="黑体"/>
          <w:bCs/>
          <w:color w:val="auto"/>
          <w:sz w:val="30"/>
        </w:rPr>
        <w:instrText xml:space="preserve"> </w:instrText>
      </w:r>
      <w:r>
        <w:rPr>
          <w:rFonts w:hint="eastAsia" w:ascii="黑体" w:eastAsia="黑体"/>
          <w:bCs/>
          <w:color w:val="auto"/>
          <w:sz w:val="30"/>
        </w:rPr>
        <w:instrText xml:space="preserve">TOC \o "1-1" \h \z \u</w:instrText>
      </w:r>
      <w:r>
        <w:rPr>
          <w:rFonts w:ascii="黑体" w:eastAsia="黑体"/>
          <w:bCs/>
          <w:color w:val="auto"/>
          <w:sz w:val="30"/>
        </w:rPr>
        <w:instrText xml:space="preserve"> </w:instrText>
      </w:r>
      <w:r>
        <w:rPr>
          <w:rFonts w:ascii="黑体" w:eastAsia="黑体"/>
          <w:bCs/>
          <w:color w:val="auto"/>
          <w:sz w:val="30"/>
        </w:rPr>
        <w:fldChar w:fldCharType="separate"/>
      </w:r>
      <w:r>
        <w:rPr>
          <w:color w:val="auto"/>
        </w:rPr>
        <w:fldChar w:fldCharType="begin"/>
      </w:r>
      <w:r>
        <w:rPr>
          <w:color w:val="auto"/>
        </w:rPr>
        <w:instrText xml:space="preserve"> HYPERLINK \l "_Toc86134310" </w:instrText>
      </w:r>
      <w:r>
        <w:rPr>
          <w:color w:val="auto"/>
        </w:rPr>
        <w:fldChar w:fldCharType="separate"/>
      </w:r>
      <w:r>
        <w:rPr>
          <w:rStyle w:val="31"/>
          <w:rFonts w:hint="eastAsia" w:asciiTheme="majorEastAsia" w:hAnsiTheme="majorEastAsia" w:eastAsiaTheme="majorEastAsia"/>
          <w:color w:val="auto"/>
          <w:sz w:val="32"/>
          <w:szCs w:val="32"/>
        </w:rPr>
        <w:t>一．投标邀请函</w:t>
      </w:r>
      <w:r>
        <w:rPr>
          <w:rStyle w:val="31"/>
          <w:rFonts w:asciiTheme="majorEastAsia" w:hAnsiTheme="majorEastAsia" w:eastAsiaTheme="majorEastAsia"/>
          <w:color w:val="auto"/>
          <w:sz w:val="32"/>
          <w:szCs w:val="32"/>
        </w:rPr>
        <w:tab/>
      </w:r>
      <w:r>
        <w:rPr>
          <w:rStyle w:val="31"/>
          <w:rFonts w:eastAsiaTheme="majorEastAsia"/>
          <w:color w:val="auto"/>
          <w:sz w:val="32"/>
          <w:szCs w:val="32"/>
        </w:rPr>
        <w:fldChar w:fldCharType="begin"/>
      </w:r>
      <w:r>
        <w:rPr>
          <w:rStyle w:val="31"/>
          <w:rFonts w:eastAsiaTheme="majorEastAsia"/>
          <w:color w:val="auto"/>
          <w:sz w:val="32"/>
          <w:szCs w:val="32"/>
        </w:rPr>
        <w:instrText xml:space="preserve"> PAGEREF _Toc86134310 \h </w:instrText>
      </w:r>
      <w:r>
        <w:rPr>
          <w:rStyle w:val="31"/>
          <w:rFonts w:eastAsiaTheme="majorEastAsia"/>
          <w:color w:val="auto"/>
          <w:sz w:val="32"/>
          <w:szCs w:val="32"/>
        </w:rPr>
        <w:fldChar w:fldCharType="separate"/>
      </w:r>
      <w:r>
        <w:rPr>
          <w:rStyle w:val="31"/>
          <w:rFonts w:eastAsiaTheme="majorEastAsia"/>
          <w:color w:val="auto"/>
          <w:sz w:val="32"/>
          <w:szCs w:val="32"/>
        </w:rPr>
        <w:t>2</w:t>
      </w:r>
      <w:r>
        <w:rPr>
          <w:rStyle w:val="31"/>
          <w:rFonts w:eastAsiaTheme="majorEastAsia"/>
          <w:color w:val="auto"/>
          <w:sz w:val="32"/>
          <w:szCs w:val="32"/>
        </w:rPr>
        <w:fldChar w:fldCharType="end"/>
      </w:r>
      <w:r>
        <w:rPr>
          <w:rStyle w:val="31"/>
          <w:rFonts w:eastAsiaTheme="majorEastAsia"/>
          <w:color w:val="auto"/>
          <w:sz w:val="32"/>
          <w:szCs w:val="32"/>
        </w:rPr>
        <w:fldChar w:fldCharType="end"/>
      </w:r>
    </w:p>
    <w:p>
      <w:pPr>
        <w:pStyle w:val="17"/>
        <w:tabs>
          <w:tab w:val="right" w:leader="dot" w:pos="9911"/>
        </w:tabs>
        <w:spacing w:line="720" w:lineRule="auto"/>
        <w:ind w:firstLine="315" w:firstLineChars="150"/>
        <w:rPr>
          <w:rStyle w:val="31"/>
          <w:rFonts w:asciiTheme="majorEastAsia" w:hAnsiTheme="majorEastAsia" w:eastAsiaTheme="majorEastAsia"/>
          <w:color w:val="auto"/>
          <w:sz w:val="32"/>
          <w:szCs w:val="32"/>
        </w:rPr>
      </w:pPr>
      <w:r>
        <w:rPr>
          <w:color w:val="auto"/>
        </w:rPr>
        <w:fldChar w:fldCharType="begin"/>
      </w:r>
      <w:r>
        <w:rPr>
          <w:color w:val="auto"/>
        </w:rPr>
        <w:instrText xml:space="preserve"> HYPERLINK \l "_Toc86134311" </w:instrText>
      </w:r>
      <w:r>
        <w:rPr>
          <w:color w:val="auto"/>
        </w:rPr>
        <w:fldChar w:fldCharType="separate"/>
      </w:r>
      <w:r>
        <w:rPr>
          <w:rStyle w:val="31"/>
          <w:rFonts w:hint="eastAsia" w:asciiTheme="majorEastAsia" w:hAnsiTheme="majorEastAsia" w:eastAsiaTheme="majorEastAsia"/>
          <w:color w:val="auto"/>
          <w:sz w:val="32"/>
          <w:szCs w:val="32"/>
        </w:rPr>
        <w:t>二．投标人须知</w:t>
      </w:r>
      <w:r>
        <w:rPr>
          <w:rStyle w:val="31"/>
          <w:rFonts w:asciiTheme="majorEastAsia" w:hAnsiTheme="majorEastAsia" w:eastAsiaTheme="majorEastAsia"/>
          <w:color w:val="auto"/>
          <w:sz w:val="32"/>
          <w:szCs w:val="32"/>
        </w:rPr>
        <w:tab/>
      </w:r>
      <w:r>
        <w:rPr>
          <w:rStyle w:val="31"/>
          <w:rFonts w:asciiTheme="majorEastAsia" w:hAnsiTheme="majorEastAsia" w:eastAsiaTheme="majorEastAsia"/>
          <w:color w:val="auto"/>
          <w:sz w:val="32"/>
          <w:szCs w:val="32"/>
        </w:rPr>
        <w:fldChar w:fldCharType="begin"/>
      </w:r>
      <w:r>
        <w:rPr>
          <w:rStyle w:val="31"/>
          <w:rFonts w:asciiTheme="majorEastAsia" w:hAnsiTheme="majorEastAsia" w:eastAsiaTheme="majorEastAsia"/>
          <w:color w:val="auto"/>
          <w:sz w:val="32"/>
          <w:szCs w:val="32"/>
        </w:rPr>
        <w:instrText xml:space="preserve"> PAGEREF _Toc86134311 \h </w:instrText>
      </w:r>
      <w:r>
        <w:rPr>
          <w:rStyle w:val="31"/>
          <w:rFonts w:asciiTheme="majorEastAsia" w:hAnsiTheme="majorEastAsia" w:eastAsiaTheme="majorEastAsia"/>
          <w:color w:val="auto"/>
          <w:sz w:val="32"/>
          <w:szCs w:val="32"/>
        </w:rPr>
        <w:fldChar w:fldCharType="separate"/>
      </w:r>
      <w:r>
        <w:rPr>
          <w:rStyle w:val="31"/>
          <w:rFonts w:asciiTheme="majorEastAsia" w:hAnsiTheme="majorEastAsia" w:eastAsiaTheme="majorEastAsia"/>
          <w:color w:val="auto"/>
          <w:sz w:val="32"/>
          <w:szCs w:val="32"/>
        </w:rPr>
        <w:t>5</w:t>
      </w:r>
      <w:r>
        <w:rPr>
          <w:rStyle w:val="31"/>
          <w:rFonts w:asciiTheme="majorEastAsia" w:hAnsiTheme="majorEastAsia" w:eastAsiaTheme="majorEastAsia"/>
          <w:color w:val="auto"/>
          <w:sz w:val="32"/>
          <w:szCs w:val="32"/>
        </w:rPr>
        <w:fldChar w:fldCharType="end"/>
      </w:r>
      <w:r>
        <w:rPr>
          <w:rStyle w:val="31"/>
          <w:rFonts w:asciiTheme="majorEastAsia" w:hAnsiTheme="majorEastAsia" w:eastAsiaTheme="majorEastAsia"/>
          <w:color w:val="auto"/>
          <w:sz w:val="32"/>
          <w:szCs w:val="32"/>
        </w:rPr>
        <w:fldChar w:fldCharType="end"/>
      </w:r>
    </w:p>
    <w:p>
      <w:pPr>
        <w:pStyle w:val="17"/>
        <w:tabs>
          <w:tab w:val="right" w:leader="dot" w:pos="9911"/>
        </w:tabs>
        <w:spacing w:line="720" w:lineRule="auto"/>
        <w:ind w:firstLine="315" w:firstLineChars="150"/>
        <w:rPr>
          <w:rStyle w:val="31"/>
          <w:rFonts w:asciiTheme="majorEastAsia" w:hAnsiTheme="majorEastAsia" w:eastAsiaTheme="majorEastAsia"/>
          <w:color w:val="auto"/>
          <w:sz w:val="32"/>
          <w:szCs w:val="32"/>
        </w:rPr>
      </w:pPr>
      <w:r>
        <w:rPr>
          <w:color w:val="auto"/>
        </w:rPr>
        <w:fldChar w:fldCharType="begin"/>
      </w:r>
      <w:r>
        <w:rPr>
          <w:color w:val="auto"/>
        </w:rPr>
        <w:instrText xml:space="preserve"> HYPERLINK \l "_Toc86134312" </w:instrText>
      </w:r>
      <w:r>
        <w:rPr>
          <w:color w:val="auto"/>
        </w:rPr>
        <w:fldChar w:fldCharType="separate"/>
      </w:r>
      <w:r>
        <w:rPr>
          <w:rStyle w:val="31"/>
          <w:rFonts w:hint="eastAsia" w:asciiTheme="majorEastAsia" w:hAnsiTheme="majorEastAsia" w:eastAsiaTheme="majorEastAsia"/>
          <w:color w:val="auto"/>
          <w:sz w:val="32"/>
          <w:szCs w:val="32"/>
        </w:rPr>
        <w:t>三．项目技术要求和有关说明</w:t>
      </w:r>
      <w:r>
        <w:rPr>
          <w:rStyle w:val="31"/>
          <w:rFonts w:asciiTheme="majorEastAsia" w:hAnsiTheme="majorEastAsia" w:eastAsiaTheme="majorEastAsia"/>
          <w:color w:val="auto"/>
          <w:sz w:val="32"/>
          <w:szCs w:val="32"/>
        </w:rPr>
        <w:tab/>
      </w:r>
      <w:r>
        <w:rPr>
          <w:rStyle w:val="31"/>
          <w:rFonts w:asciiTheme="majorEastAsia" w:hAnsiTheme="majorEastAsia" w:eastAsiaTheme="majorEastAsia"/>
          <w:color w:val="auto"/>
          <w:sz w:val="32"/>
          <w:szCs w:val="32"/>
        </w:rPr>
        <w:fldChar w:fldCharType="begin"/>
      </w:r>
      <w:r>
        <w:rPr>
          <w:rStyle w:val="31"/>
          <w:rFonts w:asciiTheme="majorEastAsia" w:hAnsiTheme="majorEastAsia" w:eastAsiaTheme="majorEastAsia"/>
          <w:color w:val="auto"/>
          <w:sz w:val="32"/>
          <w:szCs w:val="32"/>
        </w:rPr>
        <w:instrText xml:space="preserve"> PAGEREF _Toc86134312 \h </w:instrText>
      </w:r>
      <w:r>
        <w:rPr>
          <w:rStyle w:val="31"/>
          <w:rFonts w:asciiTheme="majorEastAsia" w:hAnsiTheme="majorEastAsia" w:eastAsiaTheme="majorEastAsia"/>
          <w:color w:val="auto"/>
          <w:sz w:val="32"/>
          <w:szCs w:val="32"/>
        </w:rPr>
        <w:fldChar w:fldCharType="separate"/>
      </w:r>
      <w:r>
        <w:rPr>
          <w:rStyle w:val="31"/>
          <w:rFonts w:asciiTheme="majorEastAsia" w:hAnsiTheme="majorEastAsia" w:eastAsiaTheme="majorEastAsia"/>
          <w:color w:val="auto"/>
          <w:sz w:val="32"/>
          <w:szCs w:val="32"/>
        </w:rPr>
        <w:t>14</w:t>
      </w:r>
      <w:r>
        <w:rPr>
          <w:rStyle w:val="31"/>
          <w:rFonts w:asciiTheme="majorEastAsia" w:hAnsiTheme="majorEastAsia" w:eastAsiaTheme="majorEastAsia"/>
          <w:color w:val="auto"/>
          <w:sz w:val="32"/>
          <w:szCs w:val="32"/>
        </w:rPr>
        <w:fldChar w:fldCharType="end"/>
      </w:r>
      <w:r>
        <w:rPr>
          <w:rStyle w:val="31"/>
          <w:rFonts w:asciiTheme="majorEastAsia" w:hAnsiTheme="majorEastAsia" w:eastAsiaTheme="majorEastAsia"/>
          <w:color w:val="auto"/>
          <w:sz w:val="32"/>
          <w:szCs w:val="32"/>
        </w:rPr>
        <w:fldChar w:fldCharType="end"/>
      </w:r>
    </w:p>
    <w:p>
      <w:pPr>
        <w:pStyle w:val="17"/>
        <w:tabs>
          <w:tab w:val="right" w:leader="dot" w:pos="9911"/>
        </w:tabs>
        <w:spacing w:line="720" w:lineRule="auto"/>
        <w:ind w:firstLine="315" w:firstLineChars="150"/>
        <w:rPr>
          <w:rStyle w:val="31"/>
          <w:rFonts w:hint="eastAsia" w:asciiTheme="majorEastAsia" w:hAnsiTheme="majorEastAsia" w:eastAsiaTheme="majorEastAsia"/>
          <w:color w:val="auto"/>
          <w:sz w:val="32"/>
          <w:szCs w:val="32"/>
          <w:lang w:val="en-US" w:eastAsia="zh-CN"/>
        </w:rPr>
      </w:pPr>
      <w:r>
        <w:rPr>
          <w:color w:val="auto"/>
        </w:rPr>
        <w:fldChar w:fldCharType="begin"/>
      </w:r>
      <w:r>
        <w:rPr>
          <w:color w:val="auto"/>
        </w:rPr>
        <w:instrText xml:space="preserve"> HYPERLINK \l "_Toc86134313" </w:instrText>
      </w:r>
      <w:r>
        <w:rPr>
          <w:color w:val="auto"/>
        </w:rPr>
        <w:fldChar w:fldCharType="separate"/>
      </w:r>
      <w:r>
        <w:rPr>
          <w:rStyle w:val="31"/>
          <w:rFonts w:hint="eastAsia" w:asciiTheme="majorEastAsia" w:hAnsiTheme="majorEastAsia" w:eastAsiaTheme="majorEastAsia"/>
          <w:color w:val="auto"/>
          <w:sz w:val="32"/>
          <w:szCs w:val="32"/>
        </w:rPr>
        <w:t>四．合同书（格式文本）</w:t>
      </w:r>
      <w:r>
        <w:rPr>
          <w:rStyle w:val="31"/>
          <w:rFonts w:asciiTheme="majorEastAsia" w:hAnsiTheme="majorEastAsia" w:eastAsiaTheme="majorEastAsia"/>
          <w:color w:val="auto"/>
          <w:sz w:val="32"/>
          <w:szCs w:val="32"/>
        </w:rPr>
        <w:tab/>
      </w:r>
      <w:r>
        <w:rPr>
          <w:rStyle w:val="31"/>
          <w:rFonts w:hint="eastAsia" w:asciiTheme="majorEastAsia" w:hAnsiTheme="majorEastAsia" w:eastAsiaTheme="majorEastAsia"/>
          <w:color w:val="auto"/>
          <w:sz w:val="32"/>
          <w:szCs w:val="32"/>
          <w:lang w:val="en-US" w:eastAsia="zh-CN"/>
        </w:rPr>
        <w:t>2</w:t>
      </w:r>
      <w:r>
        <w:rPr>
          <w:rStyle w:val="31"/>
          <w:rFonts w:asciiTheme="majorEastAsia" w:hAnsiTheme="majorEastAsia" w:eastAsiaTheme="majorEastAsia"/>
          <w:color w:val="auto"/>
          <w:sz w:val="32"/>
          <w:szCs w:val="32"/>
        </w:rPr>
        <w:fldChar w:fldCharType="end"/>
      </w:r>
      <w:r>
        <w:rPr>
          <w:rStyle w:val="31"/>
          <w:rFonts w:hint="eastAsia" w:asciiTheme="majorEastAsia" w:hAnsiTheme="majorEastAsia" w:eastAsiaTheme="majorEastAsia"/>
          <w:color w:val="auto"/>
          <w:sz w:val="32"/>
          <w:szCs w:val="32"/>
          <w:lang w:val="en-US" w:eastAsia="zh-CN"/>
        </w:rPr>
        <w:t>6</w:t>
      </w:r>
    </w:p>
    <w:p>
      <w:pPr>
        <w:pStyle w:val="17"/>
        <w:tabs>
          <w:tab w:val="right" w:leader="dot" w:pos="9911"/>
        </w:tabs>
        <w:spacing w:line="720" w:lineRule="auto"/>
        <w:ind w:firstLine="315" w:firstLineChars="150"/>
        <w:rPr>
          <w:rStyle w:val="31"/>
          <w:rFonts w:asciiTheme="majorEastAsia" w:hAnsiTheme="majorEastAsia" w:eastAsiaTheme="majorEastAsia"/>
          <w:color w:val="auto"/>
          <w:sz w:val="32"/>
          <w:szCs w:val="32"/>
        </w:rPr>
      </w:pPr>
      <w:r>
        <w:rPr>
          <w:color w:val="auto"/>
        </w:rPr>
        <w:fldChar w:fldCharType="begin"/>
      </w:r>
      <w:r>
        <w:rPr>
          <w:color w:val="auto"/>
        </w:rPr>
        <w:instrText xml:space="preserve"> HYPERLINK \l "_Toc86134314" </w:instrText>
      </w:r>
      <w:r>
        <w:rPr>
          <w:color w:val="auto"/>
        </w:rPr>
        <w:fldChar w:fldCharType="separate"/>
      </w:r>
      <w:r>
        <w:rPr>
          <w:rStyle w:val="31"/>
          <w:rFonts w:hint="eastAsia" w:asciiTheme="majorEastAsia" w:hAnsiTheme="majorEastAsia" w:eastAsiaTheme="majorEastAsia"/>
          <w:color w:val="auto"/>
          <w:sz w:val="32"/>
          <w:szCs w:val="32"/>
        </w:rPr>
        <w:t>五．合同条款</w:t>
      </w:r>
      <w:r>
        <w:rPr>
          <w:rStyle w:val="31"/>
          <w:rFonts w:asciiTheme="majorEastAsia" w:hAnsiTheme="majorEastAsia" w:eastAsiaTheme="majorEastAsia"/>
          <w:color w:val="auto"/>
          <w:sz w:val="32"/>
          <w:szCs w:val="32"/>
        </w:rPr>
        <w:tab/>
      </w:r>
      <w:r>
        <w:rPr>
          <w:rStyle w:val="31"/>
          <w:rFonts w:asciiTheme="majorEastAsia" w:hAnsiTheme="majorEastAsia" w:eastAsiaTheme="majorEastAsia"/>
          <w:color w:val="auto"/>
          <w:sz w:val="32"/>
          <w:szCs w:val="32"/>
        </w:rPr>
        <w:fldChar w:fldCharType="begin"/>
      </w:r>
      <w:r>
        <w:rPr>
          <w:rStyle w:val="31"/>
          <w:rFonts w:asciiTheme="majorEastAsia" w:hAnsiTheme="majorEastAsia" w:eastAsiaTheme="majorEastAsia"/>
          <w:color w:val="auto"/>
          <w:sz w:val="32"/>
          <w:szCs w:val="32"/>
        </w:rPr>
        <w:instrText xml:space="preserve"> PAGEREF _Toc86134314 \h </w:instrText>
      </w:r>
      <w:r>
        <w:rPr>
          <w:rStyle w:val="31"/>
          <w:rFonts w:asciiTheme="majorEastAsia" w:hAnsiTheme="majorEastAsia" w:eastAsiaTheme="majorEastAsia"/>
          <w:color w:val="auto"/>
          <w:sz w:val="32"/>
          <w:szCs w:val="32"/>
        </w:rPr>
        <w:fldChar w:fldCharType="separate"/>
      </w:r>
      <w:r>
        <w:rPr>
          <w:rStyle w:val="31"/>
          <w:rFonts w:asciiTheme="majorEastAsia" w:hAnsiTheme="majorEastAsia" w:eastAsiaTheme="majorEastAsia"/>
          <w:color w:val="auto"/>
          <w:sz w:val="32"/>
          <w:szCs w:val="32"/>
        </w:rPr>
        <w:t>28</w:t>
      </w:r>
      <w:r>
        <w:rPr>
          <w:rStyle w:val="31"/>
          <w:rFonts w:asciiTheme="majorEastAsia" w:hAnsiTheme="majorEastAsia" w:eastAsiaTheme="majorEastAsia"/>
          <w:color w:val="auto"/>
          <w:sz w:val="32"/>
          <w:szCs w:val="32"/>
        </w:rPr>
        <w:fldChar w:fldCharType="end"/>
      </w:r>
      <w:r>
        <w:rPr>
          <w:rStyle w:val="31"/>
          <w:rFonts w:asciiTheme="majorEastAsia" w:hAnsiTheme="majorEastAsia" w:eastAsiaTheme="majorEastAsia"/>
          <w:color w:val="auto"/>
          <w:sz w:val="32"/>
          <w:szCs w:val="32"/>
        </w:rPr>
        <w:fldChar w:fldCharType="end"/>
      </w:r>
    </w:p>
    <w:p>
      <w:pPr>
        <w:pStyle w:val="17"/>
        <w:tabs>
          <w:tab w:val="right" w:leader="dot" w:pos="9911"/>
        </w:tabs>
        <w:spacing w:line="720" w:lineRule="auto"/>
        <w:ind w:firstLine="315" w:firstLineChars="150"/>
        <w:rPr>
          <w:rStyle w:val="31"/>
          <w:rFonts w:asciiTheme="majorEastAsia" w:hAnsiTheme="majorEastAsia" w:eastAsiaTheme="majorEastAsia"/>
          <w:color w:val="auto"/>
        </w:rPr>
      </w:pPr>
      <w:r>
        <w:rPr>
          <w:color w:val="auto"/>
        </w:rPr>
        <w:fldChar w:fldCharType="begin"/>
      </w:r>
      <w:r>
        <w:rPr>
          <w:color w:val="auto"/>
        </w:rPr>
        <w:instrText xml:space="preserve"> HYPERLINK \l "_Toc86134315" </w:instrText>
      </w:r>
      <w:r>
        <w:rPr>
          <w:color w:val="auto"/>
        </w:rPr>
        <w:fldChar w:fldCharType="separate"/>
      </w:r>
      <w:r>
        <w:rPr>
          <w:rStyle w:val="31"/>
          <w:rFonts w:hint="eastAsia" w:asciiTheme="majorEastAsia" w:hAnsiTheme="majorEastAsia" w:eastAsiaTheme="majorEastAsia"/>
          <w:color w:val="auto"/>
          <w:sz w:val="32"/>
          <w:szCs w:val="32"/>
        </w:rPr>
        <w:t>六</w:t>
      </w:r>
      <w:r>
        <w:rPr>
          <w:rStyle w:val="31"/>
          <w:rFonts w:asciiTheme="majorEastAsia" w:hAnsiTheme="majorEastAsia" w:eastAsiaTheme="majorEastAsia"/>
          <w:color w:val="auto"/>
          <w:sz w:val="32"/>
          <w:szCs w:val="32"/>
        </w:rPr>
        <w:t>.</w:t>
      </w:r>
      <w:r>
        <w:rPr>
          <w:rStyle w:val="31"/>
          <w:rFonts w:hint="eastAsia" w:asciiTheme="majorEastAsia" w:hAnsiTheme="majorEastAsia" w:eastAsiaTheme="majorEastAsia"/>
          <w:color w:val="auto"/>
          <w:sz w:val="32"/>
          <w:szCs w:val="32"/>
        </w:rPr>
        <w:t>附件</w:t>
      </w:r>
      <w:r>
        <w:rPr>
          <w:rStyle w:val="31"/>
          <w:rFonts w:asciiTheme="majorEastAsia" w:hAnsiTheme="majorEastAsia" w:eastAsiaTheme="majorEastAsia"/>
          <w:color w:val="auto"/>
          <w:sz w:val="32"/>
          <w:szCs w:val="32"/>
        </w:rPr>
        <w:tab/>
      </w:r>
      <w:r>
        <w:rPr>
          <w:rStyle w:val="31"/>
          <w:rFonts w:asciiTheme="majorEastAsia" w:hAnsiTheme="majorEastAsia" w:eastAsiaTheme="majorEastAsia"/>
          <w:color w:val="auto"/>
          <w:sz w:val="32"/>
          <w:szCs w:val="32"/>
        </w:rPr>
        <w:fldChar w:fldCharType="begin"/>
      </w:r>
      <w:r>
        <w:rPr>
          <w:rStyle w:val="31"/>
          <w:rFonts w:asciiTheme="majorEastAsia" w:hAnsiTheme="majorEastAsia" w:eastAsiaTheme="majorEastAsia"/>
          <w:color w:val="auto"/>
          <w:sz w:val="32"/>
          <w:szCs w:val="32"/>
        </w:rPr>
        <w:instrText xml:space="preserve"> PAGEREF _Toc86134315 \h </w:instrText>
      </w:r>
      <w:r>
        <w:rPr>
          <w:rStyle w:val="31"/>
          <w:rFonts w:asciiTheme="majorEastAsia" w:hAnsiTheme="majorEastAsia" w:eastAsiaTheme="majorEastAsia"/>
          <w:color w:val="auto"/>
          <w:sz w:val="32"/>
          <w:szCs w:val="32"/>
        </w:rPr>
        <w:fldChar w:fldCharType="separate"/>
      </w:r>
      <w:r>
        <w:rPr>
          <w:rStyle w:val="31"/>
          <w:rFonts w:asciiTheme="majorEastAsia" w:hAnsiTheme="majorEastAsia" w:eastAsiaTheme="majorEastAsia"/>
          <w:color w:val="auto"/>
          <w:sz w:val="32"/>
          <w:szCs w:val="32"/>
        </w:rPr>
        <w:t>32</w:t>
      </w:r>
      <w:r>
        <w:rPr>
          <w:rStyle w:val="31"/>
          <w:rFonts w:asciiTheme="majorEastAsia" w:hAnsiTheme="majorEastAsia" w:eastAsiaTheme="majorEastAsia"/>
          <w:color w:val="auto"/>
          <w:sz w:val="32"/>
          <w:szCs w:val="32"/>
        </w:rPr>
        <w:fldChar w:fldCharType="end"/>
      </w:r>
      <w:r>
        <w:rPr>
          <w:rStyle w:val="31"/>
          <w:rFonts w:asciiTheme="majorEastAsia" w:hAnsiTheme="majorEastAsia" w:eastAsiaTheme="majorEastAsia"/>
          <w:color w:val="auto"/>
          <w:sz w:val="32"/>
          <w:szCs w:val="32"/>
        </w:rPr>
        <w:fldChar w:fldCharType="end"/>
      </w:r>
    </w:p>
    <w:p>
      <w:pPr>
        <w:jc w:val="center"/>
        <w:rPr>
          <w:rFonts w:ascii="黑体" w:eastAsia="黑体"/>
          <w:bCs/>
          <w:color w:val="auto"/>
          <w:sz w:val="30"/>
        </w:rPr>
      </w:pPr>
      <w:r>
        <w:rPr>
          <w:rFonts w:ascii="黑体" w:eastAsia="黑体"/>
          <w:bCs/>
          <w:color w:val="auto"/>
          <w:sz w:val="30"/>
        </w:rPr>
        <w:fldChar w:fldCharType="end"/>
      </w:r>
    </w:p>
    <w:p>
      <w:pPr>
        <w:rPr>
          <w:rFonts w:ascii="宋体"/>
          <w:bCs/>
          <w:color w:val="auto"/>
          <w:sz w:val="32"/>
        </w:rPr>
      </w:pPr>
    </w:p>
    <w:p>
      <w:pPr>
        <w:pStyle w:val="2"/>
        <w:pageBreakBefore/>
        <w:rPr>
          <w:rFonts w:ascii="黑体" w:hAnsi="黑体" w:eastAsia="黑体"/>
          <w:b w:val="0"/>
          <w:color w:val="auto"/>
          <w:sz w:val="32"/>
          <w:szCs w:val="32"/>
        </w:rPr>
      </w:pPr>
      <w:bookmarkStart w:id="0" w:name="报价方须知前附表"/>
      <w:bookmarkEnd w:id="0"/>
      <w:bookmarkStart w:id="1" w:name="_Toc86134310"/>
      <w:r>
        <w:rPr>
          <w:rFonts w:hint="eastAsia" w:ascii="黑体" w:hAnsi="黑体" w:eastAsia="黑体"/>
          <w:b w:val="0"/>
          <w:color w:val="auto"/>
          <w:sz w:val="32"/>
          <w:szCs w:val="32"/>
        </w:rPr>
        <w:t>一．投标邀请函</w:t>
      </w:r>
      <w:bookmarkEnd w:id="1"/>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我中心受</w:t>
      </w:r>
      <w:r>
        <w:rPr>
          <w:rFonts w:hint="eastAsia" w:ascii="宋体" w:hAnsi="宋体" w:cs="宋体"/>
          <w:color w:val="auto"/>
          <w:kern w:val="0"/>
          <w:sz w:val="24"/>
          <w:lang w:eastAsia="zh-CN"/>
        </w:rPr>
        <w:t>无锡市惠山区交通运输局</w:t>
      </w:r>
      <w:r>
        <w:rPr>
          <w:rFonts w:hint="eastAsia" w:ascii="宋体" w:hAnsi="宋体"/>
          <w:bCs/>
          <w:color w:val="auto"/>
          <w:sz w:val="24"/>
          <w:szCs w:val="24"/>
        </w:rPr>
        <w:t>的委托，对其</w:t>
      </w:r>
      <w:r>
        <w:rPr>
          <w:rFonts w:hint="eastAsia" w:ascii="宋体" w:hAnsi="宋体" w:cs="宋体"/>
          <w:color w:val="auto"/>
          <w:kern w:val="0"/>
          <w:sz w:val="24"/>
          <w:lang w:eastAsia="zh-CN"/>
        </w:rPr>
        <w:t>交通执法一体化综合管理平台项目</w:t>
      </w:r>
      <w:r>
        <w:rPr>
          <w:rFonts w:hint="eastAsia" w:ascii="宋体" w:hAnsi="宋体"/>
          <w:bCs/>
          <w:color w:val="auto"/>
          <w:sz w:val="24"/>
          <w:szCs w:val="24"/>
        </w:rPr>
        <w:t>进行公开招标采购，欢迎符合相关条件的供应商参加投标并提请注意下列相关事项：</w:t>
      </w:r>
    </w:p>
    <w:p>
      <w:pPr>
        <w:numPr>
          <w:ilvl w:val="0"/>
          <w:numId w:val="1"/>
        </w:numPr>
        <w:spacing w:line="360" w:lineRule="auto"/>
        <w:rPr>
          <w:rFonts w:ascii="黑体" w:hAnsi="黑体" w:eastAsia="黑体"/>
          <w:bCs/>
          <w:color w:val="auto"/>
          <w:sz w:val="24"/>
          <w:szCs w:val="24"/>
        </w:rPr>
      </w:pPr>
      <w:r>
        <w:rPr>
          <w:rFonts w:hint="eastAsia" w:ascii="黑体" w:hAnsi="黑体" w:eastAsia="黑体" w:cs="宋体"/>
          <w:color w:val="auto"/>
          <w:kern w:val="0"/>
          <w:sz w:val="24"/>
          <w:szCs w:val="24"/>
        </w:rPr>
        <w:t>招标项目信息</w:t>
      </w:r>
    </w:p>
    <w:p>
      <w:pPr>
        <w:widowControl/>
        <w:shd w:val="clear" w:color="auto" w:fill="FFFFFF"/>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1.项目名称：</w:t>
      </w:r>
      <w:r>
        <w:rPr>
          <w:rFonts w:hint="eastAsia" w:ascii="宋体" w:hAnsi="宋体" w:cs="宋体"/>
          <w:color w:val="auto"/>
          <w:kern w:val="0"/>
          <w:sz w:val="24"/>
          <w:szCs w:val="24"/>
          <w:highlight w:val="none"/>
          <w:lang w:eastAsia="zh-CN"/>
        </w:rPr>
        <w:t>无锡市惠山区交通运输局交通执法一体化综合管理平台项目</w:t>
      </w:r>
    </w:p>
    <w:p>
      <w:pPr>
        <w:widowControl/>
        <w:shd w:val="clear" w:color="auto" w:fill="FFFFFF"/>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szCs w:val="24"/>
          <w:highlight w:val="none"/>
        </w:rPr>
        <w:t>2.项目编号：</w:t>
      </w:r>
      <w:r>
        <w:rPr>
          <w:rFonts w:hint="eastAsia" w:ascii="宋体" w:hAnsi="宋体" w:cs="宋体"/>
          <w:color w:val="auto"/>
          <w:kern w:val="0"/>
          <w:sz w:val="24"/>
          <w:highlight w:val="none"/>
        </w:rPr>
        <w:t>HSCGZX(G)</w:t>
      </w:r>
      <w:r>
        <w:rPr>
          <w:rFonts w:hint="eastAsia" w:ascii="宋体" w:hAnsi="宋体" w:cs="宋体"/>
          <w:color w:val="auto"/>
          <w:kern w:val="0"/>
          <w:sz w:val="24"/>
          <w:highlight w:val="none"/>
          <w:lang w:val="en-US" w:eastAsia="zh-CN"/>
        </w:rPr>
        <w:t>20230062</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szCs w:val="24"/>
          <w:highlight w:val="none"/>
        </w:rPr>
        <w:t>3.项目预算：</w:t>
      </w:r>
      <w:r>
        <w:rPr>
          <w:rFonts w:hint="eastAsia" w:ascii="宋体" w:hAnsi="宋体" w:cs="宋体"/>
          <w:color w:val="auto"/>
          <w:kern w:val="0"/>
          <w:sz w:val="24"/>
          <w:highlight w:val="none"/>
          <w:lang w:val="en-US" w:eastAsia="zh-CN"/>
        </w:rPr>
        <w:t>120</w:t>
      </w:r>
      <w:r>
        <w:rPr>
          <w:rFonts w:hint="eastAsia" w:ascii="宋体" w:hAnsi="宋体" w:cs="宋体"/>
          <w:color w:val="auto"/>
          <w:kern w:val="0"/>
          <w:sz w:val="24"/>
          <w:highlight w:val="none"/>
        </w:rPr>
        <w:t>万元</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4.采购方式：公开招标</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szCs w:val="24"/>
          <w:highlight w:val="none"/>
        </w:rPr>
        <w:t>5.采购人：</w:t>
      </w:r>
      <w:r>
        <w:rPr>
          <w:rFonts w:hint="eastAsia" w:ascii="宋体" w:hAnsi="宋体" w:cs="宋体"/>
          <w:color w:val="auto"/>
          <w:kern w:val="0"/>
          <w:sz w:val="24"/>
          <w:lang w:eastAsia="zh-CN"/>
        </w:rPr>
        <w:t>无锡市惠山区交通运输局</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6.本项目标的所属行业：软件和信息技术服务业</w:t>
      </w:r>
    </w:p>
    <w:p>
      <w:pPr>
        <w:widowControl/>
        <w:shd w:val="clear" w:color="auto" w:fill="FFFFFF"/>
        <w:spacing w:line="360" w:lineRule="auto"/>
        <w:ind w:left="480"/>
        <w:jc w:val="left"/>
        <w:rPr>
          <w:rFonts w:hint="eastAsia" w:ascii="宋体" w:hAnsi="宋体" w:eastAsia="宋体" w:cs="宋体"/>
          <w:color w:val="auto"/>
          <w:kern w:val="0"/>
          <w:sz w:val="24"/>
          <w:highlight w:val="none"/>
          <w:lang w:eastAsia="zh-CN"/>
        </w:rPr>
      </w:pPr>
      <w:r>
        <w:rPr>
          <w:rFonts w:hint="eastAsia" w:ascii="宋体" w:hAnsi="宋体" w:cs="宋体"/>
          <w:bCs/>
          <w:color w:val="auto"/>
          <w:kern w:val="0"/>
          <w:sz w:val="24"/>
          <w:highlight w:val="none"/>
        </w:rPr>
        <w:t>7.本项目是否专</w:t>
      </w:r>
      <w:r>
        <w:rPr>
          <w:rFonts w:hint="eastAsia" w:ascii="宋体" w:hAnsi="宋体" w:cs="宋体"/>
          <w:bCs/>
          <w:color w:val="auto"/>
          <w:spacing w:val="-1"/>
          <w:kern w:val="0"/>
          <w:sz w:val="24"/>
          <w:highlight w:val="none"/>
        </w:rPr>
        <w:t>门</w:t>
      </w:r>
      <w:r>
        <w:rPr>
          <w:rFonts w:hint="eastAsia" w:ascii="宋体" w:hAnsi="宋体" w:cs="宋体"/>
          <w:bCs/>
          <w:color w:val="auto"/>
          <w:kern w:val="0"/>
          <w:sz w:val="24"/>
          <w:highlight w:val="none"/>
        </w:rPr>
        <w:t>面向中小企业：</w:t>
      </w:r>
      <w:r>
        <w:rPr>
          <w:rFonts w:hint="eastAsia" w:ascii="宋体" w:hAnsi="宋体" w:cs="宋体"/>
          <w:bCs/>
          <w:color w:val="auto"/>
          <w:kern w:val="0"/>
          <w:sz w:val="24"/>
          <w:highlight w:val="none"/>
          <w:lang w:eastAsia="zh-CN"/>
        </w:rPr>
        <w:t>是</w:t>
      </w:r>
    </w:p>
    <w:p>
      <w:pPr>
        <w:widowControl/>
        <w:shd w:val="clear" w:color="auto" w:fill="FFFFFF"/>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（识别企业规模</w:t>
      </w:r>
      <w:r>
        <w:rPr>
          <w:rFonts w:hint="eastAsia" w:ascii="宋体" w:hAnsi="宋体" w:cs="宋体"/>
          <w:bCs/>
          <w:color w:val="auto"/>
          <w:spacing w:val="-1"/>
          <w:kern w:val="0"/>
          <w:szCs w:val="21"/>
          <w:highlight w:val="none"/>
        </w:rPr>
        <w:t>类</w:t>
      </w:r>
      <w:r>
        <w:rPr>
          <w:rFonts w:hint="eastAsia" w:ascii="宋体" w:hAnsi="宋体" w:cs="宋体"/>
          <w:bCs/>
          <w:color w:val="auto"/>
          <w:kern w:val="0"/>
          <w:szCs w:val="21"/>
          <w:highlight w:val="none"/>
        </w:rPr>
        <w:t>型，可登录工业</w:t>
      </w:r>
      <w:r>
        <w:rPr>
          <w:rFonts w:hint="eastAsia" w:ascii="宋体" w:hAnsi="宋体" w:cs="宋体"/>
          <w:bCs/>
          <w:color w:val="auto"/>
          <w:spacing w:val="-1"/>
          <w:kern w:val="0"/>
          <w:szCs w:val="21"/>
          <w:highlight w:val="none"/>
        </w:rPr>
        <w:t>和</w:t>
      </w:r>
      <w:r>
        <w:rPr>
          <w:rFonts w:hint="eastAsia" w:ascii="宋体" w:hAnsi="宋体" w:cs="宋体"/>
          <w:bCs/>
          <w:color w:val="auto"/>
          <w:kern w:val="0"/>
          <w:szCs w:val="21"/>
          <w:highlight w:val="none"/>
        </w:rPr>
        <w:t>信息化部网站上</w:t>
      </w:r>
      <w:r>
        <w:rPr>
          <w:rFonts w:hint="eastAsia" w:ascii="宋体" w:hAnsi="宋体" w:cs="宋体"/>
          <w:bCs/>
          <w:color w:val="auto"/>
          <w:spacing w:val="-1"/>
          <w:kern w:val="0"/>
          <w:szCs w:val="21"/>
          <w:highlight w:val="none"/>
        </w:rPr>
        <w:t>中</w:t>
      </w:r>
      <w:r>
        <w:rPr>
          <w:rFonts w:hint="eastAsia" w:ascii="宋体" w:hAnsi="宋体" w:cs="宋体"/>
          <w:bCs/>
          <w:color w:val="auto"/>
          <w:kern w:val="0"/>
          <w:szCs w:val="21"/>
          <w:highlight w:val="none"/>
        </w:rPr>
        <w:t>小企业规模类型</w:t>
      </w:r>
      <w:r>
        <w:rPr>
          <w:rFonts w:hint="eastAsia" w:ascii="宋体" w:hAnsi="宋体" w:cs="宋体"/>
          <w:bCs/>
          <w:color w:val="auto"/>
          <w:spacing w:val="6"/>
          <w:w w:val="97"/>
          <w:kern w:val="0"/>
          <w:szCs w:val="21"/>
          <w:highlight w:val="none"/>
        </w:rPr>
        <w:t>自</w:t>
      </w:r>
      <w:r>
        <w:rPr>
          <w:rFonts w:hint="eastAsia" w:ascii="宋体" w:hAnsi="宋体" w:cs="宋体"/>
          <w:bCs/>
          <w:color w:val="auto"/>
          <w:spacing w:val="-6"/>
          <w:kern w:val="0"/>
          <w:szCs w:val="21"/>
          <w:highlight w:val="none"/>
        </w:rPr>
        <w:t>测</w:t>
      </w:r>
      <w:r>
        <w:rPr>
          <w:rFonts w:hint="eastAsia" w:ascii="宋体" w:hAnsi="宋体" w:cs="宋体"/>
          <w:bCs/>
          <w:color w:val="auto"/>
          <w:kern w:val="0"/>
          <w:szCs w:val="21"/>
          <w:highlight w:val="none"/>
        </w:rPr>
        <w:t>小程序中查询，网址：http://202.106.120.146/baosong/appweb/orgScale.html</w:t>
      </w:r>
      <w:r>
        <w:rPr>
          <w:rFonts w:hint="eastAsia" w:ascii="宋体" w:hAnsi="宋体" w:cs="宋体"/>
          <w:bCs/>
          <w:color w:val="auto"/>
          <w:spacing w:val="21"/>
          <w:w w:val="90"/>
          <w:kern w:val="0"/>
          <w:szCs w:val="21"/>
          <w:highlight w:val="none"/>
        </w:rPr>
        <w:t>）</w:t>
      </w:r>
    </w:p>
    <w:p>
      <w:pPr>
        <w:widowControl/>
        <w:numPr>
          <w:ilvl w:val="0"/>
          <w:numId w:val="1"/>
        </w:numPr>
        <w:shd w:val="clear" w:color="auto" w:fill="FFFFFF"/>
        <w:spacing w:line="360" w:lineRule="auto"/>
        <w:jc w:val="left"/>
        <w:rPr>
          <w:rFonts w:ascii="黑体" w:hAnsi="黑体" w:eastAsia="黑体" w:cs="宋体"/>
          <w:color w:val="auto"/>
          <w:kern w:val="0"/>
          <w:sz w:val="24"/>
          <w:szCs w:val="24"/>
        </w:rPr>
      </w:pPr>
      <w:r>
        <w:rPr>
          <w:rFonts w:hint="eastAsia" w:ascii="黑体" w:hAnsi="黑体" w:eastAsia="黑体" w:cs="宋体"/>
          <w:color w:val="auto"/>
          <w:kern w:val="0"/>
          <w:sz w:val="24"/>
          <w:szCs w:val="24"/>
        </w:rPr>
        <w:t>投标人资格要求</w:t>
      </w:r>
    </w:p>
    <w:p>
      <w:pPr>
        <w:widowControl/>
        <w:shd w:val="clear" w:color="auto" w:fill="FFFFFF"/>
        <w:spacing w:line="360" w:lineRule="auto"/>
        <w:ind w:firstLine="480" w:firstLineChars="200"/>
        <w:jc w:val="left"/>
        <w:rPr>
          <w:rFonts w:ascii="宋体" w:hAnsi="宋体"/>
          <w:color w:val="auto"/>
          <w:sz w:val="24"/>
          <w:szCs w:val="24"/>
        </w:rPr>
      </w:pPr>
      <w:r>
        <w:rPr>
          <w:rFonts w:hint="eastAsia" w:ascii="宋体" w:hAnsi="宋体"/>
          <w:color w:val="auto"/>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auto"/>
          <w:sz w:val="24"/>
          <w:szCs w:val="24"/>
        </w:rPr>
      </w:pPr>
      <w:r>
        <w:rPr>
          <w:rFonts w:hint="eastAsia" w:ascii="宋体" w:hAnsi="宋体"/>
          <w:color w:val="auto"/>
          <w:sz w:val="24"/>
          <w:szCs w:val="24"/>
        </w:rPr>
        <w:t>2.未被“信用中国”网站（www.creditchina.gov.cn）、中国政府采购网(www.ccgp.gov.cn)列入失信被执行人、重大税收违法案件当事人名单、政府采购严重违法失信行为记录名单；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3.</w:t>
      </w:r>
      <w:r>
        <w:rPr>
          <w:rFonts w:hint="eastAsia" w:ascii="宋体" w:hAnsi="宋体"/>
          <w:color w:val="auto"/>
          <w:sz w:val="24"/>
          <w:szCs w:val="24"/>
        </w:rPr>
        <w:t>具备</w:t>
      </w:r>
      <w:r>
        <w:rPr>
          <w:rFonts w:hint="eastAsia" w:ascii="宋体" w:hAnsi="宋体" w:cs="宋体"/>
          <w:color w:val="auto"/>
          <w:kern w:val="0"/>
          <w:sz w:val="24"/>
          <w:szCs w:val="24"/>
        </w:rPr>
        <w:t>采购人根据招标项目的特殊要求规定的</w:t>
      </w:r>
      <w:r>
        <w:rPr>
          <w:rFonts w:hint="eastAsia" w:ascii="宋体" w:hAnsi="宋体"/>
          <w:color w:val="auto"/>
          <w:sz w:val="24"/>
          <w:szCs w:val="24"/>
        </w:rPr>
        <w:t>以下</w:t>
      </w:r>
      <w:r>
        <w:rPr>
          <w:rFonts w:hint="eastAsia" w:ascii="宋体" w:hAnsi="宋体" w:cs="宋体"/>
          <w:color w:val="auto"/>
          <w:kern w:val="0"/>
          <w:sz w:val="24"/>
          <w:szCs w:val="24"/>
        </w:rPr>
        <w:t>特定资质：</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（1）本项目不接受联合体投标；</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highlight w:val="none"/>
          <w:lang w:eastAsia="zh-CN"/>
        </w:rPr>
        <w:t>本项目专门面向中小企业</w:t>
      </w:r>
    </w:p>
    <w:p>
      <w:pPr>
        <w:widowControl/>
        <w:numPr>
          <w:ilvl w:val="0"/>
          <w:numId w:val="1"/>
        </w:numPr>
        <w:shd w:val="clear" w:color="auto" w:fill="FFFFFF"/>
        <w:spacing w:line="360" w:lineRule="auto"/>
        <w:jc w:val="left"/>
        <w:rPr>
          <w:rFonts w:ascii="宋体" w:hAnsi="宋体"/>
          <w:bCs/>
          <w:color w:val="auto"/>
          <w:sz w:val="24"/>
          <w:highlight w:val="none"/>
        </w:rPr>
      </w:pPr>
      <w:r>
        <w:rPr>
          <w:rFonts w:hint="eastAsia" w:ascii="黑体" w:hAnsi="黑体" w:eastAsia="黑体" w:cs="宋体"/>
          <w:color w:val="auto"/>
          <w:kern w:val="0"/>
          <w:sz w:val="24"/>
          <w:highlight w:val="none"/>
        </w:rPr>
        <w:t>供应商主体信息库注册</w:t>
      </w:r>
    </w:p>
    <w:p>
      <w:pPr>
        <w:widowControl/>
        <w:shd w:val="clear" w:color="auto" w:fill="FFFFFF"/>
        <w:spacing w:line="360" w:lineRule="auto"/>
        <w:ind w:left="480"/>
        <w:jc w:val="left"/>
        <w:rPr>
          <w:rFonts w:ascii="宋体" w:hAnsi="宋体"/>
          <w:bCs/>
          <w:color w:val="auto"/>
          <w:sz w:val="24"/>
          <w:highlight w:val="none"/>
        </w:rPr>
      </w:pPr>
      <w:r>
        <w:rPr>
          <w:rFonts w:hint="eastAsia" w:ascii="宋体" w:hAnsi="宋体"/>
          <w:bCs/>
          <w:color w:val="auto"/>
          <w:sz w:val="24"/>
          <w:szCs w:val="24"/>
          <w:highlight w:val="none"/>
        </w:rPr>
        <w:t>1.请有意参加本项目投标的供应商按以下流程进行操作：</w:t>
      </w:r>
    </w:p>
    <w:p>
      <w:pPr>
        <w:widowControl/>
        <w:shd w:val="clear" w:color="auto" w:fill="FFFFFF"/>
        <w:spacing w:line="360" w:lineRule="auto"/>
        <w:ind w:firstLine="480" w:firstLineChars="200"/>
        <w:jc w:val="left"/>
        <w:rPr>
          <w:rFonts w:ascii="宋体" w:hAnsi="宋体"/>
          <w:bCs/>
          <w:color w:val="auto"/>
          <w:sz w:val="24"/>
          <w:highlight w:val="none"/>
        </w:rPr>
      </w:pPr>
      <w:r>
        <w:rPr>
          <w:rFonts w:hint="eastAsia" w:ascii="宋体" w:hAnsi="宋体"/>
          <w:bCs/>
          <w:color w:val="auto"/>
          <w:sz w:val="24"/>
          <w:szCs w:val="24"/>
          <w:highlight w:val="none"/>
        </w:rPr>
        <w:t>（1）请有意参加本项目投标的供应商在项目投标截止时间前完成在供应商主体信息库的注册登记手续。无锡市政府采购交易管理一体化系统注册网址: http://middle.wuxi.zcygov.cn/v-settle-front/registry。</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（2）领取CA（办理地址：观山路199号市民中心12号楼1楼CA窗口）和办理电子签章（办理地址：观山路199号市民中心12号楼2楼2号窗口），同时，</w:t>
      </w:r>
      <w:r>
        <w:rPr>
          <w:rFonts w:hint="eastAsia" w:ascii="宋体" w:hAnsi="宋体" w:cs="宋体"/>
          <w:color w:val="auto"/>
          <w:kern w:val="0"/>
          <w:sz w:val="24"/>
          <w:szCs w:val="24"/>
          <w:highlight w:val="none"/>
        </w:rPr>
        <w:t>CA证书、电子签章服务商提供线上办理、邮寄服务，办理手续及流程可拨打客服热线进行咨询（联系电话：0510-85541366、4000251010）</w:t>
      </w:r>
      <w:r>
        <w:rPr>
          <w:rFonts w:hint="eastAsia" w:ascii="宋体" w:hAnsi="宋体"/>
          <w:bCs/>
          <w:color w:val="auto"/>
          <w:sz w:val="24"/>
          <w:szCs w:val="24"/>
          <w:highlight w:val="none"/>
        </w:rPr>
        <w:t xml:space="preserve">（原已办理过CA进行过电子投标的供应商可不重复申领）。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 xml:space="preserve">（3）投标客户端下载链接：https://zcy-cdn.oss-cn-shanghai.aliyuncs.com/zcy-client/bidding-client/wuxi/ZhengCaiYunStep.3.11.7.exe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（4）CA驱动下载链接（江苏省-国信CA驱动）：</w:t>
      </w:r>
      <w:r>
        <w:rPr>
          <w:color w:val="auto"/>
          <w:highlight w:val="none"/>
        </w:rPr>
        <w:fldChar w:fldCharType="begin"/>
      </w:r>
      <w:r>
        <w:rPr>
          <w:color w:val="auto"/>
          <w:highlight w:val="none"/>
        </w:rPr>
        <w:instrText xml:space="preserve"> HYPERLINK "https://customer.zcygov.cn/CA-driver-download?utm=web-login-front.509b3709.0.0.004ab15096ee11ebbc33f5d151e70834" </w:instrText>
      </w:r>
      <w:r>
        <w:rPr>
          <w:color w:val="auto"/>
          <w:highlight w:val="none"/>
        </w:rPr>
        <w:fldChar w:fldCharType="separate"/>
      </w:r>
      <w:r>
        <w:rPr>
          <w:rStyle w:val="31"/>
          <w:rFonts w:hint="eastAsia" w:ascii="宋体" w:hAnsi="宋体"/>
          <w:bCs/>
          <w:color w:val="auto"/>
          <w:sz w:val="24"/>
          <w:szCs w:val="24"/>
          <w:highlight w:val="none"/>
        </w:rPr>
        <w:t>https://customer.zcygov.cn/CA-driver-download?utm=web-login-front.509b3709.0.0.004ab15096ee11ebbc33f5d151e70834</w:t>
      </w:r>
      <w:r>
        <w:rPr>
          <w:rStyle w:val="31"/>
          <w:rFonts w:hint="eastAsia" w:ascii="宋体" w:hAnsi="宋体"/>
          <w:bCs/>
          <w:color w:val="auto"/>
          <w:sz w:val="24"/>
          <w:szCs w:val="24"/>
          <w:highlight w:val="none"/>
        </w:rPr>
        <w:fldChar w:fldCharType="end"/>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技术服务电话：4008817190（服务时间：工作日8:00-20:00）</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2.投标人在领取CA和办理电子签章前务必前往“无锡政府采购网”“供应商信息库”（网址：https://cz.wuxi.zcygov.cn/wxCategory19/wxCategory125/index.html?utm=sites_group_front.5b1ba037.0.0.959ae250ca6711ebb0349920799faebc）查询是否完成注册登记。</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完成注册的供应商方可领取CA和办理电子签章，登录政采云平台，插入CA后，点击【我的工作台】——页面右上方【CA管理】--【绑定CA】，方可进行投标。</w:t>
      </w:r>
    </w:p>
    <w:p>
      <w:pPr>
        <w:widowControl/>
        <w:shd w:val="clear" w:color="auto" w:fill="FFFFFF"/>
        <w:spacing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3.所有参与惠山区政府采购项目的供应商基本信息，以无锡市政府采购交易管理一体化系统供应商信息库信息为准，如投标人未按上述要求操作，由此所产生的损失及风险由投标人自行承担。</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4.本次采购采用《</w:t>
      </w:r>
      <w:r>
        <w:rPr>
          <w:rFonts w:hint="eastAsia" w:ascii="宋体" w:hAnsi="宋体"/>
          <w:bCs/>
          <w:color w:val="auto"/>
          <w:sz w:val="24"/>
          <w:szCs w:val="24"/>
          <w:highlight w:val="none"/>
        </w:rPr>
        <w:t>无锡市政府采购交易管理一体化系统</w:t>
      </w:r>
      <w:r>
        <w:rPr>
          <w:rFonts w:hint="eastAsia" w:ascii="宋体" w:hAnsi="宋体"/>
          <w:color w:val="auto"/>
          <w:sz w:val="24"/>
          <w:szCs w:val="24"/>
          <w:highlight w:val="none"/>
        </w:rPr>
        <w:t>》进行招标投标活动，招标、投标、评标和中标结果发布全程电子化。相关操作流程投标人可前往无锡政府采购网</w:t>
      </w:r>
      <w:r>
        <w:rPr>
          <w:rFonts w:ascii="宋体" w:hAnsi="宋体"/>
          <w:color w:val="auto"/>
          <w:sz w:val="24"/>
          <w:szCs w:val="24"/>
          <w:highlight w:val="none"/>
        </w:rPr>
        <w:t>----</w:t>
      </w:r>
      <w:r>
        <w:rPr>
          <w:rFonts w:hint="eastAsia" w:ascii="宋体" w:hAnsi="宋体"/>
          <w:color w:val="auto"/>
          <w:sz w:val="24"/>
          <w:szCs w:val="24"/>
          <w:highlight w:val="none"/>
        </w:rPr>
        <w:t>办事指南</w:t>
      </w:r>
      <w:r>
        <w:rPr>
          <w:rFonts w:ascii="宋体" w:hAnsi="宋体"/>
          <w:color w:val="auto"/>
          <w:sz w:val="24"/>
          <w:szCs w:val="24"/>
          <w:highlight w:val="none"/>
        </w:rPr>
        <w:t>----</w:t>
      </w:r>
      <w:r>
        <w:rPr>
          <w:rFonts w:hint="eastAsia" w:ascii="宋体" w:hAnsi="宋体"/>
          <w:color w:val="auto"/>
          <w:sz w:val="24"/>
          <w:szCs w:val="24"/>
          <w:highlight w:val="none"/>
        </w:rPr>
        <w:t>政府采购流程----《无锡市政府采购交易管理一体化系统全流程电子化交易功能操作视频》观看供应商操作视频（</w:t>
      </w:r>
      <w:r>
        <w:rPr>
          <w:rFonts w:ascii="宋体" w:hAnsi="宋体"/>
          <w:color w:val="auto"/>
          <w:sz w:val="24"/>
          <w:szCs w:val="24"/>
          <w:highlight w:val="none"/>
        </w:rPr>
        <w:t>https://cz.wuxi.zcygov.cn/wxCategory15/wxCategory117/index.html?utm=sites_group_front.5b1ba037.0.0.b7fdf7c0105211ec88b54b58ab0eb5cf</w:t>
      </w:r>
      <w:r>
        <w:rPr>
          <w:rFonts w:hint="eastAsia" w:ascii="宋体" w:hAnsi="宋体"/>
          <w:color w:val="auto"/>
          <w:sz w:val="24"/>
          <w:szCs w:val="24"/>
          <w:highlight w:val="none"/>
        </w:rPr>
        <w:t>）</w:t>
      </w:r>
    </w:p>
    <w:p>
      <w:pPr>
        <w:widowControl/>
        <w:shd w:val="clear" w:color="auto" w:fill="FFFFFF"/>
        <w:spacing w:line="360" w:lineRule="auto"/>
        <w:ind w:firstLine="480" w:firstLineChars="200"/>
        <w:jc w:val="left"/>
        <w:rPr>
          <w:rFonts w:ascii="宋体" w:hAnsi="宋体"/>
          <w:bCs/>
          <w:color w:val="auto"/>
          <w:sz w:val="24"/>
          <w:highlight w:val="none"/>
        </w:rPr>
      </w:pPr>
      <w:r>
        <w:rPr>
          <w:rFonts w:hint="eastAsia" w:ascii="宋体" w:hAnsi="宋体"/>
          <w:color w:val="auto"/>
          <w:sz w:val="24"/>
          <w:szCs w:val="24"/>
          <w:highlight w:val="none"/>
        </w:rPr>
        <w:t>5.有关本次招标的事项若存在变动或修改</w:t>
      </w:r>
      <w:r>
        <w:rPr>
          <w:rFonts w:hint="eastAsia" w:ascii="宋体" w:hAnsi="宋体"/>
          <w:bCs/>
          <w:color w:val="auto"/>
          <w:sz w:val="24"/>
          <w:highlight w:val="none"/>
        </w:rPr>
        <w:t>，敬请及时关注江苏政府采购网、无锡政府采购网和惠山区公共资源交易中心网站发布的信息更正公告。如潜在投标人未按上述要求操作，由此所产生的损失及风险由潜在投标人自行承担。</w:t>
      </w:r>
    </w:p>
    <w:p>
      <w:pPr>
        <w:widowControl/>
        <w:numPr>
          <w:ilvl w:val="0"/>
          <w:numId w:val="1"/>
        </w:numPr>
        <w:shd w:val="clear" w:color="auto" w:fill="FFFFFF"/>
        <w:spacing w:line="360" w:lineRule="auto"/>
        <w:jc w:val="left"/>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完成项目报名，获取采购文件</w:t>
      </w:r>
    </w:p>
    <w:p>
      <w:pPr>
        <w:widowControl/>
        <w:shd w:val="clear" w:color="auto" w:fill="FFFFFF"/>
        <w:spacing w:line="360" w:lineRule="auto"/>
        <w:ind w:firstLine="480" w:firstLineChars="200"/>
        <w:jc w:val="left"/>
        <w:rPr>
          <w:rFonts w:ascii="宋体" w:hAnsi="宋体"/>
          <w:bCs/>
          <w:color w:val="auto"/>
          <w:sz w:val="24"/>
          <w:highlight w:val="none"/>
        </w:rPr>
      </w:pPr>
      <w:r>
        <w:rPr>
          <w:rFonts w:hint="eastAsia" w:ascii="宋体" w:hAnsi="宋体"/>
          <w:color w:val="auto"/>
          <w:sz w:val="24"/>
          <w:szCs w:val="24"/>
          <w:highlight w:val="none"/>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widowControl/>
        <w:numPr>
          <w:ilvl w:val="0"/>
          <w:numId w:val="1"/>
        </w:numPr>
        <w:shd w:val="clear" w:color="auto" w:fill="FFFFFF"/>
        <w:spacing w:line="360" w:lineRule="auto"/>
        <w:jc w:val="left"/>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公开答疑时间、地点</w:t>
      </w:r>
    </w:p>
    <w:p>
      <w:pPr>
        <w:widowControl/>
        <w:shd w:val="clear" w:color="auto" w:fill="FFFFFF"/>
        <w:spacing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采购人、无锡市惠山区采购中心将以线上不见面、电话咨询、传真等方式开展线上答疑服务。截止至</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日10:00前，</w:t>
      </w:r>
      <w:r>
        <w:rPr>
          <w:rFonts w:hint="eastAsia" w:ascii="宋体" w:hAnsi="宋体"/>
          <w:bCs/>
          <w:color w:val="auto"/>
          <w:sz w:val="24"/>
          <w:szCs w:val="24"/>
          <w:highlight w:val="none"/>
        </w:rPr>
        <w:t>有关单位对于招标文件的相关事项如有疑问可通过上述方式咨询采购人；投标人如有需要对招标文件要求澄清的问题，请书面提出“HSCGZX(G)</w:t>
      </w:r>
      <w:r>
        <w:rPr>
          <w:rFonts w:hint="eastAsia" w:ascii="宋体" w:hAnsi="宋体"/>
          <w:bCs/>
          <w:color w:val="auto"/>
          <w:sz w:val="24"/>
          <w:szCs w:val="24"/>
          <w:highlight w:val="none"/>
          <w:lang w:val="en-US" w:eastAsia="zh-CN"/>
        </w:rPr>
        <w:t>20230062</w:t>
      </w:r>
      <w:r>
        <w:rPr>
          <w:rFonts w:hint="eastAsia" w:ascii="宋体" w:hAnsi="宋体"/>
          <w:bCs/>
          <w:color w:val="auto"/>
          <w:sz w:val="24"/>
          <w:szCs w:val="24"/>
          <w:highlight w:val="none"/>
        </w:rPr>
        <w:t>项目需澄清问题”，并将盖章原件邮寄至无锡市惠山区政府采购中心，地址:无锡市惠山区政和大道209号住建局大楼407采购服务科二。若未在法定时间内提出澄清，由此造成的损失及风险由投标人自行承担。</w:t>
      </w:r>
    </w:p>
    <w:p>
      <w:pPr>
        <w:spacing w:line="360" w:lineRule="auto"/>
        <w:ind w:left="-59" w:leftChars="-28"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注：建议各拟投标人尽量对项目现场和周围环境进行踏勘，在随后的采购中，对现场资料和数据所做出的推论、解释和结论及由此造成的后果由投标人负责。</w:t>
      </w:r>
    </w:p>
    <w:p>
      <w:pPr>
        <w:widowControl/>
        <w:numPr>
          <w:ilvl w:val="0"/>
          <w:numId w:val="1"/>
        </w:numPr>
        <w:shd w:val="clear" w:color="auto" w:fill="FFFFFF"/>
        <w:spacing w:line="360" w:lineRule="auto"/>
        <w:jc w:val="left"/>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投标及开标、定标时间、地点</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网上投标截止时间：202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日1</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:15（投标截止时间后的投标文件恕不接受）</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网上投标解密时间：202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日开启解密后半小时。</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开标地点：</w:t>
      </w:r>
      <w:r>
        <w:rPr>
          <w:rFonts w:hint="eastAsia" w:ascii="宋体" w:hAnsi="宋体"/>
          <w:bCs/>
          <w:color w:val="auto"/>
          <w:sz w:val="24"/>
          <w:szCs w:val="24"/>
          <w:highlight w:val="none"/>
        </w:rPr>
        <w:t>无锡市政府采购交易管理一体化系统</w:t>
      </w:r>
    </w:p>
    <w:p>
      <w:pPr>
        <w:spacing w:line="360" w:lineRule="auto"/>
        <w:ind w:firstLine="480" w:firstLineChars="200"/>
        <w:rPr>
          <w:rFonts w:ascii="宋体"/>
          <w:bCs/>
          <w:color w:val="auto"/>
          <w:sz w:val="24"/>
          <w:szCs w:val="24"/>
        </w:rPr>
      </w:pPr>
      <w:r>
        <w:rPr>
          <w:rFonts w:hint="eastAsia" w:ascii="宋体" w:hAnsi="宋体"/>
          <w:bCs/>
          <w:color w:val="auto"/>
          <w:sz w:val="24"/>
          <w:szCs w:val="24"/>
        </w:rPr>
        <w:t>定标时间：评标结束</w:t>
      </w:r>
    </w:p>
    <w:p>
      <w:pPr>
        <w:widowControl/>
        <w:shd w:val="clear" w:color="auto" w:fill="FFFFFF"/>
        <w:spacing w:line="360" w:lineRule="auto"/>
        <w:ind w:firstLine="480" w:firstLineChars="200"/>
        <w:jc w:val="left"/>
        <w:rPr>
          <w:rFonts w:ascii="宋体" w:hAnsi="宋体" w:cs="宋体"/>
          <w:bCs/>
          <w:color w:val="auto"/>
          <w:kern w:val="0"/>
          <w:sz w:val="24"/>
          <w:szCs w:val="24"/>
        </w:rPr>
      </w:pPr>
      <w:r>
        <w:rPr>
          <w:rFonts w:hint="eastAsia" w:ascii="宋体" w:hAnsi="宋体"/>
          <w:bCs/>
          <w:color w:val="auto"/>
          <w:sz w:val="24"/>
          <w:szCs w:val="24"/>
        </w:rPr>
        <w:t>定标地点：</w:t>
      </w:r>
      <w:r>
        <w:rPr>
          <w:rFonts w:hint="eastAsia" w:ascii="宋体" w:hAnsi="宋体" w:cs="宋体"/>
          <w:bCs/>
          <w:color w:val="auto"/>
          <w:kern w:val="0"/>
          <w:sz w:val="24"/>
          <w:szCs w:val="24"/>
        </w:rPr>
        <w:t>无锡市惠山区政和大道209号住建局大楼404评标6室</w:t>
      </w:r>
    </w:p>
    <w:p>
      <w:pPr>
        <w:numPr>
          <w:ilvl w:val="0"/>
          <w:numId w:val="1"/>
        </w:numPr>
        <w:spacing w:line="360" w:lineRule="auto"/>
        <w:rPr>
          <w:rFonts w:ascii="宋体"/>
          <w:bCs/>
          <w:color w:val="auto"/>
          <w:sz w:val="24"/>
          <w:szCs w:val="24"/>
        </w:rPr>
      </w:pPr>
      <w:r>
        <w:rPr>
          <w:rFonts w:hint="eastAsia" w:ascii="黑体" w:hAnsi="黑体" w:eastAsia="黑体"/>
          <w:bCs/>
          <w:color w:val="auto"/>
          <w:sz w:val="24"/>
          <w:szCs w:val="24"/>
        </w:rPr>
        <w:t>投标有效期：</w:t>
      </w:r>
      <w:r>
        <w:rPr>
          <w:rFonts w:hint="eastAsia" w:ascii="宋体" w:hAnsi="宋体"/>
          <w:bCs/>
          <w:color w:val="auto"/>
          <w:sz w:val="24"/>
          <w:szCs w:val="24"/>
        </w:rPr>
        <w:t>开标之日起90天</w:t>
      </w:r>
    </w:p>
    <w:p>
      <w:pPr>
        <w:numPr>
          <w:ilvl w:val="0"/>
          <w:numId w:val="1"/>
        </w:numPr>
        <w:spacing w:line="360" w:lineRule="auto"/>
        <w:rPr>
          <w:rFonts w:ascii="黑体" w:hAnsi="黑体" w:eastAsia="黑体"/>
          <w:bCs/>
          <w:color w:val="auto"/>
          <w:sz w:val="24"/>
          <w:szCs w:val="24"/>
        </w:rPr>
      </w:pPr>
      <w:r>
        <w:rPr>
          <w:rFonts w:hint="eastAsia" w:ascii="黑体" w:hAnsi="黑体" w:eastAsia="黑体"/>
          <w:bCs/>
          <w:color w:val="auto"/>
          <w:sz w:val="24"/>
          <w:szCs w:val="24"/>
        </w:rPr>
        <w:t>其它</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1.集中采购机构：无锡市惠山区政府采购中心</w:t>
      </w:r>
    </w:p>
    <w:p>
      <w:pPr>
        <w:widowControl/>
        <w:shd w:val="clear" w:color="auto" w:fill="FFFFFF"/>
        <w:spacing w:line="360" w:lineRule="auto"/>
        <w:ind w:firstLine="480" w:firstLineChars="200"/>
        <w:jc w:val="left"/>
        <w:rPr>
          <w:rFonts w:ascii="宋体" w:hAnsi="宋体" w:cs="宋体"/>
          <w:bCs/>
          <w:color w:val="auto"/>
          <w:kern w:val="0"/>
          <w:sz w:val="24"/>
          <w:szCs w:val="24"/>
        </w:rPr>
      </w:pPr>
      <w:r>
        <w:rPr>
          <w:rFonts w:hint="eastAsia" w:ascii="宋体" w:hAnsi="宋体" w:cs="宋体"/>
          <w:color w:val="auto"/>
          <w:kern w:val="0"/>
          <w:sz w:val="24"/>
          <w:szCs w:val="24"/>
        </w:rPr>
        <w:t xml:space="preserve">  地址: </w:t>
      </w:r>
      <w:r>
        <w:rPr>
          <w:rFonts w:hint="eastAsia" w:ascii="宋体" w:hAnsi="宋体" w:cs="宋体"/>
          <w:bCs/>
          <w:color w:val="auto"/>
          <w:kern w:val="0"/>
          <w:sz w:val="24"/>
          <w:szCs w:val="24"/>
        </w:rPr>
        <w:t>无锡市惠山区政和大道209号住建局大楼407室</w:t>
      </w:r>
    </w:p>
    <w:p>
      <w:pPr>
        <w:widowControl/>
        <w:shd w:val="clear" w:color="auto" w:fill="FFFFFF"/>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 xml:space="preserve">  项目联系人: </w:t>
      </w:r>
      <w:r>
        <w:rPr>
          <w:rFonts w:hint="eastAsia" w:ascii="宋体" w:hAnsi="宋体" w:cs="宋体"/>
          <w:color w:val="auto"/>
          <w:kern w:val="0"/>
          <w:sz w:val="24"/>
          <w:szCs w:val="24"/>
          <w:lang w:eastAsia="zh-CN"/>
        </w:rPr>
        <w:t>许江</w:t>
      </w:r>
      <w:r>
        <w:rPr>
          <w:rFonts w:hint="eastAsia" w:ascii="宋体" w:hAnsi="宋体" w:cs="宋体"/>
          <w:color w:val="auto"/>
          <w:kern w:val="0"/>
          <w:sz w:val="24"/>
          <w:szCs w:val="24"/>
          <w:lang w:val="en-US" w:eastAsia="zh-CN"/>
        </w:rPr>
        <w:t xml:space="preserve">  马胜</w:t>
      </w:r>
    </w:p>
    <w:p>
      <w:pPr>
        <w:widowControl/>
        <w:shd w:val="clear" w:color="auto" w:fill="FFFFFF"/>
        <w:spacing w:line="360" w:lineRule="auto"/>
        <w:ind w:firstLine="465"/>
        <w:jc w:val="left"/>
        <w:rPr>
          <w:rFonts w:ascii="宋体" w:hAnsi="宋体" w:cs="宋体"/>
          <w:color w:val="auto"/>
          <w:kern w:val="0"/>
          <w:sz w:val="24"/>
          <w:szCs w:val="24"/>
        </w:rPr>
      </w:pPr>
      <w:r>
        <w:rPr>
          <w:rFonts w:hint="eastAsia" w:ascii="宋体" w:hAnsi="宋体" w:cs="宋体"/>
          <w:color w:val="auto"/>
          <w:kern w:val="0"/>
          <w:sz w:val="24"/>
          <w:szCs w:val="24"/>
        </w:rPr>
        <w:t xml:space="preserve">  电话：0510-83596193</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  传真：0510-83596192</w:t>
      </w:r>
    </w:p>
    <w:p>
      <w:pPr>
        <w:widowControl/>
        <w:shd w:val="clear" w:color="auto" w:fill="FFFFFF"/>
        <w:spacing w:line="360" w:lineRule="auto"/>
        <w:ind w:firstLine="465"/>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 2.采购单位联系人：</w:t>
      </w:r>
      <w:r>
        <w:rPr>
          <w:rFonts w:hint="eastAsia" w:ascii="宋体" w:hAnsi="宋体" w:cs="宋体"/>
          <w:color w:val="auto"/>
          <w:kern w:val="0"/>
          <w:sz w:val="24"/>
          <w:szCs w:val="24"/>
          <w:lang w:eastAsia="zh-CN"/>
        </w:rPr>
        <w:t>洪磊</w:t>
      </w:r>
    </w:p>
    <w:p>
      <w:pPr>
        <w:widowControl/>
        <w:shd w:val="clear" w:color="auto" w:fill="FFFFFF"/>
        <w:spacing w:line="360" w:lineRule="auto"/>
        <w:ind w:left="420" w:firstLine="420"/>
        <w:jc w:val="left"/>
        <w:rPr>
          <w:rFonts w:hint="default" w:ascii="宋体" w:hAnsi="宋体" w:cs="宋体"/>
          <w:color w:val="auto"/>
          <w:kern w:val="0"/>
          <w:sz w:val="24"/>
          <w:szCs w:val="24"/>
          <w:lang w:val="en-US"/>
        </w:rPr>
      </w:pPr>
      <w:r>
        <w:rPr>
          <w:rFonts w:hint="eastAsia" w:ascii="宋体" w:hAnsi="宋体" w:cs="宋体"/>
          <w:color w:val="auto"/>
          <w:kern w:val="0"/>
          <w:sz w:val="24"/>
          <w:szCs w:val="24"/>
        </w:rPr>
        <w:t>电话：</w:t>
      </w:r>
      <w:r>
        <w:rPr>
          <w:rFonts w:hint="eastAsia" w:ascii="宋体" w:hAnsi="宋体" w:cs="宋体"/>
          <w:color w:val="auto"/>
          <w:kern w:val="0"/>
          <w:sz w:val="24"/>
          <w:szCs w:val="24"/>
          <w:lang w:eastAsia="zh-CN"/>
        </w:rPr>
        <w:t>1</w:t>
      </w:r>
      <w:r>
        <w:rPr>
          <w:rFonts w:hint="eastAsia" w:ascii="宋体" w:hAnsi="宋体" w:cs="宋体"/>
          <w:color w:val="auto"/>
          <w:kern w:val="0"/>
          <w:sz w:val="24"/>
          <w:szCs w:val="24"/>
          <w:lang w:val="en-US" w:eastAsia="zh-CN"/>
        </w:rPr>
        <w:t>3861871182</w:t>
      </w:r>
    </w:p>
    <w:p>
      <w:pPr>
        <w:widowControl/>
        <w:shd w:val="clear" w:color="auto" w:fill="FFFFFF"/>
        <w:spacing w:line="360" w:lineRule="auto"/>
        <w:ind w:left="420" w:firstLine="420"/>
        <w:jc w:val="left"/>
        <w:rPr>
          <w:rFonts w:hint="default" w:ascii="宋体" w:hAnsi="宋体" w:cs="宋体"/>
          <w:color w:val="auto"/>
          <w:kern w:val="0"/>
          <w:sz w:val="24"/>
          <w:szCs w:val="24"/>
          <w:lang w:val="en-US"/>
        </w:rPr>
      </w:pPr>
      <w:r>
        <w:rPr>
          <w:rFonts w:hint="eastAsia" w:ascii="宋体" w:hAnsi="宋体" w:cs="宋体"/>
          <w:color w:val="auto"/>
          <w:kern w:val="0"/>
          <w:sz w:val="24"/>
          <w:szCs w:val="24"/>
        </w:rPr>
        <w:t>地址：</w:t>
      </w:r>
      <w:r>
        <w:rPr>
          <w:rFonts w:hint="eastAsia" w:ascii="宋体" w:hAnsi="宋体" w:cs="宋体"/>
          <w:color w:val="auto"/>
          <w:kern w:val="0"/>
          <w:sz w:val="24"/>
          <w:szCs w:val="24"/>
          <w:lang w:eastAsia="zh-CN"/>
        </w:rPr>
        <w:t>无锡市惠山区西新路</w:t>
      </w:r>
      <w:r>
        <w:rPr>
          <w:rFonts w:hint="eastAsia" w:ascii="宋体" w:hAnsi="宋体" w:cs="宋体"/>
          <w:color w:val="auto"/>
          <w:kern w:val="0"/>
          <w:sz w:val="24"/>
          <w:szCs w:val="24"/>
          <w:lang w:val="en-US" w:eastAsia="zh-CN"/>
        </w:rPr>
        <w:t>100号</w:t>
      </w:r>
    </w:p>
    <w:p>
      <w:pPr>
        <w:pStyle w:val="2"/>
        <w:pageBreakBefore/>
        <w:rPr>
          <w:rFonts w:ascii="黑体" w:hAnsi="黑体" w:eastAsia="黑体"/>
          <w:b w:val="0"/>
          <w:color w:val="auto"/>
          <w:sz w:val="32"/>
          <w:szCs w:val="32"/>
        </w:rPr>
      </w:pPr>
      <w:bookmarkStart w:id="2" w:name="_Toc86134311"/>
      <w:r>
        <w:rPr>
          <w:rFonts w:hint="eastAsia" w:ascii="黑体" w:hAnsi="黑体" w:eastAsia="黑体"/>
          <w:b w:val="0"/>
          <w:color w:val="auto"/>
          <w:sz w:val="32"/>
          <w:szCs w:val="32"/>
        </w:rPr>
        <w:t>二．投标人须知</w:t>
      </w:r>
      <w:bookmarkEnd w:id="2"/>
    </w:p>
    <w:p>
      <w:pPr>
        <w:numPr>
          <w:ilvl w:val="0"/>
          <w:numId w:val="2"/>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遵循原则：</w:t>
      </w:r>
    </w:p>
    <w:p>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公开透明原则、公平竞争原则、公正原则和诚实信用原则。</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招标文件：</w:t>
      </w:r>
    </w:p>
    <w:p>
      <w:pPr>
        <w:numPr>
          <w:ilvl w:val="0"/>
          <w:numId w:val="4"/>
        </w:numPr>
        <w:tabs>
          <w:tab w:val="left" w:pos="-126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招标文件包括本文件目录所列全部内容，投标人应仔细阅读，并在投标文件中充分响应招标文件的所有要求。</w:t>
      </w:r>
    </w:p>
    <w:p>
      <w:pPr>
        <w:numPr>
          <w:ilvl w:val="0"/>
          <w:numId w:val="4"/>
        </w:numPr>
        <w:tabs>
          <w:tab w:val="left" w:pos="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招标文件中的“法定代表人”是指报价人的营业执照的“法定代表人”或相关部门的登记证明文件中的“负责人”。</w:t>
      </w:r>
    </w:p>
    <w:p>
      <w:pPr>
        <w:numPr>
          <w:ilvl w:val="0"/>
          <w:numId w:val="4"/>
        </w:numPr>
        <w:tabs>
          <w:tab w:val="left" w:pos="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投标人应在无锡市惠山区公共资源交易中心政府采购专栏公告附件（http://www.huishan.gov.cn/qcgw/zfcg/index.shtml，下同）或登录无锡市政府采购交易管理一体化系统下载招标文件及有关资料，</w:t>
      </w:r>
      <w:r>
        <w:rPr>
          <w:rFonts w:hint="eastAsia" w:ascii="宋体" w:hAnsi="宋体"/>
          <w:color w:val="auto"/>
          <w:sz w:val="24"/>
          <w:szCs w:val="24"/>
          <w:highlight w:val="none"/>
        </w:rPr>
        <w:t>按要求制作、上传投标文件，</w:t>
      </w:r>
      <w:r>
        <w:rPr>
          <w:rFonts w:hint="eastAsia" w:ascii="宋体" w:hAnsi="宋体"/>
          <w:bCs/>
          <w:color w:val="auto"/>
          <w:sz w:val="24"/>
          <w:szCs w:val="24"/>
          <w:highlight w:val="none"/>
        </w:rPr>
        <w:t>对招标文件各项内容做出实质性响应，否则投标无效。</w:t>
      </w:r>
    </w:p>
    <w:p>
      <w:pPr>
        <w:numPr>
          <w:ilvl w:val="0"/>
          <w:numId w:val="4"/>
        </w:numPr>
        <w:tabs>
          <w:tab w:val="left" w:pos="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招标文件仅作为本次招投标使用。</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招标文件的解释：</w:t>
      </w:r>
    </w:p>
    <w:p>
      <w:pPr>
        <w:tabs>
          <w:tab w:val="left" w:pos="945"/>
        </w:tabs>
        <w:spacing w:line="360" w:lineRule="auto"/>
        <w:ind w:left="523"/>
        <w:rPr>
          <w:rFonts w:ascii="宋体"/>
          <w:bCs/>
          <w:color w:val="auto"/>
          <w:sz w:val="24"/>
          <w:szCs w:val="24"/>
          <w:highlight w:val="none"/>
        </w:rPr>
      </w:pPr>
      <w:r>
        <w:rPr>
          <w:rFonts w:hint="eastAsia" w:ascii="宋体" w:hAnsi="宋体"/>
          <w:bCs/>
          <w:color w:val="auto"/>
          <w:sz w:val="24"/>
          <w:szCs w:val="24"/>
          <w:highlight w:val="none"/>
        </w:rPr>
        <w:t>本文件的最终解释权归无锡市惠山区政府采购中心。</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 xml:space="preserve">招标文件的澄清或修正： </w:t>
      </w:r>
    </w:p>
    <w:p>
      <w:pPr>
        <w:numPr>
          <w:ilvl w:val="0"/>
          <w:numId w:val="5"/>
        </w:numPr>
        <w:tabs>
          <w:tab w:val="left" w:pos="525"/>
          <w:tab w:val="left" w:pos="945"/>
          <w:tab w:val="clear" w:pos="898"/>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无锡市惠山区政府采购中心可在投标截止时间十五日前对招标文件进行必要的澄清或者修改，不足15日的，将顺延提交投标文件的截止时间。</w:t>
      </w:r>
    </w:p>
    <w:p>
      <w:pPr>
        <w:numPr>
          <w:ilvl w:val="0"/>
          <w:numId w:val="5"/>
        </w:numPr>
        <w:tabs>
          <w:tab w:val="left" w:pos="525"/>
          <w:tab w:val="left" w:pos="945"/>
          <w:tab w:val="clear" w:pos="898"/>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如需对招标文件进行澄清或修正，无锡市惠山区政府采购中心将在惠山区公共资源交易中心网政府采购专栏、无锡政府采购网、江苏政府采购网发布更正公告，该澄清或修正的内容为招标文件的组成部分。投标人应在投标截止时间前登录投标客户端或关注原招标公告媒体上发布的相关更正公告。因投标人未尽注意义务，未及时全面地关注更正公告导致其提交的投标材料不符合无锡市惠山区政府采购中心要求，而造成的损失及风险（包括但不限于未中标）由投标人自行承担。</w:t>
      </w:r>
    </w:p>
    <w:p>
      <w:pPr>
        <w:numPr>
          <w:ilvl w:val="0"/>
          <w:numId w:val="3"/>
        </w:numPr>
        <w:tabs>
          <w:tab w:val="left" w:pos="630"/>
        </w:tabs>
        <w:spacing w:line="360" w:lineRule="auto"/>
        <w:rPr>
          <w:rFonts w:ascii="宋体"/>
          <w:bCs/>
          <w:color w:val="auto"/>
          <w:sz w:val="24"/>
          <w:szCs w:val="24"/>
          <w:highlight w:val="none"/>
        </w:rPr>
      </w:pPr>
      <w:r>
        <w:rPr>
          <w:rFonts w:hint="eastAsia" w:ascii="黑体" w:hAnsi="宋体" w:eastAsia="黑体"/>
          <w:bCs/>
          <w:color w:val="auto"/>
          <w:sz w:val="24"/>
          <w:szCs w:val="24"/>
          <w:highlight w:val="none"/>
        </w:rPr>
        <w:t>投标文件的组成</w:t>
      </w:r>
      <w:r>
        <w:rPr>
          <w:rFonts w:hint="eastAsia" w:ascii="宋体" w:hAnsi="宋体"/>
          <w:bCs/>
          <w:color w:val="auto"/>
          <w:kern w:val="0"/>
          <w:sz w:val="24"/>
          <w:szCs w:val="24"/>
          <w:highlight w:val="none"/>
        </w:rPr>
        <w:t>（</w:t>
      </w:r>
      <w:r>
        <w:rPr>
          <w:rFonts w:hint="eastAsia" w:ascii="宋体" w:hAnsi="宋体"/>
          <w:b/>
          <w:bCs/>
          <w:color w:val="auto"/>
          <w:kern w:val="0"/>
          <w:sz w:val="24"/>
          <w:szCs w:val="24"/>
          <w:highlight w:val="none"/>
        </w:rPr>
        <w:t>相应内容上传至投标客户端）</w:t>
      </w:r>
      <w:r>
        <w:rPr>
          <w:rFonts w:hint="eastAsia" w:ascii="黑体" w:hAnsi="宋体" w:eastAsia="黑体"/>
          <w:bCs/>
          <w:color w:val="auto"/>
          <w:kern w:val="0"/>
          <w:sz w:val="24"/>
          <w:szCs w:val="24"/>
          <w:highlight w:val="none"/>
        </w:rPr>
        <w:t>：</w:t>
      </w:r>
    </w:p>
    <w:p>
      <w:pPr>
        <w:numPr>
          <w:ilvl w:val="0"/>
          <w:numId w:val="6"/>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投标函（</w:t>
      </w:r>
      <w:r>
        <w:rPr>
          <w:rFonts w:hint="eastAsia" w:ascii="宋体" w:hAnsi="宋体"/>
          <w:b/>
          <w:bCs/>
          <w:color w:val="auto"/>
          <w:sz w:val="24"/>
          <w:szCs w:val="24"/>
          <w:highlight w:val="none"/>
        </w:rPr>
        <w:t>格式见附件）</w:t>
      </w:r>
    </w:p>
    <w:p>
      <w:pPr>
        <w:numPr>
          <w:ilvl w:val="0"/>
          <w:numId w:val="6"/>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资格、资信证明文件</w:t>
      </w:r>
      <w:r>
        <w:rPr>
          <w:rFonts w:hint="eastAsia" w:ascii="宋体" w:hAnsi="宋体"/>
          <w:bCs/>
          <w:color w:val="auto"/>
          <w:kern w:val="0"/>
          <w:sz w:val="24"/>
          <w:szCs w:val="24"/>
          <w:highlight w:val="none"/>
        </w:rPr>
        <w:t>（</w:t>
      </w:r>
      <w:r>
        <w:rPr>
          <w:rFonts w:hint="eastAsia" w:ascii="宋体" w:hAnsi="宋体"/>
          <w:b/>
          <w:bCs/>
          <w:color w:val="auto"/>
          <w:kern w:val="0"/>
          <w:sz w:val="24"/>
          <w:szCs w:val="24"/>
          <w:highlight w:val="none"/>
        </w:rPr>
        <w:t>身份证应为正、反面</w:t>
      </w:r>
      <w:r>
        <w:rPr>
          <w:rFonts w:hint="eastAsia" w:ascii="宋体" w:hAnsi="宋体"/>
          <w:bCs/>
          <w:color w:val="auto"/>
          <w:kern w:val="0"/>
          <w:sz w:val="24"/>
          <w:szCs w:val="24"/>
          <w:highlight w:val="none"/>
        </w:rPr>
        <w:t>）：</w:t>
      </w:r>
    </w:p>
    <w:p>
      <w:pPr>
        <w:pStyle w:val="54"/>
        <w:numPr>
          <w:ilvl w:val="1"/>
          <w:numId w:val="6"/>
        </w:numPr>
        <w:tabs>
          <w:tab w:val="left" w:pos="502"/>
          <w:tab w:val="left" w:pos="1276"/>
        </w:tabs>
        <w:spacing w:line="360" w:lineRule="auto"/>
        <w:ind w:left="0" w:firstLine="567" w:firstLineChars="0"/>
        <w:rPr>
          <w:rFonts w:ascii="宋体"/>
          <w:bCs/>
          <w:color w:val="auto"/>
          <w:sz w:val="24"/>
          <w:szCs w:val="24"/>
          <w:highlight w:val="none"/>
        </w:rPr>
      </w:pPr>
      <w:r>
        <w:rPr>
          <w:rFonts w:hint="eastAsia" w:ascii="宋体" w:hAnsi="宋体"/>
          <w:bCs/>
          <w:color w:val="auto"/>
          <w:sz w:val="24"/>
          <w:szCs w:val="24"/>
          <w:highlight w:val="none"/>
        </w:rPr>
        <w:t>关于资格的声明函（</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pStyle w:val="54"/>
        <w:numPr>
          <w:ilvl w:val="1"/>
          <w:numId w:val="6"/>
        </w:numPr>
        <w:tabs>
          <w:tab w:val="left" w:pos="502"/>
          <w:tab w:val="left" w:pos="1276"/>
        </w:tabs>
        <w:spacing w:line="360" w:lineRule="auto"/>
        <w:ind w:left="0" w:firstLine="567" w:firstLineChars="0"/>
        <w:rPr>
          <w:rFonts w:ascii="宋体"/>
          <w:bCs/>
          <w:color w:val="auto"/>
          <w:sz w:val="24"/>
          <w:szCs w:val="24"/>
          <w:highlight w:val="none"/>
        </w:rPr>
      </w:pPr>
      <w:r>
        <w:rPr>
          <w:rFonts w:hint="eastAsia" w:ascii="宋体" w:hAnsi="宋体"/>
          <w:bCs/>
          <w:color w:val="auto"/>
          <w:sz w:val="24"/>
          <w:szCs w:val="24"/>
          <w:highlight w:val="none"/>
        </w:rPr>
        <w:t>具有独立承担民事责任能力的投标人营业执照或相关部门的登记证明文件复印件（投标人如是</w:t>
      </w:r>
      <w:r>
        <w:rPr>
          <w:rFonts w:hint="eastAsia" w:ascii="宋体" w:hAnsi="宋体" w:cs="宋体"/>
          <w:color w:val="auto"/>
          <w:kern w:val="0"/>
          <w:sz w:val="24"/>
          <w:szCs w:val="24"/>
          <w:highlight w:val="none"/>
        </w:rPr>
        <w:t>允许以分支机构身份参加投标的，提供投标人分支机构的营业执照复印件</w:t>
      </w:r>
      <w:r>
        <w:rPr>
          <w:rFonts w:hint="eastAsia" w:ascii="宋体" w:hAnsi="宋体"/>
          <w:bCs/>
          <w:color w:val="auto"/>
          <w:sz w:val="24"/>
          <w:szCs w:val="24"/>
          <w:highlight w:val="none"/>
        </w:rPr>
        <w:t>）；</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格式见附件，法定代表人亲自参加投标的除外</w:t>
      </w:r>
      <w:r>
        <w:rPr>
          <w:rFonts w:hint="eastAsia" w:ascii="宋体" w:hAnsi="宋体"/>
          <w:color w:val="auto"/>
          <w:sz w:val="24"/>
          <w:szCs w:val="24"/>
          <w:highlight w:val="none"/>
        </w:rPr>
        <w:t>）（投标人</w:t>
      </w:r>
      <w:r>
        <w:rPr>
          <w:rFonts w:hint="eastAsia" w:ascii="宋体" w:hAnsi="宋体"/>
          <w:bCs/>
          <w:color w:val="auto"/>
          <w:sz w:val="24"/>
          <w:szCs w:val="24"/>
          <w:highlight w:val="none"/>
        </w:rPr>
        <w:t>如是</w:t>
      </w:r>
      <w:r>
        <w:rPr>
          <w:rFonts w:hint="eastAsia" w:ascii="宋体" w:hAnsi="宋体" w:cs="宋体"/>
          <w:color w:val="auto"/>
          <w:kern w:val="0"/>
          <w:sz w:val="24"/>
          <w:szCs w:val="24"/>
          <w:highlight w:val="none"/>
        </w:rPr>
        <w:t>允许以分支机构身份参加投标的，请自行将“法定代表人”更改为“负责人”，分支机构投标时涉及到招标文件“法定代表人”要求的部分，其具体要求视同本条规定</w:t>
      </w:r>
      <w:r>
        <w:rPr>
          <w:rFonts w:hint="eastAsia" w:ascii="宋体" w:hAnsi="宋体"/>
          <w:color w:val="auto"/>
          <w:sz w:val="24"/>
          <w:szCs w:val="24"/>
          <w:highlight w:val="none"/>
        </w:rPr>
        <w:t>）；</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投标人法定代表人身份证；</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投标人法定代表人授权代表身份证（</w:t>
      </w:r>
      <w:r>
        <w:rPr>
          <w:rFonts w:hint="eastAsia" w:ascii="宋体" w:hAnsi="宋体"/>
          <w:b/>
          <w:bCs/>
          <w:color w:val="auto"/>
          <w:sz w:val="24"/>
          <w:szCs w:val="24"/>
          <w:highlight w:val="none"/>
        </w:rPr>
        <w:t>法定代表人亲自参加投标的除外</w:t>
      </w:r>
      <w:r>
        <w:rPr>
          <w:rFonts w:hint="eastAsia" w:ascii="宋体" w:hAnsi="宋体"/>
          <w:bCs/>
          <w:color w:val="auto"/>
          <w:sz w:val="24"/>
          <w:szCs w:val="24"/>
          <w:highlight w:val="none"/>
        </w:rPr>
        <w:t>）</w:t>
      </w:r>
      <w:r>
        <w:rPr>
          <w:rFonts w:hint="eastAsia" w:ascii="宋体" w:hAnsi="宋体"/>
          <w:color w:val="auto"/>
          <w:sz w:val="24"/>
          <w:szCs w:val="24"/>
          <w:highlight w:val="none"/>
        </w:rPr>
        <w:t>；</w:t>
      </w:r>
    </w:p>
    <w:p>
      <w:pPr>
        <w:numPr>
          <w:ilvl w:val="1"/>
          <w:numId w:val="6"/>
        </w:numPr>
        <w:tabs>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投标人连续三个月(至少包含近三个月中任意一个月份(不含投标当月))为其法定代表人授权代表缴纳社保的证明（由相关主管部门出具，</w:t>
      </w:r>
      <w:r>
        <w:rPr>
          <w:rFonts w:hint="eastAsia" w:ascii="宋体" w:hAnsi="宋体"/>
          <w:b/>
          <w:bCs/>
          <w:color w:val="auto"/>
          <w:sz w:val="24"/>
          <w:szCs w:val="24"/>
          <w:highlight w:val="none"/>
        </w:rPr>
        <w:t>新成立公司除外、法定代表人亲自参加投标的除外</w:t>
      </w:r>
      <w:r>
        <w:rPr>
          <w:rFonts w:hint="eastAsia" w:ascii="宋体" w:hAnsi="宋体"/>
          <w:bCs/>
          <w:color w:val="auto"/>
          <w:sz w:val="24"/>
          <w:szCs w:val="24"/>
          <w:highlight w:val="none"/>
        </w:rPr>
        <w:t>）；</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 xml:space="preserve">投标人近三个月中任意一个月份(不含投标当月)的财务状况报告（资产负债表和利润表）或由会计师事务所出具的近两年中任意一个年度的审计报告和所附已审财务报告； </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投标人近三个月中任意一个月份(不含投标当月)的依法缴纳税收的相关材料（提供相关主管部门证明或银行代扣证明）；</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投标人近三个月中任意一个月份(不含投标当月)的依法缴纳社会保障资金的相关材料（提供相关主管部门证明或银行代扣证明）；</w:t>
      </w:r>
    </w:p>
    <w:p>
      <w:pPr>
        <w:numPr>
          <w:ilvl w:val="1"/>
          <w:numId w:val="6"/>
        </w:numPr>
        <w:tabs>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采购人要求的特定资质证明（</w:t>
      </w:r>
      <w:r>
        <w:rPr>
          <w:rFonts w:hint="eastAsia" w:ascii="宋体" w:hAnsi="宋体"/>
          <w:b/>
          <w:bCs/>
          <w:color w:val="auto"/>
          <w:sz w:val="24"/>
          <w:szCs w:val="24"/>
          <w:highlight w:val="none"/>
        </w:rPr>
        <w:t>详见“投标邀请函”-“投标人资格要求”之3中要求）</w:t>
      </w:r>
      <w:r>
        <w:rPr>
          <w:rFonts w:hint="eastAsia" w:ascii="宋体" w:hAnsi="宋体"/>
          <w:bCs/>
          <w:color w:val="auto"/>
          <w:sz w:val="24"/>
          <w:szCs w:val="24"/>
          <w:highlight w:val="none"/>
        </w:rPr>
        <w:t>。</w:t>
      </w:r>
    </w:p>
    <w:p>
      <w:pPr>
        <w:numPr>
          <w:ilvl w:val="1"/>
          <w:numId w:val="6"/>
        </w:numPr>
        <w:tabs>
          <w:tab w:val="left" w:pos="945"/>
          <w:tab w:val="left" w:pos="1276"/>
        </w:tabs>
        <w:spacing w:line="360" w:lineRule="auto"/>
        <w:ind w:left="0" w:firstLine="523" w:firstLineChars="218"/>
        <w:rPr>
          <w:rFonts w:ascii="宋体"/>
          <w:bCs/>
          <w:color w:val="auto"/>
          <w:sz w:val="24"/>
          <w:szCs w:val="24"/>
          <w:highlight w:val="none"/>
        </w:rPr>
      </w:pPr>
      <w:r>
        <w:rPr>
          <w:rFonts w:hint="eastAsia" w:ascii="宋体"/>
          <w:bCs/>
          <w:color w:val="auto"/>
          <w:sz w:val="24"/>
          <w:szCs w:val="24"/>
          <w:highlight w:val="none"/>
          <w:lang w:eastAsia="zh-CN"/>
        </w:rPr>
        <w:t>投标人中小企业声明函</w:t>
      </w:r>
      <w:r>
        <w:rPr>
          <w:rFonts w:hint="eastAsia" w:ascii="宋体" w:hAnsi="宋体"/>
          <w:bCs/>
          <w:color w:val="auto"/>
          <w:sz w:val="24"/>
          <w:szCs w:val="24"/>
          <w:highlight w:val="none"/>
        </w:rPr>
        <w:t>（</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tabs>
          <w:tab w:val="left" w:pos="945"/>
          <w:tab w:val="left" w:pos="2912"/>
        </w:tabs>
        <w:spacing w:line="360" w:lineRule="auto"/>
        <w:ind w:left="499"/>
        <w:rPr>
          <w:rFonts w:ascii="宋体"/>
          <w:bCs/>
          <w:color w:val="auto"/>
          <w:sz w:val="24"/>
          <w:szCs w:val="24"/>
          <w:highlight w:val="none"/>
        </w:rPr>
      </w:pPr>
      <w:r>
        <w:rPr>
          <w:rFonts w:hint="eastAsia" w:ascii="宋体" w:hAnsi="宋体" w:cs="宋体"/>
          <w:color w:val="auto"/>
          <w:kern w:val="0"/>
          <w:sz w:val="24"/>
          <w:szCs w:val="24"/>
          <w:highlight w:val="none"/>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6"/>
        </w:numPr>
        <w:tabs>
          <w:tab w:val="left" w:pos="525"/>
          <w:tab w:val="left" w:pos="945"/>
        </w:tabs>
        <w:spacing w:line="360" w:lineRule="auto"/>
        <w:rPr>
          <w:rFonts w:ascii="宋体"/>
          <w:bCs/>
          <w:color w:val="auto"/>
          <w:sz w:val="24"/>
          <w:szCs w:val="24"/>
          <w:highlight w:val="none"/>
        </w:rPr>
      </w:pPr>
      <w:r>
        <w:rPr>
          <w:rFonts w:hint="eastAsia" w:ascii="宋体" w:hAnsi="宋体"/>
          <w:bCs/>
          <w:color w:val="auto"/>
          <w:sz w:val="24"/>
          <w:szCs w:val="24"/>
          <w:highlight w:val="none"/>
        </w:rPr>
        <w:t>服务保障承诺书（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开标一览表（</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明细报价表（</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投标偏离表（</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评分标准中对应的其它所需证明材料（</w:t>
      </w:r>
      <w:r>
        <w:rPr>
          <w:rFonts w:hint="eastAsia" w:ascii="宋体" w:hAnsi="宋体"/>
          <w:b/>
          <w:bCs/>
          <w:color w:val="auto"/>
          <w:sz w:val="24"/>
          <w:szCs w:val="24"/>
          <w:highlight w:val="none"/>
        </w:rPr>
        <w:t>如有自行添加</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要求采购人提供的配合（</w:t>
      </w:r>
      <w:r>
        <w:rPr>
          <w:rFonts w:hint="eastAsia" w:ascii="宋体" w:hAnsi="宋体"/>
          <w:b/>
          <w:bCs/>
          <w:color w:val="auto"/>
          <w:sz w:val="24"/>
          <w:szCs w:val="24"/>
          <w:highlight w:val="none"/>
        </w:rPr>
        <w:t>如有自拟并自行添加</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其它（</w:t>
      </w:r>
      <w:r>
        <w:rPr>
          <w:rFonts w:hint="eastAsia" w:ascii="宋体" w:hAnsi="宋体"/>
          <w:b/>
          <w:bCs/>
          <w:color w:val="auto"/>
          <w:sz w:val="24"/>
          <w:szCs w:val="24"/>
          <w:highlight w:val="none"/>
        </w:rPr>
        <w:t>投标人认为有必要提供的声明和文件，如有自拟并自行添加</w:t>
      </w:r>
      <w:r>
        <w:rPr>
          <w:rFonts w:hint="eastAsia" w:ascii="宋体" w:hAnsi="宋体"/>
          <w:bCs/>
          <w:color w:val="auto"/>
          <w:sz w:val="24"/>
          <w:szCs w:val="24"/>
          <w:highlight w:val="none"/>
        </w:rPr>
        <w:t>）</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上述1-6项投标人必须按要求全部提供，否则投标文件无效。</w:t>
      </w:r>
      <w:r>
        <w:rPr>
          <w:rFonts w:hint="eastAsia" w:ascii="Tahoma" w:hAnsi="Tahoma" w:cs="Tahoma"/>
          <w:color w:val="auto"/>
          <w:sz w:val="24"/>
          <w:szCs w:val="24"/>
          <w:highlight w:val="none"/>
        </w:rPr>
        <w:t>如上述资格证明文件遇年检、换证，则必须提供法定年检、换证单位出具的有效证明复印件。如上述资格证明文件第</w:t>
      </w:r>
      <w:r>
        <w:rPr>
          <w:rFonts w:hint="eastAsia" w:ascii="宋体" w:hAnsi="宋体" w:cs="Tahoma"/>
          <w:color w:val="auto"/>
          <w:sz w:val="24"/>
          <w:szCs w:val="24"/>
          <w:highlight w:val="none"/>
        </w:rPr>
        <w:t>（6）（7）（8）（9）</w:t>
      </w:r>
      <w:r>
        <w:rPr>
          <w:rFonts w:hint="eastAsia" w:ascii="Tahoma" w:hAnsi="Tahoma" w:cs="Tahoma"/>
          <w:color w:val="auto"/>
          <w:sz w:val="24"/>
          <w:szCs w:val="24"/>
          <w:highlight w:val="none"/>
        </w:rPr>
        <w:t>四项遇有国家相关政策规定可不具备的，必须提供相关政策规定或相关单位出具的有效证明复印件。</w:t>
      </w:r>
      <w:r>
        <w:rPr>
          <w:rFonts w:hint="eastAsia" w:ascii="宋体" w:hAnsi="宋体"/>
          <w:bCs/>
          <w:color w:val="auto"/>
          <w:sz w:val="24"/>
          <w:szCs w:val="24"/>
          <w:highlight w:val="none"/>
        </w:rPr>
        <w:t>投标人法定代表人或法定代表人授权代表为外籍、港、澳、台地区人士的，其身份证明须提供有效的护照或港澳同胞来往内地通行证、台湾同胞来往大陆通行证，或其它可在中国大陆有效居留的许可证明。</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投标文件的制作：</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所有文件、往来函件均应使用简体中文（规格、型号辅助符号例外）。</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投标文件由投标人按要求如实填写，须有投标人（签章）、法定代表人或法定代表人授权代表签章，方为有效，未尽事宜可自行补充。</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color w:val="auto"/>
          <w:sz w:val="24"/>
          <w:szCs w:val="24"/>
          <w:highlight w:val="none"/>
          <w:lang w:val="zh-CN"/>
        </w:rPr>
        <w:t>如无特别说明，</w:t>
      </w:r>
      <w:r>
        <w:rPr>
          <w:rFonts w:hint="eastAsia" w:ascii="宋体" w:hAnsi="宋体"/>
          <w:bCs/>
          <w:color w:val="auto"/>
          <w:sz w:val="24"/>
          <w:szCs w:val="24"/>
          <w:highlight w:val="none"/>
        </w:rPr>
        <w:t>投标人投标一律以人民币为投标结算货币</w:t>
      </w:r>
      <w:r>
        <w:rPr>
          <w:rFonts w:hint="eastAsia" w:ascii="宋体"/>
          <w:bCs/>
          <w:color w:val="auto"/>
          <w:sz w:val="24"/>
          <w:szCs w:val="24"/>
          <w:highlight w:val="none"/>
        </w:rPr>
        <w:t>,</w:t>
      </w:r>
      <w:r>
        <w:rPr>
          <w:rFonts w:hint="eastAsia" w:ascii="宋体" w:hAnsi="宋体"/>
          <w:bCs/>
          <w:color w:val="auto"/>
          <w:sz w:val="24"/>
          <w:szCs w:val="24"/>
          <w:highlight w:val="none"/>
        </w:rPr>
        <w:t>结算单位为“元”。</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投标费用自理。</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网上投标</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由其法定代表人或法定代表人授权代表在规定的网上投标时间内，凭CA数字证书登陆政府采购交易管理一体化系统获取招标文件，在投标客户端制作投标文件（电子数据），并在投标截止时间之前上传投标文件。</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投标人应对CA数字证书妥善保管，如被他人盗用投标，后果自负。</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投标人按招标文件规定的网上解密时间进行解密，如未按时解密后果自负。</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投标人应当对招标文件提出的要求和条件作出实质性响应，并在电子投标系统逐条应答。</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投标人应对要求提供的资格证明文件（如资质证书、资格证书）、技术资料（如白皮书、彩页、手册、检测报告等）扫描上传至投标系统。</w:t>
      </w:r>
    </w:p>
    <w:p>
      <w:pPr>
        <w:numPr>
          <w:ilvl w:val="0"/>
          <w:numId w:val="8"/>
        </w:numPr>
        <w:tabs>
          <w:tab w:val="left" w:pos="525"/>
          <w:tab w:val="left" w:pos="945"/>
        </w:tabs>
        <w:spacing w:line="360" w:lineRule="auto"/>
        <w:ind w:left="1" w:firstLine="523" w:firstLineChars="218"/>
        <w:rPr>
          <w:rFonts w:ascii="黑体" w:hAnsi="宋体" w:eastAsia="黑体"/>
          <w:bCs/>
          <w:color w:val="auto"/>
          <w:sz w:val="24"/>
          <w:szCs w:val="24"/>
          <w:highlight w:val="none"/>
        </w:rPr>
      </w:pPr>
      <w:r>
        <w:rPr>
          <w:rFonts w:hint="eastAsia" w:ascii="宋体" w:hAnsi="宋体"/>
          <w:bCs/>
          <w:color w:val="auto"/>
          <w:sz w:val="24"/>
          <w:szCs w:val="24"/>
          <w:highlight w:val="none"/>
        </w:rPr>
        <w:t>投标人进行网上</w:t>
      </w:r>
      <w:r>
        <w:rPr>
          <w:rFonts w:hint="eastAsia" w:ascii="宋体" w:hAnsi="宋体"/>
          <w:color w:val="auto"/>
          <w:sz w:val="24"/>
          <w:szCs w:val="24"/>
          <w:highlight w:val="none"/>
        </w:rPr>
        <w:t>投标</w:t>
      </w:r>
      <w:r>
        <w:rPr>
          <w:rFonts w:hint="eastAsia" w:ascii="宋体" w:hAnsi="宋体"/>
          <w:bCs/>
          <w:color w:val="auto"/>
          <w:sz w:val="24"/>
          <w:szCs w:val="24"/>
          <w:highlight w:val="none"/>
        </w:rPr>
        <w:t>请参照《</w:t>
      </w:r>
      <w:r>
        <w:rPr>
          <w:rFonts w:hint="eastAsia" w:ascii="宋体" w:hAnsi="宋体"/>
          <w:color w:val="auto"/>
          <w:sz w:val="24"/>
          <w:szCs w:val="24"/>
          <w:highlight w:val="none"/>
        </w:rPr>
        <w:t>政府采购项目电子交易管理操作指南-供应商》。</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无效投标文件的确认</w:t>
      </w:r>
    </w:p>
    <w:p>
      <w:pPr>
        <w:tabs>
          <w:tab w:val="left" w:pos="945"/>
        </w:tabs>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投标人有下列情况之一者，投标文件无效：</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color w:val="auto"/>
          <w:sz w:val="24"/>
          <w:szCs w:val="24"/>
          <w:highlight w:val="none"/>
        </w:rPr>
        <w:t>未按规定在</w:t>
      </w:r>
      <w:r>
        <w:rPr>
          <w:rFonts w:hint="eastAsia" w:ascii="宋体" w:hAnsi="宋体"/>
          <w:bCs/>
          <w:color w:val="auto"/>
          <w:sz w:val="24"/>
          <w:szCs w:val="24"/>
          <w:highlight w:val="none"/>
        </w:rPr>
        <w:t>无锡市政府采购供应商信息库</w:t>
      </w:r>
      <w:r>
        <w:rPr>
          <w:rFonts w:hint="eastAsia" w:ascii="宋体" w:hAnsi="宋体"/>
          <w:color w:val="auto"/>
          <w:sz w:val="24"/>
          <w:szCs w:val="24"/>
          <w:highlight w:val="none"/>
        </w:rPr>
        <w:t>注册的；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电子投标文件未按规定期限投标的，纸质投标文件（如有）未按规定的期限、地点送达的；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电子投标文件未按招标文件要求签章的；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投标人因自身原因未按招标文件要求解密电子投标文件的；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投标人的法定代表人授权代表，无法定代表人授权委托书的；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不具备招标文件中规定的资格要求或未按招标文件规定的要求提供资格、资信证明文件的；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color w:val="auto"/>
          <w:sz w:val="24"/>
          <w:szCs w:val="24"/>
          <w:highlight w:val="none"/>
        </w:rPr>
        <w:t>被“信用中国”网站（www.creditchina.gov.cn）、中国政府采购网(www.ccgp.gov.cn)列入失信被执行人、重大税收违法案件当事人名单、政府采购严重违法失信行为记录名单的；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投标文件未按招标文件规定的内容和要求填写的；没有在投标系统指定位置上传对应文件、材料的；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电子投标文件图片、字迹模糊不清、无法辨认的；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投标文件中有招标文件未允许提供的选择性内容；</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不同投标人委托同一单位或者个人办理投标事宜的；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不同投标人的单位负责人为同一人或者存在直接控股、管理关系的；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不同投标人的投标文件的装订形式、纸张情况、目录序号、排版格式、文字风格等存在明显的相似性或一致性，特征显示由同一单位或者同一个人编制的；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不同投标人投标文件内容存在非正常一致、项目组成员出现同一人、投标文件中错误（或异常）一致或雷同、电子文档信息一致或雷同的、投标报价呈规律性差异的；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不同投标人的投标资料相互混装、不同投标人的委托代理人、项目负责人以及其他相关人员有在同一个单位缴纳社会保险、同一投标文件中单位名称落款与公章不是同一单位的；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项目（标段）投标总价超过本项目（标段）预算或最高限价的；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提供虚假材料的（包括工商营业执照、财务报表、资格证明文件等）；</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投标文件含有采购人不能接受的附加条件的；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评标委员会认定投标人的投标明显低于其他通过符合性审查投标人的投标，有可能影响产品质量或者不能诚信履约，且投标人不能应评标委员会要求在评标规定的时间内提供线上书面说明（必要时评标委员会可要求投标人提交相关证明材料）证明其投标合理性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除单一来源采购项目外，为采购项目提供整体设计、规范编制或者项目管理、监理、检测等服务的；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投标文件内容不全或不符合招标文件中规定的其它实质性要求的；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法律法规和招标文件规定的其它无效情形。</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开标、评标：</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highlight w:val="none"/>
        </w:rPr>
        <w:t>投标人无需到达开标现场，所有投标单位登录“政府采购交易管理一体化系统”，</w:t>
      </w:r>
      <w:r>
        <w:rPr>
          <w:rFonts w:hint="eastAsia" w:ascii="宋体" w:hAnsi="宋体"/>
          <w:bCs/>
          <w:color w:val="auto"/>
          <w:sz w:val="24"/>
          <w:szCs w:val="24"/>
          <w:highlight w:val="none"/>
        </w:rPr>
        <w:t>在招标文件规定的时间内解密各自投标文件；</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投标截止时间后参加投标的供应商或解密投标文件的供应商不足三家的，不开标；开标后，所有投标供应商可在线上开标大厅中看到所有投标人的投标报价；</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开标时，投标文件报价出现前后不一致的，按照下列规定修正：</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（一）投标文件中开标一览表（报价表）内容与投标文件中相应内容不一致的，以开标一览表（报价表）为准；</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（二）大写金额和小写金额不一致的，以大写金额为准；</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（三）单价金额小数点或者百分比有明显错位的，以开标一览表的总价为准，并修改单价；</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（四）总价金额与按单价汇总金额不一致的，以单价金额计算结果为准。</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电子投标文件正常解密后，电子投标文件与纸质投标文件（如有）不符的，以电子投标文件为准。</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投标人未参加开标的，视同认可开标结果。</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评标程序</w:t>
      </w:r>
    </w:p>
    <w:p>
      <w:pPr>
        <w:tabs>
          <w:tab w:val="left" w:pos="945"/>
        </w:tabs>
        <w:spacing w:line="360" w:lineRule="auto"/>
        <w:ind w:firstLine="523" w:firstLineChars="218"/>
        <w:rPr>
          <w:rFonts w:ascii="宋体"/>
          <w:bCs/>
          <w:color w:val="auto"/>
          <w:sz w:val="24"/>
          <w:szCs w:val="24"/>
          <w:highlight w:val="none"/>
        </w:rPr>
      </w:pPr>
      <w:r>
        <w:rPr>
          <w:rFonts w:hint="eastAsia" w:ascii="宋体" w:hAnsi="宋体"/>
          <w:bCs/>
          <w:color w:val="auto"/>
          <w:sz w:val="24"/>
          <w:szCs w:val="24"/>
          <w:highlight w:val="none"/>
        </w:rPr>
        <w:t>评标工作由无锡市惠山区政府采购中心负责组织，具体评标事务由依法组建的评标委员会负责。</w:t>
      </w:r>
    </w:p>
    <w:p>
      <w:pPr>
        <w:tabs>
          <w:tab w:val="left" w:pos="630"/>
          <w:tab w:val="left" w:pos="945"/>
          <w:tab w:val="left" w:pos="1155"/>
        </w:tabs>
        <w:spacing w:line="360" w:lineRule="auto"/>
        <w:rPr>
          <w:rFonts w:ascii="宋体"/>
          <w:bCs/>
          <w:color w:val="auto"/>
          <w:sz w:val="24"/>
          <w:szCs w:val="24"/>
          <w:highlight w:val="none"/>
        </w:rPr>
      </w:pPr>
      <w:r>
        <w:rPr>
          <w:rFonts w:hint="eastAsia" w:ascii="宋体" w:hAnsi="宋体"/>
          <w:bCs/>
          <w:color w:val="auto"/>
          <w:sz w:val="24"/>
          <w:highlight w:val="none"/>
        </w:rPr>
        <w:tab/>
      </w:r>
      <w:r>
        <w:rPr>
          <w:rFonts w:hint="eastAsia" w:ascii="宋体" w:hAnsi="宋体"/>
          <w:bCs/>
          <w:color w:val="auto"/>
          <w:sz w:val="24"/>
          <w:highlight w:val="none"/>
        </w:rPr>
        <w:t>（1）投标文件初审。初审分为资格性检查和符合性检查。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hAnsi="宋体"/>
          <w:bCs/>
          <w:color w:val="auto"/>
          <w:sz w:val="24"/>
          <w:highlight w:val="none"/>
        </w:rPr>
      </w:pPr>
      <w:r>
        <w:rPr>
          <w:rFonts w:hint="eastAsia" w:ascii="宋体" w:hAnsi="宋体"/>
          <w:bCs/>
          <w:color w:val="auto"/>
          <w:sz w:val="24"/>
          <w:highlight w:val="none"/>
        </w:rPr>
        <w:t>资格性检查。接收投标文件截止时间后，采购人依据法律法规和招标文件的规定，对电子投标文件中的资格证明进行审查；在信用中国（www.creditchina.gov.cn）、中国政府采购网(www.ccgp.gov.cn)网站输入供应商全称或统一社会信用代码查询信用记录并逐一打印。在对供应商进行资格性审查时，应根据查询结果对供应商的不良信用记录逐项甄别确认。按照《中华人民共和国政府采购法》第二十二条规定，下列信用记录属于应依法拒绝供应商参加政府采购的失信信息：</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A、政府采购严重违法记录，即供应商被全国各级财政部门列入“政府采购严重违法失信 行为记录名单”，且在处罚有效期内的。</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B、财政部门与法院、工商、税务等部门联合惩戒的失信信息，包括：</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1)被列入失信被执行人名单；</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2)被列入重大税收违法案件当事人名单；</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3)企业经营异常名录中被责令停产停业、暂扣或者吊销许可证或者执照，或者对经营活动 中的违法行为处以较大数额罚款的信用记录。处罚生效日至递交投标文件日未满三年的。</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查询证据留存方式：对存在失信信息的供应商，采购人及无锡市惠山区政府采购中心应填写《无锡市政府采购供应商失信信息确认函》，由失信供应商应签名确认。同时，无锡市惠山区政府采购中心工作人员应登陆到来源网站页面进行复核并打印，作为证据留存。</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经审查供应商存在上述失信行为的，资格审查不予通过，其投标无效。</w:t>
      </w:r>
    </w:p>
    <w:p>
      <w:pPr>
        <w:tabs>
          <w:tab w:val="left" w:pos="945"/>
        </w:tabs>
        <w:spacing w:line="360" w:lineRule="auto"/>
        <w:ind w:firstLine="523" w:firstLineChars="218"/>
        <w:rPr>
          <w:rFonts w:ascii="宋体"/>
          <w:bCs/>
          <w:color w:val="auto"/>
          <w:sz w:val="24"/>
          <w:highlight w:val="none"/>
        </w:rPr>
      </w:pPr>
      <w:r>
        <w:rPr>
          <w:rFonts w:hint="eastAsia" w:ascii="宋体" w:hAnsi="宋体"/>
          <w:bCs/>
          <w:color w:val="auto"/>
          <w:sz w:val="24"/>
          <w:szCs w:val="24"/>
          <w:highlight w:val="none"/>
        </w:rPr>
        <w:t>无锡市惠山区政府采购中心将通过相关渠道查询的供应商主体信用记录，与项目其他采 购资料一并保存。</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auto"/>
          <w:sz w:val="24"/>
          <w:highlight w:val="none"/>
        </w:rPr>
      </w:pPr>
      <w:r>
        <w:rPr>
          <w:rFonts w:hint="eastAsia" w:ascii="宋体" w:hAnsi="宋体"/>
          <w:bCs/>
          <w:color w:val="auto"/>
          <w:sz w:val="24"/>
          <w:highlight w:val="none"/>
        </w:rPr>
        <w:t>符合性检查。评标委员会依据招标文件的规定，从投标文件的有效性、完整性和对招标文件的响应程度进行审查，以确定是否对招标文件的实质性要求作出响应。</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auto"/>
          <w:sz w:val="24"/>
          <w:highlight w:val="none"/>
        </w:rPr>
      </w:pPr>
      <w:r>
        <w:rPr>
          <w:rFonts w:hint="eastAsia" w:ascii="宋体" w:hAnsi="宋体"/>
          <w:bCs/>
          <w:color w:val="auto"/>
          <w:sz w:val="24"/>
          <w:highlight w:val="none"/>
        </w:rPr>
        <w:t>评审因素：评标委员会发起在线演示后，投标人若未在规定时间内作出演示，视作无演示。</w:t>
      </w:r>
    </w:p>
    <w:p>
      <w:pPr>
        <w:tabs>
          <w:tab w:val="left" w:pos="630"/>
          <w:tab w:val="left" w:pos="945"/>
          <w:tab w:val="left" w:pos="115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highlight w:val="none"/>
        </w:rPr>
        <w:t>（2）澄清有关问题。对投标文件中含义不明确、同类问题表述不一致或者有明显文字和计算错误的内容，</w:t>
      </w:r>
      <w:r>
        <w:rPr>
          <w:rFonts w:hint="eastAsia" w:ascii="宋体" w:hAnsi="宋体"/>
          <w:bCs/>
          <w:color w:val="auto"/>
          <w:sz w:val="24"/>
          <w:szCs w:val="24"/>
          <w:highlight w:val="none"/>
        </w:rPr>
        <w:t>评标委员会可以</w:t>
      </w:r>
      <w:r>
        <w:rPr>
          <w:rFonts w:hint="eastAsia" w:ascii="宋体" w:hAnsi="宋体"/>
          <w:bCs/>
          <w:color w:val="auto"/>
          <w:sz w:val="24"/>
          <w:highlight w:val="none"/>
        </w:rPr>
        <w:t>通过</w:t>
      </w:r>
      <w:r>
        <w:rPr>
          <w:rFonts w:hint="eastAsia" w:ascii="宋体" w:hAnsi="宋体"/>
          <w:bCs/>
          <w:color w:val="auto"/>
          <w:sz w:val="24"/>
          <w:szCs w:val="24"/>
          <w:highlight w:val="none"/>
        </w:rPr>
        <w:t>政府采购交易管理一体化系统</w:t>
      </w:r>
      <w:r>
        <w:rPr>
          <w:rFonts w:hint="eastAsia" w:ascii="宋体" w:hAnsi="宋体"/>
          <w:bCs/>
          <w:color w:val="auto"/>
          <w:sz w:val="24"/>
          <w:highlight w:val="none"/>
        </w:rPr>
        <w:t>发起询标</w:t>
      </w:r>
      <w:r>
        <w:rPr>
          <w:rFonts w:hint="eastAsia" w:ascii="宋体" w:hAnsi="宋体"/>
          <w:bCs/>
          <w:color w:val="auto"/>
          <w:sz w:val="24"/>
          <w:szCs w:val="24"/>
          <w:highlight w:val="none"/>
        </w:rPr>
        <w:t>要求投标人作出必要的澄清、说明或者纠正。投标人的澄清、说明或者补正应当</w:t>
      </w:r>
      <w:r>
        <w:rPr>
          <w:rFonts w:hint="eastAsia" w:ascii="宋体" w:hAnsi="宋体"/>
          <w:bCs/>
          <w:color w:val="auto"/>
          <w:sz w:val="24"/>
          <w:highlight w:val="none"/>
        </w:rPr>
        <w:t>通过</w:t>
      </w:r>
      <w:r>
        <w:rPr>
          <w:rFonts w:hint="eastAsia" w:ascii="宋体" w:hAnsi="宋体"/>
          <w:bCs/>
          <w:color w:val="auto"/>
          <w:sz w:val="24"/>
          <w:szCs w:val="24"/>
          <w:highlight w:val="none"/>
        </w:rPr>
        <w:t>政府采购交易管理一体化系统，由其授权的代表</w:t>
      </w:r>
      <w:r>
        <w:rPr>
          <w:rFonts w:hint="eastAsia" w:ascii="宋体" w:hAnsi="宋体"/>
          <w:bCs/>
          <w:color w:val="auto"/>
          <w:sz w:val="24"/>
          <w:highlight w:val="none"/>
        </w:rPr>
        <w:t>应答并加盖电子公章，且不得超出投标文件的范围或者改变投标文件的实质性内容</w:t>
      </w:r>
      <w:r>
        <w:rPr>
          <w:rFonts w:hint="eastAsia" w:ascii="宋体" w:hAnsi="宋体"/>
          <w:bCs/>
          <w:color w:val="auto"/>
          <w:sz w:val="24"/>
          <w:szCs w:val="24"/>
          <w:highlight w:val="none"/>
        </w:rPr>
        <w:t>。</w:t>
      </w:r>
      <w:r>
        <w:rPr>
          <w:rFonts w:hint="eastAsia" w:ascii="宋体" w:hAnsi="宋体"/>
          <w:bCs/>
          <w:color w:val="auto"/>
          <w:sz w:val="24"/>
          <w:highlight w:val="none"/>
        </w:rPr>
        <w:t>投标人须在评审过程中等待评标委员会的询标。如未按要求应答，由此所产生的损失及风险由报价人自行承担。</w:t>
      </w:r>
    </w:p>
    <w:p>
      <w:pPr>
        <w:tabs>
          <w:tab w:val="left" w:pos="525"/>
          <w:tab w:val="left" w:pos="630"/>
          <w:tab w:val="left" w:pos="945"/>
          <w:tab w:val="left" w:pos="1155"/>
        </w:tabs>
        <w:spacing w:line="360" w:lineRule="auto"/>
        <w:ind w:firstLine="480" w:firstLineChars="200"/>
        <w:rPr>
          <w:rFonts w:ascii="宋体"/>
          <w:bCs/>
          <w:color w:val="auto"/>
          <w:sz w:val="24"/>
          <w:szCs w:val="24"/>
          <w:highlight w:val="none"/>
        </w:rPr>
      </w:pPr>
      <w:r>
        <w:rPr>
          <w:rFonts w:hint="eastAsia" w:ascii="宋体" w:hAnsi="宋体"/>
          <w:bCs/>
          <w:color w:val="auto"/>
          <w:sz w:val="24"/>
          <w:highlight w:val="none"/>
        </w:rPr>
        <w:t>（3）比较与评价。按招标文件中规定的评标方法和标准，对资格性检查和符合性检查合格的投标文件进行商务和技术评估，综合比较与评价</w:t>
      </w:r>
      <w:r>
        <w:rPr>
          <w:rFonts w:hint="eastAsia" w:ascii="宋体" w:hAnsi="宋体"/>
          <w:bCs/>
          <w:color w:val="auto"/>
          <w:sz w:val="24"/>
          <w:szCs w:val="24"/>
          <w:highlight w:val="none"/>
        </w:rPr>
        <w:t>。</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评标方法</w:t>
      </w:r>
    </w:p>
    <w:p>
      <w:pPr>
        <w:tabs>
          <w:tab w:val="left" w:pos="945"/>
        </w:tabs>
        <w:spacing w:line="360" w:lineRule="auto"/>
        <w:ind w:firstLine="523" w:firstLineChars="218"/>
        <w:rPr>
          <w:rFonts w:ascii="宋体"/>
          <w:bCs/>
          <w:color w:val="auto"/>
          <w:sz w:val="24"/>
          <w:szCs w:val="24"/>
          <w:highlight w:val="none"/>
        </w:rPr>
      </w:pPr>
      <w:r>
        <w:rPr>
          <w:rFonts w:hint="eastAsia" w:ascii="宋体" w:hAnsi="宋体"/>
          <w:bCs/>
          <w:color w:val="auto"/>
          <w:sz w:val="24"/>
          <w:szCs w:val="24"/>
          <w:highlight w:val="none"/>
        </w:rPr>
        <w:t>投标人通过初审的，方可进入</w:t>
      </w:r>
      <w:r>
        <w:rPr>
          <w:rFonts w:hint="eastAsia" w:ascii="宋体" w:hAnsi="宋体"/>
          <w:bCs/>
          <w:color w:val="auto"/>
          <w:sz w:val="24"/>
          <w:highlight w:val="none"/>
        </w:rPr>
        <w:t>比较与评价程序</w:t>
      </w:r>
      <w:r>
        <w:rPr>
          <w:rFonts w:hint="eastAsia" w:ascii="宋体" w:hAnsi="宋体"/>
          <w:bCs/>
          <w:color w:val="auto"/>
          <w:sz w:val="24"/>
          <w:szCs w:val="24"/>
          <w:highlight w:val="none"/>
        </w:rPr>
        <w:t>。</w:t>
      </w:r>
    </w:p>
    <w:p>
      <w:pPr>
        <w:tabs>
          <w:tab w:val="left" w:pos="945"/>
        </w:tabs>
        <w:spacing w:line="360" w:lineRule="auto"/>
        <w:ind w:firstLine="523" w:firstLineChars="218"/>
        <w:rPr>
          <w:rFonts w:ascii="宋体"/>
          <w:bCs/>
          <w:color w:val="auto"/>
          <w:sz w:val="24"/>
          <w:szCs w:val="24"/>
          <w:highlight w:val="none"/>
        </w:rPr>
      </w:pPr>
      <w:r>
        <w:rPr>
          <w:rFonts w:hint="eastAsia" w:ascii="宋体" w:hAnsi="宋体"/>
          <w:bCs/>
          <w:color w:val="auto"/>
          <w:sz w:val="24"/>
          <w:highlight w:val="none"/>
        </w:rPr>
        <w:t>比较与评价</w:t>
      </w:r>
      <w:r>
        <w:rPr>
          <w:rFonts w:hint="eastAsia" w:ascii="宋体" w:hAnsi="宋体"/>
          <w:bCs/>
          <w:color w:val="auto"/>
          <w:sz w:val="24"/>
          <w:szCs w:val="24"/>
          <w:highlight w:val="none"/>
        </w:rPr>
        <w:t>采用综合评分法。</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auto"/>
          <w:sz w:val="24"/>
          <w:highlight w:val="none"/>
        </w:rPr>
        <w:t>非单一产品采购项目，多家投标人提供的核心产品品牌相同的，同上处理。</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评分标准</w:t>
      </w:r>
    </w:p>
    <w:p>
      <w:pPr>
        <w:tabs>
          <w:tab w:val="left" w:pos="525"/>
          <w:tab w:val="left" w:pos="945"/>
        </w:tabs>
        <w:spacing w:line="360" w:lineRule="auto"/>
        <w:ind w:left="524"/>
        <w:rPr>
          <w:rFonts w:ascii="宋体" w:hAnsi="宋体"/>
          <w:bCs/>
          <w:color w:val="auto"/>
          <w:sz w:val="24"/>
          <w:szCs w:val="24"/>
          <w:highlight w:val="none"/>
        </w:rPr>
      </w:pPr>
      <w:r>
        <w:rPr>
          <w:rFonts w:hint="eastAsia" w:ascii="宋体" w:hAnsi="宋体"/>
          <w:bCs/>
          <w:color w:val="auto"/>
          <w:sz w:val="24"/>
          <w:szCs w:val="24"/>
          <w:highlight w:val="none"/>
        </w:rPr>
        <w:t>详见附件。</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定标：</w:t>
      </w:r>
    </w:p>
    <w:p>
      <w:pPr>
        <w:numPr>
          <w:ilvl w:val="0"/>
          <w:numId w:val="12"/>
        </w:numPr>
        <w:tabs>
          <w:tab w:val="left" w:pos="52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评标委员会根据招标文件规定的评标方法和评标标准进行评审，按招标文件的要求依法确定中标供应商。无锡市惠山区政府采购中心将在惠山区公共资源交易中心网、江苏政府采购网发布中标公告。无锡市惠山区政府采购中心和评标委员会对未中标原因不做解释。如有质疑，应在法定质疑期限内，即</w:t>
      </w:r>
      <w:r>
        <w:rPr>
          <w:rFonts w:hint="eastAsia" w:ascii="宋体" w:hAnsi="宋体"/>
          <w:color w:val="auto"/>
          <w:sz w:val="24"/>
          <w:szCs w:val="24"/>
          <w:highlight w:val="none"/>
        </w:rPr>
        <w:t>中标公告</w:t>
      </w:r>
      <w:r>
        <w:rPr>
          <w:rFonts w:hint="eastAsia" w:ascii="宋体" w:hAnsi="宋体" w:cs="宋体"/>
          <w:bCs/>
          <w:color w:val="auto"/>
          <w:kern w:val="0"/>
          <w:sz w:val="24"/>
          <w:highlight w:val="none"/>
        </w:rPr>
        <w:t>期限届满之日</w:t>
      </w:r>
      <w:r>
        <w:rPr>
          <w:rFonts w:hint="eastAsia" w:ascii="宋体" w:hAnsi="宋体"/>
          <w:color w:val="auto"/>
          <w:sz w:val="24"/>
          <w:szCs w:val="24"/>
          <w:highlight w:val="none"/>
        </w:rPr>
        <w:t>起7个工作日</w:t>
      </w:r>
      <w:r>
        <w:rPr>
          <w:rFonts w:hint="eastAsia" w:ascii="宋体" w:hAnsi="宋体"/>
          <w:bCs/>
          <w:color w:val="auto"/>
          <w:sz w:val="24"/>
          <w:szCs w:val="24"/>
          <w:highlight w:val="none"/>
        </w:rPr>
        <w:t>内，以书面形式（原件）送达无锡市惠山区政府采购中心，并且针对同一采购程序环节的质疑，须在法定质疑期内一次性提出。质疑函的质疑事项应具体、明确，并有必要的事实依据和法律依据（格式详见中国政府采购网《</w:t>
      </w:r>
      <w:r>
        <w:rPr>
          <w:color w:val="auto"/>
          <w:highlight w:val="none"/>
        </w:rPr>
        <w:fldChar w:fldCharType="begin"/>
      </w:r>
      <w:r>
        <w:rPr>
          <w:color w:val="auto"/>
          <w:highlight w:val="none"/>
        </w:rPr>
        <w:instrText xml:space="preserve"> HYPERLINK "http://download.ccgp.gov.cn/2018/zhiyihanfanben.zip" \t "_blank" </w:instrText>
      </w:r>
      <w:r>
        <w:rPr>
          <w:color w:val="auto"/>
          <w:highlight w:val="none"/>
        </w:rPr>
        <w:fldChar w:fldCharType="separate"/>
      </w:r>
      <w:r>
        <w:rPr>
          <w:rStyle w:val="31"/>
          <w:bCs/>
          <w:color w:val="auto"/>
          <w:sz w:val="24"/>
          <w:szCs w:val="24"/>
          <w:highlight w:val="none"/>
        </w:rPr>
        <w:t>政府采购供应商质疑函范本</w:t>
      </w:r>
      <w:r>
        <w:rPr>
          <w:rStyle w:val="31"/>
          <w:bCs/>
          <w:color w:val="auto"/>
          <w:sz w:val="24"/>
          <w:szCs w:val="24"/>
          <w:highlight w:val="none"/>
        </w:rPr>
        <w:fldChar w:fldCharType="end"/>
      </w:r>
      <w:r>
        <w:rPr>
          <w:rFonts w:hint="eastAsia" w:ascii="宋体" w:hAnsi="宋体"/>
          <w:bCs/>
          <w:color w:val="auto"/>
          <w:sz w:val="24"/>
          <w:szCs w:val="24"/>
          <w:highlight w:val="none"/>
        </w:rPr>
        <w:t>》），同时该质疑函应由投标人法定代表人签字并加盖单位公章（原件）。无锡市惠山区政府采购中心将在收到符合上述要求的书面质疑后七个工作日内，对质疑内容做出答复。投标人在法定质疑期限外送达的质疑函或法定质疑期限内送达的质疑函不符合上述要求的均为无效质疑，无锡市惠山区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52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无锡市惠山区政府采购中心向中标供应商发中标通知书。</w:t>
      </w:r>
    </w:p>
    <w:p>
      <w:pPr>
        <w:numPr>
          <w:ilvl w:val="0"/>
          <w:numId w:val="12"/>
        </w:numPr>
        <w:tabs>
          <w:tab w:val="left" w:pos="52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投标供应商电子投标文件将作为电子档案保存。</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废标的确认：</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投标人的投标均超过采购预算，采购人不能支付的；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因重大变故，采购任务取消。</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中标无效的确认：</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提供虚假材料谋取中标的；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采取不正当手段诋毁、排挤其他投标人的；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与招标采购单位、其他投标人恶意串通的；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向招标采购单位行贿或者提供其他不正当利益的；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拒绝有关部门监督检查或者提供虚假情况的。</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签订</w:t>
      </w:r>
      <w:r>
        <w:rPr>
          <w:rFonts w:hint="eastAsia" w:ascii="黑体" w:hAnsi="宋体" w:eastAsia="黑体"/>
          <w:b/>
          <w:color w:val="auto"/>
          <w:sz w:val="24"/>
          <w:szCs w:val="24"/>
          <w:highlight w:val="none"/>
        </w:rPr>
        <w:t>、履行</w:t>
      </w:r>
      <w:r>
        <w:rPr>
          <w:rFonts w:hint="eastAsia" w:ascii="黑体" w:hAnsi="宋体" w:eastAsia="黑体"/>
          <w:bCs/>
          <w:color w:val="auto"/>
          <w:sz w:val="24"/>
          <w:szCs w:val="24"/>
          <w:highlight w:val="none"/>
        </w:rPr>
        <w:t>合同：</w:t>
      </w:r>
    </w:p>
    <w:p>
      <w:pPr>
        <w:numPr>
          <w:ilvl w:val="0"/>
          <w:numId w:val="15"/>
        </w:numPr>
        <w:tabs>
          <w:tab w:val="left" w:pos="525"/>
          <w:tab w:val="left" w:pos="945"/>
          <w:tab w:val="left" w:pos="105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采购人应当自中标通知书发出之日起三十日内（到新冠疫情应急响应解除之日前缩短至十五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p>
    <w:p>
      <w:pPr>
        <w:numPr>
          <w:ilvl w:val="0"/>
          <w:numId w:val="15"/>
        </w:numPr>
        <w:tabs>
          <w:tab w:val="left" w:pos="525"/>
          <w:tab w:val="left" w:pos="945"/>
          <w:tab w:val="left" w:pos="105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中标方非因不可抗力未履行招、投标文件和合同规定的义务，一经查实，无锡市惠山区政府采购中心将根据具体情况提请政府采购管理部门作出相应处理。</w:t>
      </w:r>
    </w:p>
    <w:p>
      <w:pPr>
        <w:numPr>
          <w:ilvl w:val="0"/>
          <w:numId w:val="15"/>
        </w:numPr>
        <w:tabs>
          <w:tab w:val="left" w:pos="525"/>
          <w:tab w:val="left" w:pos="945"/>
          <w:tab w:val="left" w:pos="105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中标供应商在采购合同签订前与采购人自行商定履约保证金的相关事项,确需收取履约保证金的，履约保证金不超过政府采购合同金额的10%。采购人应当允许供应商自主选择以支票、汇票、本票、保函等非现金形式缴纳或提交，并与中标供应商在采购合同中约定履约保证金退还的方式、时间、条件和不予退还的情形，明确逾期退还履约保证金的违约责任。</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注意事项：</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中标供应商有下列情形之一的，情节严重的，由财政部门将其列入不良行为记录名单，在一至三年内禁止参加政府采购活动，并予以通报：</w:t>
      </w:r>
    </w:p>
    <w:p>
      <w:pPr>
        <w:numPr>
          <w:ilvl w:val="3"/>
          <w:numId w:val="10"/>
        </w:numPr>
        <w:tabs>
          <w:tab w:val="left" w:pos="73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中标后无正当理由不与采购人签订合同的；</w:t>
      </w:r>
    </w:p>
    <w:p>
      <w:pPr>
        <w:numPr>
          <w:ilvl w:val="3"/>
          <w:numId w:val="10"/>
        </w:numPr>
        <w:tabs>
          <w:tab w:val="left" w:pos="73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将中标项目转让给他人，或者在投标文件中未说明，且未经过采购人同意，将中标项目分包给他人的；</w:t>
      </w:r>
    </w:p>
    <w:p>
      <w:pPr>
        <w:numPr>
          <w:ilvl w:val="3"/>
          <w:numId w:val="10"/>
        </w:numPr>
        <w:tabs>
          <w:tab w:val="left" w:pos="73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拒绝履行合同义务的。</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中标服务费：</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本次招标，无锡市惠山区政府采购中心为中标供应商提供免费服务，不收取中标服务费。</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合同融资与履约担保：</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1.根据国家扶持中小企业的有关政策，在我中心组织的采购项目中标(成交)的供应商，如需要政府采购合同融资，请按锡财购【2020】17号文件执行。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中标、成交供应商可根据自身情况，自行决定是否选择采用合同融资形式，在无锡政府采购网——政采贷专栏提供的银行名录内自主选择合作银行。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具体事项详见《关于开展政府采购合同融资工作的通知》（http://cz.wuxi.gov.cn/doc/2020/11/20/3111344.shtml）。</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 根据我市政府采购信用担保政策文件要求，在我中心组织的采购项目中标(成交)的供应商，如需要履约担保，可参照以下执行。</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履约担保，是指由专业担保机构为中标、成交供应商支付履约</w:t>
      </w:r>
      <w:r>
        <w:rPr>
          <w:rFonts w:hint="eastAsia" w:ascii="宋体" w:hAnsi="宋体"/>
          <w:bCs/>
          <w:color w:val="auto"/>
          <w:sz w:val="24"/>
          <w:szCs w:val="24"/>
        </w:rPr>
        <w:t>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pStyle w:val="2"/>
        <w:pageBreakBefore/>
        <w:rPr>
          <w:rFonts w:ascii="黑体" w:hAnsi="黑体" w:eastAsia="黑体"/>
          <w:b w:val="0"/>
          <w:color w:val="auto"/>
          <w:sz w:val="32"/>
          <w:szCs w:val="32"/>
        </w:rPr>
      </w:pPr>
      <w:bookmarkStart w:id="3" w:name="_Toc86134312"/>
      <w:r>
        <w:rPr>
          <w:rFonts w:hint="eastAsia" w:ascii="黑体" w:hAnsi="黑体" w:eastAsia="黑体"/>
          <w:b w:val="0"/>
          <w:color w:val="auto"/>
          <w:sz w:val="32"/>
          <w:szCs w:val="32"/>
        </w:rPr>
        <w:t>三．项目技术要求和有关说明</w:t>
      </w:r>
      <w:bookmarkEnd w:id="3"/>
    </w:p>
    <w:p>
      <w:pPr>
        <w:spacing w:line="360" w:lineRule="auto"/>
        <w:ind w:firstLine="560" w:firstLineChars="200"/>
        <w:rPr>
          <w:rFonts w:ascii="仿宋" w:hAnsi="仿宋" w:eastAsia="仿宋"/>
          <w:color w:val="auto"/>
          <w:sz w:val="28"/>
          <w:szCs w:val="28"/>
        </w:rPr>
      </w:pPr>
      <w:bookmarkStart w:id="4" w:name="_Toc86134313"/>
      <w:r>
        <w:rPr>
          <w:rFonts w:hint="eastAsia" w:ascii="仿宋" w:hAnsi="仿宋" w:eastAsia="仿宋"/>
          <w:color w:val="auto"/>
          <w:sz w:val="28"/>
          <w:szCs w:val="28"/>
        </w:rPr>
        <w:t>投标人所投内容必须满足招标文件要求，不得有负偏离。</w:t>
      </w:r>
    </w:p>
    <w:p>
      <w:pPr>
        <w:spacing w:line="360" w:lineRule="auto"/>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一、项目需求</w:t>
      </w:r>
    </w:p>
    <w:p>
      <w:pPr>
        <w:spacing w:line="360" w:lineRule="auto"/>
        <w:ind w:firstLine="200"/>
        <w:rPr>
          <w:rFonts w:ascii="仿宋" w:hAnsi="仿宋" w:eastAsia="仿宋"/>
          <w:color w:val="auto"/>
          <w:sz w:val="28"/>
          <w:szCs w:val="28"/>
        </w:rPr>
      </w:pPr>
      <w:r>
        <w:rPr>
          <w:rFonts w:hint="eastAsia" w:ascii="仿宋" w:hAnsi="仿宋" w:eastAsia="仿宋"/>
          <w:color w:val="auto"/>
          <w:sz w:val="28"/>
          <w:szCs w:val="28"/>
        </w:rPr>
        <w:t>根据惠山区交通执法现状，搭建性能稳定、契合业务、响应迅速的交通执法一体化系统。</w:t>
      </w:r>
    </w:p>
    <w:p>
      <w:pPr>
        <w:spacing w:line="360" w:lineRule="auto"/>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二、技术要求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指标项</w:t>
            </w:r>
          </w:p>
        </w:tc>
        <w:tc>
          <w:tcPr>
            <w:tcW w:w="631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总体性能技术要求</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（1）系统响应时间：根据工程心理学的相关理论，考虑到不同类型用户对响应时间的忍耐程度，结合超限超载治理业务对系统响应时间的要求，综合查询和分析要求系统小于 2 秒内输出结果 并展示给用户；业务处理要求系统 0.5- 1s 内输出结果并展示给用户。</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（2）数据采集率：固定治超点数据采集率100%，动态称重检测系统数据采集率 100%，卡口式治超站点数据采集率100%，源头治超系统数据采集率100%；</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（3）证据采集时间：结构化数据实时采集；图片和视频证据自违法超限行为发生起 24 小时内采集至系统；</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（4）系统可靠性：99.9%以上；</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（5）统计分析报表和图表的查询时间≤3s；</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（6）数据存储管理性能：能支持 TB 级的数据管理和服务；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安全性技术要求</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系统安全等级定级为二级，能够按照二级安全等级保护的要求进行建设和防护，以满足《信息安全技术信息系统安全等级保护基本要求》中的相关要求，包括但不限于以下功能：</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（1）用户权限限制：能根据不同要求对权限进行灵活的配置；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（2）用户和密码封闭性：对于相应用户及密码进行次数限制；</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（3）留痕功能：系统提供操作日志，操作日志记录的操作情况应具有全面性和准确性，包括主要要素如操作员、操作日期、使用模块等，具有日志查询功能；</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（4）数据传输安全性：对于有特殊安全要求的数据传输进行必要的处理，以防止对数据的篡改、侦听等；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（5）安全审计：系统进行安全审计，如日志信息、日志管理、系统信息分析、日志权限等。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可靠性技术要求</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（1）屏蔽用户操作错误：系统能够对用户常见的误操作的提示进行屏蔽；</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（2）输入数据有效性检查：系统对数据录入进行有效性检查；</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（3）错误提示的准确性：对用户的错误操作提示准确；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（4）错误不能导致系统异常退出：不存在操作错误引起系统异常退出的情况；</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（5）异常情况的影响：在程序运行过程中进行掉电或断网等故障试验，数据和系统的受影响 程度，若受损，提供补救工具和补救方法，保证数据不能丢失。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兼容性技术要求</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（1）硬件兼容性： 系统能够兼容常见的不同型号的硬件（如服务器、打印机、扫描仪等设备） ；</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（2）软件兼容性：系统与其他应用软件高度兼容，如杀毒软件、报表软件等；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（3）平台兼容性：系统对操作系统、数据库系统高度兼容，系统可移植、跨平台使用；</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（4）数据兼容性：在保证系统和数据安全的前提下，能够方便地与其他系统实现数据交互和共享；</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（5）浏览器兼容性：系统应兼容当下主流浏览器。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可扩充性技术要求</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（1）软件采用组件式开发，可扩充性强；</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（2）硬件扩充能力：系统可适应增加硬件；</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（3）软件扩充能力：具备支持业务流程的参数化配置和业务功能的重组与更新，在不影响系 统原有业务流程的情况下可实现对新业务的灵活增加；</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（4）软件复用能力：软件模块应具备可复用性，其中的部分模块可复用到其它系统中；</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（5）业务规模扩充能力：系统可以处理更多部门、更多用户的能力；</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（6）系统配置：流程可配置、标签可配置；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（7）系统升级：系统提供升级的手段较为方便；</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（8）系统维护：系统提供有效的维护手段。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易用性技术要求</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（1）应用软件系统主体应采用B/S的技术进行开发；</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（2）易安装性：系统较容易安装，符合流行安装模式；</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（3）用户界面的友好性：界面简捷，为系统管理员提供简洁、直观、友好的图形化的管理界 面，方便操作，界面风格操作与业务流程的相符；</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（4）易学习性：相对一般操作人员来说，学习使用无难度，对操作人员无特殊要求；</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（5）易操作性：应容易操作，对主要或常用功能应该提供快捷方式；</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（6）各模块界面风格一致性：界面风格和操作一致。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基础支撑服务</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（1）组织身份模型管理。构建统一的组织身份模型，提供机构、部门、人员、角色、用户组、岗位 等实体对象的管理功能，并提供实体对象关系管理。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（2）属性扩展。对所有实体对象提供扩展属性，可以根据应用场景自定义扩展属性。</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（3）组织身份管理服务。可以将组织机构管理功能以数据服务的形式提供，包括对组织身份模型中各个实体对象的修改、查询、删除、授权等操作。</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（4）分级管理。通过和访问控制系统相结合，能够实现组织身份的分级管理，即将上级部门的维护权限，授权给下级部门的管理员，由该管理员维护其权限范围内的组织身份数据。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身份认证安全管理。系统应具有良好的安全性和可靠性，保证数据的一致性；支持安全访问控制、安全认证、加密签名；对非法登录或系统故障等事故能采取多种检查和处理手段；可采用故障恢复、告警和处理机制；可保证高效、海量的数据查询性能、更新性能、批量数据插入性能。</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提供通用访问控制服务。访问控制服务提供对用户身份的统一权限配置和统一访问控制等服务。能够针对各类业务资源授予相应的权限范围，将用户实体与其角色、岗位、部门等权限属性相分离，使每个人员都具备不同的应用权限，实现每级或每个用户只能在自身的权限范围之内访问相应的业务资源。主要功能如下：</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权限模型。基于 RBAC 模型进行角色的管理，各种应用均需在 RBAC 框架下，统一使用 Role 的概念，建立 Role 、Group 和应用权限的对应关系。</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（7）权限导入。提供资源和权限的导入、导出功能，能够以 XML 格式导入、导出，实现在不同系统之间的资源和权限的数据迁移。能支持资源的扩展属性管理。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（8）权限继承过滤。提供权限继承和权限过滤功能。权限的继承通过对象的父子关联实现，要求实现操作者和资源双向继承。权限过滤功能可过滤当前资源节点从父节点继承获得的访问权限。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负权限，提供负权限功能。负权限是指操作者不应该拥有的权限。负权限通过权限计算叠加完 成，计算时负权限优先。</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（9）权限等效。提供权限等效功能。设置用户B等效于用户A，则用户B拥有用户A的所有权限，权限等效具有时效性。</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权限计算，提供权限列表和权限计算，选择资源范围和操作者集合，权限列表将权限计算的结果形成三维矩阵，横向为操作者，纵向为资源，中间为具有权限的操作。权限计算可计算单个操作者对单个资源具有权限的操作，并显示该权限的来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11）访问控制域。支持访问控制域，可根据应用场景划分为不同的访问控制域，可为访问控制域设置资源范围、操作者集合、域管理员，由域管理员在管理范围内进行资源、操作者的授权管理。访问控制域可划分为多级。</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（12）权限日志审计。提供权限日志审计功能。提供权限的变更审计日志，以及权限的访问日志。提供记录和审计所有访问尝试的能力。</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（13）身份信息获取接口。提供标准的用户身份信息获取接口。从单点登录认证服务器中获得用户身份信息，实现应用系统自身的访问控制。</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（14）单点登录信任域，支持单点登录信任域，完成单点登录整合后，在域内的所有应用相互之间可 以实现随意跳转，不需要对跳转 URL 等进行改造。支持跨域的身份认证，可以配置多个域双向或单向信任。</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（15）认证监控配置，提供认证监控配置。初始化子系统的单点登录配置信息， 监控用户的访问请求， 自动判断用户是否已经通过认证。</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（16）多种认证方式，支持多种认证方式，可以与 PKI/CA 数字证书、指纹等强认证模块集成。可针 对不同的组织身份信息存储方式同时配置多种不同的认证方式，包括数据库、LDAP、OAuth、OpenID 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（17）监听器配置。对于基于JEE标准构建的B/S 结构的应用系统，可通过配置监听器的方式实现单点登录。</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一次性访问票据。提供支持票据的REST访问协议，提供一次性的访问票据，避免重放攻击。</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（18）消息集成。对于办公系统、业务系统中的各类消息进行集成。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消息分类汇总。按照需要进行分类汇总，如待办消息、催办消息、传阅消息、通知消息、系统 消息、日程消息、邮件消息、短信消息等。消息展现。根据需要，将各分类消息在指定位置展现。</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消息的格式、类别的可扩展。支持消息的格式、类别的可扩展。</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（19）WEB 应用服务中间件、消息中间件等。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数据支撑服务</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系统集成道路运输行业（重点两客一危）人、车、户、维修、运输、装载等多个环节的数据追踪及研判，通过数据的交互及分析，加上路面动态称重系统数据、源头视频监控视频数据、北斗定位信号数据、高速卡口进出口数据、执法记录仪等硬件设施数据的拓展、联动，深化执法场景应用。</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（2）通过大数据平台提供了强大的算法处理能力。能大幅提供数据分析的性能跟效率。基于多维数 据分析需求，实现对海量数据多维分析和交互式查询的亚秒级响应。</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（3）利用空间换时间，从原理上已经确保了AD-HOC响应速度达标。</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支持 SQL，支持JOIN，支持查询重写。</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通过对区交通运输管理局信息资源进行分类管理，主要包括基础数据目录与业务数据目录。其中，基础数据目录包括人、车、户的数据。业务数据目录包括车辆二级维护数据、车辆综合性能检测数据以及治超数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（5）视频数据处理子系统以《公路网图像信息管理系统平台互联技术规范》(GB/T280599-2011)及《公共安全视频监控联网系统信息传输、交换、控制技术要求 XGB/T 28181-2016)要求为建设蓝本，通过建立服务中间件， 将市平台所需的视频解析并供市平台调用。其主要设备为流媒体中间件服务器， 由网络运营商统一提供，确保网络传输及流媒体处理可靠性。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数据融合</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（1）对接本次项目所采购的执法记录仪设备</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（2）本籍营运车辆和进入辖区的本省客运车辆以及全国普货北斗定位信息；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（3）全市高速进出口数据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（4）对接辖区内从业人员的线上学习、线下学习培训数据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（5）对接省内两客一危车辆行前教育信息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（6）出车例检业务数据对接</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（7）对接省市级相关执法平台</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（8）数据汇聚及存储、数据清洗、数据加工等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（9）维修过程数据、电子健康档案数据、环保备案数据、维修企业监控视频数据等对接</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（10）全市出租和网约车定位信息和订单状态信息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执法信息一体化（数字执法）</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（1）查询执法车辆基本数据、车辆状态数据及执法人员基本信息、轨迹数据信息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（2）对执法过程中使用执法记录仪拍摄产生的视频的查询、手动绑定案件、下载等操作</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（3）路面执法检查与执法记录仪拍摄视频自动关联及管理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（4）公路固定治超与执法记录仪拍摄视频自动关联及管理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（5）公路流动治超与执法记录仪拍摄视频自动关联及管理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大件核查与执法记录仪拍摄视频自动关联及管理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（6）道路运输路检路查与执法记录仪拍摄视频自动关联及管理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（7）道路源头与执法记录仪拍摄视频自动关联及管理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（8）水上执法巡查与执法记录仪拍摄视频自动关联及管理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（9）水上源头检查与执法记录仪拍摄视频自动关联及管理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（10）维修企业检查与执法记录仪拍摄视频自动关联及管理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（11）交通工程建设检查与执法记录仪拍摄视频自动关联及管理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（12）行政处罚案件与执法记录仪拍摄视频自动关联及管理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（13）巡查线路、巡查人员、巡查科室、巡查覆盖率、专项检查统计等业务的统计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（14）大件运输许可信息、车辆信息、路线信息、称重信息、核查完成率、人员工作量、科室工作量等数据进行统计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（15）道路运输年度任务完成率、月度计划完成率、任务覆盖率、路检路查数量等业务数据的分析及统计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（16）对路面巡查的违法违规率、巡查车辆数、执法人员检查数、科室完成数、专项任务完成率、双随机完成率等数据进行统计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水上执法检查覆盖企业数、违规数、巡查路线、计划完成数、执法船只使用辆次等数据进行统计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（17）对水上源头企业数量、企业业务数、检查结果、检查覆盖率、违法违规数量等内容进行分析统计，执法人员及科室工作量等维度进行统计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（18）对维修企业的电子健康档案上传情况、环保备案情况、车辆维修一次合格率、按时间维度的维修数量、车辆尾气治理情况、车辆二级维护情况、企业维修过程图片分析等业务数据进行分析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交通检查规范对应违法违规情况统计、检查覆盖率统计、检查计划完成率统计、执法人员工作量、科室工作量等数据的统计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对存在问题整改的企业进行统计，包含企业的状态、整改原因、整改状态等数据进行统计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（19）对处罚案件信息数据进行统计，包括一般处罚和简易处罚。按照检查人员、检查科室等进行工作量的统计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关联行业各类企业的检查覆盖率、违法违规情况、科室工作量、人员工作量，专项检查、双随机检查结果等业务，通过可视化图形进行展示行业发展的趋势</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（20）自动分析企业证照数据、超载超限数据、安全隐患数据等，并根据管理部门所设定的阀值对企业的业务进行自动或者手动锁定，待企业整改完成后自动或者手动进行解锁</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可以将系统动态分析结果推送给符合执法需求的相关人员，同时可以向现场执法人员手动发送执法信息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按照科室维度对完成检查和处罚的情况进行统计，包括执法过程中所拍摄的视频数、视频时长、案件罚款金额、检查覆盖率；</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专项检查任务、双随机检查任务完成情况等业务的统计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（21）按照人员维度对完成检查和处罚的情况进行统计，包括执法过程中所拍摄的视频数、视频时长、案件罚款金额、检查覆盖率；</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专项检查任务、双随机检查任务完成情况等业务的统计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22）人员的指挥调度，在系统大屏处可以查看现场执法人员的点位以及历史运动轨迹，系统可以自动将违法违规车辆实时推送给附近的执法人员，并可以实现与现场执法人员实现在线语音通话，查看现场执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区域行业监测管理（数字巡查）</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（1）惠山区货车辆进出无锡市高速卡口（不包含国道，省道）时超载判断</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（2）惠山区两客一危车辆进出无锡市高速卡口（不包含国道，省道）及不停车监控抓拍，判断车辆有无GPS定位信号</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（3）惠山区两客一危车辆进出无锡市高速卡口（不包含国道，省道）及不停车监控抓拍，判断车辆有无运单</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（4）惠山区两客一危车辆进出无锡市高速卡口（不包含国道，省道）及不停车监控抓拍，判断车辆二级维护、等评、年审是否有效</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无锡市普货车辆超过三个月未上线且有通过记录的问题车辆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两客一危车辆超期营运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（5）根据源头企业称重以及卡口称重数据进行判断，车辆是否场外装卸载</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（6）驾驶员通过手机端进行每日的行前安全评测，在帮助管理部门了解企业驾驶员行前安全评测真实状况，督促企业及驾驶员做好行前安全评测工作</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（7）车辆在出车例检前，根据不同类型的车辆出车例检要求不同，进行研判分析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（8）通过所设定的阀值或者指定的执法人员，可以将巡查过程中发现的违法违规情况进行分级预警或者报警，将预报警信息进行实时的推送</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（9）实时分析驾驶车辆及人员等疫情期间轨迹履历，辅助疫情行业管理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（10）车辆外地二级维护及检测纪录</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（11）根据车辆维修、检测、主动防控系统报警、出车例检情况、车辆运单等各方面情况，根据预设定的各项评分规则，进行计算评分后生成红黄绿健康码。发现红码 黄码及时根据提示进行整改</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根据车辆二维、等评、年审情况，结合车辆GPS定位、结合车辆运单巡查判断车辆是否超期运营</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（12）巡查两客一危主动防控报警及处理情况，研判车辆是否存安全隐患，生成企业主动防控隐患台账，提高企业安全意识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根据车辆GPS、车辆运单巡查车辆出车例检完成情况，对于异常情况生成相关企业出车例行台账</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（13）根据出租车网约车的定位信息及运单信息，巡查非法营运车辆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（14）根据车辆定位以及运单信息巡查研判车辆无运单经营</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根据卡口车辆出入情况以及车辆GPS定位情况，巡查研判GPS定义异常车辆。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（15）根据车辆源头称重信息、卡口进出称重信息，巡查研判存在场外装卸载车辆。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（16）对辖区内客运、危货、重载普货等类型的企业进行巡查，分析各类企业台账完成情况</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17）通过对企业下车辆、人员以及企业本身的动态安全隐患，结合积分研判阀值对企业的计分进行动态管控，对于超出阀值的企业进行预报警推送；提供企业累计积分项进行排名，分析行业内普遍存在的安全生产隐患项，辅助管理部门对行业进行精准执法</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巡查企业经营资质、维修设备、检测设备检定资质和期限、维修作业、检测作业过程数据、维检纪录数据、电子健康档案上传情况、维修备案情况等数据系统智能判定完整性</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（18）巡查检测机构资质、设备检定有效期、人员证件、检测作业过程数据的完整、偏差范围，系统智能判定完整性</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根据人员行前评测情况，巡查人员是否存在出车安全隐患，及时提醒企业</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（19）根据主动防控报警，巡查判断人员行车作业中是存在的安全隐患，及时提醒进行安全教育</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（20）对人员线上教育、线下培训、安全学习等内容进行巡查分析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（21）管理平台定期发布行业相关政策资讯与已有行业APP打通</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人员违法事故记录、人员主动防控纪录等自动与企业相关台账进行比对，未进行教育培训的将进行提醒</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（22）对企业智能巡查结果的列表统计：按照业务类型统计、按照区域、按照企业作业信用统计，按照企业类型、车辆维检情况统计等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（23）按照车辆类型分类、车辆管辖机构，车辆业务巡查分类统计、按照时间、区域进行统计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（24）按照从业人员所属企业类型、人员培训教育时长、人员行前评测、行前状态评估结果、人员证照信息等按照时间、区域进行统计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（25）系统自动加入累计评分周期内分数较低的企业，或者安全隐患较多的车辆、人员。管理人员也可以手动添加企业、车辆或者人员，加入黑名单的对象，系统会重点巡查和重点监管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（26）列表展示企业的动态研判结果以及企业累计积分情况，可以给企业下发整改通知和督办任务</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27）根据管理部门及法律法规要求，系统实时更新、推送最新的企业管理制度模板或制度相关的编写依据、法律法规等建议，供企业使用、参考、完善，形成自己的企业管理制度；解决企业制定的制度不完善、不专业的问题。</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（28）行业内普遍问题的专项整治，通过系统实现任务的发起并实现与省级相关系统的对接及数据联动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行业动态监管可视化</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（1）新增普货、不停车称重、高速卡口等数据融合展示，通过不同的图层对数据进行展示，例如普货图层、两客一危图层、治超类图层、高速卡口数据图层等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（2）两客一危、出租车、网约车、普货车，交通执法基础数据，治超基础数据，维检基础数据，业务动向、行业发展趋势分析</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综合展示企业信息、企业下属车辆人员作业情况、企业台账完成情况、企业安全隐患、动态评分、企业证照信息等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（3）动态展示车辆的动态研判数据，例如违法违规情况、出车例检情况、二维、年审、维修等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（4）综合展示人员信息、人员行前评测、安全教育、主动防控、证照信息等动态数据信息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（5）车辆超期营运预警、车辆主动防控安全隐患预警、车辆非法营运预警、车辆GPS异常报警等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（6）企业台账没按时完成预警、企业报警未及时处理，人员、车辆安全隐患未及时处理报警</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（7）人员行前评测隐患、行车过程安全隐患报警</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（8）对重点管理车辆进行增删查，并在大屏上综合展示车辆的实时定位及历史轨迹数据信息，可动态展示车辆的实时违法违规数据、驾驶员违规数据、所属企业的安全隐患数据等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（9）通过设定的电子围栏对入锡车辆轨迹数据进行分析，展示入锡可疑车辆、企业信息进行动态可视化展示</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查询执法记录仪点位及运动轨迹情况</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（10）执法案件分类、执法案件完成情况，月度案件走势等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（11）针对省市级双随机检查、专项检查等检查数据的分析及展示</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对重点企业进行增删查，并在大屏上综合展示重点管理企业的最新安全隐患项、问题处置履历情况、人员安全教育培训情况、企业安全生产情况、台账制度管理情况等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12）不停车称重、源头称重、维修企业等视频的集成，分析及研判视频过程中是否存在不合规项。涉及到不同的源头视频拍摄设备、不停车称重视频设备、维修企业视频设备，视频采集时效性的保障以及采集视频的研判分析及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道路运输企业管理企业端</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（1）企业自身基本情况的维护</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（2）对企业下车辆的基本信息进行管理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（3）对企业下从业人员的基本信息（姓名、联系电话、身份证、从业资格等）进行管理；对人员的入职、离职维护；</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根据管理部门及法律法规要求，系统实时更新、推送最新的企业管理制度模板或制度相关的编写依据、法律法规等建议，供企业使用、参考、完善，形成自己的企业管理制度；解决企业制定的制度不完善、不专业的问题。</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（5）系统根据企业不同车辆的二维周期、行驶里程，来安排车辆二维时间，自动生成、变更车辆二维计划。解决了企业当下制定维养计划不细致、不专业的问题。</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通过系统查看车辆在修理厂的维检记录、费用清单和维修视频、合格证、检测报告、等评报告等信息，辅助运输企业对车辆在修理厂、检测站的维检过程及结果进行监督，实现明明白白消费，事后可追溯，分解企业的安全责任。</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通过系统查看企业人员每日出车前的行前安全教育、出车例检、心理评估等数据，对日常行前评测、出车例检、心里评估情况进行审核处置，帮助企业了解车辆的真实技术情况，督促驾驶员做好对车辆的日常维护的同时；了解驾驶员的身心状况，提升驾驶员的业务技能和安全意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基于完善的人员车辆基础数据，通过使用企业电子台账来代替纸质台账；解决纸质台账需要人工建立、维护，台账管理难度大的问题；也解决纸质台账文件过多，不便于随时查询，无助于车辆、人员的监督管理的问题。解决企业日常运营中多样化管理需求。</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维护企业内的专项学习计划、日常学习计划、统一会议学习培训等计划；查看各计划执行情况，学习进度、学习过程资料、人员参与及签到纪录等；查看人员日常学习的人脸识别、抓拍比对、电子签名等认证识别情况，查看学习进度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（10）查看最新的系统下发的或者管理部门下发的行业通知和政策通知，可以通过系统对通知进行回复、上传图片等操作。</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11）企业可以在平台上查看各类到期提醒，包括二维、年审、等评、维护、保险、证件、易制毒备案的到期提醒，各类管理工作的动态提醒功能；解决了车辆的运输业务和管理工作之间存在的时间冲突，帮助企业合理安排各项工作。</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（12）系统帮助中心，操作手册查看、售后服务等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auto"/>
                <w:kern w:val="0"/>
                <w:szCs w:val="21"/>
              </w:rPr>
            </w:pPr>
            <w:r>
              <w:rPr>
                <w:rFonts w:hint="eastAsia" w:ascii="仿宋" w:hAnsi="仿宋" w:eastAsia="仿宋" w:cs="Times New Roman"/>
                <w:color w:val="auto"/>
                <w:kern w:val="0"/>
                <w:szCs w:val="21"/>
              </w:rPr>
              <w:t>系统管理</w:t>
            </w:r>
          </w:p>
        </w:tc>
        <w:tc>
          <w:tcPr>
            <w:tcW w:w="631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color w:val="auto"/>
                <w:kern w:val="0"/>
                <w:szCs w:val="21"/>
              </w:rPr>
            </w:pPr>
            <w:r>
              <w:rPr>
                <w:rFonts w:hint="eastAsia" w:ascii="仿宋" w:hAnsi="仿宋" w:eastAsia="仿宋" w:cs="Times New Roman"/>
                <w:color w:val="auto"/>
                <w:kern w:val="0"/>
                <w:szCs w:val="21"/>
              </w:rPr>
              <w:t>（1）对系统内科室及相关执法人员的管理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（2）对管理部门端人员账号进行管理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（3）对系统菜单层级、菜单名称等管理、菜单路径、菜单图标等管理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（4）对管理部门端角色及角色权限等进行管理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（5）查看企业的基本信息，维护企业端登录权限，账号及密码</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（6）查看车辆的基本信息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（7）查看从业人员的基本信息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（8）企业静态评分规则配置，红黄蓝等级分值</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（9）动态检查项目得分项目，一票否决项等配置</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（10）对企业异常阀值的设定，例如企业动态评分、企业安全隐患项等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（11）对车辆判定为异常的相关阀值进行设定，例如超载超限、出车例检异常等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（12）对人员判定为异常的相关阀值进行设定，例如交通违法、安全教育时长等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（13）设定企业可以锁定的业务类型以及业务锁定及解锁的阀值信息</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（14）对危货、普货、客运等不同营运类型的企业常规、月度、年度情况下需要上传的台账类型规则进行管理</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（15）可以查看所有系统内的执法视频、路面称重视频、源头称重视频、维修企业视频、车辆治理视频，对视频进行管理以及相关通知文件等；提供行业学习资料、视频等文件的上传及维护</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（16）查看系统内人员在线状态，以及移动端人员在线状态及最新打卡执法地点</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（17）从web端监控到各服务器相关运行状态，包含cpu状态、内存使用、存储使用</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（18）查看系统内相关人员、模块的操作日志</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（19）发起通知公告，包含行业通知、任务通知、文件精神等内容</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查询执法记录仪分配纪录、分配纪录、质保纪录、在线状态等</w:t>
            </w:r>
          </w:p>
          <w:p>
            <w:pPr>
              <w:rPr>
                <w:rFonts w:ascii="仿宋" w:hAnsi="仿宋" w:eastAsia="仿宋" w:cs="Times New Roman"/>
                <w:color w:val="auto"/>
                <w:kern w:val="0"/>
                <w:szCs w:val="21"/>
              </w:rPr>
            </w:pPr>
            <w:r>
              <w:rPr>
                <w:rFonts w:hint="eastAsia" w:ascii="仿宋" w:hAnsi="仿宋" w:eastAsia="仿宋" w:cs="Times New Roman"/>
                <w:color w:val="auto"/>
                <w:kern w:val="0"/>
                <w:szCs w:val="21"/>
              </w:rPr>
              <w:t>（20）系统帮助中心，操作手册查看、售后服务等</w:t>
            </w:r>
          </w:p>
        </w:tc>
      </w:tr>
    </w:tbl>
    <w:p>
      <w:pPr>
        <w:pStyle w:val="180"/>
        <w:spacing w:line="360" w:lineRule="auto"/>
        <w:ind w:firstLine="562"/>
        <w:rPr>
          <w:rFonts w:ascii="仿宋" w:hAnsi="仿宋" w:eastAsia="仿宋"/>
          <w:b/>
          <w:bCs/>
          <w:color w:val="auto"/>
          <w:sz w:val="28"/>
          <w:szCs w:val="28"/>
        </w:rPr>
      </w:pPr>
      <w:r>
        <w:rPr>
          <w:rFonts w:hint="eastAsia" w:ascii="仿宋" w:hAnsi="仿宋" w:eastAsia="仿宋"/>
          <w:b/>
          <w:bCs/>
          <w:color w:val="auto"/>
          <w:sz w:val="28"/>
          <w:szCs w:val="28"/>
        </w:rPr>
        <w:t>三、采购清单</w:t>
      </w:r>
    </w:p>
    <w:tbl>
      <w:tblPr>
        <w:tblStyle w:val="24"/>
        <w:tblW w:w="83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99"/>
        <w:gridCol w:w="2693"/>
        <w:gridCol w:w="3908"/>
        <w:gridCol w:w="1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shd w:val="clear" w:color="auto" w:fill="C0C0C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序号</w:t>
            </w:r>
          </w:p>
        </w:tc>
        <w:tc>
          <w:tcPr>
            <w:tcW w:w="2693" w:type="dxa"/>
            <w:shd w:val="clear" w:color="auto" w:fill="C0C0C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构成及名称</w:t>
            </w:r>
          </w:p>
        </w:tc>
        <w:tc>
          <w:tcPr>
            <w:tcW w:w="3908" w:type="dxa"/>
            <w:shd w:val="clear" w:color="auto" w:fill="C0C0C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说明</w:t>
            </w:r>
          </w:p>
        </w:tc>
        <w:tc>
          <w:tcPr>
            <w:tcW w:w="1054" w:type="dxa"/>
            <w:shd w:val="clear" w:color="auto" w:fill="C0C0C0"/>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一</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政务云租赁</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主机安全</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用于主机安全防护</w:t>
            </w:r>
          </w:p>
        </w:tc>
        <w:tc>
          <w:tcPr>
            <w:tcW w:w="1054" w:type="dxa"/>
            <w:vMerge w:val="restart"/>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云防火墙</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用于拦截恶意请求等</w:t>
            </w:r>
          </w:p>
        </w:tc>
        <w:tc>
          <w:tcPr>
            <w:tcW w:w="0" w:type="auto"/>
            <w:vMerge w:val="continue"/>
            <w:vAlign w:val="center"/>
          </w:tcPr>
          <w:p>
            <w:pPr>
              <w:widowControl/>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日志审计</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网络日志审计</w:t>
            </w:r>
          </w:p>
        </w:tc>
        <w:tc>
          <w:tcPr>
            <w:tcW w:w="0" w:type="auto"/>
            <w:vMerge w:val="continue"/>
            <w:vAlign w:val="center"/>
          </w:tcPr>
          <w:p>
            <w:pPr>
              <w:widowControl/>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4</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云堡垒机</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服务器访问控制</w:t>
            </w:r>
          </w:p>
        </w:tc>
        <w:tc>
          <w:tcPr>
            <w:tcW w:w="0" w:type="auto"/>
            <w:vMerge w:val="continue"/>
            <w:vAlign w:val="center"/>
          </w:tcPr>
          <w:p>
            <w:pPr>
              <w:widowControl/>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5</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云WEB应用防火墙</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应用节点单机云防护</w:t>
            </w:r>
          </w:p>
        </w:tc>
        <w:tc>
          <w:tcPr>
            <w:tcW w:w="0" w:type="auto"/>
            <w:vMerge w:val="continue"/>
            <w:vAlign w:val="center"/>
          </w:tcPr>
          <w:p>
            <w:pPr>
              <w:widowControl/>
              <w:jc w:val="left"/>
              <w:rPr>
                <w:rFonts w:ascii="仿宋" w:hAnsi="仿宋" w:eastAsia="仿宋"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6</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云数据库服务器*1</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8核 CPU（CPU 主频不小于 2.0GHz）， 16G 内 存， 500G 硬盘，MySQL数据库存储</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1台·年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7</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文件储存服务器*1</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4核 CPU（CPU 主频不小于 2.0GHz）， 16G 内 存， 500GB 硬盘（备份） ，文件存储，</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1台·年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8</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云应用服务器</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8核CPU（CPU主频不小于2.0GHz），32G内存，500GB硬盘数据处理</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1台·年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9</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可挂载云存储</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普通存储磁盘总计容量13TB</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1台·年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二</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定制开发软件</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数据融合</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详情参考技术需求</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执法信息一体化</w:t>
            </w:r>
          </w:p>
        </w:tc>
        <w:tc>
          <w:tcPr>
            <w:tcW w:w="3908" w:type="dxa"/>
          </w:tcPr>
          <w:p>
            <w:pPr>
              <w:widowControl/>
              <w:jc w:val="center"/>
              <w:rPr>
                <w:rFonts w:ascii="仿宋" w:hAnsi="仿宋" w:eastAsia="仿宋" w:cs="宋体"/>
                <w:color w:val="auto"/>
                <w:kern w:val="0"/>
                <w:szCs w:val="21"/>
              </w:rPr>
            </w:pPr>
            <w:r>
              <w:rPr>
                <w:rFonts w:hint="eastAsia" w:ascii="仿宋" w:hAnsi="仿宋" w:eastAsia="仿宋"/>
                <w:color w:val="auto"/>
                <w:szCs w:val="21"/>
              </w:rPr>
              <w:t>详情参考技术需求</w:t>
            </w:r>
          </w:p>
        </w:tc>
        <w:tc>
          <w:tcPr>
            <w:tcW w:w="1054" w:type="dxa"/>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3</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区域行业监测管理</w:t>
            </w:r>
          </w:p>
        </w:tc>
        <w:tc>
          <w:tcPr>
            <w:tcW w:w="3908" w:type="dxa"/>
          </w:tcPr>
          <w:p>
            <w:pPr>
              <w:widowControl/>
              <w:jc w:val="center"/>
              <w:rPr>
                <w:rFonts w:ascii="仿宋" w:hAnsi="仿宋" w:eastAsia="仿宋" w:cs="宋体"/>
                <w:color w:val="auto"/>
                <w:kern w:val="0"/>
                <w:szCs w:val="21"/>
              </w:rPr>
            </w:pPr>
            <w:r>
              <w:rPr>
                <w:rFonts w:hint="eastAsia" w:ascii="仿宋" w:hAnsi="仿宋" w:eastAsia="仿宋"/>
                <w:color w:val="auto"/>
                <w:szCs w:val="21"/>
              </w:rPr>
              <w:t>详情参考技术需求</w:t>
            </w:r>
          </w:p>
        </w:tc>
        <w:tc>
          <w:tcPr>
            <w:tcW w:w="1054" w:type="dxa"/>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4</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行业动态监管可视化</w:t>
            </w:r>
          </w:p>
        </w:tc>
        <w:tc>
          <w:tcPr>
            <w:tcW w:w="3908" w:type="dxa"/>
          </w:tcPr>
          <w:p>
            <w:pPr>
              <w:widowControl/>
              <w:jc w:val="center"/>
              <w:rPr>
                <w:rFonts w:ascii="仿宋" w:hAnsi="仿宋" w:eastAsia="仿宋" w:cs="宋体"/>
                <w:color w:val="auto"/>
                <w:kern w:val="0"/>
                <w:szCs w:val="21"/>
              </w:rPr>
            </w:pPr>
            <w:r>
              <w:rPr>
                <w:rFonts w:hint="eastAsia" w:ascii="仿宋" w:hAnsi="仿宋" w:eastAsia="仿宋"/>
                <w:color w:val="auto"/>
                <w:szCs w:val="21"/>
              </w:rPr>
              <w:t>详情参考技术需求</w:t>
            </w:r>
          </w:p>
        </w:tc>
        <w:tc>
          <w:tcPr>
            <w:tcW w:w="1054" w:type="dxa"/>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5</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道路企业运输管理企业端</w:t>
            </w:r>
          </w:p>
        </w:tc>
        <w:tc>
          <w:tcPr>
            <w:tcW w:w="3908" w:type="dxa"/>
          </w:tcPr>
          <w:p>
            <w:pPr>
              <w:widowControl/>
              <w:jc w:val="center"/>
              <w:rPr>
                <w:rFonts w:ascii="仿宋" w:hAnsi="仿宋" w:eastAsia="仿宋" w:cs="宋体"/>
                <w:color w:val="auto"/>
                <w:kern w:val="0"/>
                <w:szCs w:val="21"/>
              </w:rPr>
            </w:pPr>
            <w:r>
              <w:rPr>
                <w:rFonts w:hint="eastAsia" w:ascii="仿宋" w:hAnsi="仿宋" w:eastAsia="仿宋"/>
                <w:color w:val="auto"/>
                <w:szCs w:val="21"/>
              </w:rPr>
              <w:t>详情参考技术需求</w:t>
            </w:r>
          </w:p>
        </w:tc>
        <w:tc>
          <w:tcPr>
            <w:tcW w:w="1054" w:type="dxa"/>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6</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系统管理</w:t>
            </w:r>
          </w:p>
        </w:tc>
        <w:tc>
          <w:tcPr>
            <w:tcW w:w="3908" w:type="dxa"/>
          </w:tcPr>
          <w:p>
            <w:pPr>
              <w:widowControl/>
              <w:jc w:val="center"/>
              <w:rPr>
                <w:rFonts w:ascii="仿宋" w:hAnsi="仿宋" w:eastAsia="仿宋" w:cs="Times New Roman"/>
                <w:color w:val="auto"/>
                <w:szCs w:val="21"/>
              </w:rPr>
            </w:pPr>
            <w:r>
              <w:rPr>
                <w:rFonts w:hint="eastAsia" w:ascii="仿宋" w:hAnsi="仿宋" w:eastAsia="仿宋"/>
                <w:color w:val="auto"/>
                <w:szCs w:val="21"/>
              </w:rPr>
              <w:t>详情参考技术需求</w:t>
            </w:r>
          </w:p>
        </w:tc>
        <w:tc>
          <w:tcPr>
            <w:tcW w:w="1054" w:type="dxa"/>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三</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其他工程建设</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等保测评费</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二级等保评测</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699"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2</w:t>
            </w:r>
          </w:p>
        </w:tc>
        <w:tc>
          <w:tcPr>
            <w:tcW w:w="2693"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软件测评费</w:t>
            </w:r>
          </w:p>
        </w:tc>
        <w:tc>
          <w:tcPr>
            <w:tcW w:w="3908"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不超过定制开发软件费 3.5%</w:t>
            </w:r>
          </w:p>
        </w:tc>
        <w:tc>
          <w:tcPr>
            <w:tcW w:w="1054" w:type="dxa"/>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1项</w:t>
            </w:r>
          </w:p>
        </w:tc>
      </w:tr>
    </w:tbl>
    <w:p>
      <w:pPr>
        <w:pStyle w:val="180"/>
        <w:spacing w:line="360" w:lineRule="auto"/>
        <w:ind w:firstLine="562"/>
        <w:rPr>
          <w:rFonts w:ascii="仿宋" w:hAnsi="仿宋" w:eastAsia="仿宋"/>
          <w:b/>
          <w:bCs/>
          <w:color w:val="auto"/>
          <w:sz w:val="28"/>
          <w:szCs w:val="28"/>
        </w:rPr>
      </w:pPr>
      <w:r>
        <w:rPr>
          <w:rFonts w:hint="eastAsia" w:ascii="仿宋" w:hAnsi="仿宋" w:eastAsia="仿宋"/>
          <w:b/>
          <w:bCs/>
          <w:color w:val="auto"/>
          <w:sz w:val="28"/>
          <w:szCs w:val="28"/>
        </w:rPr>
        <w:t>四、实施要求</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1．实施周期：</w:t>
      </w:r>
      <w:r>
        <w:rPr>
          <w:rFonts w:hint="eastAsia" w:ascii="仿宋" w:hAnsi="仿宋" w:eastAsia="仿宋"/>
          <w:color w:val="auto"/>
          <w:sz w:val="28"/>
          <w:szCs w:val="28"/>
          <w:lang w:eastAsia="zh-CN"/>
        </w:rPr>
        <w:t>六</w:t>
      </w:r>
      <w:r>
        <w:rPr>
          <w:rFonts w:hint="eastAsia" w:ascii="仿宋" w:hAnsi="仿宋" w:eastAsia="仿宋"/>
          <w:color w:val="auto"/>
          <w:sz w:val="28"/>
          <w:szCs w:val="28"/>
        </w:rPr>
        <w:t>个月。</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2．售后服务</w:t>
      </w:r>
      <w:bookmarkStart w:id="55" w:name="_GoBack"/>
      <w:bookmarkEnd w:id="55"/>
    </w:p>
    <w:p>
      <w:pPr>
        <w:pStyle w:val="180"/>
        <w:spacing w:line="360" w:lineRule="auto"/>
        <w:ind w:firstLine="560"/>
        <w:rPr>
          <w:rFonts w:ascii="仿宋" w:hAnsi="仿宋" w:eastAsia="仿宋"/>
          <w:color w:val="auto"/>
          <w:sz w:val="28"/>
          <w:szCs w:val="28"/>
        </w:rPr>
      </w:pPr>
      <w:r>
        <w:rPr>
          <w:rFonts w:ascii="仿宋" w:hAnsi="仿宋" w:eastAsia="仿宋"/>
          <w:color w:val="auto"/>
          <w:sz w:val="28"/>
          <w:szCs w:val="28"/>
        </w:rPr>
        <w:t>a.</w:t>
      </w:r>
      <w:r>
        <w:rPr>
          <w:rFonts w:hint="eastAsia" w:ascii="仿宋" w:hAnsi="仿宋" w:eastAsia="仿宋"/>
          <w:color w:val="auto"/>
          <w:sz w:val="28"/>
          <w:szCs w:val="28"/>
        </w:rPr>
        <w:t>电话服务</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需提供7*8小时不间断电话技术支持服务，软件使用中发生问题拨打公司技术热线，为用户快捷排除故障。较为严重的系统故障响应时间不得超过 2 小时，日常维护响应时间不得超过4小时。</w:t>
      </w:r>
    </w:p>
    <w:p>
      <w:pPr>
        <w:pStyle w:val="180"/>
        <w:spacing w:line="360" w:lineRule="auto"/>
        <w:ind w:firstLine="560"/>
        <w:rPr>
          <w:rFonts w:ascii="仿宋" w:hAnsi="仿宋" w:eastAsia="仿宋"/>
          <w:color w:val="auto"/>
          <w:sz w:val="28"/>
          <w:szCs w:val="28"/>
        </w:rPr>
      </w:pPr>
      <w:r>
        <w:rPr>
          <w:rFonts w:ascii="仿宋" w:hAnsi="仿宋" w:eastAsia="仿宋"/>
          <w:color w:val="auto"/>
          <w:sz w:val="28"/>
          <w:szCs w:val="28"/>
        </w:rPr>
        <w:t>b.</w:t>
      </w:r>
      <w:r>
        <w:rPr>
          <w:rFonts w:hint="eastAsia" w:ascii="仿宋" w:hAnsi="仿宋" w:eastAsia="仿宋"/>
          <w:color w:val="auto"/>
          <w:sz w:val="28"/>
          <w:szCs w:val="28"/>
        </w:rPr>
        <w:t>上门服务</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在保质期内，在发生故障且接报后立即响应，4小时到达现场排除故障。</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w:t>
      </w:r>
      <w:r>
        <w:rPr>
          <w:rFonts w:hint="eastAsia" w:ascii="仿宋" w:hAnsi="仿宋" w:eastAsia="仿宋"/>
          <w:color w:val="auto"/>
          <w:sz w:val="28"/>
          <w:szCs w:val="28"/>
        </w:rPr>
        <w:t>免费维护期：项目上线验收后软件系统免费运维三年。</w:t>
      </w:r>
    </w:p>
    <w:p>
      <w:pPr>
        <w:pStyle w:val="180"/>
        <w:spacing w:line="360" w:lineRule="auto"/>
        <w:ind w:firstLine="562"/>
        <w:rPr>
          <w:rFonts w:ascii="仿宋" w:hAnsi="仿宋" w:eastAsia="仿宋"/>
          <w:b/>
          <w:bCs/>
          <w:color w:val="auto"/>
          <w:sz w:val="28"/>
          <w:szCs w:val="28"/>
        </w:rPr>
      </w:pPr>
      <w:r>
        <w:rPr>
          <w:rFonts w:hint="eastAsia" w:ascii="仿宋" w:hAnsi="仿宋" w:eastAsia="仿宋"/>
          <w:b/>
          <w:bCs/>
          <w:color w:val="auto"/>
          <w:sz w:val="28"/>
          <w:szCs w:val="28"/>
        </w:rPr>
        <w:t>有关说明</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投标总报价包括满足本项目要求的所有产品及其配件、包装、运杂、安装调试及售后服务等从项目中标起到项目正式交付以及质保期内所发生的一切费用。</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通过中国海关报关验放进入中国境内且产自关境外的产品不在本项目的报价范围。</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本项目中有信息安全产品的，必须选择经国家认证的信息安全产品，并提供由中国信息安全认证中心（中国网络安全审查技术与认证中心）颁发的有效认证证书复印件。</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依据财政部、发展改革委发布的《节能产品政府采购品目清单》，本项目采购中有政府强制采购节能产品（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投标人必须在满足招标文件要求的基础上进行报价，如有技术偏离请于投标偏离表中说明。</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完工期：10个月。</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本项目合同履行地点：直接送到需方指定地点，即：以合同书上的地点为准。中标方必须按采购人要求将本项目中货物送到指定地点(包括可能的分布范围)，并分地实施安装调试。</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付款方式：项目合同签订生效，支付合同金额的30%；项目验收合格，支付至合同金额的95%；项目质保期结束后，支付尾款。</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项目整体质保期：政务云硬件租赁一年质保期，定制开发软件三年质保期。</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pStyle w:val="180"/>
        <w:spacing w:line="360" w:lineRule="auto"/>
        <w:ind w:firstLine="560"/>
        <w:rPr>
          <w:rFonts w:ascii="仿宋" w:hAnsi="仿宋" w:eastAsia="仿宋"/>
          <w:color w:val="auto"/>
          <w:sz w:val="28"/>
          <w:szCs w:val="28"/>
        </w:rPr>
      </w:pPr>
      <w:r>
        <w:rPr>
          <w:rFonts w:hint="eastAsia" w:ascii="仿宋" w:hAnsi="仿宋" w:eastAsia="仿宋"/>
          <w:color w:val="auto"/>
          <w:sz w:val="28"/>
          <w:szCs w:val="28"/>
        </w:rPr>
        <w:t>依据《政府采购促进中小企业发展管理办法》规定享受扶持政策获得政府采购合同的，小微企业不得将合同分包给大中型企业，中型企业不得将合同分包给大型企业。</w:t>
      </w:r>
    </w:p>
    <w:p>
      <w:pPr>
        <w:pStyle w:val="2"/>
        <w:pageBreakBefore/>
        <w:rPr>
          <w:rFonts w:ascii="黑体" w:eastAsia="黑体"/>
          <w:bCs w:val="0"/>
          <w:color w:val="auto"/>
          <w:sz w:val="28"/>
          <w:szCs w:val="28"/>
        </w:rPr>
      </w:pPr>
      <w:r>
        <w:rPr>
          <w:rFonts w:hint="eastAsia" w:ascii="黑体" w:hAnsi="黑体" w:eastAsia="黑体"/>
          <w:b w:val="0"/>
          <w:color w:val="auto"/>
          <w:sz w:val="32"/>
          <w:szCs w:val="32"/>
        </w:rPr>
        <w:t>四．合同书（格式文本）</w:t>
      </w:r>
      <w:bookmarkEnd w:id="4"/>
    </w:p>
    <w:p>
      <w:pPr>
        <w:spacing w:line="360" w:lineRule="auto"/>
        <w:jc w:val="center"/>
        <w:rPr>
          <w:rFonts w:ascii="黑体" w:hAnsi="宋体" w:eastAsia="黑体"/>
          <w:b/>
          <w:color w:val="auto"/>
          <w:sz w:val="28"/>
          <w:szCs w:val="28"/>
        </w:rPr>
      </w:pPr>
      <w:r>
        <w:rPr>
          <w:rFonts w:hint="eastAsia" w:ascii="黑体" w:hAnsi="宋体" w:eastAsia="黑体"/>
          <w:b/>
          <w:color w:val="auto"/>
          <w:sz w:val="28"/>
          <w:szCs w:val="28"/>
        </w:rPr>
        <w:t>合同书（服务）格式条款</w:t>
      </w:r>
    </w:p>
    <w:p>
      <w:pPr>
        <w:spacing w:line="360" w:lineRule="auto"/>
        <w:ind w:firstLine="482" w:firstLineChars="200"/>
        <w:rPr>
          <w:rFonts w:ascii="黑体" w:eastAsia="黑体"/>
          <w:b/>
          <w:color w:val="auto"/>
          <w:sz w:val="28"/>
          <w:szCs w:val="28"/>
        </w:rPr>
      </w:pPr>
      <w:r>
        <w:rPr>
          <w:rFonts w:hint="eastAsia" w:ascii="宋体" w:hAnsi="宋体"/>
          <w:b/>
          <w:color w:val="auto"/>
          <w:sz w:val="24"/>
          <w:szCs w:val="24"/>
        </w:rPr>
        <w:t>根据《中华人民共和国政府采购法》及相关法规、《中华人民共和国民法典》，遵循平等、自愿、公平和诚实信用的原则，甲乙双方就项目（项目编号： ）实施及有关事项协商一致，共同达成如下协议：</w:t>
      </w:r>
    </w:p>
    <w:p>
      <w:pPr>
        <w:spacing w:line="440" w:lineRule="exact"/>
        <w:rPr>
          <w:rFonts w:ascii="宋体"/>
          <w:bCs/>
          <w:color w:val="auto"/>
          <w:sz w:val="24"/>
          <w:szCs w:val="24"/>
          <w:u w:val="single"/>
        </w:rPr>
      </w:pPr>
      <w:r>
        <w:rPr>
          <w:rFonts w:hint="eastAsia" w:ascii="宋体" w:hAnsi="宋体"/>
          <w:bCs/>
          <w:color w:val="auto"/>
          <w:sz w:val="24"/>
          <w:szCs w:val="24"/>
        </w:rPr>
        <w:t>需方（采购人）：</w:t>
      </w:r>
    </w:p>
    <w:p>
      <w:pPr>
        <w:spacing w:line="440" w:lineRule="exact"/>
        <w:rPr>
          <w:rFonts w:ascii="宋体"/>
          <w:bCs/>
          <w:color w:val="auto"/>
          <w:sz w:val="24"/>
          <w:szCs w:val="24"/>
          <w:u w:val="single"/>
        </w:rPr>
      </w:pPr>
      <w:r>
        <w:rPr>
          <w:rFonts w:hint="eastAsia" w:ascii="宋体" w:hAnsi="宋体"/>
          <w:bCs/>
          <w:color w:val="auto"/>
          <w:sz w:val="24"/>
          <w:szCs w:val="24"/>
        </w:rPr>
        <w:t>供方（中标方）：</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一、采购项目编号：</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二、采购项目名称：</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三、中标（成交）总金额：</w:t>
      </w:r>
      <w:r>
        <w:rPr>
          <w:rFonts w:hint="eastAsia" w:ascii="宋体" w:hAnsi="宋体"/>
          <w:bCs/>
          <w:color w:val="auto"/>
          <w:sz w:val="24"/>
          <w:szCs w:val="24"/>
          <w:u w:val="single"/>
        </w:rPr>
        <w:t xml:space="preserve">                   </w:t>
      </w:r>
      <w:r>
        <w:rPr>
          <w:rFonts w:hint="eastAsia" w:ascii="宋体" w:hAnsi="宋体"/>
          <w:bCs/>
          <w:color w:val="auto"/>
          <w:sz w:val="24"/>
          <w:szCs w:val="24"/>
        </w:rPr>
        <w:t>（大写）；</w:t>
      </w:r>
      <w:r>
        <w:rPr>
          <w:rFonts w:hint="eastAsia" w:ascii="宋体" w:hAnsi="宋体"/>
          <w:bCs/>
          <w:color w:val="auto"/>
          <w:sz w:val="24"/>
          <w:szCs w:val="24"/>
          <w:u w:val="single"/>
        </w:rPr>
        <w:t xml:space="preserve">                   </w:t>
      </w:r>
      <w:r>
        <w:rPr>
          <w:rFonts w:hint="eastAsia" w:ascii="宋体" w:hAnsi="宋体"/>
          <w:bCs/>
          <w:color w:val="auto"/>
          <w:sz w:val="24"/>
          <w:szCs w:val="24"/>
        </w:rPr>
        <w:t>（小写）</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四、项目服务期限：</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五、项目整体免费服务期：</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六、货款支付步骤和办法：</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七、合同书不可分割部分：</w:t>
      </w:r>
    </w:p>
    <w:p>
      <w:pPr>
        <w:tabs>
          <w:tab w:val="left" w:pos="210"/>
          <w:tab w:val="left" w:pos="420"/>
          <w:tab w:val="left" w:pos="1155"/>
        </w:tabs>
        <w:spacing w:line="440" w:lineRule="exact"/>
        <w:ind w:firstLine="480" w:firstLineChars="200"/>
        <w:rPr>
          <w:rFonts w:ascii="宋体"/>
          <w:bCs/>
          <w:color w:val="auto"/>
          <w:sz w:val="24"/>
          <w:szCs w:val="24"/>
        </w:rPr>
      </w:pPr>
      <w:r>
        <w:rPr>
          <w:rFonts w:hint="eastAsia" w:ascii="宋体" w:hAnsi="宋体"/>
          <w:bCs/>
          <w:color w:val="auto"/>
          <w:sz w:val="24"/>
          <w:szCs w:val="24"/>
        </w:rPr>
        <w:t>招标（采购）文件、投标（报价）文件、合同条款及中标</w:t>
      </w:r>
      <w:r>
        <w:rPr>
          <w:rFonts w:hint="eastAsia" w:ascii="宋体" w:hAnsi="宋体"/>
          <w:color w:val="auto"/>
          <w:sz w:val="24"/>
          <w:szCs w:val="24"/>
        </w:rPr>
        <w:t>（成交）</w:t>
      </w:r>
      <w:r>
        <w:rPr>
          <w:rFonts w:hint="eastAsia" w:ascii="宋体" w:hAnsi="宋体"/>
          <w:bCs/>
          <w:color w:val="auto"/>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pacing w:line="440" w:lineRule="exact"/>
        <w:ind w:firstLine="480" w:firstLineChars="200"/>
        <w:rPr>
          <w:rFonts w:ascii="宋体" w:hAnsi="宋体"/>
          <w:color w:val="auto"/>
          <w:sz w:val="24"/>
          <w:szCs w:val="24"/>
        </w:rPr>
      </w:pPr>
      <w:r>
        <w:rPr>
          <w:rFonts w:hint="eastAsia" w:ascii="宋体" w:hAnsi="宋体"/>
          <w:color w:val="auto"/>
          <w:sz w:val="24"/>
          <w:szCs w:val="24"/>
        </w:rPr>
        <w:t>八、合同书组成：</w:t>
      </w:r>
    </w:p>
    <w:p>
      <w:pPr>
        <w:tabs>
          <w:tab w:val="left" w:pos="210"/>
          <w:tab w:val="left" w:pos="735"/>
          <w:tab w:val="left" w:pos="1155"/>
        </w:tabs>
        <w:spacing w:line="440" w:lineRule="exact"/>
        <w:ind w:firstLine="480" w:firstLineChars="200"/>
        <w:rPr>
          <w:rFonts w:ascii="宋体" w:hAnsi="宋体"/>
          <w:bCs/>
          <w:color w:val="auto"/>
          <w:sz w:val="24"/>
          <w:szCs w:val="24"/>
        </w:rPr>
      </w:pPr>
      <w:r>
        <w:rPr>
          <w:rFonts w:hint="eastAsia" w:ascii="宋体" w:hAnsi="宋体"/>
          <w:color w:val="auto"/>
          <w:sz w:val="24"/>
          <w:szCs w:val="24"/>
        </w:rPr>
        <w:t>合同书由格式条款</w:t>
      </w:r>
      <w:r>
        <w:rPr>
          <w:rFonts w:hint="eastAsia" w:ascii="宋体" w:hAnsi="宋体"/>
          <w:bCs/>
          <w:color w:val="auto"/>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auto"/>
          <w:sz w:val="24"/>
          <w:szCs w:val="24"/>
        </w:rPr>
        <w:t>与履约验收挂钩的资金支付条件及时间</w:t>
      </w:r>
      <w:r>
        <w:rPr>
          <w:rFonts w:hint="eastAsia" w:ascii="宋体" w:hAnsi="宋体"/>
          <w:bCs/>
          <w:color w:val="auto"/>
          <w:sz w:val="24"/>
          <w:szCs w:val="24"/>
        </w:rPr>
        <w:t>，验收、交付标准和方法，质量保修范围和保修期，违约责任与解决争议的方法，甲乙双方权利与义务，合同分包要求，</w:t>
      </w:r>
      <w:r>
        <w:rPr>
          <w:rFonts w:hint="eastAsia" w:ascii="宋体" w:hAnsi="宋体"/>
          <w:color w:val="auto"/>
          <w:sz w:val="24"/>
          <w:szCs w:val="24"/>
        </w:rPr>
        <w:t>合同类型</w:t>
      </w:r>
      <w:r>
        <w:rPr>
          <w:rFonts w:hint="eastAsia" w:ascii="宋体" w:hAnsi="宋体"/>
          <w:bCs/>
          <w:color w:val="auto"/>
          <w:sz w:val="24"/>
          <w:szCs w:val="24"/>
        </w:rPr>
        <w:t>等。</w:t>
      </w:r>
    </w:p>
    <w:p>
      <w:pPr>
        <w:tabs>
          <w:tab w:val="left" w:pos="210"/>
          <w:tab w:val="left" w:pos="735"/>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九、合同备案：</w:t>
      </w:r>
    </w:p>
    <w:p>
      <w:pPr>
        <w:tabs>
          <w:tab w:val="left" w:pos="210"/>
          <w:tab w:val="left" w:pos="735"/>
          <w:tab w:val="left" w:pos="1155"/>
        </w:tabs>
        <w:spacing w:line="440" w:lineRule="exact"/>
        <w:ind w:firstLine="480" w:firstLineChars="200"/>
        <w:rPr>
          <w:rFonts w:ascii="宋体" w:hAnsi="宋体"/>
          <w:bCs/>
          <w:color w:val="auto"/>
          <w:sz w:val="24"/>
          <w:szCs w:val="24"/>
        </w:rPr>
      </w:pPr>
      <w:r>
        <w:rPr>
          <w:rFonts w:hint="eastAsia" w:ascii="宋体"/>
          <w:bCs/>
          <w:color w:val="auto"/>
          <w:sz w:val="24"/>
          <w:szCs w:val="24"/>
        </w:rPr>
        <w:t>合同一式四份，供需双方各执一份，区财政局采购办(镇、街道招标办)一份,区采购中心一份。</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十、合同书生效及注意事项：</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十二、根据《政府采购法》第四十九、五十条规定，甲乙双方不得擅自变更、中止或终止合同。</w:t>
      </w:r>
    </w:p>
    <w:p>
      <w:pPr>
        <w:spacing w:line="440" w:lineRule="exact"/>
        <w:rPr>
          <w:rFonts w:ascii="宋体" w:hAnsi="宋体"/>
          <w:bCs/>
          <w:color w:val="auto"/>
          <w:sz w:val="24"/>
          <w:szCs w:val="24"/>
        </w:rPr>
      </w:pPr>
    </w:p>
    <w:p>
      <w:pPr>
        <w:spacing w:line="440" w:lineRule="exact"/>
        <w:rPr>
          <w:rFonts w:ascii="宋体" w:hAnsi="宋体"/>
          <w:bCs/>
          <w:color w:val="auto"/>
          <w:sz w:val="24"/>
          <w:szCs w:val="24"/>
        </w:rPr>
      </w:pPr>
    </w:p>
    <w:p>
      <w:pPr>
        <w:spacing w:line="440" w:lineRule="exact"/>
        <w:ind w:firstLine="480" w:firstLineChars="200"/>
        <w:rPr>
          <w:rFonts w:ascii="宋体" w:hAnsi="宋体"/>
          <w:bCs/>
          <w:color w:val="auto"/>
          <w:sz w:val="24"/>
          <w:szCs w:val="24"/>
        </w:rPr>
      </w:pPr>
    </w:p>
    <w:p>
      <w:pPr>
        <w:spacing w:line="440" w:lineRule="exact"/>
        <w:ind w:firstLine="480" w:firstLineChars="200"/>
        <w:rPr>
          <w:rFonts w:ascii="宋体" w:hAnsi="宋体"/>
          <w:bCs/>
          <w:color w:val="auto"/>
          <w:sz w:val="24"/>
          <w:szCs w:val="24"/>
        </w:rPr>
      </w:pPr>
    </w:p>
    <w:p>
      <w:pPr>
        <w:spacing w:line="440" w:lineRule="exact"/>
        <w:rPr>
          <w:rFonts w:ascii="宋体" w:hAnsi="宋体"/>
          <w:bCs/>
          <w:color w:val="auto"/>
          <w:sz w:val="24"/>
          <w:szCs w:val="24"/>
        </w:rPr>
      </w:pPr>
    </w:p>
    <w:p>
      <w:pPr>
        <w:pStyle w:val="2"/>
        <w:pageBreakBefore/>
        <w:rPr>
          <w:rFonts w:ascii="黑体" w:hAnsi="黑体" w:eastAsia="黑体"/>
          <w:b w:val="0"/>
          <w:color w:val="auto"/>
          <w:sz w:val="32"/>
          <w:szCs w:val="32"/>
        </w:rPr>
      </w:pPr>
      <w:bookmarkStart w:id="5" w:name="_Toc86134314"/>
      <w:r>
        <w:rPr>
          <w:rFonts w:hint="eastAsia" w:ascii="黑体" w:hAnsi="黑体" w:eastAsia="黑体"/>
          <w:b w:val="0"/>
          <w:color w:val="auto"/>
          <w:sz w:val="32"/>
          <w:szCs w:val="32"/>
        </w:rPr>
        <w:t>五．合同条款</w:t>
      </w:r>
      <w:bookmarkEnd w:id="5"/>
    </w:p>
    <w:p>
      <w:pPr>
        <w:spacing w:line="440" w:lineRule="exact"/>
        <w:ind w:firstLine="480" w:firstLineChars="200"/>
        <w:jc w:val="center"/>
        <w:rPr>
          <w:rFonts w:ascii="宋体" w:hAnsi="宋体"/>
          <w:bCs/>
          <w:color w:val="auto"/>
          <w:sz w:val="24"/>
          <w:szCs w:val="24"/>
        </w:rPr>
      </w:pPr>
      <w:r>
        <w:rPr>
          <w:rFonts w:hint="eastAsia" w:ascii="宋体" w:hAnsi="宋体"/>
          <w:bCs/>
          <w:color w:val="auto"/>
          <w:sz w:val="24"/>
          <w:szCs w:val="24"/>
        </w:rPr>
        <w:t>（根据相关法律规定以及招标文件确定事项订立）</w:t>
      </w:r>
    </w:p>
    <w:p>
      <w:pPr>
        <w:spacing w:line="440" w:lineRule="exact"/>
        <w:rPr>
          <w:rFonts w:ascii="宋体" w:hAnsi="宋体"/>
          <w:bCs/>
          <w:color w:val="auto"/>
          <w:sz w:val="24"/>
          <w:szCs w:val="24"/>
        </w:rPr>
      </w:pPr>
    </w:p>
    <w:p>
      <w:pPr>
        <w:spacing w:line="360" w:lineRule="auto"/>
        <w:ind w:firstLine="525"/>
        <w:rPr>
          <w:rFonts w:ascii="宋体"/>
          <w:bCs/>
          <w:color w:val="auto"/>
          <w:sz w:val="24"/>
          <w:szCs w:val="24"/>
        </w:rPr>
      </w:pPr>
      <w:r>
        <w:rPr>
          <w:rFonts w:hint="eastAsia" w:ascii="宋体" w:hAnsi="宋体"/>
          <w:bCs/>
          <w:color w:val="auto"/>
          <w:sz w:val="24"/>
          <w:szCs w:val="24"/>
        </w:rPr>
        <w:t>（一）合同内容：需方向供方购买。</w:t>
      </w:r>
    </w:p>
    <w:p>
      <w:pPr>
        <w:spacing w:line="360" w:lineRule="auto"/>
        <w:ind w:firstLine="525"/>
        <w:rPr>
          <w:rFonts w:ascii="宋体"/>
          <w:bCs/>
          <w:color w:val="auto"/>
          <w:sz w:val="24"/>
          <w:szCs w:val="24"/>
        </w:rPr>
      </w:pPr>
      <w:r>
        <w:rPr>
          <w:rFonts w:hint="eastAsia" w:ascii="宋体" w:hAnsi="宋体"/>
          <w:bCs/>
          <w:color w:val="auto"/>
          <w:sz w:val="24"/>
          <w:szCs w:val="24"/>
        </w:rPr>
        <w:t>（二）价格及支付：</w:t>
      </w:r>
    </w:p>
    <w:p>
      <w:pPr>
        <w:tabs>
          <w:tab w:val="left" w:pos="525"/>
          <w:tab w:val="left" w:pos="1050"/>
          <w:tab w:val="left" w:pos="1155"/>
        </w:tabs>
        <w:spacing w:line="360" w:lineRule="auto"/>
        <w:ind w:firstLine="523" w:firstLineChars="218"/>
        <w:rPr>
          <w:rFonts w:ascii="宋体"/>
          <w:bCs/>
          <w:color w:val="auto"/>
          <w:sz w:val="24"/>
          <w:szCs w:val="24"/>
        </w:rPr>
      </w:pPr>
      <w:r>
        <w:rPr>
          <w:rFonts w:hint="eastAsia" w:ascii="宋体" w:hAnsi="宋体"/>
          <w:bCs/>
          <w:color w:val="auto"/>
          <w:sz w:val="24"/>
          <w:szCs w:val="24"/>
        </w:rPr>
        <w:t>1. 按此次中标价格执行，合同总标的额为</w:t>
      </w:r>
      <w:r>
        <w:rPr>
          <w:rFonts w:hint="eastAsia" w:ascii="宋体" w:hAnsi="宋体"/>
          <w:bCs/>
          <w:color w:val="auto"/>
          <w:sz w:val="24"/>
          <w:szCs w:val="24"/>
          <w:u w:val="single"/>
        </w:rPr>
        <w:t xml:space="preserve">            </w:t>
      </w:r>
      <w:r>
        <w:rPr>
          <w:rFonts w:hint="eastAsia" w:ascii="宋体" w:hAnsi="宋体"/>
          <w:bCs/>
          <w:color w:val="auto"/>
          <w:sz w:val="24"/>
          <w:szCs w:val="24"/>
        </w:rPr>
        <w:t>元。</w:t>
      </w:r>
    </w:p>
    <w:p>
      <w:pPr>
        <w:numPr>
          <w:ilvl w:val="1"/>
          <w:numId w:val="14"/>
        </w:numPr>
        <w:tabs>
          <w:tab w:val="left" w:pos="945"/>
          <w:tab w:val="left" w:pos="2100"/>
          <w:tab w:val="clear" w:pos="1770"/>
        </w:tabs>
        <w:spacing w:line="360" w:lineRule="auto"/>
        <w:ind w:left="0" w:firstLine="525"/>
        <w:rPr>
          <w:rFonts w:ascii="宋体"/>
          <w:bCs/>
          <w:color w:val="auto"/>
          <w:sz w:val="24"/>
          <w:szCs w:val="24"/>
        </w:rPr>
      </w:pPr>
      <w:r>
        <w:rPr>
          <w:rFonts w:hint="eastAsia" w:ascii="宋体" w:hAnsi="宋体"/>
          <w:bCs/>
          <w:color w:val="auto"/>
          <w:sz w:val="24"/>
          <w:szCs w:val="24"/>
        </w:rPr>
        <w:t>付款方式：</w:t>
      </w:r>
    </w:p>
    <w:p>
      <w:pPr>
        <w:numPr>
          <w:ilvl w:val="1"/>
          <w:numId w:val="14"/>
        </w:numPr>
        <w:tabs>
          <w:tab w:val="left" w:pos="945"/>
          <w:tab w:val="left" w:pos="2100"/>
          <w:tab w:val="clear" w:pos="1770"/>
        </w:tabs>
        <w:spacing w:line="360" w:lineRule="auto"/>
        <w:ind w:left="0" w:firstLine="525"/>
        <w:rPr>
          <w:rFonts w:ascii="宋体"/>
          <w:bCs/>
          <w:color w:val="auto"/>
          <w:sz w:val="24"/>
          <w:szCs w:val="24"/>
        </w:rPr>
      </w:pPr>
      <w:r>
        <w:rPr>
          <w:rFonts w:hint="eastAsia" w:ascii="宋体" w:hAnsi="宋体"/>
          <w:bCs/>
          <w:color w:val="auto"/>
          <w:sz w:val="24"/>
          <w:szCs w:val="24"/>
        </w:rPr>
        <w:t>履约保证金的缴纳和退付：</w:t>
      </w:r>
    </w:p>
    <w:p>
      <w:pPr>
        <w:tabs>
          <w:tab w:val="left" w:pos="945"/>
          <w:tab w:val="left" w:pos="2100"/>
        </w:tabs>
        <w:spacing w:line="360" w:lineRule="auto"/>
        <w:ind w:firstLine="480" w:firstLineChars="200"/>
        <w:rPr>
          <w:rFonts w:ascii="宋体" w:hAnsi="宋体"/>
          <w:bCs/>
          <w:color w:val="auto"/>
          <w:sz w:val="24"/>
          <w:szCs w:val="24"/>
        </w:rPr>
      </w:pPr>
      <w:r>
        <w:rPr>
          <w:rFonts w:hint="eastAsia" w:ascii="宋体" w:hAnsi="宋体"/>
          <w:bCs/>
          <w:color w:val="auto"/>
          <w:sz w:val="24"/>
          <w:szCs w:val="24"/>
        </w:rPr>
        <w:t>本项目是/否向采购人缴纳履约保证金：</w:t>
      </w:r>
      <w:r>
        <w:rPr>
          <w:rFonts w:hint="eastAsia" w:ascii="宋体" w:hAnsi="宋体"/>
          <w:bCs/>
          <w:color w:val="auto"/>
          <w:sz w:val="24"/>
          <w:szCs w:val="24"/>
          <w:u w:val="single"/>
        </w:rPr>
        <w:t xml:space="preserve">               </w:t>
      </w:r>
      <w:r>
        <w:rPr>
          <w:rFonts w:hint="eastAsia" w:ascii="宋体" w:hAnsi="宋体"/>
          <w:bCs/>
          <w:color w:val="auto"/>
          <w:sz w:val="24"/>
          <w:szCs w:val="24"/>
        </w:rPr>
        <w:t>。</w:t>
      </w:r>
    </w:p>
    <w:p>
      <w:pPr>
        <w:tabs>
          <w:tab w:val="left" w:pos="945"/>
          <w:tab w:val="left" w:pos="2100"/>
        </w:tabs>
        <w:spacing w:line="360" w:lineRule="auto"/>
        <w:ind w:firstLine="480" w:firstLineChars="200"/>
        <w:rPr>
          <w:rFonts w:ascii="宋体" w:hAnsi="宋体"/>
          <w:bCs/>
          <w:color w:val="auto"/>
          <w:sz w:val="24"/>
          <w:szCs w:val="24"/>
        </w:rPr>
      </w:pPr>
      <w:r>
        <w:rPr>
          <w:rFonts w:hint="eastAsia" w:ascii="宋体" w:hAnsi="宋体"/>
          <w:bCs/>
          <w:color w:val="auto"/>
          <w:sz w:val="24"/>
          <w:szCs w:val="24"/>
        </w:rPr>
        <w:t>履约保证金缴纳金额：</w:t>
      </w:r>
      <w:r>
        <w:rPr>
          <w:rFonts w:hint="eastAsia" w:ascii="宋体" w:hAnsi="宋体"/>
          <w:bCs/>
          <w:color w:val="auto"/>
          <w:sz w:val="24"/>
          <w:szCs w:val="24"/>
          <w:u w:val="single"/>
        </w:rPr>
        <w:t xml:space="preserve">                            </w:t>
      </w:r>
      <w:r>
        <w:rPr>
          <w:rFonts w:hint="eastAsia" w:ascii="宋体" w:hAnsi="宋体"/>
          <w:bCs/>
          <w:color w:val="auto"/>
          <w:sz w:val="24"/>
          <w:szCs w:val="24"/>
        </w:rPr>
        <w:t>元。</w:t>
      </w:r>
    </w:p>
    <w:p>
      <w:pPr>
        <w:tabs>
          <w:tab w:val="left" w:pos="945"/>
          <w:tab w:val="left" w:pos="2100"/>
        </w:tabs>
        <w:spacing w:line="360" w:lineRule="auto"/>
        <w:ind w:firstLine="480" w:firstLineChars="200"/>
        <w:rPr>
          <w:rFonts w:ascii="宋体" w:hAnsi="宋体"/>
          <w:bCs/>
          <w:color w:val="auto"/>
          <w:sz w:val="24"/>
        </w:rPr>
      </w:pPr>
      <w:r>
        <w:rPr>
          <w:rFonts w:hint="eastAsia" w:ascii="宋体" w:hAnsi="宋体"/>
          <w:bCs/>
          <w:color w:val="auto"/>
          <w:sz w:val="24"/>
          <w:szCs w:val="24"/>
        </w:rPr>
        <w:t>履约保证金的缴纳时间：</w:t>
      </w:r>
      <w:r>
        <w:rPr>
          <w:rFonts w:hint="eastAsia" w:ascii="宋体" w:hAnsi="宋体"/>
          <w:bCs/>
          <w:color w:val="auto"/>
          <w:sz w:val="24"/>
          <w:szCs w:val="24"/>
          <w:u w:val="single"/>
        </w:rPr>
        <w:t xml:space="preserve">        </w:t>
      </w:r>
      <w:r>
        <w:rPr>
          <w:rFonts w:hint="eastAsia" w:ascii="宋体" w:hAnsi="宋体"/>
          <w:bCs/>
          <w:color w:val="auto"/>
          <w:sz w:val="24"/>
          <w:szCs w:val="24"/>
        </w:rPr>
        <w:t>，缴纳形式：</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945"/>
          <w:tab w:val="left" w:pos="2100"/>
        </w:tabs>
        <w:spacing w:line="360" w:lineRule="auto"/>
        <w:ind w:firstLine="480" w:firstLineChars="200"/>
        <w:rPr>
          <w:rFonts w:ascii="宋体" w:hAnsi="宋体"/>
          <w:bCs/>
          <w:color w:val="auto"/>
          <w:sz w:val="24"/>
        </w:rPr>
      </w:pPr>
      <w:r>
        <w:rPr>
          <w:rFonts w:hint="eastAsia" w:ascii="宋体" w:hAnsi="宋体"/>
          <w:bCs/>
          <w:color w:val="auto"/>
          <w:sz w:val="24"/>
          <w:szCs w:val="24"/>
        </w:rPr>
        <w:t>履约保证金的退付时间：</w:t>
      </w:r>
      <w:r>
        <w:rPr>
          <w:rFonts w:hint="eastAsia" w:ascii="宋体" w:hAnsi="宋体"/>
          <w:bCs/>
          <w:color w:val="auto"/>
          <w:sz w:val="24"/>
          <w:szCs w:val="24"/>
          <w:u w:val="single"/>
        </w:rPr>
        <w:t xml:space="preserve">        </w:t>
      </w:r>
      <w:r>
        <w:rPr>
          <w:rFonts w:hint="eastAsia" w:ascii="宋体" w:hAnsi="宋体"/>
          <w:bCs/>
          <w:color w:val="auto"/>
          <w:sz w:val="24"/>
          <w:szCs w:val="24"/>
        </w:rPr>
        <w:t>，退付办法：</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945"/>
          <w:tab w:val="left" w:pos="2100"/>
        </w:tabs>
        <w:spacing w:line="360" w:lineRule="auto"/>
        <w:ind w:firstLine="480" w:firstLineChars="200"/>
        <w:rPr>
          <w:rFonts w:ascii="宋体" w:hAnsi="宋体"/>
          <w:bCs/>
          <w:color w:val="auto"/>
          <w:sz w:val="24"/>
        </w:rPr>
      </w:pPr>
      <w:r>
        <w:rPr>
          <w:rFonts w:hint="eastAsia" w:ascii="宋体" w:hAnsi="宋体"/>
          <w:bCs/>
          <w:color w:val="auto"/>
          <w:sz w:val="24"/>
        </w:rPr>
        <w:t>履约保证金不予退还的情形：</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945"/>
          <w:tab w:val="left" w:pos="2100"/>
        </w:tabs>
        <w:spacing w:line="360" w:lineRule="auto"/>
        <w:ind w:firstLine="480" w:firstLineChars="200"/>
        <w:rPr>
          <w:rFonts w:ascii="宋体"/>
          <w:bCs/>
          <w:color w:val="auto"/>
          <w:sz w:val="24"/>
          <w:szCs w:val="24"/>
        </w:rPr>
      </w:pPr>
      <w:r>
        <w:rPr>
          <w:rFonts w:hint="eastAsia" w:ascii="宋体" w:hAnsi="宋体"/>
          <w:bCs/>
          <w:color w:val="auto"/>
          <w:sz w:val="24"/>
        </w:rPr>
        <w:t>逾期退还履约保证金的违约责任：</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0"/>
          <w:tab w:val="left" w:pos="855"/>
          <w:tab w:val="left" w:pos="1365"/>
        </w:tabs>
        <w:spacing w:line="360" w:lineRule="auto"/>
        <w:ind w:left="525"/>
        <w:rPr>
          <w:rFonts w:ascii="宋体"/>
          <w:bCs/>
          <w:color w:val="auto"/>
          <w:sz w:val="24"/>
          <w:szCs w:val="24"/>
        </w:rPr>
      </w:pPr>
      <w:r>
        <w:rPr>
          <w:rFonts w:hint="eastAsia" w:ascii="宋体" w:hAnsi="宋体"/>
          <w:bCs/>
          <w:color w:val="auto"/>
          <w:sz w:val="24"/>
          <w:szCs w:val="24"/>
        </w:rPr>
        <w:t>（三）知识产权</w:t>
      </w:r>
    </w:p>
    <w:p>
      <w:pPr>
        <w:tabs>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 w:val="left" w:pos="855"/>
        </w:tabs>
        <w:spacing w:line="360" w:lineRule="auto"/>
        <w:ind w:left="521"/>
        <w:rPr>
          <w:rFonts w:ascii="宋体"/>
          <w:bCs/>
          <w:color w:val="auto"/>
          <w:sz w:val="24"/>
          <w:szCs w:val="24"/>
        </w:rPr>
      </w:pPr>
      <w:r>
        <w:rPr>
          <w:rFonts w:hint="eastAsia" w:ascii="宋体" w:hAnsi="宋体"/>
          <w:bCs/>
          <w:color w:val="auto"/>
          <w:sz w:val="24"/>
          <w:szCs w:val="24"/>
        </w:rPr>
        <w:t>（四）质量要求与检验：</w:t>
      </w:r>
    </w:p>
    <w:p>
      <w:pPr>
        <w:tabs>
          <w:tab w:val="left" w:pos="525"/>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1.供方应严格按照招标文件的有关规定和供方投标文件提供合格的货物及服务。</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3.货物的到货验收包括：数量、外观、质量、性能、随机备件、装箱单、质量证书等随机资料及包装完整无破损。</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4.货物和系统调试验收标准：按行业通行标准、厂方出厂标准、招标文件要求和供方投标文件的承诺，并不低于国家相关标准。</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5.货物运到需方指定地点并经需方验证签收后，由于需方保管不善造成的质量问题，供方应负责修理，但有关费用由需方承担。</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7.需方不得擅自变更招投标文件约定的性能、指标等相关内容，如有变更应按《中华人民共和国政府采购法》、财政部《政府采购货物和服务招标投标管理办法》的相关程序执行。</w:t>
      </w:r>
    </w:p>
    <w:p>
      <w:pPr>
        <w:spacing w:line="360" w:lineRule="auto"/>
        <w:ind w:left="-2" w:leftChars="-1" w:firstLine="520" w:firstLineChars="217"/>
        <w:rPr>
          <w:rFonts w:ascii="宋体"/>
          <w:bCs/>
          <w:color w:val="auto"/>
          <w:sz w:val="24"/>
          <w:szCs w:val="24"/>
        </w:rPr>
      </w:pPr>
      <w:r>
        <w:rPr>
          <w:rFonts w:hint="eastAsia" w:ascii="宋体" w:hAnsi="宋体"/>
          <w:bCs/>
          <w:color w:val="auto"/>
          <w:sz w:val="24"/>
          <w:szCs w:val="24"/>
        </w:rPr>
        <w:t>（五）交货条件：</w:t>
      </w:r>
    </w:p>
    <w:p>
      <w:pPr>
        <w:tabs>
          <w:tab w:val="left" w:pos="42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1.交货日期（或完工期）：</w:t>
      </w:r>
    </w:p>
    <w:p>
      <w:pPr>
        <w:tabs>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2.供方在验收时应先用信函、传真、电子邮件等书面方式通知需方。</w:t>
      </w:r>
    </w:p>
    <w:p>
      <w:pPr>
        <w:tabs>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4.货物交货时，所有货物必须带有货物质量检验合格证书、中文质保单、装箱单、中文货物安装使用说明书。其它附件所有部件必须原包装。</w:t>
      </w:r>
    </w:p>
    <w:p>
      <w:pPr>
        <w:tabs>
          <w:tab w:val="left" w:pos="945"/>
          <w:tab w:val="left" w:pos="1155"/>
        </w:tabs>
        <w:spacing w:line="360" w:lineRule="auto"/>
        <w:ind w:left="2" w:firstLine="520" w:firstLineChars="217"/>
        <w:rPr>
          <w:rFonts w:ascii="宋体"/>
          <w:bCs/>
          <w:color w:val="auto"/>
          <w:sz w:val="24"/>
          <w:szCs w:val="24"/>
        </w:rPr>
      </w:pPr>
      <w:r>
        <w:rPr>
          <w:rFonts w:hint="eastAsia" w:ascii="宋体" w:hAnsi="宋体"/>
          <w:bCs/>
          <w:color w:val="auto"/>
          <w:sz w:val="24"/>
          <w:szCs w:val="24"/>
        </w:rPr>
        <w:t>5.运输及到货地点：由供方负责办理运输并承担所有费用，直接送到需方指定地点，即：以合同书上的地点为准。</w:t>
      </w:r>
    </w:p>
    <w:p>
      <w:pPr>
        <w:spacing w:line="360" w:lineRule="auto"/>
        <w:ind w:firstLine="480" w:firstLineChars="200"/>
        <w:rPr>
          <w:rFonts w:ascii="宋体"/>
          <w:bCs/>
          <w:color w:val="auto"/>
          <w:sz w:val="24"/>
          <w:szCs w:val="24"/>
        </w:rPr>
      </w:pPr>
      <w:r>
        <w:rPr>
          <w:rFonts w:hint="eastAsia" w:ascii="宋体" w:hAnsi="宋体"/>
          <w:bCs/>
          <w:color w:val="auto"/>
          <w:sz w:val="24"/>
          <w:szCs w:val="24"/>
        </w:rPr>
        <w:t>（六）安装调试及售后服务：</w:t>
      </w:r>
    </w:p>
    <w:p>
      <w:pPr>
        <w:tabs>
          <w:tab w:val="left" w:pos="525"/>
          <w:tab w:val="left" w:pos="840"/>
          <w:tab w:val="left" w:pos="945"/>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3.质保期后的货物维护由双方协商再定。</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5.需方如要求供方提供招标文件及供方投标文件以外的其它服务，其费用另定。</w:t>
      </w:r>
    </w:p>
    <w:p>
      <w:pPr>
        <w:spacing w:line="360" w:lineRule="auto"/>
        <w:ind w:firstLine="360" w:firstLineChars="150"/>
        <w:rPr>
          <w:rFonts w:ascii="宋体"/>
          <w:bCs/>
          <w:color w:val="auto"/>
          <w:sz w:val="24"/>
          <w:szCs w:val="24"/>
        </w:rPr>
      </w:pPr>
      <w:r>
        <w:rPr>
          <w:rFonts w:hint="eastAsia" w:ascii="宋体" w:hAnsi="宋体"/>
          <w:bCs/>
          <w:color w:val="auto"/>
          <w:sz w:val="24"/>
          <w:szCs w:val="24"/>
        </w:rPr>
        <w:t>（七）违约责任：</w:t>
      </w:r>
    </w:p>
    <w:p>
      <w:pPr>
        <w:tabs>
          <w:tab w:val="left" w:pos="0"/>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8.招标文件及合同中所述之“不可抗力”系指不可预见、不可避免、不可克服的事件，包括但不限于：战争、洪水、台风、地震及其他法律、法规规定的事件。</w:t>
      </w:r>
    </w:p>
    <w:p>
      <w:pPr>
        <w:spacing w:line="360" w:lineRule="auto"/>
        <w:ind w:firstLine="360" w:firstLineChars="150"/>
        <w:rPr>
          <w:rFonts w:ascii="宋体"/>
          <w:bCs/>
          <w:color w:val="auto"/>
          <w:sz w:val="24"/>
          <w:szCs w:val="24"/>
        </w:rPr>
      </w:pPr>
      <w:r>
        <w:rPr>
          <w:rFonts w:hint="eastAsia" w:ascii="宋体" w:hAnsi="宋体"/>
          <w:bCs/>
          <w:color w:val="auto"/>
          <w:sz w:val="24"/>
          <w:szCs w:val="24"/>
        </w:rPr>
        <w:t>（八）合同生效及其它：</w:t>
      </w:r>
    </w:p>
    <w:p>
      <w:pPr>
        <w:tabs>
          <w:tab w:val="left" w:pos="0"/>
          <w:tab w:val="left" w:pos="525"/>
          <w:tab w:val="left" w:pos="741"/>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1.合同经供需双方代表签字并盖章。</w:t>
      </w:r>
    </w:p>
    <w:p>
      <w:pPr>
        <w:tabs>
          <w:tab w:val="left" w:pos="0"/>
          <w:tab w:val="left" w:pos="525"/>
          <w:tab w:val="left" w:pos="741"/>
          <w:tab w:val="left" w:pos="945"/>
        </w:tabs>
        <w:spacing w:line="360" w:lineRule="auto"/>
        <w:ind w:firstLine="480" w:firstLineChars="200"/>
        <w:rPr>
          <w:rFonts w:ascii="宋体"/>
          <w:color w:val="auto"/>
          <w:sz w:val="24"/>
          <w:szCs w:val="24"/>
        </w:rPr>
      </w:pPr>
      <w:r>
        <w:rPr>
          <w:rFonts w:hint="eastAsia" w:ascii="宋体" w:hAnsi="宋体"/>
          <w:bCs/>
          <w:color w:val="auto"/>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auto"/>
          <w:sz w:val="24"/>
          <w:szCs w:val="24"/>
        </w:rPr>
        <w:t>由供需双方协商处理，若协商不成，</w:t>
      </w:r>
      <w:r>
        <w:rPr>
          <w:rFonts w:hint="eastAsia" w:ascii="宋体" w:hAnsi="宋体"/>
          <w:bCs/>
          <w:color w:val="auto"/>
          <w:sz w:val="24"/>
          <w:szCs w:val="24"/>
        </w:rPr>
        <w:t>可选择以下方式处理：</w:t>
      </w:r>
    </w:p>
    <w:p>
      <w:pPr>
        <w:tabs>
          <w:tab w:val="left" w:pos="525"/>
          <w:tab w:val="left" w:pos="945"/>
        </w:tabs>
        <w:spacing w:line="360" w:lineRule="auto"/>
        <w:ind w:firstLine="480" w:firstLineChars="200"/>
        <w:rPr>
          <w:rFonts w:ascii="宋体"/>
          <w:color w:val="auto"/>
          <w:sz w:val="24"/>
          <w:szCs w:val="24"/>
        </w:rPr>
      </w:pPr>
      <w:r>
        <w:rPr>
          <w:rFonts w:hint="eastAsia" w:ascii="宋体" w:hAnsi="宋体"/>
          <w:color w:val="auto"/>
          <w:sz w:val="24"/>
          <w:szCs w:val="24"/>
        </w:rPr>
        <w:t>（1）向无锡仲裁委员会申请仲裁。</w:t>
      </w:r>
    </w:p>
    <w:p>
      <w:pPr>
        <w:tabs>
          <w:tab w:val="left" w:pos="525"/>
          <w:tab w:val="left" w:pos="945"/>
        </w:tabs>
        <w:spacing w:line="360" w:lineRule="auto"/>
        <w:ind w:firstLine="480" w:firstLineChars="200"/>
        <w:rPr>
          <w:rFonts w:ascii="宋体"/>
          <w:color w:val="auto"/>
          <w:sz w:val="24"/>
          <w:szCs w:val="24"/>
        </w:rPr>
      </w:pPr>
      <w:r>
        <w:rPr>
          <w:rFonts w:hint="eastAsia" w:ascii="宋体" w:hAnsi="宋体"/>
          <w:color w:val="auto"/>
          <w:sz w:val="24"/>
          <w:szCs w:val="24"/>
        </w:rPr>
        <w:t>（2）向需方所在地法院提起诉讼。</w:t>
      </w:r>
    </w:p>
    <w:p>
      <w:pPr>
        <w:tabs>
          <w:tab w:val="left" w:pos="0"/>
          <w:tab w:val="left" w:pos="525"/>
          <w:tab w:val="left" w:pos="741"/>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525"/>
          <w:tab w:val="left" w:pos="741"/>
          <w:tab w:val="left" w:pos="945"/>
        </w:tabs>
        <w:spacing w:line="360" w:lineRule="auto"/>
        <w:ind w:firstLine="480" w:firstLineChars="200"/>
        <w:rPr>
          <w:rFonts w:ascii="宋体" w:hAnsi="宋体"/>
          <w:color w:val="auto"/>
          <w:sz w:val="24"/>
          <w:szCs w:val="24"/>
        </w:rPr>
      </w:pPr>
      <w:r>
        <w:rPr>
          <w:rFonts w:hint="eastAsia" w:ascii="宋体" w:hAnsi="宋体"/>
          <w:color w:val="auto"/>
          <w:sz w:val="24"/>
          <w:szCs w:val="24"/>
        </w:rPr>
        <w:t>4.合同中未有约定的按照有关的法律法规以及国家行业标准或技术文件规定予以解决。</w:t>
      </w:r>
    </w:p>
    <w:p>
      <w:pPr>
        <w:tabs>
          <w:tab w:val="left" w:pos="0"/>
          <w:tab w:val="left" w:pos="525"/>
          <w:tab w:val="left" w:pos="741"/>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5.供需双方确认：对本合同条款及后果均已知悉，一致确认不存在欺诈、胁迫、乘人之危、重大误解、显失公平等任何可能导致合同无效或被撤销的情形。</w:t>
      </w:r>
    </w:p>
    <w:p>
      <w:pPr>
        <w:spacing w:line="440" w:lineRule="exact"/>
        <w:rPr>
          <w:rFonts w:ascii="宋体" w:hAnsi="宋体"/>
          <w:bCs/>
          <w:color w:val="auto"/>
          <w:sz w:val="24"/>
          <w:szCs w:val="24"/>
        </w:rPr>
      </w:pPr>
    </w:p>
    <w:p>
      <w:pPr>
        <w:spacing w:line="440" w:lineRule="exact"/>
        <w:rPr>
          <w:rFonts w:ascii="宋体" w:hAnsi="宋体"/>
          <w:bCs/>
          <w:color w:val="auto"/>
          <w:sz w:val="24"/>
          <w:szCs w:val="24"/>
        </w:rPr>
      </w:pPr>
    </w:p>
    <w:p>
      <w:pPr>
        <w:spacing w:line="440" w:lineRule="exact"/>
        <w:ind w:firstLine="480" w:firstLineChars="200"/>
        <w:jc w:val="center"/>
        <w:rPr>
          <w:rFonts w:ascii="宋体" w:hAnsi="宋体"/>
          <w:bCs/>
          <w:color w:val="auto"/>
          <w:sz w:val="24"/>
          <w:szCs w:val="24"/>
        </w:rPr>
      </w:pPr>
    </w:p>
    <w:p>
      <w:pPr>
        <w:spacing w:line="440" w:lineRule="exact"/>
        <w:rPr>
          <w:rFonts w:ascii="宋体"/>
          <w:bCs/>
          <w:color w:val="auto"/>
          <w:sz w:val="24"/>
          <w:szCs w:val="24"/>
          <w:u w:val="single"/>
        </w:rPr>
      </w:pPr>
      <w:r>
        <w:rPr>
          <w:rFonts w:hint="eastAsia" w:ascii="宋体" w:hAnsi="宋体"/>
          <w:bCs/>
          <w:color w:val="auto"/>
          <w:sz w:val="24"/>
          <w:szCs w:val="24"/>
        </w:rPr>
        <w:t>需方（采购人）：（签章）                   供方（中标方）：（签章）</w:t>
      </w:r>
    </w:p>
    <w:p>
      <w:pPr>
        <w:spacing w:line="440" w:lineRule="exact"/>
        <w:rPr>
          <w:rFonts w:ascii="宋体" w:hAnsi="宋体"/>
          <w:bCs/>
          <w:color w:val="auto"/>
          <w:sz w:val="24"/>
          <w:szCs w:val="24"/>
        </w:rPr>
      </w:pPr>
      <w:r>
        <w:rPr>
          <w:rFonts w:hint="eastAsia" w:ascii="宋体" w:hAnsi="宋体"/>
          <w:bCs/>
          <w:color w:val="auto"/>
          <w:sz w:val="24"/>
          <w:szCs w:val="24"/>
        </w:rPr>
        <w:t>法定（授权）代表人：                     法定（授权）代表人：</w:t>
      </w:r>
    </w:p>
    <w:p>
      <w:pPr>
        <w:spacing w:line="440" w:lineRule="exact"/>
        <w:rPr>
          <w:rFonts w:ascii="宋体" w:hAnsi="宋体"/>
          <w:bCs/>
          <w:color w:val="auto"/>
          <w:sz w:val="24"/>
          <w:szCs w:val="24"/>
          <w:u w:val="single"/>
        </w:rPr>
      </w:pPr>
      <w:r>
        <w:rPr>
          <w:rFonts w:hint="eastAsia" w:ascii="宋体" w:hAnsi="宋体"/>
          <w:bCs/>
          <w:color w:val="auto"/>
          <w:sz w:val="24"/>
          <w:szCs w:val="24"/>
        </w:rPr>
        <w:t>地址：                                   地址：</w:t>
      </w:r>
    </w:p>
    <w:p>
      <w:pPr>
        <w:spacing w:line="440" w:lineRule="exact"/>
        <w:ind w:firstLine="480" w:firstLineChars="200"/>
        <w:rPr>
          <w:rFonts w:ascii="宋体"/>
          <w:bCs/>
          <w:color w:val="auto"/>
          <w:sz w:val="24"/>
          <w:szCs w:val="24"/>
          <w:u w:val="single"/>
        </w:rPr>
      </w:pPr>
      <w:r>
        <w:rPr>
          <w:rFonts w:hint="eastAsia" w:ascii="宋体" w:hAnsi="宋体"/>
          <w:bCs/>
          <w:color w:val="auto"/>
          <w:sz w:val="24"/>
          <w:szCs w:val="24"/>
        </w:rPr>
        <w:t>年    月    日                           年      月       日</w:t>
      </w:r>
    </w:p>
    <w:p>
      <w:pPr>
        <w:spacing w:line="440" w:lineRule="exact"/>
        <w:ind w:firstLine="480" w:firstLineChars="200"/>
        <w:rPr>
          <w:rFonts w:ascii="宋体" w:hAnsi="宋体"/>
          <w:bCs/>
          <w:color w:val="auto"/>
          <w:sz w:val="24"/>
          <w:szCs w:val="24"/>
          <w:u w:val="single"/>
        </w:rPr>
      </w:pPr>
      <w:r>
        <w:rPr>
          <w:rFonts w:hint="eastAsia" w:ascii="宋体" w:hAnsi="宋体"/>
          <w:bCs/>
          <w:color w:val="auto"/>
          <w:sz w:val="24"/>
          <w:szCs w:val="24"/>
        </w:rPr>
        <w:t xml:space="preserve">                                     供方户名：</w:t>
      </w:r>
    </w:p>
    <w:p>
      <w:pPr>
        <w:spacing w:line="440" w:lineRule="exact"/>
        <w:rPr>
          <w:rFonts w:ascii="宋体" w:hAnsi="宋体"/>
          <w:bCs/>
          <w:color w:val="auto"/>
          <w:sz w:val="24"/>
          <w:szCs w:val="24"/>
          <w:u w:val="single"/>
        </w:rPr>
      </w:pPr>
      <w:r>
        <w:rPr>
          <w:rFonts w:hint="eastAsia" w:ascii="宋体" w:hAnsi="宋体"/>
          <w:bCs/>
          <w:color w:val="auto"/>
          <w:sz w:val="24"/>
          <w:szCs w:val="24"/>
        </w:rPr>
        <w:t xml:space="preserve">                                         供方开户银行：</w:t>
      </w:r>
    </w:p>
    <w:p>
      <w:pPr>
        <w:spacing w:line="440" w:lineRule="exact"/>
        <w:ind w:firstLine="480" w:firstLineChars="200"/>
        <w:rPr>
          <w:rFonts w:ascii="宋体"/>
          <w:bCs/>
          <w:color w:val="auto"/>
          <w:sz w:val="24"/>
          <w:szCs w:val="24"/>
          <w:u w:val="single"/>
        </w:rPr>
      </w:pPr>
      <w:r>
        <w:rPr>
          <w:rFonts w:hint="eastAsia" w:ascii="宋体" w:hAnsi="宋体"/>
          <w:bCs/>
          <w:color w:val="auto"/>
          <w:sz w:val="24"/>
          <w:szCs w:val="24"/>
        </w:rPr>
        <w:t xml:space="preserve">                                     供方帐号：</w:t>
      </w:r>
    </w:p>
    <w:p>
      <w:pPr>
        <w:pStyle w:val="2"/>
        <w:pageBreakBefore/>
        <w:rPr>
          <w:rFonts w:ascii="黑体" w:eastAsia="黑体"/>
          <w:bCs w:val="0"/>
          <w:color w:val="auto"/>
          <w:sz w:val="28"/>
          <w:szCs w:val="28"/>
        </w:rPr>
      </w:pPr>
      <w:bookmarkStart w:id="6" w:name="_Toc86134315"/>
      <w:r>
        <w:rPr>
          <w:rFonts w:hint="eastAsia" w:ascii="黑体" w:hAnsi="黑体" w:eastAsia="黑体"/>
          <w:b w:val="0"/>
          <w:color w:val="auto"/>
          <w:sz w:val="32"/>
          <w:szCs w:val="32"/>
        </w:rPr>
        <w:t>六.附件</w:t>
      </w:r>
      <w:bookmarkEnd w:id="6"/>
    </w:p>
    <w:p>
      <w:pPr>
        <w:spacing w:line="360" w:lineRule="auto"/>
        <w:jc w:val="left"/>
        <w:rPr>
          <w:rFonts w:ascii="黑体" w:eastAsia="黑体"/>
          <w:bCs/>
          <w:color w:val="auto"/>
          <w:sz w:val="24"/>
          <w:szCs w:val="24"/>
        </w:rPr>
      </w:pPr>
      <w:r>
        <w:rPr>
          <w:rFonts w:hint="eastAsia" w:ascii="黑体" w:eastAsia="黑体"/>
          <w:bCs/>
          <w:color w:val="auto"/>
          <w:sz w:val="24"/>
          <w:szCs w:val="24"/>
        </w:rPr>
        <w:t>附件一：评分标准</w:t>
      </w:r>
    </w:p>
    <w:p>
      <w:pPr>
        <w:spacing w:line="360" w:lineRule="auto"/>
        <w:ind w:firstLine="236" w:firstLineChars="98"/>
        <w:rPr>
          <w:rFonts w:ascii="宋体" w:hAnsi="宋体"/>
          <w:b/>
          <w:bCs/>
          <w:color w:val="auto"/>
          <w:sz w:val="24"/>
          <w:szCs w:val="24"/>
          <w:highlight w:val="none"/>
        </w:rPr>
      </w:pPr>
      <w:r>
        <w:rPr>
          <w:rFonts w:hint="eastAsia" w:ascii="宋体" w:hAnsi="宋体"/>
          <w:b/>
          <w:bCs/>
          <w:color w:val="auto"/>
          <w:sz w:val="24"/>
          <w:highlight w:val="none"/>
        </w:rPr>
        <w:t>（1）</w:t>
      </w:r>
      <w:r>
        <w:rPr>
          <w:rFonts w:hint="eastAsia" w:ascii="宋体" w:hAnsi="宋体"/>
          <w:b/>
          <w:bCs/>
          <w:color w:val="auto"/>
          <w:sz w:val="24"/>
          <w:szCs w:val="24"/>
          <w:highlight w:val="none"/>
        </w:rPr>
        <w:t>投标报价（</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采用低价优先法计算，即满足招标文件要求且投标价格最低的投标报价为评标基准价，其价格分为满分。其他投标供应商的价格分统一按照下列公式计算：</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投标报价得分=(评标基准价／投标报价)×价格权值×100。</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价格扣除：专门面向中小/小微企业的项目除外。</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①对小型和微型企业产品的价格给予10%的扣除，用扣除后的价格参与评审。参加投标的中小企业，应当按照《政府采购促进中小企业发展管理办法》（财库﹝2020﹞46号）的规定提供《中小企业声明函》（中小企业划型标准详见《关于印发中小企业划型标准规定的通知》工信部联企业〔2011〕300号）。</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③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同一投标供应商，上述①②③三项价格扣除优惠不得重复享受。</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说明：1.评标价指经澄清、补正和修正算术计算错误的投标报价；2.评标委员会认为投标供应商的报价显低于其他通过符合性审查投标供应商的报价，有可能影响服务质量或者不能诚信履约的，将要求其在评标规定的时间内提供线上书面说明，必要时提交相关证明材料；投标供应商不能证明其报价合理性的,评标委员会将其作为无效投标处理。</w:t>
      </w:r>
    </w:p>
    <w:p>
      <w:pPr>
        <w:spacing w:line="360" w:lineRule="auto"/>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二、投标供应商综合情况（3</w:t>
      </w:r>
      <w:r>
        <w:rPr>
          <w:rFonts w:hint="default" w:ascii="仿宋" w:hAnsi="仿宋" w:eastAsia="仿宋"/>
          <w:b/>
          <w:bCs/>
          <w:color w:val="auto"/>
          <w:sz w:val="28"/>
          <w:szCs w:val="28"/>
        </w:rPr>
        <w:t>4</w:t>
      </w:r>
      <w:r>
        <w:rPr>
          <w:rFonts w:hint="eastAsia" w:ascii="仿宋" w:hAnsi="仿宋" w:eastAsia="仿宋"/>
          <w:b/>
          <w:bCs/>
          <w:color w:val="auto"/>
          <w:sz w:val="28"/>
          <w:szCs w:val="28"/>
        </w:rPr>
        <w:t>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1）人员配备（10分）</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①项目经理近三年内担任过省级或市级信息化项目项目经理（提供相关证明材料）的得</w:t>
      </w:r>
      <w:r>
        <w:rPr>
          <w:rFonts w:hint="default" w:ascii="仿宋" w:hAnsi="仿宋" w:eastAsia="仿宋"/>
          <w:color w:val="auto"/>
          <w:sz w:val="28"/>
          <w:szCs w:val="28"/>
          <w:highlight w:val="none"/>
        </w:rPr>
        <w:t>2</w:t>
      </w:r>
      <w:r>
        <w:rPr>
          <w:rFonts w:hint="eastAsia" w:ascii="仿宋" w:hAnsi="仿宋" w:eastAsia="仿宋"/>
          <w:color w:val="auto"/>
          <w:sz w:val="28"/>
          <w:szCs w:val="28"/>
          <w:highlight w:val="none"/>
        </w:rPr>
        <w:t>分，项目经理具有信息系统项目管理师证书（高级）的得</w:t>
      </w:r>
      <w:r>
        <w:rPr>
          <w:rFonts w:hint="default" w:ascii="仿宋" w:hAnsi="仿宋" w:eastAsia="仿宋"/>
          <w:color w:val="auto"/>
          <w:sz w:val="28"/>
          <w:szCs w:val="28"/>
          <w:highlight w:val="none"/>
        </w:rPr>
        <w:t>2</w:t>
      </w:r>
      <w:r>
        <w:rPr>
          <w:rFonts w:hint="eastAsia" w:ascii="仿宋" w:hAnsi="仿宋" w:eastAsia="仿宋"/>
          <w:color w:val="auto"/>
          <w:sz w:val="28"/>
          <w:szCs w:val="28"/>
          <w:highlight w:val="none"/>
        </w:rPr>
        <w:t>分。</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②技术负责人具有大数据分析师（高级）的得2分。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③项目组成员（不含项目经理和技术负责人）：具有计算机相关专业本科及以上学历，每提供一人的得1分，最多得4分。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注：提供以上人员相关证书扫描件及其连续三个月(至少包含近三个月中任意一个月份(不含投标当月))缴纳社保的证明扫描件，否则不得分。</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2）体系认证（6分）</w:t>
      </w:r>
    </w:p>
    <w:p>
      <w:pPr>
        <w:ind w:firstLine="560" w:firstLineChars="200"/>
        <w:jc w:val="left"/>
        <w:rPr>
          <w:color w:val="auto"/>
          <w:szCs w:val="21"/>
          <w:highlight w:val="none"/>
        </w:rPr>
      </w:pPr>
      <w:r>
        <w:rPr>
          <w:rFonts w:hint="eastAsia" w:ascii="仿宋" w:hAnsi="仿宋" w:eastAsia="仿宋"/>
          <w:color w:val="auto"/>
          <w:sz w:val="28"/>
          <w:szCs w:val="28"/>
          <w:highlight w:val="none"/>
        </w:rPr>
        <w:t>投标供应商具有ISO9001质量管理体系认证证书得2分；ISO20000信息技术服务管理体系认证证书，得2分；ISO27001信息安全管理体系认证证书，得2分。（提供有效证书原件扫描件，否则不得分）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3）知识产权（6分）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投标供应商具有与本次采购内容相关的软件著作权或产品登记证明，每提供一个得2分，最高得6分。（提供证明材料原件扫描件，否则不得分）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4）业绩证明（6分）</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202</w:t>
      </w:r>
      <w:r>
        <w:rPr>
          <w:rFonts w:hint="default" w:ascii="仿宋" w:hAnsi="仿宋" w:eastAsia="仿宋"/>
          <w:color w:val="auto"/>
          <w:sz w:val="28"/>
          <w:szCs w:val="28"/>
        </w:rPr>
        <w:t>2</w:t>
      </w:r>
      <w:r>
        <w:rPr>
          <w:rFonts w:hint="eastAsia" w:ascii="仿宋" w:hAnsi="仿宋" w:eastAsia="仿宋"/>
          <w:color w:val="auto"/>
          <w:sz w:val="28"/>
          <w:szCs w:val="28"/>
        </w:rPr>
        <w:t>年1月1日起投标供应商完成过交通运输综合执法类似项目案例，每提供一个得1分。以合同签订日期为准，本项最高得6分。（提供合同原件扫描件，否则不得分）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5）承诺（3分）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投标供应商须承诺能协调本项目所有研判所需数据对接，甲方不再另行支付费用。提供承诺书（格式自拟），否则不得分。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6）本地化服务（3分）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投标供应商承诺中标后将在本地设立常驻售后服务机构并派驻本地服务人员，提供承诺书（格式自拟），否则不得分。</w:t>
      </w:r>
    </w:p>
    <w:p>
      <w:pPr>
        <w:spacing w:line="360" w:lineRule="auto"/>
        <w:ind w:firstLine="562" w:firstLineChars="200"/>
        <w:rPr>
          <w:rFonts w:ascii="仿宋" w:hAnsi="仿宋" w:eastAsia="仿宋"/>
          <w:b/>
          <w:bCs/>
          <w:color w:val="auto"/>
          <w:sz w:val="28"/>
          <w:szCs w:val="28"/>
        </w:rPr>
      </w:pPr>
      <w:r>
        <w:rPr>
          <w:rFonts w:hint="eastAsia" w:ascii="仿宋" w:hAnsi="仿宋" w:eastAsia="仿宋"/>
          <w:b/>
          <w:bCs/>
          <w:color w:val="auto"/>
          <w:sz w:val="28"/>
          <w:szCs w:val="28"/>
        </w:rPr>
        <w:t>三、技术方案（5</w:t>
      </w:r>
      <w:r>
        <w:rPr>
          <w:rFonts w:hint="default" w:ascii="仿宋" w:hAnsi="仿宋" w:eastAsia="仿宋"/>
          <w:b/>
          <w:bCs/>
          <w:color w:val="auto"/>
          <w:sz w:val="28"/>
          <w:szCs w:val="28"/>
        </w:rPr>
        <w:t>6</w:t>
      </w:r>
      <w:r>
        <w:rPr>
          <w:rFonts w:hint="eastAsia" w:ascii="仿宋" w:hAnsi="仿宋" w:eastAsia="仿宋"/>
          <w:b/>
          <w:bCs/>
          <w:color w:val="auto"/>
          <w:sz w:val="28"/>
          <w:szCs w:val="28"/>
        </w:rPr>
        <w:t>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1）项目的理解与分析（6分）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针对投标供应商提供的项目理解与分析进行评分，包括（1）项目建设实施部门与职能理解、实施机构与职责理解；（2）相关技术标准理解、相关法律法规理解；（3）现有信息系统装备和信息化应用状况分析。上述三项内容每有一项描述完整全面、条理清晰、项目理解透彻、内容详实、需求贴合度高的该条得2分；描述内容较为简单、细节待完善，但可行、能满足采购需求的该条得1分；内容粗略、无针对性、基本满足采购需求的该条得0.5分；未进行阐述或不满足采购需求的，该项不得分。本项最高得6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2）项目难点问题的认识和解决措施（4分）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根据采购文件要求提供具体详实的难点问题的认识和解决措施。认识和解决措施全面、合理、可行的得4分；认识和解决措施较全面、较合理、较可行的得2分；认识和解决措施全面性、合理性、可行性一般的得1分；未提供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3）项目核心业务流程设计（9分）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针对业务流程要求的四项核心业务进行原型图设计或流程图展现得4分，未提供或提供不全的不得分。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在此基础上至少再提供5项执法业务流程设计图，根据执法应用场景可行性进行评分，每提供一项设计得1分，最高得5分。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4）行业监管可视化方案（5分）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投标供应商对行业监管可视化需求，进行方案设计，同时需要展示执法记录仪点位获取及视频点播原型设计展示。设计内容详细可实现得5分，设计内容一般得3分，设计内容不完善得1分，未提供不得分。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5）执法信息一体化方案（5分）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对执法信息一体化需求，进行方案设计并提供精准执法业务流程设计图展示（包括但不限于业务流程设计、线索甄别原型、区域打卡原型、工单流转原型、线索通知原型、工单处置状态原型），设计内容详细可实现得5分，设计内容一般得3分，设计内容不完善得1分，未提供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6）企业累计计分方案（5分）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对企业累计计分进行方案设计，对车辆、企业分级分类管理，按红码、黄码、绿码进行区分，制定相应的评价指标得分，进行分类赋码。提供原型设计图。设计内容详细可实现得5分，设计内容一般得3分，设计内容不完善得1分，未提供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7）与省厅守护系统对接能力（5分）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投标供应商承诺能够具备对接省局综合执法系统（守护1.0）的能力，对手持执法终端预警线索处置提供设计及原型：包括但不限于预警地点、预警车牌、预警时间、预警内容、预警状态），设计内容详细可实现得5分，设计内容一般得3分，设计内容不完善得1分，未提供不得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8）售后及培训方案（4分）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根据投标供应商提供的培训使用方案、售后服务的主动性、实现的可能性、售后服务的响应时间、排除故障时间，质保期外的服务内容及收费标准等情况进行评审方案清晰、合理、详细、全面、针对性强、可行性强得4分；方案清晰、合理、详细、全面得2分；方案基本满足招标文件要求得1分，未提供不得分。</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9）本项目基本情况了解（3分）</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投标供应商应前期调研了解省市县三级执法机构道路运政执法系统中从业人员信息组件、道路业户信息组件、营运车辆信息组件、水路业户信息组件、非法运营信息组件的描述、功能所在微服务准确的逻辑位置、对应的服务所在物理机准确位置、IP规划等。并提出合理规划建议。</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10）区域行业监管预警原型方案（10分）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highlight w:val="none"/>
        </w:rPr>
        <w:t>投标供应商按照省局考核要求，实现对以下10类违法违规行为</w:t>
      </w:r>
      <w:r>
        <w:rPr>
          <w:rFonts w:hint="eastAsia" w:ascii="仿宋" w:hAnsi="仿宋" w:eastAsia="仿宋"/>
          <w:color w:val="auto"/>
          <w:sz w:val="28"/>
          <w:szCs w:val="28"/>
        </w:rPr>
        <w:t>的预警研判方案设计并提供原型设计：①两客一危连续7天卫星定位不在线；②车辆未按规定使用定位设备；③危险品禁营时段经营；④伪造、篡改、删除车辆动态监控数据；⑤企业危化品车辆未填报运单；⑥疑似非法营运（无证）；⑦疑似站外组客客运车辆；⑧疑似非法网约车；⑨包车标志牌已过期；⑩报停的车辆从事道路运输经营活动。提供非现场研判页面原型设计(每一类违法违规行为需进行参数说明、原型设计需包含预警信息、现场抓拍照片、线索信息、轨迹回放、基础信息)，每类原型优得1分、良得0.5分、不能提供不得分，本项最高得10分。</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加分因素：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tabs>
          <w:tab w:val="left" w:pos="945"/>
        </w:tabs>
        <w:spacing w:line="360" w:lineRule="auto"/>
        <w:rPr>
          <w:rFonts w:ascii="宋体" w:hAnsi="宋体"/>
          <w:bCs/>
          <w:color w:val="auto"/>
          <w:sz w:val="24"/>
          <w:szCs w:val="24"/>
          <w:highlight w:val="none"/>
        </w:rPr>
      </w:pPr>
    </w:p>
    <w:p>
      <w:pPr>
        <w:pageBreakBefore/>
        <w:jc w:val="left"/>
        <w:rPr>
          <w:rFonts w:ascii="黑体" w:eastAsia="黑体"/>
          <w:bCs/>
          <w:color w:val="auto"/>
          <w:sz w:val="24"/>
          <w:szCs w:val="24"/>
        </w:rPr>
      </w:pPr>
      <w:r>
        <w:rPr>
          <w:rFonts w:hint="eastAsia" w:ascii="黑体" w:eastAsia="黑体"/>
          <w:bCs/>
          <w:color w:val="auto"/>
          <w:sz w:val="24"/>
          <w:szCs w:val="24"/>
        </w:rPr>
        <w:t>附件二：投标文件格式</w:t>
      </w:r>
    </w:p>
    <w:p>
      <w:pPr>
        <w:rPr>
          <w:rFonts w:ascii="黑体" w:eastAsia="黑体"/>
          <w:bCs/>
          <w:color w:val="auto"/>
          <w:sz w:val="32"/>
        </w:rPr>
      </w:pPr>
    </w:p>
    <w:p>
      <w:pPr>
        <w:rPr>
          <w:rFonts w:ascii="黑体" w:eastAsia="黑体"/>
          <w:bCs/>
          <w:color w:val="auto"/>
          <w:sz w:val="32"/>
        </w:rPr>
      </w:pPr>
    </w:p>
    <w:p>
      <w:pPr>
        <w:jc w:val="center"/>
        <w:rPr>
          <w:rFonts w:ascii="黑体" w:eastAsia="黑体"/>
          <w:bCs/>
          <w:color w:val="auto"/>
          <w:sz w:val="52"/>
          <w:szCs w:val="52"/>
        </w:rPr>
      </w:pPr>
      <w:r>
        <w:rPr>
          <w:rFonts w:hint="eastAsia" w:ascii="黑体" w:eastAsia="黑体"/>
          <w:bCs/>
          <w:color w:val="auto"/>
          <w:sz w:val="52"/>
          <w:szCs w:val="52"/>
        </w:rPr>
        <w:t>投</w:t>
      </w:r>
    </w:p>
    <w:p>
      <w:pPr>
        <w:jc w:val="center"/>
        <w:rPr>
          <w:rFonts w:ascii="黑体" w:eastAsia="黑体"/>
          <w:bCs/>
          <w:color w:val="auto"/>
          <w:sz w:val="72"/>
        </w:rPr>
      </w:pPr>
    </w:p>
    <w:p>
      <w:pPr>
        <w:jc w:val="center"/>
        <w:rPr>
          <w:rFonts w:ascii="黑体" w:eastAsia="黑体"/>
          <w:bCs/>
          <w:color w:val="auto"/>
          <w:sz w:val="52"/>
          <w:szCs w:val="52"/>
        </w:rPr>
      </w:pPr>
      <w:r>
        <w:rPr>
          <w:rFonts w:hint="eastAsia" w:ascii="黑体" w:eastAsia="黑体"/>
          <w:bCs/>
          <w:color w:val="auto"/>
          <w:sz w:val="52"/>
          <w:szCs w:val="52"/>
        </w:rPr>
        <w:t>标</w:t>
      </w:r>
    </w:p>
    <w:p>
      <w:pPr>
        <w:jc w:val="center"/>
        <w:rPr>
          <w:rFonts w:ascii="黑体" w:eastAsia="黑体"/>
          <w:bCs/>
          <w:color w:val="auto"/>
          <w:sz w:val="72"/>
        </w:rPr>
      </w:pPr>
    </w:p>
    <w:p>
      <w:pPr>
        <w:jc w:val="center"/>
        <w:rPr>
          <w:rFonts w:ascii="黑体" w:eastAsia="黑体"/>
          <w:bCs/>
          <w:color w:val="auto"/>
          <w:sz w:val="52"/>
          <w:szCs w:val="52"/>
        </w:rPr>
      </w:pPr>
      <w:r>
        <w:rPr>
          <w:rFonts w:hint="eastAsia" w:ascii="黑体" w:eastAsia="黑体"/>
          <w:bCs/>
          <w:color w:val="auto"/>
          <w:sz w:val="52"/>
          <w:szCs w:val="52"/>
        </w:rPr>
        <w:t>文</w:t>
      </w:r>
    </w:p>
    <w:p>
      <w:pPr>
        <w:jc w:val="center"/>
        <w:rPr>
          <w:rFonts w:ascii="黑体" w:eastAsia="黑体"/>
          <w:bCs/>
          <w:color w:val="auto"/>
          <w:sz w:val="52"/>
          <w:szCs w:val="52"/>
        </w:rPr>
      </w:pPr>
    </w:p>
    <w:p>
      <w:pPr>
        <w:jc w:val="center"/>
        <w:rPr>
          <w:rFonts w:ascii="黑体" w:eastAsia="黑体"/>
          <w:bCs/>
          <w:color w:val="auto"/>
          <w:sz w:val="52"/>
          <w:szCs w:val="52"/>
        </w:rPr>
      </w:pPr>
      <w:r>
        <w:rPr>
          <w:rFonts w:hint="eastAsia" w:ascii="黑体" w:eastAsia="黑体"/>
          <w:bCs/>
          <w:color w:val="auto"/>
          <w:sz w:val="52"/>
          <w:szCs w:val="52"/>
        </w:rPr>
        <w:t>件</w:t>
      </w:r>
    </w:p>
    <w:p>
      <w:pPr>
        <w:rPr>
          <w:rFonts w:ascii="楷体_GB2312" w:eastAsia="楷体_GB2312"/>
          <w:bCs/>
          <w:color w:val="auto"/>
          <w:sz w:val="28"/>
        </w:rPr>
      </w:pPr>
    </w:p>
    <w:p>
      <w:pPr>
        <w:ind w:firstLine="2240" w:firstLineChars="800"/>
        <w:rPr>
          <w:rFonts w:hint="default" w:ascii="黑体" w:eastAsia="黑体"/>
          <w:bCs/>
          <w:color w:val="auto"/>
          <w:sz w:val="28"/>
          <w:szCs w:val="28"/>
          <w:lang w:val="en-US" w:eastAsia="zh-CN"/>
        </w:rPr>
      </w:pPr>
      <w:r>
        <w:rPr>
          <w:rFonts w:hint="eastAsia" w:ascii="黑体" w:eastAsia="黑体"/>
          <w:bCs/>
          <w:color w:val="auto"/>
          <w:sz w:val="28"/>
          <w:szCs w:val="28"/>
        </w:rPr>
        <w:t>采购项目编号：HSCGZX(G)</w:t>
      </w:r>
      <w:r>
        <w:rPr>
          <w:rFonts w:hint="eastAsia" w:ascii="黑体" w:eastAsia="黑体"/>
          <w:bCs/>
          <w:color w:val="auto"/>
          <w:sz w:val="28"/>
          <w:szCs w:val="28"/>
          <w:lang w:val="en-US" w:eastAsia="zh-CN"/>
        </w:rPr>
        <w:t>20230062</w:t>
      </w:r>
    </w:p>
    <w:p>
      <w:pPr>
        <w:ind w:left="4194" w:leftChars="1064" w:hanging="1960" w:hangingChars="700"/>
        <w:rPr>
          <w:rFonts w:hint="eastAsia" w:ascii="黑体" w:eastAsia="黑体"/>
          <w:bCs/>
          <w:color w:val="auto"/>
          <w:sz w:val="28"/>
          <w:szCs w:val="28"/>
          <w:lang w:eastAsia="zh-CN"/>
        </w:rPr>
      </w:pPr>
      <w:r>
        <w:rPr>
          <w:rFonts w:hint="eastAsia" w:ascii="黑体" w:eastAsia="黑体"/>
          <w:bCs/>
          <w:color w:val="auto"/>
          <w:sz w:val="28"/>
          <w:szCs w:val="28"/>
        </w:rPr>
        <w:t>采购项目名称：</w:t>
      </w:r>
      <w:r>
        <w:rPr>
          <w:rFonts w:hint="eastAsia" w:ascii="黑体" w:eastAsia="黑体"/>
          <w:bCs/>
          <w:color w:val="auto"/>
          <w:sz w:val="28"/>
          <w:szCs w:val="28"/>
          <w:lang w:eastAsia="zh-CN"/>
        </w:rPr>
        <w:t>无锡市惠山区交通运输局交通执法一体化综合</w:t>
      </w:r>
      <w:r>
        <w:rPr>
          <w:rFonts w:hint="eastAsia" w:ascii="黑体" w:eastAsia="黑体"/>
          <w:bCs/>
          <w:color w:val="auto"/>
          <w:sz w:val="28"/>
          <w:szCs w:val="28"/>
          <w:lang w:val="en-US" w:eastAsia="zh-CN"/>
        </w:rPr>
        <w:t xml:space="preserve"> </w:t>
      </w:r>
      <w:r>
        <w:rPr>
          <w:rFonts w:hint="eastAsia" w:ascii="黑体" w:eastAsia="黑体"/>
          <w:bCs/>
          <w:color w:val="auto"/>
          <w:sz w:val="28"/>
          <w:szCs w:val="28"/>
          <w:lang w:eastAsia="zh-CN"/>
        </w:rPr>
        <w:t>管理平台项目</w:t>
      </w:r>
    </w:p>
    <w:p>
      <w:pPr>
        <w:ind w:firstLine="2240" w:firstLineChars="800"/>
        <w:rPr>
          <w:rFonts w:ascii="黑体" w:eastAsia="黑体"/>
          <w:bCs/>
          <w:color w:val="auto"/>
          <w:sz w:val="28"/>
          <w:szCs w:val="28"/>
        </w:rPr>
      </w:pPr>
      <w:r>
        <w:rPr>
          <w:rFonts w:hint="eastAsia" w:ascii="黑体" w:eastAsia="黑体"/>
          <w:bCs/>
          <w:color w:val="auto"/>
          <w:sz w:val="28"/>
          <w:szCs w:val="28"/>
        </w:rPr>
        <w:t>投标人：</w:t>
      </w:r>
    </w:p>
    <w:p>
      <w:pPr>
        <w:rPr>
          <w:rFonts w:ascii="黑体" w:eastAsia="黑体"/>
          <w:bCs/>
          <w:color w:val="auto"/>
          <w:sz w:val="32"/>
        </w:rPr>
      </w:pPr>
    </w:p>
    <w:p>
      <w:pPr>
        <w:rPr>
          <w:rFonts w:ascii="黑体" w:eastAsia="黑体"/>
          <w:bCs/>
          <w:color w:val="auto"/>
          <w:sz w:val="32"/>
        </w:rPr>
      </w:pPr>
    </w:p>
    <w:p>
      <w:pPr>
        <w:jc w:val="center"/>
        <w:rPr>
          <w:rFonts w:ascii="黑体" w:eastAsia="黑体"/>
          <w:bCs/>
          <w:color w:val="auto"/>
          <w:sz w:val="36"/>
          <w:szCs w:val="36"/>
        </w:rPr>
      </w:pPr>
      <w:r>
        <w:rPr>
          <w:rFonts w:hint="eastAsia" w:ascii="黑体" w:eastAsia="黑体"/>
          <w:bCs/>
          <w:color w:val="auto"/>
          <w:sz w:val="36"/>
          <w:szCs w:val="36"/>
        </w:rPr>
        <w:t>二○  年  月  日</w:t>
      </w:r>
      <w:bookmarkStart w:id="7" w:name="一．报价函（格式）"/>
      <w:bookmarkEnd w:id="7"/>
    </w:p>
    <w:p>
      <w:pPr>
        <w:outlineLvl w:val="0"/>
        <w:rPr>
          <w:rFonts w:ascii="黑体" w:hAnsi="宋体" w:eastAsia="黑体"/>
          <w:bCs/>
          <w:color w:val="auto"/>
          <w:sz w:val="24"/>
          <w:szCs w:val="24"/>
        </w:rPr>
      </w:pPr>
    </w:p>
    <w:p>
      <w:pPr>
        <w:pageBreakBefore/>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bookmarkStart w:id="8" w:name="_Toc86134316"/>
      <w:bookmarkStart w:id="9" w:name="_Toc61444105"/>
      <w:r>
        <w:rPr>
          <w:rFonts w:hint="eastAsia" w:ascii="黑体" w:hAnsi="宋体" w:eastAsia="黑体"/>
          <w:bCs/>
          <w:color w:val="auto"/>
          <w:sz w:val="24"/>
          <w:szCs w:val="24"/>
        </w:rPr>
        <w:t>（一）投标函（格式）：</w:t>
      </w:r>
      <w:bookmarkEnd w:id="8"/>
      <w:bookmarkEnd w:id="9"/>
    </w:p>
    <w:p>
      <w:pPr>
        <w:outlineLvl w:val="0"/>
        <w:rPr>
          <w:rFonts w:ascii="宋体"/>
          <w:b/>
          <w:bCs/>
          <w:color w:val="auto"/>
          <w:sz w:val="24"/>
          <w:szCs w:val="24"/>
        </w:rPr>
      </w:pPr>
    </w:p>
    <w:p>
      <w:pPr>
        <w:spacing w:line="360" w:lineRule="auto"/>
        <w:jc w:val="center"/>
        <w:rPr>
          <w:rFonts w:ascii="宋体"/>
          <w:bCs/>
          <w:color w:val="auto"/>
          <w:sz w:val="24"/>
          <w:szCs w:val="24"/>
        </w:rPr>
      </w:pPr>
      <w:r>
        <w:rPr>
          <w:rFonts w:hint="eastAsia" w:ascii="黑体" w:eastAsia="黑体"/>
          <w:bCs/>
          <w:color w:val="auto"/>
          <w:sz w:val="28"/>
          <w:szCs w:val="28"/>
        </w:rPr>
        <w:t>投标函</w:t>
      </w:r>
    </w:p>
    <w:p>
      <w:pPr>
        <w:spacing w:line="360" w:lineRule="auto"/>
        <w:rPr>
          <w:rFonts w:ascii="宋体"/>
          <w:bCs/>
          <w:color w:val="auto"/>
          <w:sz w:val="24"/>
          <w:szCs w:val="24"/>
        </w:rPr>
      </w:pPr>
      <w:r>
        <w:rPr>
          <w:rFonts w:hint="eastAsia" w:ascii="宋体" w:hAnsi="宋体"/>
          <w:bCs/>
          <w:color w:val="auto"/>
          <w:sz w:val="24"/>
          <w:szCs w:val="24"/>
        </w:rPr>
        <w:t>致无锡市惠山区政府采购中心：</w:t>
      </w:r>
    </w:p>
    <w:p>
      <w:pPr>
        <w:spacing w:line="360" w:lineRule="auto"/>
        <w:ind w:firstLine="480" w:firstLineChars="200"/>
        <w:rPr>
          <w:rFonts w:ascii="宋体"/>
          <w:bCs/>
          <w:color w:val="auto"/>
          <w:sz w:val="24"/>
          <w:szCs w:val="24"/>
        </w:rPr>
      </w:pPr>
    </w:p>
    <w:p>
      <w:pPr>
        <w:spacing w:line="360" w:lineRule="auto"/>
        <w:ind w:firstLine="480" w:firstLineChars="200"/>
        <w:rPr>
          <w:rFonts w:ascii="宋体"/>
          <w:bCs/>
          <w:color w:val="auto"/>
          <w:sz w:val="24"/>
          <w:szCs w:val="24"/>
        </w:rPr>
      </w:pPr>
      <w:r>
        <w:rPr>
          <w:rFonts w:hint="eastAsia" w:ascii="宋体" w:hAnsi="宋体"/>
          <w:bCs/>
          <w:color w:val="auto"/>
          <w:sz w:val="24"/>
          <w:szCs w:val="24"/>
        </w:rPr>
        <w:t>我方收到贵方编号HSCGZX(G)</w:t>
      </w:r>
      <w:r>
        <w:rPr>
          <w:rFonts w:hint="eastAsia" w:ascii="宋体" w:hAnsi="宋体"/>
          <w:bCs/>
          <w:color w:val="auto"/>
          <w:sz w:val="24"/>
          <w:szCs w:val="24"/>
          <w:lang w:val="en-US" w:eastAsia="zh-CN"/>
        </w:rPr>
        <w:t>20230062</w:t>
      </w:r>
      <w:r>
        <w:rPr>
          <w:rFonts w:hint="eastAsia" w:ascii="宋体" w:hAnsi="宋体"/>
          <w:bCs/>
          <w:color w:val="auto"/>
          <w:sz w:val="24"/>
          <w:szCs w:val="24"/>
        </w:rPr>
        <w:t>招标文件，经仔细阅读和研究，我方决定参加此项目的投标。</w:t>
      </w:r>
    </w:p>
    <w:p>
      <w:pPr>
        <w:numPr>
          <w:ilvl w:val="0"/>
          <w:numId w:val="16"/>
        </w:numPr>
        <w:tabs>
          <w:tab w:val="left" w:pos="315"/>
          <w:tab w:val="left" w:pos="840"/>
          <w:tab w:val="left" w:pos="945"/>
          <w:tab w:val="left" w:pos="1050"/>
          <w:tab w:val="left" w:pos="1260"/>
          <w:tab w:val="clear" w:pos="552"/>
        </w:tabs>
        <w:spacing w:line="360" w:lineRule="auto"/>
        <w:ind w:left="0" w:firstLine="525"/>
        <w:rPr>
          <w:rFonts w:ascii="宋体"/>
          <w:bCs/>
          <w:color w:val="auto"/>
          <w:sz w:val="24"/>
          <w:szCs w:val="24"/>
        </w:rPr>
      </w:pPr>
      <w:r>
        <w:rPr>
          <w:rFonts w:hint="eastAsia" w:ascii="宋体" w:hAnsi="宋体"/>
          <w:bCs/>
          <w:color w:val="auto"/>
          <w:sz w:val="24"/>
          <w:szCs w:val="24"/>
        </w:rPr>
        <w:t>我方愿意按照招标文件的一切要求，提供本项目的投标，投标总价见《开标一览表》。</w:t>
      </w:r>
    </w:p>
    <w:p>
      <w:pPr>
        <w:numPr>
          <w:ilvl w:val="0"/>
          <w:numId w:val="16"/>
        </w:numPr>
        <w:tabs>
          <w:tab w:val="left" w:pos="0"/>
          <w:tab w:val="left" w:pos="315"/>
          <w:tab w:val="left" w:pos="525"/>
          <w:tab w:val="left" w:pos="840"/>
          <w:tab w:val="left" w:pos="945"/>
          <w:tab w:val="left" w:pos="1050"/>
          <w:tab w:val="clear" w:pos="552"/>
        </w:tabs>
        <w:spacing w:line="360" w:lineRule="auto"/>
        <w:ind w:left="0" w:firstLine="523" w:firstLineChars="218"/>
        <w:rPr>
          <w:rStyle w:val="30"/>
          <w:rFonts w:hint="default"/>
          <w:color w:val="auto"/>
        </w:rPr>
      </w:pPr>
      <w:r>
        <w:rPr>
          <w:rFonts w:hint="eastAsia" w:ascii="宋体" w:hAnsi="宋体"/>
          <w:bCs/>
          <w:color w:val="auto"/>
          <w:sz w:val="24"/>
          <w:szCs w:val="24"/>
        </w:rPr>
        <w:t>我方愿意提供无锡市惠山区政府采购中心在招标文件中要求的文件、资料。</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color w:val="auto"/>
        </w:rPr>
      </w:pPr>
      <w:r>
        <w:rPr>
          <w:rFonts w:hint="eastAsia" w:ascii="宋体" w:hAnsi="宋体"/>
          <w:bCs/>
          <w:color w:val="auto"/>
          <w:sz w:val="24"/>
          <w:szCs w:val="24"/>
        </w:rPr>
        <w:t>我方同意按招标文件中的规定，本投标文件投标的有效期限为开标之日起90天。</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rPr>
      </w:pPr>
      <w:r>
        <w:rPr>
          <w:rFonts w:hint="eastAsia" w:ascii="宋体" w:hAnsi="宋体"/>
          <w:bCs/>
          <w:color w:val="auto"/>
          <w:sz w:val="24"/>
          <w:szCs w:val="24"/>
        </w:rPr>
        <w:t>如果我方的投标文件被接受，我方将履行招标文件中规定的每一项要求，按期、按质、按量，完成交货任务。</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rPr>
      </w:pPr>
      <w:r>
        <w:rPr>
          <w:rFonts w:hint="eastAsia" w:ascii="宋体" w:hAnsi="宋体"/>
          <w:bCs/>
          <w:color w:val="auto"/>
          <w:sz w:val="24"/>
          <w:szCs w:val="24"/>
        </w:rPr>
        <w:t>我方认为贵中心有权决定中标者。</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rPr>
        <w:t>我方愿意遵守《中华人民共和国政府采购法》，并按《中华人民共和国民法典》、</w:t>
      </w:r>
      <w:r>
        <w:rPr>
          <w:rFonts w:hint="eastAsia" w:ascii="宋体" w:hAnsi="宋体"/>
          <w:bCs/>
          <w:color w:val="auto"/>
          <w:sz w:val="24"/>
          <w:szCs w:val="24"/>
          <w:highlight w:val="none"/>
        </w:rPr>
        <w:t>财政部《政府采购货物和服务招标投标管理办法》</w:t>
      </w:r>
      <w:r>
        <w:rPr>
          <w:rFonts w:hint="eastAsia" w:ascii="宋体" w:hAnsi="宋体"/>
          <w:color w:val="auto"/>
          <w:sz w:val="24"/>
          <w:szCs w:val="24"/>
          <w:highlight w:val="none"/>
        </w:rPr>
        <w:t>和</w:t>
      </w:r>
      <w:r>
        <w:rPr>
          <w:rFonts w:hint="eastAsia" w:ascii="宋体" w:hAnsi="宋体"/>
          <w:bCs/>
          <w:color w:val="auto"/>
          <w:sz w:val="24"/>
          <w:szCs w:val="24"/>
          <w:highlight w:val="none"/>
        </w:rPr>
        <w:t>合同条款履行自己的全部责任。</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我方认可并遵守招标文件的所有规定，放弃对招标文件提出质疑的权利。</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如我方在投标截止期后撤回投标及中标后拒绝遵守投标承诺或拒绝在规定的时间内与采购人签订合同，则接受政府采购监督管理部门的处理。</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如果我方被确定为中标供应商，我方愿意向采购人交纳不超过政府采购合同金额10%的履约保证金。且我方如无不可抗力，又未履行招标文件、投标文件和合同条款的，一经查实，我方愿意赔偿由此而造成的一切损失，并同意接受按招标文件的相关要求对我方进行的处理。</w:t>
      </w:r>
    </w:p>
    <w:p>
      <w:pPr>
        <w:numPr>
          <w:ilvl w:val="0"/>
          <w:numId w:val="16"/>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rPr>
      </w:pPr>
      <w:r>
        <w:rPr>
          <w:rFonts w:hint="eastAsia" w:ascii="宋体" w:hAnsi="宋体"/>
          <w:bCs/>
          <w:color w:val="auto"/>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auto"/>
          <w:sz w:val="24"/>
          <w:szCs w:val="24"/>
        </w:rPr>
      </w:pPr>
    </w:p>
    <w:p>
      <w:pPr>
        <w:spacing w:line="400" w:lineRule="exact"/>
        <w:ind w:firstLine="480" w:firstLineChars="200"/>
        <w:rPr>
          <w:rFonts w:ascii="宋体"/>
          <w:bCs/>
          <w:color w:val="auto"/>
          <w:sz w:val="24"/>
          <w:szCs w:val="24"/>
        </w:rPr>
      </w:pPr>
      <w:r>
        <w:rPr>
          <w:rFonts w:hint="eastAsia" w:ascii="宋体" w:hAnsi="宋体"/>
          <w:bCs/>
          <w:color w:val="auto"/>
          <w:sz w:val="24"/>
          <w:szCs w:val="24"/>
        </w:rPr>
        <w:t xml:space="preserve">投标人（盖章）：     </w:t>
      </w:r>
    </w:p>
    <w:p>
      <w:pPr>
        <w:spacing w:line="400" w:lineRule="exact"/>
        <w:ind w:firstLine="480" w:firstLineChars="200"/>
        <w:rPr>
          <w:rFonts w:ascii="宋体"/>
          <w:bCs/>
          <w:color w:val="auto"/>
          <w:sz w:val="24"/>
          <w:szCs w:val="24"/>
        </w:rPr>
      </w:pPr>
      <w:r>
        <w:rPr>
          <w:rFonts w:hint="eastAsia" w:ascii="宋体" w:hAnsi="宋体"/>
          <w:bCs/>
          <w:color w:val="auto"/>
          <w:sz w:val="24"/>
          <w:szCs w:val="24"/>
        </w:rPr>
        <w:t>法定代表人或法定代表人授权代表签字或盖章：</w:t>
      </w:r>
    </w:p>
    <w:p>
      <w:pPr>
        <w:spacing w:line="400" w:lineRule="exact"/>
        <w:ind w:firstLine="480" w:firstLineChars="200"/>
        <w:rPr>
          <w:rFonts w:ascii="宋体"/>
          <w:bCs/>
          <w:color w:val="auto"/>
          <w:sz w:val="24"/>
          <w:szCs w:val="24"/>
        </w:rPr>
      </w:pPr>
      <w:r>
        <w:rPr>
          <w:rFonts w:hint="eastAsia" w:ascii="宋体" w:hAnsi="宋体"/>
          <w:bCs/>
          <w:color w:val="auto"/>
          <w:sz w:val="24"/>
          <w:szCs w:val="24"/>
        </w:rPr>
        <w:t>电话：                              传真：</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rPr>
        <w:t>通讯地址：                          邮编：</w:t>
      </w:r>
    </w:p>
    <w:p>
      <w:pPr>
        <w:pageBreakBefore/>
        <w:spacing w:line="400" w:lineRule="exact"/>
        <w:rPr>
          <w:rFonts w:ascii="宋体" w:hAnsi="宋体"/>
          <w:bCs/>
          <w:color w:val="auto"/>
          <w:sz w:val="24"/>
          <w:szCs w:val="24"/>
        </w:rPr>
      </w:pPr>
    </w:p>
    <w:p>
      <w:pPr>
        <w:ind w:firstLine="480" w:firstLineChars="200"/>
        <w:outlineLvl w:val="0"/>
        <w:rPr>
          <w:rFonts w:ascii="黑体" w:eastAsia="黑体"/>
          <w:bCs/>
          <w:color w:val="auto"/>
          <w:sz w:val="28"/>
          <w:szCs w:val="28"/>
        </w:rPr>
      </w:pPr>
      <w:bookmarkStart w:id="10" w:name="_Toc86134317"/>
      <w:bookmarkStart w:id="11" w:name="_Toc61444106"/>
      <w:r>
        <w:rPr>
          <w:rFonts w:hint="eastAsia" w:ascii="黑体" w:hAnsi="宋体" w:eastAsia="黑体"/>
          <w:bCs/>
          <w:color w:val="auto"/>
          <w:sz w:val="24"/>
          <w:szCs w:val="24"/>
        </w:rPr>
        <w:t>（二）（投标人）关于资格的声明函（格式）：</w:t>
      </w:r>
      <w:bookmarkEnd w:id="10"/>
      <w:bookmarkEnd w:id="11"/>
    </w:p>
    <w:p>
      <w:pPr>
        <w:spacing w:line="360" w:lineRule="auto"/>
        <w:rPr>
          <w:rFonts w:ascii="黑体" w:eastAsia="黑体"/>
          <w:bCs/>
          <w:color w:val="auto"/>
          <w:sz w:val="36"/>
        </w:rPr>
      </w:pPr>
    </w:p>
    <w:p>
      <w:pPr>
        <w:jc w:val="center"/>
        <w:outlineLvl w:val="0"/>
        <w:rPr>
          <w:rFonts w:ascii="黑体" w:eastAsia="黑体"/>
          <w:bCs/>
          <w:color w:val="auto"/>
          <w:sz w:val="28"/>
          <w:szCs w:val="28"/>
        </w:rPr>
      </w:pPr>
      <w:bookmarkStart w:id="12" w:name="报价方关于资格的声明函（格式）"/>
      <w:bookmarkEnd w:id="12"/>
      <w:bookmarkStart w:id="13" w:name="_Toc86134318"/>
      <w:bookmarkStart w:id="14" w:name="_Toc61444107"/>
      <w:r>
        <w:rPr>
          <w:rFonts w:hint="eastAsia" w:ascii="黑体" w:eastAsia="黑体"/>
          <w:bCs/>
          <w:color w:val="auto"/>
          <w:sz w:val="28"/>
          <w:szCs w:val="28"/>
        </w:rPr>
        <w:t>关于资格的声明函</w:t>
      </w:r>
      <w:bookmarkEnd w:id="13"/>
      <w:bookmarkEnd w:id="14"/>
    </w:p>
    <w:p>
      <w:pPr>
        <w:jc w:val="center"/>
        <w:rPr>
          <w:rFonts w:ascii="黑体" w:eastAsia="黑体"/>
          <w:bCs/>
          <w:color w:val="auto"/>
          <w:sz w:val="32"/>
        </w:rPr>
      </w:pPr>
    </w:p>
    <w:p>
      <w:pPr>
        <w:spacing w:line="480" w:lineRule="auto"/>
        <w:jc w:val="center"/>
        <w:rPr>
          <w:rFonts w:hint="default" w:ascii="宋体" w:eastAsia="黑体"/>
          <w:bCs/>
          <w:color w:val="auto"/>
          <w:sz w:val="24"/>
          <w:szCs w:val="24"/>
          <w:highlight w:val="none"/>
          <w:lang w:val="en-US" w:eastAsia="zh-CN"/>
        </w:rPr>
      </w:pPr>
      <w:r>
        <w:rPr>
          <w:rFonts w:hint="eastAsia" w:ascii="宋体" w:hAnsi="宋体"/>
          <w:bCs/>
          <w:color w:val="auto"/>
          <w:sz w:val="24"/>
          <w:szCs w:val="24"/>
        </w:rPr>
        <w:t xml:space="preserve"> </w:t>
      </w:r>
      <w:r>
        <w:rPr>
          <w:rFonts w:hint="eastAsia" w:ascii="宋体" w:hAnsi="宋体"/>
          <w:bCs/>
          <w:color w:val="auto"/>
          <w:sz w:val="24"/>
          <w:szCs w:val="24"/>
          <w:highlight w:val="none"/>
        </w:rPr>
        <w:t>政府采购编号：</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20230062</w:t>
      </w:r>
    </w:p>
    <w:p>
      <w:pPr>
        <w:tabs>
          <w:tab w:val="left" w:pos="6300"/>
        </w:tabs>
        <w:spacing w:line="480" w:lineRule="auto"/>
        <w:jc w:val="center"/>
        <w:rPr>
          <w:rFonts w:ascii="宋体"/>
          <w:bCs/>
          <w:color w:val="auto"/>
          <w:sz w:val="24"/>
          <w:szCs w:val="24"/>
          <w:highlight w:val="none"/>
        </w:rPr>
      </w:pPr>
      <w:r>
        <w:rPr>
          <w:rFonts w:hint="eastAsia" w:ascii="宋体" w:hAnsi="宋体"/>
          <w:bCs/>
          <w:color w:val="auto"/>
          <w:sz w:val="24"/>
          <w:szCs w:val="24"/>
          <w:highlight w:val="none"/>
        </w:rPr>
        <w:t xml:space="preserve">            日期：</w:t>
      </w:r>
    </w:p>
    <w:p>
      <w:pPr>
        <w:spacing w:line="480" w:lineRule="auto"/>
        <w:jc w:val="center"/>
        <w:rPr>
          <w:rFonts w:ascii="宋体"/>
          <w:bCs/>
          <w:color w:val="auto"/>
          <w:sz w:val="24"/>
          <w:szCs w:val="24"/>
          <w:highlight w:val="none"/>
        </w:rPr>
      </w:pPr>
    </w:p>
    <w:p>
      <w:pPr>
        <w:spacing w:line="480" w:lineRule="auto"/>
        <w:rPr>
          <w:rFonts w:ascii="宋体"/>
          <w:bCs/>
          <w:color w:val="auto"/>
          <w:sz w:val="24"/>
          <w:szCs w:val="24"/>
          <w:highlight w:val="none"/>
        </w:rPr>
      </w:pPr>
      <w:r>
        <w:rPr>
          <w:rFonts w:hint="eastAsia" w:ascii="宋体" w:hAnsi="宋体"/>
          <w:bCs/>
          <w:color w:val="auto"/>
          <w:sz w:val="24"/>
          <w:szCs w:val="24"/>
          <w:highlight w:val="none"/>
        </w:rPr>
        <w:t>无锡市惠山区政府采购中心：</w:t>
      </w:r>
    </w:p>
    <w:p>
      <w:pPr>
        <w:spacing w:line="480" w:lineRule="auto"/>
        <w:rPr>
          <w:rFonts w:ascii="宋体"/>
          <w:bCs/>
          <w:color w:val="auto"/>
          <w:sz w:val="24"/>
          <w:szCs w:val="24"/>
          <w:highlight w:val="none"/>
        </w:rPr>
      </w:pPr>
    </w:p>
    <w:p>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我公司（单位）参加本次项目（</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20230062</w:t>
      </w:r>
      <w:r>
        <w:rPr>
          <w:rFonts w:hint="eastAsia" w:ascii="黑体" w:eastAsia="黑体"/>
          <w:bCs/>
          <w:color w:val="auto"/>
          <w:sz w:val="24"/>
          <w:szCs w:val="24"/>
          <w:highlight w:val="none"/>
        </w:rPr>
        <w:t>）</w:t>
      </w:r>
      <w:r>
        <w:rPr>
          <w:rFonts w:hint="eastAsia" w:ascii="宋体" w:hAnsi="宋体"/>
          <w:bCs/>
          <w:color w:val="auto"/>
          <w:sz w:val="24"/>
          <w:szCs w:val="24"/>
          <w:highlight w:val="none"/>
        </w:rPr>
        <w:t>政府采购活动前三年内，在经营活动中没有重大违法记录，我公司（单位）愿针对本次项目（</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20230062</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          愿意承担由此而产生的一切后果。</w:t>
      </w:r>
    </w:p>
    <w:p>
      <w:pPr>
        <w:spacing w:line="480" w:lineRule="auto"/>
        <w:rPr>
          <w:rFonts w:ascii="宋体"/>
          <w:bCs/>
          <w:color w:val="auto"/>
          <w:sz w:val="24"/>
          <w:szCs w:val="24"/>
          <w:highlight w:val="none"/>
        </w:rPr>
      </w:pPr>
    </w:p>
    <w:p>
      <w:pPr>
        <w:spacing w:line="480" w:lineRule="auto"/>
        <w:rPr>
          <w:rFonts w:ascii="宋体"/>
          <w:bCs/>
          <w:color w:val="auto"/>
          <w:sz w:val="24"/>
          <w:szCs w:val="24"/>
          <w:highlight w:val="none"/>
        </w:rPr>
      </w:pPr>
      <w:r>
        <w:rPr>
          <w:rFonts w:hint="eastAsia" w:ascii="宋体" w:hAnsi="宋体"/>
          <w:bCs/>
          <w:color w:val="auto"/>
          <w:sz w:val="24"/>
          <w:szCs w:val="24"/>
          <w:highlight w:val="none"/>
        </w:rPr>
        <w:t xml:space="preserve">                                       投标人（盖章）：</w:t>
      </w:r>
    </w:p>
    <w:p>
      <w:pPr>
        <w:spacing w:line="480" w:lineRule="auto"/>
        <w:rPr>
          <w:rFonts w:ascii="宋体"/>
          <w:bCs/>
          <w:color w:val="auto"/>
          <w:sz w:val="24"/>
          <w:szCs w:val="24"/>
          <w:highlight w:val="none"/>
        </w:rPr>
      </w:pPr>
      <w:r>
        <w:rPr>
          <w:rFonts w:hint="eastAsia" w:ascii="宋体" w:hAnsi="宋体"/>
          <w:bCs/>
          <w:color w:val="auto"/>
          <w:sz w:val="24"/>
          <w:szCs w:val="24"/>
          <w:highlight w:val="none"/>
        </w:rPr>
        <w:t xml:space="preserve">         法定代表人或法定代表人授权代表（签字或盖章）：</w:t>
      </w:r>
    </w:p>
    <w:p>
      <w:pPr>
        <w:spacing w:line="480" w:lineRule="auto"/>
        <w:rPr>
          <w:rFonts w:ascii="宋体"/>
          <w:bCs/>
          <w:color w:val="auto"/>
          <w:sz w:val="24"/>
          <w:szCs w:val="24"/>
          <w:highlight w:val="none"/>
        </w:rPr>
      </w:pPr>
    </w:p>
    <w:p>
      <w:pPr>
        <w:outlineLvl w:val="0"/>
        <w:rPr>
          <w:rFonts w:ascii="黑体" w:hAnsi="宋体" w:eastAsia="黑体"/>
          <w:bCs/>
          <w:color w:val="auto"/>
          <w:sz w:val="24"/>
          <w:szCs w:val="24"/>
          <w:highlight w:val="none"/>
        </w:rPr>
      </w:pPr>
    </w:p>
    <w:p>
      <w:pPr>
        <w:ind w:firstLine="480" w:firstLineChars="200"/>
        <w:outlineLvl w:val="0"/>
        <w:rPr>
          <w:rFonts w:ascii="黑体" w:hAnsi="宋体" w:eastAsia="黑体"/>
          <w:bCs/>
          <w:color w:val="auto"/>
          <w:sz w:val="24"/>
          <w:szCs w:val="24"/>
          <w:highlight w:val="none"/>
        </w:rPr>
      </w:pPr>
    </w:p>
    <w:p>
      <w:pPr>
        <w:outlineLvl w:val="0"/>
        <w:rPr>
          <w:rFonts w:ascii="黑体" w:hAnsi="宋体" w:eastAsia="黑体"/>
          <w:bCs/>
          <w:color w:val="auto"/>
          <w:sz w:val="24"/>
          <w:szCs w:val="24"/>
          <w:highlight w:val="none"/>
        </w:rPr>
      </w:pPr>
    </w:p>
    <w:p>
      <w:pPr>
        <w:ind w:firstLine="480" w:firstLineChars="200"/>
        <w:outlineLvl w:val="0"/>
        <w:rPr>
          <w:rFonts w:ascii="黑体" w:hAnsi="宋体" w:eastAsia="黑体"/>
          <w:bCs/>
          <w:color w:val="auto"/>
          <w:sz w:val="24"/>
          <w:szCs w:val="24"/>
          <w:highlight w:val="none"/>
        </w:rPr>
      </w:pPr>
    </w:p>
    <w:p>
      <w:pPr>
        <w:ind w:firstLine="480" w:firstLineChars="200"/>
        <w:outlineLvl w:val="0"/>
        <w:rPr>
          <w:rFonts w:ascii="黑体" w:hAnsi="宋体" w:eastAsia="黑体"/>
          <w:bCs/>
          <w:color w:val="auto"/>
          <w:sz w:val="24"/>
          <w:szCs w:val="24"/>
          <w:highlight w:val="none"/>
        </w:rPr>
      </w:pPr>
    </w:p>
    <w:p>
      <w:pPr>
        <w:ind w:firstLine="420" w:firstLineChars="200"/>
        <w:outlineLvl w:val="0"/>
        <w:rPr>
          <w:rFonts w:ascii="黑体" w:hAnsi="宋体" w:eastAsia="黑体"/>
          <w:bCs/>
          <w:color w:val="auto"/>
          <w:sz w:val="24"/>
          <w:szCs w:val="24"/>
          <w:highlight w:val="none"/>
        </w:rPr>
      </w:pPr>
      <w:bookmarkStart w:id="15" w:name="_Toc86134319"/>
      <w:r>
        <w:rPr>
          <w:rFonts w:hint="eastAsia"/>
          <w:color w:val="auto"/>
          <w:szCs w:val="21"/>
          <w:highlight w:val="none"/>
        </w:rPr>
        <w:t>注：条款中所称</w:t>
      </w:r>
      <w:r>
        <w:rPr>
          <w:color w:val="auto"/>
          <w:szCs w:val="21"/>
          <w:highlight w:val="none"/>
        </w:rPr>
        <w:t>“</w:t>
      </w:r>
      <w:r>
        <w:rPr>
          <w:rFonts w:hint="eastAsia"/>
          <w:color w:val="auto"/>
          <w:szCs w:val="21"/>
          <w:highlight w:val="none"/>
        </w:rPr>
        <w:t>重大违法记录</w:t>
      </w:r>
      <w:r>
        <w:rPr>
          <w:color w:val="auto"/>
          <w:szCs w:val="21"/>
          <w:highlight w:val="none"/>
        </w:rPr>
        <w:t>”</w:t>
      </w:r>
      <w:r>
        <w:rPr>
          <w:rFonts w:hint="eastAsia"/>
          <w:color w:val="auto"/>
          <w:szCs w:val="21"/>
          <w:highlight w:val="none"/>
        </w:rPr>
        <w:t>，是指供应商因违法经营受到刑事处罚或者责令停产停业、吊销许可证或者执照、较大数额罚款等行政处罚。（</w:t>
      </w:r>
      <w:r>
        <w:rPr>
          <w:color w:val="auto"/>
          <w:szCs w:val="21"/>
          <w:highlight w:val="none"/>
        </w:rPr>
        <w:t>“</w:t>
      </w:r>
      <w:r>
        <w:rPr>
          <w:rFonts w:hint="eastAsia"/>
          <w:color w:val="auto"/>
          <w:szCs w:val="21"/>
          <w:highlight w:val="none"/>
        </w:rPr>
        <w:t>较大数额罚款</w:t>
      </w:r>
      <w:r>
        <w:rPr>
          <w:color w:val="auto"/>
          <w:szCs w:val="21"/>
          <w:highlight w:val="none"/>
        </w:rPr>
        <w:t>”</w:t>
      </w:r>
      <w:r>
        <w:rPr>
          <w:rFonts w:hint="eastAsia"/>
          <w:color w:val="auto"/>
          <w:szCs w:val="21"/>
          <w:highlight w:val="none"/>
        </w:rPr>
        <w:t>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w:t>
      </w:r>
      <w:bookmarkEnd w:id="15"/>
    </w:p>
    <w:p>
      <w:pPr>
        <w:pageBreakBefore/>
        <w:outlineLvl w:val="0"/>
        <w:rPr>
          <w:rFonts w:ascii="黑体" w:hAnsi="宋体" w:eastAsia="黑体"/>
          <w:bCs/>
          <w:color w:val="auto"/>
          <w:sz w:val="24"/>
          <w:szCs w:val="24"/>
          <w:highlight w:val="none"/>
        </w:rPr>
      </w:pPr>
    </w:p>
    <w:p>
      <w:pPr>
        <w:ind w:firstLine="480" w:firstLineChars="200"/>
        <w:outlineLvl w:val="0"/>
        <w:rPr>
          <w:rFonts w:ascii="黑体" w:eastAsia="黑体"/>
          <w:bCs/>
          <w:color w:val="auto"/>
          <w:sz w:val="28"/>
          <w:szCs w:val="28"/>
          <w:highlight w:val="none"/>
        </w:rPr>
      </w:pPr>
      <w:bookmarkStart w:id="16" w:name="_Toc61444109"/>
      <w:bookmarkStart w:id="17" w:name="_Toc86134320"/>
      <w:r>
        <w:rPr>
          <w:rFonts w:hint="eastAsia" w:ascii="黑体" w:hAnsi="宋体" w:eastAsia="黑体"/>
          <w:bCs/>
          <w:color w:val="auto"/>
          <w:sz w:val="24"/>
          <w:szCs w:val="24"/>
          <w:highlight w:val="none"/>
        </w:rPr>
        <w:t>（三）（投标人）法定代表人授权委托书（格式）：</w:t>
      </w:r>
      <w:bookmarkEnd w:id="16"/>
      <w:bookmarkEnd w:id="17"/>
    </w:p>
    <w:p>
      <w:pPr>
        <w:outlineLvl w:val="0"/>
        <w:rPr>
          <w:rFonts w:ascii="黑体" w:eastAsia="黑体"/>
          <w:bCs/>
          <w:color w:val="auto"/>
          <w:sz w:val="28"/>
          <w:szCs w:val="28"/>
          <w:highlight w:val="none"/>
        </w:rPr>
      </w:pPr>
    </w:p>
    <w:p>
      <w:pPr>
        <w:jc w:val="center"/>
        <w:outlineLvl w:val="0"/>
        <w:rPr>
          <w:rFonts w:ascii="黑体" w:eastAsia="黑体"/>
          <w:bCs/>
          <w:color w:val="auto"/>
          <w:sz w:val="28"/>
          <w:szCs w:val="28"/>
          <w:highlight w:val="none"/>
        </w:rPr>
      </w:pPr>
      <w:bookmarkStart w:id="18" w:name="_Toc61444110"/>
      <w:bookmarkStart w:id="19" w:name="_Toc86134321"/>
      <w:r>
        <w:rPr>
          <w:rFonts w:hint="eastAsia" w:ascii="黑体" w:eastAsia="黑体"/>
          <w:bCs/>
          <w:color w:val="auto"/>
          <w:sz w:val="28"/>
          <w:szCs w:val="28"/>
          <w:highlight w:val="none"/>
        </w:rPr>
        <w:t>法定代表人授权委托书</w:t>
      </w:r>
      <w:bookmarkEnd w:id="18"/>
      <w:bookmarkEnd w:id="19"/>
    </w:p>
    <w:p>
      <w:pPr>
        <w:spacing w:line="360" w:lineRule="auto"/>
        <w:jc w:val="center"/>
        <w:rPr>
          <w:rFonts w:ascii="楷体_GB2312" w:eastAsia="楷体_GB2312"/>
          <w:bCs/>
          <w:color w:val="auto"/>
          <w:sz w:val="36"/>
          <w:highlight w:val="none"/>
        </w:rPr>
      </w:pPr>
    </w:p>
    <w:p>
      <w:pPr>
        <w:spacing w:line="480" w:lineRule="auto"/>
        <w:rPr>
          <w:rFonts w:hint="default" w:ascii="宋体" w:eastAsia="黑体"/>
          <w:bCs/>
          <w:color w:val="auto"/>
          <w:sz w:val="24"/>
          <w:szCs w:val="24"/>
          <w:highlight w:val="none"/>
          <w:lang w:val="en-US" w:eastAsia="zh-CN"/>
        </w:rPr>
      </w:pPr>
      <w:r>
        <w:rPr>
          <w:rFonts w:hint="eastAsia" w:ascii="宋体" w:hAnsi="宋体"/>
          <w:bCs/>
          <w:color w:val="auto"/>
          <w:sz w:val="24"/>
          <w:szCs w:val="24"/>
          <w:highlight w:val="none"/>
        </w:rPr>
        <w:t>政府采购编号：</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20230062</w:t>
      </w:r>
    </w:p>
    <w:p>
      <w:pPr>
        <w:spacing w:line="480" w:lineRule="auto"/>
        <w:rPr>
          <w:rFonts w:ascii="宋体"/>
          <w:bCs/>
          <w:color w:val="auto"/>
          <w:sz w:val="24"/>
          <w:szCs w:val="24"/>
          <w:highlight w:val="none"/>
        </w:rPr>
      </w:pPr>
      <w:r>
        <w:rPr>
          <w:rFonts w:hint="eastAsia" w:ascii="宋体" w:hAnsi="宋体"/>
          <w:bCs/>
          <w:color w:val="auto"/>
          <w:sz w:val="24"/>
          <w:szCs w:val="24"/>
          <w:highlight w:val="none"/>
        </w:rPr>
        <w:t xml:space="preserve">                                          日期：</w:t>
      </w:r>
    </w:p>
    <w:p>
      <w:pPr>
        <w:spacing w:line="600" w:lineRule="exact"/>
        <w:rPr>
          <w:rFonts w:ascii="宋体"/>
          <w:bCs/>
          <w:color w:val="auto"/>
          <w:sz w:val="24"/>
          <w:szCs w:val="24"/>
          <w:highlight w:val="none"/>
        </w:rPr>
      </w:pPr>
      <w:r>
        <w:rPr>
          <w:rFonts w:hint="eastAsia" w:ascii="宋体" w:hAnsi="宋体"/>
          <w:bCs/>
          <w:color w:val="auto"/>
          <w:sz w:val="24"/>
          <w:szCs w:val="24"/>
          <w:highlight w:val="none"/>
        </w:rPr>
        <w:t>无锡市惠山区政府采购中心：</w:t>
      </w:r>
    </w:p>
    <w:p>
      <w:pPr>
        <w:spacing w:line="580" w:lineRule="exact"/>
        <w:rPr>
          <w:rFonts w:ascii="宋体"/>
          <w:bCs/>
          <w:color w:val="auto"/>
          <w:sz w:val="24"/>
          <w:szCs w:val="24"/>
          <w:highlight w:val="none"/>
        </w:rPr>
      </w:pPr>
      <w:r>
        <w:rPr>
          <w:rFonts w:hint="eastAsia" w:ascii="宋体" w:hAnsi="宋体"/>
          <w:bCs/>
          <w:color w:val="auto"/>
          <w:sz w:val="24"/>
          <w:szCs w:val="24"/>
          <w:highlight w:val="none"/>
        </w:rPr>
        <w:t xml:space="preserve">                          系中华人民共和国合法公司（单位），特授权       代表我公司（单位）全权办理针对本项目（</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20230062</w:t>
      </w:r>
      <w:r>
        <w:rPr>
          <w:rFonts w:hint="eastAsia" w:ascii="黑体" w:eastAsia="黑体"/>
          <w:bCs/>
          <w:color w:val="auto"/>
          <w:sz w:val="24"/>
          <w:szCs w:val="24"/>
          <w:highlight w:val="none"/>
        </w:rPr>
        <w:t>）</w:t>
      </w:r>
      <w:r>
        <w:rPr>
          <w:rFonts w:hint="eastAsia" w:ascii="宋体" w:hAnsi="宋体"/>
          <w:bCs/>
          <w:color w:val="auto"/>
          <w:sz w:val="24"/>
          <w:szCs w:val="24"/>
          <w:highlight w:val="none"/>
        </w:rPr>
        <w:t>的投标、参与开标、评标、签约等具体工作，并签署全部有关的文件、协议及合同。</w:t>
      </w:r>
    </w:p>
    <w:p>
      <w:pPr>
        <w:spacing w:line="580" w:lineRule="exact"/>
        <w:ind w:firstLine="480" w:firstLineChars="200"/>
        <w:rPr>
          <w:rFonts w:ascii="宋体"/>
          <w:bCs/>
          <w:color w:val="auto"/>
          <w:sz w:val="24"/>
          <w:szCs w:val="24"/>
          <w:highlight w:val="none"/>
        </w:rPr>
      </w:pPr>
      <w:r>
        <w:rPr>
          <w:rFonts w:hint="eastAsia" w:ascii="宋体" w:hAnsi="宋体"/>
          <w:bCs/>
          <w:color w:val="auto"/>
          <w:sz w:val="24"/>
          <w:szCs w:val="24"/>
          <w:highlight w:val="none"/>
        </w:rPr>
        <w:t>我公司（单位）对被授权代表的签名负全部责任。</w:t>
      </w:r>
    </w:p>
    <w:p>
      <w:pPr>
        <w:spacing w:line="580" w:lineRule="exact"/>
        <w:ind w:firstLine="480" w:firstLineChars="200"/>
        <w:rPr>
          <w:rFonts w:ascii="宋体"/>
          <w:bCs/>
          <w:color w:val="auto"/>
          <w:sz w:val="24"/>
          <w:szCs w:val="24"/>
          <w:highlight w:val="none"/>
        </w:rPr>
      </w:pPr>
      <w:r>
        <w:rPr>
          <w:rFonts w:hint="eastAsia" w:ascii="宋体" w:hAnsi="宋体"/>
          <w:bCs/>
          <w:color w:val="auto"/>
          <w:sz w:val="24"/>
          <w:szCs w:val="24"/>
          <w:highlight w:val="none"/>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auto"/>
          <w:sz w:val="24"/>
          <w:szCs w:val="24"/>
          <w:highlight w:val="none"/>
        </w:rPr>
      </w:pPr>
      <w:r>
        <w:rPr>
          <w:rFonts w:hint="eastAsia" w:ascii="宋体" w:hAnsi="宋体"/>
          <w:bCs/>
          <w:color w:val="auto"/>
          <w:sz w:val="24"/>
          <w:szCs w:val="24"/>
          <w:highlight w:val="none"/>
        </w:rPr>
        <w:t>被授权代表情况：</w:t>
      </w:r>
    </w:p>
    <w:p>
      <w:pPr>
        <w:spacing w:line="580" w:lineRule="exact"/>
        <w:ind w:firstLine="525"/>
        <w:rPr>
          <w:rFonts w:ascii="宋体"/>
          <w:bCs/>
          <w:color w:val="auto"/>
          <w:sz w:val="24"/>
          <w:szCs w:val="24"/>
          <w:highlight w:val="none"/>
        </w:rPr>
      </w:pPr>
      <w:r>
        <w:rPr>
          <w:rFonts w:hint="eastAsia" w:ascii="宋体" w:hAnsi="宋体"/>
          <w:bCs/>
          <w:color w:val="auto"/>
          <w:sz w:val="24"/>
          <w:szCs w:val="24"/>
          <w:highlight w:val="none"/>
        </w:rPr>
        <w:t>姓名：         性别：       电话：</w:t>
      </w:r>
    </w:p>
    <w:p>
      <w:pPr>
        <w:spacing w:line="580" w:lineRule="exact"/>
        <w:ind w:firstLine="3240" w:firstLineChars="1350"/>
        <w:rPr>
          <w:rFonts w:ascii="宋体"/>
          <w:bCs/>
          <w:color w:val="auto"/>
          <w:sz w:val="24"/>
          <w:szCs w:val="24"/>
          <w:highlight w:val="none"/>
        </w:rPr>
      </w:pPr>
    </w:p>
    <w:p>
      <w:pPr>
        <w:spacing w:line="580" w:lineRule="exact"/>
        <w:ind w:firstLine="3240" w:firstLineChars="1350"/>
        <w:rPr>
          <w:rFonts w:ascii="宋体"/>
          <w:bCs/>
          <w:color w:val="auto"/>
          <w:sz w:val="24"/>
          <w:szCs w:val="24"/>
          <w:highlight w:val="none"/>
        </w:rPr>
      </w:pPr>
    </w:p>
    <w:p>
      <w:pPr>
        <w:spacing w:line="580" w:lineRule="exact"/>
        <w:ind w:firstLine="3240" w:firstLineChars="1350"/>
        <w:rPr>
          <w:rFonts w:ascii="宋体"/>
          <w:bCs/>
          <w:color w:val="auto"/>
          <w:sz w:val="24"/>
          <w:szCs w:val="24"/>
          <w:highlight w:val="none"/>
        </w:rPr>
      </w:pPr>
      <w:r>
        <w:rPr>
          <w:rFonts w:hint="eastAsia" w:ascii="宋体" w:hAnsi="宋体"/>
          <w:bCs/>
          <w:color w:val="auto"/>
          <w:sz w:val="24"/>
          <w:szCs w:val="24"/>
          <w:highlight w:val="none"/>
        </w:rPr>
        <w:t xml:space="preserve">               单位名称（盖章）：</w:t>
      </w:r>
    </w:p>
    <w:p>
      <w:pPr>
        <w:spacing w:line="580" w:lineRule="exact"/>
        <w:ind w:firstLine="4080" w:firstLineChars="1700"/>
        <w:rPr>
          <w:rFonts w:ascii="宋体"/>
          <w:bCs/>
          <w:color w:val="auto"/>
          <w:sz w:val="24"/>
          <w:szCs w:val="24"/>
          <w:highlight w:val="none"/>
        </w:rPr>
      </w:pPr>
      <w:r>
        <w:rPr>
          <w:rFonts w:hint="eastAsia" w:ascii="宋体" w:hAnsi="宋体"/>
          <w:bCs/>
          <w:color w:val="auto"/>
          <w:sz w:val="24"/>
          <w:szCs w:val="24"/>
          <w:highlight w:val="none"/>
        </w:rPr>
        <w:t>法定代表人（签字或盖章）：</w:t>
      </w:r>
    </w:p>
    <w:p>
      <w:pPr>
        <w:spacing w:line="580" w:lineRule="exact"/>
        <w:ind w:firstLine="420"/>
        <w:rPr>
          <w:rFonts w:ascii="宋体"/>
          <w:bCs/>
          <w:color w:val="auto"/>
          <w:sz w:val="24"/>
          <w:szCs w:val="24"/>
          <w:highlight w:val="none"/>
        </w:rPr>
      </w:pPr>
    </w:p>
    <w:p>
      <w:pPr>
        <w:spacing w:line="580" w:lineRule="exact"/>
        <w:ind w:firstLine="420"/>
        <w:rPr>
          <w:rFonts w:ascii="宋体"/>
          <w:bCs/>
          <w:color w:val="auto"/>
          <w:sz w:val="24"/>
          <w:szCs w:val="24"/>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outlineLvl w:val="0"/>
        <w:rPr>
          <w:rFonts w:ascii="黑体" w:hAnsi="宋体" w:eastAsia="黑体"/>
          <w:bCs/>
          <w:color w:val="auto"/>
          <w:sz w:val="24"/>
          <w:szCs w:val="24"/>
        </w:rPr>
      </w:pPr>
    </w:p>
    <w:p>
      <w:pPr>
        <w:pageBreakBefore/>
        <w:outlineLvl w:val="0"/>
        <w:rPr>
          <w:rFonts w:ascii="黑体" w:eastAsia="黑体"/>
          <w:bCs/>
          <w:color w:val="auto"/>
          <w:sz w:val="28"/>
          <w:szCs w:val="28"/>
          <w:highlight w:val="none"/>
        </w:rPr>
      </w:pPr>
      <w:bookmarkStart w:id="20" w:name="_Toc61444111"/>
      <w:bookmarkStart w:id="21" w:name="_Toc86134322"/>
      <w:r>
        <w:rPr>
          <w:rFonts w:hint="eastAsia" w:ascii="黑体" w:hAnsi="宋体" w:eastAsia="黑体"/>
          <w:bCs/>
          <w:color w:val="auto"/>
          <w:sz w:val="24"/>
          <w:szCs w:val="24"/>
          <w:highlight w:val="none"/>
        </w:rPr>
        <w:t>（四）（投标人）中小企业声明函（格式）：</w:t>
      </w:r>
      <w:bookmarkEnd w:id="20"/>
      <w:bookmarkEnd w:id="21"/>
    </w:p>
    <w:p>
      <w:pPr>
        <w:spacing w:line="480" w:lineRule="auto"/>
        <w:rPr>
          <w:rFonts w:ascii="宋体"/>
          <w:bCs/>
          <w:color w:val="auto"/>
          <w:sz w:val="24"/>
          <w:szCs w:val="24"/>
          <w:highlight w:val="none"/>
        </w:rPr>
      </w:pPr>
    </w:p>
    <w:p>
      <w:pPr>
        <w:autoSpaceDE w:val="0"/>
        <w:autoSpaceDN w:val="0"/>
        <w:adjustRightInd w:val="0"/>
        <w:spacing w:line="361" w:lineRule="exact"/>
        <w:ind w:left="1624" w:firstLine="2108" w:firstLineChars="600"/>
        <w:jc w:val="left"/>
        <w:rPr>
          <w:color w:val="auto"/>
          <w:szCs w:val="21"/>
          <w:highlight w:val="none"/>
        </w:rPr>
      </w:pPr>
      <w:r>
        <w:rPr>
          <w:rFonts w:hint="eastAsia" w:ascii="宋体" w:cs="宋体"/>
          <w:b/>
          <w:bCs/>
          <w:color w:val="auto"/>
          <w:kern w:val="0"/>
          <w:sz w:val="35"/>
          <w:szCs w:val="35"/>
          <w:highlight w:val="none"/>
          <w:lang w:val="zh-CN"/>
        </w:rPr>
        <w:t>中</w:t>
      </w:r>
      <w:r>
        <w:rPr>
          <w:rFonts w:hint="eastAsia" w:ascii="宋体" w:cs="宋体"/>
          <w:b/>
          <w:bCs/>
          <w:color w:val="auto"/>
          <w:spacing w:val="-13"/>
          <w:kern w:val="0"/>
          <w:sz w:val="35"/>
          <w:szCs w:val="35"/>
          <w:highlight w:val="none"/>
          <w:lang w:val="zh-CN"/>
        </w:rPr>
        <w:t>小</w:t>
      </w:r>
      <w:r>
        <w:rPr>
          <w:rFonts w:hint="eastAsia" w:ascii="宋体" w:cs="宋体"/>
          <w:b/>
          <w:bCs/>
          <w:color w:val="auto"/>
          <w:kern w:val="0"/>
          <w:sz w:val="35"/>
          <w:szCs w:val="35"/>
          <w:highlight w:val="none"/>
          <w:lang w:val="zh-CN"/>
        </w:rPr>
        <w:t>企</w:t>
      </w:r>
      <w:r>
        <w:rPr>
          <w:rFonts w:hint="eastAsia" w:ascii="宋体" w:cs="宋体"/>
          <w:b/>
          <w:bCs/>
          <w:color w:val="auto"/>
          <w:spacing w:val="-6"/>
          <w:kern w:val="0"/>
          <w:sz w:val="35"/>
          <w:szCs w:val="35"/>
          <w:highlight w:val="none"/>
          <w:lang w:val="zh-CN"/>
        </w:rPr>
        <w:t>业</w:t>
      </w:r>
      <w:r>
        <w:rPr>
          <w:rFonts w:hint="eastAsia" w:ascii="宋体" w:cs="宋体"/>
          <w:b/>
          <w:bCs/>
          <w:color w:val="auto"/>
          <w:kern w:val="0"/>
          <w:sz w:val="35"/>
          <w:szCs w:val="35"/>
          <w:highlight w:val="none"/>
          <w:lang w:val="zh-CN"/>
        </w:rPr>
        <w:t>声</w:t>
      </w:r>
      <w:r>
        <w:rPr>
          <w:rFonts w:hint="eastAsia" w:ascii="宋体" w:cs="宋体"/>
          <w:b/>
          <w:bCs/>
          <w:color w:val="auto"/>
          <w:spacing w:val="-13"/>
          <w:kern w:val="0"/>
          <w:sz w:val="35"/>
          <w:szCs w:val="35"/>
          <w:highlight w:val="none"/>
          <w:lang w:val="zh-CN"/>
        </w:rPr>
        <w:t>明</w:t>
      </w:r>
      <w:r>
        <w:rPr>
          <w:rFonts w:hint="eastAsia" w:ascii="宋体" w:cs="宋体"/>
          <w:b/>
          <w:bCs/>
          <w:color w:val="auto"/>
          <w:spacing w:val="-9"/>
          <w:kern w:val="0"/>
          <w:sz w:val="35"/>
          <w:szCs w:val="35"/>
          <w:highlight w:val="none"/>
          <w:lang w:val="zh-CN"/>
        </w:rPr>
        <w:t>函</w:t>
      </w:r>
    </w:p>
    <w:p>
      <w:pPr>
        <w:autoSpaceDE w:val="0"/>
        <w:autoSpaceDN w:val="0"/>
        <w:adjustRightInd w:val="0"/>
        <w:spacing w:line="716" w:lineRule="exact"/>
        <w:jc w:val="left"/>
        <w:rPr>
          <w:color w:val="auto"/>
          <w:szCs w:val="21"/>
          <w:highlight w:val="none"/>
        </w:rPr>
      </w:pPr>
    </w:p>
    <w:p>
      <w:pPr>
        <w:autoSpaceDE w:val="0"/>
        <w:autoSpaceDN w:val="0"/>
        <w:adjustRightInd w:val="0"/>
        <w:spacing w:line="492" w:lineRule="exact"/>
        <w:ind w:right="98" w:firstLine="640"/>
        <w:rPr>
          <w:rFonts w:ascii="宋体" w:hAnsi="宋体"/>
          <w:bCs/>
          <w:color w:val="auto"/>
          <w:sz w:val="24"/>
          <w:szCs w:val="24"/>
          <w:highlight w:val="none"/>
        </w:rPr>
      </w:pPr>
      <w:r>
        <w:rPr>
          <w:rFonts w:hint="eastAsia" w:ascii="宋体" w:hAnsi="宋体"/>
          <w:bCs/>
          <w:color w:val="auto"/>
          <w:sz w:val="24"/>
          <w:szCs w:val="24"/>
          <w:highlight w:val="none"/>
        </w:rPr>
        <w:t>本公司（联合体）郑重声明，根据《政府采购促进中小企业发展管理办法》（财库﹝2020﹞46号）的规定，本公司（联合体）参加</w:t>
      </w:r>
      <w:r>
        <w:rPr>
          <w:rFonts w:hint="eastAsia" w:ascii="宋体" w:hAnsi="宋体"/>
          <w:bCs/>
          <w:i/>
          <w:color w:val="auto"/>
          <w:sz w:val="24"/>
          <w:szCs w:val="24"/>
          <w:highlight w:val="none"/>
          <w:u w:val="single"/>
        </w:rPr>
        <w:t>（ 单 位 名 称 ）</w:t>
      </w:r>
      <w:r>
        <w:rPr>
          <w:rFonts w:hint="eastAsia" w:ascii="宋体" w:hAnsi="宋体"/>
          <w:bCs/>
          <w:color w:val="auto"/>
          <w:sz w:val="24"/>
          <w:szCs w:val="24"/>
          <w:highlight w:val="none"/>
        </w:rPr>
        <w:t>的</w:t>
      </w:r>
      <w:r>
        <w:rPr>
          <w:rFonts w:hint="eastAsia" w:ascii="宋体" w:hAnsi="宋体"/>
          <w:bCs/>
          <w:i/>
          <w:color w:val="auto"/>
          <w:sz w:val="24"/>
          <w:szCs w:val="24"/>
          <w:highlight w:val="none"/>
          <w:u w:val="single"/>
        </w:rPr>
        <w:t>（ 项 目 名 称 ）</w:t>
      </w:r>
      <w:r>
        <w:rPr>
          <w:rFonts w:hint="eastAsia" w:ascii="宋体" w:hAnsi="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i/>
          <w:color w:val="auto"/>
          <w:sz w:val="24"/>
          <w:szCs w:val="24"/>
          <w:highlight w:val="none"/>
          <w:u w:val="single"/>
        </w:rPr>
        <w:t>（ 标 的 名 称 ）</w:t>
      </w:r>
      <w:r>
        <w:rPr>
          <w:rFonts w:hint="eastAsia" w:ascii="宋体" w:hAnsi="宋体"/>
          <w:bCs/>
          <w:color w:val="auto"/>
          <w:sz w:val="24"/>
          <w:szCs w:val="24"/>
          <w:highlight w:val="none"/>
        </w:rPr>
        <w:t>，属于</w:t>
      </w:r>
      <w:r>
        <w:rPr>
          <w:rFonts w:hint="eastAsia" w:ascii="宋体" w:hAnsi="宋体"/>
          <w:bCs/>
          <w:i/>
          <w:color w:val="auto"/>
          <w:sz w:val="24"/>
          <w:szCs w:val="24"/>
          <w:highlight w:val="none"/>
          <w:u w:val="single"/>
        </w:rPr>
        <w:t>（采购文件中明确的所属行业）</w:t>
      </w:r>
      <w:r>
        <w:rPr>
          <w:rFonts w:hint="eastAsia" w:ascii="宋体" w:hAnsi="宋体"/>
          <w:bCs/>
          <w:color w:val="auto"/>
          <w:sz w:val="24"/>
          <w:szCs w:val="24"/>
          <w:highlight w:val="none"/>
        </w:rPr>
        <w:t>；承建（承接）企业为</w:t>
      </w:r>
      <w:r>
        <w:rPr>
          <w:rFonts w:hint="eastAsia" w:ascii="宋体" w:hAnsi="宋体"/>
          <w:bCs/>
          <w:i/>
          <w:color w:val="auto"/>
          <w:sz w:val="24"/>
          <w:szCs w:val="24"/>
          <w:highlight w:val="none"/>
          <w:u w:val="single"/>
        </w:rPr>
        <w:t>（企业名称）</w:t>
      </w:r>
      <w:r>
        <w:rPr>
          <w:rFonts w:hint="eastAsia" w:ascii="宋体" w:hAnsi="宋体"/>
          <w:bCs/>
          <w:color w:val="auto"/>
          <w:sz w:val="24"/>
          <w:szCs w:val="24"/>
          <w:highlight w:val="none"/>
        </w:rPr>
        <w:t>，从业人员人，营业收入为万元，资产总额为万元</w:t>
      </w:r>
      <w:r>
        <w:rPr>
          <w:rFonts w:hint="eastAsia" w:ascii="宋体" w:hAnsi="宋体"/>
          <w:bCs/>
          <w:color w:val="auto"/>
          <w:sz w:val="24"/>
          <w:szCs w:val="24"/>
          <w:highlight w:val="none"/>
          <w:vertAlign w:val="superscript"/>
        </w:rPr>
        <w:t>1</w:t>
      </w:r>
      <w:r>
        <w:rPr>
          <w:rFonts w:hint="eastAsia" w:ascii="宋体" w:hAnsi="宋体"/>
          <w:bCs/>
          <w:color w:val="auto"/>
          <w:sz w:val="24"/>
          <w:szCs w:val="24"/>
          <w:highlight w:val="none"/>
        </w:rPr>
        <w:t>，属于</w:t>
      </w:r>
      <w:r>
        <w:rPr>
          <w:rFonts w:hint="eastAsia" w:ascii="宋体" w:hAnsi="宋体"/>
          <w:bCs/>
          <w:i/>
          <w:color w:val="auto"/>
          <w:sz w:val="24"/>
          <w:szCs w:val="24"/>
          <w:highlight w:val="none"/>
          <w:u w:val="single"/>
        </w:rPr>
        <w:t>（中型企业、小型企业、微型企业）</w:t>
      </w:r>
      <w:r>
        <w:rPr>
          <w:rFonts w:hint="eastAsia" w:ascii="宋体" w:hAnsi="宋体"/>
          <w:bCs/>
          <w:color w:val="auto"/>
          <w:sz w:val="24"/>
          <w:szCs w:val="24"/>
          <w:highlight w:val="none"/>
        </w:rPr>
        <w:t>；</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i/>
          <w:color w:val="auto"/>
          <w:sz w:val="24"/>
          <w:szCs w:val="24"/>
          <w:highlight w:val="none"/>
          <w:u w:val="single"/>
        </w:rPr>
        <w:t>（ 标 的 名 称 ）</w:t>
      </w:r>
      <w:r>
        <w:rPr>
          <w:rFonts w:hint="eastAsia" w:ascii="宋体" w:hAnsi="宋体"/>
          <w:bCs/>
          <w:color w:val="auto"/>
          <w:sz w:val="24"/>
          <w:szCs w:val="24"/>
          <w:highlight w:val="none"/>
        </w:rPr>
        <w:t>，属于</w:t>
      </w:r>
      <w:r>
        <w:rPr>
          <w:rFonts w:hint="eastAsia" w:ascii="宋体" w:hAnsi="宋体"/>
          <w:bCs/>
          <w:i/>
          <w:color w:val="auto"/>
          <w:sz w:val="24"/>
          <w:szCs w:val="24"/>
          <w:highlight w:val="none"/>
          <w:u w:val="single"/>
        </w:rPr>
        <w:t>（采购文件中明确的所属行业）</w:t>
      </w:r>
      <w:r>
        <w:rPr>
          <w:rFonts w:hint="eastAsia" w:ascii="宋体" w:hAnsi="宋体"/>
          <w:bCs/>
          <w:color w:val="auto"/>
          <w:sz w:val="24"/>
          <w:szCs w:val="24"/>
          <w:highlight w:val="none"/>
        </w:rPr>
        <w:t>；承建（承接）企业为</w:t>
      </w:r>
      <w:r>
        <w:rPr>
          <w:rFonts w:hint="eastAsia" w:ascii="宋体" w:hAnsi="宋体"/>
          <w:bCs/>
          <w:i/>
          <w:color w:val="auto"/>
          <w:sz w:val="24"/>
          <w:szCs w:val="24"/>
          <w:highlight w:val="none"/>
          <w:u w:val="single"/>
        </w:rPr>
        <w:t>（企业名称）</w:t>
      </w:r>
      <w:r>
        <w:rPr>
          <w:rFonts w:hint="eastAsia" w:ascii="宋体" w:hAnsi="宋体"/>
          <w:bCs/>
          <w:color w:val="auto"/>
          <w:sz w:val="24"/>
          <w:szCs w:val="24"/>
          <w:highlight w:val="none"/>
        </w:rPr>
        <w:t>，从业人员人，营业收入为万元，资产总额为万元，属于</w:t>
      </w:r>
      <w:r>
        <w:rPr>
          <w:rFonts w:hint="eastAsia" w:ascii="宋体" w:hAnsi="宋体"/>
          <w:bCs/>
          <w:i/>
          <w:color w:val="auto"/>
          <w:sz w:val="24"/>
          <w:szCs w:val="24"/>
          <w:highlight w:val="none"/>
          <w:u w:val="single"/>
        </w:rPr>
        <w:t>（ 中型企业 、小型企业、微型企业）</w:t>
      </w:r>
      <w:r>
        <w:rPr>
          <w:rFonts w:hint="eastAsia" w:ascii="宋体" w:hAnsi="宋体"/>
          <w:bCs/>
          <w:color w:val="auto"/>
          <w:sz w:val="24"/>
          <w:szCs w:val="24"/>
          <w:highlight w:val="none"/>
        </w:rPr>
        <w:t>；</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p>
    <w:p>
      <w:pPr>
        <w:autoSpaceDE w:val="0"/>
        <w:autoSpaceDN w:val="0"/>
        <w:adjustRightInd w:val="0"/>
        <w:spacing w:line="456" w:lineRule="exact"/>
        <w:ind w:right="101" w:firstLine="645"/>
        <w:rPr>
          <w:rFonts w:ascii="宋体" w:hAnsi="宋体"/>
          <w:bCs/>
          <w:color w:val="auto"/>
          <w:sz w:val="24"/>
          <w:szCs w:val="24"/>
          <w:highlight w:val="none"/>
        </w:rPr>
      </w:pPr>
      <w:r>
        <w:rPr>
          <w:rFonts w:hint="eastAsia" w:ascii="宋体" w:hAnsi="宋体"/>
          <w:bCs/>
          <w:color w:val="auto"/>
          <w:sz w:val="24"/>
          <w:szCs w:val="24"/>
          <w:highlight w:val="none"/>
        </w:rPr>
        <w:t>以上企业，不属于大企业的分支机构，不存在控股股东为大企业的情形，也不存在与大企业的负责人为同一人的情形。</w:t>
      </w:r>
    </w:p>
    <w:p>
      <w:pPr>
        <w:autoSpaceDE w:val="0"/>
        <w:autoSpaceDN w:val="0"/>
        <w:adjustRightInd w:val="0"/>
        <w:spacing w:line="192" w:lineRule="exact"/>
        <w:jc w:val="left"/>
        <w:rPr>
          <w:rFonts w:ascii="宋体" w:hAnsi="宋体"/>
          <w:bCs/>
          <w:color w:val="auto"/>
          <w:sz w:val="24"/>
          <w:szCs w:val="24"/>
          <w:highlight w:val="none"/>
        </w:rPr>
      </w:pPr>
    </w:p>
    <w:p>
      <w:pPr>
        <w:autoSpaceDE w:val="0"/>
        <w:autoSpaceDN w:val="0"/>
        <w:adjustRightInd w:val="0"/>
        <w:spacing w:line="423" w:lineRule="exact"/>
        <w:ind w:right="103" w:firstLine="640"/>
        <w:jc w:val="left"/>
        <w:rPr>
          <w:rFonts w:ascii="宋体" w:hAnsi="宋体"/>
          <w:bCs/>
          <w:color w:val="auto"/>
          <w:sz w:val="24"/>
          <w:szCs w:val="24"/>
          <w:highlight w:val="none"/>
        </w:rPr>
      </w:pPr>
      <w:r>
        <w:rPr>
          <w:rFonts w:hint="eastAsia" w:ascii="宋体" w:hAnsi="宋体"/>
          <w:bCs/>
          <w:color w:val="auto"/>
          <w:sz w:val="24"/>
          <w:szCs w:val="24"/>
          <w:highlight w:val="none"/>
        </w:rPr>
        <w:t>本企业对上述声明内容的真实性负责。如有虚假，将依法承担相应责任。</w:t>
      </w:r>
    </w:p>
    <w:p>
      <w:pPr>
        <w:autoSpaceDE w:val="0"/>
        <w:autoSpaceDN w:val="0"/>
        <w:adjustRightInd w:val="0"/>
        <w:spacing w:line="226" w:lineRule="exact"/>
        <w:jc w:val="left"/>
        <w:rPr>
          <w:rFonts w:ascii="宋体" w:hAnsi="宋体"/>
          <w:bCs/>
          <w:color w:val="auto"/>
          <w:sz w:val="24"/>
          <w:szCs w:val="24"/>
          <w:highlight w:val="none"/>
        </w:rPr>
      </w:pPr>
    </w:p>
    <w:p>
      <w:pPr>
        <w:autoSpaceDE w:val="0"/>
        <w:autoSpaceDN w:val="0"/>
        <w:adjustRightInd w:val="0"/>
        <w:spacing w:line="326" w:lineRule="exact"/>
        <w:ind w:left="3838"/>
        <w:jc w:val="left"/>
        <w:rPr>
          <w:rFonts w:ascii="宋体" w:hAnsi="宋体"/>
          <w:bCs/>
          <w:color w:val="auto"/>
          <w:sz w:val="24"/>
          <w:szCs w:val="24"/>
          <w:highlight w:val="none"/>
        </w:rPr>
      </w:pPr>
      <w:r>
        <w:rPr>
          <w:rFonts w:hint="eastAsia" w:ascii="宋体" w:hAnsi="宋体"/>
          <w:bCs/>
          <w:color w:val="auto"/>
          <w:sz w:val="24"/>
          <w:szCs w:val="24"/>
          <w:highlight w:val="none"/>
        </w:rPr>
        <w:t>企业名称（盖章）：</w:t>
      </w:r>
    </w:p>
    <w:p>
      <w:pPr>
        <w:autoSpaceDE w:val="0"/>
        <w:autoSpaceDN w:val="0"/>
        <w:adjustRightInd w:val="0"/>
        <w:spacing w:line="214" w:lineRule="exact"/>
        <w:jc w:val="left"/>
        <w:rPr>
          <w:rFonts w:ascii="宋体" w:hAnsi="宋体"/>
          <w:bCs/>
          <w:color w:val="auto"/>
          <w:sz w:val="24"/>
          <w:szCs w:val="24"/>
          <w:highlight w:val="none"/>
        </w:rPr>
      </w:pPr>
    </w:p>
    <w:p>
      <w:pPr>
        <w:autoSpaceDE w:val="0"/>
        <w:autoSpaceDN w:val="0"/>
        <w:adjustRightInd w:val="0"/>
        <w:spacing w:line="327" w:lineRule="exact"/>
        <w:ind w:left="3838"/>
        <w:jc w:val="left"/>
        <w:rPr>
          <w:rFonts w:ascii="宋体" w:hAnsi="宋体"/>
          <w:bCs/>
          <w:color w:val="auto"/>
          <w:sz w:val="24"/>
          <w:szCs w:val="24"/>
          <w:highlight w:val="none"/>
        </w:rPr>
      </w:pPr>
      <w:r>
        <w:rPr>
          <w:rFonts w:hint="eastAsia" w:ascii="宋体" w:hAnsi="宋体"/>
          <w:bCs/>
          <w:color w:val="auto"/>
          <w:sz w:val="24"/>
          <w:szCs w:val="24"/>
          <w:highlight w:val="none"/>
        </w:rPr>
        <w:t>日期：</w:t>
      </w:r>
    </w:p>
    <w:p>
      <w:pPr>
        <w:autoSpaceDE w:val="0"/>
        <w:autoSpaceDN w:val="0"/>
        <w:adjustRightInd w:val="0"/>
        <w:spacing w:line="327" w:lineRule="exact"/>
        <w:jc w:val="left"/>
        <w:rPr>
          <w:rFonts w:eastAsia="仿宋"/>
          <w:color w:val="auto"/>
          <w:szCs w:val="21"/>
          <w:highlight w:val="none"/>
        </w:rPr>
      </w:pPr>
    </w:p>
    <w:p>
      <w:pPr>
        <w:autoSpaceDE w:val="0"/>
        <w:autoSpaceDN w:val="0"/>
        <w:adjustRightInd w:val="0"/>
        <w:spacing w:line="327" w:lineRule="exact"/>
        <w:ind w:left="3838"/>
        <w:jc w:val="left"/>
        <w:rPr>
          <w:rFonts w:eastAsia="仿宋"/>
          <w:color w:val="auto"/>
          <w:szCs w:val="21"/>
          <w:highlight w:val="none"/>
        </w:rPr>
      </w:pPr>
    </w:p>
    <w:p>
      <w:pPr>
        <w:autoSpaceDE w:val="0"/>
        <w:autoSpaceDN w:val="0"/>
        <w:adjustRightInd w:val="0"/>
        <w:spacing w:line="327" w:lineRule="exact"/>
        <w:ind w:left="3838"/>
        <w:jc w:val="left"/>
        <w:rPr>
          <w:rFonts w:eastAsia="仿宋"/>
          <w:color w:val="auto"/>
          <w:szCs w:val="21"/>
          <w:highlight w:val="none"/>
        </w:rPr>
      </w:pPr>
    </w:p>
    <w:p>
      <w:pPr>
        <w:autoSpaceDE w:val="0"/>
        <w:autoSpaceDN w:val="0"/>
        <w:adjustRightInd w:val="0"/>
        <w:spacing w:line="327" w:lineRule="exact"/>
        <w:ind w:left="3838"/>
        <w:jc w:val="left"/>
        <w:rPr>
          <w:rFonts w:eastAsia="仿宋"/>
          <w:color w:val="auto"/>
          <w:szCs w:val="21"/>
          <w:highlight w:val="none"/>
        </w:rPr>
      </w:pPr>
    </w:p>
    <w:p>
      <w:pPr>
        <w:rPr>
          <w:color w:val="auto"/>
          <w:szCs w:val="21"/>
          <w:highlight w:val="none"/>
        </w:rPr>
      </w:pPr>
      <w:r>
        <w:rPr>
          <w:rFonts w:hint="eastAsia"/>
          <w:color w:val="auto"/>
          <w:szCs w:val="21"/>
          <w:highlight w:val="none"/>
        </w:rPr>
        <w:t>注：①从业人员、营业收入、资产总额填报上一年度数据，无上一年度数据的新成立企业可不填报。</w:t>
      </w:r>
    </w:p>
    <w:p>
      <w:pPr>
        <w:ind w:firstLine="420" w:firstLineChars="200"/>
        <w:rPr>
          <w:color w:val="auto"/>
          <w:szCs w:val="21"/>
          <w:highlight w:val="none"/>
        </w:rPr>
      </w:pPr>
      <w:r>
        <w:rPr>
          <w:rFonts w:hint="eastAsia"/>
          <w:color w:val="auto"/>
          <w:szCs w:val="21"/>
          <w:highlight w:val="none"/>
        </w:rPr>
        <w:t>②中标供应商的《中小企业声明函》将随中标公告进行公示。供应商按照本办法规定提供声明函内容不实的，属于提供虚假材料谋取中标，依照《中华人民共和国政府采购法》等国家有关规定追究相应责任。</w:t>
      </w:r>
    </w:p>
    <w:p>
      <w:pPr>
        <w:pageBreakBefore/>
        <w:outlineLvl w:val="0"/>
        <w:rPr>
          <w:rFonts w:ascii="黑体" w:hAnsi="宋体" w:eastAsia="黑体"/>
          <w:bCs/>
          <w:color w:val="auto"/>
          <w:sz w:val="24"/>
          <w:szCs w:val="24"/>
          <w:highlight w:val="none"/>
        </w:rPr>
      </w:pPr>
    </w:p>
    <w:p>
      <w:pPr>
        <w:ind w:firstLine="480" w:firstLineChars="200"/>
        <w:outlineLvl w:val="0"/>
        <w:rPr>
          <w:rFonts w:ascii="黑体" w:hAnsi="宋体" w:eastAsia="黑体"/>
          <w:bCs/>
          <w:color w:val="auto"/>
          <w:sz w:val="24"/>
          <w:highlight w:val="none"/>
        </w:rPr>
      </w:pPr>
      <w:bookmarkStart w:id="22" w:name="_Toc61444112"/>
      <w:bookmarkStart w:id="23" w:name="_Toc86134323"/>
      <w:r>
        <w:rPr>
          <w:rFonts w:hint="eastAsia" w:ascii="黑体" w:hAnsi="宋体" w:eastAsia="黑体"/>
          <w:bCs/>
          <w:color w:val="auto"/>
          <w:sz w:val="24"/>
          <w:szCs w:val="24"/>
          <w:highlight w:val="none"/>
        </w:rPr>
        <w:t>（五）</w:t>
      </w:r>
      <w:bookmarkStart w:id="24" w:name="OLE_LINK13"/>
      <w:bookmarkStart w:id="25" w:name="OLE_LINK14"/>
      <w:r>
        <w:rPr>
          <w:rFonts w:hint="eastAsia" w:ascii="黑体" w:hAnsi="宋体" w:eastAsia="黑体"/>
          <w:bCs/>
          <w:color w:val="auto"/>
          <w:sz w:val="24"/>
          <w:highlight w:val="none"/>
        </w:rPr>
        <w:t>（投标人）残疾人福利性单位声明函（格式）：</w:t>
      </w:r>
      <w:bookmarkEnd w:id="22"/>
      <w:bookmarkEnd w:id="23"/>
    </w:p>
    <w:bookmarkEnd w:id="24"/>
    <w:bookmarkEnd w:id="25"/>
    <w:p>
      <w:pPr>
        <w:spacing w:line="588" w:lineRule="exact"/>
        <w:rPr>
          <w:rFonts w:ascii="仿宋_GB2312" w:eastAsia="仿宋_GB2312"/>
          <w:b/>
          <w:color w:val="auto"/>
          <w:spacing w:val="6"/>
          <w:sz w:val="30"/>
          <w:szCs w:val="30"/>
          <w:highlight w:val="none"/>
        </w:rPr>
      </w:pPr>
    </w:p>
    <w:p>
      <w:pPr>
        <w:jc w:val="center"/>
        <w:rPr>
          <w:rFonts w:ascii="黑体" w:eastAsia="黑体"/>
          <w:bCs/>
          <w:color w:val="auto"/>
          <w:sz w:val="28"/>
          <w:szCs w:val="28"/>
          <w:highlight w:val="none"/>
        </w:rPr>
      </w:pPr>
      <w:r>
        <w:rPr>
          <w:rFonts w:hint="eastAsia" w:ascii="黑体" w:eastAsia="黑体"/>
          <w:bCs/>
          <w:color w:val="auto"/>
          <w:sz w:val="28"/>
          <w:szCs w:val="28"/>
          <w:highlight w:val="none"/>
        </w:rPr>
        <w:t>残疾人福利性单位声明函</w:t>
      </w:r>
    </w:p>
    <w:p>
      <w:pPr>
        <w:jc w:val="center"/>
        <w:rPr>
          <w:rFonts w:ascii="黑体" w:eastAsia="黑体"/>
          <w:bCs/>
          <w:color w:val="auto"/>
          <w:sz w:val="28"/>
          <w:szCs w:val="28"/>
          <w:highlight w:val="none"/>
        </w:rPr>
      </w:pPr>
    </w:p>
    <w:p>
      <w:pPr>
        <w:spacing w:line="580" w:lineRule="exact"/>
        <w:ind w:firstLine="480" w:firstLineChars="200"/>
        <w:rPr>
          <w:rFonts w:ascii="宋体" w:hAnsi="宋体"/>
          <w:bCs/>
          <w:color w:val="auto"/>
          <w:sz w:val="24"/>
        </w:rPr>
      </w:pPr>
      <w:r>
        <w:rPr>
          <w:rFonts w:hint="eastAsia" w:ascii="宋体" w:hAnsi="宋体"/>
          <w:bCs/>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color w:val="auto"/>
          <w:sz w:val="24"/>
          <w:szCs w:val="24"/>
          <w:highlight w:val="none"/>
        </w:rPr>
        <w:t>__________________</w:t>
      </w:r>
      <w:r>
        <w:rPr>
          <w:rFonts w:hint="eastAsia" w:ascii="宋体" w:hAnsi="宋体"/>
          <w:bCs/>
          <w:color w:val="auto"/>
          <w:sz w:val="24"/>
          <w:highlight w:val="none"/>
        </w:rPr>
        <w:t>单位的</w:t>
      </w:r>
      <w:r>
        <w:rPr>
          <w:rFonts w:hint="eastAsia" w:ascii="宋体" w:hAnsi="宋体"/>
          <w:bCs/>
          <w:color w:val="auto"/>
          <w:sz w:val="24"/>
          <w:szCs w:val="24"/>
          <w:highlight w:val="none"/>
        </w:rPr>
        <w:t>__________________</w:t>
      </w:r>
      <w:r>
        <w:rPr>
          <w:rFonts w:hint="eastAsia" w:ascii="宋体" w:hAnsi="宋体"/>
          <w:bCs/>
          <w:color w:val="auto"/>
          <w:sz w:val="24"/>
          <w:highlight w:val="none"/>
        </w:rPr>
        <w:t>项目采购活动提供本单位制造的货物（由本单位承担工程/提供服务），或者提供其他残疾人福利</w:t>
      </w:r>
      <w:r>
        <w:rPr>
          <w:rFonts w:hint="eastAsia" w:ascii="宋体" w:hAnsi="宋体"/>
          <w:bCs/>
          <w:color w:val="auto"/>
          <w:sz w:val="24"/>
        </w:rPr>
        <w:t>性单位制造的货物（不包括使用非残疾人福利性单位注册商标的货物）。</w:t>
      </w:r>
    </w:p>
    <w:p>
      <w:pPr>
        <w:spacing w:line="580" w:lineRule="exact"/>
        <w:ind w:firstLine="480" w:firstLineChars="200"/>
        <w:rPr>
          <w:rFonts w:ascii="宋体" w:hAnsi="宋体"/>
          <w:bCs/>
          <w:color w:val="auto"/>
          <w:sz w:val="24"/>
        </w:rPr>
      </w:pPr>
      <w:r>
        <w:rPr>
          <w:rFonts w:hint="eastAsia" w:ascii="宋体" w:hAnsi="宋体"/>
          <w:bCs/>
          <w:color w:val="auto"/>
          <w:sz w:val="24"/>
        </w:rPr>
        <w:t>本单位对上述声明的真实性负责。如有虚假，将依法承担相应责任。</w:t>
      </w:r>
    </w:p>
    <w:p>
      <w:pPr>
        <w:spacing w:line="580" w:lineRule="exact"/>
        <w:ind w:firstLine="480" w:firstLineChars="200"/>
        <w:rPr>
          <w:rFonts w:ascii="宋体" w:hAnsi="宋体"/>
          <w:bCs/>
          <w:color w:val="auto"/>
          <w:sz w:val="24"/>
        </w:rPr>
      </w:pPr>
    </w:p>
    <w:p>
      <w:pPr>
        <w:spacing w:line="580" w:lineRule="exact"/>
        <w:ind w:firstLine="480" w:firstLineChars="200"/>
        <w:rPr>
          <w:rFonts w:ascii="宋体" w:hAnsi="宋体"/>
          <w:bCs/>
          <w:color w:val="auto"/>
          <w:sz w:val="24"/>
        </w:rPr>
      </w:pPr>
    </w:p>
    <w:p>
      <w:pPr>
        <w:spacing w:line="580" w:lineRule="exact"/>
        <w:ind w:right="480" w:firstLine="5040" w:firstLineChars="2100"/>
        <w:rPr>
          <w:rFonts w:ascii="宋体" w:hAnsi="宋体"/>
          <w:bCs/>
          <w:color w:val="auto"/>
          <w:sz w:val="24"/>
        </w:rPr>
      </w:pPr>
      <w:r>
        <w:rPr>
          <w:rFonts w:hint="eastAsia" w:ascii="宋体" w:hAnsi="宋体"/>
          <w:bCs/>
          <w:color w:val="auto"/>
          <w:sz w:val="24"/>
        </w:rPr>
        <w:t>单位名称（盖章）：</w:t>
      </w:r>
    </w:p>
    <w:p>
      <w:pPr>
        <w:spacing w:line="580" w:lineRule="exact"/>
        <w:ind w:right="480" w:firstLine="6120" w:firstLineChars="2550"/>
        <w:rPr>
          <w:rFonts w:ascii="宋体" w:hAnsi="宋体"/>
          <w:bCs/>
          <w:color w:val="auto"/>
          <w:sz w:val="24"/>
        </w:rPr>
      </w:pPr>
      <w:r>
        <w:rPr>
          <w:rFonts w:hint="eastAsia" w:ascii="宋体" w:hAnsi="宋体"/>
          <w:bCs/>
          <w:color w:val="auto"/>
          <w:sz w:val="24"/>
        </w:rPr>
        <w:t>日  期：</w:t>
      </w:r>
    </w:p>
    <w:p>
      <w:pPr>
        <w:spacing w:line="480" w:lineRule="auto"/>
        <w:rPr>
          <w:rFonts w:ascii="宋体"/>
          <w:bCs/>
          <w:color w:val="auto"/>
          <w:sz w:val="24"/>
        </w:rPr>
      </w:pPr>
    </w:p>
    <w:p>
      <w:pPr>
        <w:spacing w:line="480" w:lineRule="auto"/>
        <w:rPr>
          <w:rFonts w:ascii="宋体"/>
          <w:bCs/>
          <w:color w:val="auto"/>
          <w:sz w:val="24"/>
        </w:rPr>
      </w:pPr>
    </w:p>
    <w:p>
      <w:pPr>
        <w:spacing w:line="480" w:lineRule="auto"/>
        <w:rPr>
          <w:rFonts w:ascii="宋体"/>
          <w:bCs/>
          <w:color w:val="auto"/>
          <w:sz w:val="24"/>
        </w:rPr>
      </w:pPr>
    </w:p>
    <w:p>
      <w:pPr>
        <w:spacing w:line="480" w:lineRule="auto"/>
        <w:rPr>
          <w:rFonts w:ascii="宋体"/>
          <w:bCs/>
          <w:color w:val="auto"/>
          <w:sz w:val="24"/>
        </w:rPr>
      </w:pPr>
    </w:p>
    <w:p>
      <w:pPr>
        <w:spacing w:line="480" w:lineRule="auto"/>
        <w:rPr>
          <w:rFonts w:ascii="宋体"/>
          <w:bCs/>
          <w:color w:val="auto"/>
          <w:sz w:val="24"/>
        </w:rPr>
      </w:pPr>
    </w:p>
    <w:p>
      <w:pPr>
        <w:outlineLvl w:val="0"/>
        <w:rPr>
          <w:rFonts w:ascii="黑体" w:hAnsi="宋体" w:eastAsia="黑体"/>
          <w:bCs/>
          <w:color w:val="auto"/>
          <w:sz w:val="24"/>
        </w:rPr>
      </w:pPr>
    </w:p>
    <w:p>
      <w:pPr>
        <w:ind w:firstLine="480" w:firstLineChars="200"/>
        <w:outlineLvl w:val="0"/>
        <w:rPr>
          <w:rFonts w:ascii="黑体" w:hAnsi="宋体" w:eastAsia="黑体"/>
          <w:bCs/>
          <w:color w:val="auto"/>
          <w:sz w:val="24"/>
        </w:rPr>
      </w:pPr>
    </w:p>
    <w:p>
      <w:pPr>
        <w:ind w:firstLine="480" w:firstLineChars="200"/>
        <w:outlineLvl w:val="0"/>
        <w:rPr>
          <w:rFonts w:ascii="黑体" w:hAnsi="宋体" w:eastAsia="黑体"/>
          <w:bCs/>
          <w:color w:val="auto"/>
          <w:sz w:val="24"/>
        </w:rPr>
      </w:pPr>
    </w:p>
    <w:p>
      <w:pPr>
        <w:ind w:firstLine="480" w:firstLineChars="200"/>
        <w:outlineLvl w:val="0"/>
        <w:rPr>
          <w:rFonts w:ascii="黑体" w:hAnsi="宋体" w:eastAsia="黑体"/>
          <w:bCs/>
          <w:color w:val="auto"/>
          <w:sz w:val="24"/>
        </w:rPr>
      </w:pPr>
    </w:p>
    <w:p>
      <w:pPr>
        <w:ind w:firstLine="420" w:firstLineChars="200"/>
        <w:outlineLvl w:val="0"/>
        <w:rPr>
          <w:color w:val="auto"/>
          <w:szCs w:val="21"/>
          <w:highlight w:val="none"/>
        </w:rPr>
      </w:pPr>
      <w:bookmarkStart w:id="26" w:name="_Toc86134324"/>
      <w:r>
        <w:rPr>
          <w:rFonts w:hint="eastAsia"/>
          <w:color w:val="auto"/>
          <w:szCs w:val="21"/>
          <w:highlight w:val="none"/>
        </w:rPr>
        <w:t>注：①供应商如不提供此声明函，价格将不做相应扣除。</w:t>
      </w:r>
      <w:bookmarkEnd w:id="26"/>
    </w:p>
    <w:p>
      <w:pPr>
        <w:ind w:firstLine="420" w:firstLineChars="200"/>
        <w:outlineLvl w:val="0"/>
        <w:rPr>
          <w:color w:val="auto"/>
          <w:szCs w:val="21"/>
          <w:highlight w:val="none"/>
        </w:rPr>
      </w:pPr>
      <w:bookmarkStart w:id="27" w:name="_Toc86134325"/>
      <w:r>
        <w:rPr>
          <w:rFonts w:hint="eastAsia"/>
          <w:color w:val="auto"/>
          <w:szCs w:val="21"/>
          <w:highlight w:val="none"/>
        </w:rPr>
        <w:t>②中标供应商为残疾人福利单位的，此声明函将随中标结果同时公告，接受社会监督。</w:t>
      </w:r>
      <w:bookmarkEnd w:id="27"/>
    </w:p>
    <w:p>
      <w:pPr>
        <w:ind w:firstLine="420" w:firstLineChars="200"/>
        <w:outlineLvl w:val="0"/>
        <w:rPr>
          <w:rFonts w:ascii="黑体" w:hAnsi="宋体" w:eastAsia="黑体"/>
          <w:bCs/>
          <w:color w:val="auto"/>
          <w:sz w:val="24"/>
          <w:highlight w:val="none"/>
        </w:rPr>
      </w:pPr>
      <w:bookmarkStart w:id="28" w:name="_Toc86134326"/>
      <w:r>
        <w:rPr>
          <w:rFonts w:hint="eastAsia"/>
          <w:bCs/>
          <w:color w:val="auto"/>
          <w:szCs w:val="21"/>
          <w:highlight w:val="none"/>
        </w:rPr>
        <w:t>③投标人提供的《残疾人福利性单位声明函》与事实不符的，依照《政府采购法》第七十七条第一款的规定追究法律责任。</w:t>
      </w:r>
      <w:bookmarkEnd w:id="28"/>
    </w:p>
    <w:p>
      <w:pPr>
        <w:pageBreakBefore/>
        <w:ind w:firstLine="480" w:firstLineChars="200"/>
        <w:outlineLvl w:val="0"/>
        <w:rPr>
          <w:rFonts w:ascii="黑体" w:hAnsi="宋体" w:eastAsia="黑体"/>
          <w:bCs/>
          <w:color w:val="auto"/>
          <w:sz w:val="24"/>
          <w:highlight w:val="none"/>
        </w:rPr>
      </w:pPr>
    </w:p>
    <w:p>
      <w:pPr>
        <w:outlineLvl w:val="0"/>
        <w:rPr>
          <w:rFonts w:ascii="黑体" w:hAnsi="宋体" w:eastAsia="黑体"/>
          <w:bCs/>
          <w:color w:val="auto"/>
          <w:sz w:val="24"/>
          <w:szCs w:val="24"/>
          <w:highlight w:val="none"/>
        </w:rPr>
      </w:pPr>
      <w:bookmarkStart w:id="29" w:name="_Toc86134327"/>
      <w:bookmarkStart w:id="30" w:name="_Toc61444113"/>
      <w:r>
        <w:rPr>
          <w:rFonts w:hint="eastAsia" w:ascii="黑体" w:hAnsi="宋体" w:eastAsia="黑体"/>
          <w:bCs/>
          <w:color w:val="auto"/>
          <w:sz w:val="24"/>
          <w:szCs w:val="24"/>
          <w:highlight w:val="none"/>
        </w:rPr>
        <w:t>（六）服务保障承诺书（格式）：</w:t>
      </w:r>
      <w:bookmarkEnd w:id="29"/>
      <w:bookmarkEnd w:id="30"/>
    </w:p>
    <w:p>
      <w:pPr>
        <w:jc w:val="center"/>
        <w:rPr>
          <w:rFonts w:ascii="黑体" w:eastAsia="黑体"/>
          <w:bCs/>
          <w:color w:val="auto"/>
          <w:sz w:val="28"/>
          <w:szCs w:val="28"/>
          <w:highlight w:val="none"/>
        </w:rPr>
      </w:pPr>
      <w:r>
        <w:rPr>
          <w:rFonts w:hint="eastAsia" w:ascii="黑体" w:eastAsia="黑体"/>
          <w:bCs/>
          <w:color w:val="auto"/>
          <w:sz w:val="28"/>
          <w:szCs w:val="28"/>
          <w:highlight w:val="none"/>
        </w:rPr>
        <w:t>服务保障承诺书</w:t>
      </w:r>
    </w:p>
    <w:p>
      <w:pPr>
        <w:jc w:val="center"/>
        <w:rPr>
          <w:rFonts w:ascii="黑体" w:eastAsia="黑体"/>
          <w:bCs/>
          <w:color w:val="auto"/>
          <w:sz w:val="28"/>
          <w:szCs w:val="28"/>
          <w:highlight w:val="none"/>
        </w:rPr>
      </w:pPr>
    </w:p>
    <w:p>
      <w:pPr>
        <w:spacing w:line="480" w:lineRule="auto"/>
        <w:rPr>
          <w:rFonts w:ascii="宋体" w:hAnsi="宋体"/>
          <w:color w:val="auto"/>
          <w:sz w:val="24"/>
          <w:szCs w:val="24"/>
          <w:highlight w:val="none"/>
        </w:rPr>
      </w:pPr>
      <w:r>
        <w:rPr>
          <w:rFonts w:hint="eastAsia" w:ascii="宋体" w:hAnsi="宋体"/>
          <w:color w:val="auto"/>
          <w:sz w:val="24"/>
          <w:szCs w:val="24"/>
          <w:highlight w:val="none"/>
        </w:rPr>
        <w:t>（投标人名称）在此承诺：</w:t>
      </w:r>
    </w:p>
    <w:p>
      <w:pPr>
        <w:spacing w:line="480" w:lineRule="auto"/>
        <w:rPr>
          <w:rFonts w:ascii="宋体" w:hAnsi="宋体"/>
          <w:color w:val="auto"/>
          <w:sz w:val="24"/>
          <w:szCs w:val="24"/>
          <w:highlight w:val="none"/>
        </w:rPr>
      </w:pPr>
    </w:p>
    <w:p>
      <w:pPr>
        <w:spacing w:line="480" w:lineRule="auto"/>
        <w:ind w:firstLine="480" w:firstLineChars="200"/>
        <w:rPr>
          <w:rFonts w:ascii="宋体"/>
          <w:bCs/>
          <w:color w:val="auto"/>
          <w:sz w:val="24"/>
          <w:szCs w:val="24"/>
          <w:highlight w:val="none"/>
        </w:rPr>
      </w:pPr>
      <w:r>
        <w:rPr>
          <w:rFonts w:hint="eastAsia" w:ascii="宋体" w:hAnsi="宋体"/>
          <w:color w:val="auto"/>
          <w:sz w:val="24"/>
          <w:szCs w:val="24"/>
          <w:highlight w:val="none"/>
        </w:rPr>
        <w:t>1．本公司（单位）</w:t>
      </w:r>
      <w:r>
        <w:rPr>
          <w:rFonts w:hint="eastAsia" w:ascii="宋体" w:hAnsi="宋体"/>
          <w:bCs/>
          <w:color w:val="auto"/>
          <w:sz w:val="24"/>
          <w:szCs w:val="24"/>
          <w:highlight w:val="none"/>
        </w:rPr>
        <w:t>对本项目（</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20230062</w:t>
      </w:r>
      <w:r>
        <w:rPr>
          <w:rFonts w:hint="eastAsia" w:ascii="宋体" w:hAnsi="宋体"/>
          <w:bCs/>
          <w:color w:val="auto"/>
          <w:sz w:val="24"/>
          <w:szCs w:val="24"/>
          <w:highlight w:val="none"/>
        </w:rPr>
        <w:t>）提供符合招标要求的产品和服务；</w:t>
      </w:r>
    </w:p>
    <w:p>
      <w:pPr>
        <w:spacing w:line="48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本公司（单位）</w:t>
      </w:r>
      <w:r>
        <w:rPr>
          <w:rFonts w:hint="eastAsia" w:ascii="宋体" w:hAnsi="宋体"/>
          <w:bCs/>
          <w:color w:val="auto"/>
          <w:sz w:val="24"/>
          <w:szCs w:val="24"/>
          <w:highlight w:val="none"/>
        </w:rPr>
        <w:t>具备履行合同所必需的设备和专业技术能力；</w:t>
      </w:r>
    </w:p>
    <w:p>
      <w:pPr>
        <w:spacing w:line="48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3.</w:t>
      </w:r>
      <w:r>
        <w:rPr>
          <w:rFonts w:hint="eastAsia" w:ascii="宋体" w:hAnsi="宋体"/>
          <w:color w:val="auto"/>
          <w:sz w:val="24"/>
          <w:szCs w:val="24"/>
          <w:highlight w:val="none"/>
        </w:rPr>
        <w:t>本公司未被“</w:t>
      </w:r>
      <w:r>
        <w:rPr>
          <w:rFonts w:hint="eastAsia" w:ascii="宋体" w:hAnsi="宋体"/>
          <w:bCs/>
          <w:color w:val="auto"/>
          <w:sz w:val="24"/>
          <w:szCs w:val="24"/>
          <w:highlight w:val="none"/>
        </w:rPr>
        <w:t>信用中国</w:t>
      </w:r>
      <w:r>
        <w:rPr>
          <w:rFonts w:hint="eastAsia" w:ascii="宋体" w:hAnsi="宋体"/>
          <w:color w:val="auto"/>
          <w:sz w:val="24"/>
          <w:szCs w:val="24"/>
          <w:highlight w:val="none"/>
        </w:rPr>
        <w:t>”</w:t>
      </w:r>
      <w:r>
        <w:rPr>
          <w:rFonts w:hint="eastAsia" w:ascii="宋体" w:hAnsi="宋体"/>
          <w:bCs/>
          <w:color w:val="auto"/>
          <w:sz w:val="24"/>
          <w:szCs w:val="24"/>
          <w:highlight w:val="none"/>
        </w:rPr>
        <w:t>网站（www.creditchina.gov.cn）</w:t>
      </w:r>
      <w:r>
        <w:rPr>
          <w:rFonts w:hint="eastAsia" w:ascii="宋体" w:hAnsi="宋体"/>
          <w:color w:val="auto"/>
          <w:sz w:val="24"/>
          <w:szCs w:val="24"/>
          <w:highlight w:val="none"/>
        </w:rPr>
        <w:t>列入失信被执行人、重大税收违法案件当事人名单、政府采购严重违法失信行为记录名单。</w:t>
      </w:r>
    </w:p>
    <w:p>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如违背上述承诺，本公司</w:t>
      </w:r>
      <w:r>
        <w:rPr>
          <w:rFonts w:hint="eastAsia" w:ascii="宋体" w:hAnsi="宋体"/>
          <w:color w:val="auto"/>
          <w:sz w:val="24"/>
          <w:szCs w:val="24"/>
          <w:highlight w:val="none"/>
        </w:rPr>
        <w:t>（单位）</w:t>
      </w:r>
      <w:r>
        <w:rPr>
          <w:rFonts w:hint="eastAsia" w:ascii="宋体" w:hAnsi="宋体"/>
          <w:bCs/>
          <w:color w:val="auto"/>
          <w:sz w:val="24"/>
          <w:szCs w:val="24"/>
          <w:highlight w:val="none"/>
        </w:rPr>
        <w:t>将承担一切法律责任。</w:t>
      </w:r>
    </w:p>
    <w:p>
      <w:pPr>
        <w:spacing w:line="480" w:lineRule="auto"/>
        <w:rPr>
          <w:rFonts w:ascii="宋体" w:hAnsi="宋体"/>
          <w:bCs/>
          <w:color w:val="auto"/>
          <w:sz w:val="24"/>
          <w:szCs w:val="24"/>
        </w:rPr>
      </w:pPr>
    </w:p>
    <w:p>
      <w:pPr>
        <w:spacing w:line="480" w:lineRule="auto"/>
        <w:ind w:firstLine="3720" w:firstLineChars="1550"/>
        <w:rPr>
          <w:rFonts w:ascii="宋体" w:hAnsi="宋体"/>
          <w:bCs/>
          <w:color w:val="auto"/>
          <w:sz w:val="24"/>
          <w:szCs w:val="24"/>
        </w:rPr>
      </w:pPr>
      <w:r>
        <w:rPr>
          <w:rFonts w:hint="eastAsia" w:ascii="宋体" w:hAnsi="宋体"/>
          <w:color w:val="auto"/>
          <w:sz w:val="24"/>
          <w:szCs w:val="24"/>
        </w:rPr>
        <w:t>投标人</w:t>
      </w:r>
      <w:r>
        <w:rPr>
          <w:rFonts w:hint="eastAsia" w:ascii="宋体" w:hAnsi="宋体"/>
          <w:bCs/>
          <w:color w:val="auto"/>
          <w:sz w:val="24"/>
          <w:szCs w:val="24"/>
        </w:rPr>
        <w:t>（盖章）：</w:t>
      </w:r>
    </w:p>
    <w:p>
      <w:pPr>
        <w:spacing w:line="480" w:lineRule="auto"/>
        <w:ind w:firstLine="480" w:firstLineChars="200"/>
        <w:rPr>
          <w:rFonts w:ascii="宋体" w:hAnsi="宋体"/>
          <w:bCs/>
          <w:color w:val="auto"/>
          <w:sz w:val="24"/>
          <w:szCs w:val="24"/>
        </w:rPr>
      </w:pPr>
      <w:r>
        <w:rPr>
          <w:rFonts w:hint="eastAsia" w:ascii="宋体" w:hAnsi="宋体"/>
          <w:bCs/>
          <w:color w:val="auto"/>
          <w:sz w:val="24"/>
          <w:szCs w:val="24"/>
        </w:rPr>
        <w:t>法定代表人或法定代表人授权代表签字或盖章：</w:t>
      </w:r>
    </w:p>
    <w:p>
      <w:pPr>
        <w:spacing w:line="480" w:lineRule="auto"/>
        <w:ind w:firstLine="480" w:firstLineChars="200"/>
        <w:rPr>
          <w:rFonts w:ascii="宋体" w:hAnsi="宋体"/>
          <w:bCs/>
          <w:color w:val="auto"/>
          <w:sz w:val="24"/>
          <w:szCs w:val="24"/>
        </w:rPr>
      </w:pPr>
    </w:p>
    <w:p>
      <w:pPr>
        <w:spacing w:line="480" w:lineRule="auto"/>
        <w:rPr>
          <w:rFonts w:ascii="宋体" w:hAnsi="宋体"/>
          <w:bCs/>
          <w:color w:val="auto"/>
          <w:sz w:val="24"/>
          <w:szCs w:val="24"/>
        </w:rPr>
      </w:pPr>
    </w:p>
    <w:p>
      <w:pPr>
        <w:jc w:val="center"/>
        <w:rPr>
          <w:rFonts w:ascii="黑体" w:eastAsia="黑体"/>
          <w:bCs/>
          <w:color w:val="auto"/>
          <w:sz w:val="32"/>
        </w:rPr>
      </w:pPr>
    </w:p>
    <w:p>
      <w:pPr>
        <w:spacing w:line="240" w:lineRule="exact"/>
        <w:jc w:val="center"/>
        <w:rPr>
          <w:rFonts w:ascii="黑体" w:eastAsia="黑体"/>
          <w:bCs/>
          <w:color w:val="auto"/>
          <w:sz w:val="32"/>
        </w:rPr>
      </w:pPr>
    </w:p>
    <w:p>
      <w:pPr>
        <w:spacing w:line="240" w:lineRule="exact"/>
        <w:jc w:val="center"/>
        <w:rPr>
          <w:rFonts w:ascii="黑体" w:eastAsia="黑体"/>
          <w:bCs/>
          <w:color w:val="auto"/>
          <w:sz w:val="32"/>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outlineLvl w:val="0"/>
        <w:rPr>
          <w:rFonts w:ascii="黑体" w:hAnsi="宋体" w:eastAsia="黑体"/>
          <w:bCs/>
          <w:color w:val="auto"/>
          <w:sz w:val="24"/>
          <w:szCs w:val="24"/>
        </w:rPr>
      </w:pPr>
    </w:p>
    <w:p>
      <w:pPr>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ind w:firstLine="480" w:firstLineChars="200"/>
        <w:outlineLvl w:val="0"/>
        <w:rPr>
          <w:rFonts w:ascii="黑体" w:hAnsi="宋体" w:eastAsia="黑体"/>
          <w:bCs/>
          <w:color w:val="auto"/>
          <w:sz w:val="24"/>
          <w:szCs w:val="24"/>
        </w:rPr>
      </w:pPr>
    </w:p>
    <w:p>
      <w:pPr>
        <w:pageBreakBefore/>
        <w:outlineLvl w:val="0"/>
        <w:rPr>
          <w:rFonts w:ascii="黑体" w:hAnsi="宋体" w:eastAsia="黑体"/>
          <w:bCs/>
          <w:color w:val="auto"/>
          <w:sz w:val="24"/>
          <w:szCs w:val="24"/>
        </w:rPr>
      </w:pPr>
    </w:p>
    <w:p>
      <w:pPr>
        <w:ind w:firstLine="480" w:firstLineChars="200"/>
        <w:outlineLvl w:val="0"/>
        <w:rPr>
          <w:rFonts w:ascii="黑体" w:eastAsia="黑体"/>
          <w:bCs/>
          <w:color w:val="auto"/>
          <w:sz w:val="28"/>
          <w:szCs w:val="28"/>
        </w:rPr>
      </w:pPr>
      <w:bookmarkStart w:id="31" w:name="_Toc86134328"/>
      <w:bookmarkStart w:id="32" w:name="_Toc61444114"/>
      <w:r>
        <w:rPr>
          <w:rFonts w:hint="eastAsia" w:ascii="黑体" w:hAnsi="宋体" w:eastAsia="黑体"/>
          <w:bCs/>
          <w:color w:val="auto"/>
          <w:sz w:val="24"/>
          <w:szCs w:val="24"/>
        </w:rPr>
        <w:t>（七）开标一览表（格式）：</w:t>
      </w:r>
      <w:bookmarkEnd w:id="31"/>
      <w:bookmarkEnd w:id="32"/>
    </w:p>
    <w:p>
      <w:pPr>
        <w:outlineLvl w:val="0"/>
        <w:rPr>
          <w:rFonts w:ascii="黑体" w:eastAsia="黑体"/>
          <w:bCs/>
          <w:color w:val="auto"/>
          <w:sz w:val="28"/>
          <w:szCs w:val="28"/>
        </w:rPr>
      </w:pPr>
    </w:p>
    <w:p>
      <w:pPr>
        <w:outlineLvl w:val="0"/>
        <w:rPr>
          <w:rFonts w:ascii="黑体" w:eastAsia="黑体"/>
          <w:bCs/>
          <w:color w:val="auto"/>
          <w:sz w:val="28"/>
          <w:szCs w:val="28"/>
        </w:rPr>
      </w:pPr>
    </w:p>
    <w:p>
      <w:pPr>
        <w:jc w:val="center"/>
        <w:outlineLvl w:val="0"/>
        <w:rPr>
          <w:rFonts w:ascii="黑体" w:eastAsia="黑体"/>
          <w:bCs/>
          <w:color w:val="auto"/>
          <w:sz w:val="28"/>
          <w:szCs w:val="28"/>
        </w:rPr>
      </w:pPr>
      <w:bookmarkStart w:id="33" w:name="_Toc86134329"/>
      <w:bookmarkStart w:id="34" w:name="_Toc61444115"/>
      <w:r>
        <w:rPr>
          <w:rFonts w:hint="eastAsia" w:ascii="黑体" w:eastAsia="黑体"/>
          <w:bCs/>
          <w:color w:val="auto"/>
          <w:sz w:val="28"/>
          <w:szCs w:val="28"/>
        </w:rPr>
        <w:t>开标一览表</w:t>
      </w:r>
      <w:bookmarkEnd w:id="33"/>
      <w:bookmarkEnd w:id="34"/>
    </w:p>
    <w:p>
      <w:pPr>
        <w:jc w:val="center"/>
        <w:outlineLvl w:val="0"/>
        <w:rPr>
          <w:rFonts w:ascii="黑体" w:eastAsia="黑体"/>
          <w:bCs/>
          <w:color w:val="auto"/>
          <w:sz w:val="28"/>
          <w:szCs w:val="28"/>
        </w:rPr>
      </w:pPr>
    </w:p>
    <w:p>
      <w:pPr>
        <w:spacing w:line="360" w:lineRule="auto"/>
        <w:rPr>
          <w:rFonts w:hint="default" w:ascii="黑体" w:eastAsia="黑体"/>
          <w:bCs/>
          <w:color w:val="auto"/>
          <w:sz w:val="24"/>
          <w:szCs w:val="24"/>
          <w:lang w:val="en-US" w:eastAsia="zh-CN"/>
        </w:rPr>
      </w:pPr>
      <w:r>
        <w:rPr>
          <w:rFonts w:hint="eastAsia" w:ascii="黑体" w:eastAsia="黑体"/>
          <w:bCs/>
          <w:color w:val="auto"/>
          <w:sz w:val="24"/>
          <w:szCs w:val="24"/>
        </w:rPr>
        <w:t>投标人名称（盖章）                                  政府采购编号：</w:t>
      </w:r>
      <w:r>
        <w:rPr>
          <w:rFonts w:hint="eastAsia" w:ascii="宋体" w:hAnsi="宋体" w:eastAsia="黑体"/>
          <w:bCs/>
          <w:color w:val="auto"/>
          <w:sz w:val="24"/>
          <w:szCs w:val="24"/>
        </w:rPr>
        <w:t>HSCGZX(G)</w:t>
      </w:r>
      <w:r>
        <w:rPr>
          <w:rFonts w:hint="eastAsia" w:ascii="宋体" w:hAnsi="宋体" w:eastAsia="黑体"/>
          <w:bCs/>
          <w:color w:val="auto"/>
          <w:sz w:val="24"/>
          <w:szCs w:val="24"/>
          <w:lang w:val="en-US" w:eastAsia="zh-CN"/>
        </w:rPr>
        <w:t>20230062</w:t>
      </w:r>
    </w:p>
    <w:tbl>
      <w:tblPr>
        <w:tblStyle w:val="24"/>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6"/>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color w:val="auto"/>
                <w:sz w:val="24"/>
                <w:szCs w:val="24"/>
              </w:rPr>
            </w:pPr>
            <w:r>
              <w:rPr>
                <w:rFonts w:hint="eastAsia" w:ascii="宋体" w:hAnsi="宋体"/>
                <w:b/>
                <w:bCs/>
                <w:color w:val="auto"/>
                <w:sz w:val="24"/>
                <w:szCs w:val="24"/>
              </w:rPr>
              <w:t>项目名称</w:t>
            </w:r>
          </w:p>
        </w:tc>
        <w:tc>
          <w:tcPr>
            <w:tcW w:w="36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color w:val="auto"/>
                <w:sz w:val="24"/>
                <w:szCs w:val="24"/>
              </w:rPr>
            </w:pPr>
            <w:r>
              <w:rPr>
                <w:rFonts w:hint="eastAsia" w:ascii="宋体" w:hAnsi="宋体"/>
                <w:b/>
                <w:bCs/>
                <w:color w:val="auto"/>
                <w:sz w:val="24"/>
                <w:szCs w:val="24"/>
              </w:rPr>
              <w:t>投标总报价(小写)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6416" w:type="dxa"/>
            <w:tcBorders>
              <w:top w:val="single" w:color="auto" w:sz="4" w:space="0"/>
              <w:left w:val="single" w:color="auto" w:sz="4" w:space="0"/>
              <w:bottom w:val="single" w:color="auto" w:sz="4" w:space="0"/>
              <w:right w:val="single" w:color="auto" w:sz="4" w:space="0"/>
            </w:tcBorders>
            <w:vAlign w:val="center"/>
          </w:tcPr>
          <w:p>
            <w:pPr>
              <w:pStyle w:val="127"/>
              <w:spacing w:line="400" w:lineRule="exact"/>
              <w:jc w:val="center"/>
              <w:rPr>
                <w:rFonts w:hint="eastAsia" w:hAnsi="宋体"/>
                <w:bCs/>
                <w:color w:val="auto"/>
                <w:szCs w:val="24"/>
                <w:lang w:eastAsia="zh-CN"/>
              </w:rPr>
            </w:pPr>
            <w:r>
              <w:rPr>
                <w:rFonts w:hint="eastAsia" w:hAnsi="宋体"/>
                <w:bCs/>
                <w:color w:val="auto"/>
                <w:szCs w:val="24"/>
                <w:lang w:eastAsia="zh-CN"/>
              </w:rPr>
              <w:t>无锡市惠山区交通运输局交通执法一体化综合管理平台项目</w:t>
            </w:r>
          </w:p>
          <w:p>
            <w:pPr>
              <w:pStyle w:val="127"/>
              <w:spacing w:line="400" w:lineRule="exact"/>
              <w:jc w:val="center"/>
              <w:rPr>
                <w:rFonts w:hAnsi="宋体"/>
                <w:bCs/>
                <w:color w:val="auto"/>
                <w:szCs w:val="24"/>
              </w:rPr>
            </w:pPr>
          </w:p>
        </w:tc>
        <w:tc>
          <w:tcPr>
            <w:tcW w:w="3664" w:type="dxa"/>
            <w:tcBorders>
              <w:top w:val="single" w:color="auto" w:sz="4" w:space="0"/>
              <w:left w:val="single" w:color="auto" w:sz="4" w:space="0"/>
              <w:bottom w:val="single" w:color="auto" w:sz="4" w:space="0"/>
              <w:right w:val="single" w:color="auto" w:sz="4" w:space="0"/>
            </w:tcBorders>
            <w:vAlign w:val="center"/>
          </w:tcPr>
          <w:p>
            <w:pPr>
              <w:pStyle w:val="127"/>
              <w:rPr>
                <w:rFonts w:hAnsi="宋体"/>
                <w:b/>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tcBorders>
              <w:top w:val="single" w:color="auto" w:sz="4" w:space="0"/>
              <w:left w:val="single" w:color="auto" w:sz="4" w:space="0"/>
              <w:bottom w:val="single" w:color="auto" w:sz="4" w:space="0"/>
              <w:right w:val="single" w:color="auto" w:sz="4" w:space="0"/>
            </w:tcBorders>
            <w:vAlign w:val="center"/>
          </w:tcPr>
          <w:p>
            <w:pPr>
              <w:rPr>
                <w:rFonts w:ascii="宋体"/>
                <w:bCs/>
                <w:color w:val="auto"/>
                <w:sz w:val="24"/>
                <w:szCs w:val="24"/>
              </w:rPr>
            </w:pPr>
            <w:r>
              <w:rPr>
                <w:rFonts w:hint="eastAsia" w:ascii="黑体" w:eastAsia="黑体"/>
                <w:color w:val="auto"/>
                <w:sz w:val="24"/>
              </w:rPr>
              <w:t>投标总报价（大写）</w:t>
            </w:r>
            <w:r>
              <w:rPr>
                <w:rFonts w:hint="eastAsia" w:ascii="宋体" w:hAnsi="宋体"/>
                <w:bCs/>
                <w:color w:val="auto"/>
                <w:kern w:val="0"/>
                <w:sz w:val="24"/>
                <w:szCs w:val="24"/>
              </w:rPr>
              <w:t>：　　　</w:t>
            </w:r>
          </w:p>
        </w:tc>
      </w:tr>
    </w:tbl>
    <w:p>
      <w:pPr>
        <w:spacing w:line="360" w:lineRule="auto"/>
        <w:rPr>
          <w:rFonts w:ascii="黑体" w:eastAsia="黑体"/>
          <w:bCs/>
          <w:color w:val="auto"/>
          <w:sz w:val="24"/>
          <w:szCs w:val="24"/>
        </w:rPr>
      </w:pPr>
    </w:p>
    <w:p>
      <w:pPr>
        <w:spacing w:before="5"/>
        <w:rPr>
          <w:b/>
          <w:bCs/>
          <w:color w:val="auto"/>
          <w:sz w:val="24"/>
          <w:szCs w:val="24"/>
        </w:rPr>
      </w:pPr>
      <w:r>
        <w:rPr>
          <w:rFonts w:hint="eastAsia"/>
          <w:b/>
          <w:bCs/>
          <w:color w:val="auto"/>
          <w:sz w:val="24"/>
          <w:szCs w:val="24"/>
        </w:rPr>
        <w:t>法定代表人或法定代表人授权代表签字或盖章：</w:t>
      </w:r>
    </w:p>
    <w:p>
      <w:pPr>
        <w:spacing w:line="400" w:lineRule="exact"/>
        <w:rPr>
          <w:rFonts w:ascii="黑体" w:eastAsia="黑体"/>
          <w:bCs/>
          <w:color w:val="auto"/>
          <w:sz w:val="32"/>
        </w:rPr>
      </w:pPr>
    </w:p>
    <w:p>
      <w:pPr>
        <w:spacing w:line="400" w:lineRule="exact"/>
        <w:rPr>
          <w:rFonts w:ascii="黑体" w:eastAsia="黑体"/>
          <w:bCs/>
          <w:color w:val="auto"/>
          <w:sz w:val="32"/>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spacing w:line="400" w:lineRule="exact"/>
        <w:ind w:left="720" w:hanging="720" w:hangingChars="300"/>
        <w:rPr>
          <w:rFonts w:ascii="黑体" w:eastAsia="黑体"/>
          <w:bCs/>
          <w:color w:val="auto"/>
          <w:sz w:val="24"/>
          <w:szCs w:val="24"/>
        </w:rPr>
      </w:pPr>
    </w:p>
    <w:p>
      <w:pPr>
        <w:pageBreakBefore/>
        <w:spacing w:line="400" w:lineRule="exact"/>
        <w:ind w:left="720" w:hanging="720" w:hangingChars="300"/>
        <w:rPr>
          <w:rFonts w:ascii="黑体" w:eastAsia="黑体"/>
          <w:bCs/>
          <w:color w:val="auto"/>
          <w:sz w:val="24"/>
          <w:szCs w:val="24"/>
        </w:rPr>
      </w:pPr>
    </w:p>
    <w:p>
      <w:pPr>
        <w:ind w:firstLine="480" w:firstLineChars="200"/>
        <w:outlineLvl w:val="0"/>
        <w:rPr>
          <w:rFonts w:ascii="黑体" w:hAnsi="宋体" w:eastAsia="黑体"/>
          <w:bCs/>
          <w:color w:val="auto"/>
          <w:sz w:val="24"/>
          <w:szCs w:val="24"/>
        </w:rPr>
      </w:pPr>
      <w:bookmarkStart w:id="35" w:name="_Toc86134330"/>
      <w:bookmarkStart w:id="36" w:name="_Toc61444116"/>
      <w:r>
        <w:rPr>
          <w:rFonts w:hint="eastAsia" w:ascii="黑体" w:hAnsi="宋体" w:eastAsia="黑体"/>
          <w:bCs/>
          <w:color w:val="auto"/>
          <w:sz w:val="24"/>
          <w:szCs w:val="24"/>
        </w:rPr>
        <w:t>（八）明细报价表（格式）：</w:t>
      </w:r>
      <w:bookmarkEnd w:id="35"/>
      <w:bookmarkEnd w:id="36"/>
    </w:p>
    <w:p>
      <w:pPr>
        <w:spacing w:line="400" w:lineRule="exact"/>
        <w:jc w:val="center"/>
        <w:outlineLvl w:val="0"/>
        <w:rPr>
          <w:rFonts w:ascii="黑体" w:eastAsia="黑体"/>
          <w:color w:val="auto"/>
          <w:sz w:val="28"/>
          <w:szCs w:val="28"/>
          <w:highlight w:val="none"/>
        </w:rPr>
      </w:pPr>
      <w:bookmarkStart w:id="37" w:name="_Toc61444117"/>
      <w:bookmarkStart w:id="38" w:name="_Toc86134331"/>
      <w:r>
        <w:rPr>
          <w:rFonts w:hint="eastAsia" w:ascii="黑体" w:eastAsia="黑体"/>
          <w:color w:val="auto"/>
          <w:sz w:val="28"/>
          <w:szCs w:val="28"/>
          <w:highlight w:val="none"/>
        </w:rPr>
        <w:t>明细报价表</w:t>
      </w:r>
      <w:bookmarkEnd w:id="37"/>
      <w:bookmarkEnd w:id="38"/>
    </w:p>
    <w:p>
      <w:pPr>
        <w:spacing w:line="400" w:lineRule="exact"/>
        <w:jc w:val="center"/>
        <w:outlineLvl w:val="0"/>
        <w:rPr>
          <w:rFonts w:ascii="黑体" w:eastAsia="黑体"/>
          <w:color w:val="auto"/>
          <w:sz w:val="28"/>
          <w:szCs w:val="28"/>
          <w:highlight w:val="none"/>
        </w:rPr>
      </w:pPr>
    </w:p>
    <w:p>
      <w:pPr>
        <w:spacing w:line="400" w:lineRule="exact"/>
        <w:rPr>
          <w:rFonts w:hint="default" w:ascii="黑体" w:eastAsia="黑体"/>
          <w:bCs/>
          <w:color w:val="auto"/>
          <w:sz w:val="24"/>
          <w:szCs w:val="24"/>
          <w:highlight w:val="none"/>
          <w:lang w:val="en-US" w:eastAsia="zh-CN"/>
        </w:rPr>
      </w:pPr>
      <w:r>
        <w:rPr>
          <w:rFonts w:hint="eastAsia" w:ascii="黑体" w:eastAsia="黑体"/>
          <w:bCs/>
          <w:color w:val="auto"/>
          <w:sz w:val="24"/>
          <w:szCs w:val="24"/>
          <w:highlight w:val="none"/>
        </w:rPr>
        <w:t>投标人名称（盖章）                                政府采购编号：HSCGZX(G)</w:t>
      </w:r>
      <w:r>
        <w:rPr>
          <w:rFonts w:hint="eastAsia" w:ascii="黑体" w:eastAsia="黑体"/>
          <w:bCs/>
          <w:color w:val="auto"/>
          <w:sz w:val="24"/>
          <w:szCs w:val="24"/>
          <w:highlight w:val="none"/>
          <w:lang w:val="en-US" w:eastAsia="zh-CN"/>
        </w:rPr>
        <w:t>20230062</w:t>
      </w:r>
    </w:p>
    <w:tbl>
      <w:tblPr>
        <w:tblStyle w:val="24"/>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9"/>
        <w:gridCol w:w="241"/>
        <w:gridCol w:w="751"/>
        <w:gridCol w:w="709"/>
        <w:gridCol w:w="709"/>
        <w:gridCol w:w="2835"/>
        <w:gridCol w:w="708"/>
        <w:gridCol w:w="709"/>
        <w:gridCol w:w="851"/>
        <w:gridCol w:w="708"/>
        <w:gridCol w:w="56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序号</w:t>
            </w:r>
          </w:p>
        </w:tc>
        <w:tc>
          <w:tcPr>
            <w:tcW w:w="9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名称</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品牌</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型号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相关描述</w:t>
            </w: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数量</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产地</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是否属于小、微型企业产品</w:t>
            </w: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质保期</w:t>
            </w:r>
          </w:p>
        </w:tc>
        <w:tc>
          <w:tcPr>
            <w:tcW w:w="567" w:type="dxa"/>
            <w:tcBorders>
              <w:top w:val="single" w:color="auto" w:sz="4" w:space="0"/>
              <w:left w:val="single" w:color="auto" w:sz="4" w:space="0"/>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单报价</w:t>
            </w:r>
          </w:p>
        </w:tc>
        <w:tc>
          <w:tcPr>
            <w:tcW w:w="798" w:type="dxa"/>
            <w:tcBorders>
              <w:top w:val="single" w:color="auto" w:sz="4" w:space="0"/>
              <w:left w:val="single" w:color="auto" w:sz="4" w:space="0"/>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spacing w:before="5"/>
              <w:ind w:firstLine="640"/>
              <w:rPr>
                <w:rFonts w:ascii="宋体"/>
                <w:color w:val="auto"/>
                <w:highlight w:val="none"/>
              </w:rPr>
            </w:pPr>
          </w:p>
        </w:tc>
        <w:tc>
          <w:tcPr>
            <w:tcW w:w="9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640"/>
              <w:rPr>
                <w:rFonts w:ascii="宋体"/>
                <w:bCs/>
                <w:color w:val="auto"/>
                <w:highlight w:val="none"/>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640"/>
              <w:rPr>
                <w:rFonts w:ascii="宋体"/>
                <w:bCs/>
                <w:color w:val="auto"/>
                <w:highlight w:val="none"/>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640"/>
              <w:rPr>
                <w:rFonts w:asci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宋体"/>
                <w:bCs/>
                <w:color w:val="auto"/>
                <w:sz w:val="18"/>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auto"/>
                <w:sz w:val="18"/>
                <w:highlight w:val="none"/>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olor w:val="auto"/>
                <w:sz w:val="18"/>
                <w:highlight w:val="none"/>
              </w:rPr>
            </w:pPr>
          </w:p>
        </w:tc>
        <w:tc>
          <w:tcPr>
            <w:tcW w:w="9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640"/>
              <w:rPr>
                <w:rFonts w:ascii="宋体"/>
                <w:bCs/>
                <w:color w:val="auto"/>
                <w:highlight w:val="none"/>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640"/>
              <w:rPr>
                <w:rFonts w:ascii="宋体"/>
                <w:bCs/>
                <w:color w:val="auto"/>
                <w:highlight w:val="none"/>
              </w:rPr>
            </w:pP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auto"/>
                <w:sz w:val="18"/>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auto"/>
                <w:sz w:val="18"/>
                <w:highlight w:val="none"/>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799"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482"/>
              <w:rPr>
                <w:rFonts w:ascii="宋体"/>
                <w:b/>
                <w:bCs/>
                <w:color w:val="auto"/>
                <w:sz w:val="24"/>
                <w:highlight w:val="none"/>
              </w:rPr>
            </w:pPr>
            <w:r>
              <w:rPr>
                <w:rFonts w:hint="eastAsia" w:ascii="宋体"/>
                <w:b/>
                <w:bCs/>
                <w:color w:val="auto"/>
                <w:sz w:val="24"/>
                <w:szCs w:val="20"/>
                <w:highlight w:val="none"/>
              </w:rPr>
              <w:t>完工期</w:t>
            </w:r>
          </w:p>
        </w:tc>
        <w:tc>
          <w:tcPr>
            <w:tcW w:w="7176"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hAnsi="宋体" w:eastAsia="黑体"/>
                <w:b/>
                <w:bCs/>
                <w:color w:val="auto"/>
                <w:sz w:val="24"/>
                <w:szCs w:val="24"/>
                <w:highlight w:val="none"/>
              </w:rPr>
              <w:t>合同签订生效后的日内完工。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799"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left" w:pos="420"/>
              </w:tabs>
              <w:snapToGrid/>
              <w:ind w:firstLine="482"/>
              <w:rPr>
                <w:rFonts w:ascii="宋体"/>
                <w:b/>
                <w:bCs/>
                <w:color w:val="auto"/>
                <w:sz w:val="24"/>
                <w:highlight w:val="none"/>
              </w:rPr>
            </w:pPr>
            <w:r>
              <w:rPr>
                <w:rFonts w:hint="eastAsia" w:ascii="宋体"/>
                <w:b/>
                <w:bCs/>
                <w:color w:val="auto"/>
                <w:sz w:val="24"/>
                <w:highlight w:val="none"/>
              </w:rPr>
              <w:t>设备质保期</w:t>
            </w:r>
          </w:p>
        </w:tc>
        <w:tc>
          <w:tcPr>
            <w:tcW w:w="7176"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trPr>
        <w:tc>
          <w:tcPr>
            <w:tcW w:w="630"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20"/>
              <w:spacing w:line="400" w:lineRule="exact"/>
              <w:ind w:firstLine="120" w:firstLineChars="50"/>
              <w:rPr>
                <w:rFonts w:ascii="宋体"/>
                <w:b/>
                <w:bCs/>
                <w:color w:val="auto"/>
                <w:sz w:val="24"/>
                <w:szCs w:val="24"/>
                <w:highlight w:val="none"/>
              </w:rPr>
            </w:pPr>
            <w:r>
              <w:rPr>
                <w:rFonts w:hint="eastAsia" w:ascii="宋体" w:hAnsi="宋体"/>
                <w:b/>
                <w:bCs/>
                <w:color w:val="auto"/>
                <w:sz w:val="24"/>
                <w:szCs w:val="24"/>
                <w:highlight w:val="none"/>
              </w:rPr>
              <w:t>服</w:t>
            </w:r>
          </w:p>
          <w:p>
            <w:pPr>
              <w:pStyle w:val="20"/>
              <w:spacing w:line="400" w:lineRule="exact"/>
              <w:rPr>
                <w:rFonts w:ascii="宋体"/>
                <w:b/>
                <w:bCs/>
                <w:color w:val="auto"/>
                <w:sz w:val="24"/>
                <w:szCs w:val="24"/>
                <w:highlight w:val="none"/>
              </w:rPr>
            </w:pPr>
          </w:p>
          <w:p>
            <w:pPr>
              <w:pStyle w:val="20"/>
              <w:spacing w:line="400" w:lineRule="exact"/>
              <w:ind w:firstLine="120" w:firstLineChars="50"/>
              <w:rPr>
                <w:rFonts w:ascii="宋体"/>
                <w:b/>
                <w:bCs/>
                <w:color w:val="auto"/>
                <w:sz w:val="24"/>
                <w:szCs w:val="24"/>
                <w:highlight w:val="none"/>
              </w:rPr>
            </w:pPr>
            <w:r>
              <w:rPr>
                <w:rFonts w:hint="eastAsia" w:ascii="宋体" w:hAnsi="宋体"/>
                <w:b/>
                <w:bCs/>
                <w:color w:val="auto"/>
                <w:sz w:val="24"/>
                <w:szCs w:val="24"/>
                <w:highlight w:val="none"/>
              </w:rPr>
              <w:t>务</w:t>
            </w:r>
          </w:p>
          <w:p>
            <w:pPr>
              <w:pStyle w:val="20"/>
              <w:spacing w:line="400" w:lineRule="exact"/>
              <w:rPr>
                <w:rFonts w:ascii="宋体"/>
                <w:b/>
                <w:bCs/>
                <w:color w:val="auto"/>
                <w:sz w:val="24"/>
                <w:szCs w:val="24"/>
                <w:highlight w:val="none"/>
              </w:rPr>
            </w:pPr>
          </w:p>
          <w:p>
            <w:pPr>
              <w:pStyle w:val="20"/>
              <w:spacing w:line="400" w:lineRule="exact"/>
              <w:ind w:firstLine="120" w:firstLineChars="50"/>
              <w:rPr>
                <w:rFonts w:ascii="宋体"/>
                <w:b/>
                <w:bCs/>
                <w:color w:val="auto"/>
                <w:sz w:val="24"/>
                <w:szCs w:val="24"/>
                <w:highlight w:val="none"/>
              </w:rPr>
            </w:pPr>
            <w:r>
              <w:rPr>
                <w:rFonts w:hint="eastAsia" w:ascii="宋体" w:hAnsi="宋体"/>
                <w:b/>
                <w:bCs/>
                <w:color w:val="auto"/>
                <w:sz w:val="24"/>
                <w:szCs w:val="24"/>
                <w:highlight w:val="none"/>
              </w:rPr>
              <w:t>承</w:t>
            </w:r>
          </w:p>
          <w:p>
            <w:pPr>
              <w:pStyle w:val="20"/>
              <w:spacing w:line="400" w:lineRule="exact"/>
              <w:rPr>
                <w:rFonts w:ascii="宋体"/>
                <w:b/>
                <w:bCs/>
                <w:color w:val="auto"/>
                <w:sz w:val="24"/>
                <w:szCs w:val="24"/>
                <w:highlight w:val="none"/>
              </w:rPr>
            </w:pPr>
          </w:p>
          <w:p>
            <w:pPr>
              <w:pStyle w:val="20"/>
              <w:spacing w:line="400" w:lineRule="exact"/>
              <w:ind w:firstLine="120" w:firstLineChars="50"/>
              <w:rPr>
                <w:rFonts w:ascii="宋体"/>
                <w:bCs/>
                <w:color w:val="auto"/>
                <w:sz w:val="24"/>
                <w:szCs w:val="24"/>
                <w:highlight w:val="none"/>
              </w:rPr>
            </w:pPr>
            <w:r>
              <w:rPr>
                <w:rFonts w:hint="eastAsia" w:ascii="宋体" w:hAnsi="宋体"/>
                <w:b/>
                <w:bCs/>
                <w:color w:val="auto"/>
                <w:sz w:val="24"/>
                <w:szCs w:val="24"/>
                <w:highlight w:val="none"/>
              </w:rPr>
              <w:t>诺</w:t>
            </w:r>
          </w:p>
        </w:tc>
        <w:tc>
          <w:tcPr>
            <w:tcW w:w="9345"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17"/>
              </w:numPr>
              <w:rPr>
                <w:rFonts w:ascii="宋体"/>
                <w:bCs/>
                <w:color w:val="auto"/>
                <w:sz w:val="24"/>
                <w:szCs w:val="24"/>
                <w:highlight w:val="none"/>
              </w:rPr>
            </w:pPr>
            <w:r>
              <w:rPr>
                <w:rFonts w:hint="eastAsia" w:ascii="宋体" w:hAnsi="宋体"/>
                <w:bCs/>
                <w:color w:val="auto"/>
                <w:sz w:val="24"/>
                <w:szCs w:val="24"/>
                <w:highlight w:val="none"/>
              </w:rPr>
              <w:t>质量 2.安装 3."三包"(包修、包退、包换)4</w:t>
            </w:r>
            <w:r>
              <w:rPr>
                <w:rFonts w:hint="eastAsia" w:ascii="宋体"/>
                <w:bCs/>
                <w:color w:val="auto"/>
                <w:sz w:val="24"/>
                <w:szCs w:val="24"/>
                <w:highlight w:val="none"/>
              </w:rPr>
              <w:t>.</w:t>
            </w:r>
            <w:r>
              <w:rPr>
                <w:rFonts w:hint="eastAsia" w:ascii="宋体" w:hAnsi="宋体"/>
                <w:bCs/>
                <w:color w:val="auto"/>
                <w:sz w:val="24"/>
                <w:szCs w:val="24"/>
                <w:highlight w:val="none"/>
              </w:rPr>
              <w:t>其他承诺</w:t>
            </w:r>
          </w:p>
          <w:p>
            <w:pPr>
              <w:rPr>
                <w:rFonts w:ascii="宋体"/>
                <w:bCs/>
                <w:color w:val="auto"/>
                <w:sz w:val="24"/>
                <w:szCs w:val="24"/>
                <w:highlight w:val="none"/>
              </w:rPr>
            </w:pPr>
            <w:r>
              <w:rPr>
                <w:rFonts w:hint="eastAsia" w:ascii="宋体" w:hAnsi="宋体"/>
                <w:bCs/>
                <w:color w:val="auto"/>
                <w:sz w:val="24"/>
                <w:szCs w:val="24"/>
                <w:highlight w:val="none"/>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43" w:hRule="atLeast"/>
        </w:trPr>
        <w:tc>
          <w:tcPr>
            <w:tcW w:w="37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Cs/>
                <w:color w:val="auto"/>
                <w:kern w:val="0"/>
                <w:sz w:val="24"/>
                <w:szCs w:val="24"/>
                <w:highlight w:val="none"/>
              </w:rPr>
            </w:pPr>
          </w:p>
        </w:tc>
        <w:tc>
          <w:tcPr>
            <w:tcW w:w="9345"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bCs/>
                <w:color w:val="auto"/>
                <w:sz w:val="24"/>
                <w:szCs w:val="24"/>
                <w:highlight w:val="none"/>
              </w:rPr>
            </w:pPr>
          </w:p>
        </w:tc>
      </w:tr>
    </w:tbl>
    <w:p>
      <w:pPr>
        <w:spacing w:line="400" w:lineRule="exact"/>
        <w:rPr>
          <w:b/>
          <w:bCs/>
          <w:color w:val="auto"/>
          <w:sz w:val="24"/>
          <w:szCs w:val="24"/>
          <w:highlight w:val="none"/>
        </w:rPr>
      </w:pPr>
    </w:p>
    <w:p>
      <w:pPr>
        <w:spacing w:line="400" w:lineRule="exact"/>
        <w:rPr>
          <w:rFonts w:ascii="黑体" w:eastAsia="黑体"/>
          <w:bCs/>
          <w:color w:val="auto"/>
          <w:sz w:val="32"/>
          <w:highlight w:val="none"/>
        </w:rPr>
      </w:pPr>
      <w:r>
        <w:rPr>
          <w:rFonts w:hint="eastAsia"/>
          <w:b/>
          <w:bCs/>
          <w:color w:val="auto"/>
          <w:sz w:val="24"/>
          <w:szCs w:val="24"/>
          <w:highlight w:val="none"/>
        </w:rPr>
        <w:t>法定代表人或法定代表人授权代表签字或盖章：</w:t>
      </w:r>
    </w:p>
    <w:p>
      <w:pPr>
        <w:spacing w:line="320" w:lineRule="exact"/>
        <w:outlineLvl w:val="0"/>
        <w:rPr>
          <w:rFonts w:ascii="宋体"/>
          <w:bCs/>
          <w:color w:val="auto"/>
          <w:szCs w:val="21"/>
          <w:highlight w:val="none"/>
        </w:rPr>
      </w:pPr>
      <w:bookmarkStart w:id="39" w:name="_Toc61444118"/>
      <w:bookmarkStart w:id="40" w:name="_Toc86134332"/>
      <w:r>
        <w:rPr>
          <w:rFonts w:hint="eastAsia" w:ascii="宋体" w:hAnsi="宋体"/>
          <w:b/>
          <w:color w:val="auto"/>
          <w:szCs w:val="21"/>
          <w:highlight w:val="none"/>
        </w:rPr>
        <w:t>注：</w:t>
      </w:r>
      <w:r>
        <w:rPr>
          <w:rFonts w:hint="eastAsia" w:ascii="宋体" w:hAnsi="宋体"/>
          <w:bCs/>
          <w:color w:val="auto"/>
          <w:szCs w:val="21"/>
          <w:highlight w:val="none"/>
        </w:rPr>
        <w:t>（1）在“是否属于小、微型企业（或监狱企业、残疾人福利性单位）产品”栏内填写“是”或“否”。如填写“是”，</w:t>
      </w:r>
      <w:r>
        <w:rPr>
          <w:rFonts w:hint="eastAsia" w:ascii="宋体" w:hAnsi="宋体" w:cs="宋体"/>
          <w:color w:val="auto"/>
          <w:kern w:val="0"/>
          <w:szCs w:val="21"/>
          <w:highlight w:val="none"/>
          <w:lang w:val="zh-CN"/>
        </w:rPr>
        <w:t xml:space="preserve"> 投标人本项目提供的货物全部由符合政策要求的中小企业制造的，须提供按格式填写的《中小企业声明函》（货物）（《中小企业声明函》（货物）相应内容须与上表填列内容保持一致）；投标人本项目提供的服务全部由符合政策要求的中小企业承接的，须提供按格式填写的《中小企业声明函》（服务）</w:t>
      </w:r>
      <w:r>
        <w:rPr>
          <w:rFonts w:hint="eastAsia" w:ascii="宋体" w:hAnsi="宋体"/>
          <w:bCs/>
          <w:color w:val="auto"/>
          <w:szCs w:val="21"/>
          <w:highlight w:val="none"/>
        </w:rPr>
        <w:t>；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投标人对所报相关数据的真实性负责，无锡市惠山区政府采购中心有权将相关内容进行公示。</w:t>
      </w:r>
      <w:bookmarkEnd w:id="39"/>
      <w:bookmarkEnd w:id="40"/>
    </w:p>
    <w:p>
      <w:pPr>
        <w:spacing w:line="320" w:lineRule="exact"/>
        <w:ind w:firstLine="315" w:firstLineChars="150"/>
        <w:outlineLvl w:val="0"/>
        <w:rPr>
          <w:rFonts w:ascii="宋体" w:hAnsi="宋体"/>
          <w:bCs/>
          <w:color w:val="auto"/>
          <w:szCs w:val="21"/>
          <w:highlight w:val="none"/>
        </w:rPr>
      </w:pPr>
      <w:bookmarkStart w:id="41" w:name="_Toc86134333"/>
      <w:bookmarkStart w:id="42" w:name="_Toc61444119"/>
      <w:r>
        <w:rPr>
          <w:rFonts w:hint="eastAsia" w:ascii="宋体" w:hAnsi="宋体"/>
          <w:bCs/>
          <w:color w:val="auto"/>
          <w:szCs w:val="21"/>
          <w:highlight w:val="none"/>
        </w:rPr>
        <w:t>（2）投标人应当根据“项目技术要求和有关说明”的内容在上表中详细填写；</w:t>
      </w:r>
      <w:bookmarkEnd w:id="41"/>
      <w:bookmarkEnd w:id="42"/>
    </w:p>
    <w:p>
      <w:pPr>
        <w:spacing w:line="320" w:lineRule="exact"/>
        <w:ind w:firstLine="315" w:firstLineChars="150"/>
        <w:outlineLvl w:val="0"/>
        <w:rPr>
          <w:rFonts w:ascii="宋体" w:hAnsi="宋体"/>
          <w:bCs/>
          <w:color w:val="auto"/>
          <w:szCs w:val="21"/>
          <w:highlight w:val="none"/>
        </w:rPr>
      </w:pPr>
      <w:bookmarkStart w:id="43" w:name="_Toc86134334"/>
      <w:bookmarkStart w:id="44" w:name="_Toc61444120"/>
      <w:r>
        <w:rPr>
          <w:rFonts w:hint="eastAsia" w:ascii="宋体" w:hAnsi="宋体"/>
          <w:bCs/>
          <w:color w:val="auto"/>
          <w:szCs w:val="21"/>
          <w:highlight w:val="none"/>
        </w:rPr>
        <w:t>（3）表格不够可自行延长。</w:t>
      </w:r>
      <w:bookmarkEnd w:id="43"/>
      <w:bookmarkEnd w:id="44"/>
    </w:p>
    <w:p>
      <w:pPr>
        <w:ind w:firstLine="420" w:firstLineChars="175"/>
        <w:outlineLvl w:val="0"/>
        <w:rPr>
          <w:rFonts w:ascii="黑体" w:hAnsi="宋体" w:eastAsia="黑体"/>
          <w:bCs/>
          <w:color w:val="auto"/>
          <w:sz w:val="24"/>
          <w:szCs w:val="24"/>
          <w:highlight w:val="none"/>
        </w:rPr>
      </w:pPr>
    </w:p>
    <w:p>
      <w:pPr>
        <w:ind w:firstLine="420" w:firstLineChars="175"/>
        <w:outlineLvl w:val="0"/>
        <w:rPr>
          <w:rFonts w:ascii="黑体" w:hAnsi="宋体" w:eastAsia="黑体"/>
          <w:bCs/>
          <w:color w:val="auto"/>
          <w:sz w:val="24"/>
          <w:szCs w:val="24"/>
          <w:highlight w:val="none"/>
        </w:rPr>
      </w:pPr>
    </w:p>
    <w:p>
      <w:pPr>
        <w:pageBreakBefore/>
        <w:ind w:firstLine="420" w:firstLineChars="175"/>
        <w:outlineLvl w:val="0"/>
        <w:rPr>
          <w:rFonts w:ascii="黑体" w:eastAsia="黑体"/>
          <w:bCs/>
          <w:color w:val="auto"/>
          <w:sz w:val="28"/>
          <w:szCs w:val="28"/>
        </w:rPr>
      </w:pPr>
      <w:bookmarkStart w:id="45" w:name="_Toc86134335"/>
      <w:bookmarkStart w:id="46" w:name="_Toc61444121"/>
      <w:r>
        <w:rPr>
          <w:rFonts w:hint="eastAsia" w:ascii="黑体" w:hAnsi="宋体" w:eastAsia="黑体"/>
          <w:bCs/>
          <w:color w:val="auto"/>
          <w:sz w:val="24"/>
          <w:szCs w:val="24"/>
        </w:rPr>
        <w:t>（九）投标偏离表：</w:t>
      </w:r>
      <w:bookmarkEnd w:id="45"/>
      <w:bookmarkEnd w:id="46"/>
    </w:p>
    <w:p>
      <w:pPr>
        <w:ind w:firstLine="490" w:firstLineChars="175"/>
        <w:jc w:val="center"/>
        <w:outlineLvl w:val="0"/>
        <w:rPr>
          <w:rFonts w:ascii="黑体" w:eastAsia="黑体"/>
          <w:bCs/>
          <w:color w:val="auto"/>
          <w:sz w:val="28"/>
          <w:szCs w:val="28"/>
        </w:rPr>
      </w:pPr>
      <w:bookmarkStart w:id="47" w:name="_Toc61444122"/>
      <w:bookmarkStart w:id="48" w:name="_Toc86134336"/>
      <w:r>
        <w:rPr>
          <w:rFonts w:hint="eastAsia" w:ascii="黑体" w:eastAsia="黑体"/>
          <w:bCs/>
          <w:color w:val="auto"/>
          <w:sz w:val="28"/>
          <w:szCs w:val="28"/>
        </w:rPr>
        <w:t>投标偏离表</w:t>
      </w:r>
      <w:bookmarkEnd w:id="47"/>
      <w:bookmarkEnd w:id="48"/>
    </w:p>
    <w:p>
      <w:pPr>
        <w:spacing w:line="400" w:lineRule="exact"/>
        <w:jc w:val="center"/>
        <w:outlineLvl w:val="0"/>
        <w:rPr>
          <w:rFonts w:ascii="黑体" w:eastAsia="黑体"/>
          <w:bCs/>
          <w:color w:val="auto"/>
          <w:sz w:val="28"/>
          <w:szCs w:val="28"/>
        </w:rPr>
      </w:pPr>
    </w:p>
    <w:p>
      <w:pPr>
        <w:spacing w:line="400" w:lineRule="exact"/>
        <w:rPr>
          <w:rFonts w:hint="default" w:ascii="黑体" w:eastAsia="黑体"/>
          <w:bCs/>
          <w:color w:val="auto"/>
          <w:sz w:val="24"/>
          <w:szCs w:val="24"/>
          <w:lang w:val="en-US" w:eastAsia="zh-CN"/>
        </w:rPr>
      </w:pPr>
      <w:r>
        <w:rPr>
          <w:rFonts w:hint="eastAsia" w:ascii="黑体" w:eastAsia="黑体"/>
          <w:bCs/>
          <w:color w:val="auto"/>
          <w:sz w:val="24"/>
          <w:szCs w:val="24"/>
        </w:rPr>
        <w:t>投标人名称（盖章）                                  政府采购编号：HSCGZX(G)</w:t>
      </w:r>
      <w:r>
        <w:rPr>
          <w:rFonts w:hint="eastAsia" w:ascii="黑体" w:eastAsia="黑体"/>
          <w:bCs/>
          <w:color w:val="auto"/>
          <w:sz w:val="24"/>
          <w:szCs w:val="24"/>
          <w:lang w:val="en-US" w:eastAsia="zh-CN"/>
        </w:rPr>
        <w:t>20230062</w:t>
      </w:r>
    </w:p>
    <w:tbl>
      <w:tblPr>
        <w:tblStyle w:val="24"/>
        <w:tblW w:w="0" w:type="auto"/>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auto"/>
                <w:sz w:val="24"/>
                <w:szCs w:val="24"/>
              </w:rPr>
            </w:pPr>
            <w:r>
              <w:rPr>
                <w:rFonts w:hint="eastAsia" w:ascii="宋体" w:hAnsi="宋体"/>
                <w:b/>
                <w:bCs/>
                <w:color w:val="auto"/>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4"/>
                <w:szCs w:val="24"/>
              </w:rPr>
            </w:pPr>
            <w:r>
              <w:rPr>
                <w:rFonts w:hint="eastAsia" w:ascii="宋体" w:hAnsi="宋体"/>
                <w:b/>
                <w:bCs/>
                <w:color w:val="auto"/>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4"/>
                <w:szCs w:val="24"/>
              </w:rPr>
            </w:pPr>
            <w:r>
              <w:rPr>
                <w:rFonts w:hint="eastAsia" w:ascii="宋体" w:hAnsi="宋体"/>
                <w:b/>
                <w:bCs/>
                <w:color w:val="auto"/>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4"/>
                <w:szCs w:val="24"/>
              </w:rPr>
            </w:pPr>
            <w:r>
              <w:rPr>
                <w:rFonts w:hint="eastAsia" w:ascii="宋体" w:hAnsi="宋体"/>
                <w:b/>
                <w:bCs/>
                <w:color w:val="auto"/>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color w:val="auto"/>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bCs/>
                <w:color w:val="auto"/>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rPr>
            </w:pPr>
          </w:p>
        </w:tc>
      </w:tr>
    </w:tbl>
    <w:p>
      <w:pPr>
        <w:outlineLvl w:val="0"/>
        <w:rPr>
          <w:rFonts w:ascii="宋体" w:hAnsi="宋体"/>
          <w:bCs/>
          <w:color w:val="auto"/>
          <w:szCs w:val="21"/>
        </w:rPr>
      </w:pPr>
    </w:p>
    <w:p>
      <w:pPr>
        <w:outlineLvl w:val="0"/>
        <w:rPr>
          <w:rFonts w:ascii="宋体" w:hAnsi="宋体"/>
          <w:bCs/>
          <w:color w:val="auto"/>
          <w:szCs w:val="21"/>
        </w:rPr>
      </w:pPr>
      <w:bookmarkStart w:id="49" w:name="_Toc61444123"/>
      <w:bookmarkStart w:id="50" w:name="_Toc86134337"/>
      <w:r>
        <w:rPr>
          <w:rFonts w:hint="eastAsia"/>
          <w:b/>
          <w:bCs/>
          <w:color w:val="auto"/>
          <w:sz w:val="24"/>
          <w:szCs w:val="24"/>
        </w:rPr>
        <w:t>法定代表人或法定代表人授权代表签字或盖章：</w:t>
      </w:r>
      <w:bookmarkEnd w:id="49"/>
      <w:bookmarkEnd w:id="50"/>
    </w:p>
    <w:p>
      <w:pPr>
        <w:outlineLvl w:val="0"/>
        <w:rPr>
          <w:rFonts w:ascii="宋体" w:hAnsi="宋体"/>
          <w:bCs/>
          <w:color w:val="auto"/>
          <w:szCs w:val="21"/>
        </w:rPr>
      </w:pPr>
    </w:p>
    <w:p>
      <w:pPr>
        <w:ind w:firstLine="367" w:firstLineChars="175"/>
        <w:outlineLvl w:val="0"/>
        <w:rPr>
          <w:rFonts w:ascii="宋体" w:hAnsi="宋体"/>
          <w:bCs/>
          <w:color w:val="auto"/>
          <w:szCs w:val="21"/>
        </w:rPr>
      </w:pPr>
      <w:bookmarkStart w:id="51" w:name="_Toc61444124"/>
      <w:bookmarkStart w:id="52" w:name="_Toc86134338"/>
      <w:r>
        <w:rPr>
          <w:rFonts w:hint="eastAsia" w:ascii="宋体" w:hAnsi="宋体"/>
          <w:bCs/>
          <w:color w:val="auto"/>
          <w:szCs w:val="21"/>
        </w:rPr>
        <w:t>注：（1）本表不得删除；</w:t>
      </w:r>
      <w:bookmarkEnd w:id="51"/>
      <w:bookmarkEnd w:id="52"/>
    </w:p>
    <w:p>
      <w:pPr>
        <w:ind w:firstLine="367" w:firstLineChars="175"/>
        <w:outlineLvl w:val="0"/>
        <w:rPr>
          <w:rFonts w:ascii="宋体" w:hAnsi="宋体"/>
          <w:bCs/>
          <w:color w:val="auto"/>
          <w:szCs w:val="21"/>
        </w:rPr>
      </w:pPr>
      <w:bookmarkStart w:id="53" w:name="_Toc61444125"/>
      <w:bookmarkStart w:id="54" w:name="_Toc86134339"/>
      <w:r>
        <w:rPr>
          <w:rFonts w:hint="eastAsia" w:ascii="宋体" w:hAnsi="宋体"/>
          <w:bCs/>
          <w:color w:val="auto"/>
          <w:szCs w:val="21"/>
        </w:rPr>
        <w:t>（2）如无任何技术偏离，请于本表 “偏离说明”中注明“无偏离”；</w:t>
      </w:r>
      <w:bookmarkEnd w:id="53"/>
      <w:bookmarkEnd w:id="54"/>
    </w:p>
    <w:p>
      <w:pPr>
        <w:spacing w:before="5"/>
        <w:ind w:firstLine="420" w:firstLineChars="200"/>
        <w:rPr>
          <w:b/>
          <w:bCs/>
          <w:color w:val="auto"/>
          <w:sz w:val="24"/>
          <w:szCs w:val="24"/>
        </w:rPr>
      </w:pPr>
      <w:r>
        <w:rPr>
          <w:rFonts w:hint="eastAsia" w:ascii="宋体" w:hAnsi="宋体"/>
          <w:bCs/>
          <w:color w:val="auto"/>
          <w:szCs w:val="21"/>
        </w:rPr>
        <w:t xml:space="preserve">   （3）如有技术偏离项，请于本表中列明偏离内容，如需要可自行延长，其余无偏离内容不须赘述。</w:t>
      </w:r>
    </w:p>
    <w:p>
      <w:pPr>
        <w:ind w:firstLine="480" w:firstLineChars="200"/>
        <w:outlineLvl w:val="0"/>
        <w:rPr>
          <w:rFonts w:ascii="黑体" w:hAnsi="宋体" w:eastAsia="黑体"/>
          <w:bCs/>
          <w:color w:val="auto"/>
          <w:sz w:val="24"/>
          <w:szCs w:val="24"/>
        </w:rPr>
      </w:pPr>
    </w:p>
    <w:p>
      <w:pPr>
        <w:spacing w:line="560" w:lineRule="atLeast"/>
        <w:rPr>
          <w:color w:val="auto"/>
          <w:sz w:val="24"/>
        </w:rPr>
      </w:pPr>
    </w:p>
    <w:p>
      <w:pPr>
        <w:spacing w:line="560" w:lineRule="atLeast"/>
        <w:rPr>
          <w:color w:val="auto"/>
          <w:sz w:val="24"/>
        </w:rPr>
      </w:pPr>
    </w:p>
    <w:p>
      <w:pPr>
        <w:spacing w:line="560" w:lineRule="atLeast"/>
        <w:rPr>
          <w:color w:val="auto"/>
          <w:sz w:val="24"/>
        </w:rPr>
      </w:pPr>
    </w:p>
    <w:p>
      <w:pPr>
        <w:rPr>
          <w:rFonts w:ascii="黑体" w:hAnsi="宋体" w:eastAsia="黑体"/>
          <w:bCs/>
          <w:color w:val="auto"/>
          <w:sz w:val="24"/>
          <w:szCs w:val="24"/>
        </w:rPr>
      </w:pPr>
    </w:p>
    <w:p>
      <w:pPr>
        <w:spacing w:line="360" w:lineRule="auto"/>
        <w:jc w:val="center"/>
        <w:rPr>
          <w:rFonts w:ascii="黑体" w:hAnsi="宋体" w:eastAsia="黑体"/>
          <w:bCs/>
          <w:color w:val="auto"/>
          <w:sz w:val="24"/>
          <w:szCs w:val="24"/>
        </w:rPr>
      </w:pPr>
    </w:p>
    <w:p>
      <w:pPr>
        <w:rPr>
          <w:color w:val="auto"/>
        </w:rPr>
      </w:pPr>
    </w:p>
    <w:sectPr>
      <w:headerReference r:id="rId3" w:type="default"/>
      <w:footerReference r:id="rId4"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长城仿宋">
    <w:altName w:val="宋体"/>
    <w:panose1 w:val="00000000000000000000"/>
    <w:charset w:val="86"/>
    <w:family w:val="auto"/>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DengXian">
    <w:altName w:val="Arial Unicode MS"/>
    <w:panose1 w:val="00000000000000000000"/>
    <w:charset w:val="86"/>
    <w:family w:val="script"/>
    <w:pitch w:val="default"/>
    <w:sig w:usb0="00000000" w:usb1="00000000" w:usb2="00000016" w:usb3="00000000" w:csb0="0004000F" w:csb1="00000000"/>
  </w:font>
  <w:font w:name="Univers">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314837"/>
      <w:docPartObj>
        <w:docPartGallery w:val="autotext"/>
      </w:docPartObj>
    </w:sdtPr>
    <w:sdtContent>
      <w:p>
        <w:pPr>
          <w:pStyle w:val="15"/>
          <w:jc w:val="center"/>
        </w:pPr>
        <w:r>
          <w:fldChar w:fldCharType="begin"/>
        </w:r>
        <w:r>
          <w:instrText xml:space="preserve">PAGE   \* MERGEFORMAT</w:instrText>
        </w:r>
        <w:r>
          <w:fldChar w:fldCharType="separate"/>
        </w:r>
        <w:r>
          <w:rPr>
            <w:lang w:val="zh-CN"/>
          </w:rPr>
          <w:t>33</w:t>
        </w:r>
        <w: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ascii="方正小标宋_GBK" w:hAnsi="华文中宋" w:eastAsia="方正小标宋_GBK"/>
        <w:bCs/>
        <w:color w:val="auto"/>
        <w:sz w:val="15"/>
        <w:szCs w:val="15"/>
      </w:rPr>
      <w:t>HSCGZX(G)</w:t>
    </w:r>
    <w:r>
      <w:rPr>
        <w:rFonts w:hint="eastAsia" w:ascii="方正小标宋_GBK" w:hAnsi="华文中宋" w:eastAsia="方正小标宋_GBK"/>
        <w:bCs/>
        <w:color w:val="auto"/>
        <w:sz w:val="15"/>
        <w:szCs w:val="15"/>
        <w:lang w:val="en-US" w:eastAsia="zh-CN"/>
      </w:rPr>
      <w:t xml:space="preserve">20230062无锡市惠山区交通运输局交通执法一体化综合管理平台项目                               </w:t>
    </w:r>
    <w:r>
      <w:rPr>
        <w:rFonts w:hint="eastAsia" w:ascii="方正小标宋_GBK" w:hAnsi="华文中宋" w:eastAsia="方正小标宋_GBK"/>
        <w:bCs/>
        <w:sz w:val="15"/>
        <w:szCs w:val="15"/>
      </w:rPr>
      <w:t>无锡市惠山区政府采购中心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987"/>
        </w:tabs>
        <w:ind w:left="987" w:hanging="420"/>
      </w:pPr>
      <w:rPr>
        <w:rFonts w:cs="Times New Roman"/>
      </w:rPr>
    </w:lvl>
    <w:lvl w:ilvl="1" w:tentative="0">
      <w:start w:val="1"/>
      <w:numFmt w:val="decimal"/>
      <w:lvlText w:val="（%2）"/>
      <w:lvlJc w:val="left"/>
      <w:pPr>
        <w:tabs>
          <w:tab w:val="left" w:pos="2912"/>
        </w:tabs>
        <w:ind w:left="2912" w:hanging="360"/>
      </w:pPr>
      <w:rPr>
        <w:rFonts w:hint="eastAsia" w:ascii="宋体" w:hAnsi="宋体" w:eastAsia="宋体" w:cs="Times New Roman"/>
        <w:color w:val="auto"/>
      </w:rPr>
    </w:lvl>
    <w:lvl w:ilvl="2" w:tentative="0">
      <w:start w:val="1"/>
      <w:numFmt w:val="lowerRoman"/>
      <w:lvlText w:val="%3."/>
      <w:lvlJc w:val="right"/>
      <w:pPr>
        <w:tabs>
          <w:tab w:val="left" w:pos="1827"/>
        </w:tabs>
        <w:ind w:left="1827" w:hanging="420"/>
      </w:pPr>
      <w:rPr>
        <w:rFonts w:cs="Times New Roman"/>
      </w:rPr>
    </w:lvl>
    <w:lvl w:ilvl="3" w:tentative="0">
      <w:start w:val="1"/>
      <w:numFmt w:val="decimal"/>
      <w:lvlText w:val="%4."/>
      <w:lvlJc w:val="left"/>
      <w:pPr>
        <w:tabs>
          <w:tab w:val="left" w:pos="2247"/>
        </w:tabs>
        <w:ind w:left="2247" w:hanging="420"/>
      </w:pPr>
      <w:rPr>
        <w:rFonts w:cs="Times New Roman"/>
      </w:rPr>
    </w:lvl>
    <w:lvl w:ilvl="4" w:tentative="0">
      <w:start w:val="1"/>
      <w:numFmt w:val="lowerLetter"/>
      <w:lvlText w:val="%5)"/>
      <w:lvlJc w:val="left"/>
      <w:pPr>
        <w:tabs>
          <w:tab w:val="left" w:pos="2667"/>
        </w:tabs>
        <w:ind w:left="2667" w:hanging="420"/>
      </w:pPr>
      <w:rPr>
        <w:rFonts w:cs="Times New Roman"/>
      </w:rPr>
    </w:lvl>
    <w:lvl w:ilvl="5" w:tentative="0">
      <w:start w:val="1"/>
      <w:numFmt w:val="lowerRoman"/>
      <w:lvlText w:val="%6."/>
      <w:lvlJc w:val="right"/>
      <w:pPr>
        <w:tabs>
          <w:tab w:val="left" w:pos="3087"/>
        </w:tabs>
        <w:ind w:left="3087" w:hanging="420"/>
      </w:pPr>
      <w:rPr>
        <w:rFonts w:cs="Times New Roman"/>
      </w:rPr>
    </w:lvl>
    <w:lvl w:ilvl="6" w:tentative="0">
      <w:start w:val="1"/>
      <w:numFmt w:val="decimal"/>
      <w:lvlText w:val="%7."/>
      <w:lvlJc w:val="left"/>
      <w:pPr>
        <w:tabs>
          <w:tab w:val="left" w:pos="3507"/>
        </w:tabs>
        <w:ind w:left="3507" w:hanging="420"/>
      </w:pPr>
      <w:rPr>
        <w:rFonts w:cs="Times New Roman"/>
      </w:rPr>
    </w:lvl>
    <w:lvl w:ilvl="7" w:tentative="0">
      <w:start w:val="1"/>
      <w:numFmt w:val="lowerLetter"/>
      <w:lvlText w:val="%8)"/>
      <w:lvlJc w:val="left"/>
      <w:pPr>
        <w:tabs>
          <w:tab w:val="left" w:pos="3927"/>
        </w:tabs>
        <w:ind w:left="3927" w:hanging="420"/>
      </w:pPr>
      <w:rPr>
        <w:rFonts w:cs="Times New Roman"/>
      </w:rPr>
    </w:lvl>
    <w:lvl w:ilvl="8" w:tentative="0">
      <w:start w:val="1"/>
      <w:numFmt w:val="lowerRoman"/>
      <w:lvlText w:val="%9."/>
      <w:lvlJc w:val="right"/>
      <w:pPr>
        <w:tabs>
          <w:tab w:val="left" w:pos="4347"/>
        </w:tabs>
        <w:ind w:left="4347" w:hanging="420"/>
      </w:pPr>
      <w:rPr>
        <w:rFonts w:cs="Times New Roman"/>
      </w:rPr>
    </w:lvl>
  </w:abstractNum>
  <w:abstractNum w:abstractNumId="1">
    <w:nsid w:val="26D85E2D"/>
    <w:multiLevelType w:val="multilevel"/>
    <w:tmpl w:val="26D85E2D"/>
    <w:lvl w:ilvl="0" w:tentative="0">
      <w:start w:val="1"/>
      <w:numFmt w:val="decimal"/>
      <w:lvlText w:val="%1．"/>
      <w:lvlJc w:val="left"/>
      <w:pPr>
        <w:tabs>
          <w:tab w:val="left" w:pos="898"/>
        </w:tabs>
        <w:ind w:left="898" w:hanging="720"/>
      </w:pPr>
      <w:rPr>
        <w:rFonts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0C36D78"/>
    <w:multiLevelType w:val="singleLevel"/>
    <w:tmpl w:val="30C36D78"/>
    <w:lvl w:ilvl="0" w:tentative="0">
      <w:start w:val="1"/>
      <w:numFmt w:val="decimal"/>
      <w:lvlText w:val="%1．"/>
      <w:lvlJc w:val="left"/>
      <w:pPr>
        <w:tabs>
          <w:tab w:val="left" w:pos="1413"/>
        </w:tabs>
        <w:ind w:left="1413" w:hanging="420"/>
      </w:pPr>
      <w:rPr>
        <w:rFonts w:cs="Times New Roman"/>
      </w:rPr>
    </w:lvl>
  </w:abstractNum>
  <w:abstractNum w:abstractNumId="3">
    <w:nsid w:val="33713120"/>
    <w:multiLevelType w:val="singleLevel"/>
    <w:tmpl w:val="33713120"/>
    <w:lvl w:ilvl="0" w:tentative="0">
      <w:start w:val="1"/>
      <w:numFmt w:val="decimal"/>
      <w:lvlText w:val="%1."/>
      <w:lvlJc w:val="left"/>
      <w:pPr>
        <w:tabs>
          <w:tab w:val="left" w:pos="210"/>
        </w:tabs>
        <w:ind w:left="210" w:hanging="210"/>
      </w:pPr>
      <w:rPr>
        <w:rFonts w:hint="default" w:ascii="Times New Roman" w:hAnsi="Times New Roman" w:cs="Times New Roman"/>
      </w:rPr>
    </w:lvl>
  </w:abstractNum>
  <w:abstractNum w:abstractNumId="4">
    <w:nsid w:val="38705783"/>
    <w:multiLevelType w:val="singleLevel"/>
    <w:tmpl w:val="38705783"/>
    <w:lvl w:ilvl="0" w:tentative="0">
      <w:start w:val="1"/>
      <w:numFmt w:val="decimal"/>
      <w:lvlText w:val="%1．"/>
      <w:lvlJc w:val="left"/>
      <w:pPr>
        <w:tabs>
          <w:tab w:val="left" w:pos="6374"/>
        </w:tabs>
        <w:ind w:left="6374" w:hanging="420"/>
      </w:pPr>
      <w:rPr>
        <w:rFonts w:cs="Times New Roman"/>
      </w:rPr>
    </w:lvl>
  </w:abstractNum>
  <w:abstractNum w:abstractNumId="5">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6">
    <w:nsid w:val="3ED77073"/>
    <w:multiLevelType w:val="multilevel"/>
    <w:tmpl w:val="3ED77073"/>
    <w:lvl w:ilvl="0" w:tentative="0">
      <w:start w:val="1"/>
      <w:numFmt w:val="japaneseCounting"/>
      <w:lvlText w:val="（%1）"/>
      <w:lvlJc w:val="left"/>
      <w:pPr>
        <w:ind w:left="1200" w:hanging="720"/>
      </w:pPr>
      <w:rPr>
        <w:rFonts w:hint="eastAsia" w:ascii="黑体" w:hAnsi="黑体" w:eastAsia="黑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1DC48F5"/>
    <w:multiLevelType w:val="multilevel"/>
    <w:tmpl w:val="41DC48F5"/>
    <w:lvl w:ilvl="0" w:tentative="0">
      <w:start w:val="1"/>
      <w:numFmt w:val="decimal"/>
      <w:lvlText w:val="%1．"/>
      <w:lvlJc w:val="left"/>
      <w:pPr>
        <w:tabs>
          <w:tab w:val="left" w:pos="898"/>
        </w:tabs>
        <w:ind w:left="898" w:hanging="720"/>
      </w:pPr>
      <w:rPr>
        <w:rFonts w:cs="Times New Roman"/>
        <w:color w:val="000000"/>
      </w:rPr>
    </w:lvl>
    <w:lvl w:ilvl="1" w:tentative="0">
      <w:start w:val="3"/>
      <w:numFmt w:val="decimal"/>
      <w:lvlText w:val="%2."/>
      <w:lvlJc w:val="left"/>
      <w:pPr>
        <w:tabs>
          <w:tab w:val="left" w:pos="958"/>
        </w:tabs>
        <w:ind w:left="958" w:hanging="360"/>
      </w:pPr>
      <w:rPr>
        <w:rFonts w:cs="Times New Roman"/>
      </w:rPr>
    </w:lvl>
    <w:lvl w:ilvl="2" w:tentative="0">
      <w:start w:val="1"/>
      <w:numFmt w:val="decimalEnclosedCircle"/>
      <w:lvlText w:val="%3"/>
      <w:lvlJc w:val="left"/>
      <w:pPr>
        <w:tabs>
          <w:tab w:val="left" w:pos="1378"/>
        </w:tabs>
        <w:ind w:left="1378" w:hanging="360"/>
      </w:pPr>
      <w:rPr>
        <w:rFonts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8">
    <w:nsid w:val="4A1A1C51"/>
    <w:multiLevelType w:val="multilevel"/>
    <w:tmpl w:val="4A1A1C51"/>
    <w:lvl w:ilvl="0" w:tentative="0">
      <w:start w:val="1"/>
      <w:numFmt w:val="japaneseCounting"/>
      <w:lvlText w:val="（%1）"/>
      <w:lvlJc w:val="left"/>
      <w:pPr>
        <w:ind w:left="1305" w:hanging="825"/>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0">
    <w:nsid w:val="510B6456"/>
    <w:multiLevelType w:val="singleLevel"/>
    <w:tmpl w:val="510B6456"/>
    <w:lvl w:ilvl="0" w:tentative="0">
      <w:start w:val="1"/>
      <w:numFmt w:val="decimal"/>
      <w:lvlText w:val="%1．"/>
      <w:lvlJc w:val="left"/>
      <w:pPr>
        <w:tabs>
          <w:tab w:val="left" w:pos="2547"/>
        </w:tabs>
        <w:ind w:left="2547" w:hanging="420"/>
      </w:pPr>
      <w:rPr>
        <w:rFonts w:cs="Times New Roman"/>
      </w:rPr>
    </w:lvl>
  </w:abstractNum>
  <w:abstractNum w:abstractNumId="11">
    <w:nsid w:val="630C1BC3"/>
    <w:multiLevelType w:val="multilevel"/>
    <w:tmpl w:val="630C1BC3"/>
    <w:lvl w:ilvl="0" w:tentative="0">
      <w:start w:val="1"/>
      <w:numFmt w:val="decimal"/>
      <w:lvlText w:val="%1."/>
      <w:lvlJc w:val="left"/>
      <w:pPr>
        <w:tabs>
          <w:tab w:val="left" w:pos="510"/>
        </w:tabs>
        <w:ind w:left="510" w:hanging="360"/>
      </w:pPr>
      <w:rPr>
        <w:rFonts w:cs="Times New Roman"/>
      </w:rPr>
    </w:lvl>
    <w:lvl w:ilvl="1" w:tentative="0">
      <w:start w:val="1"/>
      <w:numFmt w:val="decimal"/>
      <w:lvlText w:val="%2．"/>
      <w:lvlJc w:val="left"/>
      <w:pPr>
        <w:tabs>
          <w:tab w:val="left" w:pos="2988"/>
        </w:tabs>
        <w:ind w:left="2988" w:hanging="720"/>
      </w:pPr>
      <w:rPr>
        <w:rFonts w:cs="Times New Roman"/>
      </w:rPr>
    </w:lvl>
    <w:lvl w:ilvl="2" w:tentative="0">
      <w:start w:val="3"/>
      <w:numFmt w:val="decimal"/>
      <w:lvlText w:val="（%3）"/>
      <w:lvlJc w:val="left"/>
      <w:pPr>
        <w:tabs>
          <w:tab w:val="left" w:pos="1140"/>
        </w:tabs>
        <w:ind w:left="1140" w:hanging="720"/>
      </w:pPr>
      <w:rPr>
        <w:rFonts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271"/>
        </w:tabs>
        <w:ind w:left="1271" w:hanging="420"/>
      </w:pPr>
      <w:rPr>
        <w:rFonts w:cs="Times New Roman"/>
        <w:b/>
      </w:rPr>
    </w:lvl>
    <w:lvl w:ilvl="5" w:tentative="0">
      <w:start w:val="10"/>
      <w:numFmt w:val="japaneseCounting"/>
      <w:lvlText w:val="（%6）"/>
      <w:lvlJc w:val="left"/>
      <w:pPr>
        <w:ind w:left="2970" w:hanging="720"/>
      </w:pPr>
      <w:rPr>
        <w:rFonts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2">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666030AB"/>
    <w:multiLevelType w:val="multilevel"/>
    <w:tmpl w:val="666030AB"/>
    <w:lvl w:ilvl="0" w:tentative="0">
      <w:start w:val="1"/>
      <w:numFmt w:val="decimal"/>
      <w:lvlText w:val="（%1）"/>
      <w:lvlJc w:val="left"/>
      <w:pPr>
        <w:tabs>
          <w:tab w:val="left" w:pos="1710"/>
        </w:tabs>
        <w:ind w:left="1710" w:hanging="720"/>
      </w:pPr>
      <w:rPr>
        <w:rFonts w:cs="Times New Roman"/>
      </w:rPr>
    </w:lvl>
    <w:lvl w:ilvl="1" w:tentative="0">
      <w:start w:val="2"/>
      <w:numFmt w:val="decimal"/>
      <w:lvlText w:val="%2."/>
      <w:lvlJc w:val="left"/>
      <w:pPr>
        <w:tabs>
          <w:tab w:val="left" w:pos="1770"/>
        </w:tabs>
        <w:ind w:left="1770" w:hanging="360"/>
      </w:pPr>
      <w:rPr>
        <w:rFonts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4">
    <w:nsid w:val="691E62C6"/>
    <w:multiLevelType w:val="multilevel"/>
    <w:tmpl w:val="691E62C6"/>
    <w:lvl w:ilvl="0" w:tentative="0">
      <w:start w:val="2"/>
      <w:numFmt w:val="japaneseCounting"/>
      <w:lvlText w:val="（%1）"/>
      <w:lvlJc w:val="left"/>
      <w:pPr>
        <w:tabs>
          <w:tab w:val="left" w:pos="1200"/>
        </w:tabs>
        <w:ind w:left="1200" w:hanging="720"/>
      </w:pPr>
      <w:rPr>
        <w:rFonts w:hint="eastAsia" w:ascii="黑体" w:hAnsi="黑体" w:eastAsia="黑体"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5">
    <w:nsid w:val="6EE101FC"/>
    <w:multiLevelType w:val="singleLevel"/>
    <w:tmpl w:val="6EE101FC"/>
    <w:lvl w:ilvl="0" w:tentative="0">
      <w:start w:val="1"/>
      <w:numFmt w:val="decimal"/>
      <w:lvlText w:val="%1．"/>
      <w:lvlJc w:val="left"/>
      <w:pPr>
        <w:tabs>
          <w:tab w:val="left" w:pos="570"/>
        </w:tabs>
        <w:ind w:left="570" w:hanging="420"/>
      </w:pPr>
      <w:rPr>
        <w:rFonts w:cs="Times New Roman"/>
      </w:rPr>
    </w:lvl>
  </w:abstractNum>
  <w:abstractNum w:abstractNumId="16">
    <w:nsid w:val="7A672089"/>
    <w:multiLevelType w:val="singleLevel"/>
    <w:tmpl w:val="7A672089"/>
    <w:lvl w:ilvl="0" w:tentative="0">
      <w:start w:val="1"/>
      <w:numFmt w:val="decimal"/>
      <w:lvlText w:val="%1."/>
      <w:lvlJc w:val="left"/>
      <w:pPr>
        <w:tabs>
          <w:tab w:val="left" w:pos="1061"/>
        </w:tabs>
        <w:ind w:left="1061" w:hanging="210"/>
      </w:pPr>
      <w:rPr>
        <w:rFonts w:hint="eastAsia" w:ascii="宋体" w:hAnsi="宋体" w:eastAsia="宋体"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num>
  <w:num w:numId="9">
    <w:abstractNumId w:val="5"/>
    <w:lvlOverride w:ilvl="0">
      <w:startOverride w:val="1"/>
    </w:lvlOverride>
  </w:num>
  <w:num w:numId="10">
    <w:abstractNumId w:val="1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15"/>
    <w:lvlOverride w:ilvl="0">
      <w:startOverride w:val="1"/>
    </w:lvlOverride>
  </w:num>
  <w:num w:numId="1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num>
  <w:num w:numId="16">
    <w:abstractNumId w:val="1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WYzMzU5ZDc2ZjAwMzI1MmYzN2QwZDUxY2FhZDQifQ=="/>
  </w:docVars>
  <w:rsids>
    <w:rsidRoot w:val="00151B87"/>
    <w:rsid w:val="0001752D"/>
    <w:rsid w:val="00027A2E"/>
    <w:rsid w:val="00062B85"/>
    <w:rsid w:val="000A261D"/>
    <w:rsid w:val="000B77C4"/>
    <w:rsid w:val="000B7D6D"/>
    <w:rsid w:val="000C6906"/>
    <w:rsid w:val="000E0B6C"/>
    <w:rsid w:val="00130D3C"/>
    <w:rsid w:val="00132ABE"/>
    <w:rsid w:val="001338D8"/>
    <w:rsid w:val="00145982"/>
    <w:rsid w:val="00151B87"/>
    <w:rsid w:val="00164463"/>
    <w:rsid w:val="00180AC2"/>
    <w:rsid w:val="001B23AC"/>
    <w:rsid w:val="001D57D5"/>
    <w:rsid w:val="001F4CB1"/>
    <w:rsid w:val="00217ED7"/>
    <w:rsid w:val="00221039"/>
    <w:rsid w:val="00225A69"/>
    <w:rsid w:val="00234901"/>
    <w:rsid w:val="00247DEC"/>
    <w:rsid w:val="00277E16"/>
    <w:rsid w:val="002C54CA"/>
    <w:rsid w:val="002F0260"/>
    <w:rsid w:val="003B2EED"/>
    <w:rsid w:val="003E0B09"/>
    <w:rsid w:val="003F5639"/>
    <w:rsid w:val="00403BB8"/>
    <w:rsid w:val="004157F0"/>
    <w:rsid w:val="00434F2D"/>
    <w:rsid w:val="00475517"/>
    <w:rsid w:val="00494FF3"/>
    <w:rsid w:val="004C4BF4"/>
    <w:rsid w:val="004C5CBF"/>
    <w:rsid w:val="004E4942"/>
    <w:rsid w:val="004F1C9A"/>
    <w:rsid w:val="004F34E7"/>
    <w:rsid w:val="00506E71"/>
    <w:rsid w:val="00511656"/>
    <w:rsid w:val="0051677B"/>
    <w:rsid w:val="00542BBA"/>
    <w:rsid w:val="00551E0F"/>
    <w:rsid w:val="005639FD"/>
    <w:rsid w:val="005817A3"/>
    <w:rsid w:val="005826DC"/>
    <w:rsid w:val="005A2A9B"/>
    <w:rsid w:val="005E01C0"/>
    <w:rsid w:val="00602750"/>
    <w:rsid w:val="00615401"/>
    <w:rsid w:val="006210E1"/>
    <w:rsid w:val="00656D6B"/>
    <w:rsid w:val="00665E7F"/>
    <w:rsid w:val="006977BA"/>
    <w:rsid w:val="006A51EF"/>
    <w:rsid w:val="006F1833"/>
    <w:rsid w:val="00741305"/>
    <w:rsid w:val="007639EB"/>
    <w:rsid w:val="007D18CB"/>
    <w:rsid w:val="007D3F6C"/>
    <w:rsid w:val="007F0F55"/>
    <w:rsid w:val="008038F6"/>
    <w:rsid w:val="0081465D"/>
    <w:rsid w:val="0083347E"/>
    <w:rsid w:val="00843E57"/>
    <w:rsid w:val="00865BF0"/>
    <w:rsid w:val="008977F9"/>
    <w:rsid w:val="008C54B0"/>
    <w:rsid w:val="008F4253"/>
    <w:rsid w:val="009252F9"/>
    <w:rsid w:val="0098419A"/>
    <w:rsid w:val="009D1861"/>
    <w:rsid w:val="009D37A2"/>
    <w:rsid w:val="009F046E"/>
    <w:rsid w:val="00A44BA6"/>
    <w:rsid w:val="00A616D6"/>
    <w:rsid w:val="00A929D8"/>
    <w:rsid w:val="00AB5219"/>
    <w:rsid w:val="00AD79CF"/>
    <w:rsid w:val="00AF168A"/>
    <w:rsid w:val="00AF2DCD"/>
    <w:rsid w:val="00AF3F0D"/>
    <w:rsid w:val="00B20602"/>
    <w:rsid w:val="00B52701"/>
    <w:rsid w:val="00B54040"/>
    <w:rsid w:val="00BA2CE5"/>
    <w:rsid w:val="00BD3E0D"/>
    <w:rsid w:val="00C11490"/>
    <w:rsid w:val="00C17BD0"/>
    <w:rsid w:val="00C31FB2"/>
    <w:rsid w:val="00C405F5"/>
    <w:rsid w:val="00C476BE"/>
    <w:rsid w:val="00C5225F"/>
    <w:rsid w:val="00C91A3E"/>
    <w:rsid w:val="00CF7A8C"/>
    <w:rsid w:val="00D227A6"/>
    <w:rsid w:val="00D6483C"/>
    <w:rsid w:val="00D64EB2"/>
    <w:rsid w:val="00D74BE4"/>
    <w:rsid w:val="00D7604A"/>
    <w:rsid w:val="00D82C31"/>
    <w:rsid w:val="00D976D4"/>
    <w:rsid w:val="00DA282A"/>
    <w:rsid w:val="00DB1045"/>
    <w:rsid w:val="00DD0892"/>
    <w:rsid w:val="00DF5CD4"/>
    <w:rsid w:val="00E60C51"/>
    <w:rsid w:val="00E7357F"/>
    <w:rsid w:val="00E85BA5"/>
    <w:rsid w:val="00E93A90"/>
    <w:rsid w:val="00EC561A"/>
    <w:rsid w:val="00EE6BB0"/>
    <w:rsid w:val="00F42AEE"/>
    <w:rsid w:val="00F949F4"/>
    <w:rsid w:val="00FC0342"/>
    <w:rsid w:val="00FF3754"/>
    <w:rsid w:val="01DA2991"/>
    <w:rsid w:val="02DA63DE"/>
    <w:rsid w:val="03DD7A16"/>
    <w:rsid w:val="0D0E61C1"/>
    <w:rsid w:val="0FD9235F"/>
    <w:rsid w:val="0FF24D67"/>
    <w:rsid w:val="105C13F1"/>
    <w:rsid w:val="132E6164"/>
    <w:rsid w:val="193D19EC"/>
    <w:rsid w:val="1D835251"/>
    <w:rsid w:val="21D20C6A"/>
    <w:rsid w:val="289B3D96"/>
    <w:rsid w:val="2EED6B95"/>
    <w:rsid w:val="30676C54"/>
    <w:rsid w:val="346A14AE"/>
    <w:rsid w:val="3F84237D"/>
    <w:rsid w:val="435F19FB"/>
    <w:rsid w:val="48396CD0"/>
    <w:rsid w:val="4E573A0C"/>
    <w:rsid w:val="4F4B1C71"/>
    <w:rsid w:val="589F4899"/>
    <w:rsid w:val="5AB3403C"/>
    <w:rsid w:val="5E533E87"/>
    <w:rsid w:val="60DD2497"/>
    <w:rsid w:val="673A3CD1"/>
    <w:rsid w:val="749144A7"/>
    <w:rsid w:val="7BE67AA6"/>
    <w:rsid w:val="7E33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5"/>
    <w:qFormat/>
    <w:uiPriority w:val="0"/>
    <w:pPr>
      <w:keepNext/>
      <w:jc w:val="center"/>
      <w:outlineLvl w:val="0"/>
    </w:pPr>
    <w:rPr>
      <w:b/>
      <w:bCs/>
      <w:kern w:val="44"/>
      <w:sz w:val="44"/>
      <w:szCs w:val="44"/>
    </w:rPr>
  </w:style>
  <w:style w:type="paragraph" w:styleId="3">
    <w:name w:val="heading 2"/>
    <w:basedOn w:val="1"/>
    <w:next w:val="1"/>
    <w:link w:val="36"/>
    <w:semiHidden/>
    <w:unhideWhenUsed/>
    <w:qFormat/>
    <w:uiPriority w:val="0"/>
    <w:pPr>
      <w:keepNext/>
      <w:jc w:val="center"/>
      <w:outlineLvl w:val="1"/>
    </w:pPr>
    <w:rPr>
      <w:rFonts w:ascii="Cambria" w:hAnsi="Cambria"/>
      <w:b/>
      <w:bCs/>
      <w:kern w:val="0"/>
      <w:sz w:val="32"/>
      <w:szCs w:val="32"/>
    </w:rPr>
  </w:style>
  <w:style w:type="paragraph" w:styleId="4">
    <w:name w:val="heading 3"/>
    <w:basedOn w:val="1"/>
    <w:next w:val="1"/>
    <w:link w:val="37"/>
    <w:semiHidden/>
    <w:unhideWhenUsed/>
    <w:qFormat/>
    <w:uiPriority w:val="0"/>
    <w:pPr>
      <w:keepNext/>
      <w:jc w:val="center"/>
      <w:outlineLvl w:val="2"/>
    </w:pPr>
    <w:rPr>
      <w:b/>
      <w:bCs/>
      <w:kern w:val="0"/>
      <w:sz w:val="32"/>
      <w:szCs w:val="32"/>
    </w:rPr>
  </w:style>
  <w:style w:type="paragraph" w:styleId="5">
    <w:name w:val="heading 4"/>
    <w:basedOn w:val="1"/>
    <w:next w:val="1"/>
    <w:link w:val="38"/>
    <w:semiHidden/>
    <w:unhideWhenUsed/>
    <w:qFormat/>
    <w:uiPriority w:val="0"/>
    <w:pPr>
      <w:keepNext/>
      <w:jc w:val="center"/>
      <w:outlineLvl w:val="3"/>
    </w:pPr>
    <w:rPr>
      <w:rFonts w:ascii="Cambria" w:hAnsi="Cambria"/>
      <w:b/>
      <w:bCs/>
      <w:kern w:val="0"/>
      <w:sz w:val="28"/>
      <w:szCs w:val="28"/>
    </w:rPr>
  </w:style>
  <w:style w:type="paragraph" w:styleId="6">
    <w:name w:val="heading 5"/>
    <w:basedOn w:val="1"/>
    <w:next w:val="1"/>
    <w:link w:val="39"/>
    <w:semiHidden/>
    <w:unhideWhenUsed/>
    <w:qFormat/>
    <w:uiPriority w:val="0"/>
    <w:pPr>
      <w:keepNext/>
      <w:tabs>
        <w:tab w:val="left" w:pos="360"/>
      </w:tabs>
      <w:ind w:left="360" w:hanging="360"/>
      <w:outlineLvl w:val="4"/>
    </w:pPr>
    <w:rPr>
      <w:rFonts w:ascii="楷体_GB2312" w:eastAsia="楷体_GB2312"/>
      <w:bCs/>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0"/>
    <w:semiHidden/>
    <w:unhideWhenUsed/>
    <w:qFormat/>
    <w:uiPriority w:val="0"/>
    <w:pPr>
      <w:ind w:firstLine="420"/>
    </w:pPr>
    <w:rPr>
      <w:rFonts w:asciiTheme="minorHAnsi" w:hAnsiTheme="minorHAnsi" w:eastAsiaTheme="minorEastAsia" w:cstheme="minorBidi"/>
      <w:szCs w:val="22"/>
    </w:rPr>
  </w:style>
  <w:style w:type="paragraph" w:styleId="8">
    <w:name w:val="Document Map"/>
    <w:basedOn w:val="1"/>
    <w:link w:val="50"/>
    <w:semiHidden/>
    <w:unhideWhenUsed/>
    <w:qFormat/>
    <w:uiPriority w:val="99"/>
    <w:pPr>
      <w:shd w:val="clear" w:color="auto" w:fill="000080"/>
    </w:pPr>
    <w:rPr>
      <w:kern w:val="0"/>
      <w:sz w:val="2"/>
    </w:rPr>
  </w:style>
  <w:style w:type="paragraph" w:styleId="9">
    <w:name w:val="annotation text"/>
    <w:basedOn w:val="1"/>
    <w:link w:val="41"/>
    <w:semiHidden/>
    <w:unhideWhenUsed/>
    <w:qFormat/>
    <w:uiPriority w:val="99"/>
    <w:pPr>
      <w:jc w:val="left"/>
    </w:pPr>
  </w:style>
  <w:style w:type="paragraph" w:styleId="10">
    <w:name w:val="Body Text"/>
    <w:basedOn w:val="1"/>
    <w:link w:val="43"/>
    <w:semiHidden/>
    <w:unhideWhenUsed/>
    <w:qFormat/>
    <w:uiPriority w:val="99"/>
    <w:rPr>
      <w:kern w:val="0"/>
      <w:sz w:val="20"/>
    </w:rPr>
  </w:style>
  <w:style w:type="paragraph" w:styleId="11">
    <w:name w:val="Body Text Indent"/>
    <w:basedOn w:val="1"/>
    <w:link w:val="44"/>
    <w:semiHidden/>
    <w:unhideWhenUsed/>
    <w:qFormat/>
    <w:uiPriority w:val="99"/>
    <w:pPr>
      <w:ind w:firstLine="576"/>
    </w:pPr>
    <w:rPr>
      <w:kern w:val="0"/>
      <w:sz w:val="20"/>
    </w:rPr>
  </w:style>
  <w:style w:type="paragraph" w:styleId="12">
    <w:name w:val="Date"/>
    <w:basedOn w:val="1"/>
    <w:next w:val="1"/>
    <w:link w:val="46"/>
    <w:semiHidden/>
    <w:unhideWhenUsed/>
    <w:qFormat/>
    <w:uiPriority w:val="99"/>
    <w:rPr>
      <w:kern w:val="0"/>
      <w:sz w:val="20"/>
    </w:rPr>
  </w:style>
  <w:style w:type="paragraph" w:styleId="13">
    <w:name w:val="Body Text Indent 2"/>
    <w:basedOn w:val="1"/>
    <w:link w:val="48"/>
    <w:semiHidden/>
    <w:unhideWhenUsed/>
    <w:qFormat/>
    <w:uiPriority w:val="99"/>
    <w:pPr>
      <w:ind w:left="900"/>
    </w:pPr>
    <w:rPr>
      <w:kern w:val="0"/>
      <w:sz w:val="20"/>
    </w:rPr>
  </w:style>
  <w:style w:type="paragraph" w:styleId="14">
    <w:name w:val="Balloon Text"/>
    <w:basedOn w:val="1"/>
    <w:link w:val="52"/>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link w:val="45"/>
    <w:qFormat/>
    <w:uiPriority w:val="11"/>
    <w:pPr>
      <w:spacing w:before="240" w:after="60" w:line="312" w:lineRule="auto"/>
      <w:jc w:val="center"/>
      <w:outlineLvl w:val="1"/>
    </w:pPr>
    <w:rPr>
      <w:rFonts w:ascii="Calibri Light" w:hAnsi="Calibri Light"/>
      <w:b/>
      <w:bCs/>
      <w:kern w:val="28"/>
      <w:sz w:val="32"/>
      <w:szCs w:val="32"/>
    </w:rPr>
  </w:style>
  <w:style w:type="paragraph" w:styleId="19">
    <w:name w:val="Body Text Indent 3"/>
    <w:basedOn w:val="1"/>
    <w:link w:val="49"/>
    <w:semiHidden/>
    <w:unhideWhenUsed/>
    <w:qFormat/>
    <w:uiPriority w:val="99"/>
    <w:pPr>
      <w:ind w:left="359" w:leftChars="171" w:firstLine="359" w:firstLineChars="171"/>
    </w:pPr>
    <w:rPr>
      <w:kern w:val="0"/>
      <w:sz w:val="16"/>
      <w:szCs w:val="16"/>
    </w:rPr>
  </w:style>
  <w:style w:type="paragraph" w:styleId="20">
    <w:name w:val="Body Text 2"/>
    <w:basedOn w:val="1"/>
    <w:link w:val="47"/>
    <w:unhideWhenUsed/>
    <w:qFormat/>
    <w:uiPriority w:val="99"/>
    <w:pPr>
      <w:spacing w:after="120" w:line="480" w:lineRule="auto"/>
    </w:pPr>
    <w:rPr>
      <w:kern w:val="0"/>
      <w:sz w:val="20"/>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42"/>
    <w:qFormat/>
    <w:uiPriority w:val="99"/>
    <w:pPr>
      <w:overflowPunct w:val="0"/>
      <w:autoSpaceDE w:val="0"/>
      <w:autoSpaceDN w:val="0"/>
      <w:adjustRightInd w:val="0"/>
      <w:snapToGrid w:val="0"/>
      <w:spacing w:before="240" w:after="60" w:line="336" w:lineRule="auto"/>
      <w:ind w:firstLine="200" w:firstLineChars="200"/>
      <w:jc w:val="center"/>
      <w:outlineLvl w:val="0"/>
    </w:pPr>
    <w:rPr>
      <w:rFonts w:ascii="Cambria" w:hAnsi="Cambria" w:cs="Cambria"/>
      <w:b/>
      <w:bCs/>
      <w:sz w:val="32"/>
      <w:szCs w:val="32"/>
    </w:rPr>
  </w:style>
  <w:style w:type="paragraph" w:styleId="23">
    <w:name w:val="annotation subject"/>
    <w:basedOn w:val="9"/>
    <w:next w:val="9"/>
    <w:link w:val="51"/>
    <w:semiHidden/>
    <w:unhideWhenUsed/>
    <w:qFormat/>
    <w:uiPriority w:val="99"/>
    <w:rPr>
      <w:b/>
      <w:bCs/>
    </w:rPr>
  </w:style>
  <w:style w:type="table" w:styleId="25">
    <w:name w:val="Table Grid"/>
    <w:basedOn w:val="24"/>
    <w:qFormat/>
    <w:uiPriority w:val="99"/>
    <w:rPr>
      <w:rFonts w:ascii="Times" w:hAnsi="Times" w:eastAsia="宋体" w:cs="Times"/>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qFormat/>
    <w:uiPriority w:val="0"/>
    <w:rPr>
      <w:rFonts w:hint="default" w:ascii="Times New Roman" w:hAnsi="Times New Roman" w:cs="Times New Roman"/>
      <w:b/>
      <w:bCs/>
    </w:rPr>
  </w:style>
  <w:style w:type="character" w:styleId="28">
    <w:name w:val="page number"/>
    <w:semiHidden/>
    <w:unhideWhenUsed/>
    <w:qFormat/>
    <w:uiPriority w:val="0"/>
    <w:rPr>
      <w:rFonts w:hint="default" w:ascii="Times New Roman" w:hAnsi="Times New Roman" w:cs="Times New Roman"/>
    </w:rPr>
  </w:style>
  <w:style w:type="character" w:styleId="29">
    <w:name w:val="FollowedHyperlink"/>
    <w:basedOn w:val="26"/>
    <w:semiHidden/>
    <w:unhideWhenUsed/>
    <w:qFormat/>
    <w:uiPriority w:val="99"/>
    <w:rPr>
      <w:color w:val="800080" w:themeColor="followedHyperlink"/>
      <w:u w:val="single"/>
      <w14:textFill>
        <w14:solidFill>
          <w14:schemeClr w14:val="folHlink"/>
        </w14:solidFill>
      </w14:textFill>
    </w:rPr>
  </w:style>
  <w:style w:type="character" w:styleId="30">
    <w:name w:val="HTML Typewriter"/>
    <w:semiHidden/>
    <w:unhideWhenUsed/>
    <w:qFormat/>
    <w:uiPriority w:val="99"/>
    <w:rPr>
      <w:rFonts w:hint="eastAsia" w:ascii="宋体" w:hAnsi="宋体" w:eastAsia="宋体" w:cs="宋体"/>
      <w:sz w:val="24"/>
      <w:szCs w:val="24"/>
    </w:rPr>
  </w:style>
  <w:style w:type="character" w:styleId="31">
    <w:name w:val="Hyperlink"/>
    <w:unhideWhenUsed/>
    <w:qFormat/>
    <w:uiPriority w:val="99"/>
    <w:rPr>
      <w:rFonts w:hint="default" w:ascii="Times New Roman" w:hAnsi="Times New Roman" w:cs="Times New Roman"/>
      <w:color w:val="auto"/>
      <w:u w:val="none"/>
    </w:rPr>
  </w:style>
  <w:style w:type="character" w:styleId="32">
    <w:name w:val="annotation reference"/>
    <w:semiHidden/>
    <w:unhideWhenUsed/>
    <w:qFormat/>
    <w:uiPriority w:val="99"/>
    <w:rPr>
      <w:sz w:val="21"/>
      <w:szCs w:val="21"/>
    </w:rPr>
  </w:style>
  <w:style w:type="character" w:customStyle="1" w:styleId="33">
    <w:name w:val="页眉 Char"/>
    <w:basedOn w:val="26"/>
    <w:link w:val="16"/>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标题 1 Char"/>
    <w:basedOn w:val="26"/>
    <w:link w:val="2"/>
    <w:qFormat/>
    <w:uiPriority w:val="0"/>
    <w:rPr>
      <w:rFonts w:ascii="Times New Roman" w:hAnsi="Times New Roman" w:eastAsia="宋体" w:cs="Times New Roman"/>
      <w:b/>
      <w:bCs/>
      <w:kern w:val="44"/>
      <w:sz w:val="44"/>
      <w:szCs w:val="44"/>
    </w:rPr>
  </w:style>
  <w:style w:type="character" w:customStyle="1" w:styleId="36">
    <w:name w:val="标题 2 Char"/>
    <w:basedOn w:val="26"/>
    <w:link w:val="3"/>
    <w:semiHidden/>
    <w:qFormat/>
    <w:uiPriority w:val="0"/>
    <w:rPr>
      <w:rFonts w:ascii="Cambria" w:hAnsi="Cambria" w:eastAsia="宋体" w:cs="Times New Roman"/>
      <w:b/>
      <w:bCs/>
      <w:kern w:val="0"/>
      <w:sz w:val="32"/>
      <w:szCs w:val="32"/>
    </w:rPr>
  </w:style>
  <w:style w:type="character" w:customStyle="1" w:styleId="37">
    <w:name w:val="标题 3 Char"/>
    <w:basedOn w:val="26"/>
    <w:link w:val="4"/>
    <w:semiHidden/>
    <w:qFormat/>
    <w:uiPriority w:val="0"/>
    <w:rPr>
      <w:rFonts w:ascii="Times New Roman" w:hAnsi="Times New Roman" w:eastAsia="宋体" w:cs="Times New Roman"/>
      <w:b/>
      <w:bCs/>
      <w:kern w:val="0"/>
      <w:sz w:val="32"/>
      <w:szCs w:val="32"/>
    </w:rPr>
  </w:style>
  <w:style w:type="character" w:customStyle="1" w:styleId="38">
    <w:name w:val="标题 4 Char"/>
    <w:basedOn w:val="26"/>
    <w:link w:val="5"/>
    <w:semiHidden/>
    <w:qFormat/>
    <w:uiPriority w:val="0"/>
    <w:rPr>
      <w:rFonts w:ascii="Cambria" w:hAnsi="Cambria" w:eastAsia="宋体" w:cs="Times New Roman"/>
      <w:b/>
      <w:bCs/>
      <w:kern w:val="0"/>
      <w:sz w:val="28"/>
      <w:szCs w:val="28"/>
    </w:rPr>
  </w:style>
  <w:style w:type="character" w:customStyle="1" w:styleId="39">
    <w:name w:val="标题 5 Char"/>
    <w:basedOn w:val="26"/>
    <w:link w:val="6"/>
    <w:semiHidden/>
    <w:qFormat/>
    <w:uiPriority w:val="0"/>
    <w:rPr>
      <w:rFonts w:ascii="楷体_GB2312" w:hAnsi="Times New Roman" w:eastAsia="楷体_GB2312" w:cs="Times New Roman"/>
      <w:bCs/>
      <w:sz w:val="28"/>
      <w:szCs w:val="20"/>
    </w:rPr>
  </w:style>
  <w:style w:type="character" w:customStyle="1" w:styleId="40">
    <w:name w:val="正文缩进 Char"/>
    <w:link w:val="7"/>
    <w:semiHidden/>
    <w:qFormat/>
    <w:locked/>
    <w:uiPriority w:val="0"/>
  </w:style>
  <w:style w:type="character" w:customStyle="1" w:styleId="41">
    <w:name w:val="批注文字 Char"/>
    <w:basedOn w:val="26"/>
    <w:link w:val="9"/>
    <w:semiHidden/>
    <w:qFormat/>
    <w:uiPriority w:val="99"/>
    <w:rPr>
      <w:rFonts w:ascii="Times New Roman" w:hAnsi="Times New Roman" w:eastAsia="宋体" w:cs="Times New Roman"/>
      <w:szCs w:val="20"/>
    </w:rPr>
  </w:style>
  <w:style w:type="character" w:customStyle="1" w:styleId="42">
    <w:name w:val="标题 Char"/>
    <w:basedOn w:val="26"/>
    <w:link w:val="22"/>
    <w:qFormat/>
    <w:uiPriority w:val="99"/>
    <w:rPr>
      <w:rFonts w:ascii="Cambria" w:hAnsi="Cambria" w:eastAsia="宋体" w:cs="Cambria"/>
      <w:b/>
      <w:bCs/>
      <w:sz w:val="32"/>
      <w:szCs w:val="32"/>
    </w:rPr>
  </w:style>
  <w:style w:type="character" w:customStyle="1" w:styleId="43">
    <w:name w:val="正文文本 Char"/>
    <w:basedOn w:val="26"/>
    <w:link w:val="10"/>
    <w:semiHidden/>
    <w:qFormat/>
    <w:uiPriority w:val="99"/>
    <w:rPr>
      <w:rFonts w:ascii="Times New Roman" w:hAnsi="Times New Roman" w:eastAsia="宋体" w:cs="Times New Roman"/>
      <w:kern w:val="0"/>
      <w:sz w:val="20"/>
      <w:szCs w:val="20"/>
    </w:rPr>
  </w:style>
  <w:style w:type="character" w:customStyle="1" w:styleId="44">
    <w:name w:val="正文文本缩进 Char"/>
    <w:basedOn w:val="26"/>
    <w:link w:val="11"/>
    <w:semiHidden/>
    <w:qFormat/>
    <w:uiPriority w:val="99"/>
    <w:rPr>
      <w:rFonts w:ascii="Times New Roman" w:hAnsi="Times New Roman" w:eastAsia="宋体" w:cs="Times New Roman"/>
      <w:kern w:val="0"/>
      <w:sz w:val="20"/>
      <w:szCs w:val="20"/>
    </w:rPr>
  </w:style>
  <w:style w:type="character" w:customStyle="1" w:styleId="45">
    <w:name w:val="副标题 Char"/>
    <w:basedOn w:val="26"/>
    <w:link w:val="18"/>
    <w:qFormat/>
    <w:uiPriority w:val="11"/>
    <w:rPr>
      <w:rFonts w:ascii="Calibri Light" w:hAnsi="Calibri Light" w:eastAsia="宋体" w:cs="Times New Roman"/>
      <w:b/>
      <w:bCs/>
      <w:kern w:val="28"/>
      <w:sz w:val="32"/>
      <w:szCs w:val="32"/>
    </w:rPr>
  </w:style>
  <w:style w:type="character" w:customStyle="1" w:styleId="46">
    <w:name w:val="日期 Char"/>
    <w:basedOn w:val="26"/>
    <w:link w:val="12"/>
    <w:semiHidden/>
    <w:qFormat/>
    <w:uiPriority w:val="99"/>
    <w:rPr>
      <w:rFonts w:ascii="Times New Roman" w:hAnsi="Times New Roman" w:eastAsia="宋体" w:cs="Times New Roman"/>
      <w:kern w:val="0"/>
      <w:sz w:val="20"/>
      <w:szCs w:val="20"/>
    </w:rPr>
  </w:style>
  <w:style w:type="character" w:customStyle="1" w:styleId="47">
    <w:name w:val="正文文本 2 Char"/>
    <w:basedOn w:val="26"/>
    <w:link w:val="20"/>
    <w:qFormat/>
    <w:uiPriority w:val="99"/>
    <w:rPr>
      <w:rFonts w:ascii="Times New Roman" w:hAnsi="Times New Roman" w:eastAsia="宋体" w:cs="Times New Roman"/>
      <w:kern w:val="0"/>
      <w:sz w:val="20"/>
      <w:szCs w:val="20"/>
    </w:rPr>
  </w:style>
  <w:style w:type="character" w:customStyle="1" w:styleId="48">
    <w:name w:val="正文文本缩进 2 Char"/>
    <w:basedOn w:val="26"/>
    <w:link w:val="13"/>
    <w:semiHidden/>
    <w:qFormat/>
    <w:uiPriority w:val="99"/>
    <w:rPr>
      <w:rFonts w:ascii="Times New Roman" w:hAnsi="Times New Roman" w:eastAsia="宋体" w:cs="Times New Roman"/>
      <w:kern w:val="0"/>
      <w:sz w:val="20"/>
      <w:szCs w:val="20"/>
    </w:rPr>
  </w:style>
  <w:style w:type="character" w:customStyle="1" w:styleId="49">
    <w:name w:val="正文文本缩进 3 Char"/>
    <w:basedOn w:val="26"/>
    <w:link w:val="19"/>
    <w:semiHidden/>
    <w:qFormat/>
    <w:uiPriority w:val="99"/>
    <w:rPr>
      <w:rFonts w:ascii="Times New Roman" w:hAnsi="Times New Roman" w:eastAsia="宋体" w:cs="Times New Roman"/>
      <w:kern w:val="0"/>
      <w:sz w:val="16"/>
      <w:szCs w:val="16"/>
    </w:rPr>
  </w:style>
  <w:style w:type="character" w:customStyle="1" w:styleId="50">
    <w:name w:val="文档结构图 Char"/>
    <w:basedOn w:val="26"/>
    <w:link w:val="8"/>
    <w:semiHidden/>
    <w:qFormat/>
    <w:uiPriority w:val="99"/>
    <w:rPr>
      <w:rFonts w:ascii="Times New Roman" w:hAnsi="Times New Roman" w:eastAsia="宋体" w:cs="Times New Roman"/>
      <w:kern w:val="0"/>
      <w:sz w:val="2"/>
      <w:szCs w:val="20"/>
      <w:shd w:val="clear" w:color="auto" w:fill="000080"/>
    </w:rPr>
  </w:style>
  <w:style w:type="character" w:customStyle="1" w:styleId="51">
    <w:name w:val="批注主题 Char"/>
    <w:basedOn w:val="41"/>
    <w:link w:val="23"/>
    <w:semiHidden/>
    <w:qFormat/>
    <w:uiPriority w:val="99"/>
    <w:rPr>
      <w:rFonts w:ascii="Times New Roman" w:hAnsi="Times New Roman" w:eastAsia="宋体" w:cs="Times New Roman"/>
      <w:b/>
      <w:bCs/>
      <w:szCs w:val="20"/>
    </w:rPr>
  </w:style>
  <w:style w:type="character" w:customStyle="1" w:styleId="52">
    <w:name w:val="批注框文本 Char"/>
    <w:basedOn w:val="26"/>
    <w:link w:val="14"/>
    <w:semiHidden/>
    <w:qFormat/>
    <w:uiPriority w:val="99"/>
    <w:rPr>
      <w:rFonts w:ascii="Times New Roman" w:hAnsi="Times New Roman" w:eastAsia="宋体" w:cs="Times New Roman"/>
      <w:sz w:val="18"/>
      <w:szCs w:val="18"/>
    </w:rPr>
  </w:style>
  <w:style w:type="character" w:customStyle="1" w:styleId="53">
    <w:name w:val="列出段落 Char"/>
    <w:link w:val="54"/>
    <w:qFormat/>
    <w:locked/>
    <w:uiPriority w:val="34"/>
  </w:style>
  <w:style w:type="paragraph" w:styleId="54">
    <w:name w:val="List Paragraph"/>
    <w:basedOn w:val="1"/>
    <w:link w:val="53"/>
    <w:qFormat/>
    <w:uiPriority w:val="34"/>
    <w:pPr>
      <w:ind w:firstLine="420" w:firstLineChars="200"/>
    </w:pPr>
    <w:rPr>
      <w:rFonts w:asciiTheme="minorHAnsi" w:hAnsiTheme="minorHAnsi" w:eastAsiaTheme="minorEastAsia" w:cstheme="minorBidi"/>
      <w:szCs w:val="22"/>
    </w:rPr>
  </w:style>
  <w:style w:type="character" w:customStyle="1" w:styleId="55">
    <w:name w:val="_正文 Char"/>
    <w:link w:val="56"/>
    <w:qFormat/>
    <w:locked/>
    <w:uiPriority w:val="0"/>
    <w:rPr>
      <w:rFonts w:ascii="微软雅黑" w:hAnsi="微软雅黑" w:eastAsia="微软雅黑"/>
    </w:rPr>
  </w:style>
  <w:style w:type="paragraph" w:customStyle="1" w:styleId="56">
    <w:name w:val="_正文"/>
    <w:basedOn w:val="1"/>
    <w:link w:val="55"/>
    <w:qFormat/>
    <w:uiPriority w:val="0"/>
    <w:pPr>
      <w:widowControl/>
      <w:spacing w:line="360" w:lineRule="auto"/>
      <w:ind w:firstLine="200" w:firstLineChars="200"/>
      <w:jc w:val="left"/>
    </w:pPr>
    <w:rPr>
      <w:rFonts w:ascii="微软雅黑" w:hAnsi="微软雅黑" w:eastAsia="微软雅黑" w:cstheme="minorBidi"/>
      <w:szCs w:val="22"/>
    </w:rPr>
  </w:style>
  <w:style w:type="paragraph" w:customStyle="1" w:styleId="5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9">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宋体" w:hAnsi="宋体"/>
      <w:b/>
      <w:bCs/>
      <w:kern w:val="0"/>
      <w:sz w:val="20"/>
    </w:rPr>
  </w:style>
  <w:style w:type="paragraph" w:customStyle="1" w:styleId="60">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1">
    <w:name w:val="样式 首行缩进:  2 字符"/>
    <w:basedOn w:val="1"/>
    <w:qFormat/>
    <w:uiPriority w:val="99"/>
    <w:pPr>
      <w:overflowPunct w:val="0"/>
      <w:autoSpaceDE w:val="0"/>
      <w:autoSpaceDN w:val="0"/>
      <w:adjustRightInd w:val="0"/>
      <w:snapToGrid w:val="0"/>
      <w:spacing w:line="288" w:lineRule="auto"/>
      <w:ind w:firstLine="200" w:firstLineChars="200"/>
    </w:pPr>
    <w:rPr>
      <w:rFonts w:ascii="仿宋_GB2312" w:hAnsi="Times" w:eastAsia="仿宋_GB2312" w:cs="仿宋_GB2312"/>
      <w:kern w:val="0"/>
      <w:sz w:val="32"/>
      <w:szCs w:val="32"/>
    </w:rPr>
  </w:style>
  <w:style w:type="paragraph" w:customStyle="1" w:styleId="62">
    <w:name w:val="font13"/>
    <w:basedOn w:val="1"/>
    <w:qFormat/>
    <w:uiPriority w:val="99"/>
    <w:pPr>
      <w:widowControl/>
      <w:spacing w:before="100" w:beforeAutospacing="1" w:after="100" w:afterAutospacing="1"/>
      <w:jc w:val="left"/>
    </w:pPr>
    <w:rPr>
      <w:i/>
      <w:iCs/>
      <w:kern w:val="0"/>
      <w:sz w:val="36"/>
      <w:szCs w:val="36"/>
    </w:rPr>
  </w:style>
  <w:style w:type="paragraph" w:customStyle="1" w:styleId="63">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65">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6">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68">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9">
    <w:name w:val="样式 首行缩进:  2 字符1"/>
    <w:basedOn w:val="1"/>
    <w:qFormat/>
    <w:uiPriority w:val="99"/>
    <w:pPr>
      <w:overflowPunct w:val="0"/>
      <w:autoSpaceDE w:val="0"/>
      <w:autoSpaceDN w:val="0"/>
      <w:adjustRightInd w:val="0"/>
      <w:snapToGrid w:val="0"/>
      <w:spacing w:line="288" w:lineRule="auto"/>
      <w:ind w:firstLine="200" w:firstLineChars="200"/>
    </w:pPr>
    <w:rPr>
      <w:rFonts w:ascii="仿宋_GB2312" w:hAnsi="Times" w:eastAsia="仿宋_GB2312" w:cs="仿宋_GB2312"/>
      <w:sz w:val="32"/>
      <w:szCs w:val="32"/>
    </w:rPr>
  </w:style>
  <w:style w:type="paragraph" w:customStyle="1" w:styleId="70">
    <w:name w:val="font7"/>
    <w:basedOn w:val="1"/>
    <w:qFormat/>
    <w:uiPriority w:val="99"/>
    <w:pPr>
      <w:widowControl/>
      <w:spacing w:before="100" w:beforeAutospacing="1" w:after="100" w:afterAutospacing="1"/>
      <w:jc w:val="left"/>
    </w:pPr>
    <w:rPr>
      <w:b/>
      <w:bCs/>
      <w:i/>
      <w:iCs/>
      <w:kern w:val="0"/>
      <w:sz w:val="20"/>
    </w:rPr>
  </w:style>
  <w:style w:type="paragraph" w:customStyle="1" w:styleId="71">
    <w:name w:val="正文 New New New New"/>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72">
    <w:name w:val="xl45"/>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3">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kern w:val="0"/>
      <w:sz w:val="20"/>
    </w:rPr>
  </w:style>
  <w:style w:type="paragraph" w:customStyle="1" w:styleId="74">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5">
    <w:name w:val="xl1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character" w:customStyle="1" w:styleId="76">
    <w:name w:val="宋体&amp;Time5# Char"/>
    <w:link w:val="77"/>
    <w:qFormat/>
    <w:locked/>
    <w:uiPriority w:val="0"/>
    <w:rPr>
      <w:rFonts w:ascii="Calibri" w:hAnsi="Calibri" w:eastAsia="Times New Roman" w:cs="Calibri"/>
      <w:szCs w:val="21"/>
    </w:rPr>
  </w:style>
  <w:style w:type="paragraph" w:customStyle="1" w:styleId="77">
    <w:name w:val="宋体&amp;Time5#"/>
    <w:basedOn w:val="1"/>
    <w:link w:val="76"/>
    <w:qFormat/>
    <w:uiPriority w:val="0"/>
    <w:pPr>
      <w:jc w:val="center"/>
    </w:pPr>
    <w:rPr>
      <w:rFonts w:ascii="Calibri" w:hAnsi="Calibri" w:eastAsia="Times New Roman" w:cs="Calibri"/>
      <w:szCs w:val="21"/>
    </w:rPr>
  </w:style>
  <w:style w:type="paragraph" w:customStyle="1" w:styleId="78">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79">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80">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b/>
      <w:bCs/>
      <w:kern w:val="0"/>
      <w:sz w:val="20"/>
    </w:rPr>
  </w:style>
  <w:style w:type="paragraph" w:customStyle="1" w:styleId="82">
    <w:name w:val="Table Description"/>
    <w:basedOn w:val="1"/>
    <w:next w:val="1"/>
    <w:qFormat/>
    <w:uiPriority w:val="99"/>
    <w:pPr>
      <w:keepNext/>
      <w:widowControl/>
      <w:topLinePunct/>
      <w:adjustRightInd w:val="0"/>
      <w:snapToGrid w:val="0"/>
      <w:spacing w:before="320" w:after="80" w:line="240" w:lineRule="atLeast"/>
      <w:ind w:left="1701"/>
      <w:jc w:val="left"/>
      <w:outlineLvl w:val="7"/>
    </w:pPr>
    <w:rPr>
      <w:rFonts w:eastAsia="黑体" w:cs="Arial"/>
      <w:spacing w:val="-4"/>
      <w:szCs w:val="21"/>
    </w:rPr>
  </w:style>
  <w:style w:type="paragraph" w:customStyle="1" w:styleId="83">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b/>
      <w:bCs/>
      <w:kern w:val="0"/>
      <w:sz w:val="20"/>
    </w:rPr>
  </w:style>
  <w:style w:type="paragraph" w:customStyle="1" w:styleId="84">
    <w:name w:val="列出段落1"/>
    <w:basedOn w:val="1"/>
    <w:qFormat/>
    <w:uiPriority w:val="99"/>
    <w:pPr>
      <w:ind w:firstLine="420" w:firstLineChars="200"/>
    </w:pPr>
  </w:style>
  <w:style w:type="paragraph" w:customStyle="1" w:styleId="85">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86">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7">
    <w:name w:val="文件标题"/>
    <w:basedOn w:val="1"/>
    <w:qFormat/>
    <w:uiPriority w:val="99"/>
    <w:pPr>
      <w:overflowPunct w:val="0"/>
      <w:autoSpaceDE w:val="0"/>
      <w:autoSpaceDN w:val="0"/>
      <w:adjustRightInd w:val="0"/>
      <w:snapToGrid w:val="0"/>
      <w:spacing w:line="640" w:lineRule="exact"/>
      <w:jc w:val="center"/>
    </w:pPr>
    <w:rPr>
      <w:rFonts w:ascii="宋体" w:hAnsi="宋体" w:eastAsia="方正小标宋_GBK" w:cs="宋体"/>
      <w:kern w:val="0"/>
      <w:sz w:val="44"/>
      <w:szCs w:val="44"/>
    </w:rPr>
  </w:style>
  <w:style w:type="paragraph" w:customStyle="1" w:styleId="88">
    <w:name w:val="文档正文"/>
    <w:basedOn w:val="1"/>
    <w:qFormat/>
    <w:uiPriority w:val="99"/>
    <w:pPr>
      <w:adjustRightInd w:val="0"/>
      <w:spacing w:line="312" w:lineRule="atLeast"/>
      <w:ind w:firstLine="567"/>
    </w:pPr>
    <w:rPr>
      <w:rFonts w:ascii="长城仿宋" w:eastAsia="长城仿宋"/>
      <w:kern w:val="0"/>
      <w:sz w:val="28"/>
    </w:rPr>
  </w:style>
  <w:style w:type="paragraph" w:customStyle="1" w:styleId="89">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90">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91">
    <w:name w:val="Figure Description"/>
    <w:next w:val="1"/>
    <w:qFormat/>
    <w:uiPriority w:val="99"/>
    <w:pPr>
      <w:keepNext/>
      <w:adjustRightInd w:val="0"/>
      <w:snapToGrid w:val="0"/>
      <w:spacing w:before="320" w:after="80" w:line="240" w:lineRule="atLeast"/>
      <w:ind w:left="1701"/>
      <w:outlineLvl w:val="7"/>
    </w:pPr>
    <w:rPr>
      <w:rFonts w:ascii="Times New Roman" w:hAnsi="Times New Roman" w:eastAsia="黑体" w:cs="Arial"/>
      <w:spacing w:val="-4"/>
      <w:kern w:val="2"/>
      <w:sz w:val="21"/>
      <w:szCs w:val="21"/>
      <w:lang w:val="en-US" w:eastAsia="zh-CN" w:bidi="ar-SA"/>
    </w:rPr>
  </w:style>
  <w:style w:type="paragraph" w:customStyle="1" w:styleId="92">
    <w:name w:val="_标题 2"/>
    <w:basedOn w:val="3"/>
    <w:next w:val="56"/>
    <w:qFormat/>
    <w:uiPriority w:val="99"/>
    <w:pPr>
      <w:keepLines/>
      <w:widowControl/>
      <w:spacing w:before="260" w:after="260"/>
      <w:ind w:left="465" w:hanging="465"/>
      <w:jc w:val="left"/>
    </w:pPr>
    <w:rPr>
      <w:rFonts w:ascii="微软雅黑" w:hAnsi="微软雅黑"/>
      <w:sz w:val="21"/>
    </w:rPr>
  </w:style>
  <w:style w:type="paragraph" w:customStyle="1" w:styleId="93">
    <w:name w:val="Block Label"/>
    <w:basedOn w:val="1"/>
    <w:next w:val="1"/>
    <w:qFormat/>
    <w:uiPriority w:val="99"/>
    <w:pPr>
      <w:keepNext/>
      <w:keepLines/>
      <w:widowControl/>
      <w:topLinePunct/>
      <w:adjustRightInd w:val="0"/>
      <w:snapToGrid w:val="0"/>
      <w:spacing w:before="300" w:after="80" w:line="240" w:lineRule="atLeast"/>
      <w:jc w:val="left"/>
      <w:outlineLvl w:val="4"/>
    </w:pPr>
    <w:rPr>
      <w:rFonts w:ascii="Book Antiqua" w:hAnsi="Book Antiqua" w:eastAsia="黑体" w:cs="Book Antiqua"/>
      <w:bCs/>
      <w:kern w:val="0"/>
      <w:sz w:val="26"/>
      <w:szCs w:val="26"/>
    </w:rPr>
  </w:style>
  <w:style w:type="paragraph" w:customStyle="1" w:styleId="94">
    <w:name w:val="_标题 4"/>
    <w:basedOn w:val="5"/>
    <w:next w:val="56"/>
    <w:qFormat/>
    <w:uiPriority w:val="99"/>
    <w:pPr>
      <w:keepLines/>
      <w:widowControl/>
      <w:spacing w:before="260" w:after="260" w:line="376" w:lineRule="auto"/>
      <w:ind w:firstLine="283" w:firstLineChars="135"/>
      <w:jc w:val="left"/>
    </w:pPr>
    <w:rPr>
      <w:rFonts w:ascii="微软雅黑" w:hAnsi="微软雅黑"/>
      <w:color w:val="000000"/>
      <w:sz w:val="20"/>
      <w:szCs w:val="21"/>
    </w:rPr>
  </w:style>
  <w:style w:type="paragraph" w:customStyle="1" w:styleId="95">
    <w:name w:val="Char Char Char Char"/>
    <w:basedOn w:val="8"/>
    <w:qFormat/>
    <w:uiPriority w:val="99"/>
    <w:pPr>
      <w:adjustRightInd w:val="0"/>
      <w:snapToGrid w:val="0"/>
      <w:spacing w:line="360" w:lineRule="auto"/>
    </w:pPr>
    <w:rPr>
      <w:rFonts w:ascii="Tahoma" w:hAnsi="Tahoma"/>
      <w:sz w:val="24"/>
      <w:szCs w:val="24"/>
    </w:rPr>
  </w:style>
  <w:style w:type="paragraph" w:customStyle="1" w:styleId="96">
    <w:name w:val="xl58"/>
    <w:basedOn w:val="1"/>
    <w:qFormat/>
    <w:uiPriority w:val="99"/>
    <w:pPr>
      <w:widowControl/>
      <w:pBdr>
        <w:left w:val="single" w:color="auto" w:sz="4" w:space="0"/>
        <w:right w:val="single" w:color="auto" w:sz="4" w:space="0"/>
      </w:pBdr>
      <w:spacing w:before="100" w:beforeAutospacing="1" w:after="100" w:afterAutospacing="1"/>
      <w:jc w:val="center"/>
    </w:pPr>
    <w:rPr>
      <w:b/>
      <w:bCs/>
      <w:i/>
      <w:iCs/>
      <w:kern w:val="0"/>
      <w:sz w:val="20"/>
    </w:rPr>
  </w:style>
  <w:style w:type="paragraph" w:customStyle="1" w:styleId="97">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98">
    <w:name w:val="xl49"/>
    <w:basedOn w:val="1"/>
    <w:qFormat/>
    <w:uiPriority w:val="99"/>
    <w:pPr>
      <w:widowControl/>
      <w:pBdr>
        <w:left w:val="single" w:color="auto" w:sz="4" w:space="0"/>
        <w:right w:val="single" w:color="auto" w:sz="4" w:space="0"/>
      </w:pBdr>
      <w:spacing w:before="100" w:beforeAutospacing="1" w:after="100" w:afterAutospacing="1"/>
      <w:jc w:val="center"/>
    </w:pPr>
    <w:rPr>
      <w:b/>
      <w:bCs/>
      <w:kern w:val="0"/>
      <w:sz w:val="20"/>
    </w:rPr>
  </w:style>
  <w:style w:type="paragraph" w:customStyle="1" w:styleId="99">
    <w:name w:val="默认段落字体 Para Char"/>
    <w:basedOn w:val="1"/>
    <w:qFormat/>
    <w:uiPriority w:val="99"/>
    <w:pPr>
      <w:tabs>
        <w:tab w:val="left" w:pos="552"/>
      </w:tabs>
      <w:ind w:left="552" w:hanging="420"/>
    </w:pPr>
    <w:rPr>
      <w:sz w:val="24"/>
      <w:szCs w:val="24"/>
    </w:rPr>
  </w:style>
  <w:style w:type="paragraph" w:customStyle="1" w:styleId="100">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1">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kern w:val="0"/>
      <w:sz w:val="20"/>
    </w:rPr>
  </w:style>
  <w:style w:type="paragraph" w:customStyle="1" w:styleId="102">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3">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04">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b/>
      <w:bCs/>
      <w:i/>
      <w:iCs/>
      <w:kern w:val="0"/>
      <w:sz w:val="20"/>
    </w:rPr>
  </w:style>
  <w:style w:type="paragraph" w:customStyle="1" w:styleId="105">
    <w:name w:val="xl47"/>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6">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i/>
      <w:iCs/>
      <w:kern w:val="0"/>
      <w:sz w:val="20"/>
    </w:rPr>
  </w:style>
  <w:style w:type="paragraph" w:customStyle="1" w:styleId="10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08">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09">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110">
    <w:name w:val="主送"/>
    <w:basedOn w:val="1"/>
    <w:next w:val="1"/>
    <w:qFormat/>
    <w:uiPriority w:val="99"/>
    <w:pPr>
      <w:overflowPunct w:val="0"/>
      <w:autoSpaceDE w:val="0"/>
      <w:autoSpaceDN w:val="0"/>
      <w:adjustRightInd w:val="0"/>
      <w:snapToGrid w:val="0"/>
      <w:spacing w:line="336" w:lineRule="auto"/>
    </w:pPr>
    <w:rPr>
      <w:rFonts w:ascii="仿宋_GB2312" w:hAnsi="Times" w:eastAsia="仿宋_GB2312" w:cs="仿宋_GB2312"/>
      <w:sz w:val="32"/>
      <w:szCs w:val="32"/>
    </w:rPr>
  </w:style>
  <w:style w:type="paragraph" w:customStyle="1" w:styleId="111">
    <w:name w:val="_Style 22"/>
    <w:basedOn w:val="1"/>
    <w:qFormat/>
    <w:uiPriority w:val="99"/>
    <w:pPr>
      <w:adjustRightInd w:val="0"/>
      <w:snapToGrid w:val="0"/>
      <w:spacing w:line="300" w:lineRule="auto"/>
      <w:ind w:firstLine="200" w:firstLineChars="200"/>
    </w:pPr>
    <w:rPr>
      <w:rFonts w:ascii="宋体" w:hAnsi="Calibri" w:eastAsia="DengXian"/>
      <w:sz w:val="24"/>
      <w:szCs w:val="22"/>
    </w:rPr>
  </w:style>
  <w:style w:type="paragraph" w:customStyle="1" w:styleId="112">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13">
    <w:name w:val="Char Char1 Char Char Char Char"/>
    <w:basedOn w:val="8"/>
    <w:qFormat/>
    <w:uiPriority w:val="99"/>
    <w:pPr>
      <w:adjustRightInd w:val="0"/>
      <w:spacing w:line="436" w:lineRule="exact"/>
      <w:ind w:left="357"/>
      <w:jc w:val="left"/>
      <w:outlineLvl w:val="3"/>
    </w:pPr>
    <w:rPr>
      <w:rFonts w:ascii="Tahoma" w:hAnsi="Tahoma"/>
      <w:b/>
      <w:sz w:val="24"/>
      <w:szCs w:val="24"/>
    </w:rPr>
  </w:style>
  <w:style w:type="paragraph" w:customStyle="1" w:styleId="114">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b/>
      <w:bCs/>
      <w:i/>
      <w:iCs/>
      <w:kern w:val="0"/>
      <w:sz w:val="20"/>
    </w:rPr>
  </w:style>
  <w:style w:type="paragraph" w:customStyle="1" w:styleId="115">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16">
    <w:name w:val="font9"/>
    <w:basedOn w:val="1"/>
    <w:qFormat/>
    <w:uiPriority w:val="99"/>
    <w:pPr>
      <w:widowControl/>
      <w:spacing w:before="100" w:beforeAutospacing="1" w:after="100" w:afterAutospacing="1"/>
      <w:jc w:val="left"/>
    </w:pPr>
    <w:rPr>
      <w:b/>
      <w:bCs/>
      <w:kern w:val="0"/>
      <w:sz w:val="20"/>
    </w:rPr>
  </w:style>
  <w:style w:type="paragraph" w:customStyle="1" w:styleId="117">
    <w:name w:val="_Style 4"/>
    <w:qFormat/>
    <w:uiPriority w:val="99"/>
    <w:pPr>
      <w:widowControl w:val="0"/>
      <w:ind w:firstLine="420"/>
      <w:jc w:val="both"/>
    </w:pPr>
    <w:rPr>
      <w:rFonts w:ascii="Calibri" w:hAnsi="Calibri" w:eastAsia="宋体" w:cs="Calibri"/>
      <w:kern w:val="2"/>
      <w:sz w:val="21"/>
      <w:szCs w:val="21"/>
      <w:lang w:val="en-US" w:eastAsia="zh-CN" w:bidi="ar-SA"/>
    </w:rPr>
  </w:style>
  <w:style w:type="paragraph" w:customStyle="1" w:styleId="118">
    <w:name w:val="_Style 1"/>
    <w:basedOn w:val="1"/>
    <w:qFormat/>
    <w:uiPriority w:val="99"/>
    <w:pPr>
      <w:ind w:firstLine="420" w:firstLineChars="200"/>
    </w:pPr>
    <w:rPr>
      <w:szCs w:val="22"/>
    </w:rPr>
  </w:style>
  <w:style w:type="paragraph" w:customStyle="1" w:styleId="119">
    <w:name w:val="Body"/>
    <w:qFormat/>
    <w:uiPriority w:val="99"/>
    <w:pPr>
      <w:spacing w:before="130" w:after="130" w:line="260" w:lineRule="exact"/>
    </w:pPr>
    <w:rPr>
      <w:rFonts w:ascii="Univers" w:hAnsi="Univers" w:eastAsia="宋体" w:cs="Times New Roman"/>
      <w:color w:val="000000"/>
      <w:kern w:val="0"/>
      <w:sz w:val="22"/>
      <w:szCs w:val="20"/>
      <w:lang w:val="en-US" w:eastAsia="en-US" w:bidi="ar-SA"/>
    </w:rPr>
  </w:style>
  <w:style w:type="paragraph" w:customStyle="1" w:styleId="120">
    <w:name w:val="列出段落11"/>
    <w:basedOn w:val="1"/>
    <w:qFormat/>
    <w:uiPriority w:val="34"/>
    <w:pPr>
      <w:ind w:firstLine="420" w:firstLineChars="200"/>
    </w:pPr>
    <w:rPr>
      <w:kern w:val="0"/>
      <w:sz w:val="20"/>
    </w:rPr>
  </w:style>
  <w:style w:type="paragraph" w:customStyle="1" w:styleId="12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2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23">
    <w:name w:val="font11"/>
    <w:basedOn w:val="1"/>
    <w:qFormat/>
    <w:uiPriority w:val="99"/>
    <w:pPr>
      <w:widowControl/>
      <w:spacing w:before="100" w:beforeAutospacing="1" w:after="100" w:afterAutospacing="1"/>
      <w:jc w:val="left"/>
    </w:pPr>
    <w:rPr>
      <w:b/>
      <w:bCs/>
      <w:kern w:val="0"/>
      <w:sz w:val="18"/>
      <w:szCs w:val="18"/>
    </w:rPr>
  </w:style>
  <w:style w:type="paragraph" w:customStyle="1" w:styleId="12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25">
    <w:name w:val="Char1"/>
    <w:basedOn w:val="1"/>
    <w:qFormat/>
    <w:uiPriority w:val="99"/>
    <w:pPr>
      <w:widowControl/>
      <w:spacing w:after="160" w:line="240" w:lineRule="exact"/>
      <w:jc w:val="left"/>
    </w:pPr>
  </w:style>
  <w:style w:type="paragraph" w:customStyle="1" w:styleId="126">
    <w:name w:val="Item Step"/>
    <w:qFormat/>
    <w:uiPriority w:val="99"/>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kern w:val="0"/>
      <w:sz w:val="21"/>
      <w:szCs w:val="21"/>
      <w:lang w:val="en-US" w:eastAsia="zh-CN" w:bidi="ar-SA"/>
    </w:rPr>
  </w:style>
  <w:style w:type="paragraph" w:customStyle="1" w:styleId="127">
    <w:name w:val="普通文字"/>
    <w:basedOn w:val="1"/>
    <w:next w:val="1"/>
    <w:qFormat/>
    <w:uiPriority w:val="99"/>
    <w:rPr>
      <w:rFonts w:ascii="宋体"/>
      <w:kern w:val="0"/>
      <w:sz w:val="24"/>
      <w:u w:color="000000"/>
    </w:rPr>
  </w:style>
  <w:style w:type="paragraph" w:customStyle="1" w:styleId="128">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12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30">
    <w:name w:val="_标题 1"/>
    <w:basedOn w:val="1"/>
    <w:next w:val="56"/>
    <w:qFormat/>
    <w:uiPriority w:val="99"/>
    <w:pPr>
      <w:keepNext/>
      <w:keepLines/>
      <w:pageBreakBefore/>
      <w:widowControl/>
      <w:spacing w:before="340" w:after="330"/>
      <w:ind w:left="465"/>
      <w:jc w:val="center"/>
      <w:outlineLvl w:val="0"/>
    </w:pPr>
    <w:rPr>
      <w:rFonts w:ascii="微软雅黑" w:hAnsi="微软雅黑"/>
      <w:b/>
      <w:bCs/>
      <w:kern w:val="44"/>
      <w:sz w:val="32"/>
      <w:szCs w:val="28"/>
    </w:rPr>
  </w:style>
  <w:style w:type="paragraph" w:customStyle="1" w:styleId="131">
    <w:name w:val="_标题 3"/>
    <w:basedOn w:val="4"/>
    <w:next w:val="56"/>
    <w:qFormat/>
    <w:uiPriority w:val="99"/>
    <w:pPr>
      <w:keepLines/>
      <w:widowControl/>
      <w:spacing w:before="260" w:after="260"/>
      <w:ind w:left="720" w:hanging="720"/>
      <w:jc w:val="left"/>
    </w:pPr>
    <w:rPr>
      <w:rFonts w:ascii="微软雅黑" w:hAnsi="微软雅黑"/>
      <w:sz w:val="21"/>
      <w:szCs w:val="21"/>
    </w:rPr>
  </w:style>
  <w:style w:type="paragraph" w:customStyle="1" w:styleId="132">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33">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cs="Arial"/>
      <w:kern w:val="0"/>
      <w:szCs w:val="21"/>
    </w:rPr>
  </w:style>
  <w:style w:type="paragraph" w:customStyle="1" w:styleId="13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35">
    <w:name w:val="font14"/>
    <w:basedOn w:val="1"/>
    <w:qFormat/>
    <w:uiPriority w:val="99"/>
    <w:pPr>
      <w:widowControl/>
      <w:spacing w:before="100" w:beforeAutospacing="1" w:after="100" w:afterAutospacing="1"/>
      <w:jc w:val="left"/>
    </w:pPr>
    <w:rPr>
      <w:kern w:val="0"/>
      <w:sz w:val="36"/>
      <w:szCs w:val="36"/>
    </w:rPr>
  </w:style>
  <w:style w:type="paragraph" w:customStyle="1" w:styleId="136">
    <w:name w:val="彩色列表 - 着色 11"/>
    <w:basedOn w:val="1"/>
    <w:qFormat/>
    <w:uiPriority w:val="34"/>
    <w:pPr>
      <w:ind w:firstLine="420" w:firstLineChars="200"/>
    </w:pPr>
    <w:rPr>
      <w:szCs w:val="24"/>
    </w:rPr>
  </w:style>
  <w:style w:type="paragraph" w:customStyle="1" w:styleId="137">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138">
    <w:name w:val="正文 A"/>
    <w:qFormat/>
    <w:uiPriority w:val="99"/>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39">
    <w:name w:val="Char1 Char Char Char"/>
    <w:basedOn w:val="1"/>
    <w:qFormat/>
    <w:uiPriority w:val="99"/>
    <w:rPr>
      <w:rFonts w:ascii="Tahoma" w:hAnsi="Tahoma"/>
      <w:sz w:val="24"/>
    </w:rPr>
  </w:style>
  <w:style w:type="paragraph" w:customStyle="1" w:styleId="140">
    <w:name w:val="纯文本1"/>
    <w:basedOn w:val="1"/>
    <w:qFormat/>
    <w:uiPriority w:val="99"/>
    <w:pPr>
      <w:adjustRightInd w:val="0"/>
    </w:pPr>
    <w:rPr>
      <w:rFonts w:ascii="宋体" w:hAnsi="Courier New" w:eastAsia="楷体_GB2312"/>
      <w:sz w:val="26"/>
    </w:rPr>
  </w:style>
  <w:style w:type="paragraph" w:customStyle="1" w:styleId="141">
    <w:name w:val="样式 小四 段前: 5 磅 段后: 5 磅 首行缩进:  2 字符"/>
    <w:basedOn w:val="1"/>
    <w:qFormat/>
    <w:uiPriority w:val="99"/>
    <w:pPr>
      <w:spacing w:line="360" w:lineRule="auto"/>
    </w:pPr>
    <w:rPr>
      <w:rFonts w:ascii="宋体" w:hAnsi="宋体"/>
      <w:szCs w:val="21"/>
    </w:rPr>
  </w:style>
  <w:style w:type="character" w:customStyle="1" w:styleId="142">
    <w:name w:val="style21"/>
    <w:qFormat/>
    <w:uiPriority w:val="99"/>
    <w:rPr>
      <w:sz w:val="22"/>
      <w:szCs w:val="22"/>
    </w:rPr>
  </w:style>
  <w:style w:type="character" w:customStyle="1" w:styleId="143">
    <w:name w:val="列出段落 字符"/>
    <w:qFormat/>
    <w:locked/>
    <w:uiPriority w:val="34"/>
    <w:rPr>
      <w:kern w:val="2"/>
      <w:sz w:val="21"/>
    </w:rPr>
  </w:style>
  <w:style w:type="character" w:customStyle="1" w:styleId="144">
    <w:name w:val="访问过的超链接1"/>
    <w:qFormat/>
    <w:uiPriority w:val="0"/>
    <w:rPr>
      <w:color w:val="auto"/>
      <w:u w:val="none"/>
    </w:rPr>
  </w:style>
  <w:style w:type="character" w:customStyle="1" w:styleId="145">
    <w:name w:val="case31"/>
    <w:qFormat/>
    <w:uiPriority w:val="0"/>
    <w:rPr>
      <w:rFonts w:hint="default" w:ascii="Times New Roman" w:hAnsi="Times New Roman" w:cs="Times New Roman"/>
      <w:spacing w:val="390"/>
      <w:sz w:val="21"/>
      <w:szCs w:val="21"/>
    </w:rPr>
  </w:style>
  <w:style w:type="character" w:customStyle="1" w:styleId="146">
    <w:name w:val="标题 Char1"/>
    <w:basedOn w:val="26"/>
    <w:qFormat/>
    <w:uiPriority w:val="10"/>
    <w:rPr>
      <w:rFonts w:hint="default" w:asciiTheme="majorHAnsi" w:hAnsiTheme="majorHAnsi" w:cstheme="majorBidi"/>
      <w:b/>
      <w:bCs/>
      <w:kern w:val="2"/>
      <w:sz w:val="32"/>
      <w:szCs w:val="32"/>
    </w:rPr>
  </w:style>
  <w:style w:type="character" w:customStyle="1" w:styleId="147">
    <w:name w:val="正文文本 2 Char1"/>
    <w:basedOn w:val="26"/>
    <w:semiHidden/>
    <w:qFormat/>
    <w:uiPriority w:val="99"/>
    <w:rPr>
      <w:kern w:val="2"/>
      <w:sz w:val="21"/>
    </w:rPr>
  </w:style>
  <w:style w:type="character" w:customStyle="1" w:styleId="148">
    <w:name w:val="副标题 Char1"/>
    <w:basedOn w:val="26"/>
    <w:qFormat/>
    <w:uiPriority w:val="11"/>
    <w:rPr>
      <w:rFonts w:hint="default" w:asciiTheme="majorHAnsi" w:hAnsiTheme="majorHAnsi" w:cstheme="majorBidi"/>
      <w:b/>
      <w:bCs/>
      <w:kern w:val="28"/>
      <w:sz w:val="32"/>
      <w:szCs w:val="32"/>
    </w:rPr>
  </w:style>
  <w:style w:type="character" w:customStyle="1" w:styleId="149">
    <w:name w:val="批注文字 Char1"/>
    <w:basedOn w:val="26"/>
    <w:semiHidden/>
    <w:qFormat/>
    <w:uiPriority w:val="99"/>
    <w:rPr>
      <w:kern w:val="2"/>
      <w:sz w:val="21"/>
    </w:rPr>
  </w:style>
  <w:style w:type="character" w:customStyle="1" w:styleId="150">
    <w:name w:val="文档结构图 Char1"/>
    <w:basedOn w:val="26"/>
    <w:semiHidden/>
    <w:qFormat/>
    <w:uiPriority w:val="99"/>
    <w:rPr>
      <w:rFonts w:hint="eastAsia" w:ascii="宋体" w:hAnsi="宋体" w:eastAsia="宋体"/>
      <w:kern w:val="2"/>
      <w:sz w:val="18"/>
      <w:szCs w:val="18"/>
    </w:rPr>
  </w:style>
  <w:style w:type="character" w:customStyle="1" w:styleId="151">
    <w:name w:val="页眉 Char1"/>
    <w:basedOn w:val="26"/>
    <w:semiHidden/>
    <w:qFormat/>
    <w:uiPriority w:val="99"/>
    <w:rPr>
      <w:kern w:val="2"/>
      <w:sz w:val="18"/>
      <w:szCs w:val="18"/>
    </w:rPr>
  </w:style>
  <w:style w:type="character" w:customStyle="1" w:styleId="152">
    <w:name w:val="批注框文本 Char1"/>
    <w:basedOn w:val="26"/>
    <w:semiHidden/>
    <w:qFormat/>
    <w:uiPriority w:val="99"/>
    <w:rPr>
      <w:kern w:val="2"/>
      <w:sz w:val="18"/>
      <w:szCs w:val="18"/>
    </w:rPr>
  </w:style>
  <w:style w:type="character" w:customStyle="1" w:styleId="153">
    <w:name w:val="正文文本缩进 3 Char1"/>
    <w:basedOn w:val="26"/>
    <w:semiHidden/>
    <w:qFormat/>
    <w:uiPriority w:val="99"/>
    <w:rPr>
      <w:kern w:val="2"/>
      <w:sz w:val="16"/>
      <w:szCs w:val="16"/>
    </w:rPr>
  </w:style>
  <w:style w:type="character" w:customStyle="1" w:styleId="154">
    <w:name w:val="日期 Char1"/>
    <w:basedOn w:val="26"/>
    <w:semiHidden/>
    <w:qFormat/>
    <w:uiPriority w:val="99"/>
    <w:rPr>
      <w:kern w:val="2"/>
      <w:sz w:val="21"/>
    </w:rPr>
  </w:style>
  <w:style w:type="character" w:customStyle="1" w:styleId="155">
    <w:name w:val="正文文本 Char1"/>
    <w:basedOn w:val="26"/>
    <w:semiHidden/>
    <w:qFormat/>
    <w:uiPriority w:val="99"/>
    <w:rPr>
      <w:kern w:val="2"/>
      <w:sz w:val="21"/>
    </w:rPr>
  </w:style>
  <w:style w:type="character" w:customStyle="1" w:styleId="156">
    <w:name w:val="批注主题 Char1"/>
    <w:basedOn w:val="149"/>
    <w:semiHidden/>
    <w:qFormat/>
    <w:uiPriority w:val="99"/>
    <w:rPr>
      <w:b/>
      <w:bCs/>
      <w:kern w:val="2"/>
      <w:sz w:val="21"/>
    </w:rPr>
  </w:style>
  <w:style w:type="character" w:customStyle="1" w:styleId="157">
    <w:name w:val="页脚 Char1"/>
    <w:basedOn w:val="26"/>
    <w:semiHidden/>
    <w:qFormat/>
    <w:uiPriority w:val="99"/>
    <w:rPr>
      <w:kern w:val="2"/>
      <w:sz w:val="18"/>
      <w:szCs w:val="18"/>
    </w:rPr>
  </w:style>
  <w:style w:type="character" w:customStyle="1" w:styleId="158">
    <w:name w:val="正文文本缩进 2 Char1"/>
    <w:basedOn w:val="26"/>
    <w:semiHidden/>
    <w:qFormat/>
    <w:uiPriority w:val="99"/>
    <w:rPr>
      <w:kern w:val="2"/>
      <w:sz w:val="21"/>
    </w:rPr>
  </w:style>
  <w:style w:type="character" w:customStyle="1" w:styleId="159">
    <w:name w:val="正文文本缩进 Char1"/>
    <w:basedOn w:val="26"/>
    <w:semiHidden/>
    <w:qFormat/>
    <w:uiPriority w:val="99"/>
    <w:rPr>
      <w:kern w:val="2"/>
      <w:sz w:val="21"/>
    </w:rPr>
  </w:style>
  <w:style w:type="character" w:customStyle="1" w:styleId="160">
    <w:name w:val="正文文本 字符"/>
    <w:semiHidden/>
    <w:qFormat/>
    <w:locked/>
    <w:uiPriority w:val="0"/>
    <w:rPr>
      <w:rFonts w:hint="default" w:ascii="Times New Roman" w:hAnsi="Times New Roman" w:cs="Times New Roman"/>
      <w:sz w:val="20"/>
      <w:szCs w:val="20"/>
    </w:rPr>
  </w:style>
  <w:style w:type="character" w:customStyle="1" w:styleId="161">
    <w:name w:val="页脚 字符"/>
    <w:qFormat/>
    <w:locked/>
    <w:uiPriority w:val="99"/>
    <w:rPr>
      <w:rFonts w:hint="default" w:ascii="Times New Roman" w:hAnsi="Times New Roman" w:cs="Times New Roman"/>
      <w:sz w:val="18"/>
      <w:szCs w:val="18"/>
    </w:rPr>
  </w:style>
  <w:style w:type="character" w:customStyle="1" w:styleId="162">
    <w:name w:val="正文文本缩进 字符"/>
    <w:semiHidden/>
    <w:qFormat/>
    <w:locked/>
    <w:uiPriority w:val="0"/>
    <w:rPr>
      <w:rFonts w:hint="default" w:ascii="Times New Roman" w:hAnsi="Times New Roman" w:cs="Times New Roman"/>
      <w:sz w:val="20"/>
      <w:szCs w:val="20"/>
    </w:rPr>
  </w:style>
  <w:style w:type="character" w:customStyle="1" w:styleId="163">
    <w:name w:val="批注框文本 字符"/>
    <w:qFormat/>
    <w:uiPriority w:val="0"/>
    <w:rPr>
      <w:kern w:val="2"/>
      <w:sz w:val="18"/>
      <w:szCs w:val="18"/>
    </w:rPr>
  </w:style>
  <w:style w:type="character" w:customStyle="1" w:styleId="164">
    <w:name w:val="批注主题 字符"/>
    <w:semiHidden/>
    <w:qFormat/>
    <w:uiPriority w:val="99"/>
    <w:rPr>
      <w:b/>
      <w:bCs/>
      <w:kern w:val="2"/>
      <w:sz w:val="21"/>
    </w:rPr>
  </w:style>
  <w:style w:type="character" w:customStyle="1" w:styleId="165">
    <w:name w:val="正文文本缩进 2 字符"/>
    <w:semiHidden/>
    <w:qFormat/>
    <w:locked/>
    <w:uiPriority w:val="0"/>
    <w:rPr>
      <w:rFonts w:hint="default" w:ascii="Times New Roman" w:hAnsi="Times New Roman" w:cs="Times New Roman"/>
      <w:sz w:val="20"/>
      <w:szCs w:val="20"/>
    </w:rPr>
  </w:style>
  <w:style w:type="character" w:customStyle="1" w:styleId="166">
    <w:name w:val="正文文本 2 字符"/>
    <w:semiHidden/>
    <w:qFormat/>
    <w:locked/>
    <w:uiPriority w:val="0"/>
    <w:rPr>
      <w:rFonts w:hint="default" w:ascii="Times New Roman" w:hAnsi="Times New Roman" w:cs="Times New Roman"/>
      <w:sz w:val="20"/>
      <w:szCs w:val="20"/>
    </w:rPr>
  </w:style>
  <w:style w:type="character" w:customStyle="1" w:styleId="167">
    <w:name w:val="正文文本缩进 3 字符"/>
    <w:semiHidden/>
    <w:qFormat/>
    <w:locked/>
    <w:uiPriority w:val="0"/>
    <w:rPr>
      <w:rFonts w:hint="default" w:ascii="Times New Roman" w:hAnsi="Times New Roman" w:cs="Times New Roman"/>
      <w:sz w:val="16"/>
      <w:szCs w:val="16"/>
    </w:rPr>
  </w:style>
  <w:style w:type="character" w:customStyle="1" w:styleId="168">
    <w:name w:val="标题 字符"/>
    <w:qFormat/>
    <w:uiPriority w:val="99"/>
    <w:rPr>
      <w:rFonts w:hint="default" w:ascii="Cambria" w:hAnsi="Cambria" w:cs="Cambria"/>
      <w:b/>
      <w:bCs/>
      <w:kern w:val="2"/>
      <w:sz w:val="32"/>
      <w:szCs w:val="32"/>
    </w:rPr>
  </w:style>
  <w:style w:type="character" w:customStyle="1" w:styleId="169">
    <w:name w:val="文档结构图 字符"/>
    <w:semiHidden/>
    <w:qFormat/>
    <w:locked/>
    <w:uiPriority w:val="0"/>
    <w:rPr>
      <w:rFonts w:hint="default" w:ascii="Times New Roman" w:hAnsi="Times New Roman" w:cs="Times New Roman"/>
      <w:sz w:val="2"/>
    </w:rPr>
  </w:style>
  <w:style w:type="character" w:customStyle="1" w:styleId="170">
    <w:name w:val="日期 字符"/>
    <w:semiHidden/>
    <w:qFormat/>
    <w:locked/>
    <w:uiPriority w:val="0"/>
    <w:rPr>
      <w:rFonts w:hint="default" w:ascii="Times New Roman" w:hAnsi="Times New Roman" w:cs="Times New Roman"/>
      <w:sz w:val="20"/>
      <w:szCs w:val="20"/>
    </w:rPr>
  </w:style>
  <w:style w:type="character" w:customStyle="1" w:styleId="171">
    <w:name w:val="标题 2 字符"/>
    <w:semiHidden/>
    <w:qFormat/>
    <w:locked/>
    <w:uiPriority w:val="0"/>
    <w:rPr>
      <w:rFonts w:hint="default" w:ascii="Cambria" w:hAnsi="Cambria" w:eastAsia="宋体" w:cs="Times New Roman"/>
      <w:b/>
      <w:bCs/>
      <w:sz w:val="32"/>
      <w:szCs w:val="32"/>
    </w:rPr>
  </w:style>
  <w:style w:type="character" w:customStyle="1" w:styleId="172">
    <w:name w:val="副标题 字符"/>
    <w:qFormat/>
    <w:uiPriority w:val="11"/>
    <w:rPr>
      <w:rFonts w:hint="default" w:ascii="Calibri Light" w:hAnsi="Calibri Light" w:cs="Calibri Light"/>
      <w:b/>
      <w:bCs/>
      <w:kern w:val="28"/>
      <w:sz w:val="32"/>
      <w:szCs w:val="32"/>
    </w:rPr>
  </w:style>
  <w:style w:type="character" w:customStyle="1" w:styleId="173">
    <w:name w:val="标题 4 字符"/>
    <w:semiHidden/>
    <w:qFormat/>
    <w:locked/>
    <w:uiPriority w:val="0"/>
    <w:rPr>
      <w:rFonts w:hint="default" w:ascii="Cambria" w:hAnsi="Cambria" w:eastAsia="宋体" w:cs="Times New Roman"/>
      <w:b/>
      <w:bCs/>
      <w:sz w:val="28"/>
      <w:szCs w:val="28"/>
    </w:rPr>
  </w:style>
  <w:style w:type="character" w:customStyle="1" w:styleId="174">
    <w:name w:val="标题 1 字符"/>
    <w:qFormat/>
    <w:locked/>
    <w:uiPriority w:val="0"/>
    <w:rPr>
      <w:rFonts w:hint="default" w:ascii="Times New Roman" w:hAnsi="Times New Roman" w:cs="Times New Roman"/>
      <w:b/>
      <w:bCs/>
      <w:kern w:val="44"/>
      <w:sz w:val="44"/>
      <w:szCs w:val="44"/>
    </w:rPr>
  </w:style>
  <w:style w:type="character" w:customStyle="1" w:styleId="175">
    <w:name w:val="标题 3 字符"/>
    <w:semiHidden/>
    <w:qFormat/>
    <w:locked/>
    <w:uiPriority w:val="0"/>
    <w:rPr>
      <w:rFonts w:hint="default" w:ascii="Times New Roman" w:hAnsi="Times New Roman" w:cs="Times New Roman"/>
      <w:b/>
      <w:bCs/>
      <w:sz w:val="32"/>
      <w:szCs w:val="32"/>
    </w:rPr>
  </w:style>
  <w:style w:type="character" w:customStyle="1" w:styleId="176">
    <w:name w:val="列出段落 字符1"/>
    <w:qFormat/>
    <w:locked/>
    <w:uiPriority w:val="34"/>
    <w:rPr>
      <w:kern w:val="2"/>
      <w:sz w:val="21"/>
    </w:rPr>
  </w:style>
  <w:style w:type="character" w:customStyle="1" w:styleId="177">
    <w:name w:val="标题 5 字符"/>
    <w:qFormat/>
    <w:locked/>
    <w:uiPriority w:val="0"/>
    <w:rPr>
      <w:rFonts w:hint="eastAsia" w:ascii="楷体_GB2312" w:eastAsia="楷体_GB2312"/>
      <w:bCs/>
      <w:kern w:val="2"/>
      <w:sz w:val="28"/>
    </w:rPr>
  </w:style>
  <w:style w:type="character" w:customStyle="1" w:styleId="178">
    <w:name w:val="页眉 字符"/>
    <w:qFormat/>
    <w:locked/>
    <w:uiPriority w:val="99"/>
    <w:rPr>
      <w:rFonts w:hint="default" w:ascii="Times New Roman" w:hAnsi="Times New Roman" w:cs="Times New Roman"/>
      <w:sz w:val="18"/>
      <w:szCs w:val="18"/>
    </w:rPr>
  </w:style>
  <w:style w:type="character" w:customStyle="1" w:styleId="179">
    <w:name w:val="批注文字 字符"/>
    <w:semiHidden/>
    <w:qFormat/>
    <w:uiPriority w:val="99"/>
    <w:rPr>
      <w:kern w:val="2"/>
      <w:sz w:val="21"/>
    </w:rPr>
  </w:style>
  <w:style w:type="paragraph" w:customStyle="1" w:styleId="180">
    <w:name w:val="列表段落1"/>
    <w:basedOn w:val="1"/>
    <w:qFormat/>
    <w:uiPriority w:val="0"/>
    <w:pPr>
      <w:ind w:firstLine="420" w:firstLineChars="200"/>
    </w:pPr>
    <w:rPr>
      <w:rFonts w:ascii="DengXian" w:hAnsi="DengXian" w:eastAsia="DengXi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75C18-C224-4F90-A328-5ABAE53FA9F8}">
  <ds:schemaRefs/>
</ds:datastoreItem>
</file>

<file path=docProps/app.xml><?xml version="1.0" encoding="utf-8"?>
<Properties xmlns="http://schemas.openxmlformats.org/officeDocument/2006/extended-properties" xmlns:vt="http://schemas.openxmlformats.org/officeDocument/2006/docPropsVTypes">
  <Template>Normal</Template>
  <Pages>34</Pages>
  <Words>17881</Words>
  <Characters>19217</Characters>
  <Lines>151</Lines>
  <Paragraphs>42</Paragraphs>
  <TotalTime>5</TotalTime>
  <ScaleCrop>false</ScaleCrop>
  <LinksUpToDate>false</LinksUpToDate>
  <CharactersWithSpaces>20092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2021-10-13T06:53:00Z</dcterms:created>
  <dc:creator>lenovo</dc:creator>
  <cp:lastModifiedBy>Administrator</cp:lastModifiedBy>
  <dcterms:modified xsi:type="dcterms:W3CDTF">2023-08-25T02:17:23Z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F8350DBBE6B849F2841FF52C18174F37_13</vt:lpwstr>
  </property>
</Properties>
</file>