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_GB2312" w:eastAsia="楷体_GB2312"/>
          <w:bCs/>
          <w:sz w:val="30"/>
        </w:rPr>
      </w:pPr>
    </w:p>
    <w:p>
      <w:pPr>
        <w:jc w:val="center"/>
        <w:rPr>
          <w:rFonts w:ascii="楷体_GB2312" w:eastAsia="楷体_GB2312"/>
          <w:bCs/>
          <w:sz w:val="30"/>
        </w:rPr>
      </w:pPr>
    </w:p>
    <w:p>
      <w:pPr>
        <w:jc w:val="center"/>
        <w:rPr>
          <w:rFonts w:ascii="黑体" w:hAnsi="华文中宋" w:eastAsia="黑体"/>
          <w:bCs/>
          <w:spacing w:val="20"/>
          <w:sz w:val="84"/>
          <w:szCs w:val="84"/>
        </w:rPr>
      </w:pPr>
      <w:r>
        <w:rPr>
          <w:rFonts w:hint="eastAsia" w:ascii="黑体" w:hAnsi="华文中宋" w:eastAsia="黑体"/>
          <w:bCs/>
          <w:spacing w:val="20"/>
          <w:sz w:val="84"/>
          <w:szCs w:val="84"/>
        </w:rPr>
        <w:t>封闭式框架协议采购</w:t>
      </w:r>
    </w:p>
    <w:p>
      <w:pPr>
        <w:jc w:val="center"/>
        <w:rPr>
          <w:rFonts w:ascii="黑体" w:hAnsi="华文中宋" w:eastAsia="黑体"/>
          <w:bCs/>
          <w:spacing w:val="20"/>
          <w:sz w:val="52"/>
          <w:szCs w:val="52"/>
        </w:rPr>
      </w:pPr>
    </w:p>
    <w:p>
      <w:pPr>
        <w:jc w:val="center"/>
        <w:rPr>
          <w:rFonts w:ascii="黑体" w:hAnsi="华文中宋" w:eastAsia="黑体"/>
          <w:bCs/>
          <w:spacing w:val="20"/>
          <w:sz w:val="52"/>
          <w:szCs w:val="52"/>
        </w:rPr>
      </w:pPr>
    </w:p>
    <w:p>
      <w:pPr>
        <w:jc w:val="center"/>
        <w:rPr>
          <w:rFonts w:ascii="黑体" w:hAnsi="华文中宋" w:eastAsia="黑体"/>
          <w:bCs/>
          <w:spacing w:val="20"/>
          <w:sz w:val="72"/>
          <w:szCs w:val="72"/>
        </w:rPr>
      </w:pPr>
      <w:r>
        <w:rPr>
          <w:sz w:val="72"/>
          <w:szCs w:val="72"/>
        </w:rPr>
        <w:pict>
          <v:line id="_x0000_s2050" o:spid="_x0000_s2050" o:spt="20" style="position:absolute;left:0pt;margin-left:-9pt;margin-top:15.6pt;height:0pt;width:0pt;z-index:251659264;mso-width-relative:page;mso-height-relative:page;" coordsize="21600,21600" o:allowincell="f">
            <v:path arrowok="t"/>
            <v:fill focussize="0,0"/>
            <v:stroke/>
            <v:imagedata o:title=""/>
            <o:lock v:ext="edit"/>
          </v:line>
        </w:pict>
      </w:r>
      <w:r>
        <w:rPr>
          <w:rFonts w:hint="eastAsia" w:ascii="黑体" w:hAnsi="华文中宋" w:eastAsia="黑体"/>
          <w:bCs/>
          <w:spacing w:val="20"/>
          <w:sz w:val="72"/>
          <w:szCs w:val="72"/>
        </w:rPr>
        <w:t xml:space="preserve">征  集  文 </w:t>
      </w:r>
      <w:r>
        <w:rPr>
          <w:rFonts w:ascii="黑体" w:hAnsi="华文中宋" w:eastAsia="黑体"/>
          <w:bCs/>
          <w:spacing w:val="20"/>
          <w:sz w:val="72"/>
          <w:szCs w:val="72"/>
        </w:rPr>
        <w:t xml:space="preserve"> 件</w:t>
      </w:r>
    </w:p>
    <w:p>
      <w:pPr>
        <w:jc w:val="center"/>
        <w:rPr>
          <w:rFonts w:ascii="华文中宋" w:hAnsi="华文中宋" w:eastAsia="华文中宋"/>
          <w:bCs/>
          <w:sz w:val="72"/>
          <w:szCs w:val="72"/>
        </w:rPr>
      </w:pPr>
    </w:p>
    <w:p>
      <w:pPr>
        <w:tabs>
          <w:tab w:val="left" w:pos="9921"/>
        </w:tabs>
        <w:jc w:val="center"/>
        <w:rPr>
          <w:rFonts w:ascii="华文中宋" w:hAnsi="华文中宋" w:eastAsia="华文中宋"/>
          <w:bCs/>
          <w:sz w:val="30"/>
        </w:rPr>
      </w:pPr>
      <w:r>
        <w:rPr>
          <w:rFonts w:hint="eastAsia" w:ascii="华文中宋" w:hAnsi="华文中宋" w:eastAsia="华文中宋"/>
          <w:bCs/>
          <w:sz w:val="30"/>
        </w:rPr>
        <w:t>（全流程电子化）</w:t>
      </w:r>
    </w:p>
    <w:p>
      <w:pPr>
        <w:jc w:val="center"/>
        <w:rPr>
          <w:rFonts w:ascii="华文中宋" w:hAnsi="华文中宋" w:eastAsia="华文中宋"/>
          <w:bCs/>
          <w:sz w:val="30"/>
        </w:rPr>
      </w:pPr>
    </w:p>
    <w:p>
      <w:pPr>
        <w:jc w:val="center"/>
        <w:rPr>
          <w:rFonts w:ascii="华文中宋" w:hAnsi="华文中宋" w:eastAsia="华文中宋"/>
          <w:bCs/>
          <w:sz w:val="30"/>
        </w:rPr>
      </w:pPr>
    </w:p>
    <w:p>
      <w:pPr>
        <w:ind w:firstLine="1200" w:firstLineChars="400"/>
        <w:rPr>
          <w:rFonts w:ascii="黑体" w:hAnsi="华文中宋" w:eastAsia="黑体"/>
          <w:bCs/>
          <w:sz w:val="30"/>
          <w:szCs w:val="30"/>
        </w:rPr>
      </w:pPr>
      <w:r>
        <w:rPr>
          <w:rFonts w:hint="eastAsia" w:ascii="黑体" w:hAnsi="华文中宋" w:eastAsia="黑体"/>
          <w:bCs/>
          <w:sz w:val="30"/>
          <w:szCs w:val="30"/>
        </w:rPr>
        <w:t>项目编号：</w:t>
      </w:r>
      <w:r>
        <w:rPr>
          <w:rFonts w:ascii="黑体" w:hAnsi="华文中宋" w:eastAsia="黑体"/>
          <w:bCs/>
          <w:sz w:val="30"/>
          <w:szCs w:val="30"/>
        </w:rPr>
        <w:t>BHJYZXKJ2023001</w:t>
      </w:r>
    </w:p>
    <w:p>
      <w:pPr>
        <w:ind w:firstLine="1200" w:firstLineChars="400"/>
        <w:rPr>
          <w:rFonts w:ascii="黑体" w:hAnsi="华文中宋" w:eastAsia="黑体"/>
          <w:bCs/>
          <w:sz w:val="30"/>
          <w:szCs w:val="30"/>
        </w:rPr>
      </w:pPr>
      <w:r>
        <w:rPr>
          <w:rFonts w:hint="eastAsia" w:ascii="黑体" w:hAnsi="华文中宋" w:eastAsia="黑体"/>
          <w:bCs/>
          <w:sz w:val="30"/>
          <w:szCs w:val="30"/>
        </w:rPr>
        <w:t>项目名称：</w:t>
      </w:r>
      <w:bookmarkStart w:id="0" w:name="_Hlk136286686"/>
      <w:r>
        <w:rPr>
          <w:rFonts w:hint="eastAsia" w:ascii="黑体" w:hAnsi="华文中宋" w:eastAsia="黑体"/>
          <w:bCs/>
          <w:sz w:val="30"/>
          <w:szCs w:val="30"/>
        </w:rPr>
        <w:t>2023-202</w:t>
      </w:r>
      <w:r>
        <w:rPr>
          <w:rFonts w:ascii="黑体" w:hAnsi="华文中宋" w:eastAsia="黑体"/>
          <w:bCs/>
          <w:sz w:val="30"/>
          <w:szCs w:val="30"/>
        </w:rPr>
        <w:t>5</w:t>
      </w:r>
      <w:r>
        <w:rPr>
          <w:rFonts w:hint="eastAsia" w:ascii="黑体" w:hAnsi="华文中宋" w:eastAsia="黑体"/>
          <w:bCs/>
          <w:sz w:val="30"/>
          <w:szCs w:val="30"/>
        </w:rPr>
        <w:t>年度无锡市滨湖区车辆维修和保养服务框架协议采购</w:t>
      </w:r>
    </w:p>
    <w:bookmarkEnd w:id="0"/>
    <w:p>
      <w:pPr>
        <w:ind w:firstLine="1200" w:firstLineChars="400"/>
        <w:rPr>
          <w:rFonts w:ascii="黑体" w:hAnsi="华文中宋" w:eastAsia="黑体"/>
          <w:bCs/>
          <w:sz w:val="30"/>
          <w:szCs w:val="30"/>
        </w:rPr>
      </w:pPr>
      <w:r>
        <w:rPr>
          <w:rFonts w:hint="eastAsia" w:ascii="黑体" w:hAnsi="华文中宋" w:eastAsia="黑体"/>
          <w:bCs/>
          <w:sz w:val="30"/>
          <w:szCs w:val="30"/>
        </w:rPr>
        <w:t>征 集 人：无锡市滨湖区公共资源交易中心</w:t>
      </w:r>
    </w:p>
    <w:p>
      <w:pPr>
        <w:jc w:val="center"/>
        <w:rPr>
          <w:rFonts w:ascii="华文中宋" w:hAnsi="华文中宋" w:eastAsia="华文中宋"/>
          <w:bCs/>
          <w:sz w:val="30"/>
        </w:rPr>
      </w:pPr>
    </w:p>
    <w:p>
      <w:pPr>
        <w:jc w:val="center"/>
        <w:rPr>
          <w:rFonts w:ascii="华文中宋" w:hAnsi="华文中宋" w:eastAsia="华文中宋"/>
          <w:bCs/>
          <w:sz w:val="30"/>
        </w:rPr>
      </w:pPr>
    </w:p>
    <w:p>
      <w:pPr>
        <w:jc w:val="center"/>
        <w:rPr>
          <w:rFonts w:ascii="华文中宋" w:hAnsi="华文中宋" w:eastAsia="华文中宋"/>
          <w:bCs/>
          <w:sz w:val="30"/>
        </w:rPr>
      </w:pPr>
    </w:p>
    <w:p>
      <w:pPr>
        <w:jc w:val="center"/>
        <w:rPr>
          <w:rFonts w:ascii="黑体" w:hAnsi="华文中宋" w:eastAsia="黑体"/>
          <w:bCs/>
          <w:sz w:val="44"/>
          <w:szCs w:val="44"/>
        </w:rPr>
      </w:pPr>
      <w:r>
        <w:rPr>
          <w:rFonts w:hint="eastAsia" w:ascii="黑体" w:hAnsi="华文中宋" w:eastAsia="黑体"/>
          <w:bCs/>
          <w:sz w:val="44"/>
          <w:szCs w:val="44"/>
        </w:rPr>
        <w:t>2023年7月</w:t>
      </w:r>
      <w:r>
        <w:rPr>
          <w:rFonts w:hint="eastAsia" w:ascii="黑体" w:hAnsi="华文中宋" w:eastAsia="黑体"/>
          <w:bCs/>
          <w:sz w:val="44"/>
          <w:szCs w:val="44"/>
          <w:lang w:val="en-US" w:eastAsia="zh-CN"/>
        </w:rPr>
        <w:t>20</w:t>
      </w:r>
      <w:r>
        <w:rPr>
          <w:rFonts w:hint="eastAsia" w:ascii="黑体" w:hAnsi="华文中宋" w:eastAsia="黑体"/>
          <w:bCs/>
          <w:sz w:val="44"/>
          <w:szCs w:val="44"/>
        </w:rPr>
        <w:t>日</w:t>
      </w:r>
    </w:p>
    <w:p>
      <w:pPr>
        <w:jc w:val="center"/>
        <w:rPr>
          <w:rFonts w:eastAsia="黑体"/>
          <w:bCs/>
          <w:sz w:val="48"/>
        </w:rPr>
      </w:pPr>
    </w:p>
    <w:p>
      <w:pPr>
        <w:jc w:val="center"/>
        <w:rPr>
          <w:rFonts w:eastAsia="黑体"/>
          <w:bCs/>
          <w:sz w:val="48"/>
        </w:rPr>
      </w:pPr>
    </w:p>
    <w:p>
      <w:pPr>
        <w:jc w:val="center"/>
        <w:rPr>
          <w:rFonts w:eastAsia="黑体"/>
          <w:bCs/>
          <w:sz w:val="48"/>
        </w:rPr>
      </w:pPr>
    </w:p>
    <w:p>
      <w:pPr>
        <w:jc w:val="center"/>
        <w:rPr>
          <w:rFonts w:eastAsia="黑体"/>
          <w:bCs/>
          <w:sz w:val="48"/>
        </w:rPr>
      </w:pPr>
    </w:p>
    <w:p>
      <w:pPr>
        <w:jc w:val="center"/>
        <w:rPr>
          <w:rFonts w:eastAsia="黑体"/>
          <w:bCs/>
          <w:sz w:val="48"/>
        </w:rPr>
      </w:pPr>
      <w:r>
        <w:rPr>
          <w:rFonts w:hint="eastAsia" w:eastAsia="黑体"/>
          <w:bCs/>
          <w:sz w:val="48"/>
        </w:rPr>
        <w:t>目     录</w:t>
      </w:r>
    </w:p>
    <w:p>
      <w:pPr>
        <w:jc w:val="center"/>
        <w:rPr>
          <w:rFonts w:ascii="黑体" w:eastAsia="黑体"/>
          <w:bCs/>
          <w:sz w:val="30"/>
        </w:rPr>
      </w:pPr>
    </w:p>
    <w:p>
      <w:pPr>
        <w:jc w:val="center"/>
        <w:rPr>
          <w:rFonts w:ascii="黑体" w:eastAsia="黑体"/>
          <w:bCs/>
          <w:sz w:val="30"/>
        </w:rPr>
      </w:pPr>
    </w:p>
    <w:p>
      <w:pPr>
        <w:spacing w:line="720" w:lineRule="auto"/>
        <w:ind w:firstLine="450" w:firstLineChars="150"/>
        <w:rPr>
          <w:rFonts w:ascii="宋体"/>
          <w:bCs/>
          <w:sz w:val="30"/>
          <w:szCs w:val="30"/>
        </w:rPr>
      </w:pPr>
      <w:r>
        <w:rPr>
          <w:rFonts w:hint="eastAsia" w:ascii="宋体" w:hAnsi="宋体"/>
          <w:bCs/>
          <w:sz w:val="30"/>
          <w:szCs w:val="30"/>
        </w:rPr>
        <w:t>一．参加征集活动的邀请------</w:t>
      </w:r>
      <w:r>
        <w:rPr>
          <w:rFonts w:ascii="宋体"/>
          <w:bCs/>
          <w:sz w:val="30"/>
          <w:szCs w:val="30"/>
        </w:rPr>
        <w:t>----------------------------</w:t>
      </w:r>
      <w:r>
        <w:rPr>
          <w:rFonts w:hint="eastAsia" w:ascii="宋体" w:hAnsi="宋体"/>
          <w:bCs/>
          <w:sz w:val="30"/>
          <w:szCs w:val="30"/>
        </w:rPr>
        <w:t>（2）</w:t>
      </w:r>
    </w:p>
    <w:p>
      <w:pPr>
        <w:spacing w:line="720" w:lineRule="auto"/>
        <w:ind w:firstLine="450" w:firstLineChars="150"/>
        <w:rPr>
          <w:rFonts w:ascii="宋体"/>
          <w:bCs/>
          <w:sz w:val="30"/>
          <w:szCs w:val="30"/>
        </w:rPr>
      </w:pPr>
      <w:r>
        <w:rPr>
          <w:rFonts w:hint="eastAsia" w:ascii="宋体" w:hAnsi="宋体"/>
          <w:bCs/>
          <w:sz w:val="30"/>
          <w:szCs w:val="30"/>
        </w:rPr>
        <w:t>二．供应商须知</w:t>
      </w:r>
      <w:r>
        <w:rPr>
          <w:rFonts w:ascii="宋体"/>
          <w:bCs/>
          <w:sz w:val="30"/>
          <w:szCs w:val="30"/>
        </w:rPr>
        <w:t>------------------------------------------</w:t>
      </w:r>
      <w:r>
        <w:rPr>
          <w:rFonts w:hint="eastAsia" w:ascii="宋体" w:hAnsi="宋体"/>
          <w:bCs/>
          <w:sz w:val="30"/>
          <w:szCs w:val="30"/>
        </w:rPr>
        <w:t>（5）</w:t>
      </w:r>
    </w:p>
    <w:p>
      <w:pPr>
        <w:spacing w:line="720" w:lineRule="auto"/>
        <w:ind w:firstLine="450" w:firstLineChars="150"/>
        <w:jc w:val="left"/>
        <w:rPr>
          <w:rFonts w:ascii="宋体" w:hAnsi="宋体"/>
          <w:bCs/>
          <w:sz w:val="30"/>
          <w:szCs w:val="30"/>
        </w:rPr>
      </w:pPr>
      <w:r>
        <w:rPr>
          <w:rFonts w:hint="eastAsia" w:ascii="宋体" w:hAnsi="宋体"/>
          <w:bCs/>
          <w:sz w:val="30"/>
          <w:szCs w:val="30"/>
        </w:rPr>
        <w:t>三．采购需求和有关说明-----------</w:t>
      </w:r>
      <w:r>
        <w:rPr>
          <w:rFonts w:ascii="宋体"/>
          <w:bCs/>
          <w:sz w:val="30"/>
          <w:szCs w:val="30"/>
        </w:rPr>
        <w:t>---------</w:t>
      </w:r>
      <w:r>
        <w:rPr>
          <w:rFonts w:hint="eastAsia" w:ascii="宋体"/>
          <w:bCs/>
          <w:sz w:val="30"/>
          <w:szCs w:val="30"/>
        </w:rPr>
        <w:t>--</w:t>
      </w:r>
      <w:r>
        <w:rPr>
          <w:rFonts w:ascii="宋体"/>
          <w:bCs/>
          <w:sz w:val="30"/>
          <w:szCs w:val="30"/>
        </w:rPr>
        <w:t>------------</w:t>
      </w:r>
      <w:r>
        <w:rPr>
          <w:rFonts w:hint="eastAsia" w:ascii="宋体" w:hAnsi="宋体"/>
          <w:bCs/>
          <w:sz w:val="30"/>
          <w:szCs w:val="30"/>
        </w:rPr>
        <w:t>（1</w:t>
      </w:r>
      <w:r>
        <w:rPr>
          <w:rFonts w:ascii="宋体" w:hAnsi="宋体"/>
          <w:bCs/>
          <w:sz w:val="30"/>
          <w:szCs w:val="30"/>
        </w:rPr>
        <w:t>5</w:t>
      </w:r>
      <w:r>
        <w:rPr>
          <w:rFonts w:hint="eastAsia" w:ascii="宋体" w:hAnsi="宋体"/>
          <w:bCs/>
          <w:sz w:val="30"/>
          <w:szCs w:val="30"/>
        </w:rPr>
        <w:t>）</w:t>
      </w:r>
    </w:p>
    <w:p>
      <w:pPr>
        <w:spacing w:line="720" w:lineRule="auto"/>
        <w:ind w:firstLine="450" w:firstLineChars="150"/>
        <w:rPr>
          <w:rFonts w:ascii="宋体" w:hAnsi="宋体"/>
          <w:bCs/>
          <w:sz w:val="30"/>
          <w:szCs w:val="30"/>
        </w:rPr>
      </w:pPr>
      <w:r>
        <w:rPr>
          <w:rFonts w:hint="eastAsia" w:ascii="宋体" w:hAnsi="宋体"/>
          <w:bCs/>
          <w:sz w:val="30"/>
          <w:szCs w:val="30"/>
        </w:rPr>
        <w:t>四．框架协议文本</w:t>
      </w:r>
      <w:r>
        <w:rPr>
          <w:rFonts w:ascii="宋体"/>
          <w:bCs/>
          <w:sz w:val="30"/>
          <w:szCs w:val="30"/>
        </w:rPr>
        <w:t>-----------------</w:t>
      </w:r>
      <w:r>
        <w:rPr>
          <w:rFonts w:hint="eastAsia" w:ascii="宋体"/>
          <w:bCs/>
          <w:sz w:val="30"/>
          <w:szCs w:val="30"/>
        </w:rPr>
        <w:t>-</w:t>
      </w:r>
      <w:r>
        <w:rPr>
          <w:rFonts w:ascii="宋体"/>
          <w:bCs/>
          <w:sz w:val="30"/>
          <w:szCs w:val="30"/>
        </w:rPr>
        <w:t>----------------------</w:t>
      </w:r>
      <w:r>
        <w:rPr>
          <w:rFonts w:hint="eastAsia" w:ascii="宋体" w:hAnsi="宋体"/>
          <w:bCs/>
          <w:sz w:val="30"/>
          <w:szCs w:val="30"/>
        </w:rPr>
        <w:t>（21）</w:t>
      </w:r>
    </w:p>
    <w:p>
      <w:pPr>
        <w:spacing w:line="720" w:lineRule="auto"/>
        <w:ind w:firstLine="450" w:firstLineChars="150"/>
        <w:rPr>
          <w:rFonts w:ascii="宋体" w:hAnsi="宋体"/>
          <w:bCs/>
          <w:sz w:val="30"/>
          <w:szCs w:val="30"/>
        </w:rPr>
      </w:pPr>
      <w:r>
        <w:rPr>
          <w:rFonts w:hint="eastAsia" w:ascii="宋体" w:hAnsi="宋体"/>
          <w:bCs/>
          <w:sz w:val="30"/>
          <w:szCs w:val="30"/>
        </w:rPr>
        <w:t>五．采购合同文本</w:t>
      </w:r>
      <w:r>
        <w:rPr>
          <w:rFonts w:ascii="宋体"/>
          <w:bCs/>
          <w:sz w:val="30"/>
          <w:szCs w:val="30"/>
        </w:rPr>
        <w:t>---------------</w:t>
      </w:r>
      <w:r>
        <w:rPr>
          <w:rFonts w:hint="eastAsia" w:ascii="宋体"/>
          <w:bCs/>
          <w:sz w:val="30"/>
          <w:szCs w:val="30"/>
        </w:rPr>
        <w:t>-</w:t>
      </w:r>
      <w:r>
        <w:rPr>
          <w:rFonts w:ascii="宋体"/>
          <w:bCs/>
          <w:sz w:val="30"/>
          <w:szCs w:val="30"/>
        </w:rPr>
        <w:t>----</w:t>
      </w:r>
      <w:r>
        <w:rPr>
          <w:rFonts w:hint="eastAsia" w:ascii="宋体"/>
          <w:bCs/>
          <w:sz w:val="30"/>
          <w:szCs w:val="30"/>
        </w:rPr>
        <w:t>--</w:t>
      </w:r>
      <w:r>
        <w:rPr>
          <w:rFonts w:ascii="宋体"/>
          <w:bCs/>
          <w:sz w:val="30"/>
          <w:szCs w:val="30"/>
        </w:rPr>
        <w:t>------------------</w:t>
      </w:r>
      <w:r>
        <w:rPr>
          <w:rFonts w:hint="eastAsia" w:ascii="宋体" w:hAnsi="宋体"/>
          <w:bCs/>
          <w:sz w:val="30"/>
          <w:szCs w:val="30"/>
        </w:rPr>
        <w:t>（27）</w:t>
      </w:r>
    </w:p>
    <w:p>
      <w:pPr>
        <w:spacing w:line="720" w:lineRule="auto"/>
        <w:ind w:firstLine="450" w:firstLineChars="150"/>
        <w:rPr>
          <w:rFonts w:ascii="宋体" w:hAnsi="宋体"/>
          <w:bCs/>
          <w:sz w:val="30"/>
          <w:szCs w:val="30"/>
        </w:rPr>
      </w:pPr>
      <w:r>
        <w:rPr>
          <w:rFonts w:hint="eastAsia" w:ascii="宋体" w:hAnsi="宋体"/>
          <w:bCs/>
          <w:sz w:val="30"/>
          <w:szCs w:val="30"/>
        </w:rPr>
        <w:t>六．附件</w:t>
      </w:r>
      <w:r>
        <w:rPr>
          <w:rFonts w:ascii="宋体"/>
          <w:bCs/>
          <w:sz w:val="30"/>
          <w:szCs w:val="30"/>
        </w:rPr>
        <w:t>----------------------------</w:t>
      </w:r>
      <w:r>
        <w:rPr>
          <w:rFonts w:hint="eastAsia" w:ascii="宋体"/>
          <w:bCs/>
          <w:sz w:val="30"/>
          <w:szCs w:val="30"/>
        </w:rPr>
        <w:t>-</w:t>
      </w:r>
      <w:r>
        <w:rPr>
          <w:rFonts w:ascii="宋体"/>
          <w:bCs/>
          <w:sz w:val="30"/>
          <w:szCs w:val="30"/>
        </w:rPr>
        <w:t>-------------------</w:t>
      </w:r>
      <w:r>
        <w:rPr>
          <w:rFonts w:hint="eastAsia" w:ascii="宋体" w:hAnsi="宋体"/>
          <w:bCs/>
          <w:sz w:val="30"/>
          <w:szCs w:val="30"/>
        </w:rPr>
        <w:t>（30）</w:t>
      </w:r>
    </w:p>
    <w:p>
      <w:pPr>
        <w:spacing w:line="720" w:lineRule="auto"/>
        <w:jc w:val="center"/>
        <w:rPr>
          <w:rFonts w:ascii="宋体"/>
          <w:bCs/>
          <w:sz w:val="30"/>
        </w:rPr>
      </w:pPr>
    </w:p>
    <w:p>
      <w:pPr>
        <w:jc w:val="center"/>
        <w:rPr>
          <w:rFonts w:ascii="宋体"/>
          <w:bCs/>
          <w:sz w:val="32"/>
        </w:rPr>
      </w:pPr>
    </w:p>
    <w:p>
      <w:pPr>
        <w:widowControl/>
        <w:jc w:val="left"/>
        <w:rPr>
          <w:rFonts w:ascii="黑体" w:eastAsia="黑体"/>
          <w:bCs/>
          <w:sz w:val="28"/>
          <w:szCs w:val="28"/>
        </w:rPr>
      </w:pPr>
      <w:bookmarkStart w:id="1" w:name="报价方须知前附表"/>
      <w:bookmarkEnd w:id="1"/>
      <w:r>
        <w:rPr>
          <w:rFonts w:ascii="黑体" w:eastAsia="黑体"/>
          <w:bCs/>
          <w:sz w:val="28"/>
          <w:szCs w:val="28"/>
        </w:rPr>
        <w:br w:type="page"/>
      </w:r>
    </w:p>
    <w:p>
      <w:pPr>
        <w:spacing w:line="360" w:lineRule="auto"/>
        <w:jc w:val="center"/>
        <w:rPr>
          <w:rFonts w:ascii="黑体" w:eastAsia="黑体"/>
          <w:bCs/>
          <w:sz w:val="28"/>
          <w:szCs w:val="28"/>
        </w:rPr>
      </w:pPr>
      <w:r>
        <w:rPr>
          <w:rFonts w:hint="eastAsia" w:ascii="黑体" w:eastAsia="黑体"/>
          <w:bCs/>
          <w:sz w:val="28"/>
          <w:szCs w:val="28"/>
        </w:rPr>
        <w:t>一．参加征集活动的邀请</w:t>
      </w:r>
    </w:p>
    <w:p>
      <w:pPr>
        <w:spacing w:line="360" w:lineRule="auto"/>
        <w:ind w:firstLine="480" w:firstLineChars="200"/>
        <w:rPr>
          <w:rFonts w:ascii="宋体" w:hAnsi="宋体"/>
          <w:bCs/>
          <w:sz w:val="24"/>
          <w:szCs w:val="24"/>
        </w:rPr>
      </w:pPr>
      <w:r>
        <w:rPr>
          <w:rFonts w:hint="eastAsia" w:ascii="宋体" w:hAnsi="宋体"/>
          <w:bCs/>
          <w:sz w:val="24"/>
          <w:szCs w:val="24"/>
        </w:rPr>
        <w:t>无锡市滨湖区公共资源交易中心现就2023-2025年度无锡市滨湖区车辆维修和保养服务框架协议采购项目</w:t>
      </w:r>
      <w:r>
        <w:rPr>
          <w:rFonts w:ascii="宋体" w:hAnsi="宋体"/>
          <w:bCs/>
          <w:sz w:val="24"/>
          <w:szCs w:val="24"/>
        </w:rPr>
        <w:t>征集供应商</w:t>
      </w:r>
      <w:r>
        <w:rPr>
          <w:rFonts w:hint="eastAsia" w:ascii="宋体" w:hAnsi="宋体"/>
          <w:bCs/>
          <w:sz w:val="24"/>
          <w:szCs w:val="24"/>
        </w:rPr>
        <w:t>，欢迎符合条件的供应商参加本次框架协议采购活动。</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（一）采购项目信息</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1.项目名称：2023-2025年度无锡市滨湖区车辆维修和保养服务框架协议采购</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2.项目编号：</w:t>
      </w:r>
      <w:r>
        <w:rPr>
          <w:rFonts w:ascii="宋体" w:hAnsi="宋体" w:cs="宋体"/>
          <w:kern w:val="0"/>
          <w:sz w:val="24"/>
          <w:szCs w:val="24"/>
        </w:rPr>
        <w:t>BHJYZXKJ2023001</w:t>
      </w:r>
    </w:p>
    <w:p>
      <w:pPr>
        <w:widowControl/>
        <w:shd w:val="clear" w:color="auto" w:fill="FFFFFF"/>
        <w:spacing w:line="360" w:lineRule="auto"/>
        <w:ind w:firstLine="480" w:firstLineChars="200"/>
        <w:jc w:val="left"/>
        <w:rPr>
          <w:rFonts w:ascii="宋体" w:hAnsi="宋体"/>
          <w:sz w:val="24"/>
          <w:szCs w:val="24"/>
        </w:rPr>
      </w:pPr>
      <w:r>
        <w:rPr>
          <w:rFonts w:hint="eastAsia" w:ascii="宋体" w:hAnsi="宋体" w:cs="宋体"/>
          <w:kern w:val="0"/>
          <w:sz w:val="24"/>
          <w:szCs w:val="24"/>
        </w:rPr>
        <w:t>3.</w:t>
      </w:r>
      <w:r>
        <w:rPr>
          <w:rFonts w:hint="eastAsia" w:ascii="宋体" w:hAnsi="宋体"/>
          <w:sz w:val="24"/>
          <w:szCs w:val="24"/>
        </w:rPr>
        <w:t>最高限制单价：详见“三.采购需求和有关说明”</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w:t>
      </w:r>
      <w:r>
        <w:rPr>
          <w:rFonts w:hint="eastAsia" w:ascii="宋体" w:hAnsi="宋体"/>
          <w:sz w:val="24"/>
          <w:szCs w:val="24"/>
        </w:rPr>
        <w:t>框架协议的期限：2023年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1</w:t>
      </w:r>
      <w:r>
        <w:rPr>
          <w:rFonts w:hint="eastAsia" w:ascii="宋体" w:hAnsi="宋体"/>
          <w:sz w:val="24"/>
          <w:szCs w:val="24"/>
        </w:rPr>
        <w:t>日至2025年7月31日（本项目框架协议的期限暂定为2年，若省厅另有统一征集的，按省厅征集要求及结果执行）</w:t>
      </w:r>
    </w:p>
    <w:p>
      <w:pPr>
        <w:widowControl/>
        <w:shd w:val="clear" w:color="auto" w:fill="FFFFFF"/>
        <w:spacing w:line="360" w:lineRule="auto"/>
        <w:ind w:firstLine="480" w:firstLineChars="200"/>
        <w:jc w:val="left"/>
        <w:rPr>
          <w:rFonts w:ascii="宋体" w:hAnsi="宋体"/>
          <w:sz w:val="24"/>
          <w:szCs w:val="24"/>
        </w:rPr>
      </w:pPr>
      <w:r>
        <w:rPr>
          <w:rFonts w:hint="eastAsia" w:ascii="宋体" w:hAnsi="宋体"/>
          <w:sz w:val="24"/>
          <w:szCs w:val="24"/>
        </w:rPr>
        <w:t>5.采购方式：封闭式框架协议采购</w:t>
      </w:r>
    </w:p>
    <w:p>
      <w:pPr>
        <w:widowControl/>
        <w:shd w:val="clear" w:color="auto" w:fill="FFFFFF"/>
        <w:spacing w:line="360" w:lineRule="auto"/>
        <w:ind w:firstLine="480" w:firstLineChars="200"/>
        <w:jc w:val="left"/>
        <w:rPr>
          <w:rFonts w:ascii="宋体" w:hAnsi="宋体"/>
          <w:sz w:val="24"/>
          <w:szCs w:val="24"/>
        </w:rPr>
      </w:pPr>
      <w:r>
        <w:rPr>
          <w:rFonts w:hint="eastAsia" w:ascii="宋体" w:hAnsi="宋体"/>
          <w:sz w:val="24"/>
          <w:szCs w:val="24"/>
        </w:rPr>
        <w:t>6.征集人：无锡市滨湖区公共资源交易中心</w:t>
      </w:r>
    </w:p>
    <w:p>
      <w:pPr>
        <w:widowControl/>
        <w:shd w:val="clear" w:color="auto" w:fill="FFFFFF"/>
        <w:spacing w:line="360" w:lineRule="auto"/>
        <w:ind w:firstLine="480" w:firstLineChars="200"/>
        <w:jc w:val="left"/>
        <w:rPr>
          <w:rFonts w:ascii="宋体" w:hAnsi="宋体"/>
          <w:sz w:val="24"/>
          <w:szCs w:val="24"/>
        </w:rPr>
      </w:pPr>
      <w:r>
        <w:rPr>
          <w:rFonts w:hint="eastAsia" w:ascii="宋体" w:hAnsi="宋体"/>
          <w:sz w:val="24"/>
          <w:szCs w:val="24"/>
        </w:rPr>
        <w:t>7.本项目是否专门面向中小企业：是</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sz w:val="24"/>
          <w:szCs w:val="24"/>
        </w:rPr>
        <w:t>8.</w:t>
      </w:r>
      <w:r>
        <w:rPr>
          <w:rFonts w:hint="eastAsia" w:ascii="宋体" w:hAnsi="宋体" w:cs="宋体"/>
          <w:kern w:val="0"/>
          <w:sz w:val="24"/>
          <w:szCs w:val="24"/>
        </w:rPr>
        <w:t>本项目标的所属行业：其他未列明行业</w:t>
      </w:r>
    </w:p>
    <w:p>
      <w:pPr>
        <w:widowControl/>
        <w:shd w:val="clear" w:color="auto" w:fill="FFFFFF"/>
        <w:spacing w:line="360" w:lineRule="auto"/>
        <w:ind w:firstLine="480" w:firstLineChars="200"/>
        <w:jc w:val="left"/>
        <w:rPr>
          <w:rFonts w:ascii="宋体" w:hAnsi="宋体"/>
          <w:sz w:val="24"/>
          <w:szCs w:val="24"/>
        </w:rPr>
      </w:pPr>
      <w:r>
        <w:rPr>
          <w:rFonts w:hint="eastAsia" w:ascii="宋体" w:hAnsi="宋体" w:cs="宋体"/>
          <w:kern w:val="0"/>
          <w:sz w:val="24"/>
          <w:szCs w:val="24"/>
        </w:rPr>
        <w:t>9.</w:t>
      </w:r>
      <w:r>
        <w:rPr>
          <w:rFonts w:hint="eastAsia" w:ascii="宋体" w:hAnsi="宋体"/>
          <w:sz w:val="24"/>
          <w:szCs w:val="24"/>
        </w:rPr>
        <w:t>适用框架协议的采购人或者服务对象范围：无锡市滨湖区的国家机关、事业单位和团体组织</w:t>
      </w:r>
    </w:p>
    <w:p>
      <w:pPr>
        <w:widowControl/>
        <w:shd w:val="clear" w:color="auto" w:fill="FFFFFF"/>
        <w:spacing w:line="360" w:lineRule="auto"/>
        <w:ind w:firstLine="480" w:firstLineChars="200"/>
        <w:jc w:val="left"/>
        <w:rPr>
          <w:rFonts w:ascii="宋体" w:hAnsi="宋体"/>
          <w:sz w:val="24"/>
          <w:szCs w:val="24"/>
        </w:rPr>
      </w:pPr>
      <w:r>
        <w:rPr>
          <w:rFonts w:hint="eastAsia" w:ascii="宋体" w:hAnsi="宋体"/>
          <w:sz w:val="24"/>
          <w:szCs w:val="24"/>
        </w:rPr>
        <w:t>10. 采购标段的划分：本框架协议采购项目分为A、B两个标段。一类汽车维修供应商只限于参与A标段报价，如参与B标段报价，B标段报价将作为无效报价；二类汽车维修供应商只限于参与B标段报价，如参与A标段报价，A标段报价将作为无效报价。详见“三.采购需求和有关说明”</w:t>
      </w:r>
    </w:p>
    <w:p>
      <w:pPr>
        <w:widowControl/>
        <w:shd w:val="clear" w:color="auto" w:fill="FFFFFF"/>
        <w:spacing w:line="360" w:lineRule="auto"/>
        <w:ind w:firstLine="480" w:firstLineChars="200"/>
        <w:jc w:val="left"/>
        <w:rPr>
          <w:rFonts w:ascii="黑体" w:hAnsi="黑体" w:eastAsia="黑体" w:cs="宋体"/>
          <w:kern w:val="0"/>
          <w:sz w:val="24"/>
          <w:szCs w:val="24"/>
        </w:rPr>
      </w:pPr>
      <w:r>
        <w:rPr>
          <w:rFonts w:hint="eastAsia" w:ascii="宋体" w:hAnsi="宋体"/>
          <w:sz w:val="24"/>
          <w:szCs w:val="24"/>
        </w:rPr>
        <w:t>11. 本项目征集活动不收取保证金</w:t>
      </w:r>
    </w:p>
    <w:p>
      <w:pPr>
        <w:widowControl/>
        <w:shd w:val="clear" w:color="auto" w:fill="FFFFFF"/>
        <w:spacing w:line="360" w:lineRule="auto"/>
        <w:ind w:firstLine="480" w:firstLineChars="200"/>
        <w:jc w:val="left"/>
        <w:rPr>
          <w:rFonts w:ascii="黑体" w:hAnsi="黑体" w:eastAsia="黑体" w:cs="宋体"/>
          <w:kern w:val="0"/>
          <w:sz w:val="24"/>
          <w:szCs w:val="24"/>
        </w:rPr>
      </w:pPr>
      <w:r>
        <w:rPr>
          <w:rFonts w:hint="eastAsia" w:ascii="黑体" w:hAnsi="黑体" w:eastAsia="黑体" w:cs="宋体"/>
          <w:kern w:val="0"/>
          <w:sz w:val="24"/>
          <w:szCs w:val="24"/>
        </w:rPr>
        <w:t>（二）供应商的资格条件</w:t>
      </w:r>
    </w:p>
    <w:p>
      <w:pPr>
        <w:widowControl/>
        <w:shd w:val="clear" w:color="auto" w:fill="FFFFFF"/>
        <w:spacing w:line="360" w:lineRule="auto"/>
        <w:ind w:firstLine="480" w:firstLineChars="200"/>
        <w:jc w:val="left"/>
        <w:rPr>
          <w:rFonts w:ascii="宋体" w:hAnsi="宋体"/>
          <w:sz w:val="24"/>
          <w:szCs w:val="24"/>
        </w:rPr>
      </w:pPr>
      <w:r>
        <w:rPr>
          <w:rFonts w:hint="eastAsia" w:ascii="宋体" w:hAnsi="宋体"/>
          <w:sz w:val="24"/>
          <w:szCs w:val="24"/>
        </w:rPr>
        <w:t>1.具备《中华人民共和国政府采购法》第二十二条第一款规定的条件；</w:t>
      </w:r>
    </w:p>
    <w:p>
      <w:pPr>
        <w:widowControl/>
        <w:shd w:val="clear" w:color="auto" w:fill="FFFFFF"/>
        <w:spacing w:line="360" w:lineRule="auto"/>
        <w:ind w:firstLine="480" w:firstLineChars="200"/>
        <w:jc w:val="left"/>
        <w:rPr>
          <w:rFonts w:ascii="宋体" w:hAnsi="宋体"/>
          <w:sz w:val="24"/>
          <w:szCs w:val="24"/>
        </w:rPr>
      </w:pPr>
      <w:r>
        <w:rPr>
          <w:rFonts w:hint="eastAsia" w:ascii="宋体" w:hAnsi="宋体"/>
          <w:sz w:val="24"/>
          <w:szCs w:val="24"/>
        </w:rPr>
        <w:t>2.未被“信用中国”网站（</w:t>
      </w:r>
      <w:r>
        <w:fldChar w:fldCharType="begin"/>
      </w:r>
      <w:r>
        <w:instrText xml:space="preserve"> HYPERLINK "http://www.creditchina.gov.cn" </w:instrText>
      </w:r>
      <w:r>
        <w:fldChar w:fldCharType="separate"/>
      </w:r>
      <w:r>
        <w:rPr>
          <w:rFonts w:hint="eastAsia" w:ascii="宋体" w:hAnsi="宋体"/>
          <w:sz w:val="24"/>
          <w:szCs w:val="24"/>
        </w:rPr>
        <w:t>www.creditchina.gov.cn</w:t>
      </w:r>
      <w:r>
        <w:rPr>
          <w:rFonts w:hint="eastAsia" w:ascii="宋体" w:hAnsi="宋体"/>
          <w:sz w:val="24"/>
          <w:szCs w:val="24"/>
        </w:rPr>
        <w:fldChar w:fldCharType="end"/>
      </w:r>
      <w:r>
        <w:rPr>
          <w:rFonts w:hint="eastAsia" w:ascii="宋体" w:hAnsi="宋体"/>
          <w:sz w:val="24"/>
          <w:szCs w:val="24"/>
        </w:rPr>
        <w:t>）、中国政府采购网(www.ccgp.gov.cn)列入失信被执行人、重大税收违法案件当事人名单、政府采购严重违法失信行为记录名单；</w:t>
      </w:r>
    </w:p>
    <w:p>
      <w:pPr>
        <w:widowControl/>
        <w:shd w:val="clear" w:color="auto" w:fill="FFFFFF"/>
        <w:spacing w:line="360" w:lineRule="auto"/>
        <w:ind w:firstLine="480" w:firstLineChars="200"/>
        <w:jc w:val="left"/>
        <w:rPr>
          <w:rFonts w:ascii="宋体" w:hAnsi="宋体"/>
          <w:bCs/>
          <w:sz w:val="24"/>
          <w:szCs w:val="24"/>
        </w:rPr>
      </w:pPr>
      <w:r>
        <w:rPr>
          <w:rFonts w:hint="eastAsia" w:ascii="宋体" w:hAnsi="宋体"/>
          <w:bCs/>
          <w:sz w:val="24"/>
          <w:szCs w:val="24"/>
        </w:rPr>
        <w:t>3.</w:t>
      </w:r>
      <w:r>
        <w:rPr>
          <w:rFonts w:hint="eastAsia" w:ascii="宋体" w:hAnsi="宋体"/>
          <w:sz w:val="24"/>
          <w:szCs w:val="24"/>
        </w:rPr>
        <w:t>落实政府采购政策需满足的资格要求：本项目专门面向中小企业；</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w:t>
      </w:r>
      <w:r>
        <w:rPr>
          <w:rFonts w:hint="eastAsia" w:ascii="宋体" w:hAnsi="宋体"/>
          <w:sz w:val="24"/>
          <w:szCs w:val="24"/>
        </w:rPr>
        <w:t>本</w:t>
      </w:r>
      <w:r>
        <w:rPr>
          <w:rFonts w:hint="eastAsia" w:ascii="宋体" w:hAnsi="宋体" w:cs="宋体"/>
          <w:kern w:val="0"/>
          <w:sz w:val="24"/>
          <w:szCs w:val="24"/>
        </w:rPr>
        <w:t>项目的特定资质要求：</w:t>
      </w:r>
    </w:p>
    <w:p>
      <w:pPr>
        <w:widowControl/>
        <w:shd w:val="clear" w:color="auto" w:fill="FFFFFF"/>
        <w:spacing w:line="360" w:lineRule="auto"/>
        <w:ind w:firstLine="480" w:firstLineChars="200"/>
        <w:jc w:val="left"/>
        <w:rPr>
          <w:rFonts w:ascii="宋体" w:hAnsi="宋体" w:cs="宋体"/>
          <w:kern w:val="0"/>
          <w:sz w:val="24"/>
          <w:szCs w:val="24"/>
        </w:rPr>
      </w:pPr>
      <w:bookmarkStart w:id="2" w:name="_Hlk136286959"/>
      <w:r>
        <w:rPr>
          <w:rFonts w:hint="eastAsia" w:ascii="宋体" w:hAnsi="宋体" w:cs="宋体"/>
          <w:kern w:val="0"/>
          <w:sz w:val="24"/>
          <w:szCs w:val="24"/>
        </w:rPr>
        <w:t>（1）A标段：供应商须为一类汽车维修企业（须提供有效期内的道路运输经营许可证复印件或提供在交通运输管理部门备案满一个月的备案登记证明复印件，许可证或备案登记证明经营范围为“一类汽车维修”）</w:t>
      </w:r>
    </w:p>
    <w:p>
      <w:pPr>
        <w:widowControl/>
        <w:shd w:val="clear" w:color="auto" w:fill="FFFFFF"/>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B标段：供应商须为二类汽车维修企业（须提供有效期内的道路运输经营许可证复印件或提供在交通运输管理部门备案满一个月的备案登记证明复印件，许可证或备案登记证明经营范围为“二类汽车维修”）</w:t>
      </w:r>
      <w:bookmarkEnd w:id="2"/>
    </w:p>
    <w:p>
      <w:pPr>
        <w:tabs>
          <w:tab w:val="left" w:pos="945"/>
        </w:tabs>
        <w:spacing w:line="360" w:lineRule="auto"/>
        <w:ind w:left="426"/>
        <w:rPr>
          <w:rFonts w:ascii="宋体" w:hAnsi="宋体"/>
          <w:bCs/>
          <w:sz w:val="24"/>
          <w:szCs w:val="24"/>
        </w:rPr>
      </w:pPr>
      <w:r>
        <w:rPr>
          <w:rFonts w:hint="eastAsia" w:ascii="宋体" w:hAnsi="宋体" w:cs="宋体"/>
          <w:kern w:val="0"/>
          <w:sz w:val="24"/>
          <w:szCs w:val="24"/>
        </w:rPr>
        <w:t>（2）不接受联合体参加采购活动</w:t>
      </w:r>
    </w:p>
    <w:p>
      <w:pPr>
        <w:widowControl/>
        <w:shd w:val="clear" w:color="auto" w:fill="FFFFFF"/>
        <w:spacing w:line="360" w:lineRule="auto"/>
        <w:ind w:firstLine="480" w:firstLineChars="200"/>
        <w:jc w:val="left"/>
        <w:rPr>
          <w:rFonts w:ascii="黑体" w:hAnsi="黑体" w:eastAsia="黑体" w:cs="宋体"/>
          <w:kern w:val="0"/>
          <w:sz w:val="24"/>
          <w:szCs w:val="24"/>
        </w:rPr>
      </w:pPr>
      <w:r>
        <w:rPr>
          <w:rFonts w:hint="eastAsia" w:ascii="黑体" w:hAnsi="黑体" w:eastAsia="黑体" w:cs="宋体"/>
          <w:kern w:val="0"/>
          <w:sz w:val="24"/>
          <w:szCs w:val="24"/>
        </w:rPr>
        <w:t>（三）供应商信息库注册</w:t>
      </w:r>
    </w:p>
    <w:p>
      <w:pPr>
        <w:spacing w:line="360" w:lineRule="auto"/>
        <w:ind w:firstLine="480" w:firstLineChars="200"/>
        <w:rPr>
          <w:rFonts w:ascii="宋体" w:hAnsi="宋体"/>
          <w:bCs/>
          <w:sz w:val="24"/>
          <w:szCs w:val="24"/>
        </w:rPr>
      </w:pPr>
      <w:r>
        <w:rPr>
          <w:rFonts w:hint="eastAsia" w:ascii="宋体" w:hAnsi="宋体"/>
          <w:bCs/>
          <w:sz w:val="24"/>
          <w:szCs w:val="24"/>
        </w:rPr>
        <w:t>1.请有意参加本项目采购活动的供应商按以下流程进行操作：</w:t>
      </w:r>
    </w:p>
    <w:p>
      <w:pPr>
        <w:spacing w:line="360" w:lineRule="auto"/>
        <w:ind w:firstLine="480" w:firstLineChars="200"/>
        <w:rPr>
          <w:rFonts w:ascii="宋体" w:hAnsi="宋体"/>
          <w:bCs/>
          <w:sz w:val="24"/>
          <w:szCs w:val="24"/>
        </w:rPr>
      </w:pPr>
      <w:r>
        <w:rPr>
          <w:rFonts w:hint="eastAsia" w:ascii="宋体" w:hAnsi="宋体"/>
          <w:bCs/>
          <w:sz w:val="24"/>
          <w:szCs w:val="24"/>
        </w:rPr>
        <w:t>（1）访问“无锡政府采购网”点击“政府采购交易管理一体化系统”——“商家入驻”按钮进入注册界面，选择对应地区进行账号注册并填写申请信息，也可以直接通过http://middle.wuxi.zcygov.cn/v-settle-front/registry进入注册界面。</w:t>
      </w:r>
    </w:p>
    <w:p>
      <w:pPr>
        <w:spacing w:line="360" w:lineRule="auto"/>
        <w:ind w:firstLine="480" w:firstLineChars="200"/>
        <w:rPr>
          <w:rFonts w:ascii="宋体" w:hAnsi="宋体"/>
          <w:bCs/>
          <w:sz w:val="24"/>
          <w:szCs w:val="24"/>
        </w:rPr>
      </w:pPr>
      <w:r>
        <w:rPr>
          <w:rFonts w:hint="eastAsia" w:ascii="宋体" w:hAnsi="宋体"/>
          <w:bCs/>
          <w:sz w:val="24"/>
          <w:szCs w:val="24"/>
        </w:rPr>
        <w:t>（2）领取CA（办理地址：观山路199号市民中心12号楼1楼CA窗口）和办理电子签章（办理地址：观山路199号市民中心12号楼2楼2号窗口），（原已办理过CA进行过电子投标的供应商可不重复申领）。</w:t>
      </w:r>
    </w:p>
    <w:p>
      <w:pPr>
        <w:spacing w:line="360" w:lineRule="auto"/>
        <w:ind w:firstLine="480" w:firstLineChars="200"/>
        <w:rPr>
          <w:rFonts w:ascii="宋体" w:hAnsi="宋体"/>
          <w:bCs/>
          <w:sz w:val="24"/>
          <w:szCs w:val="24"/>
        </w:rPr>
      </w:pPr>
      <w:r>
        <w:rPr>
          <w:rFonts w:hint="eastAsia" w:ascii="宋体" w:hAnsi="宋体"/>
          <w:bCs/>
          <w:sz w:val="24"/>
          <w:szCs w:val="24"/>
        </w:rPr>
        <w:t>（3）CA驱动下载链接（江苏省-国信CA驱动）：</w:t>
      </w:r>
    </w:p>
    <w:p>
      <w:pPr>
        <w:spacing w:line="360" w:lineRule="auto"/>
        <w:ind w:firstLine="480" w:firstLineChars="200"/>
        <w:rPr>
          <w:rFonts w:ascii="宋体" w:hAnsi="宋体"/>
          <w:bCs/>
          <w:sz w:val="24"/>
          <w:szCs w:val="24"/>
        </w:rPr>
      </w:pPr>
      <w:r>
        <w:rPr>
          <w:rFonts w:hint="eastAsia" w:ascii="宋体" w:hAnsi="宋体"/>
          <w:bCs/>
          <w:sz w:val="24"/>
          <w:szCs w:val="24"/>
        </w:rPr>
        <w:t xml:space="preserve">https://customer.zcygov.cn/CA-driver-download?utm=web-login-front.509b3709.0.0.004ab15096ee11ebbc33f5d151e70834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技术服务电话：4008817190（服务时间：工作日8:00-20:00）</w:t>
      </w:r>
    </w:p>
    <w:p>
      <w:pPr>
        <w:spacing w:line="360" w:lineRule="auto"/>
        <w:ind w:firstLine="480" w:firstLineChars="200"/>
        <w:rPr>
          <w:rFonts w:ascii="宋体" w:hAnsi="宋体"/>
          <w:bCs/>
          <w:sz w:val="24"/>
          <w:szCs w:val="24"/>
        </w:rPr>
      </w:pPr>
      <w:r>
        <w:rPr>
          <w:rFonts w:hint="eastAsia" w:ascii="宋体" w:hAnsi="宋体"/>
          <w:bCs/>
          <w:sz w:val="24"/>
          <w:szCs w:val="24"/>
        </w:rPr>
        <w:t>2.供应商在领取CA和办理电子签章前务必前往“无锡政府采购网”“供应商信息库”（网址：</w:t>
      </w:r>
    </w:p>
    <w:p>
      <w:pPr>
        <w:spacing w:line="360" w:lineRule="auto"/>
        <w:rPr>
          <w:rFonts w:ascii="宋体" w:hAnsi="宋体"/>
          <w:bCs/>
          <w:sz w:val="24"/>
          <w:szCs w:val="24"/>
        </w:rPr>
      </w:pPr>
      <w:r>
        <w:rPr>
          <w:rFonts w:ascii="宋体" w:hAnsi="宋体"/>
          <w:bCs/>
          <w:sz w:val="24"/>
          <w:szCs w:val="24"/>
        </w:rPr>
        <w:t>https://cz.wuxi.zcygov.cn/wxCategory19/wxCategory125/index.html?utm=sites_group_front.5b1ba037.0.0.959ae250ca6711ebb0349920799faebc</w:t>
      </w:r>
      <w:r>
        <w:rPr>
          <w:rFonts w:hint="eastAsia" w:ascii="宋体" w:hAnsi="宋体"/>
          <w:bCs/>
          <w:sz w:val="24"/>
          <w:szCs w:val="24"/>
        </w:rPr>
        <w:t>）查询是否完成注册登记。</w:t>
      </w:r>
    </w:p>
    <w:p>
      <w:pPr>
        <w:spacing w:line="360" w:lineRule="auto"/>
        <w:ind w:firstLine="480" w:firstLineChars="200"/>
        <w:rPr>
          <w:rFonts w:ascii="宋体" w:hAnsi="宋体"/>
          <w:bCs/>
          <w:sz w:val="24"/>
          <w:szCs w:val="24"/>
        </w:rPr>
      </w:pPr>
      <w:r>
        <w:rPr>
          <w:rFonts w:hint="eastAsia" w:ascii="宋体" w:hAnsi="宋体"/>
          <w:bCs/>
          <w:sz w:val="24"/>
          <w:szCs w:val="24"/>
        </w:rPr>
        <w:t>完成注册的供应商方可领取CA和办理电子签章，登录“政采云平台”，插入CA后，点击【我的工作台】——页面右上方【CA管理】——【绑定CA】。</w:t>
      </w:r>
    </w:p>
    <w:p>
      <w:pPr>
        <w:spacing w:line="360" w:lineRule="auto"/>
        <w:ind w:firstLine="480" w:firstLineChars="200"/>
        <w:rPr>
          <w:rFonts w:ascii="宋体" w:hAnsi="宋体"/>
          <w:bCs/>
          <w:sz w:val="24"/>
          <w:szCs w:val="24"/>
        </w:rPr>
      </w:pPr>
      <w:r>
        <w:rPr>
          <w:rFonts w:hint="eastAsia" w:ascii="宋体" w:hAnsi="宋体"/>
          <w:bCs/>
          <w:sz w:val="24"/>
          <w:szCs w:val="24"/>
        </w:rPr>
        <w:t>3.供应商应按上述要求提供相关材料及注册登记信息，所提供的材料应均是真实的、准确的，若有违背，供应商自行承担由此而产生的一切后果。</w:t>
      </w:r>
    </w:p>
    <w:p>
      <w:pPr>
        <w:spacing w:line="360" w:lineRule="auto"/>
        <w:ind w:firstLine="480" w:firstLineChars="200"/>
        <w:rPr>
          <w:rFonts w:ascii="宋体" w:hAnsi="宋体" w:cs="宋体"/>
          <w:kern w:val="0"/>
          <w:sz w:val="24"/>
          <w:szCs w:val="24"/>
        </w:rPr>
      </w:pPr>
      <w:r>
        <w:rPr>
          <w:rFonts w:hint="eastAsia" w:ascii="宋体" w:hAnsi="宋体"/>
          <w:bCs/>
          <w:sz w:val="24"/>
          <w:szCs w:val="24"/>
        </w:rPr>
        <w:t>4.如供应商未按上述要求操作，由此所产生的损失及风险由供应商自行承担。</w:t>
      </w:r>
    </w:p>
    <w:p>
      <w:pPr>
        <w:spacing w:line="360" w:lineRule="auto"/>
        <w:ind w:firstLine="480" w:firstLineChars="200"/>
        <w:rPr>
          <w:rFonts w:ascii="宋体" w:hAnsi="宋体" w:eastAsiaTheme="minorEastAsia" w:cstheme="minorBidi"/>
          <w:sz w:val="24"/>
          <w:szCs w:val="24"/>
        </w:rPr>
      </w:pPr>
      <w:r>
        <w:rPr>
          <w:rFonts w:hint="eastAsia" w:ascii="黑体" w:hAnsi="黑体" w:eastAsia="黑体" w:cs="宋体"/>
          <w:sz w:val="24"/>
          <w:szCs w:val="24"/>
        </w:rPr>
        <w:t>（四）完成项目报名，获取征集文件</w:t>
      </w:r>
    </w:p>
    <w:p>
      <w:pPr>
        <w:spacing w:line="360" w:lineRule="auto"/>
        <w:ind w:left="-58" w:leftChars="-28" w:firstLine="480" w:firstLineChars="200"/>
        <w:rPr>
          <w:rFonts w:ascii="宋体" w:hAnsi="宋体"/>
          <w:bCs/>
          <w:sz w:val="24"/>
          <w:szCs w:val="24"/>
        </w:rPr>
      </w:pPr>
      <w:r>
        <w:rPr>
          <w:rFonts w:hint="eastAsia" w:ascii="宋体" w:hAnsi="宋体"/>
          <w:bCs/>
          <w:sz w:val="24"/>
          <w:szCs w:val="24"/>
        </w:rPr>
        <w:t>供应商可在项目征集公告附件中查看征集文件，如确定参加本次采购活动，必须在政采云平台（http://login.wuxi.zcygov.cn/user-login/#/login）中免费下载征集文件（“项目采购-获取采购文件管理-待申请”标签页下，找到需要获取采购文件的项目，点击“申请获取采购文件”），完成项目报名，方可按要求制作、上传响应文件，对征集文件各项内容做出实质性响应，否则其响应文件无效。</w:t>
      </w:r>
    </w:p>
    <w:p>
      <w:pPr>
        <w:spacing w:line="360" w:lineRule="auto"/>
        <w:ind w:firstLine="480" w:firstLineChars="200"/>
        <w:rPr>
          <w:rFonts w:ascii="黑体" w:hAnsi="黑体" w:eastAsia="黑体" w:cs="宋体"/>
          <w:sz w:val="24"/>
          <w:szCs w:val="24"/>
        </w:rPr>
      </w:pPr>
      <w:r>
        <w:rPr>
          <w:rFonts w:hint="eastAsia" w:ascii="黑体" w:hAnsi="黑体" w:eastAsia="黑体" w:cs="宋体"/>
          <w:sz w:val="24"/>
          <w:szCs w:val="24"/>
        </w:rPr>
        <w:t>（五）响应文件的提交截止时间和</w:t>
      </w:r>
      <w:r>
        <w:rPr>
          <w:rFonts w:hint="eastAsia" w:ascii="黑体" w:hAnsi="黑体" w:eastAsia="黑体" w:cs="宋体"/>
          <w:kern w:val="0"/>
          <w:sz w:val="24"/>
          <w:szCs w:val="24"/>
        </w:rPr>
        <w:t>确定入围供应商的时间、地点</w:t>
      </w:r>
    </w:p>
    <w:p>
      <w:pPr>
        <w:spacing w:line="360" w:lineRule="auto"/>
        <w:ind w:left="-58" w:leftChars="-28" w:firstLine="480" w:firstLineChars="200"/>
        <w:rPr>
          <w:rFonts w:ascii="宋体" w:hAnsi="宋体"/>
          <w:bCs/>
          <w:sz w:val="24"/>
          <w:szCs w:val="24"/>
        </w:rPr>
      </w:pPr>
      <w:r>
        <w:rPr>
          <w:rFonts w:hint="eastAsia" w:ascii="宋体" w:hAnsi="宋体"/>
          <w:bCs/>
          <w:sz w:val="24"/>
          <w:szCs w:val="24"/>
        </w:rPr>
        <w:t>响应文件的提交截止时间：2023年7月</w:t>
      </w:r>
      <w:r>
        <w:rPr>
          <w:rFonts w:hint="eastAsia" w:ascii="宋体" w:hAnsi="宋体"/>
          <w:bCs/>
          <w:sz w:val="24"/>
          <w:szCs w:val="24"/>
          <w:lang w:val="en-US" w:eastAsia="zh-CN"/>
        </w:rPr>
        <w:t>20</w:t>
      </w:r>
      <w:r>
        <w:rPr>
          <w:rFonts w:hint="eastAsia" w:ascii="宋体" w:hAnsi="宋体"/>
          <w:bCs/>
          <w:sz w:val="24"/>
          <w:szCs w:val="24"/>
        </w:rPr>
        <w:t>日9点30分（北京时间），截止时间后的响应文件恕不接受</w:t>
      </w:r>
    </w:p>
    <w:p>
      <w:pPr>
        <w:spacing w:line="360" w:lineRule="auto"/>
        <w:ind w:left="-58" w:leftChars="-28" w:firstLine="480" w:firstLineChars="200"/>
        <w:rPr>
          <w:rFonts w:ascii="宋体" w:hAnsi="宋体"/>
          <w:bCs/>
          <w:sz w:val="24"/>
          <w:szCs w:val="24"/>
        </w:rPr>
      </w:pPr>
      <w:r>
        <w:rPr>
          <w:rFonts w:hint="eastAsia" w:ascii="宋体" w:hAnsi="宋体"/>
          <w:bCs/>
          <w:sz w:val="24"/>
          <w:szCs w:val="24"/>
        </w:rPr>
        <w:t>网上解密时间：2023年7月</w:t>
      </w:r>
      <w:r>
        <w:rPr>
          <w:rFonts w:hint="eastAsia" w:ascii="宋体" w:hAnsi="宋体"/>
          <w:bCs/>
          <w:sz w:val="24"/>
          <w:szCs w:val="24"/>
          <w:lang w:val="en-US" w:eastAsia="zh-CN"/>
        </w:rPr>
        <w:t>20</w:t>
      </w:r>
      <w:bookmarkStart w:id="19" w:name="_GoBack"/>
      <w:bookmarkEnd w:id="19"/>
      <w:r>
        <w:rPr>
          <w:rFonts w:hint="eastAsia" w:ascii="宋体" w:hAnsi="宋体"/>
          <w:bCs/>
          <w:sz w:val="24"/>
          <w:szCs w:val="24"/>
        </w:rPr>
        <w:t>日开启解密之后半小时。</w:t>
      </w:r>
    </w:p>
    <w:p>
      <w:pPr>
        <w:spacing w:line="360" w:lineRule="auto"/>
        <w:ind w:left="-58" w:leftChars="-28" w:firstLine="480" w:firstLineChars="200"/>
        <w:rPr>
          <w:rFonts w:ascii="宋体" w:hAnsi="宋体"/>
          <w:bCs/>
          <w:sz w:val="24"/>
          <w:szCs w:val="24"/>
        </w:rPr>
      </w:pPr>
      <w:r>
        <w:rPr>
          <w:rFonts w:hint="eastAsia" w:ascii="宋体" w:hAnsi="宋体"/>
          <w:bCs/>
          <w:sz w:val="24"/>
          <w:szCs w:val="24"/>
        </w:rPr>
        <w:t>入围供应商的确定时间：评审结束</w:t>
      </w:r>
    </w:p>
    <w:p>
      <w:pPr>
        <w:spacing w:line="360" w:lineRule="auto"/>
        <w:ind w:left="-58" w:leftChars="-28" w:firstLine="480" w:firstLineChars="200"/>
        <w:rPr>
          <w:rFonts w:ascii="黑体" w:hAnsi="黑体" w:eastAsia="黑体" w:cs="宋体"/>
          <w:kern w:val="0"/>
          <w:sz w:val="24"/>
          <w:szCs w:val="24"/>
        </w:rPr>
      </w:pPr>
      <w:r>
        <w:rPr>
          <w:rFonts w:hint="eastAsia" w:ascii="黑体" w:hAnsi="黑体" w:eastAsia="黑体" w:cs="宋体"/>
          <w:kern w:val="0"/>
          <w:sz w:val="24"/>
          <w:szCs w:val="24"/>
        </w:rPr>
        <w:t>（六）征集文件</w:t>
      </w:r>
      <w:r>
        <w:rPr>
          <w:rFonts w:ascii="黑体" w:hAnsi="黑体" w:eastAsia="黑体" w:cs="宋体"/>
          <w:kern w:val="0"/>
          <w:sz w:val="24"/>
          <w:szCs w:val="24"/>
        </w:rPr>
        <w:t>期限</w:t>
      </w:r>
    </w:p>
    <w:p>
      <w:pPr>
        <w:spacing w:line="360" w:lineRule="auto"/>
        <w:ind w:firstLine="480" w:firstLineChars="200"/>
        <w:rPr>
          <w:rFonts w:ascii="宋体" w:hAnsi="宋体"/>
          <w:bCs/>
          <w:sz w:val="24"/>
          <w:szCs w:val="24"/>
        </w:rPr>
      </w:pPr>
      <w:r>
        <w:rPr>
          <w:rFonts w:ascii="宋体" w:hAnsi="宋体"/>
          <w:bCs/>
          <w:sz w:val="24"/>
          <w:szCs w:val="24"/>
        </w:rPr>
        <w:t>自本项目征集公告发布之日起5个工作日。</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（七）响应</w:t>
      </w:r>
      <w:r>
        <w:rPr>
          <w:rFonts w:ascii="黑体" w:hAnsi="黑体" w:eastAsia="黑体"/>
          <w:bCs/>
          <w:sz w:val="24"/>
          <w:szCs w:val="24"/>
        </w:rPr>
        <w:t>文件</w:t>
      </w:r>
      <w:r>
        <w:rPr>
          <w:rFonts w:hint="eastAsia" w:ascii="黑体" w:hAnsi="黑体" w:eastAsia="黑体"/>
          <w:bCs/>
          <w:sz w:val="24"/>
          <w:szCs w:val="24"/>
        </w:rPr>
        <w:t>有效期</w:t>
      </w:r>
    </w:p>
    <w:p>
      <w:pPr>
        <w:spacing w:line="360" w:lineRule="auto"/>
        <w:ind w:firstLine="480" w:firstLineChars="200"/>
        <w:rPr>
          <w:rFonts w:ascii="宋体" w:hAnsi="宋体"/>
          <w:bCs/>
          <w:sz w:val="24"/>
        </w:rPr>
      </w:pPr>
      <w:r>
        <w:rPr>
          <w:rFonts w:hint="eastAsia" w:ascii="宋体" w:hAnsi="宋体"/>
          <w:bCs/>
          <w:sz w:val="24"/>
        </w:rPr>
        <w:t>响应文件有效期为无锡市滨湖区公共资源交易中心规定的响应文件网</w:t>
      </w:r>
      <w:r>
        <w:rPr>
          <w:rFonts w:ascii="宋体" w:hAnsi="宋体"/>
          <w:bCs/>
          <w:sz w:val="24"/>
        </w:rPr>
        <w:t>上</w:t>
      </w:r>
      <w:r>
        <w:rPr>
          <w:rFonts w:hint="eastAsia" w:ascii="宋体" w:hAnsi="宋体"/>
          <w:bCs/>
          <w:sz w:val="24"/>
        </w:rPr>
        <w:t>提交截止时间之日后9</w:t>
      </w:r>
      <w:r>
        <w:rPr>
          <w:rFonts w:ascii="宋体" w:hAnsi="宋体"/>
          <w:bCs/>
          <w:sz w:val="24"/>
        </w:rPr>
        <w:t>0</w:t>
      </w:r>
      <w:r>
        <w:rPr>
          <w:rFonts w:hint="eastAsia" w:ascii="宋体" w:hAnsi="宋体"/>
          <w:bCs/>
          <w:sz w:val="24"/>
        </w:rPr>
        <w:t>天。响应文件有效期比规定短的将被视为未实质性响应征集文件而予以拒绝。</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（八）征集方法</w:t>
      </w:r>
    </w:p>
    <w:p>
      <w:pPr>
        <w:spacing w:line="360" w:lineRule="auto"/>
        <w:ind w:firstLine="480" w:firstLineChars="200"/>
        <w:rPr>
          <w:rFonts w:ascii="宋体" w:hAnsi="宋体"/>
          <w:sz w:val="24"/>
          <w:szCs w:val="24"/>
        </w:rPr>
      </w:pPr>
      <w:r>
        <w:rPr>
          <w:rFonts w:hint="eastAsia" w:ascii="宋体" w:hAnsi="宋体"/>
          <w:sz w:val="24"/>
          <w:szCs w:val="24"/>
        </w:rPr>
        <w:t>本次采购采用无锡市“政府采购交易管理一体化系统”进行征集采购活动，征集、响应、审核和入围结果等发布全程电子化。</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（九）其他要求</w:t>
      </w:r>
    </w:p>
    <w:p>
      <w:pPr>
        <w:spacing w:line="360" w:lineRule="auto"/>
        <w:ind w:firstLine="480" w:firstLineChars="200"/>
        <w:rPr>
          <w:rFonts w:ascii="宋体" w:hAnsi="宋体" w:cs="宋体"/>
          <w:kern w:val="0"/>
          <w:sz w:val="24"/>
          <w:szCs w:val="24"/>
        </w:rPr>
      </w:pPr>
      <w:r>
        <w:rPr>
          <w:rFonts w:hint="eastAsia" w:ascii="宋体" w:hAnsi="宋体"/>
          <w:sz w:val="24"/>
          <w:szCs w:val="24"/>
        </w:rPr>
        <w:t>本</w:t>
      </w:r>
      <w:r>
        <w:rPr>
          <w:rFonts w:hint="eastAsia" w:ascii="宋体" w:hAnsi="宋体" w:cs="宋体"/>
          <w:kern w:val="0"/>
          <w:sz w:val="24"/>
          <w:szCs w:val="24"/>
        </w:rPr>
        <w:t>次征集涉及的</w:t>
      </w:r>
      <w:r>
        <w:rPr>
          <w:rFonts w:ascii="宋体" w:hAnsi="宋体" w:cs="宋体"/>
          <w:kern w:val="0"/>
          <w:sz w:val="24"/>
          <w:szCs w:val="24"/>
        </w:rPr>
        <w:t>相关人员对框架协议</w:t>
      </w:r>
      <w:r>
        <w:rPr>
          <w:rFonts w:hint="eastAsia" w:ascii="宋体" w:hAnsi="宋体" w:cs="宋体"/>
          <w:kern w:val="0"/>
          <w:sz w:val="24"/>
          <w:szCs w:val="24"/>
        </w:rPr>
        <w:t>征集</w:t>
      </w:r>
      <w:r>
        <w:rPr>
          <w:rFonts w:ascii="宋体" w:hAnsi="宋体" w:cs="宋体"/>
          <w:kern w:val="0"/>
          <w:sz w:val="24"/>
          <w:szCs w:val="24"/>
        </w:rPr>
        <w:t>活动中获悉的国家秘密、商业秘密和个人隐私等均负有保密责任</w:t>
      </w:r>
      <w:r>
        <w:rPr>
          <w:rFonts w:hint="eastAsia" w:ascii="宋体" w:hAnsi="宋体" w:cs="宋体"/>
          <w:kern w:val="0"/>
          <w:sz w:val="24"/>
          <w:szCs w:val="24"/>
        </w:rPr>
        <w:t>。</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框架协议期间，法律法规政策另有调整的，从其规定。</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（十）征集人信息</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征集人：无锡市滨湖区公共资源交易中心</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地址: 无锡市滨湖区隐秀路1</w:t>
      </w:r>
      <w:r>
        <w:rPr>
          <w:rFonts w:ascii="宋体" w:hAnsi="宋体" w:cs="宋体"/>
          <w:kern w:val="0"/>
          <w:sz w:val="24"/>
          <w:szCs w:val="24"/>
        </w:rPr>
        <w:t>52</w:t>
      </w:r>
      <w:r>
        <w:rPr>
          <w:rFonts w:hint="eastAsia" w:ascii="宋体" w:hAnsi="宋体" w:cs="宋体"/>
          <w:kern w:val="0"/>
          <w:sz w:val="24"/>
          <w:szCs w:val="24"/>
        </w:rPr>
        <w:t>号</w:t>
      </w:r>
    </w:p>
    <w:p>
      <w:pPr>
        <w:widowControl/>
        <w:shd w:val="clear" w:color="auto" w:fill="FFFFFF"/>
        <w:spacing w:line="360" w:lineRule="auto"/>
        <w:ind w:firstLine="480" w:firstLineChars="200"/>
        <w:jc w:val="left"/>
        <w:rPr>
          <w:rFonts w:ascii="宋体" w:hAnsi="宋体"/>
          <w:sz w:val="24"/>
          <w:szCs w:val="24"/>
        </w:rPr>
      </w:pPr>
      <w:r>
        <w:rPr>
          <w:rFonts w:hint="eastAsia" w:ascii="宋体" w:hAnsi="宋体" w:cs="宋体"/>
          <w:kern w:val="0"/>
          <w:sz w:val="24"/>
          <w:szCs w:val="24"/>
        </w:rPr>
        <w:t>联系人：徐鹏飞、朱华奇</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联系电话：0510-</w:t>
      </w:r>
      <w:r>
        <w:rPr>
          <w:rFonts w:ascii="宋体" w:hAnsi="宋体" w:cs="宋体"/>
          <w:kern w:val="0"/>
          <w:sz w:val="24"/>
          <w:szCs w:val="24"/>
        </w:rPr>
        <w:t>81173550</w:t>
      </w:r>
    </w:p>
    <w:p>
      <w:pPr>
        <w:widowControl/>
        <w:rPr>
          <w:rFonts w:ascii="黑体" w:eastAsia="黑体"/>
          <w:bCs/>
          <w:sz w:val="28"/>
          <w:szCs w:val="28"/>
        </w:rPr>
      </w:pPr>
      <w:r>
        <w:rPr>
          <w:rFonts w:ascii="黑体" w:eastAsia="黑体"/>
          <w:bCs/>
          <w:sz w:val="28"/>
          <w:szCs w:val="28"/>
        </w:rPr>
        <w:br w:type="page"/>
      </w:r>
    </w:p>
    <w:p>
      <w:pPr>
        <w:spacing w:line="490" w:lineRule="exact"/>
        <w:jc w:val="center"/>
        <w:rPr>
          <w:rFonts w:ascii="黑体" w:eastAsia="黑体"/>
          <w:bCs/>
          <w:sz w:val="28"/>
          <w:szCs w:val="28"/>
        </w:rPr>
      </w:pPr>
      <w:r>
        <w:rPr>
          <w:rFonts w:hint="eastAsia" w:ascii="黑体" w:eastAsia="黑体"/>
          <w:bCs/>
          <w:sz w:val="28"/>
          <w:szCs w:val="28"/>
        </w:rPr>
        <w:t>二．供应商须知</w:t>
      </w:r>
    </w:p>
    <w:p>
      <w:pPr>
        <w:spacing w:line="360" w:lineRule="auto"/>
        <w:ind w:firstLine="480" w:firstLineChars="200"/>
        <w:rPr>
          <w:rFonts w:ascii="黑体" w:hAnsi="宋体" w:eastAsia="黑体"/>
          <w:bCs/>
          <w:sz w:val="24"/>
          <w:szCs w:val="24"/>
        </w:rPr>
      </w:pPr>
      <w:r>
        <w:rPr>
          <w:rFonts w:hint="eastAsia" w:ascii="黑体" w:hAnsi="宋体" w:eastAsia="黑体"/>
          <w:bCs/>
          <w:sz w:val="24"/>
          <w:szCs w:val="24"/>
        </w:rPr>
        <w:t>（一）遵循原则：</w:t>
      </w:r>
    </w:p>
    <w:p>
      <w:pPr>
        <w:tabs>
          <w:tab w:val="left" w:pos="-1260"/>
          <w:tab w:val="left" w:pos="525"/>
          <w:tab w:val="left" w:pos="945"/>
        </w:tabs>
        <w:spacing w:line="360" w:lineRule="auto"/>
        <w:ind w:firstLine="480" w:firstLineChars="200"/>
        <w:rPr>
          <w:rFonts w:ascii="宋体" w:hAnsi="宋体"/>
          <w:bCs/>
          <w:sz w:val="24"/>
          <w:szCs w:val="24"/>
        </w:rPr>
      </w:pPr>
      <w:r>
        <w:rPr>
          <w:rFonts w:hint="eastAsia" w:ascii="宋体" w:hAnsi="宋体"/>
          <w:bCs/>
          <w:sz w:val="24"/>
          <w:szCs w:val="24"/>
        </w:rPr>
        <w:t>公开透明原则、公平竞争原则、公正原则、诚实信用、竞争择优和讲求绩效原则。</w:t>
      </w:r>
    </w:p>
    <w:p>
      <w:pPr>
        <w:numPr>
          <w:ilvl w:val="0"/>
          <w:numId w:val="2"/>
        </w:numPr>
        <w:spacing w:line="360" w:lineRule="auto"/>
        <w:rPr>
          <w:rFonts w:ascii="黑体" w:hAnsi="宋体" w:eastAsia="黑体"/>
          <w:bCs/>
          <w:sz w:val="24"/>
          <w:szCs w:val="24"/>
        </w:rPr>
      </w:pPr>
      <w:r>
        <w:rPr>
          <w:rFonts w:hint="eastAsia" w:ascii="黑体" w:hAnsi="宋体" w:eastAsia="黑体"/>
          <w:bCs/>
          <w:sz w:val="24"/>
          <w:szCs w:val="24"/>
        </w:rPr>
        <w:t>征集文件：</w:t>
      </w:r>
    </w:p>
    <w:p>
      <w:pPr>
        <w:numPr>
          <w:ilvl w:val="0"/>
          <w:numId w:val="3"/>
        </w:numPr>
        <w:tabs>
          <w:tab w:val="left" w:pos="-1260"/>
          <w:tab w:val="left" w:pos="525"/>
          <w:tab w:val="left" w:pos="945"/>
          <w:tab w:val="clear" w:pos="552"/>
        </w:tabs>
        <w:spacing w:line="360" w:lineRule="auto"/>
        <w:ind w:left="0" w:firstLine="523" w:firstLineChars="218"/>
        <w:rPr>
          <w:rFonts w:ascii="宋体"/>
          <w:bCs/>
          <w:sz w:val="24"/>
          <w:szCs w:val="24"/>
        </w:rPr>
      </w:pPr>
      <w:r>
        <w:rPr>
          <w:rFonts w:hint="eastAsia" w:ascii="宋体" w:hAnsi="宋体"/>
          <w:bCs/>
          <w:sz w:val="24"/>
          <w:szCs w:val="24"/>
        </w:rPr>
        <w:t>征集文件包括本文件目录所列全部内容，供应商应仔细阅读，并在响应文件中充分响应征集文件的所有要求。</w:t>
      </w:r>
    </w:p>
    <w:p>
      <w:pPr>
        <w:numPr>
          <w:ilvl w:val="0"/>
          <w:numId w:val="3"/>
        </w:numPr>
        <w:tabs>
          <w:tab w:val="left" w:pos="0"/>
          <w:tab w:val="left" w:pos="525"/>
          <w:tab w:val="left" w:pos="945"/>
          <w:tab w:val="clear" w:pos="552"/>
        </w:tabs>
        <w:spacing w:line="360" w:lineRule="auto"/>
        <w:ind w:left="0" w:firstLine="523" w:firstLineChars="218"/>
        <w:rPr>
          <w:rFonts w:ascii="宋体" w:hAnsi="宋体"/>
          <w:bCs/>
          <w:sz w:val="24"/>
          <w:szCs w:val="24"/>
        </w:rPr>
      </w:pPr>
      <w:r>
        <w:rPr>
          <w:rFonts w:hint="eastAsia" w:ascii="宋体" w:hAnsi="宋体"/>
          <w:bCs/>
          <w:sz w:val="24"/>
          <w:szCs w:val="24"/>
        </w:rPr>
        <w:t>征集文件中的“法定代表人”是指供应商的营业执照的“法定代表人”或相关部门的登记证明文件中的“负责人”。</w:t>
      </w:r>
    </w:p>
    <w:p>
      <w:pPr>
        <w:numPr>
          <w:ilvl w:val="0"/>
          <w:numId w:val="3"/>
        </w:numPr>
        <w:tabs>
          <w:tab w:val="left" w:pos="0"/>
          <w:tab w:val="left" w:pos="525"/>
          <w:tab w:val="left" w:pos="945"/>
          <w:tab w:val="clear" w:pos="552"/>
        </w:tabs>
        <w:spacing w:line="360" w:lineRule="auto"/>
        <w:ind w:left="0" w:firstLine="523" w:firstLineChars="218"/>
        <w:rPr>
          <w:rFonts w:ascii="宋体" w:hAnsi="宋体"/>
          <w:bCs/>
          <w:sz w:val="24"/>
          <w:szCs w:val="24"/>
        </w:rPr>
      </w:pPr>
      <w:r>
        <w:rPr>
          <w:rFonts w:hint="eastAsia" w:ascii="宋体" w:hAnsi="宋体"/>
          <w:bCs/>
          <w:sz w:val="24"/>
          <w:szCs w:val="24"/>
        </w:rPr>
        <w:t>供应商可免费查看征集文件及下载有关文件。具体操作步骤如下：进入公告大厅页面（菜单路径：前台大厅 &gt; 框架协议 &gt; 公告大厅）——点击左侧导航栏（封闭式框架协议）征集文件，在右侧征集文件列表中找到并点击带有项目名称的征集文件——进入公告详情页面，在页面底部“（六）提交申请地址”处点击封闭式框架协议报名入口——找到待申报的项目，点击“立即参与”——进入参与征集页面，查看申报协议内容，点击右上角“同意协议并下一步”。</w:t>
      </w:r>
    </w:p>
    <w:p>
      <w:pPr>
        <w:tabs>
          <w:tab w:val="left" w:pos="945"/>
        </w:tabs>
        <w:spacing w:line="360" w:lineRule="auto"/>
        <w:rPr>
          <w:rFonts w:ascii="宋体" w:hAnsi="宋体"/>
          <w:bCs/>
          <w:sz w:val="24"/>
          <w:szCs w:val="24"/>
        </w:rPr>
      </w:pPr>
      <w:r>
        <w:rPr>
          <w:rFonts w:hint="eastAsia" w:ascii="宋体" w:hAnsi="宋体"/>
          <w:bCs/>
          <w:sz w:val="24"/>
          <w:szCs w:val="24"/>
        </w:rPr>
        <w:t>公告大厅页面链接如下：（网址：</w:t>
      </w:r>
      <w:r>
        <w:rPr>
          <w:rFonts w:ascii="宋体" w:hAnsi="宋体"/>
          <w:bCs/>
          <w:sz w:val="24"/>
          <w:szCs w:val="24"/>
        </w:rPr>
        <w:br w:type="textWrapping"/>
      </w:r>
      <w:r>
        <w:fldChar w:fldCharType="begin"/>
      </w:r>
      <w:r>
        <w:instrText xml:space="preserve"> HYPERLINK "https://kjxyg.wuxi.zcygov.cn/luban/announcement/list?utm=a0017.b0058.cl_161_market-menubar-pc_1667806835608040.3.dd118ff07b7111ed9f6241dc7639b04b" </w:instrText>
      </w:r>
      <w:r>
        <w:fldChar w:fldCharType="separate"/>
      </w:r>
      <w:r>
        <w:rPr>
          <w:rStyle w:val="30"/>
          <w:rFonts w:ascii="宋体" w:hAnsi="宋体"/>
          <w:bCs/>
          <w:sz w:val="24"/>
          <w:szCs w:val="24"/>
        </w:rPr>
        <w:t>https://kjxyg.wuxi.zcygov.cn/luban/announcement/list?utm=a0017.b0058.cl_161_market-menubar-pc_1667806835608040.3.dd118ff07b7111ed9f6241dc7639b04b</w:t>
      </w:r>
      <w:r>
        <w:rPr>
          <w:rStyle w:val="30"/>
          <w:rFonts w:ascii="宋体" w:hAnsi="宋体"/>
          <w:bCs/>
          <w:sz w:val="24"/>
          <w:szCs w:val="24"/>
        </w:rPr>
        <w:fldChar w:fldCharType="end"/>
      </w:r>
      <w:r>
        <w:rPr>
          <w:rFonts w:ascii="宋体" w:hAnsi="宋体"/>
          <w:bCs/>
          <w:sz w:val="24"/>
          <w:szCs w:val="24"/>
        </w:rPr>
        <w:t>）。</w:t>
      </w:r>
    </w:p>
    <w:p>
      <w:pPr>
        <w:numPr>
          <w:ilvl w:val="0"/>
          <w:numId w:val="3"/>
        </w:numPr>
        <w:tabs>
          <w:tab w:val="left" w:pos="0"/>
          <w:tab w:val="left" w:pos="525"/>
          <w:tab w:val="left" w:pos="945"/>
          <w:tab w:val="clear" w:pos="552"/>
        </w:tabs>
        <w:spacing w:line="360" w:lineRule="auto"/>
        <w:ind w:left="0" w:firstLine="523" w:firstLineChars="218"/>
        <w:rPr>
          <w:rFonts w:ascii="宋体"/>
          <w:bCs/>
          <w:sz w:val="24"/>
          <w:szCs w:val="24"/>
        </w:rPr>
      </w:pPr>
      <w:r>
        <w:rPr>
          <w:rFonts w:hint="eastAsia" w:ascii="宋体" w:hAnsi="宋体"/>
          <w:bCs/>
          <w:sz w:val="24"/>
          <w:szCs w:val="24"/>
        </w:rPr>
        <w:t>征集文件仅作为本项目征集活动使用。</w:t>
      </w:r>
    </w:p>
    <w:p>
      <w:pPr>
        <w:tabs>
          <w:tab w:val="left" w:pos="630"/>
        </w:tabs>
        <w:spacing w:line="360" w:lineRule="auto"/>
        <w:ind w:firstLine="480" w:firstLineChars="200"/>
        <w:rPr>
          <w:rFonts w:ascii="黑体" w:hAnsi="宋体" w:eastAsia="黑体"/>
          <w:bCs/>
          <w:sz w:val="24"/>
          <w:szCs w:val="24"/>
        </w:rPr>
      </w:pPr>
      <w:r>
        <w:rPr>
          <w:rFonts w:hint="eastAsia" w:ascii="黑体" w:hAnsi="宋体" w:eastAsia="黑体"/>
          <w:bCs/>
          <w:sz w:val="24"/>
          <w:szCs w:val="24"/>
        </w:rPr>
        <w:t>（三）征集文件的解释：</w:t>
      </w:r>
    </w:p>
    <w:p>
      <w:pPr>
        <w:tabs>
          <w:tab w:val="left" w:pos="945"/>
        </w:tabs>
        <w:spacing w:line="360" w:lineRule="auto"/>
        <w:ind w:left="523"/>
        <w:rPr>
          <w:rFonts w:ascii="宋体"/>
          <w:bCs/>
          <w:sz w:val="24"/>
          <w:szCs w:val="24"/>
        </w:rPr>
      </w:pPr>
      <w:r>
        <w:rPr>
          <w:rFonts w:hint="eastAsia" w:ascii="宋体" w:hAnsi="宋体"/>
          <w:bCs/>
          <w:sz w:val="24"/>
          <w:szCs w:val="24"/>
        </w:rPr>
        <w:t>本征集文件的最终解释权归无锡市滨湖区公共资源交易中心。</w:t>
      </w:r>
    </w:p>
    <w:p>
      <w:pPr>
        <w:tabs>
          <w:tab w:val="left" w:pos="945"/>
        </w:tabs>
        <w:spacing w:line="360" w:lineRule="auto"/>
        <w:ind w:firstLine="523" w:firstLineChars="218"/>
        <w:rPr>
          <w:rFonts w:ascii="黑体" w:hAnsi="宋体" w:eastAsia="黑体"/>
          <w:bCs/>
          <w:sz w:val="24"/>
          <w:szCs w:val="24"/>
        </w:rPr>
      </w:pPr>
      <w:r>
        <w:rPr>
          <w:rFonts w:hint="eastAsia" w:ascii="黑体" w:hAnsi="宋体" w:eastAsia="黑体"/>
          <w:bCs/>
          <w:sz w:val="24"/>
          <w:szCs w:val="24"/>
        </w:rPr>
        <w:t>（四）征集文件的澄清或修正及质疑：</w:t>
      </w:r>
    </w:p>
    <w:p>
      <w:pPr>
        <w:numPr>
          <w:ilvl w:val="0"/>
          <w:numId w:val="4"/>
        </w:numPr>
        <w:tabs>
          <w:tab w:val="left" w:pos="525"/>
          <w:tab w:val="left" w:pos="945"/>
        </w:tabs>
        <w:spacing w:line="360" w:lineRule="auto"/>
        <w:ind w:left="1" w:firstLine="523" w:firstLineChars="218"/>
        <w:rPr>
          <w:rFonts w:ascii="宋体" w:hAnsi="宋体"/>
          <w:bCs/>
          <w:sz w:val="24"/>
          <w:szCs w:val="24"/>
        </w:rPr>
      </w:pPr>
      <w:r>
        <w:rPr>
          <w:rFonts w:hint="eastAsia" w:ascii="宋体" w:hAnsi="宋体"/>
          <w:bCs/>
          <w:sz w:val="24"/>
          <w:szCs w:val="24"/>
        </w:rPr>
        <w:t>供应商对征集文件如有疑问，可通过征集文件中载明的联系方式向征集人提出，征集人将在收到需澄清的问题后以适当形式予以答复，并在必要时将答复内容在征集文件发布媒体上以公告方式进行澄清。</w:t>
      </w:r>
    </w:p>
    <w:p>
      <w:pPr>
        <w:numPr>
          <w:ilvl w:val="0"/>
          <w:numId w:val="4"/>
        </w:numPr>
        <w:tabs>
          <w:tab w:val="left" w:pos="525"/>
          <w:tab w:val="left" w:pos="945"/>
        </w:tabs>
        <w:spacing w:line="360" w:lineRule="auto"/>
        <w:ind w:left="1" w:firstLine="523" w:firstLineChars="218"/>
        <w:rPr>
          <w:rFonts w:ascii="宋体" w:hAnsi="宋体"/>
          <w:bCs/>
          <w:sz w:val="24"/>
          <w:szCs w:val="24"/>
        </w:rPr>
      </w:pPr>
      <w:r>
        <w:rPr>
          <w:rFonts w:hint="eastAsia" w:ascii="宋体" w:hAnsi="宋体"/>
          <w:bCs/>
          <w:sz w:val="24"/>
          <w:szCs w:val="24"/>
        </w:rPr>
        <w:t>征集人可在申请截止时间十五日前对征集文件进行必要的澄清或者修改，不足15日的，将顺延提交响应文件的截止时间。</w:t>
      </w:r>
    </w:p>
    <w:p>
      <w:pPr>
        <w:numPr>
          <w:ilvl w:val="0"/>
          <w:numId w:val="4"/>
        </w:numPr>
        <w:tabs>
          <w:tab w:val="left" w:pos="525"/>
          <w:tab w:val="left" w:pos="945"/>
        </w:tabs>
        <w:spacing w:line="360" w:lineRule="auto"/>
        <w:ind w:left="1" w:firstLine="523" w:firstLineChars="218"/>
        <w:rPr>
          <w:rFonts w:ascii="宋体" w:hAnsi="宋体"/>
          <w:bCs/>
          <w:sz w:val="24"/>
          <w:szCs w:val="24"/>
        </w:rPr>
      </w:pPr>
      <w:r>
        <w:rPr>
          <w:rFonts w:hint="eastAsia" w:ascii="宋体" w:hAnsi="宋体"/>
          <w:bCs/>
          <w:sz w:val="24"/>
          <w:szCs w:val="24"/>
        </w:rPr>
        <w:t>如需对征集文件进行澄清或修正，更正内容无锡市滨湖区公共资源交易中心将在无锡市公共资源交易中心政府采购专栏、无锡政府采购网和江苏政府采购网发布更正公告，该澄清或修正的内容为征集文件的重要组成部分。供应商应关注本征集文件媒体上发布的相关更正公告，因供应商未尽注意义务，未及时更新上传响应文件或未全面地关注更正公告导致其提交的响应材料不符合无锡市滨湖区公共资源交易中心征集要求，而造成的损失及风险（包括但不限于未入围）由供应商自行承担。</w:t>
      </w:r>
    </w:p>
    <w:p>
      <w:pPr>
        <w:numPr>
          <w:ilvl w:val="0"/>
          <w:numId w:val="4"/>
        </w:numPr>
        <w:tabs>
          <w:tab w:val="left" w:pos="525"/>
          <w:tab w:val="left" w:pos="945"/>
        </w:tabs>
        <w:spacing w:line="360" w:lineRule="auto"/>
        <w:ind w:left="1" w:firstLine="523" w:firstLineChars="218"/>
        <w:rPr>
          <w:rFonts w:ascii="宋体" w:hAnsi="宋体"/>
          <w:bCs/>
          <w:sz w:val="24"/>
          <w:szCs w:val="24"/>
        </w:rPr>
      </w:pPr>
      <w:r>
        <w:rPr>
          <w:rFonts w:ascii="宋体" w:hAnsi="宋体"/>
          <w:bCs/>
          <w:sz w:val="24"/>
          <w:szCs w:val="24"/>
        </w:rPr>
        <w:t>供应商认为</w:t>
      </w:r>
      <w:r>
        <w:rPr>
          <w:rFonts w:hint="eastAsia" w:ascii="宋体" w:hAnsi="宋体"/>
          <w:bCs/>
          <w:sz w:val="24"/>
          <w:szCs w:val="24"/>
        </w:rPr>
        <w:t>征集文件</w:t>
      </w:r>
      <w:r>
        <w:rPr>
          <w:rFonts w:ascii="宋体" w:hAnsi="宋体"/>
          <w:bCs/>
          <w:sz w:val="24"/>
          <w:szCs w:val="24"/>
        </w:rPr>
        <w:t>使自己的权益受到损害的，可以自获取</w:t>
      </w:r>
      <w:r>
        <w:rPr>
          <w:rFonts w:hint="eastAsia" w:ascii="宋体" w:hAnsi="宋体"/>
          <w:bCs/>
          <w:sz w:val="24"/>
          <w:szCs w:val="24"/>
        </w:rPr>
        <w:t>征集文件</w:t>
      </w:r>
      <w:r>
        <w:rPr>
          <w:rFonts w:ascii="宋体" w:hAnsi="宋体"/>
          <w:bCs/>
          <w:sz w:val="24"/>
          <w:szCs w:val="24"/>
        </w:rPr>
        <w:t>之日或者</w:t>
      </w:r>
      <w:r>
        <w:rPr>
          <w:rFonts w:hint="eastAsia" w:ascii="宋体" w:hAnsi="宋体"/>
          <w:bCs/>
          <w:sz w:val="24"/>
          <w:szCs w:val="24"/>
        </w:rPr>
        <w:t>征集文件</w:t>
      </w:r>
      <w:r>
        <w:rPr>
          <w:rFonts w:ascii="宋体" w:hAnsi="宋体"/>
          <w:bCs/>
          <w:sz w:val="24"/>
          <w:szCs w:val="24"/>
        </w:rPr>
        <w:t>期限届满之日（公告期限届满后获取征集文件的，以公告期限届满之日为准）起7个工作日内，以书面形式向</w:t>
      </w:r>
      <w:r>
        <w:rPr>
          <w:rFonts w:hint="eastAsia" w:ascii="宋体" w:hAnsi="宋体"/>
          <w:bCs/>
          <w:sz w:val="24"/>
          <w:szCs w:val="24"/>
        </w:rPr>
        <w:t>无锡市滨湖区公共资源交易中心提出质疑。</w:t>
      </w:r>
      <w:r>
        <w:rPr>
          <w:rFonts w:ascii="宋体" w:hAnsi="宋体"/>
          <w:bCs/>
          <w:sz w:val="24"/>
          <w:szCs w:val="24"/>
        </w:rPr>
        <w:t>针对同一采购程序环节的质疑</w:t>
      </w:r>
      <w:r>
        <w:rPr>
          <w:rFonts w:hint="eastAsia" w:ascii="宋体" w:hAnsi="宋体"/>
          <w:bCs/>
          <w:sz w:val="24"/>
          <w:szCs w:val="24"/>
        </w:rPr>
        <w:t>，须</w:t>
      </w:r>
      <w:r>
        <w:rPr>
          <w:rFonts w:ascii="宋体" w:hAnsi="宋体"/>
          <w:bCs/>
          <w:sz w:val="24"/>
          <w:szCs w:val="24"/>
        </w:rPr>
        <w:t>在法定质疑期内一次性提出</w:t>
      </w:r>
      <w:r>
        <w:rPr>
          <w:rFonts w:hint="eastAsia" w:ascii="宋体" w:hAnsi="宋体"/>
          <w:bCs/>
          <w:sz w:val="24"/>
          <w:szCs w:val="24"/>
        </w:rPr>
        <w:t>。质疑函的质疑事项应具体、明确，并有必要的事实依据和法律依据（格式详见中国政府采购网《</w:t>
      </w:r>
      <w:r>
        <w:fldChar w:fldCharType="begin"/>
      </w:r>
      <w:r>
        <w:instrText xml:space="preserve"> HYPERLINK "http://download.ccgp.gov.cn/2018/zhiyihanfanben.zip" \t "_blank" </w:instrText>
      </w:r>
      <w:r>
        <w:fldChar w:fldCharType="separate"/>
      </w:r>
      <w:r>
        <w:rPr>
          <w:rFonts w:hint="eastAsia" w:ascii="宋体" w:hAnsi="宋体"/>
          <w:bCs/>
          <w:sz w:val="24"/>
          <w:szCs w:val="24"/>
        </w:rPr>
        <w:t>政府采购供应商质疑函范本</w:t>
      </w:r>
      <w:r>
        <w:rPr>
          <w:rFonts w:hint="eastAsia" w:ascii="宋体" w:hAnsi="宋体"/>
          <w:bCs/>
          <w:sz w:val="24"/>
          <w:szCs w:val="24"/>
        </w:rPr>
        <w:fldChar w:fldCharType="end"/>
      </w:r>
      <w:r>
        <w:rPr>
          <w:rFonts w:hint="eastAsia" w:ascii="宋体" w:hAnsi="宋体"/>
          <w:bCs/>
          <w:sz w:val="24"/>
          <w:szCs w:val="24"/>
        </w:rPr>
        <w:t>》）。无锡市滨湖区公共资源交易中心将在收到符合上述要求的书面质疑后七个工作日内，对质疑内容做出答复。供应商在法定质疑期限外送达的质疑函或法定质疑期限内送达的质疑函不符合上述要求的均为无效质疑，无锡市滨湖区公共资源交易中心对无效质疑不予受理。</w:t>
      </w:r>
    </w:p>
    <w:p>
      <w:pPr>
        <w:spacing w:line="360" w:lineRule="auto"/>
        <w:ind w:firstLine="480" w:firstLineChars="200"/>
        <w:rPr>
          <w:rFonts w:ascii="宋体"/>
          <w:bCs/>
          <w:sz w:val="24"/>
          <w:szCs w:val="24"/>
        </w:rPr>
      </w:pPr>
      <w:r>
        <w:rPr>
          <w:rFonts w:hint="eastAsia" w:ascii="黑体" w:hAnsi="宋体" w:eastAsia="黑体"/>
          <w:bCs/>
          <w:sz w:val="24"/>
          <w:szCs w:val="24"/>
        </w:rPr>
        <w:t>（五）响应文件的组成</w:t>
      </w:r>
      <w:r>
        <w:rPr>
          <w:rFonts w:hint="eastAsia" w:ascii="宋体" w:hAnsi="宋体"/>
          <w:bCs/>
          <w:sz w:val="24"/>
          <w:szCs w:val="24"/>
        </w:rPr>
        <w:t>（</w:t>
      </w:r>
      <w:r>
        <w:rPr>
          <w:rFonts w:hint="eastAsia" w:asciiTheme="minorEastAsia" w:hAnsiTheme="minorEastAsia" w:eastAsiaTheme="minorEastAsia"/>
          <w:b/>
          <w:bCs/>
          <w:sz w:val="24"/>
          <w:szCs w:val="24"/>
          <w:u w:val="single"/>
        </w:rPr>
        <w:t>供应商按下列要求及附件中规定的格式规范进行编制，提供的资料必须按规定签章</w:t>
      </w:r>
      <w:r>
        <w:rPr>
          <w:rFonts w:hint="eastAsia" w:ascii="宋体" w:hAnsi="宋体"/>
          <w:bCs/>
          <w:sz w:val="24"/>
          <w:szCs w:val="24"/>
        </w:rPr>
        <w:t>）</w:t>
      </w:r>
      <w:r>
        <w:rPr>
          <w:rFonts w:hint="eastAsia" w:ascii="黑体" w:hAnsi="宋体" w:eastAsia="黑体"/>
          <w:bCs/>
          <w:sz w:val="24"/>
          <w:szCs w:val="24"/>
        </w:rPr>
        <w:t>：</w:t>
      </w:r>
      <w:r>
        <w:rPr>
          <w:rFonts w:ascii="宋体"/>
          <w:bCs/>
          <w:sz w:val="24"/>
          <w:szCs w:val="24"/>
        </w:rPr>
        <w:t xml:space="preserve"> </w:t>
      </w:r>
    </w:p>
    <w:p>
      <w:pPr>
        <w:numPr>
          <w:ilvl w:val="0"/>
          <w:numId w:val="5"/>
        </w:numPr>
        <w:tabs>
          <w:tab w:val="left" w:pos="525"/>
          <w:tab w:val="left" w:pos="945"/>
        </w:tabs>
        <w:spacing w:line="360" w:lineRule="auto"/>
        <w:ind w:left="1" w:firstLine="523" w:firstLineChars="218"/>
        <w:rPr>
          <w:rFonts w:ascii="宋体"/>
          <w:bCs/>
          <w:sz w:val="24"/>
          <w:szCs w:val="24"/>
        </w:rPr>
      </w:pPr>
      <w:r>
        <w:rPr>
          <w:rFonts w:hint="eastAsia" w:ascii="宋体" w:hAnsi="宋体"/>
          <w:bCs/>
          <w:sz w:val="24"/>
          <w:szCs w:val="24"/>
        </w:rPr>
        <w:t>响应函</w:t>
      </w:r>
      <w:r>
        <w:rPr>
          <w:rFonts w:hint="eastAsia" w:ascii="宋体" w:hAnsi="宋体"/>
          <w:b/>
          <w:bCs/>
          <w:sz w:val="24"/>
          <w:szCs w:val="24"/>
        </w:rPr>
        <w:t>（格式见附件）</w:t>
      </w:r>
    </w:p>
    <w:p>
      <w:pPr>
        <w:numPr>
          <w:ilvl w:val="0"/>
          <w:numId w:val="5"/>
        </w:numPr>
        <w:tabs>
          <w:tab w:val="left" w:pos="525"/>
          <w:tab w:val="left" w:pos="945"/>
        </w:tabs>
        <w:spacing w:line="360" w:lineRule="auto"/>
        <w:ind w:left="1" w:firstLine="523" w:firstLineChars="218"/>
        <w:rPr>
          <w:rFonts w:ascii="宋体"/>
          <w:bCs/>
          <w:sz w:val="24"/>
          <w:szCs w:val="24"/>
        </w:rPr>
      </w:pPr>
      <w:r>
        <w:rPr>
          <w:rFonts w:hint="eastAsia" w:ascii="宋体" w:hAnsi="宋体"/>
          <w:bCs/>
          <w:sz w:val="24"/>
          <w:szCs w:val="24"/>
        </w:rPr>
        <w:t>资格、资信证明文件（扫描后上传，身份证应为正、反面）：</w:t>
      </w:r>
    </w:p>
    <w:p>
      <w:pPr>
        <w:pStyle w:val="104"/>
        <w:numPr>
          <w:ilvl w:val="1"/>
          <w:numId w:val="5"/>
        </w:numPr>
        <w:tabs>
          <w:tab w:val="left" w:pos="1276"/>
          <w:tab w:val="clear" w:pos="990"/>
        </w:tabs>
        <w:spacing w:line="360" w:lineRule="auto"/>
        <w:ind w:left="0" w:firstLine="567" w:firstLineChars="0"/>
        <w:rPr>
          <w:rFonts w:ascii="宋体"/>
          <w:bCs/>
          <w:sz w:val="24"/>
          <w:szCs w:val="24"/>
        </w:rPr>
      </w:pPr>
      <w:r>
        <w:rPr>
          <w:rFonts w:hint="eastAsia" w:ascii="宋体" w:hAnsi="宋体"/>
          <w:bCs/>
          <w:sz w:val="24"/>
          <w:szCs w:val="24"/>
        </w:rPr>
        <w:t>关于资格的声明函（</w:t>
      </w:r>
      <w:r>
        <w:rPr>
          <w:rFonts w:hint="eastAsia" w:ascii="宋体" w:hAnsi="宋体"/>
          <w:b/>
          <w:bCs/>
          <w:sz w:val="24"/>
          <w:szCs w:val="24"/>
        </w:rPr>
        <w:t>格式见附件</w:t>
      </w:r>
      <w:r>
        <w:rPr>
          <w:rFonts w:hint="eastAsia" w:ascii="宋体" w:hAnsi="宋体"/>
          <w:bCs/>
          <w:sz w:val="24"/>
          <w:szCs w:val="24"/>
        </w:rPr>
        <w:t>）；</w:t>
      </w:r>
    </w:p>
    <w:p>
      <w:pPr>
        <w:pStyle w:val="104"/>
        <w:numPr>
          <w:ilvl w:val="1"/>
          <w:numId w:val="5"/>
        </w:numPr>
        <w:tabs>
          <w:tab w:val="left" w:pos="1276"/>
          <w:tab w:val="clear" w:pos="990"/>
        </w:tabs>
        <w:spacing w:line="360" w:lineRule="auto"/>
        <w:ind w:left="0" w:firstLine="567" w:firstLineChars="0"/>
        <w:rPr>
          <w:rFonts w:ascii="宋体" w:hAnsi="宋体"/>
          <w:bCs/>
          <w:sz w:val="24"/>
          <w:szCs w:val="24"/>
        </w:rPr>
      </w:pPr>
      <w:r>
        <w:rPr>
          <w:rFonts w:ascii="宋体" w:hAnsi="宋体"/>
          <w:bCs/>
          <w:sz w:val="24"/>
          <w:szCs w:val="24"/>
        </w:rPr>
        <w:t>具有独立承担民事责任能力</w:t>
      </w:r>
      <w:r>
        <w:rPr>
          <w:rFonts w:hint="eastAsia" w:ascii="宋体" w:hAnsi="宋体"/>
          <w:bCs/>
          <w:sz w:val="24"/>
          <w:szCs w:val="24"/>
        </w:rPr>
        <w:t>的供应商营业执照或相关部门的登记证明文件复印件（供应商如是</w:t>
      </w:r>
      <w:r>
        <w:rPr>
          <w:rFonts w:hint="eastAsia" w:ascii="宋体" w:hAnsi="宋体" w:cs="宋体"/>
          <w:kern w:val="0"/>
          <w:sz w:val="24"/>
          <w:szCs w:val="24"/>
        </w:rPr>
        <w:t>允许以分支机构身份参加报价的，提供供应商分支机构的营业执照复印件</w:t>
      </w:r>
      <w:r>
        <w:rPr>
          <w:rFonts w:hint="eastAsia" w:ascii="宋体" w:hAnsi="宋体"/>
          <w:bCs/>
          <w:sz w:val="24"/>
          <w:szCs w:val="24"/>
        </w:rPr>
        <w:t>）；</w:t>
      </w:r>
    </w:p>
    <w:p>
      <w:pPr>
        <w:numPr>
          <w:ilvl w:val="1"/>
          <w:numId w:val="5"/>
        </w:numPr>
        <w:tabs>
          <w:tab w:val="left" w:pos="945"/>
          <w:tab w:val="left" w:pos="1276"/>
          <w:tab w:val="clear" w:pos="990"/>
        </w:tabs>
        <w:spacing w:line="360" w:lineRule="auto"/>
        <w:ind w:left="0" w:firstLine="523" w:firstLineChars="218"/>
        <w:rPr>
          <w:rFonts w:ascii="宋体"/>
          <w:bCs/>
          <w:sz w:val="24"/>
          <w:szCs w:val="24"/>
        </w:rPr>
      </w:pPr>
      <w:r>
        <w:rPr>
          <w:rFonts w:hint="eastAsia" w:ascii="宋体" w:hAnsi="宋体"/>
          <w:bCs/>
          <w:sz w:val="24"/>
          <w:szCs w:val="24"/>
        </w:rPr>
        <w:t>供应商法定代表人授权委托书</w:t>
      </w:r>
      <w:r>
        <w:rPr>
          <w:rFonts w:hint="eastAsia" w:ascii="宋体" w:hAnsi="宋体"/>
          <w:sz w:val="24"/>
          <w:szCs w:val="24"/>
        </w:rPr>
        <w:t>（</w:t>
      </w:r>
      <w:r>
        <w:rPr>
          <w:rFonts w:hint="eastAsia" w:ascii="宋体" w:hAnsi="宋体"/>
          <w:b/>
          <w:bCs/>
          <w:sz w:val="24"/>
          <w:szCs w:val="24"/>
        </w:rPr>
        <w:t>格式见附件，法定代表人亲自参加征集活动的除外</w:t>
      </w:r>
      <w:r>
        <w:rPr>
          <w:rFonts w:hint="eastAsia" w:ascii="宋体" w:hAnsi="宋体"/>
          <w:sz w:val="24"/>
          <w:szCs w:val="24"/>
        </w:rPr>
        <w:t>。供应商</w:t>
      </w:r>
      <w:r>
        <w:rPr>
          <w:rFonts w:hint="eastAsia" w:ascii="宋体" w:hAnsi="宋体"/>
          <w:bCs/>
          <w:sz w:val="24"/>
          <w:szCs w:val="24"/>
        </w:rPr>
        <w:t>如是</w:t>
      </w:r>
      <w:r>
        <w:rPr>
          <w:rFonts w:hint="eastAsia" w:ascii="宋体" w:hAnsi="宋体" w:cs="宋体"/>
          <w:kern w:val="0"/>
          <w:sz w:val="24"/>
          <w:szCs w:val="24"/>
        </w:rPr>
        <w:t>允许以分支机构身份参加征集活动的，请自行</w:t>
      </w:r>
      <w:r>
        <w:rPr>
          <w:rFonts w:ascii="宋体" w:hAnsi="宋体" w:cs="宋体"/>
          <w:kern w:val="0"/>
          <w:sz w:val="24"/>
          <w:szCs w:val="24"/>
        </w:rPr>
        <w:t>将“</w:t>
      </w:r>
      <w:r>
        <w:rPr>
          <w:rFonts w:hint="eastAsia" w:ascii="宋体" w:hAnsi="宋体" w:cs="宋体"/>
          <w:kern w:val="0"/>
          <w:sz w:val="24"/>
          <w:szCs w:val="24"/>
        </w:rPr>
        <w:t>法定代表人</w:t>
      </w:r>
      <w:r>
        <w:rPr>
          <w:rFonts w:ascii="宋体" w:hAnsi="宋体" w:cs="宋体"/>
          <w:kern w:val="0"/>
          <w:sz w:val="24"/>
          <w:szCs w:val="24"/>
        </w:rPr>
        <w:t>”</w:t>
      </w:r>
      <w:r>
        <w:rPr>
          <w:rFonts w:hint="eastAsia" w:ascii="宋体" w:hAnsi="宋体" w:cs="宋体"/>
          <w:kern w:val="0"/>
          <w:sz w:val="24"/>
          <w:szCs w:val="24"/>
        </w:rPr>
        <w:t>更改为</w:t>
      </w:r>
      <w:r>
        <w:rPr>
          <w:rFonts w:ascii="宋体" w:hAnsi="宋体" w:cs="宋体"/>
          <w:kern w:val="0"/>
          <w:sz w:val="24"/>
          <w:szCs w:val="24"/>
        </w:rPr>
        <w:t>“</w:t>
      </w:r>
      <w:r>
        <w:rPr>
          <w:rFonts w:hint="eastAsia" w:ascii="宋体" w:hAnsi="宋体" w:cs="宋体"/>
          <w:kern w:val="0"/>
          <w:sz w:val="24"/>
          <w:szCs w:val="24"/>
        </w:rPr>
        <w:t>负责人</w:t>
      </w:r>
      <w:r>
        <w:rPr>
          <w:rFonts w:ascii="宋体" w:hAnsi="宋体" w:cs="宋体"/>
          <w:kern w:val="0"/>
          <w:sz w:val="24"/>
          <w:szCs w:val="24"/>
        </w:rPr>
        <w:t>”</w:t>
      </w:r>
      <w:r>
        <w:rPr>
          <w:rFonts w:hint="eastAsia" w:ascii="宋体" w:hAnsi="宋体" w:cs="宋体"/>
          <w:kern w:val="0"/>
          <w:sz w:val="24"/>
          <w:szCs w:val="24"/>
        </w:rPr>
        <w:t>，分支机构申请</w:t>
      </w:r>
      <w:r>
        <w:rPr>
          <w:rFonts w:ascii="宋体" w:hAnsi="宋体" w:cs="宋体"/>
          <w:kern w:val="0"/>
          <w:sz w:val="24"/>
          <w:szCs w:val="24"/>
        </w:rPr>
        <w:t>时</w:t>
      </w:r>
      <w:r>
        <w:rPr>
          <w:rFonts w:hint="eastAsia" w:ascii="宋体" w:hAnsi="宋体" w:cs="宋体"/>
          <w:kern w:val="0"/>
          <w:sz w:val="24"/>
          <w:szCs w:val="24"/>
        </w:rPr>
        <w:t>涉及到征集文件</w:t>
      </w:r>
      <w:r>
        <w:rPr>
          <w:rFonts w:ascii="宋体" w:hAnsi="宋体" w:cs="宋体"/>
          <w:kern w:val="0"/>
          <w:sz w:val="24"/>
          <w:szCs w:val="24"/>
        </w:rPr>
        <w:t>“</w:t>
      </w:r>
      <w:r>
        <w:rPr>
          <w:rFonts w:hint="eastAsia" w:ascii="宋体" w:hAnsi="宋体" w:cs="宋体"/>
          <w:kern w:val="0"/>
          <w:sz w:val="24"/>
          <w:szCs w:val="24"/>
        </w:rPr>
        <w:t>法定代表人</w:t>
      </w:r>
      <w:r>
        <w:rPr>
          <w:rFonts w:ascii="宋体" w:hAnsi="宋体" w:cs="宋体"/>
          <w:kern w:val="0"/>
          <w:sz w:val="24"/>
          <w:szCs w:val="24"/>
        </w:rPr>
        <w:t>”</w:t>
      </w:r>
      <w:r>
        <w:rPr>
          <w:rFonts w:hint="eastAsia" w:ascii="宋体" w:hAnsi="宋体" w:cs="宋体"/>
          <w:kern w:val="0"/>
          <w:sz w:val="24"/>
          <w:szCs w:val="24"/>
        </w:rPr>
        <w:t>要求的部分</w:t>
      </w:r>
      <w:r>
        <w:rPr>
          <w:rFonts w:ascii="宋体" w:hAnsi="宋体" w:cs="宋体"/>
          <w:kern w:val="0"/>
          <w:sz w:val="24"/>
          <w:szCs w:val="24"/>
        </w:rPr>
        <w:t>，其</w:t>
      </w:r>
      <w:r>
        <w:rPr>
          <w:rFonts w:hint="eastAsia" w:ascii="宋体" w:hAnsi="宋体" w:cs="宋体"/>
          <w:kern w:val="0"/>
          <w:sz w:val="24"/>
          <w:szCs w:val="24"/>
        </w:rPr>
        <w:t>具体要求</w:t>
      </w:r>
      <w:r>
        <w:rPr>
          <w:rFonts w:ascii="宋体" w:hAnsi="宋体" w:cs="宋体"/>
          <w:kern w:val="0"/>
          <w:sz w:val="24"/>
          <w:szCs w:val="24"/>
        </w:rPr>
        <w:t>视同本条规定</w:t>
      </w:r>
      <w:r>
        <w:rPr>
          <w:rFonts w:hint="eastAsia" w:ascii="宋体" w:hAnsi="宋体"/>
          <w:sz w:val="24"/>
          <w:szCs w:val="24"/>
        </w:rPr>
        <w:t>）；</w:t>
      </w:r>
    </w:p>
    <w:p>
      <w:pPr>
        <w:numPr>
          <w:ilvl w:val="1"/>
          <w:numId w:val="5"/>
        </w:numPr>
        <w:tabs>
          <w:tab w:val="left" w:pos="945"/>
          <w:tab w:val="left" w:pos="1276"/>
          <w:tab w:val="clear" w:pos="990"/>
        </w:tabs>
        <w:spacing w:line="360" w:lineRule="auto"/>
        <w:ind w:left="0" w:firstLine="523" w:firstLineChars="218"/>
        <w:rPr>
          <w:rFonts w:ascii="宋体"/>
          <w:bCs/>
          <w:sz w:val="24"/>
          <w:szCs w:val="24"/>
        </w:rPr>
      </w:pPr>
      <w:r>
        <w:rPr>
          <w:rFonts w:hint="eastAsia" w:ascii="宋体" w:hAnsi="宋体"/>
          <w:bCs/>
          <w:sz w:val="24"/>
          <w:szCs w:val="24"/>
        </w:rPr>
        <w:t>供应商法定代表人身份证复印件；</w:t>
      </w:r>
    </w:p>
    <w:p>
      <w:pPr>
        <w:numPr>
          <w:ilvl w:val="1"/>
          <w:numId w:val="5"/>
        </w:numPr>
        <w:tabs>
          <w:tab w:val="left" w:pos="945"/>
          <w:tab w:val="left" w:pos="1276"/>
          <w:tab w:val="clear" w:pos="990"/>
        </w:tabs>
        <w:spacing w:line="360" w:lineRule="auto"/>
        <w:ind w:left="0" w:firstLine="523" w:firstLineChars="218"/>
        <w:rPr>
          <w:rFonts w:ascii="宋体"/>
          <w:bCs/>
          <w:sz w:val="24"/>
          <w:szCs w:val="24"/>
        </w:rPr>
      </w:pPr>
      <w:r>
        <w:rPr>
          <w:rFonts w:hint="eastAsia" w:ascii="宋体" w:hAnsi="宋体"/>
          <w:bCs/>
          <w:sz w:val="24"/>
          <w:szCs w:val="24"/>
        </w:rPr>
        <w:t>供应商法定代表人授权代表身份证复印件（</w:t>
      </w:r>
      <w:r>
        <w:rPr>
          <w:rFonts w:hint="eastAsia" w:ascii="宋体" w:hAnsi="宋体"/>
          <w:b/>
          <w:bCs/>
          <w:sz w:val="24"/>
          <w:szCs w:val="24"/>
        </w:rPr>
        <w:t>法定代表人亲自参加征集活动的除外</w:t>
      </w:r>
      <w:r>
        <w:rPr>
          <w:rFonts w:hint="eastAsia" w:ascii="宋体" w:hAnsi="宋体"/>
          <w:bCs/>
          <w:sz w:val="24"/>
          <w:szCs w:val="24"/>
        </w:rPr>
        <w:t>）</w:t>
      </w:r>
      <w:r>
        <w:rPr>
          <w:rFonts w:hint="eastAsia" w:ascii="宋体" w:hAnsi="宋体"/>
          <w:sz w:val="24"/>
          <w:szCs w:val="24"/>
        </w:rPr>
        <w:t>；</w:t>
      </w:r>
    </w:p>
    <w:p>
      <w:pPr>
        <w:numPr>
          <w:ilvl w:val="1"/>
          <w:numId w:val="5"/>
        </w:numPr>
        <w:tabs>
          <w:tab w:val="left" w:pos="945"/>
          <w:tab w:val="left" w:pos="1276"/>
          <w:tab w:val="clear" w:pos="990"/>
        </w:tabs>
        <w:spacing w:line="360" w:lineRule="auto"/>
        <w:ind w:left="0" w:firstLine="523" w:firstLineChars="218"/>
        <w:rPr>
          <w:rFonts w:ascii="宋体" w:hAnsi="宋体"/>
          <w:bCs/>
          <w:sz w:val="24"/>
          <w:szCs w:val="24"/>
        </w:rPr>
      </w:pPr>
      <w:r>
        <w:rPr>
          <w:rFonts w:hint="eastAsia" w:ascii="宋体" w:hAnsi="宋体"/>
          <w:bCs/>
          <w:sz w:val="24"/>
          <w:szCs w:val="24"/>
        </w:rPr>
        <w:t>供应商连续三个月（至少包含近三个月中任意一个月份(不含征集活动当月)）为其法定代表人授权代表缴纳社保的证明复印件（由相关主管部门出具</w:t>
      </w:r>
      <w:r>
        <w:rPr>
          <w:rFonts w:hint="eastAsia" w:ascii="宋体" w:hAnsi="宋体"/>
          <w:b/>
          <w:bCs/>
          <w:sz w:val="24"/>
          <w:szCs w:val="24"/>
        </w:rPr>
        <w:t>，新成立公司除外、法定代表人亲自参加征集活动的除外</w:t>
      </w:r>
      <w:r>
        <w:rPr>
          <w:rFonts w:hint="eastAsia" w:ascii="宋体" w:hAnsi="宋体"/>
          <w:bCs/>
          <w:sz w:val="24"/>
          <w:szCs w:val="24"/>
        </w:rPr>
        <w:t>）；</w:t>
      </w:r>
    </w:p>
    <w:p>
      <w:pPr>
        <w:numPr>
          <w:ilvl w:val="1"/>
          <w:numId w:val="5"/>
        </w:numPr>
        <w:tabs>
          <w:tab w:val="left" w:pos="945"/>
          <w:tab w:val="left" w:pos="1276"/>
          <w:tab w:val="clear" w:pos="990"/>
        </w:tabs>
        <w:spacing w:line="360" w:lineRule="auto"/>
        <w:ind w:left="0" w:firstLine="523" w:firstLineChars="218"/>
        <w:rPr>
          <w:rFonts w:ascii="宋体"/>
          <w:bCs/>
          <w:sz w:val="24"/>
          <w:szCs w:val="24"/>
        </w:rPr>
      </w:pPr>
      <w:r>
        <w:rPr>
          <w:rFonts w:hint="eastAsia" w:ascii="宋体" w:hAnsi="宋体"/>
          <w:bCs/>
          <w:sz w:val="24"/>
          <w:szCs w:val="24"/>
        </w:rPr>
        <w:t>供应商近三个月中任意一个月份</w:t>
      </w:r>
      <w:r>
        <w:rPr>
          <w:rFonts w:ascii="宋体" w:hAnsi="宋体"/>
          <w:bCs/>
          <w:sz w:val="24"/>
          <w:szCs w:val="24"/>
        </w:rPr>
        <w:t>(</w:t>
      </w:r>
      <w:r>
        <w:rPr>
          <w:rFonts w:hint="eastAsia" w:ascii="宋体" w:hAnsi="宋体"/>
          <w:bCs/>
          <w:sz w:val="24"/>
          <w:szCs w:val="24"/>
        </w:rPr>
        <w:t>不含征集活动当月</w:t>
      </w:r>
      <w:r>
        <w:rPr>
          <w:rFonts w:ascii="宋体" w:hAnsi="宋体"/>
          <w:bCs/>
          <w:sz w:val="24"/>
          <w:szCs w:val="24"/>
        </w:rPr>
        <w:t>)</w:t>
      </w:r>
      <w:r>
        <w:rPr>
          <w:rFonts w:hint="eastAsia" w:ascii="宋体" w:hAnsi="宋体"/>
          <w:bCs/>
          <w:sz w:val="24"/>
          <w:szCs w:val="24"/>
        </w:rPr>
        <w:t>的财务状况报告（资产负债表和利润表）或由会计师事务所出具的近两年中任意一个年度的审计报告和所附已审财务报告；</w:t>
      </w:r>
    </w:p>
    <w:p>
      <w:pPr>
        <w:numPr>
          <w:ilvl w:val="1"/>
          <w:numId w:val="5"/>
        </w:numPr>
        <w:tabs>
          <w:tab w:val="left" w:pos="945"/>
          <w:tab w:val="left" w:pos="1276"/>
          <w:tab w:val="clear" w:pos="990"/>
        </w:tabs>
        <w:spacing w:line="360" w:lineRule="auto"/>
        <w:ind w:left="0" w:firstLine="523" w:firstLineChars="218"/>
        <w:rPr>
          <w:rFonts w:ascii="宋体"/>
          <w:bCs/>
          <w:sz w:val="24"/>
          <w:szCs w:val="24"/>
        </w:rPr>
      </w:pPr>
      <w:r>
        <w:rPr>
          <w:rFonts w:hint="eastAsia" w:ascii="宋体" w:hAnsi="宋体"/>
          <w:bCs/>
          <w:sz w:val="24"/>
          <w:szCs w:val="24"/>
        </w:rPr>
        <w:t>供应商近三个月中任意一个月份</w:t>
      </w:r>
      <w:r>
        <w:rPr>
          <w:rFonts w:ascii="宋体" w:hAnsi="宋体"/>
          <w:bCs/>
          <w:sz w:val="24"/>
          <w:szCs w:val="24"/>
        </w:rPr>
        <w:t>(</w:t>
      </w:r>
      <w:r>
        <w:rPr>
          <w:rFonts w:hint="eastAsia" w:ascii="宋体" w:hAnsi="宋体"/>
          <w:bCs/>
          <w:sz w:val="24"/>
          <w:szCs w:val="24"/>
        </w:rPr>
        <w:t>不含征集活动当月</w:t>
      </w:r>
      <w:r>
        <w:rPr>
          <w:rFonts w:ascii="宋体" w:hAnsi="宋体"/>
          <w:bCs/>
          <w:sz w:val="24"/>
          <w:szCs w:val="24"/>
        </w:rPr>
        <w:t>)</w:t>
      </w:r>
      <w:r>
        <w:rPr>
          <w:rFonts w:hint="eastAsia" w:ascii="宋体" w:hAnsi="宋体"/>
          <w:bCs/>
          <w:sz w:val="24"/>
          <w:szCs w:val="24"/>
        </w:rPr>
        <w:t>的依法缴纳税收的相关材料（提供相关主管部门证明或银行代扣证明）；</w:t>
      </w:r>
    </w:p>
    <w:p>
      <w:pPr>
        <w:numPr>
          <w:ilvl w:val="1"/>
          <w:numId w:val="5"/>
        </w:numPr>
        <w:tabs>
          <w:tab w:val="left" w:pos="945"/>
          <w:tab w:val="left" w:pos="1276"/>
          <w:tab w:val="clear" w:pos="990"/>
        </w:tabs>
        <w:spacing w:line="360" w:lineRule="auto"/>
        <w:ind w:left="0" w:firstLine="523" w:firstLineChars="218"/>
        <w:rPr>
          <w:rFonts w:ascii="宋体"/>
          <w:bCs/>
          <w:sz w:val="24"/>
          <w:szCs w:val="24"/>
        </w:rPr>
      </w:pPr>
      <w:r>
        <w:rPr>
          <w:rFonts w:hint="eastAsia" w:ascii="宋体" w:hAnsi="宋体"/>
          <w:bCs/>
          <w:sz w:val="24"/>
          <w:szCs w:val="24"/>
        </w:rPr>
        <w:t>供应商近三个月中任意一个月份</w:t>
      </w:r>
      <w:r>
        <w:rPr>
          <w:rFonts w:ascii="宋体" w:hAnsi="宋体"/>
          <w:bCs/>
          <w:sz w:val="24"/>
          <w:szCs w:val="24"/>
        </w:rPr>
        <w:t>(</w:t>
      </w:r>
      <w:r>
        <w:rPr>
          <w:rFonts w:hint="eastAsia" w:ascii="宋体" w:hAnsi="宋体"/>
          <w:bCs/>
          <w:sz w:val="24"/>
          <w:szCs w:val="24"/>
        </w:rPr>
        <w:t>不含征集活动当月</w:t>
      </w:r>
      <w:r>
        <w:rPr>
          <w:rFonts w:ascii="宋体" w:hAnsi="宋体"/>
          <w:bCs/>
          <w:sz w:val="24"/>
          <w:szCs w:val="24"/>
        </w:rPr>
        <w:t>)</w:t>
      </w:r>
      <w:r>
        <w:rPr>
          <w:rFonts w:hint="eastAsia" w:ascii="宋体" w:hAnsi="宋体"/>
          <w:bCs/>
          <w:sz w:val="24"/>
          <w:szCs w:val="24"/>
        </w:rPr>
        <w:t>的依法缴纳社会保障资金的相关材料（提供相关主管部门证明或银行代扣证明）；</w:t>
      </w:r>
    </w:p>
    <w:p>
      <w:pPr>
        <w:numPr>
          <w:ilvl w:val="1"/>
          <w:numId w:val="5"/>
        </w:numPr>
        <w:tabs>
          <w:tab w:val="left" w:pos="945"/>
          <w:tab w:val="left" w:pos="1276"/>
          <w:tab w:val="clear" w:pos="990"/>
        </w:tabs>
        <w:spacing w:line="360" w:lineRule="auto"/>
        <w:ind w:left="0" w:firstLine="523" w:firstLineChars="218"/>
        <w:rPr>
          <w:rFonts w:ascii="宋体"/>
          <w:bCs/>
          <w:sz w:val="24"/>
          <w:szCs w:val="24"/>
        </w:rPr>
      </w:pPr>
      <w:r>
        <w:rPr>
          <w:rFonts w:hint="eastAsia" w:ascii="宋体" w:hAnsi="宋体"/>
          <w:bCs/>
          <w:sz w:val="24"/>
          <w:szCs w:val="24"/>
        </w:rPr>
        <w:t>承诺书（</w:t>
      </w:r>
      <w:r>
        <w:rPr>
          <w:rFonts w:hint="eastAsia" w:ascii="宋体" w:hAnsi="宋体"/>
          <w:b/>
          <w:bCs/>
          <w:sz w:val="24"/>
          <w:szCs w:val="24"/>
        </w:rPr>
        <w:t>格式见附件</w:t>
      </w:r>
      <w:r>
        <w:rPr>
          <w:rFonts w:hint="eastAsia" w:ascii="宋体" w:hAnsi="宋体"/>
          <w:bCs/>
          <w:sz w:val="24"/>
          <w:szCs w:val="24"/>
        </w:rPr>
        <w:t>）；</w:t>
      </w:r>
    </w:p>
    <w:p>
      <w:pPr>
        <w:numPr>
          <w:ilvl w:val="1"/>
          <w:numId w:val="5"/>
        </w:numPr>
        <w:tabs>
          <w:tab w:val="left" w:pos="945"/>
          <w:tab w:val="left" w:pos="1276"/>
          <w:tab w:val="clear" w:pos="990"/>
        </w:tabs>
        <w:spacing w:line="360" w:lineRule="auto"/>
        <w:ind w:left="0" w:firstLine="523" w:firstLineChars="218"/>
        <w:rPr>
          <w:rFonts w:ascii="宋体"/>
          <w:bCs/>
          <w:sz w:val="24"/>
          <w:szCs w:val="24"/>
        </w:rPr>
      </w:pPr>
      <w:r>
        <w:rPr>
          <w:rFonts w:hint="eastAsia" w:ascii="宋体"/>
          <w:bCs/>
          <w:sz w:val="24"/>
          <w:szCs w:val="24"/>
        </w:rPr>
        <w:t>中小企业声明函</w:t>
      </w:r>
      <w:r>
        <w:rPr>
          <w:rFonts w:hint="eastAsia" w:ascii="宋体" w:hAnsi="宋体"/>
          <w:bCs/>
          <w:sz w:val="24"/>
          <w:szCs w:val="24"/>
        </w:rPr>
        <w:t>（</w:t>
      </w:r>
      <w:r>
        <w:rPr>
          <w:rFonts w:hint="eastAsia" w:ascii="宋体" w:hAnsi="宋体"/>
          <w:b/>
          <w:bCs/>
          <w:sz w:val="24"/>
          <w:szCs w:val="24"/>
        </w:rPr>
        <w:t>格式见附件</w:t>
      </w:r>
      <w:r>
        <w:rPr>
          <w:rFonts w:hint="eastAsia" w:ascii="宋体" w:hAnsi="宋体"/>
          <w:bCs/>
          <w:sz w:val="24"/>
          <w:szCs w:val="24"/>
        </w:rPr>
        <w:t>）；</w:t>
      </w:r>
    </w:p>
    <w:p>
      <w:pPr>
        <w:numPr>
          <w:ilvl w:val="1"/>
          <w:numId w:val="5"/>
        </w:numPr>
        <w:tabs>
          <w:tab w:val="left" w:pos="945"/>
          <w:tab w:val="left" w:pos="1276"/>
          <w:tab w:val="clear" w:pos="990"/>
        </w:tabs>
        <w:spacing w:line="360" w:lineRule="auto"/>
        <w:ind w:left="0" w:firstLine="523" w:firstLineChars="218"/>
        <w:rPr>
          <w:rFonts w:ascii="宋体"/>
          <w:bCs/>
          <w:sz w:val="24"/>
          <w:szCs w:val="24"/>
        </w:rPr>
      </w:pPr>
      <w:r>
        <w:rPr>
          <w:rFonts w:hint="eastAsia" w:ascii="宋体" w:hAnsi="宋体" w:cs="宋体"/>
          <w:kern w:val="0"/>
          <w:sz w:val="24"/>
          <w:szCs w:val="24"/>
        </w:rPr>
        <w:t>特定资质证明复印件：</w:t>
      </w:r>
    </w:p>
    <w:p>
      <w:pPr>
        <w:tabs>
          <w:tab w:val="left" w:pos="945"/>
          <w:tab w:val="left" w:pos="987"/>
          <w:tab w:val="left" w:pos="1276"/>
        </w:tabs>
        <w:spacing w:line="360" w:lineRule="auto"/>
        <w:ind w:firstLine="480" w:firstLineChars="200"/>
        <w:rPr>
          <w:rFonts w:ascii="宋体" w:hAnsi="宋体" w:cs="宋体"/>
          <w:kern w:val="0"/>
          <w:sz w:val="24"/>
          <w:szCs w:val="24"/>
        </w:rPr>
      </w:pPr>
      <w:r>
        <w:rPr>
          <w:rFonts w:hint="eastAsia" w:ascii="宋体" w:hAnsi="宋体" w:cs="宋体"/>
          <w:kern w:val="0"/>
          <w:sz w:val="24"/>
          <w:szCs w:val="24"/>
        </w:rPr>
        <w:t>A标段：供应商须为一类汽车维修企业（须提供有效期内的道路运输经营许可证复印件或提供在交通运输管理部门备案满一个月的备案登记证明复印件，许可证或备案登记证明经营范围为“一类汽车维修”）</w:t>
      </w:r>
    </w:p>
    <w:p>
      <w:pPr>
        <w:tabs>
          <w:tab w:val="left" w:pos="945"/>
          <w:tab w:val="left" w:pos="987"/>
          <w:tab w:val="left" w:pos="1276"/>
        </w:tabs>
        <w:spacing w:line="360" w:lineRule="auto"/>
        <w:ind w:firstLine="480" w:firstLineChars="200"/>
        <w:rPr>
          <w:rFonts w:ascii="宋体" w:hAnsi="宋体" w:cs="宋体"/>
          <w:kern w:val="0"/>
          <w:sz w:val="24"/>
          <w:szCs w:val="24"/>
        </w:rPr>
      </w:pPr>
      <w:r>
        <w:rPr>
          <w:rFonts w:hint="eastAsia" w:ascii="宋体" w:hAnsi="宋体" w:cs="宋体"/>
          <w:kern w:val="0"/>
          <w:sz w:val="24"/>
          <w:szCs w:val="24"/>
        </w:rPr>
        <w:t>B标段：供应商须为二类汽车维修企业（须提供有效期内的道路运输经营许可证复印件或提供在交通运输管理部门备案满一个月的备案登记证明复印件，许可证或备案登记证明经营范围为“二类汽车维修”）</w:t>
      </w:r>
    </w:p>
    <w:p>
      <w:pPr>
        <w:tabs>
          <w:tab w:val="left" w:pos="945"/>
          <w:tab w:val="left" w:pos="987"/>
          <w:tab w:val="left" w:pos="1276"/>
        </w:tabs>
        <w:spacing w:line="360" w:lineRule="auto"/>
        <w:ind w:firstLine="480" w:firstLineChars="200"/>
        <w:rPr>
          <w:rFonts w:ascii="宋体" w:hAnsi="宋体" w:cs="宋体"/>
          <w:kern w:val="0"/>
          <w:sz w:val="24"/>
          <w:szCs w:val="24"/>
        </w:rPr>
      </w:pPr>
    </w:p>
    <w:p>
      <w:pPr>
        <w:tabs>
          <w:tab w:val="left" w:pos="945"/>
          <w:tab w:val="left" w:pos="987"/>
          <w:tab w:val="left" w:pos="1276"/>
        </w:tabs>
        <w:spacing w:line="360" w:lineRule="auto"/>
        <w:ind w:firstLine="480" w:firstLineChars="200"/>
        <w:rPr>
          <w:rFonts w:ascii="宋体" w:hAnsi="宋体" w:cs="宋体"/>
          <w:kern w:val="0"/>
          <w:sz w:val="24"/>
          <w:szCs w:val="24"/>
        </w:rPr>
      </w:pPr>
      <w:r>
        <w:rPr>
          <w:rFonts w:hint="eastAsia" w:ascii="宋体" w:hAnsi="宋体" w:cs="宋体"/>
          <w:kern w:val="0"/>
          <w:sz w:val="24"/>
          <w:szCs w:val="24"/>
        </w:rPr>
        <w:t>注：按照《政府采购法实施条例释义》，法人的分支机构由于其不能独立承担民事责任，不能以分支机构的身份参加政府采购，只能以法人身份参加。但银行、保险、石油石化、电力、电信等有行业特殊情况的，可以分支机构参加政府采购和签订合同。</w:t>
      </w:r>
    </w:p>
    <w:p>
      <w:pPr>
        <w:numPr>
          <w:ilvl w:val="0"/>
          <w:numId w:val="5"/>
        </w:numPr>
        <w:tabs>
          <w:tab w:val="left" w:pos="525"/>
          <w:tab w:val="left" w:pos="945"/>
        </w:tabs>
        <w:spacing w:line="360" w:lineRule="auto"/>
        <w:ind w:left="1" w:firstLine="523" w:firstLineChars="218"/>
        <w:rPr>
          <w:rFonts w:ascii="宋体" w:hAnsi="宋体"/>
          <w:bCs/>
          <w:sz w:val="24"/>
          <w:szCs w:val="24"/>
        </w:rPr>
      </w:pPr>
      <w:r>
        <w:rPr>
          <w:rFonts w:hint="eastAsia" w:ascii="宋体" w:hAnsi="宋体"/>
          <w:bCs/>
          <w:sz w:val="24"/>
          <w:szCs w:val="24"/>
        </w:rPr>
        <w:t>报价一览表（</w:t>
      </w:r>
      <w:r>
        <w:rPr>
          <w:rFonts w:hint="eastAsia" w:ascii="宋体" w:hAnsi="宋体"/>
          <w:b/>
          <w:bCs/>
          <w:sz w:val="24"/>
          <w:szCs w:val="24"/>
        </w:rPr>
        <w:t>格式见附件</w:t>
      </w:r>
      <w:r>
        <w:rPr>
          <w:rFonts w:hint="eastAsia" w:ascii="宋体" w:hAnsi="宋体"/>
          <w:bCs/>
          <w:sz w:val="24"/>
          <w:szCs w:val="24"/>
        </w:rPr>
        <w:t>）</w:t>
      </w:r>
    </w:p>
    <w:p>
      <w:pPr>
        <w:numPr>
          <w:ilvl w:val="0"/>
          <w:numId w:val="5"/>
        </w:numPr>
        <w:tabs>
          <w:tab w:val="left" w:pos="525"/>
          <w:tab w:val="left" w:pos="945"/>
        </w:tabs>
        <w:spacing w:line="360" w:lineRule="auto"/>
        <w:ind w:left="1" w:firstLine="523" w:firstLineChars="218"/>
        <w:rPr>
          <w:rFonts w:ascii="宋体" w:hAnsi="宋体"/>
          <w:bCs/>
          <w:sz w:val="24"/>
          <w:szCs w:val="24"/>
        </w:rPr>
      </w:pPr>
      <w:r>
        <w:rPr>
          <w:rFonts w:hint="eastAsia" w:ascii="宋体" w:hAnsi="宋体"/>
          <w:bCs/>
          <w:sz w:val="24"/>
          <w:szCs w:val="24"/>
        </w:rPr>
        <w:t>征集文件需求偏离表（</w:t>
      </w:r>
      <w:r>
        <w:rPr>
          <w:rFonts w:hint="eastAsia" w:ascii="宋体" w:hAnsi="宋体"/>
          <w:b/>
          <w:bCs/>
          <w:sz w:val="24"/>
          <w:szCs w:val="24"/>
        </w:rPr>
        <w:t>格式见附件</w:t>
      </w:r>
      <w:r>
        <w:rPr>
          <w:rFonts w:hint="eastAsia" w:ascii="宋体" w:hAnsi="宋体"/>
          <w:bCs/>
          <w:sz w:val="24"/>
          <w:szCs w:val="24"/>
        </w:rPr>
        <w:t>）</w:t>
      </w:r>
    </w:p>
    <w:p>
      <w:pPr>
        <w:numPr>
          <w:ilvl w:val="0"/>
          <w:numId w:val="5"/>
        </w:numPr>
        <w:tabs>
          <w:tab w:val="left" w:pos="525"/>
          <w:tab w:val="left" w:pos="945"/>
        </w:tabs>
        <w:spacing w:line="360" w:lineRule="auto"/>
        <w:ind w:left="1" w:firstLine="523" w:firstLineChars="218"/>
        <w:rPr>
          <w:rFonts w:ascii="宋体" w:hAnsi="宋体"/>
          <w:bCs/>
          <w:sz w:val="24"/>
          <w:szCs w:val="24"/>
        </w:rPr>
      </w:pPr>
      <w:r>
        <w:rPr>
          <w:rFonts w:hint="eastAsia" w:ascii="宋体" w:hAnsi="宋体"/>
          <w:bCs/>
          <w:sz w:val="24"/>
          <w:szCs w:val="24"/>
        </w:rPr>
        <w:t>供应商情况表（</w:t>
      </w:r>
      <w:r>
        <w:rPr>
          <w:rFonts w:hint="eastAsia" w:ascii="宋体" w:hAnsi="宋体"/>
          <w:b/>
          <w:bCs/>
          <w:sz w:val="24"/>
          <w:szCs w:val="24"/>
        </w:rPr>
        <w:t>格式见附件</w:t>
      </w:r>
      <w:r>
        <w:rPr>
          <w:rFonts w:hint="eastAsia" w:ascii="宋体" w:hAnsi="宋体"/>
          <w:bCs/>
          <w:sz w:val="24"/>
          <w:szCs w:val="24"/>
        </w:rPr>
        <w:t>）</w:t>
      </w:r>
    </w:p>
    <w:p>
      <w:pPr>
        <w:numPr>
          <w:ilvl w:val="0"/>
          <w:numId w:val="5"/>
        </w:numPr>
        <w:tabs>
          <w:tab w:val="left" w:pos="525"/>
          <w:tab w:val="left" w:pos="945"/>
        </w:tabs>
        <w:spacing w:line="360" w:lineRule="auto"/>
        <w:ind w:left="1" w:firstLine="523" w:firstLineChars="218"/>
        <w:rPr>
          <w:rFonts w:ascii="宋体" w:hAnsi="宋体"/>
          <w:bCs/>
          <w:sz w:val="24"/>
          <w:szCs w:val="24"/>
        </w:rPr>
      </w:pPr>
      <w:r>
        <w:rPr>
          <w:rFonts w:hint="eastAsia" w:ascii="宋体" w:hAnsi="宋体"/>
          <w:bCs/>
          <w:sz w:val="24"/>
          <w:szCs w:val="24"/>
        </w:rPr>
        <w:t>要求征集人提供的配合（</w:t>
      </w:r>
      <w:r>
        <w:rPr>
          <w:rFonts w:hint="eastAsia" w:ascii="宋体" w:hAnsi="宋体"/>
          <w:b/>
          <w:bCs/>
          <w:sz w:val="24"/>
          <w:szCs w:val="24"/>
        </w:rPr>
        <w:t>如有自拟并自行添加</w:t>
      </w:r>
      <w:r>
        <w:rPr>
          <w:rFonts w:hint="eastAsia" w:ascii="宋体" w:hAnsi="宋体"/>
          <w:bCs/>
          <w:sz w:val="24"/>
          <w:szCs w:val="24"/>
        </w:rPr>
        <w:t>）</w:t>
      </w:r>
    </w:p>
    <w:p>
      <w:pPr>
        <w:numPr>
          <w:ilvl w:val="0"/>
          <w:numId w:val="5"/>
        </w:numPr>
        <w:tabs>
          <w:tab w:val="left" w:pos="525"/>
          <w:tab w:val="left" w:pos="945"/>
        </w:tabs>
        <w:spacing w:line="360" w:lineRule="auto"/>
        <w:ind w:left="1" w:firstLine="523" w:firstLineChars="218"/>
        <w:rPr>
          <w:rFonts w:ascii="宋体" w:hAnsi="宋体"/>
          <w:bCs/>
          <w:sz w:val="24"/>
          <w:szCs w:val="24"/>
        </w:rPr>
      </w:pPr>
      <w:r>
        <w:rPr>
          <w:rFonts w:hint="eastAsia" w:ascii="宋体" w:hAnsi="宋体"/>
          <w:bCs/>
          <w:sz w:val="24"/>
          <w:szCs w:val="24"/>
        </w:rPr>
        <w:t>其它（</w:t>
      </w:r>
      <w:r>
        <w:rPr>
          <w:rFonts w:hint="eastAsia" w:ascii="宋体" w:hAnsi="宋体"/>
          <w:b/>
          <w:bCs/>
          <w:sz w:val="24"/>
          <w:szCs w:val="24"/>
        </w:rPr>
        <w:t>供应商认为有必要提供的声明和文件，如有自拟并自行添加</w:t>
      </w:r>
      <w:r>
        <w:rPr>
          <w:rFonts w:hint="eastAsia" w:ascii="宋体" w:hAnsi="宋体"/>
          <w:bCs/>
          <w:sz w:val="24"/>
          <w:szCs w:val="24"/>
        </w:rPr>
        <w:t>）</w:t>
      </w:r>
    </w:p>
    <w:p>
      <w:pPr>
        <w:tabs>
          <w:tab w:val="left" w:pos="945"/>
        </w:tabs>
        <w:spacing w:line="360" w:lineRule="auto"/>
        <w:ind w:firstLine="480" w:firstLineChars="200"/>
        <w:rPr>
          <w:rFonts w:ascii="宋体"/>
          <w:bCs/>
          <w:sz w:val="24"/>
          <w:szCs w:val="24"/>
        </w:rPr>
      </w:pPr>
      <w:r>
        <w:rPr>
          <w:rFonts w:hint="eastAsia" w:ascii="宋体" w:hAnsi="宋体"/>
          <w:bCs/>
          <w:sz w:val="24"/>
          <w:szCs w:val="24"/>
        </w:rPr>
        <w:t>上述</w:t>
      </w:r>
      <w:r>
        <w:rPr>
          <w:rFonts w:ascii="宋体" w:hAnsi="宋体"/>
          <w:bCs/>
          <w:sz w:val="24"/>
          <w:szCs w:val="24"/>
        </w:rPr>
        <w:t>1-</w:t>
      </w:r>
      <w:r>
        <w:rPr>
          <w:rFonts w:hint="eastAsia" w:ascii="宋体" w:hAnsi="宋体"/>
          <w:bCs/>
          <w:sz w:val="24"/>
          <w:szCs w:val="24"/>
        </w:rPr>
        <w:t>5项供应商必须按要求全部提供，否则响应文件无效。</w:t>
      </w:r>
      <w:r>
        <w:rPr>
          <w:rFonts w:hint="eastAsia" w:ascii="Tahoma" w:hAnsi="Tahoma" w:cs="Tahoma"/>
          <w:sz w:val="24"/>
          <w:szCs w:val="24"/>
        </w:rPr>
        <w:t>如上述资格证明文件遇年检、换证，则必须提供法定年检、换证单位出具的有效证明复印件。如上述资格证明文件第</w:t>
      </w:r>
      <w:r>
        <w:rPr>
          <w:rFonts w:hint="eastAsia" w:ascii="宋体" w:hAnsi="宋体" w:cs="Tahoma"/>
          <w:sz w:val="24"/>
          <w:szCs w:val="24"/>
        </w:rPr>
        <w:t>（6）（7）（8）（9）</w:t>
      </w:r>
      <w:r>
        <w:rPr>
          <w:rFonts w:hint="eastAsia" w:ascii="Tahoma" w:hAnsi="Tahoma" w:cs="Tahoma"/>
          <w:sz w:val="24"/>
          <w:szCs w:val="24"/>
        </w:rPr>
        <w:t>四项遇有国家相关政策规定可不具备的，必须提供相关政策规定或相关单位出具的有效证明复印件。</w:t>
      </w:r>
      <w:r>
        <w:rPr>
          <w:rFonts w:hint="eastAsia" w:ascii="宋体" w:hAnsi="宋体"/>
          <w:bCs/>
          <w:sz w:val="24"/>
          <w:szCs w:val="24"/>
        </w:rPr>
        <w:t>供应商法定代表人或法定代表人授权代表为外籍、港、澳、台地区人士的，其身份证明须提供有效的护照或港澳同胞来往内地通行证、台湾同胞来往大陆通行证，或其它可在中国大陆有效居留的许可证明。</w:t>
      </w:r>
    </w:p>
    <w:p>
      <w:pPr>
        <w:spacing w:line="360" w:lineRule="auto"/>
        <w:ind w:firstLine="480" w:firstLineChars="200"/>
        <w:rPr>
          <w:rFonts w:ascii="黑体" w:hAnsi="宋体" w:eastAsia="黑体"/>
          <w:bCs/>
          <w:sz w:val="24"/>
          <w:szCs w:val="24"/>
        </w:rPr>
      </w:pPr>
      <w:r>
        <w:rPr>
          <w:rFonts w:hint="eastAsia" w:ascii="黑体" w:hAnsi="宋体" w:eastAsia="黑体"/>
          <w:bCs/>
          <w:sz w:val="24"/>
          <w:szCs w:val="24"/>
        </w:rPr>
        <w:t>（六）响应文件的制作：</w:t>
      </w:r>
    </w:p>
    <w:p>
      <w:pPr>
        <w:numPr>
          <w:ilvl w:val="0"/>
          <w:numId w:val="6"/>
        </w:numPr>
        <w:tabs>
          <w:tab w:val="left" w:pos="525"/>
          <w:tab w:val="left" w:pos="945"/>
          <w:tab w:val="clear" w:pos="898"/>
        </w:tabs>
        <w:spacing w:line="360" w:lineRule="auto"/>
        <w:ind w:left="0" w:firstLine="523" w:firstLineChars="218"/>
        <w:rPr>
          <w:rFonts w:ascii="宋体"/>
          <w:bCs/>
          <w:sz w:val="24"/>
          <w:szCs w:val="24"/>
        </w:rPr>
      </w:pPr>
      <w:r>
        <w:rPr>
          <w:rFonts w:hint="eastAsia" w:ascii="宋体" w:hAnsi="宋体"/>
          <w:bCs/>
          <w:sz w:val="24"/>
          <w:szCs w:val="24"/>
        </w:rPr>
        <w:t>所有文件、往来函件均应使用简体中文（规格、型号辅助符号例外）。</w:t>
      </w:r>
    </w:p>
    <w:p>
      <w:pPr>
        <w:numPr>
          <w:ilvl w:val="0"/>
          <w:numId w:val="6"/>
        </w:numPr>
        <w:tabs>
          <w:tab w:val="left" w:pos="525"/>
          <w:tab w:val="left" w:pos="945"/>
          <w:tab w:val="clear" w:pos="898"/>
        </w:tabs>
        <w:spacing w:line="360" w:lineRule="auto"/>
        <w:ind w:left="0" w:firstLine="523" w:firstLineChars="218"/>
        <w:rPr>
          <w:rFonts w:ascii="宋体"/>
          <w:bCs/>
          <w:sz w:val="24"/>
          <w:szCs w:val="24"/>
        </w:rPr>
      </w:pPr>
      <w:r>
        <w:rPr>
          <w:rFonts w:hint="eastAsia" w:ascii="宋体" w:hAnsi="宋体"/>
          <w:bCs/>
          <w:sz w:val="24"/>
          <w:szCs w:val="24"/>
        </w:rPr>
        <w:t>响应文件由供应商按要求如实填写，须有供应商（签章）、法定代表人或法定代表人授权代表签章，方为有效，未尽事宜可自行补充。</w:t>
      </w:r>
    </w:p>
    <w:p>
      <w:pPr>
        <w:numPr>
          <w:ilvl w:val="0"/>
          <w:numId w:val="6"/>
        </w:numPr>
        <w:tabs>
          <w:tab w:val="left" w:pos="525"/>
          <w:tab w:val="left" w:pos="945"/>
          <w:tab w:val="clear" w:pos="898"/>
        </w:tabs>
        <w:spacing w:line="360" w:lineRule="auto"/>
        <w:ind w:left="0" w:firstLine="523" w:firstLineChars="218"/>
        <w:rPr>
          <w:rFonts w:ascii="宋体"/>
          <w:sz w:val="24"/>
          <w:szCs w:val="24"/>
          <w:lang w:val="zh-CN"/>
        </w:rPr>
      </w:pPr>
      <w:r>
        <w:rPr>
          <w:rFonts w:hint="eastAsia" w:ascii="宋体"/>
          <w:sz w:val="24"/>
          <w:szCs w:val="24"/>
          <w:lang w:val="zh-CN"/>
        </w:rPr>
        <w:t>如无特别说明，供应商报价一律以人民币为结算货币</w:t>
      </w:r>
      <w:r>
        <w:rPr>
          <w:rFonts w:ascii="宋体"/>
          <w:sz w:val="24"/>
          <w:szCs w:val="24"/>
          <w:lang w:val="zh-CN"/>
        </w:rPr>
        <w:t>,</w:t>
      </w:r>
      <w:r>
        <w:rPr>
          <w:rFonts w:hint="eastAsia" w:ascii="宋体"/>
          <w:sz w:val="24"/>
          <w:szCs w:val="24"/>
          <w:lang w:val="zh-CN"/>
        </w:rPr>
        <w:t>结算单位为“元”。</w:t>
      </w:r>
    </w:p>
    <w:p>
      <w:pPr>
        <w:numPr>
          <w:ilvl w:val="0"/>
          <w:numId w:val="6"/>
        </w:numPr>
        <w:tabs>
          <w:tab w:val="left" w:pos="525"/>
          <w:tab w:val="left" w:pos="945"/>
          <w:tab w:val="clear" w:pos="898"/>
        </w:tabs>
        <w:spacing w:line="360" w:lineRule="auto"/>
        <w:ind w:left="0" w:firstLine="523" w:firstLineChars="218"/>
        <w:rPr>
          <w:rFonts w:ascii="宋体"/>
          <w:sz w:val="24"/>
          <w:szCs w:val="24"/>
          <w:lang w:val="zh-CN"/>
        </w:rPr>
      </w:pPr>
      <w:r>
        <w:rPr>
          <w:rFonts w:hint="eastAsia" w:ascii="宋体"/>
          <w:sz w:val="24"/>
          <w:szCs w:val="24"/>
          <w:lang w:val="zh-CN"/>
        </w:rPr>
        <w:t>响应文件应按照“响应文件的组成”的顺序和附件中规定的格式规范进行编制。</w:t>
      </w:r>
    </w:p>
    <w:p>
      <w:pPr>
        <w:numPr>
          <w:ilvl w:val="0"/>
          <w:numId w:val="6"/>
        </w:numPr>
        <w:tabs>
          <w:tab w:val="left" w:pos="525"/>
          <w:tab w:val="left" w:pos="945"/>
          <w:tab w:val="clear" w:pos="898"/>
        </w:tabs>
        <w:spacing w:line="360" w:lineRule="auto"/>
        <w:ind w:left="0" w:firstLine="523" w:firstLineChars="218"/>
        <w:rPr>
          <w:rFonts w:ascii="宋体"/>
          <w:bCs/>
          <w:sz w:val="24"/>
          <w:szCs w:val="24"/>
        </w:rPr>
      </w:pPr>
      <w:r>
        <w:rPr>
          <w:rFonts w:hint="eastAsia" w:ascii="宋体" w:hAnsi="宋体"/>
          <w:bCs/>
          <w:sz w:val="24"/>
          <w:szCs w:val="24"/>
        </w:rPr>
        <w:t>供应商</w:t>
      </w:r>
      <w:r>
        <w:rPr>
          <w:rFonts w:ascii="宋体" w:hAnsi="宋体"/>
          <w:bCs/>
          <w:sz w:val="24"/>
          <w:szCs w:val="24"/>
        </w:rPr>
        <w:t>自行承担所有参与征集采购活动的有关费用</w:t>
      </w:r>
      <w:r>
        <w:rPr>
          <w:rFonts w:hint="eastAsia" w:ascii="宋体" w:hAnsi="宋体"/>
          <w:bCs/>
          <w:sz w:val="24"/>
          <w:szCs w:val="24"/>
        </w:rPr>
        <w:t>，</w:t>
      </w:r>
      <w:r>
        <w:rPr>
          <w:rFonts w:hint="eastAsia" w:ascii="宋体" w:hAnsi="宋体"/>
          <w:sz w:val="24"/>
        </w:rPr>
        <w:t>无论征集采购活动过程中的做法和结果如何，无锡市滨湖区公共资源交易中心在任何情况下均无义务和责任承担这些费用</w:t>
      </w:r>
      <w:r>
        <w:rPr>
          <w:rFonts w:hint="eastAsia" w:ascii="宋体" w:hAnsi="宋体"/>
          <w:bCs/>
          <w:sz w:val="24"/>
          <w:szCs w:val="24"/>
        </w:rPr>
        <w:t>。</w:t>
      </w:r>
    </w:p>
    <w:p>
      <w:pPr>
        <w:tabs>
          <w:tab w:val="left" w:pos="945"/>
        </w:tabs>
        <w:spacing w:line="360" w:lineRule="auto"/>
        <w:ind w:firstLine="480" w:firstLineChars="200"/>
        <w:rPr>
          <w:rFonts w:ascii="黑体" w:hAnsi="宋体" w:eastAsia="黑体"/>
          <w:bCs/>
          <w:sz w:val="24"/>
          <w:szCs w:val="24"/>
        </w:rPr>
      </w:pPr>
      <w:r>
        <w:rPr>
          <w:rFonts w:hint="eastAsia" w:ascii="黑体" w:hAnsi="宋体" w:eastAsia="黑体"/>
          <w:bCs/>
          <w:sz w:val="24"/>
          <w:szCs w:val="24"/>
        </w:rPr>
        <w:t>（七）网上响应</w:t>
      </w:r>
    </w:p>
    <w:p>
      <w:pPr>
        <w:numPr>
          <w:ilvl w:val="0"/>
          <w:numId w:val="7"/>
        </w:numPr>
        <w:tabs>
          <w:tab w:val="left" w:pos="525"/>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供应商应由其法定代表人或法定代表人授权代表在征集文件规定的时间内，通过无锡市“政府采购交易管理一体化系统”，上传响应内容（电子数据），并在提交截止时间之前上传电子响应文件，如未按时上传后果自负。</w:t>
      </w:r>
    </w:p>
    <w:p>
      <w:pPr>
        <w:numPr>
          <w:ilvl w:val="0"/>
          <w:numId w:val="7"/>
        </w:numPr>
        <w:tabs>
          <w:tab w:val="left" w:pos="525"/>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供应商应对</w:t>
      </w:r>
      <w:r>
        <w:rPr>
          <w:rFonts w:ascii="宋体" w:hAnsi="宋体"/>
          <w:bCs/>
          <w:sz w:val="24"/>
          <w:szCs w:val="24"/>
        </w:rPr>
        <w:t>CA</w:t>
      </w:r>
      <w:r>
        <w:rPr>
          <w:rFonts w:hint="eastAsia" w:ascii="宋体" w:hAnsi="宋体"/>
          <w:bCs/>
          <w:sz w:val="24"/>
          <w:szCs w:val="24"/>
        </w:rPr>
        <w:t>数字证书妥善保管，如被他人盗用投标，后果自负。</w:t>
      </w:r>
    </w:p>
    <w:p>
      <w:pPr>
        <w:numPr>
          <w:ilvl w:val="0"/>
          <w:numId w:val="7"/>
        </w:numPr>
        <w:tabs>
          <w:tab w:val="left" w:pos="525"/>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供应商按征集文件规定的</w:t>
      </w:r>
      <w:r>
        <w:rPr>
          <w:rFonts w:hint="eastAsia" w:ascii="宋体" w:hAnsi="宋体"/>
          <w:sz w:val="24"/>
          <w:szCs w:val="24"/>
        </w:rPr>
        <w:t>网上解密时间</w:t>
      </w:r>
      <w:r>
        <w:rPr>
          <w:rFonts w:hint="eastAsia" w:ascii="宋体" w:hAnsi="宋体"/>
          <w:bCs/>
          <w:sz w:val="24"/>
          <w:szCs w:val="24"/>
        </w:rPr>
        <w:t>进行解密，如未按时解密后果自负。</w:t>
      </w:r>
    </w:p>
    <w:p>
      <w:pPr>
        <w:numPr>
          <w:ilvl w:val="0"/>
          <w:numId w:val="7"/>
        </w:numPr>
        <w:tabs>
          <w:tab w:val="left" w:pos="525"/>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供应商应当对征集文件提出的要求和条件，在响应文件中作出实质性响应。</w:t>
      </w:r>
    </w:p>
    <w:p>
      <w:pPr>
        <w:numPr>
          <w:ilvl w:val="0"/>
          <w:numId w:val="7"/>
        </w:numPr>
        <w:tabs>
          <w:tab w:val="left" w:pos="525"/>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供应商应对要求提供的资格证明文件（如资质证书、资格证书）、技术资料（如白皮书、彩页、手册、检测报告等）按规定上传至“政府采购交易管理一体化系统”。</w:t>
      </w:r>
    </w:p>
    <w:p>
      <w:pPr>
        <w:numPr>
          <w:ilvl w:val="0"/>
          <w:numId w:val="7"/>
        </w:numPr>
        <w:tabs>
          <w:tab w:val="left" w:pos="525"/>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供应商进行网上响应的具体操作步骤详见手册链接（网址：</w:t>
      </w:r>
      <w:r>
        <w:fldChar w:fldCharType="begin"/>
      </w:r>
      <w:r>
        <w:instrText xml:space="preserve"> HYPERLINK "https://helpcenter.zcygov.cn/document/" \l "/document/dashboard?siteCode=wuxi" </w:instrText>
      </w:r>
      <w:r>
        <w:fldChar w:fldCharType="separate"/>
      </w:r>
      <w:r>
        <w:rPr>
          <w:rStyle w:val="30"/>
          <w:rFonts w:ascii="宋体" w:hAnsi="宋体"/>
          <w:bCs/>
          <w:sz w:val="24"/>
          <w:szCs w:val="24"/>
        </w:rPr>
        <w:t>https://helpcenter.zcygov.cn/document/#/document/dashboard?siteCode=wuxi</w:t>
      </w:r>
      <w:r>
        <w:rPr>
          <w:rStyle w:val="30"/>
          <w:rFonts w:ascii="宋体" w:hAnsi="宋体"/>
          <w:bCs/>
          <w:sz w:val="24"/>
          <w:szCs w:val="24"/>
        </w:rPr>
        <w:fldChar w:fldCharType="end"/>
      </w:r>
      <w:r>
        <w:rPr>
          <w:rFonts w:ascii="宋体" w:hAnsi="宋体"/>
          <w:bCs/>
          <w:sz w:val="24"/>
          <w:szCs w:val="24"/>
        </w:rPr>
        <w:t>）。</w:t>
      </w:r>
    </w:p>
    <w:p>
      <w:pPr>
        <w:numPr>
          <w:ilvl w:val="0"/>
          <w:numId w:val="7"/>
        </w:numPr>
        <w:tabs>
          <w:tab w:val="left" w:pos="525"/>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政采云客服电话：95763。</w:t>
      </w:r>
    </w:p>
    <w:p>
      <w:pPr>
        <w:tabs>
          <w:tab w:val="left" w:pos="945"/>
        </w:tabs>
        <w:spacing w:line="360" w:lineRule="auto"/>
        <w:ind w:firstLine="480" w:firstLineChars="200"/>
        <w:rPr>
          <w:rFonts w:ascii="黑体" w:hAnsi="宋体" w:eastAsia="黑体"/>
          <w:bCs/>
          <w:sz w:val="24"/>
          <w:szCs w:val="24"/>
        </w:rPr>
      </w:pPr>
      <w:r>
        <w:rPr>
          <w:rFonts w:hint="eastAsia" w:ascii="黑体" w:hAnsi="宋体" w:eastAsia="黑体"/>
          <w:bCs/>
          <w:sz w:val="24"/>
          <w:szCs w:val="24"/>
        </w:rPr>
        <w:t>（八）无效响应文件的确认：</w:t>
      </w:r>
    </w:p>
    <w:p>
      <w:pPr>
        <w:tabs>
          <w:tab w:val="left" w:pos="945"/>
        </w:tabs>
        <w:spacing w:line="360" w:lineRule="auto"/>
        <w:ind w:firstLine="480" w:firstLineChars="200"/>
        <w:rPr>
          <w:rFonts w:ascii="黑体" w:hAnsi="宋体" w:eastAsia="黑体"/>
          <w:bCs/>
          <w:sz w:val="24"/>
          <w:szCs w:val="24"/>
        </w:rPr>
      </w:pPr>
      <w:r>
        <w:rPr>
          <w:rFonts w:hint="eastAsia" w:ascii="宋体" w:hAnsi="宋体"/>
          <w:bCs/>
          <w:sz w:val="24"/>
          <w:szCs w:val="24"/>
        </w:rPr>
        <w:t>供应商有下列情况之一者，响应文件无效：</w:t>
      </w:r>
    </w:p>
    <w:p>
      <w:pPr>
        <w:numPr>
          <w:ilvl w:val="0"/>
          <w:numId w:val="8"/>
        </w:numPr>
        <w:tabs>
          <w:tab w:val="left" w:pos="945"/>
        </w:tabs>
        <w:spacing w:line="360" w:lineRule="auto"/>
        <w:ind w:left="1" w:firstLine="523" w:firstLineChars="218"/>
        <w:rPr>
          <w:rFonts w:ascii="宋体" w:hAnsi="宋体"/>
          <w:bCs/>
          <w:sz w:val="24"/>
          <w:szCs w:val="24"/>
        </w:rPr>
      </w:pPr>
      <w:r>
        <w:rPr>
          <w:rFonts w:hint="eastAsia" w:ascii="宋体" w:hAnsi="宋体"/>
          <w:sz w:val="24"/>
          <w:szCs w:val="24"/>
        </w:rPr>
        <w:t>未按规定在</w:t>
      </w:r>
      <w:r>
        <w:rPr>
          <w:rFonts w:hint="eastAsia" w:ascii="宋体" w:hAnsi="宋体"/>
          <w:bCs/>
          <w:sz w:val="24"/>
          <w:szCs w:val="24"/>
        </w:rPr>
        <w:t>无锡市政府采购供应商信息库</w:t>
      </w:r>
      <w:r>
        <w:rPr>
          <w:rFonts w:hint="eastAsia" w:ascii="宋体" w:hAnsi="宋体"/>
          <w:sz w:val="24"/>
          <w:szCs w:val="24"/>
        </w:rPr>
        <w:t>注册的；</w:t>
      </w:r>
    </w:p>
    <w:p>
      <w:pPr>
        <w:numPr>
          <w:ilvl w:val="0"/>
          <w:numId w:val="8"/>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响应文件未按征集文件规定期限上传的；</w:t>
      </w:r>
    </w:p>
    <w:p>
      <w:pPr>
        <w:numPr>
          <w:ilvl w:val="0"/>
          <w:numId w:val="8"/>
        </w:numPr>
        <w:tabs>
          <w:tab w:val="left" w:pos="945"/>
        </w:tabs>
        <w:spacing w:line="360" w:lineRule="auto"/>
        <w:ind w:left="1" w:firstLine="523" w:firstLineChars="218"/>
        <w:rPr>
          <w:rFonts w:ascii="宋体"/>
          <w:bCs/>
          <w:sz w:val="24"/>
          <w:szCs w:val="24"/>
        </w:rPr>
      </w:pPr>
      <w:r>
        <w:rPr>
          <w:rFonts w:hint="eastAsia" w:ascii="宋体" w:hAnsi="宋体"/>
          <w:bCs/>
          <w:sz w:val="24"/>
          <w:szCs w:val="24"/>
        </w:rPr>
        <w:t>响应文件未按征集文件要求签章的；</w:t>
      </w:r>
    </w:p>
    <w:p>
      <w:pPr>
        <w:numPr>
          <w:ilvl w:val="0"/>
          <w:numId w:val="8"/>
        </w:numPr>
        <w:tabs>
          <w:tab w:val="left" w:pos="945"/>
        </w:tabs>
        <w:spacing w:line="360" w:lineRule="auto"/>
        <w:ind w:left="1" w:firstLine="523" w:firstLineChars="218"/>
        <w:rPr>
          <w:rFonts w:ascii="宋体"/>
          <w:bCs/>
          <w:sz w:val="24"/>
          <w:szCs w:val="24"/>
        </w:rPr>
      </w:pPr>
      <w:r>
        <w:rPr>
          <w:rFonts w:hint="eastAsia" w:ascii="宋体" w:hAnsi="宋体"/>
          <w:bCs/>
          <w:sz w:val="24"/>
          <w:szCs w:val="24"/>
        </w:rPr>
        <w:t>供应商未按征集文件要求解密响应文件的；</w:t>
      </w:r>
    </w:p>
    <w:p>
      <w:pPr>
        <w:numPr>
          <w:ilvl w:val="0"/>
          <w:numId w:val="8"/>
        </w:numPr>
        <w:tabs>
          <w:tab w:val="left" w:pos="945"/>
        </w:tabs>
        <w:spacing w:line="360" w:lineRule="auto"/>
        <w:ind w:left="1" w:firstLine="523" w:firstLineChars="218"/>
        <w:rPr>
          <w:rFonts w:ascii="宋体"/>
          <w:bCs/>
          <w:sz w:val="24"/>
          <w:szCs w:val="24"/>
        </w:rPr>
      </w:pPr>
      <w:r>
        <w:rPr>
          <w:rFonts w:hint="eastAsia" w:ascii="宋体" w:hAnsi="宋体"/>
          <w:bCs/>
          <w:sz w:val="24"/>
          <w:szCs w:val="24"/>
        </w:rPr>
        <w:t>供应商的法定代表人授权代表，无法定代表人授权委托书的；</w:t>
      </w:r>
    </w:p>
    <w:p>
      <w:pPr>
        <w:numPr>
          <w:ilvl w:val="0"/>
          <w:numId w:val="8"/>
        </w:numPr>
        <w:tabs>
          <w:tab w:val="left" w:pos="945"/>
        </w:tabs>
        <w:spacing w:line="360" w:lineRule="auto"/>
        <w:ind w:left="1" w:firstLine="523" w:firstLineChars="218"/>
        <w:rPr>
          <w:rFonts w:ascii="宋体"/>
          <w:bCs/>
          <w:sz w:val="24"/>
          <w:szCs w:val="24"/>
        </w:rPr>
      </w:pPr>
      <w:r>
        <w:rPr>
          <w:rFonts w:hint="eastAsia" w:ascii="宋体" w:hAnsi="宋体"/>
          <w:bCs/>
          <w:sz w:val="24"/>
          <w:szCs w:val="24"/>
        </w:rPr>
        <w:t>不具备征集文件中规定的资格要求或未按征集文件规定的要求提供资格、资信证明文件的；</w:t>
      </w:r>
    </w:p>
    <w:p>
      <w:pPr>
        <w:numPr>
          <w:ilvl w:val="0"/>
          <w:numId w:val="8"/>
        </w:numPr>
        <w:tabs>
          <w:tab w:val="left" w:pos="945"/>
        </w:tabs>
        <w:spacing w:line="360" w:lineRule="auto"/>
        <w:ind w:left="1" w:firstLine="523" w:firstLineChars="218"/>
        <w:rPr>
          <w:rFonts w:ascii="宋体"/>
          <w:bCs/>
          <w:sz w:val="24"/>
          <w:szCs w:val="24"/>
        </w:rPr>
      </w:pPr>
      <w:r>
        <w:rPr>
          <w:rFonts w:hint="eastAsia" w:ascii="宋体" w:hAnsi="宋体"/>
          <w:sz w:val="24"/>
          <w:szCs w:val="24"/>
        </w:rPr>
        <w:t>被“信用中国”网站（</w:t>
      </w:r>
      <w:r>
        <w:fldChar w:fldCharType="begin"/>
      </w:r>
      <w:r>
        <w:instrText xml:space="preserve"> HYPERLINK "http://www.creditchina.gov.cn" </w:instrText>
      </w:r>
      <w:r>
        <w:fldChar w:fldCharType="separate"/>
      </w:r>
      <w:r>
        <w:rPr>
          <w:rFonts w:hint="eastAsia" w:ascii="宋体" w:hAnsi="宋体"/>
          <w:sz w:val="24"/>
          <w:szCs w:val="24"/>
        </w:rPr>
        <w:t>www.creditchina.gov.cn</w:t>
      </w:r>
      <w:r>
        <w:rPr>
          <w:rFonts w:hint="eastAsia" w:ascii="宋体" w:hAnsi="宋体"/>
          <w:sz w:val="24"/>
          <w:szCs w:val="24"/>
        </w:rPr>
        <w:fldChar w:fldCharType="end"/>
      </w:r>
      <w:r>
        <w:rPr>
          <w:rFonts w:hint="eastAsia" w:ascii="宋体" w:hAnsi="宋体"/>
          <w:sz w:val="24"/>
          <w:szCs w:val="24"/>
        </w:rPr>
        <w:t>）、中国政府采购网(www.ccgp.gov.cn)列入失信被执行人、重大税收违法案件当事人名单、政府采购严重违法失信行为记录名单的；</w:t>
      </w:r>
    </w:p>
    <w:p>
      <w:pPr>
        <w:numPr>
          <w:ilvl w:val="0"/>
          <w:numId w:val="8"/>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响应文件未按征集文件规定的内容和要求填写的；</w:t>
      </w:r>
    </w:p>
    <w:p>
      <w:pPr>
        <w:numPr>
          <w:ilvl w:val="0"/>
          <w:numId w:val="8"/>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响应文件图片、字迹模糊不清、无法辨认的；</w:t>
      </w:r>
    </w:p>
    <w:p>
      <w:pPr>
        <w:numPr>
          <w:ilvl w:val="0"/>
          <w:numId w:val="8"/>
        </w:numPr>
        <w:tabs>
          <w:tab w:val="left" w:pos="945"/>
        </w:tabs>
        <w:spacing w:line="360" w:lineRule="auto"/>
        <w:ind w:left="1" w:firstLine="523" w:firstLineChars="218"/>
        <w:rPr>
          <w:rFonts w:ascii="宋体"/>
          <w:bCs/>
          <w:sz w:val="24"/>
          <w:szCs w:val="24"/>
        </w:rPr>
      </w:pPr>
      <w:r>
        <w:rPr>
          <w:rFonts w:hint="eastAsia" w:ascii="宋体" w:hAnsi="宋体"/>
          <w:bCs/>
          <w:sz w:val="24"/>
          <w:szCs w:val="24"/>
        </w:rPr>
        <w:t>响应文件中有征集文件未允许提供的选择性内容；</w:t>
      </w:r>
    </w:p>
    <w:p>
      <w:pPr>
        <w:numPr>
          <w:ilvl w:val="0"/>
          <w:numId w:val="8"/>
        </w:numPr>
        <w:tabs>
          <w:tab w:val="left" w:pos="945"/>
        </w:tabs>
        <w:spacing w:line="360" w:lineRule="auto"/>
        <w:ind w:left="1" w:firstLine="523" w:firstLineChars="218"/>
        <w:rPr>
          <w:rFonts w:ascii="宋体"/>
          <w:bCs/>
          <w:sz w:val="24"/>
          <w:szCs w:val="24"/>
        </w:rPr>
      </w:pPr>
      <w:r>
        <w:rPr>
          <w:rFonts w:hint="eastAsia" w:ascii="宋体" w:hAnsi="宋体"/>
          <w:bCs/>
          <w:sz w:val="24"/>
          <w:szCs w:val="24"/>
        </w:rPr>
        <w:t>不同供应商委托同一单位或者个人办理响应文件事宜的；</w:t>
      </w:r>
    </w:p>
    <w:p>
      <w:pPr>
        <w:numPr>
          <w:ilvl w:val="0"/>
          <w:numId w:val="8"/>
        </w:numPr>
        <w:tabs>
          <w:tab w:val="left" w:pos="945"/>
        </w:tabs>
        <w:spacing w:line="360" w:lineRule="auto"/>
        <w:ind w:left="1" w:firstLine="523" w:firstLineChars="218"/>
        <w:rPr>
          <w:rFonts w:ascii="宋体"/>
          <w:bCs/>
          <w:sz w:val="24"/>
          <w:szCs w:val="24"/>
        </w:rPr>
      </w:pPr>
      <w:r>
        <w:rPr>
          <w:rFonts w:hint="eastAsia" w:ascii="宋体" w:hAnsi="宋体"/>
          <w:bCs/>
          <w:sz w:val="24"/>
          <w:szCs w:val="24"/>
        </w:rPr>
        <w:t>不同供应商的单位负责人为同一人或者存在直接控股、管理关系的；</w:t>
      </w:r>
    </w:p>
    <w:p>
      <w:pPr>
        <w:numPr>
          <w:ilvl w:val="0"/>
          <w:numId w:val="8"/>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不同供应商响应文件内容存在非正常一致、项目组成员出现同一人、响应文件中错误（或异常）一致或雷同、电子文档信息一致或雷同的、响应报价呈规律性差异的；</w:t>
      </w:r>
    </w:p>
    <w:p>
      <w:pPr>
        <w:numPr>
          <w:ilvl w:val="0"/>
          <w:numId w:val="8"/>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不同供应商的响应文件资料相互混装、不同供应商的委托代理人、项目负责人以及其他相关人员有在同一个单位缴纳社会保险、同一响应文件中单位名称落款与公章不是同一单位的；</w:t>
      </w:r>
    </w:p>
    <w:p>
      <w:pPr>
        <w:numPr>
          <w:ilvl w:val="0"/>
          <w:numId w:val="8"/>
        </w:numPr>
        <w:tabs>
          <w:tab w:val="left" w:pos="945"/>
        </w:tabs>
        <w:spacing w:line="360" w:lineRule="auto"/>
        <w:ind w:left="1" w:firstLine="523" w:firstLineChars="218"/>
        <w:rPr>
          <w:rFonts w:ascii="宋体"/>
          <w:bCs/>
          <w:sz w:val="24"/>
          <w:szCs w:val="24"/>
        </w:rPr>
      </w:pPr>
      <w:r>
        <w:rPr>
          <w:rFonts w:hint="eastAsia" w:ascii="宋体" w:hAnsi="宋体"/>
          <w:bCs/>
          <w:sz w:val="24"/>
          <w:szCs w:val="24"/>
        </w:rPr>
        <w:t>供应商报价超过本征集文件规定的最高限制单价的；</w:t>
      </w:r>
    </w:p>
    <w:p>
      <w:pPr>
        <w:numPr>
          <w:ilvl w:val="0"/>
          <w:numId w:val="8"/>
        </w:numPr>
        <w:tabs>
          <w:tab w:val="left" w:pos="945"/>
        </w:tabs>
        <w:spacing w:line="360" w:lineRule="auto"/>
        <w:ind w:left="1" w:firstLine="523" w:firstLineChars="218"/>
        <w:rPr>
          <w:rFonts w:ascii="宋体"/>
          <w:bCs/>
          <w:sz w:val="24"/>
          <w:szCs w:val="24"/>
        </w:rPr>
      </w:pPr>
      <w:r>
        <w:rPr>
          <w:rFonts w:hint="eastAsia" w:ascii="宋体" w:hAnsi="宋体"/>
          <w:bCs/>
          <w:sz w:val="24"/>
          <w:szCs w:val="24"/>
        </w:rPr>
        <w:t>提供虚假材料的（包括但不限于工商营业执照、财务报表、资格证明文件等）；</w:t>
      </w:r>
    </w:p>
    <w:p>
      <w:pPr>
        <w:numPr>
          <w:ilvl w:val="0"/>
          <w:numId w:val="8"/>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响应文件含有征集人不能接受的附加条件的；</w:t>
      </w:r>
    </w:p>
    <w:p>
      <w:pPr>
        <w:numPr>
          <w:ilvl w:val="0"/>
          <w:numId w:val="8"/>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评审小组</w:t>
      </w:r>
      <w:r>
        <w:rPr>
          <w:rFonts w:ascii="宋体" w:hAnsi="宋体"/>
          <w:bCs/>
          <w:sz w:val="24"/>
          <w:szCs w:val="24"/>
        </w:rPr>
        <w:t>认定</w:t>
      </w:r>
      <w:r>
        <w:rPr>
          <w:rFonts w:hint="eastAsia" w:ascii="宋体" w:hAnsi="宋体"/>
          <w:bCs/>
          <w:sz w:val="24"/>
          <w:szCs w:val="24"/>
        </w:rPr>
        <w:t>供应商</w:t>
      </w:r>
      <w:r>
        <w:rPr>
          <w:rFonts w:ascii="宋体" w:hAnsi="宋体"/>
          <w:bCs/>
          <w:sz w:val="24"/>
          <w:szCs w:val="24"/>
        </w:rPr>
        <w:t>报价明显不合理，有可能影响商品质量和不能诚信履约的</w:t>
      </w:r>
      <w:r>
        <w:rPr>
          <w:rFonts w:hint="eastAsia" w:ascii="宋体" w:hAnsi="宋体"/>
          <w:bCs/>
          <w:sz w:val="24"/>
          <w:szCs w:val="24"/>
        </w:rPr>
        <w:t>；</w:t>
      </w:r>
    </w:p>
    <w:p>
      <w:pPr>
        <w:numPr>
          <w:ilvl w:val="0"/>
          <w:numId w:val="8"/>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除单一来源采购项目外，为采购项目提供整体设计、规范编制或者项目管理、监理、检测等服务的；</w:t>
      </w:r>
    </w:p>
    <w:p>
      <w:pPr>
        <w:numPr>
          <w:ilvl w:val="0"/>
          <w:numId w:val="8"/>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响应文件内容不全或不符合征集文件中规定的其它实质性要求的；</w:t>
      </w:r>
    </w:p>
    <w:p>
      <w:pPr>
        <w:numPr>
          <w:ilvl w:val="0"/>
          <w:numId w:val="8"/>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法律法规和征集文件规定的其它无效情形。</w:t>
      </w:r>
    </w:p>
    <w:p>
      <w:pPr>
        <w:tabs>
          <w:tab w:val="left" w:pos="945"/>
        </w:tabs>
        <w:spacing w:line="360" w:lineRule="auto"/>
        <w:ind w:firstLine="480" w:firstLineChars="200"/>
        <w:outlineLvl w:val="0"/>
        <w:rPr>
          <w:rFonts w:ascii="黑体" w:hAnsi="宋体" w:eastAsia="黑体"/>
          <w:bCs/>
          <w:sz w:val="24"/>
          <w:szCs w:val="24"/>
        </w:rPr>
      </w:pPr>
      <w:r>
        <w:rPr>
          <w:rFonts w:hint="eastAsia" w:ascii="黑体" w:hAnsi="宋体" w:eastAsia="黑体"/>
          <w:bCs/>
          <w:sz w:val="24"/>
          <w:szCs w:val="24"/>
        </w:rPr>
        <w:t>（九）评审：</w:t>
      </w:r>
    </w:p>
    <w:p>
      <w:pPr>
        <w:numPr>
          <w:ilvl w:val="1"/>
          <w:numId w:val="9"/>
        </w:numPr>
        <w:tabs>
          <w:tab w:val="left" w:pos="525"/>
          <w:tab w:val="left" w:pos="945"/>
          <w:tab w:val="clear" w:pos="1290"/>
        </w:tabs>
        <w:spacing w:line="360" w:lineRule="auto"/>
        <w:ind w:left="1" w:firstLine="523" w:firstLineChars="218"/>
        <w:rPr>
          <w:rFonts w:ascii="宋体" w:hAnsi="宋体"/>
          <w:bCs/>
          <w:sz w:val="24"/>
          <w:szCs w:val="24"/>
        </w:rPr>
      </w:pPr>
      <w:r>
        <w:rPr>
          <w:rFonts w:hint="eastAsia" w:ascii="宋体" w:hAnsi="宋体"/>
          <w:bCs/>
          <w:sz w:val="24"/>
          <w:szCs w:val="24"/>
        </w:rPr>
        <w:t>所有参加征集活动的潜在供应商须在征集文件规定的截止时间前，通过无锡市“政府采购交易管理一体化系统”上传各自的响应文件；</w:t>
      </w:r>
    </w:p>
    <w:p>
      <w:pPr>
        <w:numPr>
          <w:ilvl w:val="1"/>
          <w:numId w:val="9"/>
        </w:numPr>
        <w:tabs>
          <w:tab w:val="left" w:pos="525"/>
          <w:tab w:val="left" w:pos="945"/>
          <w:tab w:val="clear" w:pos="1290"/>
        </w:tabs>
        <w:spacing w:line="360" w:lineRule="auto"/>
        <w:ind w:left="1" w:firstLine="523" w:firstLineChars="218"/>
        <w:rPr>
          <w:rFonts w:ascii="宋体" w:hAnsi="宋体"/>
          <w:bCs/>
          <w:sz w:val="24"/>
          <w:szCs w:val="24"/>
        </w:rPr>
      </w:pPr>
      <w:r>
        <w:rPr>
          <w:rFonts w:hint="eastAsia" w:ascii="宋体" w:hAnsi="宋体"/>
          <w:bCs/>
          <w:sz w:val="24"/>
          <w:szCs w:val="24"/>
        </w:rPr>
        <w:t>所有响应供应商在征集文件规定的时间内解密各自响应文件；</w:t>
      </w:r>
    </w:p>
    <w:p>
      <w:pPr>
        <w:numPr>
          <w:ilvl w:val="1"/>
          <w:numId w:val="9"/>
        </w:numPr>
        <w:tabs>
          <w:tab w:val="left" w:pos="525"/>
          <w:tab w:val="left" w:pos="945"/>
          <w:tab w:val="clear" w:pos="1290"/>
        </w:tabs>
        <w:spacing w:line="360" w:lineRule="auto"/>
        <w:ind w:left="1" w:firstLine="523" w:firstLineChars="218"/>
        <w:rPr>
          <w:rFonts w:ascii="宋体" w:hAnsi="宋体"/>
          <w:bCs/>
          <w:sz w:val="24"/>
          <w:szCs w:val="24"/>
        </w:rPr>
      </w:pPr>
      <w:r>
        <w:rPr>
          <w:rFonts w:hint="eastAsia" w:ascii="宋体" w:hAnsi="宋体"/>
          <w:bCs/>
          <w:sz w:val="24"/>
          <w:szCs w:val="24"/>
        </w:rPr>
        <w:t>报价截止时间后响应的供应商或解密响应文件的供应商少于2家的，不进行评审；</w:t>
      </w:r>
    </w:p>
    <w:p>
      <w:pPr>
        <w:numPr>
          <w:ilvl w:val="1"/>
          <w:numId w:val="9"/>
        </w:numPr>
        <w:tabs>
          <w:tab w:val="left" w:pos="525"/>
          <w:tab w:val="left" w:pos="945"/>
          <w:tab w:val="clear" w:pos="1290"/>
        </w:tabs>
        <w:spacing w:line="360" w:lineRule="auto"/>
        <w:ind w:left="1" w:firstLine="523" w:firstLineChars="218"/>
        <w:rPr>
          <w:rFonts w:ascii="宋体"/>
          <w:bCs/>
          <w:sz w:val="24"/>
          <w:szCs w:val="24"/>
        </w:rPr>
      </w:pPr>
      <w:r>
        <w:rPr>
          <w:rFonts w:hint="eastAsia" w:ascii="宋体" w:hAnsi="宋体"/>
          <w:bCs/>
          <w:sz w:val="24"/>
          <w:szCs w:val="24"/>
        </w:rPr>
        <w:t>报价时，响应文件</w:t>
      </w:r>
      <w:r>
        <w:rPr>
          <w:rFonts w:ascii="宋体" w:hAnsi="宋体"/>
          <w:bCs/>
          <w:sz w:val="24"/>
          <w:szCs w:val="24"/>
        </w:rPr>
        <w:t>报价出现前后不一致的，按照下列规定修正：</w:t>
      </w:r>
    </w:p>
    <w:p>
      <w:pPr>
        <w:tabs>
          <w:tab w:val="left" w:pos="510"/>
          <w:tab w:val="left" w:pos="945"/>
        </w:tabs>
        <w:spacing w:line="360" w:lineRule="auto"/>
        <w:ind w:left="480"/>
        <w:rPr>
          <w:rFonts w:ascii="宋体"/>
          <w:bCs/>
          <w:sz w:val="24"/>
          <w:szCs w:val="24"/>
        </w:rPr>
      </w:pPr>
      <w:r>
        <w:rPr>
          <w:rFonts w:hint="eastAsia" w:ascii="宋体"/>
          <w:bCs/>
          <w:sz w:val="24"/>
          <w:szCs w:val="24"/>
        </w:rPr>
        <w:t>响应文件中报价一览表内容与响应文件中相应内容不一致的，以报价一览表为准。</w:t>
      </w:r>
    </w:p>
    <w:p>
      <w:pPr>
        <w:tabs>
          <w:tab w:val="left" w:pos="510"/>
          <w:tab w:val="left" w:pos="945"/>
        </w:tabs>
        <w:spacing w:line="360" w:lineRule="auto"/>
        <w:ind w:firstLine="480" w:firstLineChars="200"/>
        <w:rPr>
          <w:rFonts w:ascii="宋体"/>
          <w:bCs/>
          <w:sz w:val="24"/>
          <w:szCs w:val="24"/>
        </w:rPr>
      </w:pPr>
      <w:r>
        <w:rPr>
          <w:rFonts w:hint="eastAsia" w:ascii="宋体"/>
          <w:bCs/>
          <w:sz w:val="24"/>
          <w:szCs w:val="24"/>
        </w:rPr>
        <w:t>修正后的报价评审小组应当以书面形式要求供应商作出必要的澄清、说明或者补正，经供应商确认后产生约束力，供应商不确认的，其响应文件无效。</w:t>
      </w:r>
    </w:p>
    <w:p>
      <w:pPr>
        <w:numPr>
          <w:ilvl w:val="1"/>
          <w:numId w:val="9"/>
        </w:numPr>
        <w:tabs>
          <w:tab w:val="left" w:pos="525"/>
          <w:tab w:val="left" w:pos="945"/>
          <w:tab w:val="clear" w:pos="1290"/>
        </w:tabs>
        <w:spacing w:line="360" w:lineRule="auto"/>
        <w:ind w:left="1" w:firstLine="523" w:firstLineChars="218"/>
        <w:rPr>
          <w:rFonts w:ascii="宋体"/>
          <w:bCs/>
          <w:sz w:val="24"/>
          <w:szCs w:val="24"/>
        </w:rPr>
      </w:pPr>
      <w:r>
        <w:rPr>
          <w:rFonts w:hint="eastAsia" w:ascii="宋体" w:hAnsi="宋体"/>
          <w:bCs/>
          <w:sz w:val="24"/>
          <w:szCs w:val="24"/>
        </w:rPr>
        <w:t>评审程序</w:t>
      </w:r>
    </w:p>
    <w:p>
      <w:pPr>
        <w:tabs>
          <w:tab w:val="left" w:pos="945"/>
        </w:tabs>
        <w:spacing w:line="360" w:lineRule="auto"/>
        <w:ind w:firstLine="523" w:firstLineChars="218"/>
        <w:rPr>
          <w:rFonts w:ascii="宋体"/>
          <w:bCs/>
          <w:sz w:val="24"/>
          <w:szCs w:val="24"/>
        </w:rPr>
      </w:pPr>
      <w:r>
        <w:rPr>
          <w:rFonts w:hint="eastAsia" w:ascii="宋体" w:hAnsi="宋体"/>
          <w:bCs/>
          <w:sz w:val="24"/>
          <w:szCs w:val="24"/>
        </w:rPr>
        <w:t>审查工作由无锡市滨湖区公共资源交易中心负责组织，具体审查事务由依法组建的评审小组负责。如有争议最终由评审小组认定。</w:t>
      </w:r>
    </w:p>
    <w:p>
      <w:pPr>
        <w:numPr>
          <w:ilvl w:val="0"/>
          <w:numId w:val="10"/>
        </w:numPr>
        <w:tabs>
          <w:tab w:val="left" w:pos="630"/>
          <w:tab w:val="left" w:pos="945"/>
          <w:tab w:val="left" w:pos="1155"/>
          <w:tab w:val="clear" w:pos="1104"/>
        </w:tabs>
        <w:spacing w:line="360" w:lineRule="auto"/>
        <w:ind w:left="0" w:firstLine="523" w:firstLineChars="218"/>
        <w:rPr>
          <w:rFonts w:ascii="宋体"/>
          <w:bCs/>
          <w:sz w:val="24"/>
          <w:szCs w:val="24"/>
        </w:rPr>
      </w:pPr>
      <w:r>
        <w:rPr>
          <w:rFonts w:hint="eastAsia" w:ascii="宋体" w:hAnsi="宋体"/>
          <w:bCs/>
          <w:sz w:val="24"/>
        </w:rPr>
        <w:t>响应文件的审查。审查分为资格审查和符合性审查，具体审查的方法和标准如下：</w:t>
      </w:r>
    </w:p>
    <w:p>
      <w:pPr>
        <w:numPr>
          <w:ilvl w:val="0"/>
          <w:numId w:val="11"/>
        </w:numPr>
        <w:tabs>
          <w:tab w:val="left" w:pos="525"/>
          <w:tab w:val="left" w:pos="630"/>
          <w:tab w:val="left" w:pos="945"/>
          <w:tab w:val="left" w:pos="1365"/>
          <w:tab w:val="clear" w:pos="881"/>
        </w:tabs>
        <w:spacing w:line="360" w:lineRule="auto"/>
        <w:ind w:left="0" w:firstLine="523" w:firstLineChars="218"/>
        <w:rPr>
          <w:rFonts w:ascii="宋体"/>
          <w:bCs/>
          <w:sz w:val="24"/>
        </w:rPr>
      </w:pPr>
      <w:r>
        <w:rPr>
          <w:rFonts w:hint="eastAsia" w:ascii="宋体" w:hAnsi="宋体"/>
          <w:bCs/>
          <w:sz w:val="24"/>
        </w:rPr>
        <w:t>资格审查。依据法律法规和征集文件的规定，由评审小组对响应文件中的资格证明文件进行审查；通过“信用中国”网站（www.creditchina.gov.cn）、中国政府采购网(www.ccgp.gov.cn)查询供应商在响应文件提交截止时间之前，是否被列入失信被执行人、重大税收违法案件当事人名单、政府采购严重违法失信行为记录名单，以确定供应商是否具备参加本次采购活动的资格。</w:t>
      </w:r>
    </w:p>
    <w:p>
      <w:pPr>
        <w:numPr>
          <w:ilvl w:val="0"/>
          <w:numId w:val="11"/>
        </w:numPr>
        <w:tabs>
          <w:tab w:val="left" w:pos="525"/>
          <w:tab w:val="left" w:pos="630"/>
          <w:tab w:val="left" w:pos="945"/>
          <w:tab w:val="left" w:pos="1365"/>
          <w:tab w:val="clear" w:pos="881"/>
        </w:tabs>
        <w:spacing w:line="360" w:lineRule="auto"/>
        <w:ind w:left="0" w:firstLine="523" w:firstLineChars="218"/>
        <w:rPr>
          <w:rFonts w:ascii="宋体"/>
          <w:bCs/>
          <w:sz w:val="24"/>
        </w:rPr>
      </w:pPr>
      <w:r>
        <w:rPr>
          <w:rFonts w:hint="eastAsia" w:ascii="宋体" w:hAnsi="宋体"/>
          <w:bCs/>
          <w:sz w:val="24"/>
        </w:rPr>
        <w:t>符合性审查。依据征集活动的规定，由评审小组从响应文件的有效性、完整性和对征集文件的响应程度进行审查，以确定是否对征集文件的实质性要求作出响应。</w:t>
      </w:r>
    </w:p>
    <w:p>
      <w:pPr>
        <w:numPr>
          <w:ilvl w:val="0"/>
          <w:numId w:val="11"/>
        </w:numPr>
        <w:tabs>
          <w:tab w:val="left" w:pos="525"/>
          <w:tab w:val="left" w:pos="630"/>
          <w:tab w:val="left" w:pos="945"/>
          <w:tab w:val="left" w:pos="1365"/>
          <w:tab w:val="clear" w:pos="881"/>
        </w:tabs>
        <w:spacing w:line="360" w:lineRule="auto"/>
        <w:ind w:left="0" w:firstLine="523" w:firstLineChars="218"/>
        <w:rPr>
          <w:rFonts w:ascii="宋体" w:hAnsi="宋体"/>
          <w:bCs/>
          <w:sz w:val="24"/>
        </w:rPr>
      </w:pPr>
      <w:r>
        <w:rPr>
          <w:rFonts w:hint="eastAsia" w:ascii="宋体" w:hAnsi="宋体"/>
          <w:bCs/>
          <w:sz w:val="24"/>
        </w:rPr>
        <w:t>未通过资格审查或符合性审查的供应商，评审小组将在无锡市“政府采购交易管理一体化系统”中告知未通过资格审查或符合性审查的原因，评审结束后，无锡市滨湖区公共资源交易中心将不再告知未通过资格审查或符合性审查的原因。</w:t>
      </w:r>
    </w:p>
    <w:p>
      <w:pPr>
        <w:numPr>
          <w:ilvl w:val="0"/>
          <w:numId w:val="11"/>
        </w:numPr>
        <w:tabs>
          <w:tab w:val="left" w:pos="525"/>
          <w:tab w:val="left" w:pos="630"/>
          <w:tab w:val="left" w:pos="945"/>
          <w:tab w:val="left" w:pos="1365"/>
          <w:tab w:val="clear" w:pos="881"/>
        </w:tabs>
        <w:spacing w:line="360" w:lineRule="auto"/>
        <w:ind w:left="0" w:firstLine="523" w:firstLineChars="218"/>
        <w:rPr>
          <w:rFonts w:ascii="宋体" w:hAnsi="宋体"/>
          <w:bCs/>
          <w:sz w:val="24"/>
        </w:rPr>
      </w:pPr>
      <w:r>
        <w:rPr>
          <w:rFonts w:hint="eastAsia" w:ascii="宋体" w:hAnsi="宋体"/>
          <w:bCs/>
          <w:sz w:val="24"/>
        </w:rPr>
        <w:t>澄清有关问题。对响应文件中含义不明确、同类问题表述不一致或者有明显文字和计算错误的内容，评审小组可以发起询标，要求供应商作出必要的澄清、说明或者纠正。供应商的澄清、说明或者补正应当由其授权代表应答并签章，且不得超出响应文件的范围或者改变响应文件的实质性内容。供应商在项目评审全过程中应保持通讯畅通，及时接听电话，由法定代表人或其授权代表负责答复相关信息。如未按上述要求及时应答，由此所产生的损失及风险由供应商自行承担。</w:t>
      </w:r>
    </w:p>
    <w:p>
      <w:pPr>
        <w:numPr>
          <w:ilvl w:val="0"/>
          <w:numId w:val="11"/>
        </w:numPr>
        <w:tabs>
          <w:tab w:val="left" w:pos="525"/>
          <w:tab w:val="left" w:pos="630"/>
          <w:tab w:val="left" w:pos="945"/>
          <w:tab w:val="left" w:pos="1365"/>
          <w:tab w:val="clear" w:pos="881"/>
        </w:tabs>
        <w:spacing w:line="360" w:lineRule="auto"/>
        <w:ind w:left="0" w:firstLine="523" w:firstLineChars="218"/>
        <w:rPr>
          <w:rFonts w:ascii="宋体" w:hAnsi="宋体"/>
          <w:bCs/>
          <w:sz w:val="24"/>
        </w:rPr>
      </w:pPr>
      <w:r>
        <w:rPr>
          <w:rFonts w:hint="eastAsia" w:ascii="宋体" w:hAnsi="宋体"/>
          <w:bCs/>
          <w:sz w:val="24"/>
        </w:rPr>
        <w:t>评审小组有权依法向征集人或有关财政部门报告评审中发现的违法违规行为。</w:t>
      </w:r>
    </w:p>
    <w:p>
      <w:pPr>
        <w:numPr>
          <w:ilvl w:val="0"/>
          <w:numId w:val="10"/>
        </w:numPr>
        <w:tabs>
          <w:tab w:val="left" w:pos="945"/>
          <w:tab w:val="left" w:pos="1155"/>
          <w:tab w:val="left" w:pos="1365"/>
          <w:tab w:val="clear" w:pos="1104"/>
        </w:tabs>
        <w:spacing w:line="360" w:lineRule="auto"/>
        <w:ind w:left="0" w:firstLine="523" w:firstLineChars="218"/>
        <w:rPr>
          <w:rFonts w:ascii="宋体" w:hAnsi="宋体"/>
          <w:sz w:val="24"/>
          <w:szCs w:val="24"/>
        </w:rPr>
      </w:pPr>
      <w:r>
        <w:rPr>
          <w:rFonts w:hint="eastAsia" w:ascii="宋体" w:hAnsi="宋体"/>
          <w:bCs/>
          <w:sz w:val="24"/>
          <w:szCs w:val="24"/>
        </w:rPr>
        <w:t>政府采购政策落实：价格扣除</w:t>
      </w:r>
      <w:r>
        <w:rPr>
          <w:rFonts w:hint="eastAsia" w:ascii="宋体" w:hAnsi="宋体"/>
          <w:b/>
          <w:bCs/>
          <w:sz w:val="24"/>
          <w:szCs w:val="24"/>
        </w:rPr>
        <w:t>（专门面向中小/小微企业的项目不进行价格扣除）</w:t>
      </w:r>
      <w:r>
        <w:rPr>
          <w:rFonts w:hint="eastAsia" w:ascii="宋体" w:hAnsi="宋体"/>
          <w:bCs/>
          <w:sz w:val="24"/>
          <w:szCs w:val="24"/>
        </w:rPr>
        <w:t>。</w:t>
      </w:r>
    </w:p>
    <w:p>
      <w:pPr>
        <w:tabs>
          <w:tab w:val="left" w:pos="945"/>
          <w:tab w:val="left" w:pos="1104"/>
          <w:tab w:val="left" w:pos="1155"/>
          <w:tab w:val="left" w:pos="1365"/>
        </w:tabs>
        <w:spacing w:line="360" w:lineRule="auto"/>
        <w:ind w:firstLine="480" w:firstLineChars="200"/>
        <w:rPr>
          <w:rFonts w:ascii="宋体" w:hAnsi="宋体"/>
          <w:sz w:val="24"/>
          <w:szCs w:val="24"/>
        </w:rPr>
      </w:pPr>
      <w:r>
        <w:rPr>
          <w:rFonts w:hint="eastAsia" w:ascii="宋体" w:hAnsi="宋体"/>
          <w:bCs/>
          <w:sz w:val="24"/>
        </w:rPr>
        <w:t>在</w:t>
      </w:r>
      <w:r>
        <w:rPr>
          <w:rFonts w:hint="eastAsia" w:ascii="宋体" w:hAnsi="宋体"/>
          <w:bCs/>
          <w:sz w:val="24"/>
          <w:szCs w:val="24"/>
        </w:rPr>
        <w:t>符合采购需求、质量和服务相等的情况下，对于节能（政府强制采购节能产品除外）、环保产品分别给予当次一般产品最低报价5%、5%的扣除（以所报产品由国家确定的认证机构出具的、处于有效期之内的节能产品认证证书复印件、环境标志产品认证证书复印件为准）；</w:t>
      </w:r>
    </w:p>
    <w:p>
      <w:pPr>
        <w:pStyle w:val="104"/>
        <w:numPr>
          <w:ilvl w:val="0"/>
          <w:numId w:val="12"/>
        </w:numPr>
        <w:tabs>
          <w:tab w:val="left" w:pos="945"/>
          <w:tab w:val="left" w:pos="1104"/>
          <w:tab w:val="left" w:pos="1155"/>
          <w:tab w:val="left" w:pos="1365"/>
        </w:tabs>
        <w:spacing w:line="360" w:lineRule="auto"/>
        <w:ind w:left="0" w:firstLine="480"/>
        <w:rPr>
          <w:rFonts w:ascii="宋体" w:hAnsi="宋体"/>
          <w:sz w:val="24"/>
          <w:szCs w:val="24"/>
        </w:rPr>
      </w:pPr>
      <w:r>
        <w:rPr>
          <w:rFonts w:hint="eastAsia" w:ascii="宋体" w:hAnsi="宋体"/>
          <w:bCs/>
          <w:sz w:val="24"/>
          <w:szCs w:val="24"/>
        </w:rPr>
        <w:t>对小型和微型企业产品的价格给予10%的扣除。参加报价的中小企业，应当按照《政府采购促进中小企业发展管理办法》</w:t>
      </w:r>
      <w:r>
        <w:rPr>
          <w:rFonts w:ascii="宋体" w:hAnsi="宋体"/>
          <w:bCs/>
          <w:sz w:val="24"/>
          <w:szCs w:val="24"/>
        </w:rPr>
        <w:t>（财库﹝2020﹞46 号）</w:t>
      </w:r>
      <w:r>
        <w:rPr>
          <w:rFonts w:hint="eastAsia" w:ascii="宋体" w:hAnsi="宋体"/>
          <w:bCs/>
          <w:sz w:val="24"/>
          <w:szCs w:val="24"/>
        </w:rPr>
        <w:t>的规定提供《中小企业声明函》（货物/</w:t>
      </w:r>
      <w:r>
        <w:rPr>
          <w:rFonts w:ascii="宋体" w:hAnsi="宋体"/>
          <w:bCs/>
          <w:sz w:val="24"/>
          <w:szCs w:val="24"/>
        </w:rPr>
        <w:t>服务</w:t>
      </w:r>
      <w:r>
        <w:rPr>
          <w:rFonts w:hint="eastAsia" w:ascii="宋体" w:hAnsi="宋体"/>
          <w:bCs/>
          <w:sz w:val="24"/>
          <w:szCs w:val="24"/>
        </w:rPr>
        <w:t>）（中小企业划型标准详见《关于印发中小企业划型标准规定的通知》工信部联企业〔</w:t>
      </w:r>
      <w:r>
        <w:rPr>
          <w:rFonts w:ascii="宋体" w:hAnsi="宋体"/>
          <w:bCs/>
          <w:sz w:val="24"/>
          <w:szCs w:val="24"/>
        </w:rPr>
        <w:t>2011</w:t>
      </w:r>
      <w:r>
        <w:rPr>
          <w:rFonts w:hint="eastAsia" w:ascii="宋体" w:hAnsi="宋体"/>
          <w:bCs/>
          <w:sz w:val="24"/>
          <w:szCs w:val="24"/>
        </w:rPr>
        <w:t>〕</w:t>
      </w:r>
      <w:r>
        <w:rPr>
          <w:rFonts w:ascii="宋体" w:hAnsi="宋体"/>
          <w:bCs/>
          <w:sz w:val="24"/>
          <w:szCs w:val="24"/>
        </w:rPr>
        <w:t>300</w:t>
      </w:r>
      <w:r>
        <w:rPr>
          <w:rFonts w:hint="eastAsia" w:ascii="宋体" w:hAnsi="宋体"/>
          <w:bCs/>
          <w:sz w:val="24"/>
          <w:szCs w:val="24"/>
        </w:rPr>
        <w:t>号）。</w:t>
      </w:r>
    </w:p>
    <w:p>
      <w:pPr>
        <w:pStyle w:val="104"/>
        <w:numPr>
          <w:ilvl w:val="0"/>
          <w:numId w:val="12"/>
        </w:numPr>
        <w:tabs>
          <w:tab w:val="left" w:pos="945"/>
          <w:tab w:val="left" w:pos="1104"/>
          <w:tab w:val="left" w:pos="1155"/>
          <w:tab w:val="left" w:pos="1365"/>
        </w:tabs>
        <w:spacing w:line="360" w:lineRule="auto"/>
        <w:ind w:left="0" w:firstLine="480"/>
        <w:rPr>
          <w:rFonts w:ascii="宋体" w:hAnsi="宋体"/>
          <w:sz w:val="24"/>
          <w:szCs w:val="24"/>
        </w:rPr>
      </w:pPr>
      <w:r>
        <w:rPr>
          <w:rFonts w:hint="eastAsia" w:ascii="宋体" w:hAnsi="宋体"/>
          <w:bCs/>
          <w:sz w:val="24"/>
          <w:szCs w:val="24"/>
        </w:rPr>
        <w:t>监狱企业视同小型、微型企业，对其产品价格给予10%的扣除。参加报价的监狱企业，应当按照《关于政府采购支持监狱企业发展有关问题的通知》（财库[2014]68号）的规定提供由省级以上监狱管理局、戒毒管理局(含新疆生产建设兵团)出具的属于监狱企业的证明文件复印件。</w:t>
      </w:r>
    </w:p>
    <w:p>
      <w:pPr>
        <w:pStyle w:val="104"/>
        <w:numPr>
          <w:ilvl w:val="0"/>
          <w:numId w:val="12"/>
        </w:numPr>
        <w:tabs>
          <w:tab w:val="left" w:pos="945"/>
          <w:tab w:val="left" w:pos="1104"/>
          <w:tab w:val="left" w:pos="1155"/>
          <w:tab w:val="left" w:pos="1365"/>
        </w:tabs>
        <w:spacing w:line="360" w:lineRule="auto"/>
        <w:ind w:left="0" w:firstLine="480"/>
        <w:rPr>
          <w:rFonts w:ascii="宋体" w:hAnsi="宋体"/>
          <w:sz w:val="24"/>
          <w:szCs w:val="24"/>
        </w:rPr>
      </w:pPr>
      <w:r>
        <w:rPr>
          <w:rFonts w:hint="eastAsia" w:ascii="宋体" w:hAnsi="宋体"/>
          <w:bCs/>
          <w:sz w:val="24"/>
          <w:szCs w:val="24"/>
        </w:rPr>
        <w:t>残疾人福利性单位视同小型、微型企业，对其产品价格给予10%的扣除。参加报价的残疾人福利性单位，应当按照《财政部、民政部、中国残疾人联合会关于促进残疾人就业政府采购政策的通知》（财库〔2017〕141号）的规定提供《残疾人福利性单位声明函》。</w:t>
      </w:r>
    </w:p>
    <w:p>
      <w:pPr>
        <w:spacing w:line="360" w:lineRule="auto"/>
        <w:ind w:firstLine="480" w:firstLineChars="200"/>
        <w:jc w:val="left"/>
        <w:rPr>
          <w:rFonts w:ascii="宋体" w:hAnsi="宋体"/>
          <w:bCs/>
          <w:sz w:val="24"/>
          <w:szCs w:val="24"/>
        </w:rPr>
      </w:pPr>
      <w:r>
        <w:rPr>
          <w:rFonts w:hint="eastAsia" w:ascii="宋体" w:hAnsi="宋体"/>
          <w:bCs/>
          <w:sz w:val="24"/>
          <w:szCs w:val="24"/>
        </w:rPr>
        <w:t>同一报价人，上述①②③三项价格扣除优惠不得重复享受。</w:t>
      </w:r>
    </w:p>
    <w:p>
      <w:pPr>
        <w:numPr>
          <w:ilvl w:val="0"/>
          <w:numId w:val="10"/>
        </w:numPr>
        <w:tabs>
          <w:tab w:val="left" w:pos="945"/>
          <w:tab w:val="left" w:pos="1155"/>
          <w:tab w:val="left" w:pos="1365"/>
          <w:tab w:val="clear" w:pos="1104"/>
        </w:tabs>
        <w:spacing w:line="360" w:lineRule="auto"/>
        <w:ind w:left="0" w:firstLine="523" w:firstLineChars="218"/>
        <w:rPr>
          <w:rFonts w:ascii="宋体" w:hAnsi="宋体"/>
          <w:sz w:val="24"/>
          <w:szCs w:val="24"/>
        </w:rPr>
      </w:pPr>
      <w:r>
        <w:rPr>
          <w:rFonts w:hint="eastAsia" w:ascii="宋体" w:hAnsi="宋体"/>
          <w:bCs/>
          <w:sz w:val="24"/>
        </w:rPr>
        <w:t>由评审小组审查每份响应文件是否实质性响应了征集文件的要求。实质性响应是与征集文件要求的全部条款、条件和项目服务要求相符，审查中如有对需要共同认定的事项存在争议的，评审小组应当按照少数服从多数的原则作出结论。</w:t>
      </w:r>
    </w:p>
    <w:p>
      <w:pPr>
        <w:numPr>
          <w:ilvl w:val="0"/>
          <w:numId w:val="10"/>
        </w:numPr>
        <w:tabs>
          <w:tab w:val="left" w:pos="945"/>
          <w:tab w:val="left" w:pos="1155"/>
          <w:tab w:val="left" w:pos="1365"/>
          <w:tab w:val="clear" w:pos="1104"/>
        </w:tabs>
        <w:spacing w:line="360" w:lineRule="auto"/>
        <w:ind w:left="0" w:firstLine="523" w:firstLineChars="218"/>
        <w:rPr>
          <w:rFonts w:ascii="宋体"/>
          <w:bCs/>
          <w:sz w:val="24"/>
          <w:szCs w:val="24"/>
        </w:rPr>
      </w:pPr>
      <w:r>
        <w:rPr>
          <w:rFonts w:hint="eastAsia" w:ascii="宋体" w:hAnsi="宋体"/>
          <w:bCs/>
          <w:sz w:val="24"/>
        </w:rPr>
        <w:t>如果响应文件没有实质性响应征集文件的要求，评审小组将予以拒绝，供应商不得通过修改或撤销不合要求的偏离或保留而使其响应文件成为实质性响应文件。</w:t>
      </w:r>
    </w:p>
    <w:p>
      <w:pPr>
        <w:tabs>
          <w:tab w:val="left" w:pos="945"/>
        </w:tabs>
        <w:spacing w:line="360" w:lineRule="auto"/>
        <w:ind w:firstLine="480" w:firstLineChars="200"/>
        <w:outlineLvl w:val="0"/>
        <w:rPr>
          <w:rFonts w:ascii="黑体" w:hAnsi="宋体" w:eastAsia="黑体"/>
          <w:bCs/>
          <w:sz w:val="24"/>
          <w:szCs w:val="24"/>
        </w:rPr>
      </w:pPr>
      <w:r>
        <w:rPr>
          <w:rFonts w:hint="eastAsia" w:ascii="黑体" w:hAnsi="宋体" w:eastAsia="黑体"/>
          <w:bCs/>
          <w:sz w:val="24"/>
          <w:szCs w:val="24"/>
        </w:rPr>
        <w:t>（十）确定入围及成交供应商：</w:t>
      </w:r>
    </w:p>
    <w:p>
      <w:pPr>
        <w:numPr>
          <w:ilvl w:val="0"/>
          <w:numId w:val="13"/>
        </w:numPr>
        <w:tabs>
          <w:tab w:val="left" w:pos="525"/>
          <w:tab w:val="left" w:pos="945"/>
          <w:tab w:val="left" w:pos="1155"/>
          <w:tab w:val="clear" w:pos="552"/>
        </w:tabs>
        <w:spacing w:line="360" w:lineRule="auto"/>
        <w:ind w:left="0" w:firstLine="523" w:firstLineChars="218"/>
        <w:rPr>
          <w:rFonts w:ascii="宋体" w:hAnsi="宋体"/>
          <w:bCs/>
          <w:sz w:val="24"/>
          <w:szCs w:val="24"/>
        </w:rPr>
      </w:pPr>
      <w:r>
        <w:rPr>
          <w:rFonts w:hint="eastAsia" w:ascii="宋体" w:hAnsi="宋体"/>
          <w:bCs/>
          <w:sz w:val="24"/>
          <w:szCs w:val="24"/>
        </w:rPr>
        <w:t>确定入围及成交供应商的方法</w:t>
      </w:r>
    </w:p>
    <w:p>
      <w:pPr>
        <w:tabs>
          <w:tab w:val="left" w:pos="525"/>
          <w:tab w:val="left" w:pos="552"/>
          <w:tab w:val="left" w:pos="945"/>
          <w:tab w:val="left" w:pos="1155"/>
        </w:tabs>
        <w:spacing w:line="360" w:lineRule="auto"/>
        <w:ind w:firstLine="480" w:firstLineChars="200"/>
        <w:rPr>
          <w:rFonts w:ascii="宋体" w:hAnsi="宋体"/>
          <w:bCs/>
          <w:sz w:val="24"/>
          <w:szCs w:val="24"/>
        </w:rPr>
      </w:pPr>
      <w:r>
        <w:rPr>
          <w:rFonts w:hint="eastAsia" w:ascii="宋体" w:hAnsi="宋体"/>
          <w:bCs/>
          <w:sz w:val="24"/>
          <w:szCs w:val="24"/>
        </w:rPr>
        <w:t>（1）确定第一阶段入围供应商的评审方法（评审小组按标段分别确定入围供应商的名单和排序）</w:t>
      </w:r>
    </w:p>
    <w:p>
      <w:pPr>
        <w:numPr>
          <w:ilvl w:val="0"/>
          <w:numId w:val="14"/>
        </w:numPr>
        <w:tabs>
          <w:tab w:val="left" w:pos="525"/>
          <w:tab w:val="left" w:pos="630"/>
          <w:tab w:val="left" w:pos="945"/>
          <w:tab w:val="left" w:pos="1365"/>
        </w:tabs>
        <w:spacing w:line="360" w:lineRule="auto"/>
        <w:ind w:left="0" w:firstLine="480" w:firstLineChars="200"/>
        <w:rPr>
          <w:rFonts w:ascii="宋体" w:hAnsi="宋体"/>
          <w:bCs/>
          <w:sz w:val="24"/>
        </w:rPr>
      </w:pPr>
      <w:r>
        <w:rPr>
          <w:rFonts w:hint="eastAsia" w:ascii="宋体" w:hAnsi="宋体"/>
          <w:bCs/>
          <w:sz w:val="24"/>
        </w:rPr>
        <w:t>确定第一阶段入围供应商的评审方法为价格优先法。价格优先法是指对满足采购需求且响应报价不超过最高限制单价的产品，按照响应报价从低到高排序，根据征集文件规定的淘汰率或者入围供应商数量上限，确定入围供应商的评审方法。</w:t>
      </w:r>
    </w:p>
    <w:p>
      <w:pPr>
        <w:numPr>
          <w:ilvl w:val="0"/>
          <w:numId w:val="14"/>
        </w:numPr>
        <w:tabs>
          <w:tab w:val="left" w:pos="525"/>
          <w:tab w:val="left" w:pos="630"/>
          <w:tab w:val="left" w:pos="945"/>
          <w:tab w:val="left" w:pos="1365"/>
        </w:tabs>
        <w:spacing w:line="360" w:lineRule="auto"/>
        <w:ind w:left="0" w:firstLine="480" w:firstLineChars="200"/>
        <w:rPr>
          <w:rFonts w:ascii="宋体" w:hAnsi="宋体"/>
          <w:bCs/>
          <w:sz w:val="24"/>
        </w:rPr>
      </w:pPr>
      <w:r>
        <w:rPr>
          <w:rFonts w:hint="eastAsia" w:ascii="宋体" w:hAnsi="宋体"/>
          <w:bCs/>
          <w:sz w:val="24"/>
        </w:rPr>
        <w:t>入围供应商的淘汰比例：提交响应文件和符合资格条件、实质性要求的供应商淘汰率按20%计算，且至少淘汰一家供应商（提交响应文件和符合资格条件、实质性要求的供应商少于2家时，采购活动终止）。淘汰供应商家数的计算规则为：通过资格性及符合性供应商家数×淘汰率=X，X=A+B，A为整数部分，B为小数部分。当B为零时，淘汰家数为A；当B不为零时，淘汰家数为A+1。</w:t>
      </w:r>
    </w:p>
    <w:p>
      <w:pPr>
        <w:numPr>
          <w:ilvl w:val="0"/>
          <w:numId w:val="14"/>
        </w:numPr>
        <w:tabs>
          <w:tab w:val="left" w:pos="525"/>
          <w:tab w:val="left" w:pos="630"/>
          <w:tab w:val="left" w:pos="945"/>
          <w:tab w:val="left" w:pos="1365"/>
        </w:tabs>
        <w:spacing w:line="360" w:lineRule="auto"/>
        <w:ind w:left="0" w:firstLine="480" w:firstLineChars="200"/>
        <w:rPr>
          <w:rFonts w:ascii="宋体" w:hAnsi="宋体"/>
          <w:bCs/>
          <w:sz w:val="24"/>
        </w:rPr>
      </w:pPr>
      <w:bookmarkStart w:id="3" w:name="_Hlk136287463"/>
      <w:r>
        <w:rPr>
          <w:rFonts w:hint="eastAsia" w:ascii="宋体" w:hAnsi="宋体"/>
          <w:bCs/>
          <w:sz w:val="24"/>
        </w:rPr>
        <w:t>本项目各标段报价均按工时单价和材料进销差价率分别进行报价（报价要求详见“三．采购需求和有关说明”）。供应商报价的综合计算得数中工时单价计算权重为50%，材料进销差价率计算权重为50%。综合计算后，得数（价格）低的供应商，排序在前。计算公式为：供应商响应报价中工时单价为</w:t>
      </w:r>
      <w:r>
        <w:rPr>
          <w:rFonts w:hint="eastAsia" w:ascii="宋体" w:hAnsi="宋体"/>
          <w:bCs/>
          <w:sz w:val="24"/>
          <w:u w:val="single"/>
        </w:rPr>
        <w:t xml:space="preserve"> a </w:t>
      </w:r>
      <w:r>
        <w:rPr>
          <w:rFonts w:hint="eastAsia" w:ascii="宋体" w:hAnsi="宋体"/>
          <w:bCs/>
          <w:sz w:val="24"/>
        </w:rPr>
        <w:t>元/工时，材料进销差价率为</w:t>
      </w:r>
      <w:r>
        <w:rPr>
          <w:rFonts w:hint="eastAsia" w:ascii="宋体" w:hAnsi="宋体"/>
          <w:bCs/>
          <w:sz w:val="24"/>
          <w:u w:val="single"/>
        </w:rPr>
        <w:t xml:space="preserve"> b </w:t>
      </w:r>
      <w:r>
        <w:rPr>
          <w:rFonts w:hint="eastAsia" w:ascii="宋体" w:hAnsi="宋体"/>
          <w:bCs/>
          <w:sz w:val="24"/>
        </w:rPr>
        <w:t>%，则该供应商报价综合计算得数Y为：Y=a×50%+b×50%。供应商的报价（即a值和b值）最多均只能精确到小数点后两位，否则响应文件无效。</w:t>
      </w:r>
    </w:p>
    <w:bookmarkEnd w:id="3"/>
    <w:p>
      <w:pPr>
        <w:numPr>
          <w:ilvl w:val="0"/>
          <w:numId w:val="14"/>
        </w:numPr>
        <w:tabs>
          <w:tab w:val="left" w:pos="525"/>
          <w:tab w:val="left" w:pos="630"/>
          <w:tab w:val="left" w:pos="945"/>
          <w:tab w:val="left" w:pos="1365"/>
        </w:tabs>
        <w:spacing w:line="360" w:lineRule="auto"/>
        <w:ind w:left="0" w:firstLine="480" w:firstLineChars="200"/>
        <w:rPr>
          <w:rFonts w:ascii="宋体" w:hAnsi="宋体"/>
          <w:bCs/>
          <w:sz w:val="24"/>
        </w:rPr>
      </w:pPr>
      <w:bookmarkStart w:id="4" w:name="_Hlk136287534"/>
      <w:r>
        <w:rPr>
          <w:rFonts w:hint="eastAsia" w:ascii="宋体" w:hAnsi="宋体"/>
          <w:bCs/>
          <w:sz w:val="24"/>
        </w:rPr>
        <w:t>综合计算得数（价格）相同的供应商推荐入围供应商排序规则：</w:t>
      </w:r>
    </w:p>
    <w:p>
      <w:pPr>
        <w:pStyle w:val="104"/>
        <w:numPr>
          <w:ilvl w:val="0"/>
          <w:numId w:val="15"/>
        </w:numPr>
        <w:tabs>
          <w:tab w:val="left" w:pos="525"/>
          <w:tab w:val="left" w:pos="552"/>
          <w:tab w:val="left" w:pos="945"/>
          <w:tab w:val="left" w:pos="1155"/>
        </w:tabs>
        <w:spacing w:line="360" w:lineRule="auto"/>
        <w:ind w:left="0" w:firstLine="480"/>
        <w:rPr>
          <w:rFonts w:ascii="宋体" w:hAnsi="宋体"/>
          <w:bCs/>
          <w:sz w:val="24"/>
          <w:szCs w:val="24"/>
        </w:rPr>
      </w:pPr>
      <w:r>
        <w:rPr>
          <w:rFonts w:hint="eastAsia" w:ascii="宋体" w:hAnsi="宋体"/>
          <w:bCs/>
          <w:sz w:val="24"/>
          <w:szCs w:val="24"/>
        </w:rPr>
        <w:t>供应商在所报标段中同时具有小型车辆及大中型客车经营范围的（例如供应商报的A标段，A标段要求一类汽车维修企业，该供应商既具有一类汽车维修小型车辆经营范围且同时具有一类汽车维修大中型客车经营范围的），排序在前；</w:t>
      </w:r>
    </w:p>
    <w:p>
      <w:pPr>
        <w:pStyle w:val="104"/>
        <w:numPr>
          <w:ilvl w:val="0"/>
          <w:numId w:val="15"/>
        </w:numPr>
        <w:tabs>
          <w:tab w:val="left" w:pos="525"/>
          <w:tab w:val="left" w:pos="552"/>
          <w:tab w:val="left" w:pos="945"/>
          <w:tab w:val="left" w:pos="1155"/>
        </w:tabs>
        <w:spacing w:line="360" w:lineRule="auto"/>
        <w:ind w:left="0" w:firstLine="480"/>
        <w:rPr>
          <w:rFonts w:ascii="宋体" w:hAnsi="宋体"/>
          <w:bCs/>
          <w:sz w:val="24"/>
          <w:szCs w:val="24"/>
        </w:rPr>
      </w:pPr>
      <w:r>
        <w:rPr>
          <w:rFonts w:hint="eastAsia" w:ascii="宋体" w:hAnsi="宋体"/>
          <w:bCs/>
          <w:sz w:val="24"/>
          <w:szCs w:val="24"/>
        </w:rPr>
        <w:t>供应商在所报标段中都同时具有小型车辆及大中型客车经营范围的，按所报材料进销差价率由低到高进行排序；</w:t>
      </w:r>
    </w:p>
    <w:p>
      <w:pPr>
        <w:pStyle w:val="104"/>
        <w:numPr>
          <w:ilvl w:val="0"/>
          <w:numId w:val="15"/>
        </w:numPr>
        <w:tabs>
          <w:tab w:val="left" w:pos="525"/>
          <w:tab w:val="left" w:pos="552"/>
          <w:tab w:val="left" w:pos="945"/>
          <w:tab w:val="left" w:pos="1155"/>
        </w:tabs>
        <w:spacing w:line="360" w:lineRule="auto"/>
        <w:ind w:left="0" w:firstLine="480"/>
        <w:rPr>
          <w:rFonts w:ascii="宋体" w:hAnsi="宋体"/>
          <w:bCs/>
          <w:sz w:val="24"/>
          <w:szCs w:val="24"/>
        </w:rPr>
      </w:pPr>
      <w:r>
        <w:rPr>
          <w:rFonts w:hint="eastAsia" w:ascii="宋体" w:hAnsi="宋体"/>
          <w:bCs/>
          <w:sz w:val="24"/>
          <w:szCs w:val="24"/>
        </w:rPr>
        <w:t>供应商在所报标段中都同时具有小型车辆及大中型客车经营范围的，且所报材料进销差价率也一致的，按工时单价由低到高进行排序；</w:t>
      </w:r>
    </w:p>
    <w:p>
      <w:pPr>
        <w:pStyle w:val="104"/>
        <w:numPr>
          <w:ilvl w:val="0"/>
          <w:numId w:val="15"/>
        </w:numPr>
        <w:tabs>
          <w:tab w:val="left" w:pos="525"/>
          <w:tab w:val="left" w:pos="552"/>
          <w:tab w:val="left" w:pos="945"/>
          <w:tab w:val="left" w:pos="1155"/>
        </w:tabs>
        <w:spacing w:line="360" w:lineRule="auto"/>
        <w:ind w:left="0" w:firstLine="480"/>
        <w:rPr>
          <w:rFonts w:ascii="宋体" w:hAnsi="宋体"/>
          <w:bCs/>
          <w:sz w:val="24"/>
          <w:szCs w:val="24"/>
        </w:rPr>
      </w:pPr>
      <w:r>
        <w:rPr>
          <w:rFonts w:hint="eastAsia" w:ascii="宋体" w:hAnsi="宋体"/>
          <w:bCs/>
          <w:sz w:val="24"/>
          <w:szCs w:val="24"/>
        </w:rPr>
        <w:t>供应商在所报标段中都同时具有小型车辆及大中型客车经营范围的，且所报材料进销差价率、工时单价也一致的，由评审小组随机抽签确定。</w:t>
      </w:r>
    </w:p>
    <w:bookmarkEnd w:id="4"/>
    <w:p>
      <w:pPr>
        <w:tabs>
          <w:tab w:val="left" w:pos="525"/>
          <w:tab w:val="left" w:pos="552"/>
          <w:tab w:val="left" w:pos="945"/>
          <w:tab w:val="left" w:pos="1155"/>
        </w:tabs>
        <w:spacing w:line="360" w:lineRule="auto"/>
        <w:ind w:left="523"/>
        <w:rPr>
          <w:rFonts w:ascii="宋体" w:hAnsi="宋体"/>
          <w:bCs/>
          <w:sz w:val="24"/>
          <w:szCs w:val="24"/>
        </w:rPr>
      </w:pPr>
      <w:r>
        <w:rPr>
          <w:rFonts w:hint="eastAsia" w:ascii="宋体" w:hAnsi="宋体"/>
          <w:bCs/>
          <w:sz w:val="24"/>
          <w:szCs w:val="24"/>
        </w:rPr>
        <w:t>（2）确定第二阶段成交供应商的方式</w:t>
      </w:r>
    </w:p>
    <w:p>
      <w:pPr>
        <w:pStyle w:val="104"/>
        <w:numPr>
          <w:ilvl w:val="0"/>
          <w:numId w:val="16"/>
        </w:numPr>
        <w:tabs>
          <w:tab w:val="left" w:pos="525"/>
          <w:tab w:val="left" w:pos="552"/>
          <w:tab w:val="left" w:pos="945"/>
          <w:tab w:val="left" w:pos="1155"/>
        </w:tabs>
        <w:spacing w:line="360" w:lineRule="auto"/>
        <w:ind w:left="0" w:firstLine="480"/>
        <w:rPr>
          <w:rFonts w:ascii="宋体" w:hAnsi="宋体"/>
          <w:bCs/>
          <w:sz w:val="24"/>
          <w:szCs w:val="24"/>
        </w:rPr>
      </w:pPr>
      <w:r>
        <w:rPr>
          <w:rFonts w:hint="eastAsia" w:ascii="宋体" w:hAnsi="宋体"/>
          <w:bCs/>
          <w:sz w:val="24"/>
          <w:szCs w:val="24"/>
        </w:rPr>
        <w:t>确定第二阶段成交供应商的方式为直接选定。</w:t>
      </w:r>
      <w:bookmarkStart w:id="5" w:name="_Hlk136287706"/>
      <w:r>
        <w:rPr>
          <w:rFonts w:hint="eastAsia" w:ascii="宋体" w:hAnsi="宋体"/>
          <w:bCs/>
          <w:sz w:val="24"/>
          <w:szCs w:val="24"/>
        </w:rPr>
        <w:t>由采购人在“政府采购交易管理一体化系统”中从第一阶段入围供应商中直接选定。第一阶段入围供应商的协议价格是采购人确定第二阶段成交供应商的最高限价。</w:t>
      </w:r>
    </w:p>
    <w:bookmarkEnd w:id="5"/>
    <w:p>
      <w:pPr>
        <w:pStyle w:val="104"/>
        <w:numPr>
          <w:ilvl w:val="0"/>
          <w:numId w:val="16"/>
        </w:numPr>
        <w:tabs>
          <w:tab w:val="left" w:pos="525"/>
          <w:tab w:val="left" w:pos="552"/>
          <w:tab w:val="left" w:pos="945"/>
          <w:tab w:val="left" w:pos="1155"/>
        </w:tabs>
        <w:spacing w:line="360" w:lineRule="auto"/>
        <w:ind w:left="0" w:firstLine="480"/>
        <w:rPr>
          <w:rFonts w:ascii="宋体" w:hAnsi="宋体"/>
          <w:bCs/>
          <w:sz w:val="24"/>
          <w:szCs w:val="24"/>
        </w:rPr>
      </w:pPr>
      <w:r>
        <w:rPr>
          <w:rFonts w:hint="eastAsia" w:ascii="宋体" w:hAnsi="宋体"/>
          <w:bCs/>
          <w:sz w:val="24"/>
          <w:szCs w:val="24"/>
        </w:rPr>
        <w:t>采购人在确定成交供应商后，不得擅自改变框架协议约定的实质性条款。供应商履行合同后，依据采购合同的约定，与采购人进行费用结算。</w:t>
      </w:r>
    </w:p>
    <w:p>
      <w:pPr>
        <w:numPr>
          <w:ilvl w:val="0"/>
          <w:numId w:val="13"/>
        </w:numPr>
        <w:tabs>
          <w:tab w:val="left" w:pos="525"/>
          <w:tab w:val="left" w:pos="945"/>
          <w:tab w:val="left" w:pos="1155"/>
          <w:tab w:val="clear" w:pos="552"/>
        </w:tabs>
        <w:spacing w:line="360" w:lineRule="auto"/>
        <w:ind w:left="0" w:firstLine="523" w:firstLineChars="218"/>
        <w:rPr>
          <w:rFonts w:ascii="宋体" w:hAnsi="宋体"/>
          <w:bCs/>
          <w:sz w:val="24"/>
          <w:szCs w:val="24"/>
          <w:shd w:val="pct10" w:color="auto" w:fill="FFFFFF"/>
        </w:rPr>
      </w:pPr>
      <w:r>
        <w:rPr>
          <w:rFonts w:hint="eastAsia" w:ascii="宋体" w:hAnsi="宋体"/>
          <w:bCs/>
          <w:sz w:val="24"/>
          <w:szCs w:val="24"/>
        </w:rPr>
        <w:t>评审小组对通过</w:t>
      </w:r>
      <w:r>
        <w:rPr>
          <w:rFonts w:ascii="宋体" w:hAnsi="宋体"/>
          <w:bCs/>
          <w:sz w:val="24"/>
        </w:rPr>
        <w:t>资格性检查和符合性检查</w:t>
      </w:r>
      <w:r>
        <w:rPr>
          <w:rFonts w:hint="eastAsia" w:ascii="宋体" w:hAnsi="宋体"/>
          <w:bCs/>
          <w:sz w:val="24"/>
        </w:rPr>
        <w:t>的有效响应文件</w:t>
      </w:r>
      <w:r>
        <w:rPr>
          <w:rFonts w:hint="eastAsia" w:ascii="宋体" w:hAnsi="宋体"/>
          <w:bCs/>
          <w:sz w:val="24"/>
          <w:szCs w:val="24"/>
        </w:rPr>
        <w:t>，根据征集文件规定的评审方法确定入围供应商。无锡市滨湖区公共资源交易中心将在无锡市公共资源交易中心政府采购专栏、无锡政府采购网和江苏政府采购网发布入围结果公告。公告</w:t>
      </w:r>
      <w:r>
        <w:rPr>
          <w:rFonts w:ascii="宋体" w:hAnsi="宋体"/>
          <w:bCs/>
          <w:sz w:val="24"/>
          <w:szCs w:val="24"/>
        </w:rPr>
        <w:t>期限为</w:t>
      </w:r>
      <w:r>
        <w:rPr>
          <w:rFonts w:hint="eastAsia" w:ascii="宋体" w:hAnsi="宋体"/>
          <w:bCs/>
          <w:sz w:val="24"/>
          <w:szCs w:val="24"/>
        </w:rPr>
        <w:t>1个</w:t>
      </w:r>
      <w:r>
        <w:rPr>
          <w:rFonts w:ascii="宋体" w:hAnsi="宋体"/>
          <w:bCs/>
          <w:sz w:val="24"/>
          <w:szCs w:val="24"/>
        </w:rPr>
        <w:t>工作日。</w:t>
      </w:r>
      <w:r>
        <w:rPr>
          <w:rFonts w:hint="eastAsia" w:ascii="宋体" w:hAnsi="宋体"/>
          <w:bCs/>
          <w:sz w:val="24"/>
          <w:szCs w:val="24"/>
        </w:rPr>
        <w:t>如有质疑，应在法定质疑期限内，即入围公告期限届满之日起</w:t>
      </w:r>
      <w:r>
        <w:rPr>
          <w:rFonts w:ascii="宋体" w:hAnsi="宋体"/>
          <w:bCs/>
          <w:sz w:val="24"/>
          <w:szCs w:val="24"/>
        </w:rPr>
        <w:t>7</w:t>
      </w:r>
      <w:r>
        <w:rPr>
          <w:rFonts w:hint="eastAsia" w:ascii="宋体" w:hAnsi="宋体"/>
          <w:bCs/>
          <w:sz w:val="24"/>
          <w:szCs w:val="24"/>
        </w:rPr>
        <w:t>个工作日内，以书面形式（原件）送达无锡市滨湖区公共资源交易中心，并且</w:t>
      </w:r>
      <w:r>
        <w:rPr>
          <w:rFonts w:ascii="宋体" w:hAnsi="宋体"/>
          <w:bCs/>
          <w:sz w:val="24"/>
          <w:szCs w:val="24"/>
        </w:rPr>
        <w:t>针对同一采购程序环节的质疑</w:t>
      </w:r>
      <w:r>
        <w:rPr>
          <w:rFonts w:hint="eastAsia" w:ascii="宋体" w:hAnsi="宋体"/>
          <w:bCs/>
          <w:sz w:val="24"/>
          <w:szCs w:val="24"/>
        </w:rPr>
        <w:t>，须</w:t>
      </w:r>
      <w:r>
        <w:rPr>
          <w:rFonts w:ascii="宋体" w:hAnsi="宋体"/>
          <w:bCs/>
          <w:sz w:val="24"/>
          <w:szCs w:val="24"/>
        </w:rPr>
        <w:t>在法定质疑期内一次性提出</w:t>
      </w:r>
      <w:r>
        <w:rPr>
          <w:rFonts w:hint="eastAsia" w:ascii="宋体" w:hAnsi="宋体"/>
          <w:bCs/>
          <w:sz w:val="24"/>
          <w:szCs w:val="24"/>
        </w:rPr>
        <w:t>。质疑函的质疑事项应具体、明确，并有必要的事实依据和法律依据（格式详见中国政府采购网《</w:t>
      </w:r>
      <w:r>
        <w:fldChar w:fldCharType="begin"/>
      </w:r>
      <w:r>
        <w:instrText xml:space="preserve"> HYPERLINK "http://download.ccgp.gov.cn/2018/zhiyihanfanben.zip" \t "_blank" </w:instrText>
      </w:r>
      <w:r>
        <w:fldChar w:fldCharType="separate"/>
      </w:r>
      <w:r>
        <w:rPr>
          <w:rFonts w:hint="eastAsia" w:ascii="宋体" w:hAnsi="宋体"/>
          <w:bCs/>
          <w:sz w:val="24"/>
          <w:szCs w:val="24"/>
        </w:rPr>
        <w:t>政府采购供应商质疑函范本</w:t>
      </w:r>
      <w:r>
        <w:rPr>
          <w:rFonts w:hint="eastAsia" w:ascii="宋体" w:hAnsi="宋体"/>
          <w:bCs/>
          <w:sz w:val="24"/>
          <w:szCs w:val="24"/>
        </w:rPr>
        <w:fldChar w:fldCharType="end"/>
      </w:r>
      <w:r>
        <w:rPr>
          <w:rFonts w:hint="eastAsia" w:ascii="宋体" w:hAnsi="宋体"/>
          <w:bCs/>
          <w:sz w:val="24"/>
          <w:szCs w:val="24"/>
        </w:rPr>
        <w:t>》）。无锡市滨湖区公共资源交易中心将在收到符合上述要求的书面质疑后七个工作日内，对质疑内容做出答复。供应商在法定质疑期限外送达的质疑函或法定质疑期限内送达的质疑函不符合上述要求的均为无效质疑，无锡市滨湖区公共资源交易中心对无效质疑不予受理。如质疑查无实据或供应商捏造事实，提供虚假材料进行恶意举报，不配合或采用不正当手段干扰政府采购质疑的，将记入供应商在江苏省和无锡市的政府采购“供应商诚信记录”，并按相关规定处理。</w:t>
      </w:r>
    </w:p>
    <w:p>
      <w:pPr>
        <w:numPr>
          <w:ilvl w:val="0"/>
          <w:numId w:val="13"/>
        </w:numPr>
        <w:tabs>
          <w:tab w:val="left" w:pos="525"/>
          <w:tab w:val="left" w:pos="945"/>
          <w:tab w:val="left" w:pos="1155"/>
          <w:tab w:val="clear" w:pos="552"/>
        </w:tabs>
        <w:spacing w:line="360" w:lineRule="auto"/>
        <w:ind w:left="0" w:firstLine="523" w:firstLineChars="218"/>
        <w:rPr>
          <w:rFonts w:ascii="宋体" w:hAnsi="宋体"/>
          <w:bCs/>
          <w:sz w:val="24"/>
          <w:szCs w:val="24"/>
        </w:rPr>
      </w:pPr>
      <w:r>
        <w:rPr>
          <w:rFonts w:hint="eastAsia" w:ascii="宋体" w:hAnsi="宋体"/>
          <w:bCs/>
          <w:sz w:val="24"/>
          <w:szCs w:val="24"/>
        </w:rPr>
        <w:t>入围结果确定后，无锡市滨湖区公共资源交易中心将向入围供应商发出入围通知书，请入围供应商登录“政府采购交易管理一体化系统”及时下载入围通知书。因系统存储空间有限，自入围结果公告发布之日起30日后，“政府采购交易管理一体化系统”不再保证提供下载入围通知书服务。入围供应商因未及时下载而造成的一切后果由其自负。</w:t>
      </w:r>
    </w:p>
    <w:p>
      <w:pPr>
        <w:numPr>
          <w:ilvl w:val="0"/>
          <w:numId w:val="13"/>
        </w:numPr>
        <w:tabs>
          <w:tab w:val="left" w:pos="525"/>
          <w:tab w:val="left" w:pos="945"/>
          <w:tab w:val="left" w:pos="1155"/>
          <w:tab w:val="clear" w:pos="552"/>
        </w:tabs>
        <w:spacing w:line="360" w:lineRule="auto"/>
        <w:ind w:left="0" w:firstLine="523" w:firstLineChars="218"/>
        <w:rPr>
          <w:rFonts w:ascii="宋体" w:hAnsi="宋体"/>
          <w:bCs/>
          <w:sz w:val="24"/>
          <w:szCs w:val="24"/>
          <w:shd w:val="pct10" w:color="auto" w:fill="FFFFFF"/>
        </w:rPr>
      </w:pPr>
      <w:r>
        <w:rPr>
          <w:rFonts w:hint="eastAsia" w:ascii="宋体" w:hAnsi="宋体"/>
          <w:bCs/>
          <w:sz w:val="24"/>
          <w:szCs w:val="24"/>
        </w:rPr>
        <w:t>入围通知书将是框架协议的一个组成部分。对无锡市滨湖区公共资源交易中心和入围供应商均具有法律效力。入围通知书发出后，入围供应商无正当理由，不得主动放弃入围资格或者退出框架协议，否则应当依法承担法律责任。</w:t>
      </w:r>
    </w:p>
    <w:p>
      <w:pPr>
        <w:numPr>
          <w:ilvl w:val="0"/>
          <w:numId w:val="13"/>
        </w:numPr>
        <w:tabs>
          <w:tab w:val="left" w:pos="525"/>
          <w:tab w:val="left" w:pos="945"/>
          <w:tab w:val="left" w:pos="1155"/>
          <w:tab w:val="clear" w:pos="552"/>
        </w:tabs>
        <w:spacing w:line="360" w:lineRule="auto"/>
        <w:ind w:left="0" w:firstLine="523" w:firstLineChars="218"/>
        <w:rPr>
          <w:rFonts w:ascii="宋体" w:hAnsi="宋体"/>
          <w:bCs/>
          <w:sz w:val="24"/>
          <w:szCs w:val="24"/>
          <w:shd w:val="pct10" w:color="auto" w:fill="FFFFFF"/>
        </w:rPr>
      </w:pPr>
      <w:r>
        <w:rPr>
          <w:rFonts w:hint="eastAsia" w:ascii="宋体" w:hAnsi="宋体"/>
          <w:bCs/>
          <w:sz w:val="24"/>
          <w:szCs w:val="24"/>
        </w:rPr>
        <w:t>供应商电子响应文件将作为本项目征集活动的电子档案保存，电子档案与纸档案具有同等效力。</w:t>
      </w:r>
    </w:p>
    <w:p>
      <w:pPr>
        <w:numPr>
          <w:ilvl w:val="0"/>
          <w:numId w:val="13"/>
        </w:numPr>
        <w:tabs>
          <w:tab w:val="left" w:pos="525"/>
          <w:tab w:val="left" w:pos="945"/>
          <w:tab w:val="left" w:pos="1155"/>
          <w:tab w:val="clear" w:pos="552"/>
        </w:tabs>
        <w:spacing w:line="360" w:lineRule="auto"/>
        <w:ind w:left="0" w:firstLine="523" w:firstLineChars="218"/>
        <w:rPr>
          <w:rFonts w:ascii="宋体" w:hAnsi="宋体"/>
          <w:bCs/>
          <w:sz w:val="24"/>
          <w:szCs w:val="24"/>
          <w:shd w:val="pct10" w:color="auto" w:fill="FFFFFF"/>
        </w:rPr>
      </w:pPr>
      <w:r>
        <w:rPr>
          <w:rFonts w:hint="eastAsia" w:ascii="宋体" w:hAnsi="宋体"/>
          <w:bCs/>
          <w:sz w:val="24"/>
          <w:szCs w:val="24"/>
        </w:rPr>
        <w:t>入围供应商在框架协议约定期限内，应当以不高于其报价的价格向适用框架协议的采购人或</w:t>
      </w:r>
      <w:r>
        <w:rPr>
          <w:rFonts w:ascii="宋体" w:hAnsi="宋体"/>
          <w:bCs/>
          <w:sz w:val="24"/>
          <w:szCs w:val="24"/>
        </w:rPr>
        <w:t>服务对象</w:t>
      </w:r>
      <w:r>
        <w:rPr>
          <w:rFonts w:hint="eastAsia" w:ascii="宋体" w:hAnsi="宋体"/>
          <w:bCs/>
          <w:sz w:val="24"/>
          <w:szCs w:val="24"/>
        </w:rPr>
        <w:t>提供便捷、优质服务。</w:t>
      </w:r>
    </w:p>
    <w:p>
      <w:pPr>
        <w:tabs>
          <w:tab w:val="left" w:pos="945"/>
          <w:tab w:val="left" w:pos="1155"/>
        </w:tabs>
        <w:spacing w:line="360" w:lineRule="auto"/>
        <w:ind w:left="480"/>
        <w:outlineLvl w:val="0"/>
        <w:rPr>
          <w:rFonts w:ascii="黑体" w:hAnsi="宋体" w:eastAsia="黑体"/>
          <w:bCs/>
          <w:sz w:val="24"/>
          <w:szCs w:val="24"/>
        </w:rPr>
      </w:pPr>
      <w:r>
        <w:rPr>
          <w:rFonts w:hint="eastAsia" w:ascii="黑体" w:hAnsi="宋体" w:eastAsia="黑体"/>
          <w:bCs/>
          <w:sz w:val="24"/>
          <w:szCs w:val="24"/>
        </w:rPr>
        <w:t>（十一）征集活动终止条款：</w:t>
      </w:r>
    </w:p>
    <w:p>
      <w:pPr>
        <w:spacing w:line="360" w:lineRule="auto"/>
        <w:ind w:firstLine="480" w:firstLineChars="200"/>
        <w:rPr>
          <w:rFonts w:ascii="宋体"/>
          <w:bCs/>
          <w:sz w:val="24"/>
          <w:szCs w:val="24"/>
        </w:rPr>
      </w:pPr>
      <w:r>
        <w:rPr>
          <w:rFonts w:hint="eastAsia" w:ascii="宋体" w:hAnsi="宋体"/>
          <w:bCs/>
          <w:sz w:val="24"/>
          <w:szCs w:val="24"/>
        </w:rPr>
        <w:t>在征集活动中，出现下列情况之一的，应予</w:t>
      </w:r>
      <w:r>
        <w:rPr>
          <w:rFonts w:hint="eastAsia" w:ascii="宋体" w:hAnsi="宋体"/>
          <w:bCs/>
          <w:sz w:val="24"/>
        </w:rPr>
        <w:t>征集活动终止</w:t>
      </w:r>
      <w:r>
        <w:rPr>
          <w:rFonts w:hint="eastAsia" w:ascii="宋体" w:hAnsi="宋体"/>
          <w:bCs/>
          <w:sz w:val="24"/>
          <w:szCs w:val="24"/>
        </w:rPr>
        <w:t>：</w:t>
      </w:r>
    </w:p>
    <w:p>
      <w:pPr>
        <w:numPr>
          <w:ilvl w:val="0"/>
          <w:numId w:val="17"/>
        </w:numPr>
        <w:tabs>
          <w:tab w:val="left" w:pos="525"/>
          <w:tab w:val="left" w:pos="945"/>
          <w:tab w:val="left" w:pos="1260"/>
          <w:tab w:val="clear" w:pos="570"/>
        </w:tabs>
        <w:spacing w:line="360" w:lineRule="auto"/>
        <w:ind w:left="0" w:firstLine="525"/>
        <w:rPr>
          <w:rFonts w:ascii="宋体"/>
          <w:bCs/>
          <w:sz w:val="24"/>
          <w:szCs w:val="24"/>
        </w:rPr>
      </w:pPr>
      <w:r>
        <w:rPr>
          <w:rFonts w:hint="eastAsia" w:ascii="宋体" w:hAnsi="宋体"/>
          <w:bCs/>
          <w:sz w:val="24"/>
          <w:szCs w:val="24"/>
        </w:rPr>
        <w:t>出现影响采购公正的违法、违规行为的；</w:t>
      </w:r>
    </w:p>
    <w:p>
      <w:pPr>
        <w:numPr>
          <w:ilvl w:val="0"/>
          <w:numId w:val="17"/>
        </w:numPr>
        <w:tabs>
          <w:tab w:val="left" w:pos="525"/>
          <w:tab w:val="left" w:pos="945"/>
          <w:tab w:val="left" w:pos="1260"/>
          <w:tab w:val="clear" w:pos="570"/>
        </w:tabs>
        <w:spacing w:line="360" w:lineRule="auto"/>
        <w:ind w:left="0" w:firstLine="525"/>
        <w:rPr>
          <w:rFonts w:ascii="宋体"/>
          <w:bCs/>
          <w:sz w:val="24"/>
          <w:szCs w:val="24"/>
        </w:rPr>
      </w:pPr>
      <w:r>
        <w:rPr>
          <w:rFonts w:hint="eastAsia" w:ascii="宋体" w:hAnsi="宋体"/>
          <w:bCs/>
          <w:sz w:val="24"/>
        </w:rPr>
        <w:t>评审小组认定征集文件存在歧义、重大缺陷导致评审工作无法进行的</w:t>
      </w:r>
      <w:r>
        <w:rPr>
          <w:rFonts w:hint="eastAsia" w:ascii="宋体" w:hAnsi="宋体"/>
          <w:bCs/>
          <w:sz w:val="24"/>
          <w:szCs w:val="24"/>
        </w:rPr>
        <w:t>；</w:t>
      </w:r>
    </w:p>
    <w:p>
      <w:pPr>
        <w:numPr>
          <w:ilvl w:val="0"/>
          <w:numId w:val="17"/>
        </w:numPr>
        <w:tabs>
          <w:tab w:val="left" w:pos="525"/>
          <w:tab w:val="left" w:pos="945"/>
          <w:tab w:val="left" w:pos="1260"/>
          <w:tab w:val="clear" w:pos="570"/>
        </w:tabs>
        <w:spacing w:line="360" w:lineRule="auto"/>
        <w:ind w:left="0" w:firstLine="525"/>
        <w:rPr>
          <w:rFonts w:ascii="宋体"/>
          <w:bCs/>
          <w:sz w:val="24"/>
          <w:szCs w:val="24"/>
        </w:rPr>
      </w:pPr>
      <w:r>
        <w:rPr>
          <w:rFonts w:hint="eastAsia" w:ascii="宋体" w:hAnsi="宋体"/>
          <w:bCs/>
          <w:sz w:val="24"/>
        </w:rPr>
        <w:t>因</w:t>
      </w:r>
      <w:r>
        <w:rPr>
          <w:rFonts w:hint="eastAsia" w:ascii="宋体" w:hAnsi="宋体"/>
          <w:sz w:val="24"/>
          <w:szCs w:val="24"/>
        </w:rPr>
        <w:t>无锡市“政府采购交易管理一体化系统”</w:t>
      </w:r>
      <w:r>
        <w:rPr>
          <w:rFonts w:ascii="宋体" w:hAnsi="宋体"/>
          <w:bCs/>
          <w:sz w:val="24"/>
        </w:rPr>
        <w:t>系统故障原因</w:t>
      </w:r>
      <w:r>
        <w:rPr>
          <w:rFonts w:hint="eastAsia" w:ascii="宋体" w:hAnsi="宋体"/>
          <w:bCs/>
          <w:sz w:val="24"/>
        </w:rPr>
        <w:t>无法进行开标的</w:t>
      </w:r>
      <w:r>
        <w:rPr>
          <w:rFonts w:hint="eastAsia" w:ascii="宋体" w:hAnsi="宋体"/>
          <w:bCs/>
          <w:sz w:val="24"/>
          <w:szCs w:val="24"/>
        </w:rPr>
        <w:t>；</w:t>
      </w:r>
    </w:p>
    <w:p>
      <w:pPr>
        <w:numPr>
          <w:ilvl w:val="0"/>
          <w:numId w:val="17"/>
        </w:numPr>
        <w:tabs>
          <w:tab w:val="right" w:pos="180"/>
          <w:tab w:val="left" w:pos="525"/>
          <w:tab w:val="left" w:pos="945"/>
          <w:tab w:val="left" w:pos="1260"/>
          <w:tab w:val="clear" w:pos="570"/>
        </w:tabs>
        <w:spacing w:line="360" w:lineRule="auto"/>
        <w:ind w:left="0" w:firstLine="525"/>
        <w:rPr>
          <w:rFonts w:ascii="宋体"/>
          <w:bCs/>
          <w:sz w:val="24"/>
          <w:szCs w:val="24"/>
        </w:rPr>
      </w:pPr>
      <w:r>
        <w:rPr>
          <w:rFonts w:hint="eastAsia" w:ascii="宋体" w:hAnsi="宋体"/>
          <w:bCs/>
          <w:sz w:val="24"/>
          <w:szCs w:val="24"/>
        </w:rPr>
        <w:t>因重大变故，采购任务取消。</w:t>
      </w:r>
    </w:p>
    <w:p>
      <w:pPr>
        <w:tabs>
          <w:tab w:val="left" w:pos="945"/>
        </w:tabs>
        <w:spacing w:line="360" w:lineRule="auto"/>
        <w:ind w:firstLine="480" w:firstLineChars="200"/>
        <w:outlineLvl w:val="0"/>
        <w:rPr>
          <w:rFonts w:ascii="黑体" w:hAnsi="宋体" w:eastAsia="黑体"/>
          <w:bCs/>
          <w:sz w:val="24"/>
          <w:szCs w:val="24"/>
        </w:rPr>
      </w:pPr>
      <w:r>
        <w:rPr>
          <w:rFonts w:hint="eastAsia" w:ascii="黑体" w:hAnsi="宋体" w:eastAsia="黑体"/>
          <w:bCs/>
          <w:sz w:val="24"/>
          <w:szCs w:val="24"/>
        </w:rPr>
        <w:t>（十二）入围、成交无效的确认：</w:t>
      </w:r>
    </w:p>
    <w:p>
      <w:pPr>
        <w:numPr>
          <w:ilvl w:val="0"/>
          <w:numId w:val="18"/>
        </w:numPr>
        <w:tabs>
          <w:tab w:val="left" w:pos="420"/>
          <w:tab w:val="left" w:pos="945"/>
          <w:tab w:val="left" w:pos="1155"/>
          <w:tab w:val="clear" w:pos="1710"/>
        </w:tabs>
        <w:spacing w:line="360" w:lineRule="auto"/>
        <w:ind w:left="0" w:firstLine="523" w:firstLineChars="218"/>
        <w:rPr>
          <w:rFonts w:ascii="宋体"/>
          <w:bCs/>
          <w:sz w:val="24"/>
          <w:szCs w:val="24"/>
        </w:rPr>
      </w:pPr>
      <w:r>
        <w:rPr>
          <w:rFonts w:hint="eastAsia" w:ascii="宋体" w:hAnsi="宋体"/>
          <w:bCs/>
          <w:sz w:val="24"/>
          <w:szCs w:val="24"/>
        </w:rPr>
        <w:t>提供虚假材料谋取入围或者合同成交的；</w:t>
      </w:r>
    </w:p>
    <w:p>
      <w:pPr>
        <w:numPr>
          <w:ilvl w:val="0"/>
          <w:numId w:val="18"/>
        </w:numPr>
        <w:tabs>
          <w:tab w:val="left" w:pos="420"/>
          <w:tab w:val="left" w:pos="945"/>
          <w:tab w:val="left" w:pos="1155"/>
          <w:tab w:val="clear" w:pos="1710"/>
        </w:tabs>
        <w:spacing w:line="360" w:lineRule="auto"/>
        <w:ind w:left="0" w:firstLine="523" w:firstLineChars="218"/>
        <w:rPr>
          <w:rFonts w:ascii="宋体"/>
          <w:bCs/>
          <w:sz w:val="24"/>
          <w:szCs w:val="24"/>
        </w:rPr>
      </w:pPr>
      <w:r>
        <w:rPr>
          <w:rFonts w:hint="eastAsia" w:ascii="宋体" w:hAnsi="宋体"/>
          <w:bCs/>
          <w:sz w:val="24"/>
          <w:szCs w:val="24"/>
        </w:rPr>
        <w:t>采取不正当手段诋毁、排挤其他供应商的；</w:t>
      </w:r>
    </w:p>
    <w:p>
      <w:pPr>
        <w:numPr>
          <w:ilvl w:val="0"/>
          <w:numId w:val="18"/>
        </w:numPr>
        <w:tabs>
          <w:tab w:val="left" w:pos="420"/>
          <w:tab w:val="left" w:pos="945"/>
          <w:tab w:val="left" w:pos="1155"/>
          <w:tab w:val="clear" w:pos="1710"/>
        </w:tabs>
        <w:spacing w:line="360" w:lineRule="auto"/>
        <w:ind w:left="0" w:firstLine="523" w:firstLineChars="218"/>
        <w:rPr>
          <w:rFonts w:ascii="宋体"/>
          <w:bCs/>
          <w:sz w:val="24"/>
          <w:szCs w:val="24"/>
        </w:rPr>
      </w:pPr>
      <w:r>
        <w:rPr>
          <w:rFonts w:hint="eastAsia" w:ascii="宋体" w:hAnsi="宋体"/>
          <w:bCs/>
          <w:sz w:val="24"/>
          <w:szCs w:val="24"/>
        </w:rPr>
        <w:t>与征集人、其他供应商恶意串通的；</w:t>
      </w:r>
    </w:p>
    <w:p>
      <w:pPr>
        <w:numPr>
          <w:ilvl w:val="0"/>
          <w:numId w:val="18"/>
        </w:numPr>
        <w:tabs>
          <w:tab w:val="left" w:pos="420"/>
          <w:tab w:val="left" w:pos="945"/>
          <w:tab w:val="left" w:pos="1155"/>
          <w:tab w:val="clear" w:pos="1710"/>
        </w:tabs>
        <w:spacing w:line="360" w:lineRule="auto"/>
        <w:ind w:left="0" w:firstLine="523" w:firstLineChars="218"/>
        <w:rPr>
          <w:rFonts w:ascii="宋体" w:hAnsi="宋体"/>
          <w:bCs/>
          <w:sz w:val="24"/>
          <w:szCs w:val="24"/>
        </w:rPr>
      </w:pPr>
      <w:r>
        <w:rPr>
          <w:rFonts w:hint="eastAsia" w:ascii="宋体" w:hAnsi="宋体"/>
          <w:bCs/>
          <w:sz w:val="24"/>
          <w:szCs w:val="24"/>
        </w:rPr>
        <w:t>向征集人行贿或者提供其他不正当利益的；</w:t>
      </w:r>
    </w:p>
    <w:p>
      <w:pPr>
        <w:numPr>
          <w:ilvl w:val="0"/>
          <w:numId w:val="18"/>
        </w:numPr>
        <w:tabs>
          <w:tab w:val="left" w:pos="420"/>
          <w:tab w:val="left" w:pos="945"/>
          <w:tab w:val="left" w:pos="1155"/>
          <w:tab w:val="clear" w:pos="1710"/>
        </w:tabs>
        <w:spacing w:line="360" w:lineRule="auto"/>
        <w:ind w:left="0" w:firstLine="523" w:firstLineChars="218"/>
        <w:rPr>
          <w:rFonts w:ascii="宋体" w:hAnsi="宋体"/>
          <w:bCs/>
          <w:sz w:val="24"/>
          <w:szCs w:val="24"/>
        </w:rPr>
      </w:pPr>
      <w:r>
        <w:rPr>
          <w:rFonts w:hint="eastAsia" w:ascii="宋体" w:hAnsi="宋体"/>
          <w:bCs/>
          <w:sz w:val="24"/>
          <w:szCs w:val="24"/>
        </w:rPr>
        <w:t>在征集过程中与征集人进行协商谈判、不按照征集文件和成交供应商的响应文件订立合同，或者与采购人另行订立背离合同实质性内容协议的；</w:t>
      </w:r>
    </w:p>
    <w:p>
      <w:pPr>
        <w:numPr>
          <w:ilvl w:val="0"/>
          <w:numId w:val="18"/>
        </w:numPr>
        <w:tabs>
          <w:tab w:val="left" w:pos="420"/>
          <w:tab w:val="left" w:pos="945"/>
          <w:tab w:val="left" w:pos="1155"/>
          <w:tab w:val="clear" w:pos="1710"/>
        </w:tabs>
        <w:spacing w:line="360" w:lineRule="auto"/>
        <w:ind w:left="0" w:firstLine="523" w:firstLineChars="218"/>
        <w:rPr>
          <w:rFonts w:ascii="宋体" w:hAnsi="宋体"/>
          <w:bCs/>
          <w:sz w:val="24"/>
          <w:szCs w:val="24"/>
        </w:rPr>
      </w:pPr>
      <w:r>
        <w:rPr>
          <w:rFonts w:hint="eastAsia" w:ascii="宋体" w:hAnsi="宋体"/>
          <w:bCs/>
          <w:sz w:val="24"/>
          <w:szCs w:val="24"/>
        </w:rPr>
        <w:t>拒绝有关部门监督检查或者提供虚假情况的。</w:t>
      </w:r>
    </w:p>
    <w:p>
      <w:pPr>
        <w:tabs>
          <w:tab w:val="left" w:pos="945"/>
        </w:tabs>
        <w:spacing w:line="360" w:lineRule="auto"/>
        <w:ind w:firstLine="480" w:firstLineChars="200"/>
        <w:outlineLvl w:val="0"/>
        <w:rPr>
          <w:rFonts w:ascii="宋体" w:hAnsi="宋体"/>
          <w:bCs/>
          <w:sz w:val="24"/>
          <w:szCs w:val="24"/>
        </w:rPr>
      </w:pPr>
      <w:r>
        <w:rPr>
          <w:rFonts w:hint="eastAsia" w:ascii="宋体" w:hAnsi="宋体"/>
          <w:bCs/>
          <w:sz w:val="24"/>
          <w:szCs w:val="24"/>
        </w:rPr>
        <w:t>供应商有上述（</w:t>
      </w:r>
      <w:r>
        <w:rPr>
          <w:rFonts w:ascii="宋体" w:hAnsi="宋体"/>
          <w:bCs/>
          <w:sz w:val="24"/>
          <w:szCs w:val="24"/>
        </w:rPr>
        <w:t>1</w:t>
      </w:r>
      <w:r>
        <w:rPr>
          <w:rFonts w:hint="eastAsia" w:ascii="宋体" w:hAnsi="宋体"/>
          <w:bCs/>
          <w:sz w:val="24"/>
          <w:szCs w:val="24"/>
        </w:rPr>
        <w:t>）至（</w:t>
      </w:r>
      <w:r>
        <w:rPr>
          <w:rFonts w:ascii="宋体" w:hAnsi="宋体"/>
          <w:bCs/>
          <w:sz w:val="24"/>
          <w:szCs w:val="24"/>
        </w:rPr>
        <w:t>5</w:t>
      </w:r>
      <w:r>
        <w:rPr>
          <w:rFonts w:hint="eastAsia" w:ascii="宋体" w:hAnsi="宋体"/>
          <w:bCs/>
          <w:sz w:val="24"/>
          <w:szCs w:val="24"/>
        </w:rPr>
        <w:t>）项情形之一的，入围、成交无效。有上述（</w:t>
      </w:r>
      <w:r>
        <w:rPr>
          <w:rFonts w:ascii="宋体" w:hAnsi="宋体"/>
          <w:bCs/>
          <w:sz w:val="24"/>
          <w:szCs w:val="24"/>
        </w:rPr>
        <w:t>1</w:t>
      </w:r>
      <w:r>
        <w:rPr>
          <w:rFonts w:hint="eastAsia" w:ascii="宋体" w:hAnsi="宋体"/>
          <w:bCs/>
          <w:sz w:val="24"/>
          <w:szCs w:val="24"/>
        </w:rPr>
        <w:t>）至（</w:t>
      </w:r>
      <w:r>
        <w:rPr>
          <w:rFonts w:ascii="宋体" w:hAnsi="宋体"/>
          <w:bCs/>
          <w:sz w:val="24"/>
          <w:szCs w:val="24"/>
        </w:rPr>
        <w:t>6</w:t>
      </w:r>
      <w:r>
        <w:rPr>
          <w:rFonts w:hint="eastAsia" w:ascii="宋体" w:hAnsi="宋体"/>
          <w:bCs/>
          <w:sz w:val="24"/>
          <w:szCs w:val="24"/>
        </w:rPr>
        <w:t>）项情形之一的，处以政府采购项目成交金额千分之五以上千分之十以下的罚款，列入不良行为记录名单，在一至三年内禁止参加政府采购（征集）活动，并予以公告，有违法所得的，并处没收违法所得，情节严重的，由工商行政管理机构吊销营业执照；构成犯罪的，依法追究刑事责任。</w:t>
      </w:r>
    </w:p>
    <w:p>
      <w:pPr>
        <w:tabs>
          <w:tab w:val="left" w:pos="945"/>
        </w:tabs>
        <w:spacing w:line="360" w:lineRule="auto"/>
        <w:ind w:firstLine="480" w:firstLineChars="200"/>
        <w:outlineLvl w:val="0"/>
        <w:rPr>
          <w:rFonts w:ascii="黑体" w:hAnsi="宋体" w:eastAsia="黑体"/>
          <w:bCs/>
          <w:sz w:val="24"/>
          <w:szCs w:val="24"/>
        </w:rPr>
      </w:pPr>
      <w:r>
        <w:rPr>
          <w:rFonts w:hint="eastAsia" w:ascii="黑体" w:hAnsi="宋体" w:eastAsia="黑体"/>
          <w:sz w:val="24"/>
          <w:szCs w:val="24"/>
        </w:rPr>
        <w:t>（十三）框架协议</w:t>
      </w:r>
      <w:r>
        <w:rPr>
          <w:rFonts w:hint="eastAsia" w:ascii="黑体" w:hAnsi="宋体" w:eastAsia="黑体"/>
          <w:bCs/>
          <w:sz w:val="24"/>
          <w:szCs w:val="24"/>
        </w:rPr>
        <w:t>的签订：</w:t>
      </w:r>
    </w:p>
    <w:p>
      <w:pPr>
        <w:tabs>
          <w:tab w:val="left" w:pos="945"/>
        </w:tabs>
        <w:spacing w:line="360" w:lineRule="auto"/>
        <w:ind w:firstLine="480" w:firstLineChars="200"/>
        <w:rPr>
          <w:rFonts w:ascii="宋体" w:hAnsi="宋体"/>
          <w:bCs/>
          <w:sz w:val="24"/>
          <w:szCs w:val="24"/>
        </w:rPr>
      </w:pPr>
      <w:r>
        <w:rPr>
          <w:rFonts w:hint="eastAsia" w:ascii="宋体" w:hAnsi="宋体"/>
          <w:bCs/>
          <w:sz w:val="24"/>
          <w:szCs w:val="24"/>
        </w:rPr>
        <w:t>1.无锡市滨湖区公共资源交易中心在入围通知书发出之日起三十日内和入围供应商签订电子框架协议，入围供应商在收到或应当收到入围通知后需及时登录“政府采购交易管理一体化系统”框架协议采购管理模块完成电子框架协议的签订工作。框架协议不得对征集文件确定的事项以及入围供应商的响应文件作实质性修改。入围供应商如无正当理由不及时签订框架协议的，应根据《中华人民共和国政府采购法》、《中华人民共和国政府采购法实施条例》、《政府采购框架协议采购方式管理暂行办法》（中华人民共和国财政部令第110号）等法律法规规定承担相应法律责任。</w:t>
      </w:r>
    </w:p>
    <w:p>
      <w:pPr>
        <w:tabs>
          <w:tab w:val="left" w:pos="945"/>
        </w:tabs>
        <w:spacing w:line="360" w:lineRule="auto"/>
        <w:ind w:firstLine="480" w:firstLineChars="200"/>
        <w:rPr>
          <w:rFonts w:ascii="宋体" w:hAnsi="宋体"/>
          <w:bCs/>
          <w:sz w:val="24"/>
          <w:szCs w:val="24"/>
        </w:rPr>
      </w:pPr>
      <w:r>
        <w:rPr>
          <w:rFonts w:hint="eastAsia" w:ascii="宋体" w:hAnsi="宋体"/>
          <w:bCs/>
          <w:sz w:val="24"/>
          <w:szCs w:val="24"/>
        </w:rPr>
        <w:t>2.征集文件、入围供应商的响应文件及评审过程中有关澄清、承诺文件均应作为框架协议的附件。</w:t>
      </w:r>
    </w:p>
    <w:p>
      <w:pPr>
        <w:tabs>
          <w:tab w:val="left" w:pos="945"/>
        </w:tabs>
        <w:spacing w:line="360" w:lineRule="auto"/>
        <w:ind w:firstLine="480" w:firstLineChars="200"/>
        <w:rPr>
          <w:rFonts w:ascii="宋体" w:hAnsi="宋体"/>
          <w:bCs/>
          <w:sz w:val="24"/>
          <w:szCs w:val="24"/>
        </w:rPr>
      </w:pPr>
      <w:r>
        <w:rPr>
          <w:rFonts w:hint="eastAsia" w:ascii="宋体" w:hAnsi="宋体"/>
          <w:bCs/>
          <w:sz w:val="24"/>
          <w:szCs w:val="24"/>
        </w:rPr>
        <w:t>3.签订框架协议后，入围供应商不得将产品及其他相关服务进行转包。未经采购人同意，入围供应商也不得采用分包的形式履行合同，否则无锡市滨湖区公共资源交易中心有权终止框架协议，采购人有权终止采购合同。转包或分包造成无锡市滨湖区公共资源交易中心或采购人损失的，入围供应商及其委托代理商应承担相应赔偿责任。</w:t>
      </w:r>
    </w:p>
    <w:p>
      <w:pPr>
        <w:tabs>
          <w:tab w:val="left" w:pos="945"/>
        </w:tabs>
        <w:spacing w:line="360" w:lineRule="auto"/>
        <w:ind w:firstLine="480" w:firstLineChars="200"/>
        <w:rPr>
          <w:rFonts w:ascii="宋体" w:hAnsi="宋体"/>
          <w:bCs/>
          <w:sz w:val="24"/>
          <w:szCs w:val="24"/>
        </w:rPr>
      </w:pPr>
      <w:r>
        <w:rPr>
          <w:rFonts w:hint="eastAsia" w:ascii="宋体" w:hAnsi="宋体"/>
          <w:bCs/>
          <w:sz w:val="24"/>
          <w:szCs w:val="24"/>
        </w:rPr>
        <w:t>4.入围供应商非因不可抗力未履行征集文件、响应文件和合同规定的义务，一经查实，征集人将根据具体情况提请市政府采购监督管理部门作出相应处理。</w:t>
      </w:r>
    </w:p>
    <w:p>
      <w:pPr>
        <w:tabs>
          <w:tab w:val="left" w:pos="945"/>
        </w:tabs>
        <w:spacing w:line="360" w:lineRule="auto"/>
        <w:ind w:firstLine="480" w:firstLineChars="200"/>
        <w:outlineLvl w:val="0"/>
        <w:rPr>
          <w:rFonts w:ascii="黑体" w:hAnsi="宋体" w:eastAsia="黑体"/>
          <w:sz w:val="24"/>
          <w:szCs w:val="24"/>
        </w:rPr>
      </w:pPr>
      <w:r>
        <w:rPr>
          <w:rFonts w:hint="eastAsia" w:ascii="黑体" w:hAnsi="宋体" w:eastAsia="黑体"/>
          <w:sz w:val="24"/>
          <w:szCs w:val="24"/>
        </w:rPr>
        <w:t>（十四）入围供应商的清退和补充规则</w:t>
      </w:r>
    </w:p>
    <w:p>
      <w:pPr>
        <w:tabs>
          <w:tab w:val="left" w:pos="945"/>
        </w:tabs>
        <w:spacing w:line="360" w:lineRule="auto"/>
        <w:ind w:firstLine="480" w:firstLineChars="200"/>
        <w:rPr>
          <w:rFonts w:ascii="宋体" w:hAnsi="宋体"/>
          <w:bCs/>
          <w:sz w:val="24"/>
          <w:szCs w:val="24"/>
        </w:rPr>
      </w:pPr>
      <w:r>
        <w:rPr>
          <w:rFonts w:hint="eastAsia" w:ascii="宋体" w:hAnsi="宋体"/>
          <w:bCs/>
          <w:sz w:val="24"/>
          <w:szCs w:val="24"/>
        </w:rPr>
        <w:t>1.清退规则：入围供应商存在《政府采购框架协议采购方式管理暂行办法》第十九条规定情形以及征集文件中规定的其他相应情形的，尚未签订框架协议的，取消其入围资格；已经签订框架协议的，解除与其签订的框架协议。</w:t>
      </w:r>
    </w:p>
    <w:p>
      <w:pPr>
        <w:tabs>
          <w:tab w:val="left" w:pos="945"/>
        </w:tabs>
        <w:spacing w:line="360" w:lineRule="auto"/>
        <w:ind w:firstLine="480" w:firstLineChars="200"/>
        <w:rPr>
          <w:rFonts w:ascii="宋体" w:hAnsi="宋体"/>
          <w:bCs/>
          <w:sz w:val="24"/>
          <w:szCs w:val="24"/>
        </w:rPr>
      </w:pPr>
      <w:r>
        <w:rPr>
          <w:rFonts w:hint="eastAsia" w:ascii="宋体" w:hAnsi="宋体"/>
          <w:bCs/>
          <w:sz w:val="24"/>
          <w:szCs w:val="24"/>
        </w:rPr>
        <w:t>2.补充规则：剩余入围供应商不足入围供应商总数70%且影响框架协议执行的，将按相关规定进行补充征集供应商。补充征集的条件、程序、评审方法和淘汰比例与初次征集相同。补充征集遵守原框架协议的有效期。补充征集期间，原框架协议继续履行。</w:t>
      </w:r>
    </w:p>
    <w:p>
      <w:pPr>
        <w:tabs>
          <w:tab w:val="left" w:pos="945"/>
        </w:tabs>
        <w:spacing w:line="360" w:lineRule="auto"/>
        <w:ind w:firstLine="480" w:firstLineChars="200"/>
        <w:outlineLvl w:val="0"/>
        <w:rPr>
          <w:rFonts w:ascii="黑体" w:hAnsi="宋体" w:eastAsia="黑体"/>
          <w:bCs/>
          <w:sz w:val="24"/>
          <w:szCs w:val="24"/>
        </w:rPr>
      </w:pPr>
      <w:r>
        <w:rPr>
          <w:rFonts w:hint="eastAsia" w:ascii="黑体" w:hAnsi="宋体" w:eastAsia="黑体"/>
          <w:bCs/>
          <w:sz w:val="24"/>
          <w:szCs w:val="24"/>
        </w:rPr>
        <w:t>（十五）用户反馈和评价机制</w:t>
      </w:r>
    </w:p>
    <w:p>
      <w:pPr>
        <w:tabs>
          <w:tab w:val="left" w:pos="945"/>
        </w:tabs>
        <w:spacing w:line="360" w:lineRule="auto"/>
        <w:ind w:firstLine="480" w:firstLineChars="200"/>
        <w:outlineLvl w:val="0"/>
        <w:rPr>
          <w:rFonts w:ascii="宋体" w:hAnsi="宋体"/>
          <w:sz w:val="24"/>
          <w:szCs w:val="24"/>
        </w:rPr>
      </w:pPr>
      <w:r>
        <w:rPr>
          <w:rFonts w:hint="eastAsia" w:ascii="宋体" w:hAnsi="宋体"/>
          <w:bCs/>
          <w:sz w:val="24"/>
          <w:szCs w:val="24"/>
        </w:rPr>
        <w:t>本项目</w:t>
      </w:r>
      <w:r>
        <w:rPr>
          <w:rFonts w:ascii="宋体" w:hAnsi="宋体"/>
          <w:sz w:val="24"/>
          <w:szCs w:val="24"/>
        </w:rPr>
        <w:t>建立</w:t>
      </w:r>
      <w:r>
        <w:rPr>
          <w:rFonts w:hint="eastAsia" w:ascii="宋体" w:hAnsi="宋体"/>
          <w:sz w:val="24"/>
          <w:szCs w:val="24"/>
        </w:rPr>
        <w:t>用户反馈和评价机制，接受采购人和服务对象对入围供应商履行框架协议和采购合同情况的反馈与评价，并将用户反馈和评价情况向采购人和服务对象公开，作为第二阶段直接选定成交供应商的参考。</w:t>
      </w:r>
    </w:p>
    <w:p>
      <w:pPr>
        <w:tabs>
          <w:tab w:val="left" w:pos="945"/>
        </w:tabs>
        <w:spacing w:line="360" w:lineRule="auto"/>
        <w:ind w:firstLine="480" w:firstLineChars="200"/>
        <w:outlineLvl w:val="0"/>
        <w:rPr>
          <w:rFonts w:ascii="宋体" w:hAnsi="宋体"/>
          <w:sz w:val="24"/>
          <w:szCs w:val="24"/>
        </w:rPr>
      </w:pPr>
      <w:r>
        <w:rPr>
          <w:rFonts w:hint="eastAsia" w:ascii="黑体" w:hAnsi="宋体" w:eastAsia="黑体"/>
          <w:bCs/>
          <w:sz w:val="24"/>
          <w:szCs w:val="24"/>
        </w:rPr>
        <w:t>（十六）其他事项</w:t>
      </w:r>
    </w:p>
    <w:p>
      <w:pPr>
        <w:tabs>
          <w:tab w:val="left" w:pos="945"/>
        </w:tabs>
        <w:spacing w:line="360" w:lineRule="auto"/>
        <w:ind w:firstLine="480" w:firstLineChars="200"/>
        <w:outlineLvl w:val="0"/>
        <w:rPr>
          <w:rFonts w:ascii="宋体" w:hAnsi="宋体"/>
          <w:sz w:val="24"/>
          <w:szCs w:val="24"/>
        </w:rPr>
      </w:pPr>
      <w:r>
        <w:rPr>
          <w:rFonts w:hint="eastAsia" w:ascii="宋体" w:hAnsi="宋体"/>
          <w:bCs/>
          <w:sz w:val="24"/>
          <w:szCs w:val="24"/>
        </w:rPr>
        <w:t>1.</w:t>
      </w:r>
      <w:r>
        <w:rPr>
          <w:rFonts w:hint="eastAsia" w:ascii="宋体" w:hAnsi="宋体"/>
          <w:sz w:val="24"/>
          <w:szCs w:val="24"/>
        </w:rPr>
        <w:t>入围供应商须按照征集文件要求和框架协议约定接受采购人或者服务对象的合同授予，并履行政府采购合同。</w:t>
      </w:r>
    </w:p>
    <w:p>
      <w:pPr>
        <w:tabs>
          <w:tab w:val="left" w:pos="945"/>
        </w:tabs>
        <w:spacing w:line="360" w:lineRule="auto"/>
        <w:ind w:firstLine="480" w:firstLineChars="200"/>
        <w:outlineLvl w:val="0"/>
        <w:rPr>
          <w:rFonts w:ascii="宋体" w:hAnsi="宋体"/>
          <w:bCs/>
          <w:sz w:val="24"/>
          <w:szCs w:val="24"/>
        </w:rPr>
      </w:pPr>
      <w:r>
        <w:rPr>
          <w:rFonts w:hint="eastAsia" w:ascii="宋体" w:hAnsi="宋体"/>
          <w:bCs/>
          <w:sz w:val="24"/>
          <w:szCs w:val="24"/>
        </w:rPr>
        <w:t>2.省级以上财政部门规定的其他事项。</w:t>
      </w:r>
    </w:p>
    <w:p>
      <w:pPr>
        <w:tabs>
          <w:tab w:val="left" w:pos="945"/>
        </w:tabs>
        <w:spacing w:line="360" w:lineRule="auto"/>
        <w:ind w:firstLine="480" w:firstLineChars="200"/>
        <w:outlineLvl w:val="0"/>
        <w:rPr>
          <w:rFonts w:ascii="黑体" w:hAnsi="宋体" w:eastAsia="黑体"/>
          <w:bCs/>
          <w:sz w:val="24"/>
          <w:szCs w:val="24"/>
        </w:rPr>
      </w:pPr>
      <w:r>
        <w:rPr>
          <w:rFonts w:hint="eastAsia" w:ascii="黑体" w:hAnsi="宋体" w:eastAsia="黑体"/>
          <w:bCs/>
          <w:sz w:val="24"/>
          <w:szCs w:val="24"/>
        </w:rPr>
        <w:t>（十七）入围服务费：</w:t>
      </w:r>
    </w:p>
    <w:p>
      <w:pPr>
        <w:spacing w:line="360" w:lineRule="auto"/>
        <w:ind w:firstLine="480" w:firstLineChars="200"/>
        <w:rPr>
          <w:rFonts w:ascii="黑体" w:eastAsia="黑体"/>
          <w:bCs/>
          <w:sz w:val="30"/>
          <w:szCs w:val="30"/>
        </w:rPr>
      </w:pPr>
      <w:r>
        <w:rPr>
          <w:rFonts w:hint="eastAsia" w:ascii="宋体" w:hAnsi="宋体"/>
          <w:bCs/>
          <w:sz w:val="24"/>
          <w:szCs w:val="24"/>
        </w:rPr>
        <w:t>本项目征集活动，无锡市滨湖区公共资源交易中心为入围供应商提供免费服务。</w:t>
      </w:r>
    </w:p>
    <w:p>
      <w:pPr>
        <w:widowControl/>
        <w:jc w:val="left"/>
        <w:rPr>
          <w:rFonts w:ascii="黑体" w:eastAsia="黑体"/>
          <w:bCs/>
          <w:sz w:val="30"/>
          <w:szCs w:val="30"/>
        </w:rPr>
      </w:pPr>
      <w:r>
        <w:rPr>
          <w:rFonts w:ascii="黑体" w:eastAsia="黑体"/>
          <w:bCs/>
          <w:sz w:val="30"/>
          <w:szCs w:val="30"/>
        </w:rPr>
        <w:br w:type="page"/>
      </w:r>
    </w:p>
    <w:p>
      <w:pPr>
        <w:spacing w:line="360" w:lineRule="auto"/>
        <w:jc w:val="center"/>
        <w:rPr>
          <w:rFonts w:ascii="黑体" w:eastAsia="黑体"/>
          <w:bCs/>
          <w:sz w:val="30"/>
          <w:szCs w:val="30"/>
        </w:rPr>
      </w:pPr>
      <w:r>
        <w:rPr>
          <w:rFonts w:hint="eastAsia" w:ascii="黑体" w:eastAsia="黑体"/>
          <w:bCs/>
          <w:sz w:val="30"/>
          <w:szCs w:val="30"/>
        </w:rPr>
        <w:t>三．</w:t>
      </w:r>
      <w:r>
        <w:rPr>
          <w:rFonts w:hint="eastAsia" w:ascii="黑体" w:eastAsia="黑体"/>
          <w:sz w:val="30"/>
          <w:szCs w:val="30"/>
        </w:rPr>
        <w:t>采购需求和有关说明</w:t>
      </w:r>
    </w:p>
    <w:p>
      <w:pPr>
        <w:spacing w:after="5" w:line="360" w:lineRule="auto"/>
        <w:ind w:firstLine="480" w:firstLineChars="200"/>
        <w:rPr>
          <w:rFonts w:ascii="宋体" w:hAnsi="宋体"/>
          <w:sz w:val="24"/>
          <w:szCs w:val="24"/>
        </w:rPr>
      </w:pPr>
      <w:r>
        <w:rPr>
          <w:rFonts w:hint="eastAsia" w:ascii="宋体" w:hAnsi="宋体"/>
          <w:sz w:val="24"/>
          <w:szCs w:val="24"/>
        </w:rPr>
        <w:t>供应商所报内容必须满足以下要求，不得有负偏离。</w:t>
      </w:r>
    </w:p>
    <w:p>
      <w:pPr>
        <w:spacing w:after="5" w:line="360" w:lineRule="auto"/>
        <w:ind w:firstLine="480" w:firstLineChars="200"/>
        <w:rPr>
          <w:rFonts w:ascii="黑体" w:eastAsia="黑体"/>
          <w:sz w:val="24"/>
          <w:szCs w:val="24"/>
          <w:u w:color="000000"/>
        </w:rPr>
      </w:pPr>
      <w:r>
        <w:rPr>
          <w:rFonts w:hint="eastAsia" w:ascii="黑体" w:eastAsia="黑体"/>
          <w:sz w:val="24"/>
          <w:szCs w:val="24"/>
          <w:u w:color="000000"/>
        </w:rPr>
        <w:t>（一）采购需求</w:t>
      </w:r>
    </w:p>
    <w:p>
      <w:pPr>
        <w:spacing w:line="360" w:lineRule="auto"/>
        <w:ind w:firstLine="600"/>
        <w:rPr>
          <w:rFonts w:ascii="宋体" w:hAnsi="宋体"/>
          <w:b/>
          <w:sz w:val="24"/>
          <w:szCs w:val="24"/>
        </w:rPr>
      </w:pPr>
      <w:r>
        <w:rPr>
          <w:rFonts w:hint="eastAsia" w:ascii="宋体" w:hAnsi="宋体"/>
          <w:b/>
          <w:sz w:val="24"/>
          <w:szCs w:val="24"/>
        </w:rPr>
        <w:t>1.项目概况</w:t>
      </w:r>
    </w:p>
    <w:p>
      <w:pPr>
        <w:spacing w:line="360" w:lineRule="auto"/>
        <w:ind w:firstLine="600"/>
        <w:rPr>
          <w:rFonts w:ascii="宋体" w:hAnsi="宋体"/>
          <w:sz w:val="24"/>
          <w:szCs w:val="24"/>
        </w:rPr>
      </w:pPr>
      <w:r>
        <w:rPr>
          <w:rFonts w:hint="eastAsia" w:ascii="宋体" w:hAnsi="宋体"/>
          <w:sz w:val="24"/>
          <w:szCs w:val="24"/>
        </w:rPr>
        <w:t>1.1  项目名称：2023-2025年度无锡市滨湖区车辆维修和保养服务框架协议采购</w:t>
      </w:r>
    </w:p>
    <w:p>
      <w:pPr>
        <w:spacing w:line="360" w:lineRule="auto"/>
        <w:ind w:firstLine="600"/>
        <w:rPr>
          <w:rFonts w:ascii="宋体" w:hAnsi="宋体"/>
          <w:sz w:val="24"/>
          <w:szCs w:val="24"/>
        </w:rPr>
      </w:pPr>
      <w:r>
        <w:rPr>
          <w:rFonts w:hint="eastAsia" w:ascii="宋体" w:hAnsi="宋体"/>
          <w:sz w:val="24"/>
          <w:szCs w:val="24"/>
        </w:rPr>
        <w:t>1.2  框架协议的期限：2023年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1</w:t>
      </w:r>
      <w:r>
        <w:rPr>
          <w:rFonts w:hint="eastAsia" w:ascii="宋体" w:hAnsi="宋体"/>
          <w:sz w:val="24"/>
          <w:szCs w:val="24"/>
        </w:rPr>
        <w:t>日至2025年7月</w:t>
      </w:r>
      <w:r>
        <w:rPr>
          <w:rFonts w:ascii="宋体" w:hAnsi="宋体"/>
          <w:sz w:val="24"/>
          <w:szCs w:val="24"/>
        </w:rPr>
        <w:t>3</w:t>
      </w:r>
      <w:r>
        <w:rPr>
          <w:rFonts w:hint="eastAsia" w:ascii="宋体" w:hAnsi="宋体"/>
          <w:sz w:val="24"/>
          <w:szCs w:val="24"/>
        </w:rPr>
        <w:t>1日（本项目框架协议的期限暂定为2年，若省厅另有统一征集的，按省厅征集要求及结果执行）</w:t>
      </w:r>
    </w:p>
    <w:p>
      <w:pPr>
        <w:spacing w:line="360" w:lineRule="auto"/>
        <w:ind w:firstLine="600"/>
        <w:rPr>
          <w:rFonts w:ascii="宋体" w:hAnsi="宋体"/>
          <w:sz w:val="24"/>
          <w:szCs w:val="24"/>
        </w:rPr>
      </w:pPr>
      <w:r>
        <w:rPr>
          <w:rFonts w:hint="eastAsia" w:ascii="宋体" w:hAnsi="宋体"/>
          <w:sz w:val="24"/>
          <w:szCs w:val="24"/>
        </w:rPr>
        <w:t>1.3  采购方式：封闭式框架协议采购</w:t>
      </w:r>
    </w:p>
    <w:p>
      <w:pPr>
        <w:spacing w:line="360" w:lineRule="auto"/>
        <w:ind w:firstLine="600"/>
        <w:rPr>
          <w:rFonts w:ascii="宋体" w:hAnsi="宋体"/>
          <w:sz w:val="24"/>
          <w:szCs w:val="24"/>
        </w:rPr>
      </w:pPr>
      <w:r>
        <w:rPr>
          <w:rFonts w:hint="eastAsia" w:ascii="宋体" w:hAnsi="宋体"/>
          <w:sz w:val="24"/>
          <w:szCs w:val="24"/>
        </w:rPr>
        <w:t>1.4  征集人：无锡市滨湖区公共资源交易中心</w:t>
      </w:r>
    </w:p>
    <w:p>
      <w:pPr>
        <w:spacing w:line="360" w:lineRule="auto"/>
        <w:ind w:firstLine="600"/>
        <w:rPr>
          <w:rFonts w:ascii="宋体" w:hAnsi="宋体"/>
          <w:sz w:val="24"/>
          <w:szCs w:val="24"/>
        </w:rPr>
      </w:pPr>
      <w:r>
        <w:rPr>
          <w:rFonts w:hint="eastAsia" w:ascii="宋体" w:hAnsi="宋体"/>
          <w:sz w:val="24"/>
          <w:szCs w:val="24"/>
        </w:rPr>
        <w:t>1.5  适用框架协议的采购人或服务对象范围：无锡市滨湖区的国家机关、事业单位和团体组织</w:t>
      </w:r>
    </w:p>
    <w:p>
      <w:pPr>
        <w:spacing w:line="360" w:lineRule="auto"/>
        <w:ind w:firstLine="600"/>
        <w:rPr>
          <w:rFonts w:ascii="宋体" w:hAnsi="宋体"/>
          <w:sz w:val="24"/>
          <w:szCs w:val="24"/>
        </w:rPr>
      </w:pPr>
      <w:r>
        <w:rPr>
          <w:rFonts w:hint="eastAsia" w:ascii="宋体" w:hAnsi="宋体"/>
          <w:sz w:val="24"/>
          <w:szCs w:val="24"/>
        </w:rPr>
        <w:t>1.6  采购标段的划分：</w:t>
      </w:r>
      <w:bookmarkStart w:id="6" w:name="_Hlk136287231"/>
      <w:r>
        <w:rPr>
          <w:rFonts w:hint="eastAsia" w:ascii="宋体" w:hAnsi="宋体"/>
          <w:sz w:val="24"/>
          <w:szCs w:val="24"/>
        </w:rPr>
        <w:t>本框架协议采购项目分为A、B两个标段。</w:t>
      </w:r>
      <w:bookmarkEnd w:id="6"/>
    </w:p>
    <w:p>
      <w:pPr>
        <w:spacing w:line="360" w:lineRule="auto"/>
        <w:ind w:firstLine="600"/>
        <w:rPr>
          <w:rFonts w:ascii="宋体" w:hAnsi="宋体"/>
          <w:sz w:val="24"/>
          <w:szCs w:val="24"/>
        </w:rPr>
      </w:pPr>
      <w:r>
        <w:rPr>
          <w:rFonts w:hint="eastAsia" w:ascii="宋体" w:hAnsi="宋体"/>
          <w:sz w:val="24"/>
          <w:szCs w:val="24"/>
        </w:rPr>
        <w:t>A标段：</w:t>
      </w:r>
      <w:bookmarkStart w:id="7" w:name="_Hlk136287098"/>
      <w:r>
        <w:rPr>
          <w:rFonts w:hint="eastAsia" w:ascii="宋体" w:hAnsi="宋体"/>
          <w:sz w:val="24"/>
          <w:szCs w:val="24"/>
        </w:rPr>
        <w:t>2023-2025年度无锡市滨湖区车辆维修和保养服务（一类汽车维修）；</w:t>
      </w:r>
      <w:bookmarkEnd w:id="7"/>
    </w:p>
    <w:p>
      <w:pPr>
        <w:spacing w:line="360" w:lineRule="auto"/>
        <w:ind w:firstLine="600"/>
        <w:rPr>
          <w:rFonts w:ascii="宋体" w:hAnsi="宋体"/>
          <w:sz w:val="24"/>
          <w:szCs w:val="24"/>
        </w:rPr>
      </w:pPr>
      <w:r>
        <w:rPr>
          <w:rFonts w:hint="eastAsia" w:ascii="宋体" w:hAnsi="宋体"/>
          <w:sz w:val="24"/>
          <w:szCs w:val="24"/>
        </w:rPr>
        <w:t>B标段：</w:t>
      </w:r>
      <w:bookmarkStart w:id="8" w:name="_Hlk136287113"/>
      <w:r>
        <w:rPr>
          <w:rFonts w:hint="eastAsia" w:ascii="宋体" w:hAnsi="宋体"/>
          <w:sz w:val="24"/>
          <w:szCs w:val="24"/>
        </w:rPr>
        <w:t>2023-2025年度无锡市滨湖区车辆维修和保养服务（二类汽车维修）。</w:t>
      </w:r>
    </w:p>
    <w:bookmarkEnd w:id="8"/>
    <w:p>
      <w:pPr>
        <w:spacing w:line="360" w:lineRule="auto"/>
        <w:ind w:firstLine="600"/>
        <w:rPr>
          <w:rFonts w:ascii="宋体" w:hAnsi="宋体"/>
          <w:b/>
          <w:sz w:val="24"/>
          <w:szCs w:val="24"/>
        </w:rPr>
      </w:pPr>
      <w:r>
        <w:rPr>
          <w:rFonts w:hint="eastAsia" w:ascii="宋体" w:hAnsi="宋体"/>
          <w:b/>
          <w:sz w:val="24"/>
          <w:szCs w:val="24"/>
        </w:rPr>
        <w:t>2.商务要求</w:t>
      </w:r>
    </w:p>
    <w:p>
      <w:pPr>
        <w:spacing w:line="360" w:lineRule="auto"/>
        <w:ind w:firstLine="600"/>
        <w:rPr>
          <w:rFonts w:ascii="宋体" w:hAnsi="宋体"/>
          <w:sz w:val="24"/>
          <w:szCs w:val="24"/>
        </w:rPr>
      </w:pPr>
      <w:r>
        <w:rPr>
          <w:rFonts w:hint="eastAsia" w:ascii="宋体" w:hAnsi="宋体"/>
          <w:sz w:val="24"/>
          <w:szCs w:val="24"/>
        </w:rPr>
        <w:t>2.1  报价要求</w:t>
      </w:r>
    </w:p>
    <w:p>
      <w:pPr>
        <w:spacing w:line="360" w:lineRule="auto"/>
        <w:ind w:firstLine="600"/>
        <w:rPr>
          <w:rFonts w:ascii="宋体" w:hAnsi="宋体"/>
          <w:sz w:val="24"/>
          <w:szCs w:val="24"/>
        </w:rPr>
      </w:pPr>
      <w:r>
        <w:rPr>
          <w:rFonts w:hint="eastAsia" w:ascii="宋体" w:hAnsi="宋体"/>
          <w:sz w:val="24"/>
          <w:szCs w:val="24"/>
        </w:rPr>
        <w:t>（1）本框架协议采购项目分为A、B两个标段：</w:t>
      </w:r>
    </w:p>
    <w:p>
      <w:pPr>
        <w:spacing w:line="360" w:lineRule="auto"/>
        <w:ind w:firstLine="600"/>
        <w:rPr>
          <w:rFonts w:ascii="宋体" w:hAnsi="宋体"/>
          <w:sz w:val="24"/>
          <w:szCs w:val="24"/>
        </w:rPr>
      </w:pPr>
      <w:r>
        <w:rPr>
          <w:rFonts w:hint="eastAsia" w:ascii="宋体" w:hAnsi="宋体"/>
          <w:sz w:val="24"/>
          <w:szCs w:val="24"/>
        </w:rPr>
        <w:t>A标段：2023-2025年度无锡市滨湖区车辆维修和保养服务（一类汽车维修）；</w:t>
      </w:r>
    </w:p>
    <w:p>
      <w:pPr>
        <w:spacing w:line="360" w:lineRule="auto"/>
        <w:ind w:firstLine="600"/>
        <w:rPr>
          <w:rFonts w:ascii="宋体" w:hAnsi="宋体"/>
          <w:sz w:val="24"/>
          <w:szCs w:val="24"/>
        </w:rPr>
      </w:pPr>
      <w:r>
        <w:rPr>
          <w:rFonts w:hint="eastAsia" w:ascii="宋体" w:hAnsi="宋体"/>
          <w:sz w:val="24"/>
          <w:szCs w:val="24"/>
        </w:rPr>
        <w:t>B标段：2023-2025年度无锡市滨湖区车辆维修和保养服务（二类汽车维修）；</w:t>
      </w:r>
    </w:p>
    <w:p>
      <w:pPr>
        <w:spacing w:line="360" w:lineRule="auto"/>
        <w:ind w:firstLine="600"/>
        <w:rPr>
          <w:rFonts w:hint="eastAsia" w:ascii="宋体" w:hAnsi="宋体"/>
          <w:sz w:val="24"/>
          <w:szCs w:val="24"/>
        </w:rPr>
      </w:pPr>
      <w:bookmarkStart w:id="9" w:name="_Hlk136287282"/>
      <w:r>
        <w:rPr>
          <w:rFonts w:hint="eastAsia" w:ascii="宋体" w:hAnsi="宋体"/>
          <w:sz w:val="24"/>
          <w:szCs w:val="24"/>
        </w:rPr>
        <w:t>一类汽车维修供应商只限于参与A标段报价，如参与B标段报价，</w:t>
      </w:r>
    </w:p>
    <w:p>
      <w:pPr>
        <w:spacing w:line="360" w:lineRule="auto"/>
        <w:ind w:firstLine="600"/>
        <w:rPr>
          <w:rFonts w:ascii="宋体" w:hAnsi="宋体"/>
          <w:sz w:val="24"/>
          <w:szCs w:val="24"/>
        </w:rPr>
      </w:pPr>
      <w:r>
        <w:rPr>
          <w:rFonts w:hint="eastAsia" w:ascii="宋体" w:hAnsi="宋体"/>
          <w:sz w:val="24"/>
          <w:szCs w:val="24"/>
        </w:rPr>
        <w:t>B标段报价将作为无效报价；</w:t>
      </w:r>
    </w:p>
    <w:p>
      <w:pPr>
        <w:spacing w:line="360" w:lineRule="auto"/>
        <w:ind w:firstLine="600"/>
        <w:rPr>
          <w:rFonts w:ascii="宋体" w:hAnsi="宋体"/>
          <w:sz w:val="24"/>
          <w:szCs w:val="24"/>
        </w:rPr>
      </w:pPr>
      <w:r>
        <w:rPr>
          <w:rFonts w:hint="eastAsia" w:ascii="宋体" w:hAnsi="宋体"/>
          <w:sz w:val="24"/>
          <w:szCs w:val="24"/>
        </w:rPr>
        <w:t>二类汽车维修供应商只限于参与B标段报价，如参与A标段报价，A标段报价将作为无效报价。</w:t>
      </w:r>
    </w:p>
    <w:bookmarkEnd w:id="9"/>
    <w:p>
      <w:pPr>
        <w:spacing w:line="360" w:lineRule="auto"/>
        <w:ind w:firstLine="600"/>
        <w:rPr>
          <w:rFonts w:ascii="宋体" w:hAnsi="宋体"/>
          <w:sz w:val="24"/>
          <w:szCs w:val="24"/>
        </w:rPr>
      </w:pPr>
      <w:r>
        <w:rPr>
          <w:rFonts w:hint="eastAsia" w:ascii="宋体" w:hAnsi="宋体"/>
          <w:sz w:val="24"/>
          <w:szCs w:val="24"/>
        </w:rPr>
        <w:t>（2）</w:t>
      </w:r>
      <w:bookmarkStart w:id="10" w:name="_Hlk136287315"/>
      <w:r>
        <w:rPr>
          <w:rFonts w:hint="eastAsia" w:ascii="宋体" w:hAnsi="宋体"/>
          <w:sz w:val="24"/>
          <w:szCs w:val="24"/>
        </w:rPr>
        <w:t>各标段报价均按工时单价和材料进销差价率分别进行报价。所报工时单价和材料进销差价率应按市场价格及自身实际情况客观报价，报价价格均应大于零，否则将被视为无效响应文件。供应商所报价格即为第一阶段入围后的协议价格也是采购人确定第二阶段成交供应商的最高限价。</w:t>
      </w:r>
    </w:p>
    <w:bookmarkEnd w:id="10"/>
    <w:p>
      <w:pPr>
        <w:spacing w:line="360" w:lineRule="auto"/>
        <w:ind w:firstLine="600"/>
        <w:rPr>
          <w:rFonts w:ascii="宋体" w:hAnsi="宋体"/>
          <w:sz w:val="24"/>
          <w:szCs w:val="24"/>
        </w:rPr>
      </w:pPr>
      <w:r>
        <w:rPr>
          <w:rFonts w:hint="eastAsia" w:ascii="宋体" w:hAnsi="宋体"/>
          <w:sz w:val="24"/>
          <w:szCs w:val="24"/>
        </w:rPr>
        <w:t>（3）</w:t>
      </w:r>
      <w:bookmarkStart w:id="11" w:name="_Hlk136287334"/>
      <w:r>
        <w:rPr>
          <w:rFonts w:hint="eastAsia" w:ascii="宋体" w:hAnsi="宋体"/>
          <w:sz w:val="24"/>
          <w:szCs w:val="24"/>
        </w:rPr>
        <w:t>供应商所报工时单价和材料进销差价率的报价最多均只能精确到小数点后两位。即供应商所报工时单价：</w:t>
      </w:r>
      <w:r>
        <w:rPr>
          <w:rFonts w:hint="eastAsia" w:ascii="宋体" w:hAnsi="宋体"/>
          <w:sz w:val="24"/>
          <w:szCs w:val="24"/>
          <w:u w:val="single"/>
        </w:rPr>
        <w:t xml:space="preserve"> a </w:t>
      </w:r>
      <w:r>
        <w:rPr>
          <w:rFonts w:hint="eastAsia" w:ascii="宋体" w:hAnsi="宋体"/>
          <w:sz w:val="24"/>
          <w:szCs w:val="24"/>
        </w:rPr>
        <w:t>元/工时，材料进销差价率：</w:t>
      </w:r>
      <w:r>
        <w:rPr>
          <w:rFonts w:hint="eastAsia" w:ascii="宋体" w:hAnsi="宋体"/>
          <w:sz w:val="24"/>
          <w:szCs w:val="24"/>
          <w:u w:val="single"/>
        </w:rPr>
        <w:t xml:space="preserve"> b </w:t>
      </w:r>
      <w:r>
        <w:rPr>
          <w:rFonts w:hint="eastAsia" w:ascii="宋体" w:hAnsi="宋体"/>
          <w:sz w:val="24"/>
          <w:szCs w:val="24"/>
        </w:rPr>
        <w:t>%；则a值和b值最多均只能精确到小数点后两位。否则将被视为无效响应文件。</w:t>
      </w:r>
    </w:p>
    <w:bookmarkEnd w:id="11"/>
    <w:p>
      <w:pPr>
        <w:spacing w:line="360" w:lineRule="auto"/>
        <w:ind w:firstLine="600"/>
        <w:rPr>
          <w:rFonts w:ascii="宋体" w:hAnsi="宋体"/>
          <w:sz w:val="24"/>
          <w:szCs w:val="24"/>
        </w:rPr>
      </w:pPr>
      <w:r>
        <w:rPr>
          <w:rFonts w:hint="eastAsia" w:ascii="宋体" w:hAnsi="宋体"/>
          <w:sz w:val="24"/>
          <w:szCs w:val="24"/>
        </w:rPr>
        <w:t>（4）</w:t>
      </w:r>
      <w:bookmarkStart w:id="12" w:name="_Hlk136287356"/>
      <w:r>
        <w:rPr>
          <w:rFonts w:hint="eastAsia" w:ascii="宋体" w:hAnsi="宋体"/>
          <w:sz w:val="24"/>
          <w:szCs w:val="24"/>
        </w:rPr>
        <w:t>工时定额按照</w:t>
      </w:r>
      <w:bookmarkStart w:id="13" w:name="_Hlk136285848"/>
      <w:r>
        <w:rPr>
          <w:rFonts w:hint="eastAsia" w:ascii="宋体" w:hAnsi="宋体"/>
          <w:sz w:val="24"/>
          <w:szCs w:val="24"/>
        </w:rPr>
        <w:t>《江苏省机动车维修结算工时定额与收费指南》（2014版）</w:t>
      </w:r>
      <w:bookmarkEnd w:id="13"/>
      <w:r>
        <w:rPr>
          <w:rFonts w:hint="eastAsia" w:ascii="宋体" w:hAnsi="宋体"/>
          <w:sz w:val="24"/>
          <w:szCs w:val="24"/>
        </w:rPr>
        <w:t>执行。材料进销差价率不分购进地区综合比例。</w:t>
      </w:r>
    </w:p>
    <w:bookmarkEnd w:id="12"/>
    <w:p>
      <w:pPr>
        <w:spacing w:line="360" w:lineRule="auto"/>
        <w:ind w:firstLine="600"/>
        <w:rPr>
          <w:rFonts w:ascii="宋体" w:hAnsi="宋体"/>
          <w:sz w:val="24"/>
          <w:szCs w:val="24"/>
        </w:rPr>
      </w:pPr>
      <w:r>
        <w:rPr>
          <w:rFonts w:hint="eastAsia" w:ascii="宋体" w:hAnsi="宋体"/>
          <w:sz w:val="24"/>
          <w:szCs w:val="24"/>
        </w:rPr>
        <w:t>（5）</w:t>
      </w:r>
      <w:bookmarkStart w:id="14" w:name="_Hlk136287379"/>
      <w:r>
        <w:rPr>
          <w:rFonts w:hint="eastAsia" w:ascii="宋体" w:hAnsi="宋体"/>
          <w:sz w:val="24"/>
          <w:szCs w:val="24"/>
        </w:rPr>
        <w:t>最高限制单价</w:t>
      </w:r>
    </w:p>
    <w:p>
      <w:pPr>
        <w:spacing w:line="360" w:lineRule="auto"/>
        <w:ind w:firstLine="600"/>
        <w:rPr>
          <w:rFonts w:ascii="宋体" w:hAnsi="宋体"/>
          <w:sz w:val="24"/>
          <w:szCs w:val="24"/>
        </w:rPr>
      </w:pPr>
      <w:r>
        <w:rPr>
          <w:rFonts w:hint="eastAsia" w:ascii="宋体" w:hAnsi="宋体"/>
          <w:sz w:val="24"/>
          <w:szCs w:val="24"/>
        </w:rPr>
        <w:t>本项目最高限制单价为：</w:t>
      </w:r>
    </w:p>
    <w:p>
      <w:pPr>
        <w:spacing w:line="360" w:lineRule="auto"/>
        <w:ind w:firstLine="600"/>
        <w:rPr>
          <w:rFonts w:ascii="宋体" w:hAnsi="宋体"/>
          <w:sz w:val="24"/>
          <w:szCs w:val="24"/>
        </w:rPr>
      </w:pPr>
      <w:r>
        <w:rPr>
          <w:rFonts w:hint="eastAsia" w:ascii="宋体" w:hAnsi="宋体"/>
          <w:sz w:val="24"/>
          <w:szCs w:val="24"/>
        </w:rPr>
        <w:t>A标段最高限制单价：工时单价：10元/工时，材料进销差价率：10%；</w:t>
      </w:r>
    </w:p>
    <w:p>
      <w:pPr>
        <w:spacing w:line="360" w:lineRule="auto"/>
        <w:ind w:firstLine="600"/>
        <w:rPr>
          <w:rFonts w:ascii="宋体" w:hAnsi="宋体"/>
          <w:sz w:val="24"/>
          <w:szCs w:val="24"/>
        </w:rPr>
      </w:pPr>
      <w:r>
        <w:rPr>
          <w:rFonts w:hint="eastAsia" w:ascii="宋体" w:hAnsi="宋体"/>
          <w:sz w:val="24"/>
          <w:szCs w:val="24"/>
        </w:rPr>
        <w:t>B标段最高限制单价：工时单价：8元/工时，材料进销差价率：10%；</w:t>
      </w:r>
    </w:p>
    <w:p>
      <w:pPr>
        <w:spacing w:line="360" w:lineRule="auto"/>
        <w:ind w:firstLine="600"/>
        <w:rPr>
          <w:rFonts w:ascii="宋体" w:hAnsi="宋体"/>
          <w:sz w:val="24"/>
          <w:szCs w:val="24"/>
        </w:rPr>
      </w:pPr>
      <w:r>
        <w:rPr>
          <w:rFonts w:hint="eastAsia" w:ascii="宋体" w:hAnsi="宋体"/>
          <w:sz w:val="24"/>
          <w:szCs w:val="24"/>
        </w:rPr>
        <w:t>供应商报价时不得超过所报标段最高限制单价，否则将被视为无效响应文件。</w:t>
      </w:r>
    </w:p>
    <w:bookmarkEnd w:id="14"/>
    <w:p>
      <w:pPr>
        <w:spacing w:line="360" w:lineRule="auto"/>
        <w:ind w:firstLine="600"/>
        <w:rPr>
          <w:rFonts w:ascii="宋体" w:hAnsi="宋体"/>
          <w:sz w:val="24"/>
          <w:szCs w:val="24"/>
        </w:rPr>
      </w:pPr>
      <w:r>
        <w:rPr>
          <w:rFonts w:hint="eastAsia" w:ascii="宋体" w:hAnsi="宋体"/>
          <w:sz w:val="24"/>
          <w:szCs w:val="24"/>
        </w:rPr>
        <w:t>2.2  第二阶段费用结算方式</w:t>
      </w:r>
    </w:p>
    <w:p>
      <w:pPr>
        <w:spacing w:line="360" w:lineRule="auto"/>
        <w:ind w:firstLine="600"/>
        <w:rPr>
          <w:rFonts w:ascii="宋体" w:hAnsi="宋体"/>
          <w:sz w:val="24"/>
          <w:szCs w:val="24"/>
        </w:rPr>
      </w:pPr>
      <w:r>
        <w:rPr>
          <w:rFonts w:hint="eastAsia" w:ascii="宋体" w:hAnsi="宋体"/>
          <w:sz w:val="24"/>
          <w:szCs w:val="24"/>
        </w:rPr>
        <w:t>（1）维修结算总费用=工时费用（工时单价×工时定额）＋材料费用[材料购进价格×（1＋材料进销差价率%）]。如有维修诊断费用、检测费用、外加工及其它费用的均按《江苏省机动车维修结算工时定额与收费指南》（2014版）执行。</w:t>
      </w:r>
    </w:p>
    <w:p>
      <w:pPr>
        <w:spacing w:line="360" w:lineRule="auto"/>
        <w:ind w:firstLine="600"/>
        <w:rPr>
          <w:rFonts w:ascii="宋体" w:hAnsi="宋体"/>
          <w:sz w:val="24"/>
          <w:szCs w:val="24"/>
        </w:rPr>
      </w:pPr>
      <w:r>
        <w:rPr>
          <w:rFonts w:hint="eastAsia" w:ascii="宋体" w:hAnsi="宋体"/>
          <w:sz w:val="24"/>
          <w:szCs w:val="24"/>
        </w:rPr>
        <w:t>（2）工时定额按《江苏省机动车维修结算工时定额与收费指南》（2014版）执行。</w:t>
      </w:r>
    </w:p>
    <w:p>
      <w:pPr>
        <w:spacing w:line="360" w:lineRule="auto"/>
        <w:ind w:firstLine="600"/>
        <w:rPr>
          <w:rFonts w:ascii="宋体" w:hAnsi="宋体"/>
          <w:sz w:val="24"/>
          <w:szCs w:val="24"/>
        </w:rPr>
      </w:pPr>
      <w:r>
        <w:rPr>
          <w:rFonts w:hint="eastAsia" w:ascii="宋体" w:hAnsi="宋体"/>
          <w:sz w:val="24"/>
          <w:szCs w:val="24"/>
        </w:rPr>
        <w:t>（3）上述所有费用均为含税价。</w:t>
      </w:r>
    </w:p>
    <w:p>
      <w:pPr>
        <w:spacing w:line="360" w:lineRule="auto"/>
        <w:ind w:firstLine="600"/>
        <w:rPr>
          <w:rFonts w:ascii="宋体" w:hAnsi="宋体"/>
          <w:sz w:val="24"/>
          <w:szCs w:val="24"/>
        </w:rPr>
      </w:pPr>
      <w:r>
        <w:rPr>
          <w:rFonts w:hint="eastAsia" w:ascii="宋体" w:hAnsi="宋体"/>
          <w:sz w:val="24"/>
          <w:szCs w:val="24"/>
        </w:rPr>
        <w:t>（4）供应商履行合同后，依据采购合同的约定，与采购人进行费用结算</w:t>
      </w:r>
      <w:r>
        <w:rPr>
          <w:rFonts w:hint="eastAsia" w:ascii="宋体" w:hAnsi="宋体"/>
          <w:bCs/>
          <w:sz w:val="24"/>
          <w:szCs w:val="24"/>
        </w:rPr>
        <w:t>。</w:t>
      </w:r>
    </w:p>
    <w:p>
      <w:pPr>
        <w:spacing w:line="360" w:lineRule="auto"/>
        <w:ind w:firstLine="600"/>
        <w:rPr>
          <w:rFonts w:ascii="宋体" w:hAnsi="宋体"/>
          <w:sz w:val="24"/>
          <w:szCs w:val="24"/>
        </w:rPr>
      </w:pPr>
      <w:r>
        <w:rPr>
          <w:rFonts w:hint="eastAsia" w:ascii="宋体" w:hAnsi="宋体"/>
          <w:sz w:val="24"/>
          <w:szCs w:val="24"/>
        </w:rPr>
        <w:t>2.3  其它未尽事项参照江苏省质量技术监督局发布的《机动车维修费用结算规范》（DB 32/T 2665-2014）。</w:t>
      </w:r>
    </w:p>
    <w:p>
      <w:pPr>
        <w:spacing w:line="360" w:lineRule="auto"/>
        <w:ind w:firstLine="600"/>
        <w:rPr>
          <w:rFonts w:ascii="宋体" w:hAnsi="宋体"/>
          <w:b/>
          <w:sz w:val="24"/>
          <w:szCs w:val="24"/>
        </w:rPr>
      </w:pPr>
      <w:r>
        <w:rPr>
          <w:rFonts w:hint="eastAsia" w:ascii="宋体" w:hAnsi="宋体"/>
          <w:b/>
          <w:sz w:val="24"/>
          <w:szCs w:val="24"/>
        </w:rPr>
        <w:t>3.技术要求</w:t>
      </w:r>
    </w:p>
    <w:p>
      <w:pPr>
        <w:spacing w:line="360" w:lineRule="auto"/>
        <w:ind w:firstLine="600"/>
        <w:rPr>
          <w:rFonts w:ascii="宋体" w:hAnsi="宋体"/>
          <w:sz w:val="24"/>
          <w:szCs w:val="24"/>
        </w:rPr>
      </w:pPr>
      <w:r>
        <w:rPr>
          <w:rFonts w:hint="eastAsia" w:ascii="宋体" w:hAnsi="宋体"/>
          <w:sz w:val="24"/>
          <w:szCs w:val="24"/>
        </w:rPr>
        <w:t>3.1  服务要求</w:t>
      </w:r>
    </w:p>
    <w:p>
      <w:pPr>
        <w:pStyle w:val="104"/>
        <w:numPr>
          <w:ilvl w:val="3"/>
          <w:numId w:val="19"/>
        </w:numPr>
        <w:spacing w:line="360" w:lineRule="auto"/>
        <w:ind w:left="0" w:firstLine="480"/>
        <w:rPr>
          <w:rFonts w:ascii="宋体" w:hAnsi="宋体"/>
          <w:sz w:val="24"/>
          <w:szCs w:val="24"/>
        </w:rPr>
      </w:pPr>
      <w:r>
        <w:rPr>
          <w:rFonts w:hint="eastAsia" w:ascii="宋体" w:hAnsi="宋体"/>
          <w:sz w:val="24"/>
          <w:szCs w:val="24"/>
        </w:rPr>
        <w:t>维修服务对象及范围：采购人（以下称“托修方”）是无锡市滨湖区的国家机关、事业单位和团体组织，使用财政性资金进行的公务用车（不含摩托车、新能源车）的维修和保养。</w:t>
      </w:r>
    </w:p>
    <w:p>
      <w:pPr>
        <w:pStyle w:val="104"/>
        <w:numPr>
          <w:ilvl w:val="3"/>
          <w:numId w:val="19"/>
        </w:numPr>
        <w:spacing w:line="360" w:lineRule="auto"/>
        <w:ind w:left="0" w:firstLine="480"/>
        <w:rPr>
          <w:rFonts w:ascii="宋体" w:hAnsi="宋体"/>
          <w:sz w:val="24"/>
          <w:szCs w:val="24"/>
        </w:rPr>
      </w:pPr>
      <w:r>
        <w:rPr>
          <w:rFonts w:hint="eastAsia" w:ascii="宋体" w:hAnsi="宋体"/>
          <w:sz w:val="24"/>
          <w:szCs w:val="24"/>
        </w:rPr>
        <w:t>维修服务项目及内容：车辆的维修和保养服务，包括提供车辆整车修理、总成修理、二级维护、一级维护、车辆小修和车辆专项修理、二十四小时维修救援和其他《江苏省机动车维修结算工时定额与收费指南》（2014版）中规定的相关项目。</w:t>
      </w:r>
    </w:p>
    <w:p>
      <w:pPr>
        <w:pStyle w:val="104"/>
        <w:numPr>
          <w:ilvl w:val="3"/>
          <w:numId w:val="19"/>
        </w:numPr>
        <w:spacing w:line="360" w:lineRule="auto"/>
        <w:ind w:left="0" w:firstLine="480"/>
        <w:rPr>
          <w:rFonts w:ascii="宋体" w:hAnsi="宋体"/>
          <w:sz w:val="24"/>
          <w:szCs w:val="24"/>
        </w:rPr>
      </w:pPr>
      <w:r>
        <w:rPr>
          <w:rFonts w:hint="eastAsia" w:ascii="宋体" w:hAnsi="宋体"/>
          <w:sz w:val="24"/>
          <w:szCs w:val="24"/>
        </w:rPr>
        <w:t>服务流程及服务规范按江苏省质量技术监督局发布的《机动车维修服务质量规范》（DB32/T1227—2008）执行。</w:t>
      </w:r>
    </w:p>
    <w:p>
      <w:pPr>
        <w:pStyle w:val="104"/>
        <w:numPr>
          <w:ilvl w:val="3"/>
          <w:numId w:val="19"/>
        </w:numPr>
        <w:spacing w:line="360" w:lineRule="auto"/>
        <w:ind w:left="0" w:firstLine="480"/>
        <w:rPr>
          <w:rFonts w:ascii="宋体" w:hAnsi="宋体"/>
          <w:sz w:val="24"/>
          <w:szCs w:val="24"/>
        </w:rPr>
      </w:pPr>
      <w:r>
        <w:rPr>
          <w:rFonts w:hint="eastAsia" w:ascii="宋体" w:hAnsi="宋体"/>
          <w:sz w:val="24"/>
          <w:szCs w:val="24"/>
        </w:rPr>
        <w:t>维修企业应设有24小时应急电话，在接到托修方报修电话后2小时内予以响应。对托修方所送车辆随到随修，急用急修，小修不过夜，大修不超过预定期限，保证托修方及时用车。</w:t>
      </w:r>
    </w:p>
    <w:p>
      <w:pPr>
        <w:pStyle w:val="104"/>
        <w:numPr>
          <w:ilvl w:val="3"/>
          <w:numId w:val="19"/>
        </w:numPr>
        <w:spacing w:line="360" w:lineRule="auto"/>
        <w:ind w:left="0" w:firstLine="480"/>
        <w:rPr>
          <w:rFonts w:ascii="宋体" w:hAnsi="宋体"/>
          <w:sz w:val="24"/>
          <w:szCs w:val="24"/>
        </w:rPr>
      </w:pPr>
      <w:r>
        <w:rPr>
          <w:rFonts w:hint="eastAsia" w:ascii="宋体" w:hAnsi="宋体"/>
          <w:sz w:val="24"/>
          <w:szCs w:val="24"/>
        </w:rPr>
        <w:t>场地及设施要求：设有合理、明显的指示标志，修理车间布局合理、车间设施良好、修理工位标示明确，企业各功能区标志清晰，有停车场地、接待区、客户休息区。生产场地及设备要求须符合 GB/T 16739.1-2014 标准。</w:t>
      </w:r>
    </w:p>
    <w:p>
      <w:pPr>
        <w:pStyle w:val="104"/>
        <w:numPr>
          <w:ilvl w:val="3"/>
          <w:numId w:val="19"/>
        </w:numPr>
        <w:spacing w:line="360" w:lineRule="auto"/>
        <w:ind w:left="0" w:firstLine="480"/>
        <w:rPr>
          <w:rFonts w:ascii="宋体" w:hAnsi="宋体"/>
          <w:sz w:val="24"/>
          <w:szCs w:val="24"/>
        </w:rPr>
      </w:pPr>
      <w:r>
        <w:rPr>
          <w:rFonts w:hint="eastAsia" w:ascii="宋体" w:hAnsi="宋体"/>
          <w:sz w:val="24"/>
          <w:szCs w:val="24"/>
        </w:rPr>
        <w:t>严格按照交车时限来安排维修服务，不能在规定时限内交车的，要提前与托修方联系，经协调一致后可延期。</w:t>
      </w:r>
    </w:p>
    <w:p>
      <w:pPr>
        <w:pStyle w:val="104"/>
        <w:numPr>
          <w:ilvl w:val="3"/>
          <w:numId w:val="19"/>
        </w:numPr>
        <w:spacing w:line="360" w:lineRule="auto"/>
        <w:ind w:left="0" w:firstLine="480"/>
        <w:rPr>
          <w:rFonts w:ascii="宋体" w:hAnsi="宋体"/>
          <w:sz w:val="24"/>
          <w:szCs w:val="24"/>
        </w:rPr>
      </w:pPr>
      <w:r>
        <w:rPr>
          <w:rFonts w:hint="eastAsia" w:ascii="宋体" w:hAnsi="宋体"/>
          <w:sz w:val="24"/>
          <w:szCs w:val="24"/>
        </w:rPr>
        <w:t>如托修方有要求，维修企业有义务向托修方解释说明维修的项目、作业的内容、配件的来源渠道及价格、维修时间和维修费用。</w:t>
      </w:r>
    </w:p>
    <w:p>
      <w:pPr>
        <w:pStyle w:val="104"/>
        <w:numPr>
          <w:ilvl w:val="3"/>
          <w:numId w:val="19"/>
        </w:numPr>
        <w:spacing w:line="360" w:lineRule="auto"/>
        <w:ind w:left="0" w:firstLine="480"/>
        <w:rPr>
          <w:rFonts w:ascii="宋体" w:hAnsi="宋体"/>
          <w:sz w:val="24"/>
          <w:szCs w:val="24"/>
        </w:rPr>
      </w:pPr>
      <w:r>
        <w:rPr>
          <w:rFonts w:hint="eastAsia" w:ascii="宋体" w:hAnsi="宋体"/>
          <w:sz w:val="24"/>
          <w:szCs w:val="24"/>
        </w:rPr>
        <w:t>协议维修企业不得以任何借口动用公务车，未经托修方允许不得将车开出厂试车或作它用。</w:t>
      </w:r>
    </w:p>
    <w:p>
      <w:pPr>
        <w:pStyle w:val="104"/>
        <w:numPr>
          <w:ilvl w:val="3"/>
          <w:numId w:val="19"/>
        </w:numPr>
        <w:spacing w:line="360" w:lineRule="auto"/>
        <w:ind w:left="0" w:firstLine="480"/>
        <w:rPr>
          <w:rFonts w:ascii="宋体" w:hAnsi="宋体"/>
          <w:sz w:val="24"/>
          <w:szCs w:val="24"/>
        </w:rPr>
      </w:pPr>
      <w:r>
        <w:rPr>
          <w:rFonts w:hint="eastAsia" w:ascii="宋体" w:hAnsi="宋体"/>
          <w:sz w:val="24"/>
          <w:szCs w:val="24"/>
        </w:rPr>
        <w:t>维修企业须建立机动车维修档案并实行档案电子化管理，及时上传维修电子数据记录至市汽车维修电子健康档案系统。</w:t>
      </w:r>
    </w:p>
    <w:p>
      <w:pPr>
        <w:pStyle w:val="104"/>
        <w:numPr>
          <w:ilvl w:val="3"/>
          <w:numId w:val="19"/>
        </w:numPr>
        <w:spacing w:line="360" w:lineRule="auto"/>
        <w:ind w:left="0" w:firstLine="480"/>
        <w:rPr>
          <w:rFonts w:ascii="宋体" w:hAnsi="宋体"/>
          <w:sz w:val="24"/>
          <w:szCs w:val="24"/>
        </w:rPr>
      </w:pPr>
      <w:r>
        <w:rPr>
          <w:rFonts w:hint="eastAsia" w:ascii="宋体" w:hAnsi="宋体"/>
          <w:sz w:val="24"/>
          <w:szCs w:val="24"/>
        </w:rPr>
        <w:t>框架协议期间入围供应商的名称、法定代表人、经营地址等备案事项发生变化的，应当向交通运输主管部门办理备案变更。备案后3个工作日内须向市无锡市滨湖区公共资源交易中心报备并提交备案证明复印件。</w:t>
      </w:r>
    </w:p>
    <w:p>
      <w:pPr>
        <w:pStyle w:val="104"/>
        <w:numPr>
          <w:ilvl w:val="3"/>
          <w:numId w:val="19"/>
        </w:numPr>
        <w:spacing w:line="360" w:lineRule="auto"/>
        <w:ind w:left="0" w:firstLine="480"/>
        <w:rPr>
          <w:rFonts w:ascii="宋体" w:hAnsi="宋体"/>
          <w:sz w:val="24"/>
          <w:szCs w:val="24"/>
        </w:rPr>
      </w:pPr>
      <w:r>
        <w:rPr>
          <w:rFonts w:hint="eastAsia" w:ascii="宋体" w:hAnsi="宋体"/>
          <w:sz w:val="24"/>
          <w:szCs w:val="24"/>
        </w:rPr>
        <w:t>为了统一监管，保障采购人及入围供应商双方的权利和效益，建立以下投诉监管制度。具体方式为：采购人可就入围供应商的维修质量或服务问题向无锡市滨湖区公共资源交易中心、公务用车主管部门、行业主管部门、政采监管部门投诉，除向政采监管部门投诉外，向其他部门投诉的将由该部门收集相关材料后递交政采监管部门，经政采监管部门核查如情况属实则该投诉有效将依规处理。入围供应商可就采购人所提出的除维修或服务以外的要求向政采监管部门反映。</w:t>
      </w:r>
    </w:p>
    <w:p>
      <w:pPr>
        <w:pStyle w:val="104"/>
        <w:numPr>
          <w:ilvl w:val="3"/>
          <w:numId w:val="19"/>
        </w:numPr>
        <w:spacing w:line="360" w:lineRule="auto"/>
        <w:ind w:left="0" w:firstLine="480"/>
        <w:rPr>
          <w:rFonts w:ascii="宋体" w:hAnsi="宋体"/>
          <w:sz w:val="24"/>
          <w:szCs w:val="24"/>
        </w:rPr>
      </w:pPr>
      <w:r>
        <w:rPr>
          <w:rFonts w:hint="eastAsia" w:ascii="宋体" w:hAnsi="宋体"/>
          <w:sz w:val="24"/>
          <w:szCs w:val="24"/>
        </w:rPr>
        <w:t>维修企业须服从无锡市滨湖区公共资源交易中心、公务用车主管部门、行业主管部门、政采监管部门的监督、管理。</w:t>
      </w:r>
    </w:p>
    <w:p>
      <w:pPr>
        <w:pStyle w:val="104"/>
        <w:numPr>
          <w:ilvl w:val="3"/>
          <w:numId w:val="19"/>
        </w:numPr>
        <w:spacing w:line="360" w:lineRule="auto"/>
        <w:ind w:left="0" w:firstLine="480"/>
        <w:rPr>
          <w:rFonts w:ascii="宋体" w:hAnsi="宋体"/>
          <w:sz w:val="24"/>
          <w:szCs w:val="24"/>
        </w:rPr>
      </w:pPr>
      <w:r>
        <w:rPr>
          <w:rFonts w:hint="eastAsia" w:ascii="宋体" w:hAnsi="宋体"/>
          <w:sz w:val="24"/>
          <w:szCs w:val="24"/>
        </w:rPr>
        <w:t>维修企业应严格遵守中华人民共和国交通运输部令（2021年第18号）《机动车维修管理规定》和江苏省人民政府发布的《江苏省机动车维修管理条例》（2021年9月修正）中的相关规定。</w:t>
      </w:r>
    </w:p>
    <w:p>
      <w:pPr>
        <w:spacing w:line="360" w:lineRule="auto"/>
        <w:ind w:firstLine="600"/>
        <w:rPr>
          <w:rFonts w:ascii="宋体" w:hAnsi="宋体"/>
          <w:sz w:val="24"/>
          <w:szCs w:val="24"/>
        </w:rPr>
      </w:pPr>
      <w:r>
        <w:rPr>
          <w:rFonts w:hint="eastAsia" w:ascii="宋体" w:hAnsi="宋体"/>
          <w:sz w:val="24"/>
          <w:szCs w:val="24"/>
        </w:rPr>
        <w:t>3.2  质量要求</w:t>
      </w:r>
    </w:p>
    <w:p>
      <w:pPr>
        <w:numPr>
          <w:ilvl w:val="0"/>
          <w:numId w:val="20"/>
        </w:numPr>
        <w:spacing w:line="360" w:lineRule="auto"/>
        <w:ind w:left="0" w:firstLine="480" w:firstLineChars="200"/>
        <w:rPr>
          <w:rFonts w:ascii="宋体" w:hAnsi="宋体"/>
          <w:sz w:val="24"/>
          <w:szCs w:val="24"/>
        </w:rPr>
      </w:pPr>
      <w:r>
        <w:rPr>
          <w:rFonts w:hint="eastAsia" w:ascii="宋体" w:hAnsi="宋体"/>
          <w:sz w:val="24"/>
          <w:szCs w:val="24"/>
        </w:rPr>
        <w:t>车辆返修率须为零，在质量保证期内，因维修质量造成的直接经济损失，由维修企业负责。被修车辆达不到规定的质量标准和技术要求的，返修不得再计价收费。因维修质量造成的车辆故障或损坏的，维修企业应负责及时返修，由于维修质量问题造成的车辆异常损坏或车辆机件事故的，由维修企业负责，并记录在相关信用档案。</w:t>
      </w:r>
    </w:p>
    <w:p>
      <w:pPr>
        <w:numPr>
          <w:ilvl w:val="0"/>
          <w:numId w:val="20"/>
        </w:numPr>
        <w:spacing w:line="360" w:lineRule="auto"/>
        <w:ind w:left="0" w:firstLine="480" w:firstLineChars="200"/>
        <w:rPr>
          <w:rFonts w:ascii="宋体" w:hAnsi="宋体"/>
          <w:sz w:val="24"/>
          <w:szCs w:val="24"/>
        </w:rPr>
      </w:pPr>
      <w:r>
        <w:rPr>
          <w:rFonts w:hint="eastAsia" w:ascii="宋体" w:hAnsi="宋体"/>
          <w:sz w:val="24"/>
          <w:szCs w:val="24"/>
        </w:rPr>
        <w:t>车辆实行竣工出厂质量保证期：整车修理或总成修理质量保证期为车辆行驶20000公里或者100日；二级维护质量保证期为车辆行驶5000公里或者30日；一级维护、小修及专项修理质量保证期为车辆行驶2000公里或者10日。</w:t>
      </w:r>
    </w:p>
    <w:p>
      <w:pPr>
        <w:numPr>
          <w:ilvl w:val="0"/>
          <w:numId w:val="20"/>
        </w:numPr>
        <w:spacing w:line="360" w:lineRule="auto"/>
        <w:ind w:left="0" w:firstLine="480" w:firstLineChars="200"/>
        <w:rPr>
          <w:rFonts w:ascii="宋体" w:hAnsi="宋体"/>
          <w:sz w:val="24"/>
          <w:szCs w:val="24"/>
        </w:rPr>
      </w:pPr>
      <w:r>
        <w:rPr>
          <w:rFonts w:hint="eastAsia" w:ascii="宋体" w:hAnsi="宋体"/>
          <w:sz w:val="24"/>
          <w:szCs w:val="24"/>
        </w:rPr>
        <w:t>所有维修车辆出厂时必须达到《机动车运行安全技术条件》GB7258-2017等国家安全技术标准及车辆维修标准。</w:t>
      </w:r>
    </w:p>
    <w:p>
      <w:pPr>
        <w:numPr>
          <w:ilvl w:val="0"/>
          <w:numId w:val="20"/>
        </w:numPr>
        <w:spacing w:line="360" w:lineRule="auto"/>
        <w:ind w:left="0" w:firstLine="480" w:firstLineChars="200"/>
        <w:rPr>
          <w:rFonts w:ascii="宋体" w:hAnsi="宋体"/>
          <w:sz w:val="24"/>
          <w:szCs w:val="24"/>
        </w:rPr>
      </w:pPr>
      <w:r>
        <w:rPr>
          <w:rFonts w:hint="eastAsia" w:ascii="宋体" w:hAnsi="宋体"/>
          <w:sz w:val="24"/>
          <w:szCs w:val="24"/>
        </w:rPr>
        <w:t>所采用的零部件、配件等材料必须符合国家或部颁标准和行业标准以及汽车维修相关标准。必须有合法的进货渠道，不得使用不合格产品或假冒伪劣产品或以次充好等。</w:t>
      </w:r>
    </w:p>
    <w:p>
      <w:pPr>
        <w:numPr>
          <w:ilvl w:val="0"/>
          <w:numId w:val="20"/>
        </w:numPr>
        <w:spacing w:line="360" w:lineRule="auto"/>
        <w:ind w:left="0" w:firstLine="480" w:firstLineChars="200"/>
        <w:rPr>
          <w:rFonts w:ascii="宋体" w:hAnsi="宋体"/>
          <w:sz w:val="24"/>
          <w:szCs w:val="24"/>
        </w:rPr>
      </w:pPr>
      <w:r>
        <w:rPr>
          <w:rFonts w:hint="eastAsia" w:ascii="宋体" w:hAnsi="宋体"/>
          <w:sz w:val="24"/>
          <w:szCs w:val="24"/>
        </w:rPr>
        <w:t>关于维修企业的绿色、环保的要求应当符合《无锡市汽车维修行业环境保护治理工作方案》、《汽车维修行业大气污染物排放标准》（DB32/3814—2020）。</w:t>
      </w:r>
    </w:p>
    <w:p>
      <w:pPr>
        <w:spacing w:line="360" w:lineRule="auto"/>
        <w:ind w:firstLine="600"/>
        <w:rPr>
          <w:rFonts w:ascii="宋体" w:hAnsi="宋体"/>
          <w:b/>
          <w:sz w:val="24"/>
          <w:szCs w:val="24"/>
        </w:rPr>
      </w:pPr>
      <w:r>
        <w:rPr>
          <w:rFonts w:hint="eastAsia" w:ascii="宋体" w:hAnsi="宋体"/>
          <w:b/>
          <w:sz w:val="24"/>
          <w:szCs w:val="24"/>
        </w:rPr>
        <w:t>4.二阶段采购合同授予</w:t>
      </w:r>
    </w:p>
    <w:p>
      <w:pPr>
        <w:tabs>
          <w:tab w:val="left" w:pos="525"/>
          <w:tab w:val="left" w:pos="630"/>
          <w:tab w:val="left" w:pos="735"/>
          <w:tab w:val="left" w:pos="945"/>
          <w:tab w:val="left" w:pos="1080"/>
        </w:tabs>
        <w:spacing w:line="440" w:lineRule="exact"/>
        <w:ind w:firstLine="480" w:firstLineChars="200"/>
        <w:rPr>
          <w:rFonts w:ascii="宋体" w:hAnsi="宋体"/>
          <w:bCs/>
          <w:sz w:val="24"/>
          <w:szCs w:val="24"/>
        </w:rPr>
      </w:pPr>
      <w:r>
        <w:rPr>
          <w:rFonts w:hint="eastAsia" w:ascii="宋体" w:hAnsi="宋体"/>
          <w:bCs/>
          <w:sz w:val="24"/>
          <w:szCs w:val="24"/>
        </w:rPr>
        <w:t>4.1  确定第二阶段成交供应商应当由采购人或服务对象依据入围产品价格、质量以及服务便利性、用户评价等因素，从第一阶段入围供应商中直接选定。</w:t>
      </w:r>
    </w:p>
    <w:p>
      <w:pPr>
        <w:tabs>
          <w:tab w:val="left" w:pos="525"/>
          <w:tab w:val="left" w:pos="630"/>
          <w:tab w:val="left" w:pos="735"/>
          <w:tab w:val="left" w:pos="945"/>
          <w:tab w:val="left" w:pos="1080"/>
        </w:tabs>
        <w:spacing w:line="440" w:lineRule="exact"/>
        <w:ind w:firstLine="480" w:firstLineChars="200"/>
        <w:rPr>
          <w:rFonts w:ascii="宋体" w:hAnsi="宋体"/>
          <w:bCs/>
          <w:sz w:val="24"/>
          <w:szCs w:val="24"/>
        </w:rPr>
      </w:pPr>
      <w:r>
        <w:rPr>
          <w:rFonts w:hint="eastAsia" w:ascii="宋体" w:hAnsi="宋体"/>
          <w:bCs/>
          <w:sz w:val="24"/>
          <w:szCs w:val="24"/>
        </w:rPr>
        <w:t>4.2  送修选定流程</w:t>
      </w:r>
    </w:p>
    <w:p>
      <w:pPr>
        <w:spacing w:line="360" w:lineRule="auto"/>
        <w:ind w:firstLine="600"/>
        <w:rPr>
          <w:rFonts w:ascii="宋体" w:hAnsi="宋体"/>
          <w:bCs/>
          <w:sz w:val="24"/>
          <w:szCs w:val="24"/>
        </w:rPr>
      </w:pPr>
      <w:r>
        <w:rPr>
          <w:rFonts w:hint="eastAsia" w:ascii="宋体" w:hAnsi="宋体"/>
          <w:bCs/>
          <w:sz w:val="24"/>
          <w:szCs w:val="24"/>
        </w:rPr>
        <w:t>（1）</w:t>
      </w:r>
      <w:r>
        <w:rPr>
          <w:rFonts w:hint="eastAsia" w:ascii="宋体" w:hAnsi="宋体"/>
          <w:bCs/>
          <w:sz w:val="24"/>
          <w:szCs w:val="24"/>
        </w:rPr>
        <w:tab/>
      </w:r>
      <w:r>
        <w:rPr>
          <w:rFonts w:hint="eastAsia" w:ascii="宋体" w:hAnsi="宋体"/>
          <w:bCs/>
          <w:sz w:val="24"/>
          <w:szCs w:val="24"/>
        </w:rPr>
        <w:t>计划申报</w:t>
      </w:r>
    </w:p>
    <w:p>
      <w:pPr>
        <w:spacing w:line="360" w:lineRule="auto"/>
        <w:ind w:firstLine="600"/>
        <w:rPr>
          <w:rFonts w:ascii="宋体" w:hAnsi="宋体"/>
          <w:bCs/>
          <w:sz w:val="24"/>
          <w:szCs w:val="24"/>
        </w:rPr>
      </w:pPr>
      <w:r>
        <w:rPr>
          <w:rFonts w:hint="eastAsia" w:ascii="宋体" w:hAnsi="宋体"/>
          <w:bCs/>
          <w:sz w:val="24"/>
          <w:szCs w:val="24"/>
        </w:rPr>
        <w:t>采购人通过“无锡市政府采购交易管理一体化系统”（以下简称“系统”）申报车辆维修和保养服务“政府采购计划”，采购人登录“系统”后点击“采购计划申请”，填写计划信息，进行采购计划审批。</w:t>
      </w:r>
    </w:p>
    <w:p>
      <w:pPr>
        <w:spacing w:line="360" w:lineRule="auto"/>
        <w:ind w:firstLine="600"/>
        <w:rPr>
          <w:rFonts w:ascii="宋体" w:hAnsi="宋体"/>
          <w:bCs/>
          <w:sz w:val="24"/>
          <w:szCs w:val="24"/>
        </w:rPr>
      </w:pPr>
      <w:r>
        <w:rPr>
          <w:rFonts w:hint="eastAsia" w:ascii="宋体" w:hAnsi="宋体"/>
          <w:bCs/>
          <w:sz w:val="24"/>
          <w:szCs w:val="24"/>
        </w:rPr>
        <w:t>（2）</w:t>
      </w:r>
      <w:r>
        <w:rPr>
          <w:rFonts w:hint="eastAsia" w:ascii="宋体" w:hAnsi="宋体"/>
          <w:bCs/>
          <w:sz w:val="24"/>
          <w:szCs w:val="24"/>
        </w:rPr>
        <w:tab/>
      </w:r>
      <w:r>
        <w:rPr>
          <w:rFonts w:hint="eastAsia" w:ascii="宋体" w:hAnsi="宋体"/>
          <w:bCs/>
          <w:sz w:val="24"/>
          <w:szCs w:val="24"/>
        </w:rPr>
        <w:t>交易下单</w:t>
      </w:r>
    </w:p>
    <w:p>
      <w:pPr>
        <w:spacing w:line="360" w:lineRule="auto"/>
        <w:ind w:firstLine="600"/>
        <w:rPr>
          <w:rFonts w:ascii="宋体" w:hAnsi="宋体"/>
          <w:bCs/>
          <w:sz w:val="24"/>
          <w:szCs w:val="24"/>
        </w:rPr>
      </w:pPr>
      <w:r>
        <w:rPr>
          <w:rFonts w:hint="eastAsia" w:ascii="宋体" w:hAnsi="宋体"/>
          <w:bCs/>
          <w:sz w:val="24"/>
          <w:szCs w:val="24"/>
        </w:rPr>
        <w:t>采购人登录“系统”——框架协议馆——车辆维修和保养服务页面，结合自身实际需要，详细比对各家入围供应商的基本服务承诺与各项限价，自主选择确定供应商，让其进行报价。各入围供应商应严格按照不高于入围时承诺的工时单价、材料进销差价率进行报价，同时应保证所采用的零配件的进货渠道符合征集文件要求及响应文件承诺。</w:t>
      </w:r>
    </w:p>
    <w:p>
      <w:pPr>
        <w:spacing w:line="360" w:lineRule="auto"/>
        <w:ind w:firstLine="600"/>
        <w:rPr>
          <w:rFonts w:ascii="宋体" w:hAnsi="宋体"/>
          <w:bCs/>
          <w:sz w:val="24"/>
          <w:szCs w:val="24"/>
        </w:rPr>
      </w:pPr>
      <w:r>
        <w:rPr>
          <w:rFonts w:hint="eastAsia" w:ascii="宋体" w:hAnsi="宋体"/>
          <w:bCs/>
          <w:sz w:val="24"/>
          <w:szCs w:val="24"/>
        </w:rPr>
        <w:t>（3）</w:t>
      </w:r>
      <w:r>
        <w:rPr>
          <w:rFonts w:hint="eastAsia" w:ascii="宋体" w:hAnsi="宋体"/>
          <w:bCs/>
          <w:sz w:val="24"/>
          <w:szCs w:val="24"/>
        </w:rPr>
        <w:tab/>
      </w:r>
      <w:r>
        <w:rPr>
          <w:rFonts w:hint="eastAsia" w:ascii="宋体" w:hAnsi="宋体"/>
          <w:bCs/>
          <w:sz w:val="24"/>
          <w:szCs w:val="24"/>
        </w:rPr>
        <w:t>生成合同</w:t>
      </w:r>
    </w:p>
    <w:p>
      <w:pPr>
        <w:spacing w:line="360" w:lineRule="auto"/>
        <w:ind w:firstLine="600"/>
        <w:rPr>
          <w:rFonts w:ascii="宋体" w:hAnsi="宋体"/>
          <w:bCs/>
          <w:sz w:val="24"/>
          <w:szCs w:val="24"/>
        </w:rPr>
      </w:pPr>
      <w:r>
        <w:rPr>
          <w:rFonts w:hint="eastAsia" w:ascii="宋体" w:hAnsi="宋体"/>
          <w:bCs/>
          <w:sz w:val="24"/>
          <w:szCs w:val="24"/>
        </w:rPr>
        <w:t>采购人在“系统”内确认报价后关联政府采购计划，生成采购合同。</w:t>
      </w:r>
    </w:p>
    <w:p>
      <w:pPr>
        <w:spacing w:line="360" w:lineRule="auto"/>
        <w:ind w:firstLine="600"/>
        <w:rPr>
          <w:rFonts w:ascii="宋体" w:hAnsi="宋体"/>
          <w:bCs/>
          <w:sz w:val="24"/>
          <w:szCs w:val="24"/>
        </w:rPr>
      </w:pPr>
      <w:r>
        <w:rPr>
          <w:rFonts w:hint="eastAsia" w:ascii="宋体" w:hAnsi="宋体"/>
          <w:bCs/>
          <w:sz w:val="24"/>
          <w:szCs w:val="24"/>
        </w:rPr>
        <w:t>（4）</w:t>
      </w:r>
      <w:r>
        <w:rPr>
          <w:rFonts w:hint="eastAsia" w:ascii="宋体" w:hAnsi="宋体"/>
          <w:bCs/>
          <w:sz w:val="24"/>
          <w:szCs w:val="24"/>
        </w:rPr>
        <w:tab/>
      </w:r>
      <w:r>
        <w:rPr>
          <w:rFonts w:hint="eastAsia" w:ascii="宋体" w:hAnsi="宋体"/>
          <w:bCs/>
          <w:sz w:val="24"/>
          <w:szCs w:val="24"/>
        </w:rPr>
        <w:t>结算支付</w:t>
      </w:r>
    </w:p>
    <w:p>
      <w:pPr>
        <w:spacing w:line="360" w:lineRule="auto"/>
        <w:ind w:firstLine="600"/>
        <w:rPr>
          <w:rFonts w:ascii="宋体" w:hAnsi="宋体"/>
          <w:bCs/>
          <w:sz w:val="24"/>
          <w:szCs w:val="24"/>
        </w:rPr>
      </w:pPr>
      <w:r>
        <w:rPr>
          <w:rFonts w:hint="eastAsia" w:ascii="宋体" w:hAnsi="宋体"/>
          <w:bCs/>
          <w:sz w:val="24"/>
          <w:szCs w:val="24"/>
        </w:rPr>
        <w:t>车辆维修完成后，采购人在“系统”内完成验收程序后凭采购合同（政府采购公务用车维修委托单）及正规的发票进行结算。</w:t>
      </w:r>
    </w:p>
    <w:p>
      <w:pPr>
        <w:spacing w:line="360" w:lineRule="auto"/>
        <w:ind w:firstLine="600"/>
        <w:rPr>
          <w:rFonts w:ascii="宋体" w:hAnsi="宋体"/>
          <w:bCs/>
          <w:sz w:val="24"/>
          <w:szCs w:val="24"/>
        </w:rPr>
      </w:pPr>
      <w:r>
        <w:rPr>
          <w:rFonts w:hint="eastAsia" w:ascii="宋体" w:hAnsi="宋体"/>
          <w:bCs/>
          <w:sz w:val="24"/>
          <w:szCs w:val="24"/>
        </w:rPr>
        <w:t>（5）</w:t>
      </w:r>
      <w:r>
        <w:rPr>
          <w:rFonts w:hint="eastAsia" w:ascii="宋体" w:hAnsi="宋体"/>
          <w:bCs/>
          <w:sz w:val="24"/>
          <w:szCs w:val="24"/>
        </w:rPr>
        <w:tab/>
      </w:r>
      <w:r>
        <w:rPr>
          <w:rFonts w:hint="eastAsia" w:ascii="宋体" w:hAnsi="宋体"/>
          <w:bCs/>
          <w:sz w:val="24"/>
          <w:szCs w:val="24"/>
        </w:rPr>
        <w:t>订单评价</w:t>
      </w:r>
    </w:p>
    <w:p>
      <w:pPr>
        <w:spacing w:line="360" w:lineRule="auto"/>
        <w:ind w:firstLine="600"/>
        <w:rPr>
          <w:rFonts w:ascii="宋体" w:hAnsi="宋体"/>
          <w:bCs/>
          <w:sz w:val="24"/>
          <w:szCs w:val="24"/>
        </w:rPr>
      </w:pPr>
      <w:r>
        <w:rPr>
          <w:rFonts w:hint="eastAsia" w:ascii="宋体" w:hAnsi="宋体"/>
          <w:bCs/>
          <w:sz w:val="24"/>
          <w:szCs w:val="24"/>
        </w:rPr>
        <w:t>交易结束后，采购人须在订单页面对供应商进行评价。</w:t>
      </w:r>
    </w:p>
    <w:p>
      <w:pPr>
        <w:spacing w:line="360" w:lineRule="auto"/>
        <w:ind w:firstLine="600"/>
        <w:rPr>
          <w:rFonts w:ascii="宋体" w:hAnsi="宋体"/>
          <w:b/>
          <w:sz w:val="24"/>
          <w:szCs w:val="24"/>
        </w:rPr>
      </w:pPr>
      <w:r>
        <w:rPr>
          <w:rFonts w:hint="eastAsia" w:ascii="宋体" w:hAnsi="宋体"/>
          <w:b/>
          <w:sz w:val="24"/>
          <w:szCs w:val="24"/>
        </w:rPr>
        <w:t>5.履约管理要求</w:t>
      </w:r>
    </w:p>
    <w:p>
      <w:pPr>
        <w:tabs>
          <w:tab w:val="left" w:pos="525"/>
          <w:tab w:val="left" w:pos="630"/>
          <w:tab w:val="left" w:pos="735"/>
          <w:tab w:val="left" w:pos="945"/>
          <w:tab w:val="left" w:pos="1080"/>
        </w:tabs>
        <w:spacing w:line="440" w:lineRule="exact"/>
        <w:ind w:firstLine="480" w:firstLineChars="200"/>
        <w:rPr>
          <w:rFonts w:ascii="宋体" w:hAnsi="宋体"/>
          <w:bCs/>
          <w:sz w:val="24"/>
          <w:szCs w:val="24"/>
        </w:rPr>
      </w:pPr>
      <w:r>
        <w:rPr>
          <w:rFonts w:hint="eastAsia" w:ascii="宋体" w:hAnsi="宋体"/>
          <w:bCs/>
          <w:sz w:val="24"/>
          <w:szCs w:val="24"/>
        </w:rPr>
        <w:t>5.1  管理形式</w:t>
      </w:r>
    </w:p>
    <w:p>
      <w:pPr>
        <w:tabs>
          <w:tab w:val="left" w:pos="525"/>
          <w:tab w:val="left" w:pos="630"/>
          <w:tab w:val="left" w:pos="735"/>
          <w:tab w:val="left" w:pos="945"/>
          <w:tab w:val="left" w:pos="1080"/>
        </w:tabs>
        <w:spacing w:line="440" w:lineRule="exact"/>
        <w:ind w:firstLine="480" w:firstLineChars="200"/>
        <w:rPr>
          <w:rFonts w:ascii="宋体" w:hAnsi="宋体"/>
          <w:bCs/>
          <w:sz w:val="24"/>
          <w:szCs w:val="24"/>
        </w:rPr>
      </w:pPr>
      <w:r>
        <w:rPr>
          <w:rFonts w:hint="eastAsia" w:ascii="宋体" w:hAnsi="宋体"/>
          <w:bCs/>
          <w:sz w:val="24"/>
          <w:szCs w:val="24"/>
        </w:rPr>
        <w:t>无锡市滨湖区公共资源交易中心将会同公务用车主管部门、行业主管部门、政采监管部门定期或不定期地对入围供应商的服务质量、履约情况进行监督检查。检查和处理结果将在框架协议系统公布。</w:t>
      </w:r>
    </w:p>
    <w:p>
      <w:pPr>
        <w:tabs>
          <w:tab w:val="left" w:pos="525"/>
          <w:tab w:val="left" w:pos="630"/>
          <w:tab w:val="left" w:pos="735"/>
          <w:tab w:val="left" w:pos="945"/>
          <w:tab w:val="left" w:pos="1080"/>
        </w:tabs>
        <w:spacing w:line="440" w:lineRule="exact"/>
        <w:ind w:firstLine="480" w:firstLineChars="200"/>
        <w:rPr>
          <w:rFonts w:ascii="宋体" w:hAnsi="宋体"/>
          <w:bCs/>
          <w:sz w:val="24"/>
          <w:szCs w:val="24"/>
        </w:rPr>
      </w:pPr>
      <w:r>
        <w:rPr>
          <w:rFonts w:hint="eastAsia" w:ascii="宋体" w:hAnsi="宋体"/>
          <w:bCs/>
          <w:sz w:val="24"/>
          <w:szCs w:val="24"/>
        </w:rPr>
        <w:t>5.2  管理标准</w:t>
      </w:r>
    </w:p>
    <w:p>
      <w:pPr>
        <w:tabs>
          <w:tab w:val="left" w:pos="525"/>
          <w:tab w:val="left" w:pos="630"/>
          <w:tab w:val="left" w:pos="735"/>
          <w:tab w:val="left" w:pos="945"/>
          <w:tab w:val="left" w:pos="1080"/>
        </w:tabs>
        <w:spacing w:line="440" w:lineRule="exact"/>
        <w:ind w:firstLine="480" w:firstLineChars="200"/>
        <w:rPr>
          <w:rFonts w:ascii="宋体" w:hAnsi="宋体"/>
          <w:bCs/>
          <w:sz w:val="24"/>
          <w:szCs w:val="24"/>
        </w:rPr>
      </w:pPr>
      <w:r>
        <w:rPr>
          <w:rFonts w:hint="eastAsia" w:ascii="宋体" w:hAnsi="宋体"/>
          <w:bCs/>
          <w:sz w:val="24"/>
          <w:szCs w:val="24"/>
        </w:rPr>
        <w:t>在监管检查中，如发现以下情形，视为不合格行为。相关部门在核实情况后将对相关责任供应商予以处理：</w:t>
      </w:r>
    </w:p>
    <w:p>
      <w:pPr>
        <w:pStyle w:val="104"/>
        <w:numPr>
          <w:ilvl w:val="0"/>
          <w:numId w:val="21"/>
        </w:numPr>
        <w:tabs>
          <w:tab w:val="left" w:pos="525"/>
          <w:tab w:val="left" w:pos="630"/>
          <w:tab w:val="left" w:pos="735"/>
          <w:tab w:val="left" w:pos="945"/>
          <w:tab w:val="left" w:pos="1080"/>
        </w:tabs>
        <w:spacing w:line="440" w:lineRule="exact"/>
        <w:ind w:left="0" w:firstLine="480"/>
        <w:rPr>
          <w:rFonts w:ascii="宋体" w:hAnsi="宋体"/>
          <w:bCs/>
          <w:sz w:val="24"/>
          <w:szCs w:val="24"/>
        </w:rPr>
      </w:pPr>
      <w:r>
        <w:rPr>
          <w:rFonts w:hint="eastAsia" w:ascii="宋体" w:hAnsi="宋体"/>
          <w:bCs/>
          <w:sz w:val="24"/>
          <w:szCs w:val="24"/>
        </w:rPr>
        <w:t>入围供应商提供的服务不符合国家有关规定、响应承诺和框架协议规定。</w:t>
      </w:r>
    </w:p>
    <w:p>
      <w:pPr>
        <w:pStyle w:val="104"/>
        <w:numPr>
          <w:ilvl w:val="0"/>
          <w:numId w:val="21"/>
        </w:numPr>
        <w:tabs>
          <w:tab w:val="left" w:pos="525"/>
          <w:tab w:val="left" w:pos="630"/>
          <w:tab w:val="left" w:pos="735"/>
          <w:tab w:val="left" w:pos="945"/>
          <w:tab w:val="left" w:pos="1080"/>
        </w:tabs>
        <w:spacing w:line="440" w:lineRule="exact"/>
        <w:ind w:left="0" w:firstLine="480"/>
        <w:rPr>
          <w:rFonts w:ascii="宋体" w:hAnsi="宋体"/>
          <w:bCs/>
          <w:sz w:val="24"/>
          <w:szCs w:val="24"/>
        </w:rPr>
      </w:pPr>
      <w:r>
        <w:rPr>
          <w:rFonts w:hint="eastAsia" w:ascii="宋体" w:hAnsi="宋体"/>
          <w:bCs/>
          <w:sz w:val="24"/>
          <w:szCs w:val="24"/>
        </w:rPr>
        <w:t>无正当理由拒单或不按照承诺提供服务。</w:t>
      </w:r>
    </w:p>
    <w:p>
      <w:pPr>
        <w:pStyle w:val="104"/>
        <w:numPr>
          <w:ilvl w:val="0"/>
          <w:numId w:val="21"/>
        </w:numPr>
        <w:tabs>
          <w:tab w:val="left" w:pos="525"/>
          <w:tab w:val="left" w:pos="630"/>
          <w:tab w:val="left" w:pos="735"/>
          <w:tab w:val="left" w:pos="945"/>
          <w:tab w:val="left" w:pos="1080"/>
        </w:tabs>
        <w:spacing w:line="440" w:lineRule="exact"/>
        <w:ind w:left="0" w:firstLine="480"/>
        <w:rPr>
          <w:rFonts w:ascii="宋体" w:hAnsi="宋体"/>
          <w:bCs/>
          <w:sz w:val="24"/>
          <w:szCs w:val="24"/>
        </w:rPr>
      </w:pPr>
      <w:r>
        <w:rPr>
          <w:rFonts w:hint="eastAsia" w:ascii="宋体" w:hAnsi="宋体"/>
          <w:bCs/>
          <w:sz w:val="24"/>
          <w:szCs w:val="24"/>
        </w:rPr>
        <w:t>具体项目成交价高于其入围价格或服务承诺。</w:t>
      </w:r>
    </w:p>
    <w:p>
      <w:pPr>
        <w:pStyle w:val="104"/>
        <w:numPr>
          <w:ilvl w:val="0"/>
          <w:numId w:val="21"/>
        </w:numPr>
        <w:tabs>
          <w:tab w:val="left" w:pos="525"/>
          <w:tab w:val="left" w:pos="630"/>
          <w:tab w:val="left" w:pos="735"/>
          <w:tab w:val="left" w:pos="945"/>
          <w:tab w:val="left" w:pos="1080"/>
        </w:tabs>
        <w:spacing w:line="440" w:lineRule="exact"/>
        <w:ind w:left="0" w:firstLine="480"/>
        <w:rPr>
          <w:rFonts w:ascii="宋体" w:hAnsi="宋体"/>
          <w:bCs/>
          <w:sz w:val="24"/>
          <w:szCs w:val="24"/>
        </w:rPr>
      </w:pPr>
      <w:r>
        <w:rPr>
          <w:rFonts w:hint="eastAsia" w:ascii="宋体" w:hAnsi="宋体"/>
          <w:bCs/>
          <w:sz w:val="24"/>
          <w:szCs w:val="24"/>
        </w:rPr>
        <w:t>使用不正当竞争手段，影响采购单位正常采购活动。</w:t>
      </w:r>
    </w:p>
    <w:p>
      <w:pPr>
        <w:pStyle w:val="104"/>
        <w:numPr>
          <w:ilvl w:val="0"/>
          <w:numId w:val="21"/>
        </w:numPr>
        <w:tabs>
          <w:tab w:val="left" w:pos="525"/>
          <w:tab w:val="left" w:pos="630"/>
          <w:tab w:val="left" w:pos="735"/>
          <w:tab w:val="left" w:pos="945"/>
          <w:tab w:val="left" w:pos="1080"/>
        </w:tabs>
        <w:spacing w:line="440" w:lineRule="exact"/>
        <w:ind w:left="0" w:firstLine="480"/>
        <w:rPr>
          <w:rFonts w:ascii="宋体" w:hAnsi="宋体"/>
          <w:bCs/>
          <w:sz w:val="24"/>
          <w:szCs w:val="24"/>
        </w:rPr>
      </w:pPr>
      <w:r>
        <w:rPr>
          <w:rFonts w:hint="eastAsia" w:ascii="宋体" w:hAnsi="宋体"/>
          <w:bCs/>
          <w:sz w:val="24"/>
          <w:szCs w:val="24"/>
        </w:rPr>
        <w:t>满意度调查中采购人反馈不满意，经核实确系供应商责任。</w:t>
      </w:r>
    </w:p>
    <w:p>
      <w:pPr>
        <w:pStyle w:val="104"/>
        <w:numPr>
          <w:ilvl w:val="0"/>
          <w:numId w:val="21"/>
        </w:numPr>
        <w:tabs>
          <w:tab w:val="left" w:pos="525"/>
          <w:tab w:val="left" w:pos="630"/>
          <w:tab w:val="left" w:pos="735"/>
          <w:tab w:val="left" w:pos="945"/>
          <w:tab w:val="left" w:pos="1080"/>
        </w:tabs>
        <w:spacing w:line="440" w:lineRule="exact"/>
        <w:ind w:left="0" w:firstLine="480"/>
        <w:rPr>
          <w:rFonts w:ascii="宋体" w:hAnsi="宋体"/>
          <w:bCs/>
          <w:sz w:val="24"/>
          <w:szCs w:val="24"/>
        </w:rPr>
      </w:pPr>
      <w:r>
        <w:rPr>
          <w:rFonts w:hint="eastAsia" w:ascii="宋体" w:hAnsi="宋体"/>
          <w:bCs/>
          <w:sz w:val="24"/>
          <w:szCs w:val="24"/>
        </w:rPr>
        <w:t>其他违法违规行为。</w:t>
      </w:r>
    </w:p>
    <w:p>
      <w:pPr>
        <w:tabs>
          <w:tab w:val="left" w:pos="525"/>
          <w:tab w:val="left" w:pos="630"/>
          <w:tab w:val="left" w:pos="735"/>
          <w:tab w:val="left" w:pos="945"/>
          <w:tab w:val="left" w:pos="1080"/>
        </w:tabs>
        <w:spacing w:line="440" w:lineRule="exact"/>
        <w:ind w:firstLine="480" w:firstLineChars="200"/>
        <w:rPr>
          <w:rFonts w:ascii="宋体" w:hAnsi="宋体"/>
          <w:bCs/>
          <w:sz w:val="24"/>
          <w:szCs w:val="24"/>
        </w:rPr>
      </w:pPr>
      <w:r>
        <w:rPr>
          <w:rFonts w:hint="eastAsia" w:ascii="宋体" w:hAnsi="宋体"/>
          <w:bCs/>
          <w:sz w:val="24"/>
          <w:szCs w:val="24"/>
        </w:rPr>
        <w:t>5.3  管理措施</w:t>
      </w:r>
    </w:p>
    <w:p>
      <w:pPr>
        <w:tabs>
          <w:tab w:val="left" w:pos="525"/>
          <w:tab w:val="left" w:pos="630"/>
          <w:tab w:val="left" w:pos="735"/>
          <w:tab w:val="left" w:pos="945"/>
          <w:tab w:val="left" w:pos="1080"/>
        </w:tabs>
        <w:spacing w:line="440" w:lineRule="exact"/>
        <w:ind w:firstLine="480" w:firstLineChars="200"/>
        <w:rPr>
          <w:rFonts w:ascii="宋体" w:hAnsi="宋体"/>
          <w:bCs/>
          <w:sz w:val="24"/>
          <w:szCs w:val="24"/>
        </w:rPr>
      </w:pPr>
      <w:r>
        <w:rPr>
          <w:rFonts w:hint="eastAsia" w:ascii="宋体" w:hAnsi="宋体"/>
          <w:bCs/>
          <w:sz w:val="24"/>
          <w:szCs w:val="24"/>
        </w:rPr>
        <w:t>对履约监管中发现的不合格行为，按以下措施处理：</w:t>
      </w:r>
    </w:p>
    <w:p>
      <w:pPr>
        <w:pStyle w:val="104"/>
        <w:numPr>
          <w:ilvl w:val="0"/>
          <w:numId w:val="22"/>
        </w:numPr>
        <w:tabs>
          <w:tab w:val="left" w:pos="525"/>
          <w:tab w:val="left" w:pos="630"/>
          <w:tab w:val="left" w:pos="735"/>
          <w:tab w:val="left" w:pos="945"/>
          <w:tab w:val="left" w:pos="1080"/>
        </w:tabs>
        <w:spacing w:line="440" w:lineRule="exact"/>
        <w:ind w:left="0" w:firstLine="480"/>
        <w:rPr>
          <w:rFonts w:ascii="宋体" w:hAnsi="宋体"/>
          <w:bCs/>
          <w:sz w:val="24"/>
          <w:szCs w:val="24"/>
        </w:rPr>
      </w:pPr>
      <w:r>
        <w:rPr>
          <w:rFonts w:hint="eastAsia" w:ascii="宋体" w:hAnsi="宋体"/>
          <w:bCs/>
          <w:sz w:val="24"/>
          <w:szCs w:val="24"/>
        </w:rPr>
        <w:t>整改</w:t>
      </w:r>
    </w:p>
    <w:p>
      <w:pPr>
        <w:tabs>
          <w:tab w:val="left" w:pos="525"/>
          <w:tab w:val="left" w:pos="630"/>
          <w:tab w:val="left" w:pos="735"/>
          <w:tab w:val="left" w:pos="945"/>
          <w:tab w:val="left" w:pos="1080"/>
        </w:tabs>
        <w:spacing w:line="440" w:lineRule="exact"/>
        <w:ind w:firstLine="480" w:firstLineChars="200"/>
        <w:rPr>
          <w:rFonts w:ascii="宋体" w:hAnsi="宋体"/>
          <w:bCs/>
          <w:sz w:val="24"/>
          <w:szCs w:val="24"/>
        </w:rPr>
      </w:pPr>
      <w:r>
        <w:rPr>
          <w:rFonts w:hint="eastAsia" w:ascii="宋体" w:hAnsi="宋体"/>
          <w:bCs/>
          <w:sz w:val="24"/>
          <w:szCs w:val="24"/>
        </w:rPr>
        <w:t>入围供应商在框架协议服务期间存在不合格行为的，由相关部门出具《责令整改通知书》，限定时间完成整改。被开具《责令整改通知书》的供应商，视作差评，记录在案。</w:t>
      </w:r>
    </w:p>
    <w:p>
      <w:pPr>
        <w:pStyle w:val="104"/>
        <w:numPr>
          <w:ilvl w:val="0"/>
          <w:numId w:val="22"/>
        </w:numPr>
        <w:tabs>
          <w:tab w:val="left" w:pos="525"/>
          <w:tab w:val="left" w:pos="630"/>
          <w:tab w:val="left" w:pos="735"/>
          <w:tab w:val="left" w:pos="945"/>
          <w:tab w:val="left" w:pos="1080"/>
        </w:tabs>
        <w:spacing w:line="440" w:lineRule="exact"/>
        <w:ind w:left="0" w:firstLine="480"/>
        <w:rPr>
          <w:rFonts w:ascii="宋体" w:hAnsi="宋体"/>
          <w:bCs/>
          <w:sz w:val="24"/>
          <w:szCs w:val="24"/>
        </w:rPr>
      </w:pPr>
      <w:r>
        <w:rPr>
          <w:rFonts w:hint="eastAsia" w:ascii="宋体" w:hAnsi="宋体"/>
          <w:bCs/>
          <w:sz w:val="24"/>
          <w:szCs w:val="24"/>
        </w:rPr>
        <w:t>暂停交易资格</w:t>
      </w:r>
    </w:p>
    <w:p>
      <w:pPr>
        <w:tabs>
          <w:tab w:val="left" w:pos="525"/>
          <w:tab w:val="left" w:pos="630"/>
          <w:tab w:val="left" w:pos="735"/>
          <w:tab w:val="left" w:pos="945"/>
          <w:tab w:val="left" w:pos="1080"/>
        </w:tabs>
        <w:spacing w:line="440" w:lineRule="exact"/>
        <w:ind w:firstLine="480" w:firstLineChars="200"/>
        <w:rPr>
          <w:rFonts w:ascii="宋体" w:hAnsi="宋体"/>
          <w:bCs/>
          <w:sz w:val="24"/>
          <w:szCs w:val="24"/>
        </w:rPr>
      </w:pPr>
      <w:r>
        <w:rPr>
          <w:rFonts w:hint="eastAsia" w:ascii="宋体" w:hAnsi="宋体"/>
          <w:bCs/>
          <w:sz w:val="24"/>
          <w:szCs w:val="24"/>
        </w:rPr>
        <w:t>对拒不接受相关部门约谈，或者规定时间未按《责令整改通知书》完成整改的供应商，暂停其框架协议交易资格三个月。</w:t>
      </w:r>
    </w:p>
    <w:p>
      <w:pPr>
        <w:pStyle w:val="104"/>
        <w:numPr>
          <w:ilvl w:val="0"/>
          <w:numId w:val="22"/>
        </w:numPr>
        <w:tabs>
          <w:tab w:val="left" w:pos="525"/>
          <w:tab w:val="left" w:pos="630"/>
          <w:tab w:val="left" w:pos="735"/>
          <w:tab w:val="left" w:pos="945"/>
          <w:tab w:val="left" w:pos="1080"/>
        </w:tabs>
        <w:spacing w:line="440" w:lineRule="exact"/>
        <w:ind w:left="0" w:firstLine="480"/>
        <w:rPr>
          <w:rFonts w:ascii="宋体" w:hAnsi="宋体"/>
          <w:bCs/>
          <w:sz w:val="24"/>
          <w:szCs w:val="24"/>
        </w:rPr>
      </w:pPr>
      <w:r>
        <w:rPr>
          <w:rFonts w:hint="eastAsia" w:ascii="宋体" w:hAnsi="宋体"/>
          <w:bCs/>
          <w:sz w:val="24"/>
          <w:szCs w:val="24"/>
        </w:rPr>
        <w:t>终止交易资格</w:t>
      </w:r>
    </w:p>
    <w:p>
      <w:pPr>
        <w:tabs>
          <w:tab w:val="left" w:pos="525"/>
          <w:tab w:val="left" w:pos="630"/>
          <w:tab w:val="left" w:pos="735"/>
          <w:tab w:val="left" w:pos="945"/>
          <w:tab w:val="left" w:pos="1080"/>
        </w:tabs>
        <w:spacing w:line="440" w:lineRule="exact"/>
        <w:ind w:firstLine="480" w:firstLineChars="200"/>
        <w:rPr>
          <w:rFonts w:ascii="宋体" w:hAnsi="宋体"/>
          <w:bCs/>
          <w:sz w:val="24"/>
          <w:szCs w:val="24"/>
        </w:rPr>
      </w:pPr>
      <w:r>
        <w:rPr>
          <w:rFonts w:hint="eastAsia" w:ascii="宋体" w:hAnsi="宋体"/>
          <w:bCs/>
          <w:sz w:val="24"/>
          <w:szCs w:val="24"/>
        </w:rPr>
        <w:t>入围供应商存在财政部第110号令涉及的情形以及无正当理由放弃封闭式框架协议入围资格或者退出封闭式框架协议的，将取消其入围资格，解除与其签订的框架协议，同时依照政府采购法等有关法律、行政法规追究法律责任。</w:t>
      </w:r>
    </w:p>
    <w:p>
      <w:pPr>
        <w:pStyle w:val="104"/>
        <w:numPr>
          <w:ilvl w:val="0"/>
          <w:numId w:val="22"/>
        </w:numPr>
        <w:tabs>
          <w:tab w:val="left" w:pos="525"/>
          <w:tab w:val="left" w:pos="630"/>
          <w:tab w:val="left" w:pos="735"/>
          <w:tab w:val="left" w:pos="945"/>
          <w:tab w:val="left" w:pos="1080"/>
        </w:tabs>
        <w:spacing w:line="440" w:lineRule="exact"/>
        <w:ind w:left="0" w:firstLine="480"/>
        <w:rPr>
          <w:rFonts w:ascii="宋体" w:hAnsi="宋体"/>
          <w:bCs/>
          <w:sz w:val="24"/>
          <w:szCs w:val="24"/>
        </w:rPr>
      </w:pPr>
      <w:r>
        <w:rPr>
          <w:rFonts w:hint="eastAsia" w:ascii="宋体" w:hAnsi="宋体"/>
          <w:bCs/>
          <w:sz w:val="24"/>
          <w:szCs w:val="24"/>
        </w:rPr>
        <w:t>解决争议的方法</w:t>
      </w:r>
    </w:p>
    <w:p>
      <w:pPr>
        <w:tabs>
          <w:tab w:val="left" w:pos="525"/>
          <w:tab w:val="left" w:pos="630"/>
          <w:tab w:val="left" w:pos="735"/>
          <w:tab w:val="left" w:pos="945"/>
          <w:tab w:val="left" w:pos="1080"/>
        </w:tabs>
        <w:spacing w:line="440" w:lineRule="exact"/>
        <w:ind w:firstLine="480" w:firstLineChars="200"/>
        <w:rPr>
          <w:rFonts w:ascii="宋体" w:hAnsi="宋体"/>
          <w:bCs/>
          <w:sz w:val="24"/>
          <w:szCs w:val="24"/>
        </w:rPr>
      </w:pPr>
      <w:r>
        <w:rPr>
          <w:rFonts w:hint="eastAsia" w:ascii="宋体" w:hAnsi="宋体"/>
          <w:bCs/>
          <w:sz w:val="24"/>
          <w:szCs w:val="24"/>
        </w:rPr>
        <w:t>双方在执行合同中所发生的一切争议，应通过协商解决。如协商不成，可向采购人所在地人民法院起诉。</w:t>
      </w:r>
    </w:p>
    <w:p>
      <w:pPr>
        <w:spacing w:after="5" w:line="440" w:lineRule="exact"/>
        <w:ind w:firstLine="480" w:firstLineChars="200"/>
        <w:rPr>
          <w:rFonts w:ascii="黑体" w:hAnsi="宋体" w:eastAsia="黑体"/>
          <w:bCs/>
          <w:sz w:val="24"/>
          <w:szCs w:val="24"/>
        </w:rPr>
      </w:pPr>
    </w:p>
    <w:p>
      <w:pPr>
        <w:spacing w:after="5" w:line="440" w:lineRule="exact"/>
        <w:ind w:firstLine="480" w:firstLineChars="200"/>
        <w:rPr>
          <w:rFonts w:ascii="黑体" w:hAnsi="宋体" w:eastAsia="黑体"/>
          <w:bCs/>
          <w:sz w:val="24"/>
          <w:szCs w:val="24"/>
        </w:rPr>
      </w:pPr>
    </w:p>
    <w:p>
      <w:pPr>
        <w:spacing w:after="5" w:line="440" w:lineRule="exact"/>
        <w:ind w:firstLine="480" w:firstLineChars="200"/>
        <w:rPr>
          <w:rFonts w:ascii="黑体" w:hAnsi="宋体" w:eastAsia="黑体"/>
          <w:bCs/>
          <w:sz w:val="24"/>
          <w:szCs w:val="24"/>
        </w:rPr>
      </w:pPr>
    </w:p>
    <w:p>
      <w:pPr>
        <w:spacing w:after="5" w:line="440" w:lineRule="exact"/>
        <w:ind w:firstLine="480" w:firstLineChars="200"/>
        <w:rPr>
          <w:rFonts w:ascii="黑体" w:hAnsi="宋体" w:eastAsia="黑体"/>
          <w:bCs/>
          <w:sz w:val="24"/>
          <w:szCs w:val="24"/>
        </w:rPr>
      </w:pPr>
    </w:p>
    <w:p>
      <w:pPr>
        <w:spacing w:after="5" w:line="440" w:lineRule="exact"/>
        <w:ind w:firstLine="480" w:firstLineChars="200"/>
        <w:rPr>
          <w:rFonts w:ascii="黑体" w:hAnsi="宋体" w:eastAsia="黑体"/>
          <w:bCs/>
          <w:sz w:val="24"/>
          <w:szCs w:val="24"/>
        </w:rPr>
      </w:pPr>
    </w:p>
    <w:p>
      <w:pPr>
        <w:spacing w:after="5" w:line="440" w:lineRule="exact"/>
        <w:ind w:firstLine="480" w:firstLineChars="200"/>
        <w:rPr>
          <w:rFonts w:ascii="黑体" w:hAnsi="宋体" w:eastAsia="黑体"/>
          <w:bCs/>
          <w:sz w:val="24"/>
          <w:szCs w:val="24"/>
        </w:rPr>
      </w:pPr>
    </w:p>
    <w:p>
      <w:pPr>
        <w:spacing w:after="5" w:line="440" w:lineRule="exact"/>
        <w:ind w:firstLine="480" w:firstLineChars="200"/>
        <w:rPr>
          <w:rFonts w:ascii="黑体" w:hAnsi="宋体" w:eastAsia="黑体"/>
          <w:bCs/>
          <w:sz w:val="24"/>
          <w:szCs w:val="24"/>
        </w:rPr>
      </w:pPr>
    </w:p>
    <w:p>
      <w:pPr>
        <w:spacing w:after="5" w:line="440" w:lineRule="exact"/>
        <w:ind w:firstLine="480" w:firstLineChars="200"/>
        <w:rPr>
          <w:rFonts w:ascii="黑体" w:hAnsi="宋体" w:eastAsia="黑体"/>
          <w:bCs/>
          <w:sz w:val="24"/>
          <w:szCs w:val="24"/>
        </w:rPr>
      </w:pPr>
    </w:p>
    <w:p>
      <w:pPr>
        <w:spacing w:after="5" w:line="440" w:lineRule="exact"/>
        <w:ind w:firstLine="480" w:firstLineChars="200"/>
        <w:rPr>
          <w:rFonts w:ascii="黑体" w:hAnsi="宋体" w:eastAsia="黑体"/>
          <w:bCs/>
          <w:sz w:val="24"/>
          <w:szCs w:val="24"/>
        </w:rPr>
      </w:pPr>
    </w:p>
    <w:p>
      <w:pPr>
        <w:spacing w:after="5" w:line="440" w:lineRule="exact"/>
        <w:ind w:firstLine="480" w:firstLineChars="200"/>
        <w:rPr>
          <w:rFonts w:ascii="黑体" w:hAnsi="宋体" w:eastAsia="黑体"/>
          <w:bCs/>
          <w:sz w:val="24"/>
          <w:szCs w:val="24"/>
        </w:rPr>
      </w:pPr>
      <w:r>
        <w:rPr>
          <w:rFonts w:hint="eastAsia" w:ascii="黑体" w:hAnsi="宋体" w:eastAsia="黑体"/>
          <w:bCs/>
          <w:sz w:val="24"/>
          <w:szCs w:val="24"/>
        </w:rPr>
        <w:t>（二）有关说明</w:t>
      </w:r>
    </w:p>
    <w:p>
      <w:pPr>
        <w:numPr>
          <w:ilvl w:val="1"/>
          <w:numId w:val="23"/>
        </w:numPr>
        <w:tabs>
          <w:tab w:val="left" w:pos="525"/>
          <w:tab w:val="left" w:pos="945"/>
          <w:tab w:val="clear" w:pos="780"/>
        </w:tabs>
        <w:spacing w:line="440" w:lineRule="exact"/>
        <w:ind w:left="0" w:firstLine="525"/>
        <w:rPr>
          <w:rFonts w:ascii="宋体"/>
          <w:bCs/>
          <w:sz w:val="24"/>
          <w:szCs w:val="24"/>
        </w:rPr>
      </w:pPr>
      <w:r>
        <w:rPr>
          <w:rFonts w:hint="eastAsia" w:ascii="宋体" w:hAnsi="宋体"/>
          <w:bCs/>
          <w:sz w:val="24"/>
          <w:szCs w:val="24"/>
        </w:rPr>
        <w:t>供应商框架协议期内的综合报价包括满足本项目服务要求的从项目入围起到项目正式交付所发生的一切费用。</w:t>
      </w:r>
    </w:p>
    <w:p>
      <w:pPr>
        <w:numPr>
          <w:ilvl w:val="1"/>
          <w:numId w:val="23"/>
        </w:numPr>
        <w:tabs>
          <w:tab w:val="left" w:pos="525"/>
          <w:tab w:val="left" w:pos="630"/>
          <w:tab w:val="left" w:pos="735"/>
          <w:tab w:val="left" w:pos="945"/>
          <w:tab w:val="clear" w:pos="780"/>
        </w:tabs>
        <w:spacing w:line="440" w:lineRule="exact"/>
        <w:ind w:left="0" w:firstLine="525"/>
        <w:rPr>
          <w:rFonts w:ascii="宋体" w:hAnsi="宋体"/>
          <w:bCs/>
          <w:sz w:val="24"/>
          <w:szCs w:val="24"/>
        </w:rPr>
      </w:pPr>
      <w:r>
        <w:rPr>
          <w:rFonts w:hint="eastAsia" w:ascii="宋体" w:hAnsi="宋体"/>
          <w:bCs/>
          <w:sz w:val="24"/>
          <w:szCs w:val="24"/>
        </w:rPr>
        <w:t>供应商必须在满足征集文件要求的基础上进行报价，如有偏离请于征集文件需求偏离表中说明。</w:t>
      </w:r>
    </w:p>
    <w:p>
      <w:pPr>
        <w:numPr>
          <w:ilvl w:val="1"/>
          <w:numId w:val="23"/>
        </w:numPr>
        <w:tabs>
          <w:tab w:val="left" w:pos="525"/>
          <w:tab w:val="left" w:pos="630"/>
          <w:tab w:val="left" w:pos="735"/>
          <w:tab w:val="left" w:pos="945"/>
          <w:tab w:val="clear" w:pos="780"/>
        </w:tabs>
        <w:spacing w:line="440" w:lineRule="exact"/>
        <w:ind w:left="0" w:firstLine="525"/>
        <w:rPr>
          <w:rFonts w:ascii="宋体" w:hAnsi="宋体"/>
          <w:bCs/>
          <w:sz w:val="24"/>
          <w:szCs w:val="24"/>
        </w:rPr>
      </w:pPr>
      <w:r>
        <w:rPr>
          <w:rFonts w:hint="eastAsia" w:ascii="宋体" w:hAnsi="宋体"/>
          <w:bCs/>
          <w:sz w:val="24"/>
          <w:szCs w:val="24"/>
        </w:rPr>
        <w:t>质量及验收：采购人根据国家有关规定、征集文件、供应商的响应文件以及合同约定的内容和验收标准进行验收。验收情况作为支付货款的依据。如有质疑，以相关质量技术检验检测机构的检验结果为准，如产生检验费用，则该费用由过失方承担。</w:t>
      </w:r>
    </w:p>
    <w:p>
      <w:pPr>
        <w:numPr>
          <w:ilvl w:val="1"/>
          <w:numId w:val="23"/>
        </w:numPr>
        <w:tabs>
          <w:tab w:val="left" w:pos="525"/>
          <w:tab w:val="left" w:pos="630"/>
          <w:tab w:val="left" w:pos="735"/>
          <w:tab w:val="left" w:pos="945"/>
          <w:tab w:val="clear" w:pos="780"/>
        </w:tabs>
        <w:spacing w:line="440" w:lineRule="exact"/>
        <w:ind w:left="0" w:firstLine="525"/>
        <w:rPr>
          <w:rFonts w:ascii="宋体" w:hAnsi="宋体"/>
          <w:bCs/>
          <w:sz w:val="24"/>
          <w:szCs w:val="24"/>
        </w:rPr>
      </w:pPr>
      <w:r>
        <w:rPr>
          <w:rFonts w:hint="eastAsia" w:ascii="宋体" w:hAnsi="宋体"/>
          <w:bCs/>
          <w:sz w:val="24"/>
          <w:szCs w:val="24"/>
        </w:rPr>
        <w:t>入围供应商为残疾人福利性单位的，其《残疾人福利性单位声明函》将随入围公告同时发布，接受社会监督。供应商提供的《残疾人福利性单位声明函》与事实不符的，依照《政府采购法》第七十七条第一款的规定追究法律责任。</w:t>
      </w:r>
    </w:p>
    <w:p>
      <w:pPr>
        <w:numPr>
          <w:ilvl w:val="1"/>
          <w:numId w:val="23"/>
        </w:numPr>
        <w:tabs>
          <w:tab w:val="left" w:pos="525"/>
          <w:tab w:val="left" w:pos="630"/>
          <w:tab w:val="left" w:pos="735"/>
          <w:tab w:val="left" w:pos="945"/>
          <w:tab w:val="clear" w:pos="780"/>
        </w:tabs>
        <w:spacing w:line="440" w:lineRule="exact"/>
        <w:ind w:left="0" w:firstLine="525"/>
        <w:rPr>
          <w:rFonts w:ascii="宋体" w:hAnsi="宋体"/>
          <w:bCs/>
          <w:sz w:val="24"/>
          <w:szCs w:val="24"/>
        </w:rPr>
      </w:pPr>
      <w:r>
        <w:rPr>
          <w:rFonts w:hint="eastAsia" w:ascii="宋体" w:hAnsi="宋体"/>
          <w:bCs/>
          <w:sz w:val="24"/>
          <w:szCs w:val="24"/>
        </w:rPr>
        <w:t>依据《政府采购促进中小企业发展管理办法》规定享受扶持政策获得政府采购合同的，小微企业不得将合同分包给大中型企业，中型企业不得将合同分包给大型企业。</w:t>
      </w:r>
    </w:p>
    <w:p>
      <w:pPr>
        <w:numPr>
          <w:ilvl w:val="1"/>
          <w:numId w:val="23"/>
        </w:numPr>
        <w:tabs>
          <w:tab w:val="left" w:pos="525"/>
          <w:tab w:val="left" w:pos="630"/>
          <w:tab w:val="left" w:pos="735"/>
          <w:tab w:val="left" w:pos="945"/>
          <w:tab w:val="clear" w:pos="780"/>
        </w:tabs>
        <w:spacing w:line="440" w:lineRule="exact"/>
        <w:ind w:left="0" w:firstLine="525"/>
        <w:rPr>
          <w:rFonts w:ascii="宋体" w:hAnsi="宋体"/>
          <w:bCs/>
          <w:sz w:val="24"/>
          <w:szCs w:val="24"/>
        </w:rPr>
      </w:pPr>
      <w:r>
        <w:rPr>
          <w:rFonts w:hint="eastAsia" w:ascii="宋体" w:hAnsi="宋体"/>
          <w:bCs/>
          <w:sz w:val="24"/>
          <w:szCs w:val="24"/>
        </w:rPr>
        <w:t>征集活动开始后，供应商须自行准备设备（包括但不限于笔记本电脑、无线网络）登录“政府采购交易管理一体化系统”，按征集文件规定时间解密后，在评审过程中保持在线，等待评审小组的询标和评审结果，中途不得离开。如未按要求应答，由此所产生的损失及风险由供应商自行承担。</w:t>
      </w:r>
    </w:p>
    <w:p>
      <w:pPr>
        <w:tabs>
          <w:tab w:val="left" w:pos="525"/>
          <w:tab w:val="left" w:pos="630"/>
          <w:tab w:val="left" w:pos="735"/>
          <w:tab w:val="left" w:pos="945"/>
          <w:tab w:val="left" w:pos="1080"/>
        </w:tabs>
        <w:spacing w:line="440" w:lineRule="exact"/>
        <w:ind w:firstLine="480" w:firstLineChars="200"/>
        <w:rPr>
          <w:rFonts w:ascii="宋体" w:hAnsi="宋体"/>
          <w:bCs/>
          <w:sz w:val="24"/>
          <w:szCs w:val="24"/>
        </w:rPr>
      </w:pPr>
    </w:p>
    <w:p>
      <w:pPr>
        <w:tabs>
          <w:tab w:val="left" w:pos="525"/>
          <w:tab w:val="left" w:pos="630"/>
          <w:tab w:val="left" w:pos="735"/>
          <w:tab w:val="left" w:pos="945"/>
          <w:tab w:val="left" w:pos="1080"/>
        </w:tabs>
        <w:spacing w:line="440" w:lineRule="exact"/>
        <w:ind w:firstLine="480" w:firstLineChars="200"/>
        <w:rPr>
          <w:rFonts w:ascii="宋体" w:hAnsi="宋体"/>
          <w:bCs/>
          <w:sz w:val="24"/>
          <w:szCs w:val="24"/>
        </w:rPr>
      </w:pPr>
    </w:p>
    <w:p>
      <w:pPr>
        <w:tabs>
          <w:tab w:val="left" w:pos="525"/>
          <w:tab w:val="left" w:pos="630"/>
          <w:tab w:val="left" w:pos="735"/>
          <w:tab w:val="left" w:pos="945"/>
          <w:tab w:val="left" w:pos="1080"/>
        </w:tabs>
        <w:spacing w:line="440" w:lineRule="exact"/>
        <w:ind w:firstLine="480" w:firstLineChars="200"/>
        <w:rPr>
          <w:rFonts w:ascii="宋体" w:hAnsi="宋体"/>
          <w:bCs/>
          <w:sz w:val="24"/>
          <w:szCs w:val="24"/>
        </w:rPr>
      </w:pPr>
    </w:p>
    <w:p>
      <w:pPr>
        <w:tabs>
          <w:tab w:val="left" w:pos="525"/>
          <w:tab w:val="left" w:pos="630"/>
          <w:tab w:val="left" w:pos="735"/>
          <w:tab w:val="left" w:pos="945"/>
          <w:tab w:val="left" w:pos="1080"/>
        </w:tabs>
        <w:spacing w:line="440" w:lineRule="exact"/>
        <w:ind w:firstLine="480" w:firstLineChars="200"/>
        <w:rPr>
          <w:rFonts w:ascii="宋体" w:hAnsi="宋体"/>
          <w:bCs/>
          <w:sz w:val="24"/>
          <w:szCs w:val="24"/>
        </w:rPr>
      </w:pPr>
    </w:p>
    <w:p>
      <w:pPr>
        <w:tabs>
          <w:tab w:val="left" w:pos="525"/>
          <w:tab w:val="left" w:pos="630"/>
          <w:tab w:val="left" w:pos="735"/>
          <w:tab w:val="left" w:pos="945"/>
          <w:tab w:val="left" w:pos="1080"/>
        </w:tabs>
        <w:spacing w:line="440" w:lineRule="exact"/>
        <w:ind w:firstLine="480" w:firstLineChars="200"/>
        <w:rPr>
          <w:rFonts w:ascii="宋体" w:hAnsi="宋体"/>
          <w:bCs/>
          <w:sz w:val="24"/>
          <w:szCs w:val="24"/>
        </w:rPr>
      </w:pPr>
    </w:p>
    <w:p>
      <w:pPr>
        <w:tabs>
          <w:tab w:val="left" w:pos="525"/>
          <w:tab w:val="left" w:pos="630"/>
          <w:tab w:val="left" w:pos="735"/>
          <w:tab w:val="left" w:pos="945"/>
          <w:tab w:val="left" w:pos="1080"/>
        </w:tabs>
        <w:spacing w:line="440" w:lineRule="exact"/>
        <w:ind w:firstLine="480" w:firstLineChars="200"/>
        <w:rPr>
          <w:rFonts w:ascii="宋体" w:hAnsi="宋体"/>
          <w:bCs/>
          <w:sz w:val="24"/>
          <w:szCs w:val="24"/>
        </w:rPr>
      </w:pPr>
    </w:p>
    <w:p>
      <w:pPr>
        <w:tabs>
          <w:tab w:val="left" w:pos="525"/>
          <w:tab w:val="left" w:pos="630"/>
          <w:tab w:val="left" w:pos="735"/>
          <w:tab w:val="left" w:pos="945"/>
          <w:tab w:val="left" w:pos="1080"/>
        </w:tabs>
        <w:spacing w:line="440" w:lineRule="exact"/>
        <w:ind w:firstLine="480" w:firstLineChars="200"/>
        <w:rPr>
          <w:rFonts w:ascii="宋体" w:hAnsi="宋体"/>
          <w:bCs/>
          <w:sz w:val="24"/>
          <w:szCs w:val="24"/>
        </w:rPr>
      </w:pPr>
    </w:p>
    <w:p>
      <w:pPr>
        <w:tabs>
          <w:tab w:val="left" w:pos="525"/>
          <w:tab w:val="left" w:pos="630"/>
          <w:tab w:val="left" w:pos="735"/>
          <w:tab w:val="left" w:pos="945"/>
          <w:tab w:val="left" w:pos="1080"/>
        </w:tabs>
        <w:spacing w:line="440" w:lineRule="exact"/>
        <w:ind w:firstLine="480" w:firstLineChars="200"/>
        <w:rPr>
          <w:rFonts w:ascii="宋体" w:hAnsi="宋体"/>
          <w:bCs/>
          <w:sz w:val="24"/>
          <w:szCs w:val="24"/>
        </w:rPr>
      </w:pPr>
    </w:p>
    <w:p>
      <w:pPr>
        <w:tabs>
          <w:tab w:val="left" w:pos="525"/>
          <w:tab w:val="left" w:pos="630"/>
          <w:tab w:val="left" w:pos="735"/>
          <w:tab w:val="left" w:pos="945"/>
          <w:tab w:val="left" w:pos="1080"/>
        </w:tabs>
        <w:spacing w:line="440" w:lineRule="exact"/>
        <w:ind w:firstLine="480" w:firstLineChars="200"/>
        <w:rPr>
          <w:rFonts w:ascii="宋体" w:hAnsi="宋体"/>
          <w:bCs/>
          <w:sz w:val="24"/>
          <w:szCs w:val="24"/>
        </w:rPr>
      </w:pPr>
    </w:p>
    <w:p>
      <w:pPr>
        <w:tabs>
          <w:tab w:val="left" w:pos="525"/>
          <w:tab w:val="left" w:pos="630"/>
          <w:tab w:val="left" w:pos="735"/>
          <w:tab w:val="left" w:pos="945"/>
          <w:tab w:val="left" w:pos="1080"/>
        </w:tabs>
        <w:spacing w:line="440" w:lineRule="exact"/>
        <w:ind w:firstLine="480" w:firstLineChars="200"/>
        <w:rPr>
          <w:rFonts w:ascii="宋体" w:hAnsi="宋体"/>
          <w:bCs/>
          <w:sz w:val="24"/>
          <w:szCs w:val="24"/>
        </w:rPr>
      </w:pPr>
    </w:p>
    <w:p>
      <w:pPr>
        <w:tabs>
          <w:tab w:val="left" w:pos="525"/>
          <w:tab w:val="left" w:pos="630"/>
          <w:tab w:val="left" w:pos="735"/>
          <w:tab w:val="left" w:pos="945"/>
          <w:tab w:val="left" w:pos="1080"/>
        </w:tabs>
        <w:spacing w:line="440" w:lineRule="exact"/>
        <w:ind w:firstLine="480" w:firstLineChars="200"/>
        <w:rPr>
          <w:rFonts w:ascii="宋体" w:hAnsi="宋体"/>
          <w:bCs/>
          <w:sz w:val="24"/>
          <w:szCs w:val="24"/>
        </w:rPr>
      </w:pPr>
    </w:p>
    <w:p>
      <w:pPr>
        <w:tabs>
          <w:tab w:val="left" w:pos="525"/>
          <w:tab w:val="left" w:pos="630"/>
          <w:tab w:val="left" w:pos="735"/>
          <w:tab w:val="left" w:pos="945"/>
          <w:tab w:val="left" w:pos="1080"/>
        </w:tabs>
        <w:spacing w:line="440" w:lineRule="exact"/>
        <w:ind w:firstLine="480" w:firstLineChars="200"/>
        <w:rPr>
          <w:rFonts w:ascii="宋体" w:hAnsi="宋体"/>
          <w:bCs/>
          <w:sz w:val="24"/>
          <w:szCs w:val="24"/>
        </w:rPr>
      </w:pPr>
    </w:p>
    <w:p>
      <w:pPr>
        <w:tabs>
          <w:tab w:val="left" w:pos="525"/>
          <w:tab w:val="left" w:pos="630"/>
          <w:tab w:val="left" w:pos="735"/>
          <w:tab w:val="left" w:pos="945"/>
          <w:tab w:val="left" w:pos="1080"/>
        </w:tabs>
        <w:spacing w:line="440" w:lineRule="exact"/>
        <w:ind w:firstLine="480" w:firstLineChars="200"/>
        <w:rPr>
          <w:rFonts w:ascii="宋体" w:hAnsi="宋体"/>
          <w:bCs/>
          <w:sz w:val="24"/>
          <w:szCs w:val="24"/>
        </w:rPr>
      </w:pPr>
    </w:p>
    <w:p>
      <w:pPr>
        <w:tabs>
          <w:tab w:val="left" w:pos="525"/>
          <w:tab w:val="left" w:pos="630"/>
          <w:tab w:val="left" w:pos="735"/>
          <w:tab w:val="left" w:pos="945"/>
          <w:tab w:val="left" w:pos="1080"/>
        </w:tabs>
        <w:spacing w:line="440" w:lineRule="exact"/>
        <w:ind w:firstLine="480" w:firstLineChars="200"/>
        <w:rPr>
          <w:rFonts w:ascii="宋体" w:hAnsi="宋体"/>
          <w:bCs/>
          <w:sz w:val="24"/>
          <w:szCs w:val="24"/>
        </w:rPr>
      </w:pPr>
    </w:p>
    <w:p>
      <w:pPr>
        <w:tabs>
          <w:tab w:val="left" w:pos="525"/>
          <w:tab w:val="left" w:pos="630"/>
          <w:tab w:val="left" w:pos="735"/>
          <w:tab w:val="left" w:pos="945"/>
          <w:tab w:val="left" w:pos="1080"/>
        </w:tabs>
        <w:spacing w:line="440" w:lineRule="exact"/>
        <w:ind w:firstLine="480" w:firstLineChars="200"/>
        <w:rPr>
          <w:rFonts w:ascii="宋体" w:hAnsi="宋体"/>
          <w:bCs/>
          <w:sz w:val="24"/>
          <w:szCs w:val="24"/>
        </w:rPr>
      </w:pPr>
    </w:p>
    <w:p>
      <w:pPr>
        <w:tabs>
          <w:tab w:val="left" w:pos="525"/>
          <w:tab w:val="left" w:pos="630"/>
          <w:tab w:val="left" w:pos="735"/>
          <w:tab w:val="left" w:pos="945"/>
          <w:tab w:val="left" w:pos="1080"/>
        </w:tabs>
        <w:spacing w:line="440" w:lineRule="exact"/>
        <w:ind w:firstLine="480" w:firstLineChars="200"/>
        <w:rPr>
          <w:rFonts w:ascii="宋体" w:hAnsi="宋体"/>
          <w:bCs/>
          <w:sz w:val="24"/>
          <w:szCs w:val="24"/>
        </w:rPr>
      </w:pPr>
    </w:p>
    <w:p>
      <w:pPr>
        <w:tabs>
          <w:tab w:val="left" w:pos="525"/>
          <w:tab w:val="left" w:pos="630"/>
          <w:tab w:val="left" w:pos="735"/>
          <w:tab w:val="left" w:pos="945"/>
          <w:tab w:val="left" w:pos="1080"/>
        </w:tabs>
        <w:spacing w:line="440" w:lineRule="exact"/>
        <w:ind w:firstLine="480" w:firstLineChars="200"/>
        <w:rPr>
          <w:rFonts w:ascii="宋体" w:hAnsi="宋体"/>
          <w:bCs/>
          <w:sz w:val="24"/>
          <w:szCs w:val="24"/>
        </w:rPr>
      </w:pPr>
    </w:p>
    <w:p>
      <w:pPr>
        <w:tabs>
          <w:tab w:val="left" w:pos="525"/>
          <w:tab w:val="left" w:pos="630"/>
          <w:tab w:val="left" w:pos="735"/>
          <w:tab w:val="left" w:pos="945"/>
          <w:tab w:val="left" w:pos="1080"/>
        </w:tabs>
        <w:spacing w:line="440" w:lineRule="exact"/>
        <w:ind w:firstLine="480" w:firstLineChars="200"/>
        <w:rPr>
          <w:rFonts w:ascii="宋体" w:hAnsi="宋体"/>
          <w:bCs/>
          <w:sz w:val="24"/>
          <w:szCs w:val="24"/>
        </w:rPr>
      </w:pPr>
    </w:p>
    <w:p>
      <w:pPr>
        <w:tabs>
          <w:tab w:val="left" w:pos="525"/>
          <w:tab w:val="left" w:pos="630"/>
          <w:tab w:val="left" w:pos="735"/>
          <w:tab w:val="left" w:pos="945"/>
          <w:tab w:val="left" w:pos="1080"/>
        </w:tabs>
        <w:spacing w:line="440" w:lineRule="exact"/>
        <w:ind w:firstLine="480" w:firstLineChars="200"/>
        <w:rPr>
          <w:rFonts w:ascii="宋体" w:hAnsi="宋体"/>
          <w:bCs/>
          <w:sz w:val="24"/>
          <w:szCs w:val="24"/>
        </w:rPr>
      </w:pPr>
    </w:p>
    <w:p>
      <w:pPr>
        <w:spacing w:line="360" w:lineRule="auto"/>
        <w:jc w:val="center"/>
        <w:rPr>
          <w:rFonts w:ascii="黑体" w:eastAsia="黑体"/>
          <w:bCs/>
          <w:sz w:val="30"/>
          <w:szCs w:val="30"/>
        </w:rPr>
      </w:pPr>
      <w:r>
        <w:rPr>
          <w:rFonts w:hint="eastAsia" w:ascii="黑体" w:eastAsia="黑体"/>
          <w:bCs/>
          <w:sz w:val="30"/>
          <w:szCs w:val="30"/>
        </w:rPr>
        <w:t>四</w:t>
      </w:r>
      <w:r>
        <w:rPr>
          <w:rFonts w:hint="eastAsia" w:ascii="黑体" w:eastAsia="黑体"/>
          <w:bCs/>
          <w:sz w:val="28"/>
          <w:szCs w:val="28"/>
        </w:rPr>
        <w:t>．</w:t>
      </w:r>
      <w:r>
        <w:rPr>
          <w:rFonts w:hint="eastAsia" w:ascii="黑体" w:eastAsia="黑体"/>
          <w:bCs/>
          <w:sz w:val="30"/>
          <w:szCs w:val="30"/>
        </w:rPr>
        <w:t>框架协议文本</w:t>
      </w:r>
    </w:p>
    <w:p>
      <w:pPr>
        <w:snapToGrid w:val="0"/>
        <w:spacing w:line="360" w:lineRule="auto"/>
        <w:jc w:val="center"/>
        <w:rPr>
          <w:rFonts w:ascii="宋体" w:hAnsi="宋体"/>
          <w:sz w:val="28"/>
          <w:szCs w:val="28"/>
        </w:rPr>
      </w:pPr>
      <w:r>
        <w:rPr>
          <w:rFonts w:hint="eastAsia" w:ascii="宋体" w:hAnsi="宋体"/>
          <w:sz w:val="28"/>
          <w:szCs w:val="28"/>
        </w:rPr>
        <w:t>2023-2025年度无锡市滨湖区车辆维修和保养服务框架协议</w:t>
      </w:r>
    </w:p>
    <w:p>
      <w:pPr>
        <w:adjustRightInd w:val="0"/>
        <w:snapToGrid w:val="0"/>
        <w:spacing w:line="360" w:lineRule="auto"/>
        <w:jc w:val="center"/>
        <w:rPr>
          <w:rFonts w:ascii="宋体" w:hAnsi="宋体"/>
          <w:sz w:val="28"/>
          <w:szCs w:val="28"/>
        </w:rPr>
      </w:pPr>
      <w:r>
        <w:rPr>
          <w:rFonts w:hint="eastAsia" w:ascii="宋体" w:hAnsi="宋体"/>
          <w:sz w:val="28"/>
          <w:szCs w:val="28"/>
        </w:rPr>
        <w:t>项目编号：</w:t>
      </w:r>
      <w:r>
        <w:rPr>
          <w:rFonts w:ascii="宋体" w:hAnsi="宋体"/>
          <w:sz w:val="28"/>
          <w:szCs w:val="28"/>
        </w:rPr>
        <w:t>BHJYZXKJ2023001</w:t>
      </w:r>
    </w:p>
    <w:p>
      <w:pPr>
        <w:adjustRightInd w:val="0"/>
        <w:snapToGrid w:val="0"/>
        <w:spacing w:line="360" w:lineRule="auto"/>
        <w:rPr>
          <w:rFonts w:ascii="宋体" w:hAnsi="宋体"/>
          <w:sz w:val="24"/>
          <w:szCs w:val="24"/>
        </w:rPr>
      </w:pPr>
      <w:r>
        <w:rPr>
          <w:rFonts w:hint="eastAsia" w:ascii="宋体" w:hAnsi="宋体"/>
          <w:sz w:val="24"/>
          <w:szCs w:val="24"/>
        </w:rPr>
        <w:t>甲方：无锡市滨湖区公共资源交易中心</w:t>
      </w:r>
    </w:p>
    <w:p>
      <w:pPr>
        <w:adjustRightInd w:val="0"/>
        <w:snapToGrid w:val="0"/>
        <w:spacing w:line="360" w:lineRule="auto"/>
        <w:ind w:left="4320" w:hanging="4320" w:hangingChars="1800"/>
        <w:rPr>
          <w:rFonts w:ascii="宋体" w:hAnsi="宋体"/>
          <w:sz w:val="24"/>
          <w:szCs w:val="24"/>
        </w:rPr>
      </w:pPr>
      <w:r>
        <w:rPr>
          <w:rFonts w:hint="eastAsia" w:ascii="宋体" w:hAnsi="宋体"/>
          <w:sz w:val="24"/>
          <w:szCs w:val="24"/>
        </w:rPr>
        <w:t>乙方（入围供应商）：</w:t>
      </w:r>
    </w:p>
    <w:p>
      <w:pPr>
        <w:adjustRightInd w:val="0"/>
        <w:snapToGrid w:val="0"/>
        <w:spacing w:line="360" w:lineRule="auto"/>
        <w:rPr>
          <w:rFonts w:ascii="宋体" w:hAnsi="宋体"/>
          <w:bCs/>
          <w:sz w:val="24"/>
          <w:szCs w:val="24"/>
        </w:rPr>
      </w:pPr>
    </w:p>
    <w:p>
      <w:pPr>
        <w:snapToGrid w:val="0"/>
        <w:spacing w:line="360" w:lineRule="auto"/>
        <w:ind w:firstLine="540" w:firstLineChars="225"/>
        <w:rPr>
          <w:rFonts w:ascii="宋体" w:hAnsi="宋体"/>
          <w:sz w:val="24"/>
          <w:szCs w:val="24"/>
        </w:rPr>
      </w:pPr>
      <w:r>
        <w:rPr>
          <w:rFonts w:hint="eastAsia" w:ascii="宋体" w:hAnsi="宋体"/>
          <w:sz w:val="24"/>
          <w:szCs w:val="24"/>
        </w:rPr>
        <w:t>根据2023-2025年度无锡市滨湖区车辆维修和保养服务框架协议采购成交入围结果，甲、乙双方达成以下公务用车车辆维修和保养服务框架协议：</w:t>
      </w:r>
    </w:p>
    <w:p>
      <w:pPr>
        <w:snapToGrid w:val="0"/>
        <w:spacing w:line="360" w:lineRule="auto"/>
        <w:ind w:firstLine="540" w:firstLineChars="225"/>
        <w:rPr>
          <w:rFonts w:ascii="宋体" w:hAnsi="宋体"/>
          <w:sz w:val="24"/>
          <w:szCs w:val="24"/>
        </w:rPr>
      </w:pPr>
      <w:r>
        <w:rPr>
          <w:rFonts w:hint="eastAsia" w:ascii="宋体" w:hAnsi="宋体"/>
          <w:b/>
          <w:sz w:val="24"/>
          <w:szCs w:val="24"/>
        </w:rPr>
        <w:t>第一条</w:t>
      </w:r>
      <w:r>
        <w:rPr>
          <w:rFonts w:hint="eastAsia" w:ascii="宋体" w:hAnsi="宋体"/>
          <w:sz w:val="24"/>
          <w:szCs w:val="24"/>
        </w:rPr>
        <w:t xml:space="preserve">  维修服务范围：采购人（以下称“托修方”）是无锡市滨湖区的国家机关、事业单位和团体组织，使用财政性资金进行的公务用车（不含摩托车、新能源车）的维修和保养。</w:t>
      </w:r>
    </w:p>
    <w:p>
      <w:pPr>
        <w:snapToGrid w:val="0"/>
        <w:spacing w:line="360" w:lineRule="auto"/>
        <w:ind w:firstLine="540" w:firstLineChars="225"/>
        <w:rPr>
          <w:rFonts w:ascii="宋体" w:hAnsi="宋体"/>
          <w:sz w:val="24"/>
          <w:szCs w:val="24"/>
        </w:rPr>
      </w:pPr>
      <w:r>
        <w:rPr>
          <w:rFonts w:hint="eastAsia" w:ascii="宋体" w:hAnsi="宋体"/>
          <w:b/>
          <w:sz w:val="24"/>
          <w:szCs w:val="24"/>
        </w:rPr>
        <w:t xml:space="preserve">第二条  </w:t>
      </w:r>
      <w:r>
        <w:rPr>
          <w:rFonts w:hint="eastAsia" w:ascii="宋体" w:hAnsi="宋体"/>
          <w:sz w:val="24"/>
          <w:szCs w:val="24"/>
        </w:rPr>
        <w:t>维修服务项目：车辆的维修和保养服务，包括提供车辆整车修理、总成修理、二级维护、一级维护、车辆小修和车辆专项修理、二十四小时维修救援和其他《江苏省机动车维修结算工时定额与收费指南》（2014版）中规定的相关项目。</w:t>
      </w:r>
    </w:p>
    <w:p>
      <w:pPr>
        <w:snapToGrid w:val="0"/>
        <w:spacing w:line="360" w:lineRule="auto"/>
        <w:ind w:firstLine="540" w:firstLineChars="225"/>
        <w:rPr>
          <w:rFonts w:ascii="宋体" w:hAnsi="宋体"/>
          <w:sz w:val="24"/>
          <w:szCs w:val="24"/>
        </w:rPr>
      </w:pPr>
      <w:r>
        <w:rPr>
          <w:rFonts w:hint="eastAsia" w:ascii="宋体" w:hAnsi="宋体"/>
          <w:b/>
          <w:sz w:val="24"/>
          <w:szCs w:val="24"/>
        </w:rPr>
        <w:t xml:space="preserve">第三条  </w:t>
      </w:r>
      <w:r>
        <w:rPr>
          <w:rFonts w:hint="eastAsia" w:ascii="宋体" w:hAnsi="宋体"/>
          <w:sz w:val="24"/>
          <w:szCs w:val="24"/>
        </w:rPr>
        <w:t>送修流程：</w:t>
      </w:r>
    </w:p>
    <w:p>
      <w:pPr>
        <w:snapToGrid w:val="0"/>
        <w:spacing w:line="360" w:lineRule="auto"/>
        <w:ind w:firstLine="480"/>
        <w:jc w:val="left"/>
        <w:textAlignment w:val="center"/>
        <w:rPr>
          <w:rFonts w:ascii="宋体" w:hAnsi="宋体"/>
          <w:sz w:val="24"/>
          <w:szCs w:val="24"/>
        </w:rPr>
      </w:pPr>
      <w:r>
        <w:rPr>
          <w:rFonts w:hint="eastAsia" w:ascii="宋体" w:hAnsi="宋体"/>
          <w:sz w:val="24"/>
          <w:szCs w:val="24"/>
        </w:rPr>
        <w:t>（一）计划申报</w:t>
      </w:r>
    </w:p>
    <w:p>
      <w:pPr>
        <w:snapToGrid w:val="0"/>
        <w:spacing w:line="360" w:lineRule="auto"/>
        <w:ind w:firstLine="480"/>
        <w:jc w:val="left"/>
        <w:textAlignment w:val="center"/>
        <w:rPr>
          <w:rFonts w:ascii="宋体" w:hAnsi="宋体"/>
          <w:sz w:val="24"/>
          <w:szCs w:val="24"/>
        </w:rPr>
      </w:pPr>
      <w:r>
        <w:rPr>
          <w:rFonts w:hint="eastAsia" w:ascii="宋体" w:hAnsi="宋体"/>
          <w:sz w:val="24"/>
          <w:szCs w:val="24"/>
        </w:rPr>
        <w:t>采购人通过“无锡市政府采购交易管理一体化系统”（以下简称“系统”）申报车辆维修和保养服务“政府采购计划”，采购人登录“系统”后点击“采购计划申请”，填写计划信息，进行采购计划审批。</w:t>
      </w:r>
    </w:p>
    <w:p>
      <w:pPr>
        <w:snapToGrid w:val="0"/>
        <w:spacing w:line="360" w:lineRule="auto"/>
        <w:ind w:firstLine="480"/>
        <w:jc w:val="left"/>
        <w:textAlignment w:val="center"/>
        <w:rPr>
          <w:rFonts w:ascii="宋体" w:hAnsi="宋体"/>
          <w:sz w:val="24"/>
          <w:szCs w:val="24"/>
        </w:rPr>
      </w:pPr>
      <w:r>
        <w:rPr>
          <w:rFonts w:hint="eastAsia" w:ascii="宋体" w:hAnsi="宋体"/>
          <w:sz w:val="24"/>
          <w:szCs w:val="24"/>
        </w:rPr>
        <w:t>（二）交易下单</w:t>
      </w:r>
    </w:p>
    <w:p>
      <w:pPr>
        <w:snapToGrid w:val="0"/>
        <w:spacing w:line="360" w:lineRule="auto"/>
        <w:ind w:firstLine="480"/>
        <w:jc w:val="left"/>
        <w:textAlignment w:val="center"/>
        <w:rPr>
          <w:rFonts w:ascii="宋体" w:hAnsi="宋体"/>
          <w:sz w:val="24"/>
          <w:szCs w:val="24"/>
        </w:rPr>
      </w:pPr>
      <w:r>
        <w:rPr>
          <w:rFonts w:hint="eastAsia" w:ascii="宋体" w:hAnsi="宋体"/>
          <w:sz w:val="24"/>
          <w:szCs w:val="24"/>
        </w:rPr>
        <w:t>采购人登录“系统”——框架协议馆——车辆维修和保养服务页面，结合自身实际需要，详细比对各家入围供应商的基本服务承诺与各项限价，自主选择确定供应商，让其进行报价。各入围供应商应严格按照不高于入围时承诺的工时单价、材料进销差价率进行报价，同时应保证所采用的零配件的进货渠道符合征集文件要求及响应文件承诺。</w:t>
      </w:r>
    </w:p>
    <w:p>
      <w:pPr>
        <w:snapToGrid w:val="0"/>
        <w:spacing w:line="360" w:lineRule="auto"/>
        <w:ind w:firstLine="480"/>
        <w:jc w:val="left"/>
        <w:textAlignment w:val="center"/>
        <w:rPr>
          <w:rFonts w:ascii="宋体" w:hAnsi="宋体"/>
          <w:sz w:val="24"/>
          <w:szCs w:val="24"/>
        </w:rPr>
      </w:pPr>
      <w:r>
        <w:rPr>
          <w:rFonts w:hint="eastAsia" w:ascii="宋体" w:hAnsi="宋体"/>
          <w:sz w:val="24"/>
          <w:szCs w:val="24"/>
        </w:rPr>
        <w:t>（三）生成合同</w:t>
      </w:r>
    </w:p>
    <w:p>
      <w:pPr>
        <w:snapToGrid w:val="0"/>
        <w:spacing w:line="360" w:lineRule="auto"/>
        <w:ind w:firstLine="480"/>
        <w:jc w:val="left"/>
        <w:textAlignment w:val="center"/>
        <w:rPr>
          <w:rFonts w:ascii="宋体" w:hAnsi="宋体"/>
          <w:sz w:val="24"/>
          <w:szCs w:val="24"/>
        </w:rPr>
      </w:pPr>
      <w:r>
        <w:rPr>
          <w:rFonts w:hint="eastAsia" w:ascii="宋体" w:hAnsi="宋体"/>
          <w:sz w:val="24"/>
          <w:szCs w:val="24"/>
        </w:rPr>
        <w:t>采购人在“系统”内确认报价后关联政府采购计划，生成采购合同。</w:t>
      </w:r>
    </w:p>
    <w:p>
      <w:pPr>
        <w:snapToGrid w:val="0"/>
        <w:spacing w:line="360" w:lineRule="auto"/>
        <w:ind w:firstLine="480"/>
        <w:jc w:val="left"/>
        <w:textAlignment w:val="center"/>
        <w:rPr>
          <w:rFonts w:ascii="宋体" w:hAnsi="宋体"/>
          <w:sz w:val="24"/>
          <w:szCs w:val="24"/>
        </w:rPr>
      </w:pPr>
      <w:r>
        <w:rPr>
          <w:rFonts w:hint="eastAsia" w:ascii="宋体" w:hAnsi="宋体"/>
          <w:sz w:val="24"/>
          <w:szCs w:val="24"/>
        </w:rPr>
        <w:t>（四）结算支付</w:t>
      </w:r>
    </w:p>
    <w:p>
      <w:pPr>
        <w:snapToGrid w:val="0"/>
        <w:spacing w:line="360" w:lineRule="auto"/>
        <w:ind w:firstLine="480"/>
        <w:jc w:val="left"/>
        <w:textAlignment w:val="center"/>
        <w:rPr>
          <w:rFonts w:ascii="宋体" w:hAnsi="宋体"/>
          <w:sz w:val="24"/>
          <w:szCs w:val="24"/>
        </w:rPr>
      </w:pPr>
      <w:r>
        <w:rPr>
          <w:rFonts w:hint="eastAsia" w:ascii="宋体" w:hAnsi="宋体"/>
          <w:sz w:val="24"/>
          <w:szCs w:val="24"/>
        </w:rPr>
        <w:t>车辆维修完成后，采购人在“系统”内完成验收程序后凭采购合同（政府采购公务用车维修委托单）及正规的发票进行结算。</w:t>
      </w:r>
    </w:p>
    <w:p>
      <w:pPr>
        <w:snapToGrid w:val="0"/>
        <w:spacing w:line="360" w:lineRule="auto"/>
        <w:ind w:firstLine="480"/>
        <w:jc w:val="left"/>
        <w:textAlignment w:val="center"/>
        <w:rPr>
          <w:rFonts w:ascii="宋体" w:hAnsi="宋体"/>
          <w:sz w:val="24"/>
          <w:szCs w:val="24"/>
        </w:rPr>
      </w:pPr>
      <w:r>
        <w:rPr>
          <w:rFonts w:hint="eastAsia" w:ascii="宋体" w:hAnsi="宋体"/>
          <w:sz w:val="24"/>
          <w:szCs w:val="24"/>
        </w:rPr>
        <w:t>（五）订单评价</w:t>
      </w:r>
    </w:p>
    <w:p>
      <w:pPr>
        <w:snapToGrid w:val="0"/>
        <w:spacing w:line="360" w:lineRule="auto"/>
        <w:ind w:firstLine="480"/>
        <w:jc w:val="left"/>
        <w:textAlignment w:val="center"/>
        <w:rPr>
          <w:rFonts w:ascii="宋体" w:hAnsi="宋体"/>
          <w:sz w:val="24"/>
          <w:szCs w:val="24"/>
        </w:rPr>
      </w:pPr>
      <w:r>
        <w:rPr>
          <w:rFonts w:hint="eastAsia" w:ascii="宋体" w:hAnsi="宋体"/>
          <w:sz w:val="24"/>
          <w:szCs w:val="24"/>
        </w:rPr>
        <w:t>交易结束后，采购人须在订单页面对供应商进行评价。</w:t>
      </w:r>
    </w:p>
    <w:p>
      <w:pPr>
        <w:snapToGrid w:val="0"/>
        <w:spacing w:line="360" w:lineRule="auto"/>
        <w:ind w:firstLine="480"/>
        <w:jc w:val="left"/>
        <w:textAlignment w:val="center"/>
        <w:rPr>
          <w:rFonts w:ascii="宋体" w:hAnsi="宋体"/>
          <w:kern w:val="0"/>
          <w:sz w:val="24"/>
          <w:szCs w:val="24"/>
        </w:rPr>
      </w:pPr>
      <w:r>
        <w:rPr>
          <w:rFonts w:hint="eastAsia" w:ascii="宋体" w:hAnsi="宋体"/>
          <w:b/>
          <w:kern w:val="0"/>
          <w:sz w:val="24"/>
          <w:szCs w:val="24"/>
        </w:rPr>
        <w:t xml:space="preserve">第四条  </w:t>
      </w:r>
      <w:r>
        <w:rPr>
          <w:rFonts w:hint="eastAsia" w:ascii="宋体" w:hAnsi="宋体"/>
          <w:kern w:val="0"/>
          <w:sz w:val="24"/>
          <w:szCs w:val="24"/>
        </w:rPr>
        <w:t>维修服务及质量要求：</w:t>
      </w:r>
    </w:p>
    <w:p>
      <w:pPr>
        <w:snapToGrid w:val="0"/>
        <w:spacing w:line="360" w:lineRule="auto"/>
        <w:ind w:firstLine="480"/>
        <w:jc w:val="left"/>
        <w:textAlignment w:val="center"/>
        <w:rPr>
          <w:rFonts w:ascii="宋体" w:hAnsi="宋体"/>
          <w:sz w:val="24"/>
          <w:szCs w:val="24"/>
        </w:rPr>
      </w:pPr>
      <w:r>
        <w:rPr>
          <w:rFonts w:hint="eastAsia" w:ascii="宋体" w:hAnsi="宋体"/>
          <w:kern w:val="0"/>
          <w:sz w:val="24"/>
          <w:szCs w:val="24"/>
        </w:rPr>
        <w:t>（一）</w:t>
      </w:r>
      <w:r>
        <w:rPr>
          <w:rFonts w:hint="eastAsia" w:ascii="宋体" w:hAnsi="宋体"/>
          <w:sz w:val="24"/>
          <w:szCs w:val="24"/>
        </w:rPr>
        <w:t>服务流程及服务规范按江苏省质量技术监督局发布的《机动车维修服务质量规范》（DB32/T1227—2008）执行；</w:t>
      </w:r>
    </w:p>
    <w:p>
      <w:pPr>
        <w:snapToGrid w:val="0"/>
        <w:spacing w:line="360" w:lineRule="auto"/>
        <w:ind w:firstLine="480"/>
        <w:jc w:val="left"/>
        <w:textAlignment w:val="center"/>
        <w:rPr>
          <w:rFonts w:ascii="宋体" w:hAnsi="宋体"/>
          <w:kern w:val="0"/>
          <w:sz w:val="24"/>
          <w:szCs w:val="24"/>
        </w:rPr>
      </w:pPr>
      <w:r>
        <w:rPr>
          <w:rFonts w:hint="eastAsia" w:ascii="宋体" w:hAnsi="宋体"/>
          <w:kern w:val="0"/>
          <w:sz w:val="24"/>
          <w:szCs w:val="24"/>
        </w:rPr>
        <w:t>（二）维修企业须服从无锡市滨湖区公共资源交易中心、公务用车主管部门、行业主管部门、政采监管部门的监督、管理；</w:t>
      </w:r>
    </w:p>
    <w:p>
      <w:pPr>
        <w:snapToGrid w:val="0"/>
        <w:spacing w:line="360" w:lineRule="auto"/>
        <w:ind w:firstLine="480"/>
        <w:jc w:val="left"/>
        <w:textAlignment w:val="center"/>
        <w:rPr>
          <w:rFonts w:ascii="宋体" w:hAnsi="宋体"/>
          <w:sz w:val="24"/>
          <w:szCs w:val="24"/>
        </w:rPr>
      </w:pPr>
      <w:r>
        <w:rPr>
          <w:rFonts w:hint="eastAsia" w:ascii="宋体" w:hAnsi="宋体"/>
          <w:sz w:val="24"/>
          <w:szCs w:val="24"/>
        </w:rPr>
        <w:t>（三）维修企业应严格遵守中华人民共和国交通运输部令（2021年第18号）《机动车维修管理规定》和江苏省人民政府发布的《江苏省机动车维修管理条例》（2021年9月修正）中的相关规定；</w:t>
      </w:r>
    </w:p>
    <w:p>
      <w:pPr>
        <w:snapToGrid w:val="0"/>
        <w:spacing w:line="360" w:lineRule="auto"/>
        <w:ind w:firstLine="480"/>
        <w:jc w:val="left"/>
        <w:textAlignment w:val="center"/>
        <w:rPr>
          <w:rFonts w:ascii="宋体" w:hAnsi="宋体"/>
          <w:sz w:val="24"/>
          <w:szCs w:val="24"/>
        </w:rPr>
      </w:pPr>
      <w:r>
        <w:rPr>
          <w:rFonts w:hint="eastAsia" w:ascii="宋体" w:hAnsi="宋体"/>
          <w:sz w:val="24"/>
          <w:szCs w:val="24"/>
        </w:rPr>
        <w:t>（四）所采用的零部件、配件等材料必须符合国家或部颁标准和行业标准以及汽车维修相关标准。必须有合法的进货渠道，不得使用不合格产品或假冒伪劣产品或以次充好等；</w:t>
      </w:r>
    </w:p>
    <w:p>
      <w:pPr>
        <w:snapToGrid w:val="0"/>
        <w:spacing w:line="360" w:lineRule="auto"/>
        <w:ind w:firstLine="480"/>
        <w:jc w:val="left"/>
        <w:textAlignment w:val="center"/>
        <w:rPr>
          <w:rFonts w:ascii="宋体" w:hAnsi="宋体"/>
          <w:sz w:val="24"/>
          <w:szCs w:val="24"/>
        </w:rPr>
      </w:pPr>
      <w:r>
        <w:rPr>
          <w:rFonts w:hint="eastAsia" w:ascii="宋体" w:hAnsi="宋体"/>
          <w:sz w:val="24"/>
          <w:szCs w:val="24"/>
        </w:rPr>
        <w:t>（五）所有维修车辆出厂时必须达到《机动车运行安全技术条件》GB7258-2017等国家安全技术标准及车辆维修标准。</w:t>
      </w:r>
    </w:p>
    <w:p>
      <w:pPr>
        <w:snapToGrid w:val="0"/>
        <w:spacing w:line="360" w:lineRule="auto"/>
        <w:ind w:firstLine="540" w:firstLineChars="225"/>
        <w:rPr>
          <w:rFonts w:ascii="宋体" w:hAnsi="宋体"/>
          <w:sz w:val="24"/>
          <w:szCs w:val="24"/>
        </w:rPr>
      </w:pPr>
      <w:r>
        <w:rPr>
          <w:rFonts w:hint="eastAsia" w:ascii="宋体" w:hAnsi="宋体"/>
          <w:b/>
          <w:sz w:val="24"/>
          <w:szCs w:val="24"/>
        </w:rPr>
        <w:t xml:space="preserve">第五条  </w:t>
      </w:r>
      <w:r>
        <w:rPr>
          <w:rFonts w:hint="eastAsia" w:ascii="宋体" w:hAnsi="宋体"/>
          <w:sz w:val="24"/>
          <w:szCs w:val="24"/>
        </w:rPr>
        <w:t>维修费用及结算：</w:t>
      </w:r>
    </w:p>
    <w:p>
      <w:pPr>
        <w:snapToGrid w:val="0"/>
        <w:spacing w:line="360" w:lineRule="auto"/>
        <w:ind w:firstLine="540" w:firstLineChars="225"/>
        <w:rPr>
          <w:rFonts w:ascii="宋体" w:hAnsi="宋体"/>
          <w:sz w:val="24"/>
          <w:szCs w:val="24"/>
        </w:rPr>
      </w:pPr>
      <w:r>
        <w:rPr>
          <w:rFonts w:hint="eastAsia" w:ascii="宋体" w:hAnsi="宋体"/>
          <w:sz w:val="24"/>
          <w:szCs w:val="24"/>
        </w:rPr>
        <w:t>（一）维修结算总费用=工时费用（工时单价×工时定额）＋材料费用[材料购进价格×（1＋材料进销差价率%）]。如有维修诊断费用、检测费用、外加工及其它费用的均按《江苏省机动车维修结算工时定额与收费指南》（2014版）执行；</w:t>
      </w:r>
    </w:p>
    <w:p>
      <w:pPr>
        <w:snapToGrid w:val="0"/>
        <w:spacing w:line="360" w:lineRule="auto"/>
        <w:ind w:firstLine="540" w:firstLineChars="225"/>
        <w:rPr>
          <w:rFonts w:ascii="宋体" w:hAnsi="宋体"/>
          <w:sz w:val="24"/>
          <w:szCs w:val="24"/>
        </w:rPr>
      </w:pPr>
      <w:r>
        <w:rPr>
          <w:rFonts w:hint="eastAsia" w:ascii="宋体" w:hAnsi="宋体"/>
          <w:sz w:val="24"/>
          <w:szCs w:val="24"/>
        </w:rPr>
        <w:t>（二）工时定额按《江苏省机动车维修结算工时定额与收费指南》（2014版）执行；</w:t>
      </w:r>
    </w:p>
    <w:p>
      <w:pPr>
        <w:snapToGrid w:val="0"/>
        <w:spacing w:line="360" w:lineRule="auto"/>
        <w:ind w:firstLine="540" w:firstLineChars="225"/>
        <w:rPr>
          <w:rFonts w:ascii="宋体" w:hAnsi="宋体"/>
          <w:sz w:val="24"/>
          <w:szCs w:val="24"/>
        </w:rPr>
      </w:pPr>
      <w:r>
        <w:rPr>
          <w:rFonts w:hint="eastAsia" w:ascii="宋体" w:hAnsi="宋体"/>
          <w:sz w:val="24"/>
          <w:szCs w:val="24"/>
        </w:rPr>
        <w:t>（三）维修企业履行合同后，经用户验收合格并签字确认后，依据采购合同的约定与采购人进行费用结算；</w:t>
      </w:r>
    </w:p>
    <w:p>
      <w:pPr>
        <w:snapToGrid w:val="0"/>
        <w:spacing w:line="360" w:lineRule="auto"/>
        <w:ind w:firstLine="540" w:firstLineChars="225"/>
        <w:rPr>
          <w:rFonts w:ascii="宋体" w:hAnsi="宋体"/>
          <w:sz w:val="24"/>
          <w:szCs w:val="24"/>
        </w:rPr>
      </w:pPr>
      <w:r>
        <w:rPr>
          <w:rFonts w:hint="eastAsia" w:ascii="宋体" w:hAnsi="宋体"/>
          <w:sz w:val="24"/>
          <w:szCs w:val="24"/>
        </w:rPr>
        <w:t>（四）乙方须执行江苏省质量技术监督局发布的《机动车维修费用结算规范》（DB 32/T 2665-2014）。</w:t>
      </w:r>
    </w:p>
    <w:p>
      <w:pPr>
        <w:snapToGrid w:val="0"/>
        <w:spacing w:line="360" w:lineRule="auto"/>
        <w:ind w:firstLine="540" w:firstLineChars="225"/>
        <w:rPr>
          <w:rFonts w:ascii="宋体" w:hAnsi="宋体"/>
          <w:sz w:val="24"/>
          <w:szCs w:val="24"/>
        </w:rPr>
      </w:pPr>
      <w:r>
        <w:rPr>
          <w:rFonts w:hint="eastAsia" w:ascii="宋体" w:hAnsi="宋体"/>
          <w:b/>
          <w:sz w:val="24"/>
          <w:szCs w:val="24"/>
        </w:rPr>
        <w:t xml:space="preserve">第六条  </w:t>
      </w:r>
      <w:r>
        <w:rPr>
          <w:rFonts w:hint="eastAsia" w:ascii="宋体" w:hAnsi="宋体"/>
          <w:sz w:val="24"/>
          <w:szCs w:val="24"/>
        </w:rPr>
        <w:t>甲方和托修方的权利：</w:t>
      </w:r>
    </w:p>
    <w:p>
      <w:pPr>
        <w:snapToGrid w:val="0"/>
        <w:spacing w:line="360" w:lineRule="auto"/>
        <w:ind w:firstLine="540" w:firstLineChars="225"/>
        <w:rPr>
          <w:rFonts w:ascii="宋体" w:hAnsi="宋体"/>
          <w:sz w:val="24"/>
          <w:szCs w:val="24"/>
        </w:rPr>
      </w:pPr>
      <w:r>
        <w:rPr>
          <w:rFonts w:hint="eastAsia" w:ascii="宋体" w:hAnsi="宋体"/>
          <w:sz w:val="24"/>
          <w:szCs w:val="24"/>
        </w:rPr>
        <w:t>（一）托修方有权获得优先服务；</w:t>
      </w:r>
    </w:p>
    <w:p>
      <w:pPr>
        <w:snapToGrid w:val="0"/>
        <w:spacing w:line="360" w:lineRule="auto"/>
        <w:ind w:firstLine="540" w:firstLineChars="225"/>
        <w:rPr>
          <w:rFonts w:ascii="宋体" w:hAnsi="宋体"/>
          <w:sz w:val="24"/>
          <w:szCs w:val="24"/>
        </w:rPr>
      </w:pPr>
      <w:r>
        <w:rPr>
          <w:rFonts w:hint="eastAsia" w:ascii="宋体" w:hAnsi="宋体"/>
          <w:sz w:val="24"/>
          <w:szCs w:val="24"/>
        </w:rPr>
        <w:t>（二）对已完工车辆，如发现不合格或与征集文件要求、响应文件承诺不符的，托修方有权要求乙方无偿返工，直至符合要求为止。因乙方原因给甲方或托修方造成损失的，由乙方赔偿相应经济损失；</w:t>
      </w:r>
    </w:p>
    <w:p>
      <w:pPr>
        <w:snapToGrid w:val="0"/>
        <w:spacing w:line="360" w:lineRule="auto"/>
        <w:ind w:firstLine="540" w:firstLineChars="225"/>
        <w:rPr>
          <w:rFonts w:ascii="宋体" w:hAnsi="宋体"/>
          <w:sz w:val="24"/>
          <w:szCs w:val="24"/>
        </w:rPr>
      </w:pPr>
      <w:r>
        <w:rPr>
          <w:rFonts w:hint="eastAsia" w:ascii="宋体" w:hAnsi="宋体"/>
          <w:sz w:val="24"/>
          <w:szCs w:val="24"/>
        </w:rPr>
        <w:t>（三）甲方和托修方均有权向有关部门投诉乙方违约行为；</w:t>
      </w:r>
    </w:p>
    <w:p>
      <w:pPr>
        <w:snapToGrid w:val="0"/>
        <w:spacing w:line="360" w:lineRule="auto"/>
        <w:ind w:firstLine="540" w:firstLineChars="225"/>
        <w:rPr>
          <w:rFonts w:ascii="宋体" w:hAnsi="宋体"/>
          <w:sz w:val="24"/>
          <w:szCs w:val="24"/>
        </w:rPr>
      </w:pPr>
      <w:r>
        <w:rPr>
          <w:rFonts w:hint="eastAsia" w:ascii="宋体" w:hAnsi="宋体"/>
          <w:sz w:val="24"/>
          <w:szCs w:val="24"/>
        </w:rPr>
        <w:t>（四）甲方有权对车辆维修质量进行监督和检查；</w:t>
      </w:r>
    </w:p>
    <w:p>
      <w:pPr>
        <w:snapToGrid w:val="0"/>
        <w:spacing w:line="360" w:lineRule="auto"/>
        <w:ind w:firstLine="540" w:firstLineChars="225"/>
        <w:rPr>
          <w:rFonts w:ascii="宋体" w:hAnsi="宋体"/>
          <w:sz w:val="24"/>
          <w:szCs w:val="24"/>
        </w:rPr>
      </w:pPr>
      <w:r>
        <w:rPr>
          <w:rFonts w:hint="eastAsia" w:ascii="宋体" w:hAnsi="宋体"/>
          <w:sz w:val="24"/>
          <w:szCs w:val="24"/>
        </w:rPr>
        <w:t>（五）甲方有权联合相关管理部门对乙方的财务、维修记录、维修设备等情况进行定期、不定期检查，包括但不限于：</w:t>
      </w:r>
    </w:p>
    <w:p>
      <w:pPr>
        <w:snapToGrid w:val="0"/>
        <w:spacing w:line="360" w:lineRule="auto"/>
        <w:ind w:firstLine="540" w:firstLineChars="225"/>
        <w:rPr>
          <w:rFonts w:ascii="宋体" w:hAnsi="宋体"/>
          <w:sz w:val="24"/>
          <w:szCs w:val="24"/>
        </w:rPr>
      </w:pPr>
      <w:r>
        <w:rPr>
          <w:rFonts w:hint="eastAsia" w:ascii="宋体" w:hAnsi="宋体"/>
          <w:sz w:val="24"/>
          <w:szCs w:val="24"/>
        </w:rPr>
        <w:t>1.乙方财务资料；</w:t>
      </w:r>
    </w:p>
    <w:p>
      <w:pPr>
        <w:snapToGrid w:val="0"/>
        <w:spacing w:line="360" w:lineRule="auto"/>
        <w:ind w:firstLine="540" w:firstLineChars="225"/>
        <w:rPr>
          <w:rFonts w:ascii="宋体" w:hAnsi="宋体"/>
          <w:sz w:val="24"/>
          <w:szCs w:val="24"/>
        </w:rPr>
      </w:pPr>
      <w:r>
        <w:rPr>
          <w:rFonts w:hint="eastAsia" w:ascii="宋体" w:hAnsi="宋体"/>
          <w:sz w:val="24"/>
          <w:szCs w:val="24"/>
        </w:rPr>
        <w:t>2.询问当事人或者有关人员，并可以要求其提供证明材料和与维修行为有关的其他资料；</w:t>
      </w:r>
    </w:p>
    <w:p>
      <w:pPr>
        <w:snapToGrid w:val="0"/>
        <w:spacing w:line="360" w:lineRule="auto"/>
        <w:ind w:firstLine="540" w:firstLineChars="225"/>
        <w:rPr>
          <w:rFonts w:ascii="宋体" w:hAnsi="宋体"/>
          <w:sz w:val="24"/>
          <w:szCs w:val="24"/>
        </w:rPr>
      </w:pPr>
      <w:r>
        <w:rPr>
          <w:rFonts w:hint="eastAsia" w:ascii="宋体" w:hAnsi="宋体"/>
          <w:sz w:val="24"/>
          <w:szCs w:val="24"/>
        </w:rPr>
        <w:t>3.查询、复制与维修行为有关的台帐、单据、凭证、文件及其他资料，核对与维修行为有关的技术资料；</w:t>
      </w:r>
    </w:p>
    <w:p>
      <w:pPr>
        <w:snapToGrid w:val="0"/>
        <w:spacing w:line="360" w:lineRule="auto"/>
        <w:ind w:firstLine="540" w:firstLineChars="225"/>
        <w:rPr>
          <w:rFonts w:ascii="宋体" w:hAnsi="宋体"/>
          <w:sz w:val="24"/>
          <w:szCs w:val="24"/>
        </w:rPr>
      </w:pPr>
      <w:r>
        <w:rPr>
          <w:rFonts w:hint="eastAsia" w:ascii="宋体" w:hAnsi="宋体"/>
          <w:sz w:val="24"/>
          <w:szCs w:val="24"/>
        </w:rPr>
        <w:t>4.在证据可能灭失或者以后难以取得的情况下，可以先行登记保存，乙方不得转移、隐匿或者销毁证据；</w:t>
      </w:r>
    </w:p>
    <w:p>
      <w:pPr>
        <w:snapToGrid w:val="0"/>
        <w:spacing w:line="360" w:lineRule="auto"/>
        <w:rPr>
          <w:rFonts w:ascii="宋体" w:hAnsi="宋体"/>
          <w:sz w:val="24"/>
          <w:szCs w:val="24"/>
        </w:rPr>
      </w:pPr>
      <w:r>
        <w:rPr>
          <w:rFonts w:hint="eastAsia" w:ascii="宋体" w:hAnsi="宋体"/>
          <w:sz w:val="24"/>
          <w:szCs w:val="24"/>
        </w:rPr>
        <w:t xml:space="preserve">    5.委派第三方进行审计。</w:t>
      </w:r>
    </w:p>
    <w:p>
      <w:pPr>
        <w:snapToGrid w:val="0"/>
        <w:spacing w:line="360" w:lineRule="auto"/>
        <w:ind w:firstLine="540" w:firstLineChars="225"/>
        <w:rPr>
          <w:rFonts w:ascii="宋体" w:hAnsi="宋体"/>
          <w:sz w:val="24"/>
          <w:szCs w:val="24"/>
        </w:rPr>
      </w:pPr>
      <w:r>
        <w:rPr>
          <w:rFonts w:hint="eastAsia" w:ascii="宋体" w:hAnsi="宋体"/>
          <w:sz w:val="24"/>
          <w:szCs w:val="24"/>
        </w:rPr>
        <w:t>（六）要求查询乙方所售配件的质量检验证书、产地、生产厂家的，乙方应如实提供有关资料和凭证；</w:t>
      </w:r>
    </w:p>
    <w:p>
      <w:pPr>
        <w:snapToGrid w:val="0"/>
        <w:spacing w:line="360" w:lineRule="auto"/>
        <w:ind w:firstLine="540" w:firstLineChars="225"/>
        <w:rPr>
          <w:rFonts w:ascii="宋体" w:hAnsi="宋体"/>
          <w:sz w:val="24"/>
          <w:szCs w:val="24"/>
        </w:rPr>
      </w:pPr>
      <w:r>
        <w:rPr>
          <w:rFonts w:hint="eastAsia" w:ascii="宋体" w:hAnsi="宋体"/>
          <w:sz w:val="24"/>
          <w:szCs w:val="24"/>
        </w:rPr>
        <w:t>（七）甲方有权将本框架协议所有内容向托修方及社会予以公布，具体方式和方法由甲方确定；</w:t>
      </w:r>
    </w:p>
    <w:p>
      <w:pPr>
        <w:snapToGrid w:val="0"/>
        <w:spacing w:line="360" w:lineRule="auto"/>
        <w:ind w:firstLine="540" w:firstLineChars="225"/>
        <w:rPr>
          <w:rFonts w:ascii="宋体" w:hAnsi="宋体"/>
          <w:sz w:val="24"/>
          <w:szCs w:val="24"/>
        </w:rPr>
      </w:pPr>
      <w:r>
        <w:rPr>
          <w:rFonts w:hint="eastAsia" w:ascii="宋体" w:hAnsi="宋体"/>
          <w:sz w:val="24"/>
          <w:szCs w:val="24"/>
        </w:rPr>
        <w:t>（八）甲方有权向托修方及社会公布乙方材料费、外加工费等相关的信息，内容包括不限于：材料进价、材料名称、材料规格型号、材料产地、材料生产厂家、适用车型等内容；</w:t>
      </w:r>
    </w:p>
    <w:p>
      <w:pPr>
        <w:snapToGrid w:val="0"/>
        <w:spacing w:line="360" w:lineRule="auto"/>
        <w:ind w:firstLine="540" w:firstLineChars="225"/>
        <w:rPr>
          <w:rFonts w:ascii="宋体" w:hAnsi="宋体"/>
          <w:sz w:val="24"/>
          <w:szCs w:val="24"/>
        </w:rPr>
      </w:pPr>
      <w:r>
        <w:rPr>
          <w:rFonts w:hint="eastAsia" w:ascii="宋体" w:hAnsi="宋体"/>
          <w:sz w:val="24"/>
          <w:szCs w:val="24"/>
        </w:rPr>
        <w:t>（九）如乙方未能履行本协议规定的义务，甲方有权单方暂停或终止与乙方的框架协议；</w:t>
      </w:r>
    </w:p>
    <w:p>
      <w:pPr>
        <w:snapToGrid w:val="0"/>
        <w:spacing w:line="360" w:lineRule="auto"/>
        <w:ind w:firstLine="540" w:firstLineChars="225"/>
        <w:rPr>
          <w:rFonts w:ascii="宋体" w:hAnsi="宋体"/>
          <w:sz w:val="24"/>
          <w:szCs w:val="24"/>
        </w:rPr>
      </w:pPr>
      <w:r>
        <w:rPr>
          <w:rFonts w:hint="eastAsia" w:ascii="宋体" w:hAnsi="宋体"/>
          <w:sz w:val="24"/>
          <w:szCs w:val="24"/>
        </w:rPr>
        <w:t>（十）对于托修方和乙方在车辆维修费结算过程中发生的经济纠纷，由托修方和乙方自行协商解决，甲方不承担任何责任。</w:t>
      </w:r>
    </w:p>
    <w:p>
      <w:pPr>
        <w:snapToGrid w:val="0"/>
        <w:spacing w:line="360" w:lineRule="auto"/>
        <w:ind w:firstLine="540" w:firstLineChars="225"/>
        <w:rPr>
          <w:rFonts w:ascii="宋体" w:hAnsi="宋体"/>
          <w:sz w:val="24"/>
          <w:szCs w:val="24"/>
        </w:rPr>
      </w:pPr>
      <w:r>
        <w:rPr>
          <w:rFonts w:hint="eastAsia" w:ascii="宋体" w:hAnsi="宋体"/>
          <w:b/>
          <w:sz w:val="24"/>
          <w:szCs w:val="24"/>
        </w:rPr>
        <w:t xml:space="preserve">第七条  </w:t>
      </w:r>
      <w:r>
        <w:rPr>
          <w:rFonts w:hint="eastAsia" w:ascii="宋体" w:hAnsi="宋体"/>
          <w:sz w:val="24"/>
          <w:szCs w:val="24"/>
        </w:rPr>
        <w:t>甲方的义务：</w:t>
      </w:r>
    </w:p>
    <w:p>
      <w:pPr>
        <w:snapToGrid w:val="0"/>
        <w:spacing w:line="360" w:lineRule="auto"/>
        <w:ind w:firstLine="468"/>
        <w:rPr>
          <w:rFonts w:ascii="宋体" w:hAnsi="宋体"/>
          <w:sz w:val="24"/>
          <w:szCs w:val="24"/>
        </w:rPr>
      </w:pPr>
      <w:r>
        <w:rPr>
          <w:rFonts w:hint="eastAsia" w:ascii="宋体" w:hAnsi="宋体"/>
          <w:sz w:val="24"/>
          <w:szCs w:val="24"/>
        </w:rPr>
        <w:t>（一）为第二阶段合同授予提供工作便利；</w:t>
      </w:r>
    </w:p>
    <w:p>
      <w:pPr>
        <w:snapToGrid w:val="0"/>
        <w:spacing w:line="360" w:lineRule="auto"/>
        <w:ind w:firstLine="468"/>
        <w:rPr>
          <w:rFonts w:ascii="宋体" w:hAnsi="宋体"/>
          <w:sz w:val="24"/>
          <w:szCs w:val="24"/>
        </w:rPr>
      </w:pPr>
      <w:r>
        <w:rPr>
          <w:rFonts w:hint="eastAsia" w:ascii="宋体" w:hAnsi="宋体"/>
          <w:sz w:val="24"/>
          <w:szCs w:val="24"/>
        </w:rPr>
        <w:t>（二）对第二阶段最高限价和需求标准执行情况进行管理；</w:t>
      </w:r>
    </w:p>
    <w:p>
      <w:pPr>
        <w:snapToGrid w:val="0"/>
        <w:spacing w:line="360" w:lineRule="auto"/>
        <w:ind w:firstLine="468"/>
        <w:rPr>
          <w:rFonts w:ascii="宋体" w:hAnsi="宋体"/>
          <w:sz w:val="24"/>
          <w:szCs w:val="24"/>
        </w:rPr>
      </w:pPr>
      <w:r>
        <w:rPr>
          <w:rFonts w:hint="eastAsia" w:ascii="宋体" w:hAnsi="宋体"/>
          <w:sz w:val="24"/>
          <w:szCs w:val="24"/>
        </w:rPr>
        <w:t>（三）对第二阶段确定成交供应商情况进行管理；</w:t>
      </w:r>
    </w:p>
    <w:p>
      <w:pPr>
        <w:snapToGrid w:val="0"/>
        <w:spacing w:line="360" w:lineRule="auto"/>
        <w:ind w:firstLine="468"/>
        <w:rPr>
          <w:rFonts w:ascii="宋体" w:hAnsi="宋体"/>
          <w:sz w:val="24"/>
          <w:szCs w:val="24"/>
        </w:rPr>
      </w:pPr>
      <w:r>
        <w:rPr>
          <w:rFonts w:hint="eastAsia" w:ascii="宋体" w:hAnsi="宋体"/>
          <w:sz w:val="24"/>
          <w:szCs w:val="24"/>
        </w:rPr>
        <w:t>（四）建立用户反馈和评价机制，接受采购人和服务对象对入围供应商履行框架协议和采购合同情况的反馈与评价，并将用户反馈和评价情况向采购人和服务对象公开，作为第二阶段直接选定成交供应商的参考；</w:t>
      </w:r>
    </w:p>
    <w:p>
      <w:pPr>
        <w:snapToGrid w:val="0"/>
        <w:spacing w:line="360" w:lineRule="auto"/>
        <w:ind w:firstLine="540" w:firstLineChars="225"/>
        <w:rPr>
          <w:rFonts w:ascii="宋体" w:hAnsi="宋体"/>
          <w:sz w:val="24"/>
          <w:szCs w:val="24"/>
        </w:rPr>
      </w:pPr>
      <w:r>
        <w:rPr>
          <w:rFonts w:hint="eastAsia" w:ascii="宋体" w:hAnsi="宋体"/>
          <w:sz w:val="24"/>
          <w:szCs w:val="24"/>
        </w:rPr>
        <w:t>（五）第二阶段直接选定，采购人无需发布单笔公告，在框架协议有效期满后，按相关规定由系统汇总配合甲方完成汇总公告发布；</w:t>
      </w:r>
    </w:p>
    <w:p>
      <w:pPr>
        <w:snapToGrid w:val="0"/>
        <w:spacing w:line="360" w:lineRule="auto"/>
        <w:ind w:firstLine="540" w:firstLineChars="225"/>
        <w:rPr>
          <w:rFonts w:ascii="宋体" w:hAnsi="宋体"/>
          <w:sz w:val="24"/>
          <w:szCs w:val="24"/>
        </w:rPr>
      </w:pPr>
      <w:r>
        <w:rPr>
          <w:rFonts w:hint="eastAsia" w:ascii="宋体" w:hAnsi="宋体"/>
          <w:sz w:val="24"/>
          <w:szCs w:val="24"/>
        </w:rPr>
        <w:t>（六）办理入围供应商清退和补充相关事宜。</w:t>
      </w:r>
    </w:p>
    <w:p>
      <w:pPr>
        <w:snapToGrid w:val="0"/>
        <w:spacing w:line="360" w:lineRule="auto"/>
        <w:ind w:firstLine="540" w:firstLineChars="225"/>
        <w:rPr>
          <w:rFonts w:ascii="宋体" w:hAnsi="宋体"/>
          <w:sz w:val="24"/>
          <w:szCs w:val="24"/>
        </w:rPr>
      </w:pPr>
      <w:r>
        <w:rPr>
          <w:rFonts w:hint="eastAsia" w:ascii="宋体" w:hAnsi="宋体"/>
          <w:b/>
          <w:sz w:val="24"/>
          <w:szCs w:val="24"/>
        </w:rPr>
        <w:t xml:space="preserve">第八条  </w:t>
      </w:r>
      <w:r>
        <w:rPr>
          <w:rFonts w:hint="eastAsia" w:ascii="宋体" w:hAnsi="宋体"/>
          <w:sz w:val="24"/>
          <w:szCs w:val="24"/>
        </w:rPr>
        <w:t>乙方的权利：</w:t>
      </w:r>
    </w:p>
    <w:p>
      <w:pPr>
        <w:snapToGrid w:val="0"/>
        <w:spacing w:line="360" w:lineRule="auto"/>
        <w:ind w:firstLine="540" w:firstLineChars="225"/>
        <w:rPr>
          <w:rFonts w:ascii="宋体" w:hAnsi="宋体"/>
          <w:sz w:val="24"/>
          <w:szCs w:val="24"/>
        </w:rPr>
      </w:pPr>
      <w:r>
        <w:rPr>
          <w:rFonts w:hint="eastAsia" w:ascii="宋体" w:hAnsi="宋体"/>
          <w:sz w:val="24"/>
          <w:szCs w:val="24"/>
        </w:rPr>
        <w:t>（一）有权要求甲方督促托修方按时结清车辆维修费用；</w:t>
      </w:r>
    </w:p>
    <w:p>
      <w:pPr>
        <w:snapToGrid w:val="0"/>
        <w:spacing w:line="360" w:lineRule="auto"/>
        <w:ind w:firstLine="540" w:firstLineChars="225"/>
        <w:rPr>
          <w:rFonts w:ascii="宋体" w:hAnsi="宋体"/>
          <w:sz w:val="24"/>
          <w:szCs w:val="24"/>
        </w:rPr>
      </w:pPr>
      <w:r>
        <w:rPr>
          <w:rFonts w:hint="eastAsia" w:ascii="宋体" w:hAnsi="宋体"/>
          <w:sz w:val="24"/>
          <w:szCs w:val="24"/>
        </w:rPr>
        <w:t>（二）有权拒绝甲方及托修方提出的除维修服务以外的要求；</w:t>
      </w:r>
    </w:p>
    <w:p>
      <w:pPr>
        <w:snapToGrid w:val="0"/>
        <w:spacing w:line="360" w:lineRule="auto"/>
        <w:ind w:firstLine="540" w:firstLineChars="225"/>
        <w:rPr>
          <w:rFonts w:ascii="宋体" w:hAnsi="宋体"/>
          <w:sz w:val="24"/>
          <w:szCs w:val="24"/>
        </w:rPr>
      </w:pPr>
      <w:r>
        <w:rPr>
          <w:rFonts w:hint="eastAsia" w:ascii="宋体" w:hAnsi="宋体"/>
          <w:sz w:val="24"/>
          <w:szCs w:val="24"/>
        </w:rPr>
        <w:t>（三）有权向有关部门投诉甲方的违约行为；</w:t>
      </w:r>
    </w:p>
    <w:p>
      <w:pPr>
        <w:snapToGrid w:val="0"/>
        <w:spacing w:line="360" w:lineRule="auto"/>
        <w:ind w:firstLine="540" w:firstLineChars="225"/>
        <w:rPr>
          <w:rFonts w:ascii="宋体" w:hAnsi="宋体"/>
          <w:sz w:val="24"/>
          <w:szCs w:val="24"/>
        </w:rPr>
      </w:pPr>
      <w:r>
        <w:rPr>
          <w:rFonts w:hint="eastAsia" w:ascii="宋体" w:hAnsi="宋体"/>
          <w:sz w:val="24"/>
          <w:szCs w:val="24"/>
        </w:rPr>
        <w:t>（四）乙方对于拖欠维修费用的托修方有权拒绝维修；</w:t>
      </w:r>
    </w:p>
    <w:p>
      <w:pPr>
        <w:snapToGrid w:val="0"/>
        <w:spacing w:line="360" w:lineRule="auto"/>
        <w:ind w:firstLine="540" w:firstLineChars="225"/>
        <w:rPr>
          <w:rFonts w:ascii="宋体" w:hAnsi="宋体"/>
          <w:sz w:val="24"/>
          <w:szCs w:val="24"/>
        </w:rPr>
      </w:pPr>
      <w:r>
        <w:rPr>
          <w:rFonts w:hint="eastAsia" w:ascii="宋体" w:hAnsi="宋体"/>
          <w:sz w:val="24"/>
          <w:szCs w:val="24"/>
        </w:rPr>
        <w:t>（五）甲方同意乙方在本框架协议有效期限内以“2023-2024年度无锡市市本级（含经开区）车辆维修和保养服务框架协议入围供应商”的名义进行广告宣传。</w:t>
      </w:r>
    </w:p>
    <w:p>
      <w:pPr>
        <w:snapToGrid w:val="0"/>
        <w:spacing w:line="360" w:lineRule="auto"/>
        <w:ind w:firstLine="540" w:firstLineChars="225"/>
        <w:rPr>
          <w:rFonts w:ascii="宋体" w:hAnsi="宋体"/>
          <w:sz w:val="24"/>
          <w:szCs w:val="24"/>
        </w:rPr>
      </w:pPr>
      <w:r>
        <w:rPr>
          <w:rFonts w:hint="eastAsia" w:ascii="宋体" w:hAnsi="宋体"/>
          <w:b/>
          <w:sz w:val="24"/>
          <w:szCs w:val="24"/>
        </w:rPr>
        <w:t xml:space="preserve">第九条  </w:t>
      </w:r>
      <w:r>
        <w:rPr>
          <w:rFonts w:hint="eastAsia" w:ascii="宋体" w:hAnsi="宋体"/>
          <w:sz w:val="24"/>
          <w:szCs w:val="24"/>
        </w:rPr>
        <w:t>乙方的义务：</w:t>
      </w:r>
    </w:p>
    <w:p>
      <w:pPr>
        <w:snapToGrid w:val="0"/>
        <w:spacing w:line="360" w:lineRule="auto"/>
        <w:ind w:firstLine="480" w:firstLineChars="200"/>
        <w:rPr>
          <w:rFonts w:ascii="宋体" w:hAnsi="宋体"/>
          <w:sz w:val="24"/>
          <w:szCs w:val="24"/>
        </w:rPr>
      </w:pPr>
      <w:r>
        <w:rPr>
          <w:rFonts w:hint="eastAsia" w:ascii="宋体" w:hAnsi="宋体"/>
          <w:sz w:val="24"/>
          <w:szCs w:val="24"/>
        </w:rPr>
        <w:t>（一）乙方应设有24小时应急电话，在接到托修方报修电话后2小时内予以响应；</w:t>
      </w:r>
    </w:p>
    <w:p>
      <w:pPr>
        <w:snapToGrid w:val="0"/>
        <w:spacing w:line="360" w:lineRule="auto"/>
        <w:ind w:firstLine="480" w:firstLineChars="200"/>
        <w:rPr>
          <w:rFonts w:ascii="宋体" w:hAnsi="宋体"/>
          <w:sz w:val="24"/>
          <w:szCs w:val="24"/>
        </w:rPr>
      </w:pPr>
      <w:r>
        <w:rPr>
          <w:rFonts w:hint="eastAsia" w:ascii="宋体" w:hAnsi="宋体"/>
          <w:sz w:val="24"/>
          <w:szCs w:val="24"/>
        </w:rPr>
        <w:t>（二）向托修方公示收费项目、收费标准、服务承诺、甲方和</w:t>
      </w:r>
      <w:r>
        <w:rPr>
          <w:rFonts w:hint="eastAsia" w:ascii="宋体" w:hAnsi="宋体"/>
          <w:bCs/>
          <w:sz w:val="24"/>
          <w:szCs w:val="24"/>
        </w:rPr>
        <w:t>政采监管部门</w:t>
      </w:r>
      <w:r>
        <w:rPr>
          <w:rFonts w:hint="eastAsia" w:ascii="宋体" w:hAnsi="宋体"/>
          <w:sz w:val="24"/>
          <w:szCs w:val="24"/>
        </w:rPr>
        <w:t>的监督电话。向甲方和托修方公示零配件的价格，乙方不得在任何情况下加以拒绝，否则视为违约；</w:t>
      </w:r>
    </w:p>
    <w:p>
      <w:pPr>
        <w:snapToGrid w:val="0"/>
        <w:spacing w:line="360" w:lineRule="auto"/>
        <w:ind w:firstLine="480" w:firstLineChars="200"/>
        <w:rPr>
          <w:rFonts w:ascii="宋体" w:hAnsi="宋体"/>
          <w:sz w:val="24"/>
          <w:szCs w:val="24"/>
        </w:rPr>
      </w:pPr>
      <w:r>
        <w:rPr>
          <w:rFonts w:hint="eastAsia" w:ascii="宋体" w:hAnsi="宋体"/>
          <w:sz w:val="24"/>
          <w:szCs w:val="24"/>
        </w:rPr>
        <w:t>（三）乙方须保证按时、按质、按量完成维修工作；维修质量须符合征集文件的相应要求及响应文件作出的相应承诺；</w:t>
      </w:r>
    </w:p>
    <w:p>
      <w:pPr>
        <w:snapToGrid w:val="0"/>
        <w:spacing w:line="360" w:lineRule="auto"/>
        <w:ind w:firstLine="480" w:firstLineChars="200"/>
        <w:rPr>
          <w:rFonts w:ascii="宋体" w:hAnsi="宋体"/>
          <w:sz w:val="24"/>
          <w:szCs w:val="24"/>
        </w:rPr>
      </w:pPr>
      <w:r>
        <w:rPr>
          <w:rFonts w:hint="eastAsia" w:ascii="宋体" w:hAnsi="宋体"/>
          <w:sz w:val="24"/>
          <w:szCs w:val="24"/>
        </w:rPr>
        <w:t>（四）已竣工车辆，乙方应逐项填写“维修费用结算清单”，机动车维修费用由工时费用、材料费用、维修诊断费用、检测费用、外加工及其他费用组成，结算时应当分项计算；</w:t>
      </w:r>
    </w:p>
    <w:p>
      <w:pPr>
        <w:snapToGrid w:val="0"/>
        <w:spacing w:line="360" w:lineRule="auto"/>
        <w:ind w:firstLine="480" w:firstLineChars="200"/>
        <w:rPr>
          <w:rFonts w:ascii="宋体" w:hAnsi="宋体"/>
          <w:sz w:val="24"/>
          <w:szCs w:val="24"/>
        </w:rPr>
      </w:pPr>
      <w:r>
        <w:rPr>
          <w:rFonts w:hint="eastAsia" w:ascii="宋体" w:hAnsi="宋体"/>
          <w:sz w:val="24"/>
          <w:szCs w:val="24"/>
        </w:rPr>
        <w:t>（五）乙方应妥善保管托修方的送修车辆，不得出现丢失或损毁；</w:t>
      </w:r>
    </w:p>
    <w:p>
      <w:pPr>
        <w:snapToGrid w:val="0"/>
        <w:spacing w:line="360" w:lineRule="auto"/>
        <w:ind w:firstLine="480" w:firstLineChars="200"/>
        <w:rPr>
          <w:rFonts w:ascii="宋体" w:hAnsi="宋体"/>
          <w:sz w:val="24"/>
          <w:szCs w:val="24"/>
        </w:rPr>
      </w:pPr>
      <w:r>
        <w:rPr>
          <w:rFonts w:hint="eastAsia" w:ascii="宋体" w:hAnsi="宋体"/>
          <w:sz w:val="24"/>
          <w:szCs w:val="24"/>
        </w:rPr>
        <w:t>（六）保存好所有的维修单据和资料，包括“维修费用结算清单”和维修记录的复印件（材料清单和工时清单）等与维修档案一并装订成册；</w:t>
      </w:r>
    </w:p>
    <w:p>
      <w:pPr>
        <w:snapToGrid w:val="0"/>
        <w:spacing w:line="360" w:lineRule="auto"/>
        <w:ind w:firstLine="480" w:firstLineChars="200"/>
        <w:rPr>
          <w:rFonts w:ascii="宋体" w:hAnsi="宋体"/>
          <w:sz w:val="24"/>
          <w:szCs w:val="24"/>
        </w:rPr>
      </w:pPr>
      <w:r>
        <w:rPr>
          <w:rFonts w:hint="eastAsia" w:ascii="宋体" w:hAnsi="宋体"/>
          <w:sz w:val="24"/>
          <w:szCs w:val="24"/>
        </w:rPr>
        <w:t>（七）保证维修材料进价明细清单齐全，入库、出库单据帐目清晰；</w:t>
      </w:r>
    </w:p>
    <w:p>
      <w:pPr>
        <w:snapToGrid w:val="0"/>
        <w:spacing w:line="360" w:lineRule="auto"/>
        <w:ind w:firstLine="480" w:firstLineChars="200"/>
        <w:rPr>
          <w:rFonts w:ascii="宋体" w:hAnsi="宋体"/>
          <w:sz w:val="24"/>
          <w:szCs w:val="24"/>
        </w:rPr>
      </w:pPr>
      <w:r>
        <w:rPr>
          <w:rFonts w:hint="eastAsia" w:ascii="宋体" w:hAnsi="宋体"/>
          <w:sz w:val="24"/>
          <w:szCs w:val="24"/>
        </w:rPr>
        <w:t>（八）甲乙双方在业务合作来往过程中，均应遵守国家法律法规和廉洁自律规定，遵守行业管理有关规定，共同抵制商业贿赂和不正当竞争；</w:t>
      </w:r>
    </w:p>
    <w:p>
      <w:pPr>
        <w:snapToGrid w:val="0"/>
        <w:spacing w:line="360" w:lineRule="auto"/>
        <w:ind w:firstLine="480" w:firstLineChars="200"/>
        <w:rPr>
          <w:rFonts w:ascii="宋体" w:hAnsi="宋体"/>
          <w:sz w:val="24"/>
          <w:szCs w:val="24"/>
        </w:rPr>
      </w:pPr>
      <w:r>
        <w:rPr>
          <w:rFonts w:hint="eastAsia" w:ascii="宋体" w:hAnsi="宋体"/>
          <w:sz w:val="24"/>
          <w:szCs w:val="24"/>
        </w:rPr>
        <w:t>（九）按服务承诺兑现各项服务措施；</w:t>
      </w:r>
    </w:p>
    <w:p>
      <w:pPr>
        <w:snapToGrid w:val="0"/>
        <w:spacing w:line="360" w:lineRule="auto"/>
        <w:ind w:firstLine="480" w:firstLineChars="200"/>
        <w:rPr>
          <w:rFonts w:ascii="宋体" w:hAnsi="宋体"/>
          <w:sz w:val="24"/>
          <w:szCs w:val="24"/>
        </w:rPr>
      </w:pPr>
      <w:r>
        <w:rPr>
          <w:rFonts w:hint="eastAsia" w:ascii="宋体" w:hAnsi="宋体"/>
          <w:sz w:val="24"/>
          <w:szCs w:val="24"/>
        </w:rPr>
        <w:t>（十）乙方不得给予本框架协议规定的“维修服务对象及范围”以外的任何单位低于本框架协议的优惠价格，即本框架协议价格是乙方的最优惠价格；</w:t>
      </w:r>
    </w:p>
    <w:p>
      <w:pPr>
        <w:snapToGrid w:val="0"/>
        <w:spacing w:line="360" w:lineRule="auto"/>
        <w:ind w:firstLine="480" w:firstLineChars="200"/>
        <w:rPr>
          <w:rFonts w:ascii="宋体" w:hAnsi="宋体"/>
          <w:sz w:val="24"/>
          <w:szCs w:val="24"/>
        </w:rPr>
      </w:pPr>
      <w:r>
        <w:rPr>
          <w:rFonts w:hint="eastAsia" w:ascii="宋体" w:hAnsi="宋体"/>
          <w:sz w:val="24"/>
          <w:szCs w:val="24"/>
        </w:rPr>
        <w:t>（十一）在接待大厅，免费向甲方和托修方提供《江苏省机动车维修结算工时定额与收费指南》（2014版）查询服务，并有明确指示；</w:t>
      </w:r>
    </w:p>
    <w:p>
      <w:pPr>
        <w:snapToGrid w:val="0"/>
        <w:spacing w:line="360" w:lineRule="auto"/>
        <w:ind w:firstLine="540" w:firstLineChars="225"/>
        <w:rPr>
          <w:rFonts w:ascii="宋体" w:hAnsi="宋体"/>
          <w:sz w:val="24"/>
          <w:szCs w:val="24"/>
        </w:rPr>
      </w:pPr>
      <w:r>
        <w:rPr>
          <w:rFonts w:hint="eastAsia" w:ascii="宋体" w:hAnsi="宋体"/>
          <w:sz w:val="24"/>
          <w:szCs w:val="24"/>
        </w:rPr>
        <w:t>（十二）不得拒绝甲方、公务用车主管部门、行业主管部门、政采监管部门的监督检查。</w:t>
      </w:r>
    </w:p>
    <w:p>
      <w:pPr>
        <w:adjustRightInd w:val="0"/>
        <w:snapToGrid w:val="0"/>
        <w:spacing w:line="360" w:lineRule="auto"/>
        <w:ind w:firstLine="480"/>
        <w:rPr>
          <w:rFonts w:ascii="宋体" w:hAnsi="宋体"/>
          <w:sz w:val="24"/>
          <w:szCs w:val="24"/>
        </w:rPr>
      </w:pPr>
      <w:r>
        <w:rPr>
          <w:rFonts w:hint="eastAsia" w:ascii="宋体" w:hAnsi="宋体"/>
          <w:b/>
          <w:sz w:val="24"/>
          <w:szCs w:val="24"/>
        </w:rPr>
        <w:t xml:space="preserve">第十条  </w:t>
      </w:r>
      <w:r>
        <w:rPr>
          <w:rFonts w:hint="eastAsia" w:ascii="宋体" w:hAnsi="宋体"/>
          <w:sz w:val="24"/>
          <w:szCs w:val="24"/>
        </w:rPr>
        <w:t>违约责任：</w:t>
      </w:r>
    </w:p>
    <w:p>
      <w:pPr>
        <w:adjustRightInd w:val="0"/>
        <w:snapToGrid w:val="0"/>
        <w:spacing w:line="360" w:lineRule="auto"/>
        <w:ind w:firstLine="480"/>
        <w:rPr>
          <w:rFonts w:ascii="宋体" w:hAnsi="宋体"/>
          <w:sz w:val="24"/>
          <w:szCs w:val="24"/>
        </w:rPr>
      </w:pPr>
      <w:r>
        <w:rPr>
          <w:rFonts w:hint="eastAsia" w:ascii="宋体" w:hAnsi="宋体"/>
          <w:sz w:val="24"/>
          <w:szCs w:val="24"/>
        </w:rPr>
        <w:t>（一）乙方应按本框架协议规定或与托修方商定的维修项目和期限完成维修；</w:t>
      </w:r>
    </w:p>
    <w:p>
      <w:pPr>
        <w:adjustRightInd w:val="0"/>
        <w:snapToGrid w:val="0"/>
        <w:spacing w:line="360" w:lineRule="auto"/>
        <w:ind w:firstLine="480"/>
        <w:rPr>
          <w:rFonts w:ascii="宋体" w:hAnsi="宋体"/>
          <w:sz w:val="24"/>
          <w:szCs w:val="24"/>
        </w:rPr>
      </w:pPr>
      <w:r>
        <w:rPr>
          <w:rFonts w:hint="eastAsia" w:ascii="宋体" w:hAnsi="宋体"/>
          <w:sz w:val="24"/>
          <w:szCs w:val="24"/>
        </w:rPr>
        <w:t>（二）因维修质量、服务承诺未履行及其他乙方原因给甲方或托修方造成的损失，乙方应承担相应的赔偿责任；</w:t>
      </w:r>
    </w:p>
    <w:p>
      <w:pPr>
        <w:adjustRightInd w:val="0"/>
        <w:snapToGrid w:val="0"/>
        <w:spacing w:line="360" w:lineRule="auto"/>
        <w:ind w:firstLine="480"/>
        <w:rPr>
          <w:rFonts w:ascii="宋体" w:hAnsi="宋体"/>
          <w:sz w:val="24"/>
          <w:szCs w:val="24"/>
        </w:rPr>
      </w:pPr>
      <w:r>
        <w:rPr>
          <w:rFonts w:hint="eastAsia" w:ascii="宋体" w:hAnsi="宋体"/>
          <w:sz w:val="24"/>
          <w:szCs w:val="24"/>
        </w:rPr>
        <w:t>（三）对乙方非因不可抗力而造成的托修方车辆丢失、损坏等事故，乙方应承担相应赔偿责任；</w:t>
      </w:r>
    </w:p>
    <w:p>
      <w:pPr>
        <w:adjustRightInd w:val="0"/>
        <w:snapToGrid w:val="0"/>
        <w:spacing w:line="360" w:lineRule="auto"/>
        <w:ind w:firstLine="480"/>
        <w:rPr>
          <w:rFonts w:ascii="宋体" w:hAnsi="宋体"/>
          <w:sz w:val="24"/>
          <w:szCs w:val="24"/>
        </w:rPr>
      </w:pPr>
      <w:r>
        <w:rPr>
          <w:rFonts w:hint="eastAsia" w:ascii="宋体" w:hAnsi="宋体"/>
          <w:sz w:val="24"/>
          <w:szCs w:val="24"/>
        </w:rPr>
        <w:t>（四）乙方接受托修方车辆维修委托后，不得擅自转厂维修，否则将追究相应责任并按相关管理措施要求进行处理。托修方自行提出转厂要求，或因乙方技术、设备等原因确实无法维修必须转厂的，承担厂亦应具有定点维修资格。</w:t>
      </w:r>
    </w:p>
    <w:p>
      <w:pPr>
        <w:adjustRightInd w:val="0"/>
        <w:snapToGrid w:val="0"/>
        <w:spacing w:line="360" w:lineRule="auto"/>
        <w:ind w:firstLine="480"/>
        <w:rPr>
          <w:rFonts w:ascii="宋体" w:hAnsi="宋体"/>
          <w:sz w:val="24"/>
          <w:szCs w:val="24"/>
        </w:rPr>
      </w:pPr>
      <w:r>
        <w:rPr>
          <w:rFonts w:hint="eastAsia" w:ascii="宋体" w:hAnsi="宋体"/>
          <w:b/>
          <w:bCs/>
          <w:sz w:val="24"/>
          <w:szCs w:val="24"/>
        </w:rPr>
        <w:t xml:space="preserve">第十一条  </w:t>
      </w:r>
      <w:r>
        <w:rPr>
          <w:rFonts w:hint="eastAsia" w:ascii="宋体" w:hAnsi="宋体"/>
          <w:bCs/>
          <w:sz w:val="24"/>
          <w:szCs w:val="24"/>
        </w:rPr>
        <w:t>履约管理要求：</w:t>
      </w:r>
    </w:p>
    <w:p>
      <w:pPr>
        <w:adjustRightInd w:val="0"/>
        <w:snapToGrid w:val="0"/>
        <w:spacing w:line="360" w:lineRule="auto"/>
        <w:ind w:firstLine="480"/>
        <w:rPr>
          <w:rFonts w:ascii="宋体" w:hAnsi="宋体"/>
          <w:bCs/>
          <w:sz w:val="24"/>
          <w:szCs w:val="24"/>
        </w:rPr>
      </w:pPr>
      <w:r>
        <w:rPr>
          <w:rFonts w:hint="eastAsia" w:ascii="宋体" w:hAnsi="宋体"/>
          <w:sz w:val="24"/>
          <w:szCs w:val="24"/>
        </w:rPr>
        <w:t>（一）</w:t>
      </w:r>
      <w:r>
        <w:rPr>
          <w:rFonts w:hint="eastAsia" w:ascii="宋体" w:hAnsi="宋体"/>
          <w:bCs/>
          <w:sz w:val="24"/>
          <w:szCs w:val="24"/>
        </w:rPr>
        <w:t>管理形式：无锡市滨湖区公共资源交易中心将会同公务用车主管部门、行业主管部门、政采监管部门定期或不定期地对入围供应商的服务质量、履约情况进行监督检查。检查和处理结果将在框架协议系统公布；</w:t>
      </w:r>
    </w:p>
    <w:p>
      <w:pPr>
        <w:adjustRightInd w:val="0"/>
        <w:snapToGrid w:val="0"/>
        <w:spacing w:line="360" w:lineRule="auto"/>
        <w:ind w:firstLine="480"/>
        <w:rPr>
          <w:rFonts w:ascii="宋体" w:hAnsi="宋体"/>
          <w:bCs/>
          <w:sz w:val="24"/>
          <w:szCs w:val="24"/>
        </w:rPr>
      </w:pPr>
      <w:r>
        <w:rPr>
          <w:rFonts w:hint="eastAsia" w:ascii="宋体" w:hAnsi="宋体"/>
          <w:sz w:val="24"/>
          <w:szCs w:val="24"/>
        </w:rPr>
        <w:t>（二）</w:t>
      </w:r>
      <w:r>
        <w:rPr>
          <w:rFonts w:hint="eastAsia" w:ascii="宋体" w:hAnsi="宋体"/>
          <w:bCs/>
          <w:sz w:val="24"/>
          <w:szCs w:val="24"/>
        </w:rPr>
        <w:t>管理标准：在监管检查中，如发现以下情形，视为不合格行为。相关部门在核实情况后将对相关责任供应商予以处理：</w:t>
      </w:r>
    </w:p>
    <w:p>
      <w:pPr>
        <w:adjustRightInd w:val="0"/>
        <w:snapToGrid w:val="0"/>
        <w:spacing w:line="360" w:lineRule="auto"/>
        <w:ind w:firstLine="480"/>
        <w:rPr>
          <w:rFonts w:ascii="宋体" w:hAnsi="宋体"/>
          <w:bCs/>
          <w:sz w:val="24"/>
          <w:szCs w:val="24"/>
        </w:rPr>
      </w:pPr>
      <w:r>
        <w:rPr>
          <w:rFonts w:hint="eastAsia" w:ascii="宋体" w:hAnsi="宋体"/>
          <w:bCs/>
          <w:sz w:val="24"/>
          <w:szCs w:val="24"/>
        </w:rPr>
        <w:t>1.入围供应商提供的服务不符合国家有关规定、响应承诺和框架协议规定；</w:t>
      </w:r>
    </w:p>
    <w:p>
      <w:pPr>
        <w:adjustRightInd w:val="0"/>
        <w:snapToGrid w:val="0"/>
        <w:spacing w:line="360" w:lineRule="auto"/>
        <w:ind w:firstLine="480"/>
        <w:rPr>
          <w:rFonts w:ascii="宋体" w:hAnsi="宋体"/>
          <w:bCs/>
          <w:sz w:val="24"/>
          <w:szCs w:val="24"/>
        </w:rPr>
      </w:pPr>
      <w:r>
        <w:rPr>
          <w:rFonts w:hint="eastAsia" w:ascii="宋体" w:hAnsi="宋体"/>
          <w:bCs/>
          <w:sz w:val="24"/>
          <w:szCs w:val="24"/>
        </w:rPr>
        <w:t>2.无正当理由拒单或不按照承诺提供服务；</w:t>
      </w:r>
    </w:p>
    <w:p>
      <w:pPr>
        <w:adjustRightInd w:val="0"/>
        <w:snapToGrid w:val="0"/>
        <w:spacing w:line="360" w:lineRule="auto"/>
        <w:ind w:firstLine="480"/>
        <w:rPr>
          <w:rFonts w:ascii="宋体" w:hAnsi="宋体"/>
          <w:bCs/>
          <w:sz w:val="24"/>
          <w:szCs w:val="24"/>
        </w:rPr>
      </w:pPr>
      <w:r>
        <w:rPr>
          <w:rFonts w:hint="eastAsia" w:ascii="宋体" w:hAnsi="宋体"/>
          <w:bCs/>
          <w:sz w:val="24"/>
          <w:szCs w:val="24"/>
        </w:rPr>
        <w:t>3.具体项目成交价高于其入围价格或服务承诺；</w:t>
      </w:r>
    </w:p>
    <w:p>
      <w:pPr>
        <w:adjustRightInd w:val="0"/>
        <w:snapToGrid w:val="0"/>
        <w:spacing w:line="360" w:lineRule="auto"/>
        <w:ind w:firstLine="480"/>
        <w:rPr>
          <w:rFonts w:ascii="宋体" w:hAnsi="宋体"/>
          <w:bCs/>
          <w:sz w:val="24"/>
          <w:szCs w:val="24"/>
        </w:rPr>
      </w:pPr>
      <w:r>
        <w:rPr>
          <w:rFonts w:hint="eastAsia" w:ascii="宋体" w:hAnsi="宋体"/>
          <w:bCs/>
          <w:sz w:val="24"/>
          <w:szCs w:val="24"/>
        </w:rPr>
        <w:t>4.使用不正当竞争手段，影响采购单位正常采购活动；</w:t>
      </w:r>
    </w:p>
    <w:p>
      <w:pPr>
        <w:adjustRightInd w:val="0"/>
        <w:snapToGrid w:val="0"/>
        <w:spacing w:line="360" w:lineRule="auto"/>
        <w:ind w:firstLine="480"/>
        <w:rPr>
          <w:rFonts w:ascii="宋体" w:hAnsi="宋体"/>
          <w:bCs/>
          <w:sz w:val="24"/>
          <w:szCs w:val="24"/>
        </w:rPr>
      </w:pPr>
      <w:r>
        <w:rPr>
          <w:rFonts w:hint="eastAsia" w:ascii="宋体" w:hAnsi="宋体"/>
          <w:bCs/>
          <w:sz w:val="24"/>
          <w:szCs w:val="24"/>
        </w:rPr>
        <w:t>5.满意度调查中采购人反馈不满意，经核实确系供应商责任；</w:t>
      </w:r>
    </w:p>
    <w:p>
      <w:pPr>
        <w:adjustRightInd w:val="0"/>
        <w:snapToGrid w:val="0"/>
        <w:spacing w:line="360" w:lineRule="auto"/>
        <w:ind w:firstLine="480"/>
        <w:rPr>
          <w:rFonts w:ascii="宋体" w:hAnsi="宋体"/>
          <w:bCs/>
          <w:sz w:val="24"/>
          <w:szCs w:val="24"/>
        </w:rPr>
      </w:pPr>
      <w:r>
        <w:rPr>
          <w:rFonts w:hint="eastAsia" w:ascii="宋体" w:hAnsi="宋体"/>
          <w:bCs/>
          <w:sz w:val="24"/>
          <w:szCs w:val="24"/>
        </w:rPr>
        <w:t>6.其他违法违规行为。</w:t>
      </w:r>
    </w:p>
    <w:p>
      <w:pPr>
        <w:adjustRightInd w:val="0"/>
        <w:snapToGrid w:val="0"/>
        <w:spacing w:line="360" w:lineRule="auto"/>
        <w:ind w:firstLine="480"/>
        <w:rPr>
          <w:rFonts w:ascii="宋体" w:hAnsi="宋体"/>
          <w:bCs/>
          <w:sz w:val="24"/>
          <w:szCs w:val="24"/>
        </w:rPr>
      </w:pPr>
      <w:r>
        <w:rPr>
          <w:rFonts w:hint="eastAsia" w:ascii="宋体" w:hAnsi="宋体"/>
          <w:sz w:val="24"/>
          <w:szCs w:val="24"/>
        </w:rPr>
        <w:t>（三）</w:t>
      </w:r>
      <w:r>
        <w:rPr>
          <w:rFonts w:hint="eastAsia" w:ascii="宋体" w:hAnsi="宋体"/>
          <w:bCs/>
          <w:sz w:val="24"/>
          <w:szCs w:val="24"/>
        </w:rPr>
        <w:t>管理措施：对履约监管中发现的不合格行为，按以下措施处理：</w:t>
      </w:r>
    </w:p>
    <w:p>
      <w:pPr>
        <w:adjustRightInd w:val="0"/>
        <w:snapToGrid w:val="0"/>
        <w:spacing w:line="360" w:lineRule="auto"/>
        <w:ind w:firstLine="480"/>
        <w:rPr>
          <w:rFonts w:ascii="宋体" w:hAnsi="宋体"/>
          <w:bCs/>
          <w:sz w:val="24"/>
          <w:szCs w:val="24"/>
        </w:rPr>
      </w:pPr>
      <w:r>
        <w:rPr>
          <w:rFonts w:hint="eastAsia" w:ascii="宋体" w:hAnsi="宋体"/>
          <w:bCs/>
          <w:sz w:val="24"/>
          <w:szCs w:val="24"/>
        </w:rPr>
        <w:t>1.整改：入围供应商在框架协议服务期间存在不合格行为的，由相关部门出具《责令整改通知书》，限定时间完成整改。被开具《责令整改通知书》的供应商，视作差评，记录在案；</w:t>
      </w:r>
    </w:p>
    <w:p>
      <w:pPr>
        <w:adjustRightInd w:val="0"/>
        <w:snapToGrid w:val="0"/>
        <w:spacing w:line="360" w:lineRule="auto"/>
        <w:ind w:firstLine="480"/>
        <w:rPr>
          <w:rFonts w:ascii="宋体" w:hAnsi="宋体"/>
          <w:bCs/>
          <w:sz w:val="24"/>
          <w:szCs w:val="24"/>
        </w:rPr>
      </w:pPr>
      <w:r>
        <w:rPr>
          <w:rFonts w:hint="eastAsia" w:ascii="宋体" w:hAnsi="宋体"/>
          <w:bCs/>
          <w:sz w:val="24"/>
          <w:szCs w:val="24"/>
        </w:rPr>
        <w:t>2.暂停交易资格：对拒不接受相关部门约谈，或者规定时间未按《责令整改通知书》完成整改的供应商，暂停其框架协议交易资格三个月；</w:t>
      </w:r>
    </w:p>
    <w:p>
      <w:pPr>
        <w:adjustRightInd w:val="0"/>
        <w:snapToGrid w:val="0"/>
        <w:spacing w:line="360" w:lineRule="auto"/>
        <w:ind w:firstLine="480"/>
        <w:rPr>
          <w:rFonts w:ascii="宋体" w:hAnsi="宋体"/>
          <w:bCs/>
          <w:sz w:val="24"/>
          <w:szCs w:val="24"/>
        </w:rPr>
      </w:pPr>
      <w:r>
        <w:rPr>
          <w:rFonts w:hint="eastAsia" w:ascii="宋体" w:hAnsi="宋体"/>
          <w:bCs/>
          <w:sz w:val="24"/>
          <w:szCs w:val="24"/>
        </w:rPr>
        <w:t>3.终止交易资格：入围供应商存在财政部第110号令涉及的情形以及无正当理由放弃封闭式框架协议入围资格或者退出封闭式框架协议的，将取消其入围资格，解除与其签订的框架协议，同时依照政府采购法等有关法律、行政法规追究法律责任。</w:t>
      </w:r>
    </w:p>
    <w:p>
      <w:pPr>
        <w:adjustRightInd w:val="0"/>
        <w:snapToGrid w:val="0"/>
        <w:spacing w:line="360" w:lineRule="auto"/>
        <w:ind w:firstLine="480"/>
        <w:rPr>
          <w:rFonts w:ascii="宋体" w:hAnsi="宋体"/>
          <w:bCs/>
          <w:sz w:val="24"/>
          <w:szCs w:val="24"/>
        </w:rPr>
      </w:pPr>
      <w:r>
        <w:rPr>
          <w:rFonts w:hint="eastAsia" w:ascii="宋体" w:hAnsi="宋体"/>
          <w:b/>
          <w:bCs/>
          <w:sz w:val="24"/>
          <w:szCs w:val="24"/>
        </w:rPr>
        <w:t xml:space="preserve">第十二条  </w:t>
      </w:r>
      <w:r>
        <w:rPr>
          <w:rFonts w:hint="eastAsia" w:ascii="宋体" w:hAnsi="宋体"/>
          <w:bCs/>
          <w:sz w:val="24"/>
          <w:szCs w:val="24"/>
        </w:rPr>
        <w:t>框架协议的修正和终止：</w:t>
      </w:r>
    </w:p>
    <w:p>
      <w:pPr>
        <w:adjustRightInd w:val="0"/>
        <w:snapToGrid w:val="0"/>
        <w:spacing w:line="360" w:lineRule="auto"/>
        <w:ind w:firstLine="480"/>
        <w:rPr>
          <w:rFonts w:ascii="宋体" w:hAnsi="宋体"/>
          <w:bCs/>
          <w:sz w:val="24"/>
          <w:szCs w:val="24"/>
        </w:rPr>
      </w:pPr>
      <w:r>
        <w:rPr>
          <w:rFonts w:hint="eastAsia" w:ascii="宋体" w:hAnsi="宋体"/>
          <w:bCs/>
          <w:sz w:val="24"/>
          <w:szCs w:val="24"/>
        </w:rPr>
        <w:t>（一）任何一方无正当理由不得擅自解除本框架协议，否则擅自解除框架协议的一方应向对方支付违约金；</w:t>
      </w:r>
    </w:p>
    <w:p>
      <w:pPr>
        <w:adjustRightInd w:val="0"/>
        <w:snapToGrid w:val="0"/>
        <w:spacing w:line="360" w:lineRule="auto"/>
        <w:ind w:firstLine="480"/>
        <w:rPr>
          <w:rFonts w:ascii="宋体" w:hAnsi="宋体"/>
          <w:bCs/>
          <w:sz w:val="24"/>
          <w:szCs w:val="24"/>
        </w:rPr>
      </w:pPr>
      <w:r>
        <w:rPr>
          <w:rFonts w:hint="eastAsia" w:ascii="宋体" w:hAnsi="宋体"/>
          <w:bCs/>
          <w:sz w:val="24"/>
          <w:szCs w:val="24"/>
        </w:rPr>
        <w:t>（二）经甲、乙双方一致同意，可以修正或依法终止本框架协议；</w:t>
      </w:r>
    </w:p>
    <w:p>
      <w:pPr>
        <w:adjustRightInd w:val="0"/>
        <w:snapToGrid w:val="0"/>
        <w:spacing w:line="360" w:lineRule="auto"/>
        <w:ind w:firstLine="480"/>
        <w:rPr>
          <w:rFonts w:ascii="宋体" w:hAnsi="宋体"/>
          <w:bCs/>
          <w:sz w:val="24"/>
          <w:szCs w:val="24"/>
        </w:rPr>
      </w:pPr>
      <w:r>
        <w:rPr>
          <w:rFonts w:hint="eastAsia" w:ascii="宋体" w:hAnsi="宋体"/>
          <w:bCs/>
          <w:sz w:val="24"/>
          <w:szCs w:val="24"/>
        </w:rPr>
        <w:t>（三）因不可抗力导致本框架协议不能履行或不能完全履行，发生不可抗力的一方及时将情况通知对方，并采取措施减少或消除不可抗力对履行框架协议的影响。框架协议双方应根据不可抗力对框架协议的影响程度，协商确定是否终止或继续履行框架协议；</w:t>
      </w:r>
    </w:p>
    <w:p>
      <w:pPr>
        <w:adjustRightInd w:val="0"/>
        <w:snapToGrid w:val="0"/>
        <w:spacing w:line="360" w:lineRule="auto"/>
        <w:ind w:firstLine="480"/>
        <w:rPr>
          <w:rFonts w:ascii="宋体" w:hAnsi="宋体"/>
          <w:bCs/>
          <w:sz w:val="24"/>
          <w:szCs w:val="24"/>
        </w:rPr>
      </w:pPr>
      <w:r>
        <w:rPr>
          <w:rFonts w:hint="eastAsia" w:ascii="宋体" w:hAnsi="宋体"/>
          <w:bCs/>
          <w:sz w:val="24"/>
          <w:szCs w:val="24"/>
        </w:rPr>
        <w:t>（四）乙方发生下列情况，甲方有权单方面依法终止本框架协议：</w:t>
      </w:r>
    </w:p>
    <w:p>
      <w:pPr>
        <w:adjustRightInd w:val="0"/>
        <w:snapToGrid w:val="0"/>
        <w:spacing w:line="360" w:lineRule="auto"/>
        <w:ind w:firstLine="480"/>
        <w:rPr>
          <w:rFonts w:ascii="宋体" w:hAnsi="宋体"/>
          <w:bCs/>
          <w:sz w:val="24"/>
          <w:szCs w:val="24"/>
        </w:rPr>
      </w:pPr>
      <w:r>
        <w:rPr>
          <w:rFonts w:hint="eastAsia" w:ascii="宋体" w:hAnsi="宋体"/>
          <w:bCs/>
          <w:sz w:val="24"/>
          <w:szCs w:val="24"/>
        </w:rPr>
        <w:t>1.乙方破产、解散、清算、停业以及其他原因无法为公务用车提供车辆维修服务的；</w:t>
      </w:r>
    </w:p>
    <w:p>
      <w:pPr>
        <w:adjustRightInd w:val="0"/>
        <w:snapToGrid w:val="0"/>
        <w:spacing w:line="360" w:lineRule="auto"/>
        <w:ind w:firstLine="480"/>
        <w:rPr>
          <w:rFonts w:ascii="宋体" w:hAnsi="宋体"/>
          <w:bCs/>
          <w:sz w:val="24"/>
          <w:szCs w:val="24"/>
        </w:rPr>
      </w:pPr>
      <w:r>
        <w:rPr>
          <w:rFonts w:hint="eastAsia" w:ascii="宋体" w:hAnsi="宋体"/>
          <w:bCs/>
          <w:sz w:val="24"/>
          <w:szCs w:val="24"/>
        </w:rPr>
        <w:t>2.乙方设施、设备、场地发生重大变化，无法满足车辆维修需要，由乙方递交情况说明并经相关部门确认的。</w:t>
      </w:r>
    </w:p>
    <w:p>
      <w:pPr>
        <w:adjustRightInd w:val="0"/>
        <w:snapToGrid w:val="0"/>
        <w:spacing w:line="360" w:lineRule="auto"/>
        <w:ind w:firstLine="480"/>
        <w:rPr>
          <w:rFonts w:ascii="宋体" w:hAnsi="宋体"/>
          <w:bCs/>
          <w:sz w:val="24"/>
          <w:szCs w:val="24"/>
        </w:rPr>
      </w:pPr>
      <w:r>
        <w:rPr>
          <w:rFonts w:hint="eastAsia" w:ascii="宋体" w:hAnsi="宋体"/>
          <w:b/>
          <w:bCs/>
          <w:sz w:val="24"/>
          <w:szCs w:val="24"/>
        </w:rPr>
        <w:t xml:space="preserve">第十三条  </w:t>
      </w:r>
      <w:r>
        <w:rPr>
          <w:rFonts w:hint="eastAsia" w:ascii="宋体" w:hAnsi="宋体"/>
          <w:bCs/>
          <w:sz w:val="24"/>
          <w:szCs w:val="24"/>
        </w:rPr>
        <w:t>框架协议的期限：2023年</w:t>
      </w:r>
      <w:r>
        <w:rPr>
          <w:rFonts w:hint="eastAsia" w:ascii="宋体" w:hAnsi="宋体"/>
          <w:bCs/>
          <w:sz w:val="24"/>
          <w:szCs w:val="24"/>
          <w:lang w:val="en-US" w:eastAsia="zh-CN"/>
        </w:rPr>
        <w:t>8</w:t>
      </w:r>
      <w:r>
        <w:rPr>
          <w:rFonts w:hint="eastAsia" w:ascii="宋体" w:hAnsi="宋体"/>
          <w:bCs/>
          <w:sz w:val="24"/>
          <w:szCs w:val="24"/>
        </w:rPr>
        <w:t>月</w:t>
      </w:r>
      <w:r>
        <w:rPr>
          <w:rFonts w:hint="eastAsia" w:ascii="宋体" w:hAnsi="宋体"/>
          <w:bCs/>
          <w:sz w:val="24"/>
          <w:szCs w:val="24"/>
          <w:lang w:val="en-US" w:eastAsia="zh-CN"/>
        </w:rPr>
        <w:t>1</w:t>
      </w:r>
      <w:r>
        <w:rPr>
          <w:rFonts w:hint="eastAsia" w:ascii="宋体" w:hAnsi="宋体"/>
          <w:bCs/>
          <w:sz w:val="24"/>
          <w:szCs w:val="24"/>
        </w:rPr>
        <w:t>日至2025年7月</w:t>
      </w:r>
      <w:r>
        <w:rPr>
          <w:rFonts w:ascii="宋体" w:hAnsi="宋体"/>
          <w:bCs/>
          <w:sz w:val="24"/>
          <w:szCs w:val="24"/>
        </w:rPr>
        <w:t>3</w:t>
      </w:r>
      <w:r>
        <w:rPr>
          <w:rFonts w:hint="eastAsia" w:ascii="宋体" w:hAnsi="宋体"/>
          <w:bCs/>
          <w:sz w:val="24"/>
          <w:szCs w:val="24"/>
        </w:rPr>
        <w:t>1日（本项目框架协议的期限暂定为2年，若省厅另有统一征集的，按省厅征集要求及结果执行）。</w:t>
      </w:r>
    </w:p>
    <w:p>
      <w:pPr>
        <w:adjustRightInd w:val="0"/>
        <w:snapToGrid w:val="0"/>
        <w:spacing w:line="360" w:lineRule="auto"/>
        <w:ind w:firstLine="480"/>
        <w:rPr>
          <w:rFonts w:ascii="宋体" w:hAnsi="宋体"/>
          <w:bCs/>
          <w:sz w:val="24"/>
          <w:szCs w:val="24"/>
        </w:rPr>
      </w:pPr>
      <w:r>
        <w:rPr>
          <w:rFonts w:hint="eastAsia" w:ascii="宋体" w:hAnsi="宋体"/>
          <w:b/>
          <w:bCs/>
          <w:sz w:val="24"/>
          <w:szCs w:val="24"/>
        </w:rPr>
        <w:t xml:space="preserve">第十四条  </w:t>
      </w:r>
      <w:r>
        <w:rPr>
          <w:rFonts w:hint="eastAsia" w:ascii="宋体" w:hAnsi="宋体"/>
          <w:bCs/>
          <w:sz w:val="24"/>
          <w:szCs w:val="24"/>
        </w:rPr>
        <w:t>框架协议合同授予：确定第二阶段成交供应商应当由采购人或服务对象依据入围产品价格、质量以及服务便利性、用户评价等因素，从第一阶段入围供应商中直接选定。</w:t>
      </w:r>
    </w:p>
    <w:p>
      <w:pPr>
        <w:adjustRightInd w:val="0"/>
        <w:snapToGrid w:val="0"/>
        <w:spacing w:line="360" w:lineRule="auto"/>
        <w:ind w:firstLine="480"/>
        <w:rPr>
          <w:rFonts w:ascii="宋体" w:hAnsi="宋体"/>
          <w:bCs/>
          <w:sz w:val="24"/>
          <w:szCs w:val="24"/>
        </w:rPr>
      </w:pPr>
      <w:r>
        <w:rPr>
          <w:rFonts w:hint="eastAsia" w:ascii="宋体" w:hAnsi="宋体"/>
          <w:b/>
          <w:bCs/>
          <w:sz w:val="24"/>
          <w:szCs w:val="24"/>
        </w:rPr>
        <w:t xml:space="preserve">第十五条  </w:t>
      </w:r>
      <w:r>
        <w:rPr>
          <w:rFonts w:hint="eastAsia" w:ascii="宋体" w:hAnsi="宋体"/>
          <w:bCs/>
          <w:sz w:val="24"/>
          <w:szCs w:val="24"/>
        </w:rPr>
        <w:t>入围供应商的清退和补充规则：</w:t>
      </w:r>
    </w:p>
    <w:p>
      <w:pPr>
        <w:adjustRightInd w:val="0"/>
        <w:snapToGrid w:val="0"/>
        <w:spacing w:line="360" w:lineRule="auto"/>
        <w:ind w:firstLine="480"/>
        <w:rPr>
          <w:rFonts w:ascii="宋体" w:hAnsi="宋体"/>
          <w:bCs/>
          <w:sz w:val="24"/>
          <w:szCs w:val="24"/>
        </w:rPr>
      </w:pPr>
      <w:r>
        <w:rPr>
          <w:rFonts w:hint="eastAsia" w:ascii="宋体" w:hAnsi="宋体"/>
          <w:bCs/>
          <w:sz w:val="24"/>
          <w:szCs w:val="24"/>
        </w:rPr>
        <w:t>（一）清退规则：入围供应商存在《政府采购框架协议采购方式管理暂行办法》第十九条规定情形以及征集文件中规定的其他相应情形的，尚未签订框架协议的，取消其入围资格；已经签订框架协议的，解除与其签订的框架协议；</w:t>
      </w:r>
    </w:p>
    <w:p>
      <w:pPr>
        <w:adjustRightInd w:val="0"/>
        <w:snapToGrid w:val="0"/>
        <w:spacing w:line="360" w:lineRule="auto"/>
        <w:ind w:firstLine="480"/>
        <w:rPr>
          <w:rFonts w:ascii="宋体" w:hAnsi="宋体"/>
          <w:bCs/>
          <w:sz w:val="24"/>
          <w:szCs w:val="24"/>
        </w:rPr>
      </w:pPr>
      <w:r>
        <w:rPr>
          <w:rFonts w:hint="eastAsia" w:ascii="宋体" w:hAnsi="宋体"/>
          <w:bCs/>
          <w:sz w:val="24"/>
          <w:szCs w:val="24"/>
        </w:rPr>
        <w:t>（二）补充规则：剩余入围供应商不足入围供应商总数70%且影响框架协议执行的，将按相关规定进行补充征集供应商。补充征集的条件、程序、评审方法和淘汰比例与初次征集相同。补充征集遵守原框架协议的有效期。补充征集期间，原框架协议继续履行。</w:t>
      </w:r>
    </w:p>
    <w:p>
      <w:pPr>
        <w:adjustRightInd w:val="0"/>
        <w:snapToGrid w:val="0"/>
        <w:spacing w:line="360" w:lineRule="auto"/>
        <w:ind w:firstLine="480"/>
        <w:rPr>
          <w:rFonts w:ascii="宋体" w:hAnsi="宋体"/>
          <w:bCs/>
          <w:sz w:val="24"/>
          <w:szCs w:val="24"/>
        </w:rPr>
      </w:pPr>
      <w:r>
        <w:rPr>
          <w:rFonts w:hint="eastAsia" w:ascii="宋体" w:hAnsi="宋体"/>
          <w:b/>
          <w:bCs/>
          <w:sz w:val="24"/>
          <w:szCs w:val="24"/>
        </w:rPr>
        <w:t xml:space="preserve">第十六条  </w:t>
      </w:r>
      <w:r>
        <w:rPr>
          <w:rFonts w:hint="eastAsia" w:ascii="宋体" w:hAnsi="宋体"/>
          <w:bCs/>
          <w:sz w:val="24"/>
          <w:szCs w:val="24"/>
        </w:rPr>
        <w:t>解决争议的方法：双方在执行框架协议合同中所发生的一切争议，应通过协商解决。如协商不成，可向采购人所在地人民法院起诉。</w:t>
      </w:r>
    </w:p>
    <w:p>
      <w:pPr>
        <w:snapToGrid w:val="0"/>
        <w:spacing w:line="360" w:lineRule="auto"/>
        <w:ind w:left="119" w:leftChars="57" w:firstLine="420" w:firstLineChars="175"/>
        <w:rPr>
          <w:rFonts w:ascii="宋体" w:hAnsi="宋体"/>
          <w:sz w:val="24"/>
          <w:szCs w:val="24"/>
        </w:rPr>
      </w:pPr>
      <w:r>
        <w:rPr>
          <w:rFonts w:hint="eastAsia" w:ascii="宋体" w:hAnsi="宋体"/>
          <w:b/>
          <w:sz w:val="24"/>
          <w:szCs w:val="24"/>
        </w:rPr>
        <w:t xml:space="preserve">第十七条  </w:t>
      </w:r>
      <w:r>
        <w:rPr>
          <w:rFonts w:hint="eastAsia" w:ascii="宋体" w:hAnsi="宋体"/>
          <w:sz w:val="24"/>
          <w:szCs w:val="24"/>
        </w:rPr>
        <w:t>本框架协议一式三份，具有同等法律效力，甲方一份，乙方一份，政采监管部门一份备案。</w:t>
      </w:r>
    </w:p>
    <w:p>
      <w:pPr>
        <w:snapToGrid w:val="0"/>
        <w:spacing w:line="360" w:lineRule="auto"/>
        <w:ind w:firstLine="540" w:firstLineChars="225"/>
        <w:rPr>
          <w:rFonts w:ascii="宋体" w:hAnsi="宋体"/>
          <w:sz w:val="24"/>
          <w:szCs w:val="24"/>
        </w:rPr>
      </w:pPr>
      <w:r>
        <w:rPr>
          <w:rFonts w:hint="eastAsia" w:ascii="宋体" w:hAnsi="宋体"/>
          <w:b/>
          <w:sz w:val="24"/>
          <w:szCs w:val="24"/>
        </w:rPr>
        <w:t xml:space="preserve">第十八条  </w:t>
      </w:r>
      <w:r>
        <w:rPr>
          <w:rFonts w:hint="eastAsia" w:ascii="宋体" w:hAnsi="宋体"/>
          <w:sz w:val="24"/>
          <w:szCs w:val="24"/>
        </w:rPr>
        <w:t>本框架协议经双方签字、盖章后立即生效。</w:t>
      </w:r>
    </w:p>
    <w:p>
      <w:pPr>
        <w:snapToGrid w:val="0"/>
        <w:spacing w:line="360" w:lineRule="auto"/>
        <w:ind w:firstLine="540" w:firstLineChars="225"/>
        <w:rPr>
          <w:rFonts w:ascii="宋体" w:hAnsi="宋体"/>
          <w:sz w:val="24"/>
          <w:szCs w:val="24"/>
        </w:rPr>
      </w:pPr>
      <w:r>
        <w:rPr>
          <w:rFonts w:hint="eastAsia" w:ascii="宋体" w:hAnsi="宋体"/>
          <w:b/>
          <w:sz w:val="24"/>
          <w:szCs w:val="24"/>
        </w:rPr>
        <w:t xml:space="preserve">第十九条  </w:t>
      </w:r>
      <w:r>
        <w:rPr>
          <w:rFonts w:hint="eastAsia" w:ascii="宋体" w:hAnsi="宋体"/>
          <w:sz w:val="24"/>
          <w:szCs w:val="24"/>
        </w:rPr>
        <w:t>本次采购活动中的征集文件、入围供应商的响应文件、有关澄清文件，为本框架协议不可分割的组成部分，具有与本框架协议同等的法律效律。</w:t>
      </w:r>
    </w:p>
    <w:p>
      <w:pPr>
        <w:snapToGrid w:val="0"/>
        <w:spacing w:line="360" w:lineRule="auto"/>
        <w:ind w:firstLine="540" w:firstLineChars="225"/>
        <w:rPr>
          <w:rFonts w:ascii="宋体" w:hAnsi="宋体"/>
          <w:sz w:val="24"/>
          <w:szCs w:val="24"/>
        </w:rPr>
      </w:pPr>
      <w:r>
        <w:rPr>
          <w:rFonts w:hint="eastAsia" w:ascii="宋体" w:hAnsi="宋体"/>
          <w:b/>
          <w:sz w:val="24"/>
          <w:szCs w:val="24"/>
        </w:rPr>
        <w:t xml:space="preserve">第二十条  </w:t>
      </w:r>
      <w:r>
        <w:rPr>
          <w:rFonts w:hint="eastAsia" w:ascii="宋体" w:hAnsi="宋体"/>
          <w:sz w:val="24"/>
          <w:szCs w:val="24"/>
        </w:rPr>
        <w:t>本框架协议其他未尽事宜及与征集文件有矛盾之处，以征集文件（项目编号：</w:t>
      </w:r>
      <w:r>
        <w:rPr>
          <w:rFonts w:ascii="宋体" w:hAnsi="宋体"/>
          <w:sz w:val="24"/>
          <w:szCs w:val="24"/>
        </w:rPr>
        <w:t>BHJYZXKJ2023001</w:t>
      </w:r>
      <w:r>
        <w:rPr>
          <w:rFonts w:hint="eastAsia" w:ascii="宋体" w:hAnsi="宋体"/>
          <w:sz w:val="24"/>
          <w:szCs w:val="24"/>
        </w:rPr>
        <w:t>）为准。</w:t>
      </w:r>
    </w:p>
    <w:p>
      <w:pPr>
        <w:snapToGrid w:val="0"/>
        <w:spacing w:line="360" w:lineRule="auto"/>
        <w:ind w:firstLine="540" w:firstLineChars="225"/>
        <w:rPr>
          <w:rFonts w:ascii="宋体" w:hAnsi="宋体"/>
          <w:sz w:val="24"/>
          <w:szCs w:val="24"/>
        </w:rPr>
      </w:pPr>
    </w:p>
    <w:p>
      <w:pPr>
        <w:snapToGrid w:val="0"/>
        <w:spacing w:line="360" w:lineRule="auto"/>
        <w:ind w:firstLine="540" w:firstLineChars="225"/>
        <w:rPr>
          <w:rFonts w:ascii="宋体" w:hAnsi="宋体"/>
          <w:sz w:val="24"/>
          <w:szCs w:val="24"/>
        </w:rPr>
      </w:pPr>
    </w:p>
    <w:p>
      <w:pPr>
        <w:snapToGrid w:val="0"/>
        <w:spacing w:line="360" w:lineRule="auto"/>
        <w:ind w:firstLine="540" w:firstLineChars="225"/>
        <w:rPr>
          <w:rFonts w:ascii="宋体" w:hAnsi="宋体"/>
          <w:sz w:val="24"/>
          <w:szCs w:val="24"/>
        </w:rPr>
      </w:pPr>
      <w:r>
        <w:rPr>
          <w:rFonts w:hint="eastAsia" w:ascii="宋体" w:hAnsi="宋体"/>
          <w:sz w:val="24"/>
          <w:szCs w:val="24"/>
        </w:rPr>
        <w:t xml:space="preserve">甲方（单位盖章）：                   乙方（单位盖章）： </w:t>
      </w:r>
    </w:p>
    <w:p>
      <w:pPr>
        <w:snapToGrid w:val="0"/>
        <w:spacing w:line="360" w:lineRule="auto"/>
        <w:ind w:firstLine="540" w:firstLineChars="225"/>
        <w:rPr>
          <w:rFonts w:ascii="宋体" w:hAnsi="宋体"/>
          <w:sz w:val="24"/>
          <w:szCs w:val="24"/>
          <w:shd w:val="pct10" w:color="auto" w:fill="FFFFFF"/>
        </w:rPr>
      </w:pPr>
    </w:p>
    <w:p>
      <w:pPr>
        <w:snapToGrid w:val="0"/>
        <w:spacing w:line="360" w:lineRule="auto"/>
        <w:ind w:firstLine="540" w:firstLineChars="225"/>
        <w:rPr>
          <w:rFonts w:ascii="宋体" w:hAnsi="宋体"/>
          <w:sz w:val="24"/>
          <w:szCs w:val="24"/>
        </w:rPr>
      </w:pPr>
      <w:r>
        <w:rPr>
          <w:rFonts w:hint="eastAsia" w:ascii="宋体" w:hAnsi="宋体"/>
          <w:sz w:val="24"/>
          <w:szCs w:val="24"/>
        </w:rPr>
        <w:t>法定代表人（签字或盖章）：           法定代表人：（签字或盖章）</w:t>
      </w:r>
    </w:p>
    <w:p>
      <w:pPr>
        <w:snapToGrid w:val="0"/>
        <w:spacing w:line="360" w:lineRule="auto"/>
        <w:ind w:firstLine="540" w:firstLineChars="225"/>
        <w:rPr>
          <w:rFonts w:ascii="宋体" w:hAnsi="宋体"/>
          <w:sz w:val="24"/>
          <w:szCs w:val="24"/>
          <w:shd w:val="pct10" w:color="auto" w:fill="FFFFFF"/>
        </w:rPr>
      </w:pPr>
    </w:p>
    <w:p>
      <w:pPr>
        <w:snapToGrid w:val="0"/>
        <w:spacing w:line="360" w:lineRule="auto"/>
        <w:ind w:firstLine="540" w:firstLineChars="225"/>
        <w:rPr>
          <w:rFonts w:ascii="宋体" w:hAnsi="宋体"/>
          <w:sz w:val="24"/>
          <w:szCs w:val="24"/>
        </w:rPr>
      </w:pPr>
      <w:r>
        <w:rPr>
          <w:rFonts w:hint="eastAsia" w:ascii="宋体" w:hAnsi="宋体"/>
          <w:sz w:val="24"/>
          <w:szCs w:val="24"/>
        </w:rPr>
        <w:t>地址：                               地址：</w:t>
      </w:r>
    </w:p>
    <w:p>
      <w:pPr>
        <w:snapToGrid w:val="0"/>
        <w:spacing w:line="360" w:lineRule="auto"/>
        <w:rPr>
          <w:rFonts w:ascii="宋体" w:hAnsi="宋体"/>
          <w:sz w:val="24"/>
          <w:szCs w:val="24"/>
          <w:shd w:val="pct10" w:color="auto" w:fill="FFFFFF"/>
        </w:rPr>
      </w:pPr>
    </w:p>
    <w:p>
      <w:pPr>
        <w:snapToGrid w:val="0"/>
        <w:spacing w:line="360" w:lineRule="auto"/>
        <w:rPr>
          <w:rFonts w:ascii="宋体" w:hAnsi="宋体"/>
          <w:sz w:val="24"/>
          <w:szCs w:val="24"/>
        </w:rPr>
      </w:pPr>
      <w:r>
        <w:rPr>
          <w:rFonts w:hint="eastAsia" w:ascii="宋体" w:hAnsi="宋体"/>
          <w:sz w:val="24"/>
          <w:szCs w:val="24"/>
        </w:rPr>
        <w:t xml:space="preserve">     联系电话：                           联系电话：</w:t>
      </w:r>
    </w:p>
    <w:p>
      <w:pPr>
        <w:snapToGrid w:val="0"/>
        <w:spacing w:line="360" w:lineRule="auto"/>
        <w:ind w:firstLine="1020" w:firstLineChars="425"/>
        <w:rPr>
          <w:rFonts w:ascii="宋体" w:hAnsi="宋体"/>
          <w:sz w:val="24"/>
          <w:szCs w:val="24"/>
        </w:rPr>
      </w:pPr>
      <w:r>
        <w:rPr>
          <w:rFonts w:hint="eastAsia" w:ascii="宋体" w:hAnsi="宋体"/>
          <w:sz w:val="24"/>
          <w:szCs w:val="24"/>
        </w:rPr>
        <w:t>年    月   日                       年   月   日</w:t>
      </w:r>
    </w:p>
    <w:p>
      <w:pPr>
        <w:spacing w:line="348" w:lineRule="auto"/>
        <w:ind w:firstLine="480" w:firstLineChars="200"/>
        <w:rPr>
          <w:rFonts w:ascii="宋体" w:hAnsi="宋体"/>
          <w:sz w:val="24"/>
          <w:szCs w:val="24"/>
        </w:rPr>
      </w:pPr>
    </w:p>
    <w:p>
      <w:pPr>
        <w:spacing w:line="348" w:lineRule="auto"/>
        <w:ind w:firstLine="480" w:firstLineChars="200"/>
        <w:rPr>
          <w:rFonts w:ascii="宋体" w:hAnsi="宋体"/>
          <w:sz w:val="24"/>
          <w:szCs w:val="24"/>
        </w:rPr>
      </w:pPr>
    </w:p>
    <w:p>
      <w:pPr>
        <w:spacing w:line="348" w:lineRule="auto"/>
        <w:ind w:firstLine="480" w:firstLineChars="200"/>
        <w:rPr>
          <w:rFonts w:ascii="宋体" w:hAnsi="宋体"/>
          <w:sz w:val="24"/>
          <w:szCs w:val="24"/>
        </w:rPr>
      </w:pPr>
    </w:p>
    <w:p>
      <w:pPr>
        <w:spacing w:line="348" w:lineRule="auto"/>
        <w:ind w:firstLine="480" w:firstLineChars="200"/>
        <w:rPr>
          <w:rFonts w:ascii="宋体" w:hAnsi="宋体"/>
          <w:sz w:val="24"/>
          <w:szCs w:val="24"/>
        </w:rPr>
      </w:pPr>
    </w:p>
    <w:p>
      <w:pPr>
        <w:spacing w:line="348" w:lineRule="auto"/>
        <w:ind w:firstLine="480" w:firstLineChars="200"/>
        <w:rPr>
          <w:rFonts w:ascii="宋体" w:hAnsi="宋体"/>
          <w:sz w:val="24"/>
          <w:szCs w:val="24"/>
        </w:rPr>
      </w:pPr>
    </w:p>
    <w:p>
      <w:pPr>
        <w:spacing w:line="348" w:lineRule="auto"/>
        <w:ind w:firstLine="480" w:firstLineChars="200"/>
        <w:rPr>
          <w:rFonts w:ascii="宋体" w:hAnsi="宋体"/>
          <w:sz w:val="24"/>
          <w:szCs w:val="24"/>
        </w:rPr>
      </w:pPr>
    </w:p>
    <w:p>
      <w:pPr>
        <w:spacing w:line="348" w:lineRule="auto"/>
        <w:ind w:firstLine="480" w:firstLineChars="200"/>
        <w:rPr>
          <w:rFonts w:ascii="宋体" w:hAnsi="宋体"/>
          <w:sz w:val="24"/>
          <w:szCs w:val="24"/>
        </w:rPr>
      </w:pPr>
    </w:p>
    <w:p>
      <w:pPr>
        <w:spacing w:line="348" w:lineRule="auto"/>
        <w:rPr>
          <w:rFonts w:ascii="宋体" w:hAnsi="宋体"/>
          <w:sz w:val="24"/>
          <w:szCs w:val="24"/>
        </w:rPr>
      </w:pPr>
    </w:p>
    <w:p>
      <w:pPr>
        <w:spacing w:line="360" w:lineRule="auto"/>
        <w:jc w:val="center"/>
        <w:rPr>
          <w:rFonts w:ascii="黑体" w:eastAsia="黑体"/>
          <w:bCs/>
          <w:sz w:val="30"/>
          <w:szCs w:val="30"/>
        </w:rPr>
      </w:pPr>
      <w:r>
        <w:rPr>
          <w:rFonts w:hint="eastAsia" w:ascii="黑体" w:eastAsia="黑体"/>
          <w:bCs/>
          <w:sz w:val="30"/>
          <w:szCs w:val="30"/>
        </w:rPr>
        <w:t>五．采购合同文本</w:t>
      </w:r>
    </w:p>
    <w:p>
      <w:pPr>
        <w:spacing w:line="348" w:lineRule="auto"/>
        <w:ind w:firstLine="480" w:firstLineChars="200"/>
        <w:rPr>
          <w:rFonts w:ascii="宋体" w:hAnsi="宋体"/>
          <w:b/>
          <w:sz w:val="24"/>
          <w:szCs w:val="24"/>
        </w:rPr>
      </w:pPr>
      <w:r>
        <w:rPr>
          <w:rFonts w:hint="eastAsia" w:ascii="宋体" w:hAnsi="宋体"/>
          <w:b/>
          <w:sz w:val="24"/>
          <w:szCs w:val="24"/>
        </w:rPr>
        <w:t>本项目的采购合同文本即具有合同性质的凭单、订单。</w:t>
      </w:r>
    </w:p>
    <w:p>
      <w:pPr>
        <w:spacing w:line="348" w:lineRule="auto"/>
        <w:ind w:firstLine="480" w:firstLineChars="200"/>
        <w:rPr>
          <w:rFonts w:ascii="宋体" w:hAnsi="宋体"/>
          <w:b/>
          <w:sz w:val="24"/>
          <w:szCs w:val="24"/>
        </w:rPr>
      </w:pPr>
      <w:r>
        <w:rPr>
          <w:rFonts w:hint="eastAsia" w:ascii="宋体" w:hAnsi="宋体"/>
          <w:b/>
          <w:sz w:val="24"/>
          <w:szCs w:val="24"/>
        </w:rPr>
        <w:t>1.政府采购公务用车维修委托单（格式）：</w:t>
      </w:r>
    </w:p>
    <w:p>
      <w:pPr>
        <w:spacing w:line="348" w:lineRule="auto"/>
        <w:ind w:firstLine="640" w:firstLineChars="200"/>
        <w:jc w:val="center"/>
        <w:rPr>
          <w:rFonts w:ascii="宋体" w:hAnsi="宋体"/>
          <w:b/>
          <w:sz w:val="32"/>
          <w:szCs w:val="32"/>
        </w:rPr>
      </w:pPr>
      <w:r>
        <w:rPr>
          <w:rFonts w:hint="eastAsia" w:ascii="宋体" w:hAnsi="宋体"/>
          <w:b/>
          <w:sz w:val="32"/>
          <w:szCs w:val="32"/>
        </w:rPr>
        <w:t>政府采购公务用车维修委托单</w:t>
      </w:r>
    </w:p>
    <w:p>
      <w:pPr>
        <w:spacing w:line="348" w:lineRule="auto"/>
        <w:ind w:firstLine="480" w:firstLineChars="200"/>
        <w:jc w:val="center"/>
        <w:rPr>
          <w:rFonts w:ascii="宋体" w:hAnsi="宋体"/>
          <w:sz w:val="24"/>
          <w:szCs w:val="24"/>
        </w:rPr>
      </w:pPr>
      <w:r>
        <w:rPr>
          <w:rFonts w:hint="eastAsia" w:ascii="宋体" w:hAnsi="宋体"/>
          <w:sz w:val="24"/>
          <w:szCs w:val="24"/>
        </w:rPr>
        <w:t>(本委托单一式两份，托修方和承修方各一份)</w:t>
      </w:r>
    </w:p>
    <w:p>
      <w:pPr>
        <w:spacing w:line="348" w:lineRule="auto"/>
        <w:ind w:firstLine="480" w:firstLineChars="200"/>
        <w:jc w:val="center"/>
        <w:rPr>
          <w:rFonts w:ascii="宋体" w:hAnsi="宋体"/>
          <w:sz w:val="24"/>
          <w:szCs w:val="24"/>
        </w:rPr>
      </w:pPr>
      <w:r>
        <w:rPr>
          <w:rFonts w:hint="eastAsia" w:ascii="宋体" w:hAnsi="宋体"/>
          <w:sz w:val="24"/>
          <w:szCs w:val="24"/>
        </w:rPr>
        <w:t>委托单编号：</w:t>
      </w:r>
    </w:p>
    <w:p>
      <w:pPr>
        <w:spacing w:line="348" w:lineRule="auto"/>
        <w:ind w:firstLine="480" w:firstLineChars="200"/>
        <w:jc w:val="center"/>
        <w:rPr>
          <w:rFonts w:ascii="宋体" w:hAnsi="宋体"/>
          <w:sz w:val="24"/>
          <w:szCs w:val="24"/>
        </w:rPr>
      </w:pPr>
      <w:r>
        <w:rPr>
          <w:rFonts w:hint="eastAsia" w:ascii="宋体" w:hAnsi="宋体"/>
          <w:sz w:val="24"/>
          <w:szCs w:val="24"/>
        </w:rPr>
        <w:t>第一部分：由托修方（采购人、需方）填写</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425"/>
        <w:gridCol w:w="1983"/>
        <w:gridCol w:w="1561"/>
        <w:gridCol w:w="567"/>
        <w:gridCol w:w="2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gridSpan w:val="2"/>
          </w:tcPr>
          <w:p>
            <w:pPr>
              <w:spacing w:line="348" w:lineRule="auto"/>
              <w:rPr>
                <w:rFonts w:ascii="宋体" w:hAnsi="宋体"/>
                <w:sz w:val="24"/>
                <w:szCs w:val="24"/>
              </w:rPr>
            </w:pPr>
            <w:r>
              <w:rPr>
                <w:rFonts w:ascii="宋体" w:hAnsi="宋体"/>
                <w:sz w:val="24"/>
                <w:szCs w:val="24"/>
              </w:rPr>
              <w:t>承修方（维修单位、供方）</w:t>
            </w:r>
          </w:p>
        </w:tc>
        <w:tc>
          <w:tcPr>
            <w:tcW w:w="7052" w:type="dxa"/>
            <w:gridSpan w:val="4"/>
          </w:tcPr>
          <w:p>
            <w:pPr>
              <w:spacing w:line="348"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gridSpan w:val="2"/>
          </w:tcPr>
          <w:p>
            <w:pPr>
              <w:spacing w:line="348" w:lineRule="auto"/>
              <w:rPr>
                <w:rFonts w:ascii="宋体" w:hAnsi="宋体"/>
                <w:sz w:val="24"/>
                <w:szCs w:val="24"/>
              </w:rPr>
            </w:pPr>
            <w:r>
              <w:rPr>
                <w:rFonts w:hint="eastAsia" w:ascii="宋体" w:hAnsi="宋体"/>
                <w:sz w:val="24"/>
                <w:szCs w:val="24"/>
              </w:rPr>
              <w:t>车牌号码</w:t>
            </w:r>
          </w:p>
        </w:tc>
        <w:tc>
          <w:tcPr>
            <w:tcW w:w="1983" w:type="dxa"/>
          </w:tcPr>
          <w:p>
            <w:pPr>
              <w:spacing w:line="348" w:lineRule="auto"/>
              <w:rPr>
                <w:rFonts w:ascii="宋体" w:hAnsi="宋体"/>
                <w:sz w:val="24"/>
                <w:szCs w:val="24"/>
              </w:rPr>
            </w:pPr>
          </w:p>
        </w:tc>
        <w:tc>
          <w:tcPr>
            <w:tcW w:w="1561" w:type="dxa"/>
          </w:tcPr>
          <w:p>
            <w:pPr>
              <w:spacing w:line="348" w:lineRule="auto"/>
              <w:rPr>
                <w:rFonts w:ascii="宋体" w:hAnsi="宋体"/>
                <w:sz w:val="24"/>
                <w:szCs w:val="24"/>
              </w:rPr>
            </w:pPr>
            <w:r>
              <w:rPr>
                <w:rFonts w:hint="eastAsia" w:ascii="宋体" w:hAnsi="宋体"/>
                <w:sz w:val="24"/>
                <w:szCs w:val="24"/>
              </w:rPr>
              <w:t>车辆型号</w:t>
            </w:r>
          </w:p>
        </w:tc>
        <w:tc>
          <w:tcPr>
            <w:tcW w:w="3508" w:type="dxa"/>
            <w:gridSpan w:val="2"/>
          </w:tcPr>
          <w:p>
            <w:pPr>
              <w:spacing w:line="348"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1" w:hRule="atLeast"/>
        </w:trPr>
        <w:tc>
          <w:tcPr>
            <w:tcW w:w="10137" w:type="dxa"/>
            <w:gridSpan w:val="6"/>
          </w:tcPr>
          <w:p>
            <w:pPr>
              <w:spacing w:line="348" w:lineRule="auto"/>
              <w:rPr>
                <w:rFonts w:ascii="宋体" w:hAnsi="宋体"/>
                <w:sz w:val="24"/>
                <w:szCs w:val="24"/>
              </w:rPr>
            </w:pPr>
            <w:r>
              <w:rPr>
                <w:rFonts w:ascii="宋体" w:hAnsi="宋体"/>
                <w:sz w:val="24"/>
                <w:szCs w:val="24"/>
              </w:rPr>
              <w:t>托修项目（或故障描述）：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line="348" w:lineRule="auto"/>
              <w:rPr>
                <w:rFonts w:ascii="宋体" w:hAnsi="宋体"/>
                <w:sz w:val="24"/>
                <w:szCs w:val="24"/>
              </w:rPr>
            </w:pPr>
            <w:r>
              <w:rPr>
                <w:rFonts w:hint="eastAsia" w:ascii="宋体" w:hAnsi="宋体"/>
                <w:sz w:val="24"/>
                <w:szCs w:val="24"/>
              </w:rPr>
              <w:t>托修方（采购人、需方）</w:t>
            </w:r>
          </w:p>
        </w:tc>
        <w:tc>
          <w:tcPr>
            <w:tcW w:w="2408" w:type="dxa"/>
            <w:gridSpan w:val="2"/>
          </w:tcPr>
          <w:p>
            <w:pPr>
              <w:spacing w:line="348" w:lineRule="auto"/>
              <w:rPr>
                <w:rFonts w:ascii="宋体" w:hAnsi="宋体"/>
                <w:sz w:val="24"/>
                <w:szCs w:val="24"/>
              </w:rPr>
            </w:pPr>
          </w:p>
        </w:tc>
        <w:tc>
          <w:tcPr>
            <w:tcW w:w="2128" w:type="dxa"/>
            <w:gridSpan w:val="2"/>
          </w:tcPr>
          <w:p>
            <w:pPr>
              <w:spacing w:line="348" w:lineRule="auto"/>
              <w:rPr>
                <w:rFonts w:ascii="宋体" w:hAnsi="宋体"/>
                <w:sz w:val="24"/>
                <w:szCs w:val="24"/>
              </w:rPr>
            </w:pPr>
            <w:r>
              <w:rPr>
                <w:rFonts w:hint="eastAsia" w:ascii="宋体" w:hAnsi="宋体"/>
                <w:sz w:val="24"/>
                <w:szCs w:val="24"/>
              </w:rPr>
              <w:t>车辆管理负责人：</w:t>
            </w:r>
          </w:p>
        </w:tc>
        <w:tc>
          <w:tcPr>
            <w:tcW w:w="2941" w:type="dxa"/>
          </w:tcPr>
          <w:p>
            <w:pPr>
              <w:spacing w:line="348"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trPr>
        <w:tc>
          <w:tcPr>
            <w:tcW w:w="10137" w:type="dxa"/>
            <w:gridSpan w:val="6"/>
            <w:vAlign w:val="bottom"/>
          </w:tcPr>
          <w:p>
            <w:pPr>
              <w:spacing w:line="348" w:lineRule="auto"/>
              <w:jc w:val="right"/>
              <w:rPr>
                <w:rFonts w:ascii="宋体" w:hAnsi="宋体"/>
                <w:sz w:val="24"/>
                <w:szCs w:val="24"/>
              </w:rPr>
            </w:pPr>
            <w:r>
              <w:rPr>
                <w:rFonts w:hint="eastAsia" w:ascii="宋体" w:hAnsi="宋体"/>
                <w:sz w:val="24"/>
                <w:szCs w:val="24"/>
              </w:rPr>
              <w:t>托修方（盖章）：        年  月  日</w:t>
            </w:r>
          </w:p>
        </w:tc>
      </w:tr>
    </w:tbl>
    <w:p>
      <w:pPr>
        <w:spacing w:line="348" w:lineRule="auto"/>
        <w:ind w:firstLine="480" w:firstLineChars="200"/>
        <w:jc w:val="center"/>
        <w:rPr>
          <w:rFonts w:ascii="宋体" w:hAnsi="宋体"/>
          <w:sz w:val="24"/>
          <w:szCs w:val="24"/>
        </w:rPr>
      </w:pPr>
    </w:p>
    <w:p>
      <w:pPr>
        <w:spacing w:line="348" w:lineRule="auto"/>
        <w:ind w:firstLine="480" w:firstLineChars="200"/>
        <w:jc w:val="center"/>
        <w:rPr>
          <w:rFonts w:ascii="宋体" w:hAnsi="宋体"/>
          <w:sz w:val="24"/>
          <w:szCs w:val="24"/>
        </w:rPr>
      </w:pPr>
    </w:p>
    <w:p>
      <w:pPr>
        <w:spacing w:line="348" w:lineRule="auto"/>
        <w:ind w:firstLine="480" w:firstLineChars="200"/>
        <w:jc w:val="center"/>
        <w:rPr>
          <w:rFonts w:ascii="宋体" w:hAnsi="宋体"/>
          <w:sz w:val="24"/>
          <w:szCs w:val="24"/>
        </w:rPr>
      </w:pPr>
    </w:p>
    <w:p>
      <w:pPr>
        <w:spacing w:line="348" w:lineRule="auto"/>
        <w:ind w:firstLine="480" w:firstLineChars="200"/>
        <w:jc w:val="center"/>
        <w:rPr>
          <w:rFonts w:ascii="宋体" w:hAnsi="宋体"/>
          <w:sz w:val="24"/>
          <w:szCs w:val="24"/>
        </w:rPr>
      </w:pPr>
    </w:p>
    <w:p>
      <w:pPr>
        <w:spacing w:line="348" w:lineRule="auto"/>
        <w:ind w:firstLine="480" w:firstLineChars="200"/>
        <w:jc w:val="center"/>
        <w:rPr>
          <w:rFonts w:ascii="宋体" w:hAnsi="宋体"/>
          <w:sz w:val="24"/>
          <w:szCs w:val="24"/>
        </w:rPr>
      </w:pPr>
    </w:p>
    <w:p>
      <w:pPr>
        <w:spacing w:line="348" w:lineRule="auto"/>
        <w:ind w:firstLine="480" w:firstLineChars="200"/>
        <w:jc w:val="center"/>
        <w:rPr>
          <w:rFonts w:ascii="宋体" w:hAnsi="宋体"/>
          <w:sz w:val="24"/>
          <w:szCs w:val="24"/>
        </w:rPr>
      </w:pPr>
    </w:p>
    <w:p>
      <w:pPr>
        <w:spacing w:line="348" w:lineRule="auto"/>
        <w:ind w:firstLine="480" w:firstLineChars="200"/>
        <w:jc w:val="center"/>
        <w:rPr>
          <w:rFonts w:ascii="宋体" w:hAnsi="宋体"/>
          <w:sz w:val="24"/>
          <w:szCs w:val="24"/>
        </w:rPr>
      </w:pPr>
      <w:r>
        <w:rPr>
          <w:rFonts w:hint="eastAsia" w:ascii="宋体" w:hAnsi="宋体"/>
          <w:sz w:val="24"/>
          <w:szCs w:val="24"/>
        </w:rPr>
        <w:t>第二部分：由承修方（维修单位、供方）填写</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9"/>
        <w:gridCol w:w="3379"/>
        <w:gridCol w:w="3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rPr>
        <w:tc>
          <w:tcPr>
            <w:tcW w:w="10137" w:type="dxa"/>
            <w:gridSpan w:val="3"/>
          </w:tcPr>
          <w:p>
            <w:pPr>
              <w:spacing w:line="348" w:lineRule="auto"/>
              <w:rPr>
                <w:rFonts w:ascii="宋体" w:hAnsi="宋体"/>
                <w:sz w:val="24"/>
                <w:szCs w:val="24"/>
              </w:rPr>
            </w:pPr>
            <w:r>
              <w:rPr>
                <w:rFonts w:hint="eastAsia" w:ascii="宋体" w:hAnsi="宋体"/>
                <w:sz w:val="24"/>
                <w:szCs w:val="24"/>
              </w:rPr>
              <w:t>故障诊断、维修项目、作业内容：</w:t>
            </w:r>
          </w:p>
          <w:p>
            <w:pPr>
              <w:spacing w:line="348" w:lineRule="auto"/>
              <w:rPr>
                <w:rFonts w:ascii="宋体" w:hAnsi="宋体"/>
                <w:sz w:val="24"/>
                <w:szCs w:val="24"/>
              </w:rPr>
            </w:pPr>
          </w:p>
          <w:p>
            <w:pPr>
              <w:spacing w:line="348" w:lineRule="auto"/>
              <w:rPr>
                <w:rFonts w:ascii="宋体" w:hAnsi="宋体"/>
                <w:sz w:val="24"/>
                <w:szCs w:val="24"/>
              </w:rPr>
            </w:pPr>
          </w:p>
          <w:p>
            <w:pPr>
              <w:spacing w:line="348" w:lineRule="auto"/>
              <w:rPr>
                <w:rFonts w:ascii="宋体" w:hAnsi="宋体"/>
                <w:sz w:val="24"/>
                <w:szCs w:val="24"/>
              </w:rPr>
            </w:pPr>
          </w:p>
          <w:p>
            <w:pPr>
              <w:spacing w:line="348" w:lineRule="auto"/>
              <w:rPr>
                <w:rFonts w:ascii="宋体" w:hAnsi="宋体"/>
                <w:sz w:val="24"/>
                <w:szCs w:val="24"/>
              </w:rPr>
            </w:pPr>
            <w:r>
              <w:rPr>
                <w:rFonts w:hint="eastAsia" w:ascii="宋体" w:hAnsi="宋体"/>
                <w:sz w:val="24"/>
                <w:szCs w:val="24"/>
              </w:rPr>
              <w:t>维修工期：</w:t>
            </w:r>
            <w:r>
              <w:rPr>
                <w:rFonts w:hint="eastAsia" w:ascii="宋体" w:hAnsi="宋体"/>
                <w:sz w:val="24"/>
                <w:szCs w:val="24"/>
                <w:u w:val="single"/>
              </w:rPr>
              <w:t xml:space="preserve">          </w:t>
            </w:r>
            <w:r>
              <w:rPr>
                <w:rFonts w:hint="eastAsia" w:ascii="宋体" w:hAnsi="宋体"/>
                <w:sz w:val="24"/>
                <w:szCs w:val="24"/>
              </w:rPr>
              <w:t>天</w:t>
            </w:r>
          </w:p>
          <w:p>
            <w:pPr>
              <w:spacing w:line="348" w:lineRule="auto"/>
              <w:rPr>
                <w:rFonts w:ascii="宋体" w:hAnsi="宋体"/>
                <w:sz w:val="24"/>
                <w:szCs w:val="24"/>
              </w:rPr>
            </w:pPr>
            <w:r>
              <w:rPr>
                <w:rFonts w:hint="eastAsia" w:ascii="宋体" w:hAnsi="宋体"/>
                <w:sz w:val="24"/>
                <w:szCs w:val="24"/>
              </w:rPr>
              <w:t>检验员：</w:t>
            </w:r>
          </w:p>
          <w:p>
            <w:pPr>
              <w:spacing w:line="348" w:lineRule="auto"/>
              <w:rPr>
                <w:rFonts w:ascii="宋体" w:hAnsi="宋体"/>
                <w:sz w:val="24"/>
                <w:szCs w:val="24"/>
              </w:rPr>
            </w:pPr>
            <w:r>
              <w:rPr>
                <w:rFonts w:hint="eastAsia" w:ascii="宋体" w:hAnsi="宋体"/>
                <w:sz w:val="24"/>
                <w:szCs w:val="24"/>
              </w:rPr>
              <w:t>承修方联络人及联系方式：</w:t>
            </w:r>
          </w:p>
          <w:p>
            <w:pPr>
              <w:spacing w:line="348" w:lineRule="auto"/>
              <w:rPr>
                <w:rFonts w:ascii="宋体" w:hAnsi="宋体"/>
                <w:sz w:val="24"/>
                <w:szCs w:val="24"/>
              </w:rPr>
            </w:pPr>
            <w:r>
              <w:rPr>
                <w:rFonts w:hint="eastAsia" w:ascii="宋体" w:hAnsi="宋体"/>
                <w:sz w:val="24"/>
                <w:szCs w:val="24"/>
              </w:rPr>
              <w:t>维修费用一览见下表</w:t>
            </w:r>
          </w:p>
          <w:p>
            <w:pPr>
              <w:spacing w:line="348" w:lineRule="auto"/>
              <w:rPr>
                <w:rFonts w:ascii="宋体" w:hAnsi="宋体"/>
                <w:sz w:val="24"/>
                <w:szCs w:val="24"/>
              </w:rPr>
            </w:pPr>
          </w:p>
          <w:p>
            <w:pPr>
              <w:wordWrap w:val="0"/>
              <w:spacing w:line="348" w:lineRule="auto"/>
              <w:jc w:val="right"/>
              <w:rPr>
                <w:rFonts w:ascii="宋体" w:hAnsi="宋体"/>
                <w:sz w:val="24"/>
                <w:szCs w:val="24"/>
              </w:rPr>
            </w:pPr>
            <w:r>
              <w:rPr>
                <w:rFonts w:hint="eastAsia" w:ascii="宋体" w:hAnsi="宋体"/>
                <w:sz w:val="24"/>
                <w:szCs w:val="24"/>
              </w:rPr>
              <w:t xml:space="preserve">承修方（盖章）：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7" w:type="dxa"/>
            <w:gridSpan w:val="3"/>
          </w:tcPr>
          <w:p>
            <w:pPr>
              <w:spacing w:line="348" w:lineRule="auto"/>
              <w:jc w:val="center"/>
              <w:rPr>
                <w:rFonts w:ascii="宋体" w:hAnsi="宋体"/>
                <w:b/>
                <w:sz w:val="24"/>
                <w:szCs w:val="24"/>
              </w:rPr>
            </w:pPr>
            <w:r>
              <w:rPr>
                <w:rFonts w:hint="eastAsia" w:ascii="宋体" w:hAnsi="宋体"/>
                <w:b/>
                <w:sz w:val="24"/>
                <w:szCs w:val="24"/>
              </w:rPr>
              <w:t>维修费用一览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line="348" w:lineRule="auto"/>
              <w:jc w:val="center"/>
              <w:rPr>
                <w:rFonts w:ascii="宋体" w:hAnsi="宋体"/>
                <w:b/>
                <w:sz w:val="24"/>
                <w:szCs w:val="24"/>
              </w:rPr>
            </w:pPr>
            <w:r>
              <w:rPr>
                <w:rFonts w:hint="eastAsia" w:ascii="宋体" w:hAnsi="宋体"/>
                <w:b/>
                <w:sz w:val="24"/>
                <w:szCs w:val="24"/>
              </w:rPr>
              <w:t>费用名称</w:t>
            </w:r>
          </w:p>
        </w:tc>
        <w:tc>
          <w:tcPr>
            <w:tcW w:w="3379" w:type="dxa"/>
          </w:tcPr>
          <w:p>
            <w:pPr>
              <w:spacing w:line="348" w:lineRule="auto"/>
              <w:jc w:val="center"/>
              <w:rPr>
                <w:rFonts w:ascii="宋体" w:hAnsi="宋体"/>
                <w:b/>
                <w:sz w:val="24"/>
                <w:szCs w:val="24"/>
              </w:rPr>
            </w:pPr>
            <w:r>
              <w:rPr>
                <w:rFonts w:ascii="宋体" w:hAnsi="宋体"/>
                <w:b/>
                <w:sz w:val="24"/>
                <w:szCs w:val="24"/>
              </w:rPr>
              <w:t>金额（元）</w:t>
            </w:r>
          </w:p>
        </w:tc>
        <w:tc>
          <w:tcPr>
            <w:tcW w:w="3379" w:type="dxa"/>
          </w:tcPr>
          <w:p>
            <w:pPr>
              <w:spacing w:line="348" w:lineRule="auto"/>
              <w:jc w:val="center"/>
              <w:rPr>
                <w:rFonts w:ascii="宋体" w:hAnsi="宋体"/>
                <w:b/>
                <w:sz w:val="24"/>
                <w:szCs w:val="24"/>
              </w:rPr>
            </w:pPr>
            <w:r>
              <w:rPr>
                <w:rFonts w:ascii="宋体" w:hAnsi="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line="348" w:lineRule="auto"/>
              <w:rPr>
                <w:rFonts w:ascii="宋体" w:hAnsi="宋体"/>
                <w:sz w:val="24"/>
                <w:szCs w:val="24"/>
              </w:rPr>
            </w:pPr>
            <w:r>
              <w:rPr>
                <w:rFonts w:hint="eastAsia" w:ascii="宋体" w:hAnsi="宋体"/>
                <w:sz w:val="24"/>
                <w:szCs w:val="24"/>
              </w:rPr>
              <w:t>工时费用</w:t>
            </w:r>
          </w:p>
        </w:tc>
        <w:tc>
          <w:tcPr>
            <w:tcW w:w="3379" w:type="dxa"/>
          </w:tcPr>
          <w:p>
            <w:pPr>
              <w:spacing w:line="348" w:lineRule="auto"/>
              <w:rPr>
                <w:rFonts w:ascii="宋体" w:hAnsi="宋体"/>
                <w:sz w:val="24"/>
                <w:szCs w:val="24"/>
              </w:rPr>
            </w:pPr>
          </w:p>
        </w:tc>
        <w:tc>
          <w:tcPr>
            <w:tcW w:w="3379" w:type="dxa"/>
          </w:tcPr>
          <w:p>
            <w:pPr>
              <w:spacing w:line="348" w:lineRule="auto"/>
              <w:rPr>
                <w:rFonts w:ascii="宋体" w:hAnsi="宋体"/>
                <w:sz w:val="24"/>
                <w:szCs w:val="24"/>
              </w:rPr>
            </w:pPr>
            <w:r>
              <w:rPr>
                <w:rFonts w:ascii="宋体" w:hAnsi="宋体"/>
                <w:sz w:val="24"/>
                <w:szCs w:val="24"/>
              </w:rPr>
              <w:t>工时单价</w:t>
            </w:r>
            <w:r>
              <w:rPr>
                <w:rFonts w:hint="eastAsia" w:ascii="宋体" w:hAnsi="宋体"/>
                <w:sz w:val="24"/>
                <w:szCs w:val="24"/>
                <w:u w:val="single"/>
              </w:rPr>
              <w:t xml:space="preserve">      </w:t>
            </w:r>
            <w:r>
              <w:rPr>
                <w:rFonts w:hint="eastAsia" w:ascii="宋体" w:hAnsi="宋体"/>
                <w:sz w:val="24"/>
                <w:szCs w:val="24"/>
              </w:rPr>
              <w:t>元/工时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line="348" w:lineRule="auto"/>
              <w:rPr>
                <w:rFonts w:ascii="宋体" w:hAnsi="宋体"/>
                <w:sz w:val="24"/>
                <w:szCs w:val="24"/>
              </w:rPr>
            </w:pPr>
            <w:r>
              <w:rPr>
                <w:rFonts w:hint="eastAsia" w:ascii="宋体" w:hAnsi="宋体"/>
                <w:sz w:val="24"/>
                <w:szCs w:val="24"/>
              </w:rPr>
              <w:t>材料费用</w:t>
            </w:r>
          </w:p>
        </w:tc>
        <w:tc>
          <w:tcPr>
            <w:tcW w:w="3379" w:type="dxa"/>
          </w:tcPr>
          <w:p>
            <w:pPr>
              <w:spacing w:line="348" w:lineRule="auto"/>
              <w:rPr>
                <w:rFonts w:ascii="宋体" w:hAnsi="宋体"/>
                <w:sz w:val="24"/>
                <w:szCs w:val="24"/>
              </w:rPr>
            </w:pPr>
          </w:p>
        </w:tc>
        <w:tc>
          <w:tcPr>
            <w:tcW w:w="3379" w:type="dxa"/>
          </w:tcPr>
          <w:p>
            <w:pPr>
              <w:spacing w:line="348" w:lineRule="auto"/>
              <w:rPr>
                <w:rFonts w:ascii="宋体" w:hAnsi="宋体"/>
                <w:sz w:val="24"/>
                <w:szCs w:val="24"/>
              </w:rPr>
            </w:pPr>
            <w:r>
              <w:rPr>
                <w:rFonts w:ascii="宋体" w:hAnsi="宋体"/>
                <w:sz w:val="24"/>
                <w:szCs w:val="24"/>
              </w:rPr>
              <w:t>材料进销差价率</w:t>
            </w:r>
            <w:r>
              <w:rPr>
                <w:rFonts w:hint="eastAsia" w:ascii="宋体" w:hAnsi="宋体"/>
                <w:sz w:val="24"/>
                <w:szCs w:val="24"/>
                <w:u w:val="single"/>
              </w:rPr>
              <w:t xml:space="preserve">      </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line="348" w:lineRule="auto"/>
              <w:rPr>
                <w:rFonts w:ascii="宋体" w:hAnsi="宋体"/>
                <w:sz w:val="24"/>
                <w:szCs w:val="24"/>
              </w:rPr>
            </w:pPr>
            <w:r>
              <w:rPr>
                <w:rFonts w:hint="eastAsia" w:ascii="宋体" w:hAnsi="宋体"/>
                <w:sz w:val="24"/>
                <w:szCs w:val="24"/>
              </w:rPr>
              <w:t>维修诊断费用</w:t>
            </w:r>
          </w:p>
        </w:tc>
        <w:tc>
          <w:tcPr>
            <w:tcW w:w="3379" w:type="dxa"/>
          </w:tcPr>
          <w:p>
            <w:pPr>
              <w:spacing w:line="348" w:lineRule="auto"/>
              <w:rPr>
                <w:rFonts w:ascii="宋体" w:hAnsi="宋体"/>
                <w:sz w:val="24"/>
                <w:szCs w:val="24"/>
              </w:rPr>
            </w:pPr>
          </w:p>
        </w:tc>
        <w:tc>
          <w:tcPr>
            <w:tcW w:w="3379" w:type="dxa"/>
          </w:tcPr>
          <w:p>
            <w:pPr>
              <w:spacing w:line="348"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line="348" w:lineRule="auto"/>
              <w:rPr>
                <w:rFonts w:ascii="宋体" w:hAnsi="宋体"/>
                <w:sz w:val="24"/>
                <w:szCs w:val="24"/>
              </w:rPr>
            </w:pPr>
            <w:r>
              <w:rPr>
                <w:rFonts w:hint="eastAsia" w:ascii="宋体" w:hAnsi="宋体"/>
                <w:sz w:val="24"/>
                <w:szCs w:val="24"/>
              </w:rPr>
              <w:t>检测费用</w:t>
            </w:r>
          </w:p>
        </w:tc>
        <w:tc>
          <w:tcPr>
            <w:tcW w:w="3379" w:type="dxa"/>
          </w:tcPr>
          <w:p>
            <w:pPr>
              <w:spacing w:line="348" w:lineRule="auto"/>
              <w:rPr>
                <w:rFonts w:ascii="宋体" w:hAnsi="宋体"/>
                <w:sz w:val="24"/>
                <w:szCs w:val="24"/>
              </w:rPr>
            </w:pPr>
          </w:p>
        </w:tc>
        <w:tc>
          <w:tcPr>
            <w:tcW w:w="3379" w:type="dxa"/>
          </w:tcPr>
          <w:p>
            <w:pPr>
              <w:spacing w:line="348"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line="348" w:lineRule="auto"/>
              <w:rPr>
                <w:rFonts w:ascii="宋体" w:hAnsi="宋体"/>
                <w:sz w:val="24"/>
                <w:szCs w:val="24"/>
              </w:rPr>
            </w:pPr>
            <w:r>
              <w:rPr>
                <w:rFonts w:hint="eastAsia" w:ascii="宋体" w:hAnsi="宋体"/>
                <w:sz w:val="24"/>
                <w:szCs w:val="24"/>
              </w:rPr>
              <w:t>加工费用</w:t>
            </w:r>
          </w:p>
        </w:tc>
        <w:tc>
          <w:tcPr>
            <w:tcW w:w="3379" w:type="dxa"/>
          </w:tcPr>
          <w:p>
            <w:pPr>
              <w:spacing w:line="348" w:lineRule="auto"/>
              <w:rPr>
                <w:rFonts w:ascii="宋体" w:hAnsi="宋体"/>
                <w:sz w:val="24"/>
                <w:szCs w:val="24"/>
              </w:rPr>
            </w:pPr>
          </w:p>
        </w:tc>
        <w:tc>
          <w:tcPr>
            <w:tcW w:w="3379" w:type="dxa"/>
          </w:tcPr>
          <w:p>
            <w:pPr>
              <w:spacing w:line="348"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line="348" w:lineRule="auto"/>
              <w:rPr>
                <w:rFonts w:ascii="宋体" w:hAnsi="宋体"/>
                <w:sz w:val="24"/>
                <w:szCs w:val="24"/>
              </w:rPr>
            </w:pPr>
            <w:r>
              <w:rPr>
                <w:rFonts w:hint="eastAsia" w:ascii="宋体" w:hAnsi="宋体"/>
                <w:sz w:val="24"/>
                <w:szCs w:val="24"/>
              </w:rPr>
              <w:t>其它费用</w:t>
            </w:r>
          </w:p>
        </w:tc>
        <w:tc>
          <w:tcPr>
            <w:tcW w:w="3379" w:type="dxa"/>
          </w:tcPr>
          <w:p>
            <w:pPr>
              <w:spacing w:line="348" w:lineRule="auto"/>
              <w:rPr>
                <w:rFonts w:ascii="宋体" w:hAnsi="宋体"/>
                <w:sz w:val="24"/>
                <w:szCs w:val="24"/>
              </w:rPr>
            </w:pPr>
          </w:p>
        </w:tc>
        <w:tc>
          <w:tcPr>
            <w:tcW w:w="3379" w:type="dxa"/>
          </w:tcPr>
          <w:p>
            <w:pPr>
              <w:spacing w:line="348"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line="348" w:lineRule="auto"/>
              <w:rPr>
                <w:rFonts w:ascii="宋体" w:hAnsi="宋体"/>
                <w:b/>
                <w:sz w:val="24"/>
                <w:szCs w:val="24"/>
              </w:rPr>
            </w:pPr>
            <w:r>
              <w:rPr>
                <w:rFonts w:hint="eastAsia" w:ascii="宋体" w:hAnsi="宋体"/>
                <w:b/>
                <w:sz w:val="24"/>
                <w:szCs w:val="24"/>
              </w:rPr>
              <w:t>维修费用合计</w:t>
            </w:r>
          </w:p>
        </w:tc>
        <w:tc>
          <w:tcPr>
            <w:tcW w:w="3379" w:type="dxa"/>
          </w:tcPr>
          <w:p>
            <w:pPr>
              <w:spacing w:line="348" w:lineRule="auto"/>
              <w:rPr>
                <w:rFonts w:ascii="宋体" w:hAnsi="宋体"/>
                <w:b/>
                <w:sz w:val="24"/>
                <w:szCs w:val="24"/>
              </w:rPr>
            </w:pPr>
          </w:p>
        </w:tc>
        <w:tc>
          <w:tcPr>
            <w:tcW w:w="3379" w:type="dxa"/>
          </w:tcPr>
          <w:p>
            <w:pPr>
              <w:spacing w:line="348" w:lineRule="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line="348" w:lineRule="auto"/>
              <w:rPr>
                <w:rFonts w:ascii="宋体" w:hAnsi="宋体"/>
                <w:b/>
                <w:sz w:val="24"/>
                <w:szCs w:val="24"/>
              </w:rPr>
            </w:pPr>
            <w:r>
              <w:rPr>
                <w:rFonts w:ascii="宋体" w:hAnsi="宋体"/>
                <w:b/>
                <w:sz w:val="24"/>
                <w:szCs w:val="24"/>
              </w:rPr>
              <w:t>折扣</w:t>
            </w:r>
          </w:p>
        </w:tc>
        <w:tc>
          <w:tcPr>
            <w:tcW w:w="6758" w:type="dxa"/>
            <w:gridSpan w:val="2"/>
          </w:tcPr>
          <w:p>
            <w:pPr>
              <w:spacing w:line="348" w:lineRule="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7" w:type="dxa"/>
            <w:gridSpan w:val="3"/>
          </w:tcPr>
          <w:p>
            <w:pPr>
              <w:spacing w:line="348" w:lineRule="auto"/>
              <w:rPr>
                <w:rFonts w:ascii="宋体" w:hAnsi="宋体"/>
                <w:b/>
                <w:sz w:val="24"/>
                <w:szCs w:val="24"/>
              </w:rPr>
            </w:pPr>
            <w:r>
              <w:rPr>
                <w:rFonts w:ascii="宋体" w:hAnsi="宋体"/>
                <w:b/>
                <w:sz w:val="24"/>
                <w:szCs w:val="24"/>
              </w:rPr>
              <w:t>实收金额大写（元）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7" w:type="dxa"/>
            <w:gridSpan w:val="3"/>
          </w:tcPr>
          <w:p>
            <w:pPr>
              <w:spacing w:line="348" w:lineRule="auto"/>
              <w:rPr>
                <w:rFonts w:ascii="宋体" w:hAnsi="宋体"/>
                <w:b/>
                <w:sz w:val="24"/>
                <w:szCs w:val="24"/>
              </w:rPr>
            </w:pPr>
            <w:r>
              <w:rPr>
                <w:rFonts w:hint="eastAsia" w:ascii="宋体" w:hAnsi="宋体"/>
                <w:b/>
                <w:sz w:val="24"/>
                <w:szCs w:val="24"/>
              </w:rPr>
              <w:t>注：以上各费用项目内容明细按《机动车维修费用结算规范》（DB 32/T 2665-2014）中“江苏省机动车维修费用结算清单”表样填写，结算清单请附本表之后。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2" w:hRule="atLeast"/>
        </w:trPr>
        <w:tc>
          <w:tcPr>
            <w:tcW w:w="10137" w:type="dxa"/>
            <w:gridSpan w:val="3"/>
          </w:tcPr>
          <w:p>
            <w:pPr>
              <w:spacing w:line="348" w:lineRule="auto"/>
              <w:rPr>
                <w:rFonts w:ascii="宋体" w:hAnsi="宋体"/>
                <w:sz w:val="24"/>
                <w:szCs w:val="24"/>
              </w:rPr>
            </w:pPr>
            <w:r>
              <w:rPr>
                <w:rFonts w:hint="eastAsia" w:ascii="宋体" w:hAnsi="宋体"/>
                <w:sz w:val="24"/>
                <w:szCs w:val="24"/>
              </w:rPr>
              <w:t>托修方意见：</w:t>
            </w:r>
          </w:p>
          <w:p>
            <w:pPr>
              <w:spacing w:line="348" w:lineRule="auto"/>
              <w:rPr>
                <w:rFonts w:ascii="宋体" w:hAnsi="宋体"/>
                <w:sz w:val="24"/>
                <w:szCs w:val="24"/>
              </w:rPr>
            </w:pPr>
          </w:p>
          <w:p>
            <w:pPr>
              <w:spacing w:line="348" w:lineRule="auto"/>
              <w:rPr>
                <w:rFonts w:ascii="宋体" w:hAnsi="宋体"/>
                <w:sz w:val="24"/>
                <w:szCs w:val="24"/>
              </w:rPr>
            </w:pPr>
          </w:p>
          <w:p>
            <w:pPr>
              <w:spacing w:line="348" w:lineRule="auto"/>
              <w:rPr>
                <w:rFonts w:ascii="宋体" w:hAnsi="宋体"/>
                <w:sz w:val="24"/>
                <w:szCs w:val="24"/>
              </w:rPr>
            </w:pPr>
          </w:p>
          <w:p>
            <w:pPr>
              <w:spacing w:line="348" w:lineRule="auto"/>
              <w:rPr>
                <w:rFonts w:ascii="宋体" w:hAnsi="宋体"/>
                <w:sz w:val="24"/>
                <w:szCs w:val="24"/>
              </w:rPr>
            </w:pPr>
          </w:p>
          <w:p>
            <w:pPr>
              <w:wordWrap w:val="0"/>
              <w:spacing w:line="348" w:lineRule="auto"/>
              <w:jc w:val="right"/>
              <w:rPr>
                <w:rFonts w:ascii="宋体" w:hAnsi="宋体"/>
                <w:sz w:val="24"/>
                <w:szCs w:val="24"/>
              </w:rPr>
            </w:pPr>
            <w:r>
              <w:rPr>
                <w:rFonts w:hint="eastAsia" w:ascii="宋体" w:hAnsi="宋体"/>
                <w:sz w:val="24"/>
                <w:szCs w:val="24"/>
              </w:rPr>
              <w:t xml:space="preserve">托修方盖章（或托修方签字）：           </w:t>
            </w:r>
          </w:p>
        </w:tc>
      </w:tr>
    </w:tbl>
    <w:p>
      <w:pPr>
        <w:tabs>
          <w:tab w:val="left" w:pos="840"/>
          <w:tab w:val="left" w:pos="1260"/>
        </w:tabs>
        <w:spacing w:line="44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说明：（1）</w:t>
      </w:r>
      <w:r>
        <w:rPr>
          <w:rFonts w:hint="eastAsia" w:ascii="宋体" w:hAnsi="宋体"/>
          <w:sz w:val="24"/>
          <w:szCs w:val="24"/>
        </w:rPr>
        <w:t>维修结算总费用=工时费用（工时单价×工时定额）＋材料费用[材料购进价格×（1＋材料进销差价率%）]。如有维修诊断费用、检测费用、外加工及其它费用的均按《江苏省机动车维修结算工时定额与收费指南》（2014版）执行。</w:t>
      </w:r>
    </w:p>
    <w:p>
      <w:pPr>
        <w:tabs>
          <w:tab w:val="left" w:pos="840"/>
          <w:tab w:val="left" w:pos="1260"/>
        </w:tabs>
        <w:spacing w:line="44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r>
        <w:rPr>
          <w:rFonts w:hint="eastAsia" w:ascii="宋体" w:hAnsi="宋体"/>
          <w:sz w:val="24"/>
          <w:szCs w:val="24"/>
        </w:rPr>
        <w:t>工时定额按照《江苏省机动车维修结算工时定额与收费指南》（2014版）执行。材料进销差价率不分购进地区综合比例。</w:t>
      </w:r>
    </w:p>
    <w:p>
      <w:pPr>
        <w:tabs>
          <w:tab w:val="left" w:pos="840"/>
          <w:tab w:val="left" w:pos="1260"/>
        </w:tabs>
        <w:spacing w:line="44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（3）上述所有费用均为含税价。</w:t>
      </w:r>
    </w:p>
    <w:p>
      <w:pPr>
        <w:tabs>
          <w:tab w:val="left" w:pos="840"/>
          <w:tab w:val="left" w:pos="1260"/>
        </w:tabs>
        <w:spacing w:line="44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（4）供应商履行合同后，依据框架协议与该维修委托单的约定，与采购人进行费用结算。本单一式两联，一联由承修单位留存备查，另一联由托修单位连同发票作为财务报销依据，未见维修委托单不予报销。</w:t>
      </w:r>
    </w:p>
    <w:p>
      <w:pPr>
        <w:tabs>
          <w:tab w:val="left" w:pos="840"/>
          <w:tab w:val="left" w:pos="1260"/>
        </w:tabs>
        <w:spacing w:line="44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（5）工时单价与材料进销差价率的最高限价请在框架协议大厅内查询。</w:t>
      </w:r>
    </w:p>
    <w:p>
      <w:pPr>
        <w:tabs>
          <w:tab w:val="left" w:pos="840"/>
          <w:tab w:val="left" w:pos="1260"/>
        </w:tabs>
        <w:spacing w:line="44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（6）</w:t>
      </w:r>
      <w:r>
        <w:rPr>
          <w:rFonts w:hint="eastAsia" w:ascii="宋体" w:hAnsi="宋体"/>
          <w:sz w:val="24"/>
          <w:szCs w:val="24"/>
        </w:rPr>
        <w:t>其它未尽事项参照江苏省质量技术监督局发布的《机动车维修费用结算规范》（DB 32/T 2665-2014）。</w:t>
      </w:r>
    </w:p>
    <w:p>
      <w:pPr>
        <w:tabs>
          <w:tab w:val="left" w:pos="840"/>
          <w:tab w:val="left" w:pos="1260"/>
        </w:tabs>
        <w:spacing w:line="44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2.合同不可分割部分</w:t>
      </w:r>
    </w:p>
    <w:p>
      <w:pPr>
        <w:tabs>
          <w:tab w:val="left" w:pos="210"/>
          <w:tab w:val="left" w:pos="420"/>
          <w:tab w:val="left" w:pos="1155"/>
        </w:tabs>
        <w:spacing w:line="44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征集文件、响应文件、框架协议及入围通知书，供应商在报价、评审过程中所作其它有关承诺、声明、书面澄清等均为合同不可分割的部分，与主合同具有同等法律效力。</w:t>
      </w:r>
    </w:p>
    <w:p>
      <w:pPr>
        <w:spacing w:line="44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3.供需双方如有其他要求，可参照征集文件，响应文件（采购人不得向供应商提出超出征集文件以外的任何要求作为签订合同的条件，不得与供应商订立背离征集文件确定的合同文本以及采购项目、服务要求等实质性内容的协议)并在不违反框架协议内容的前提下，供需双方自行拟定补充条款。</w:t>
      </w:r>
    </w:p>
    <w:p>
      <w:pPr>
        <w:spacing w:line="44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4.根据《政府采购法》相关规定，供需双方不得擅自变更、中止或终止合同。</w:t>
      </w:r>
    </w:p>
    <w:p>
      <w:pPr>
        <w:spacing w:line="348" w:lineRule="auto"/>
        <w:ind w:firstLine="480" w:firstLineChars="200"/>
        <w:rPr>
          <w:rFonts w:ascii="宋体" w:hAnsi="宋体"/>
          <w:sz w:val="24"/>
          <w:szCs w:val="24"/>
        </w:rPr>
      </w:pPr>
    </w:p>
    <w:p>
      <w:pPr>
        <w:spacing w:line="348" w:lineRule="auto"/>
        <w:ind w:firstLine="480" w:firstLineChars="200"/>
        <w:rPr>
          <w:rFonts w:ascii="宋体" w:hAnsi="宋体"/>
          <w:sz w:val="24"/>
          <w:szCs w:val="24"/>
        </w:rPr>
      </w:pPr>
    </w:p>
    <w:p>
      <w:pPr>
        <w:spacing w:line="348" w:lineRule="auto"/>
        <w:ind w:firstLine="480" w:firstLineChars="200"/>
        <w:rPr>
          <w:rFonts w:ascii="宋体" w:hAnsi="宋体"/>
          <w:sz w:val="24"/>
          <w:szCs w:val="24"/>
        </w:rPr>
      </w:pPr>
    </w:p>
    <w:p>
      <w:pPr>
        <w:spacing w:line="348" w:lineRule="auto"/>
        <w:ind w:firstLine="480" w:firstLineChars="200"/>
        <w:rPr>
          <w:rFonts w:ascii="宋体" w:hAnsi="宋体"/>
          <w:sz w:val="24"/>
          <w:szCs w:val="24"/>
        </w:rPr>
      </w:pPr>
    </w:p>
    <w:p>
      <w:pPr>
        <w:spacing w:line="348" w:lineRule="auto"/>
        <w:rPr>
          <w:rFonts w:ascii="宋体" w:hAnsi="宋体"/>
          <w:sz w:val="24"/>
          <w:szCs w:val="24"/>
        </w:rPr>
      </w:pPr>
    </w:p>
    <w:p>
      <w:pPr>
        <w:spacing w:line="360" w:lineRule="auto"/>
        <w:jc w:val="center"/>
        <w:rPr>
          <w:rFonts w:ascii="黑体" w:eastAsia="黑体"/>
          <w:bCs/>
          <w:sz w:val="30"/>
          <w:szCs w:val="30"/>
        </w:rPr>
      </w:pPr>
      <w:r>
        <w:rPr>
          <w:rFonts w:hint="eastAsia" w:ascii="黑体" w:eastAsia="黑体"/>
          <w:bCs/>
          <w:sz w:val="30"/>
          <w:szCs w:val="30"/>
        </w:rPr>
        <w:t>六．附件</w:t>
      </w:r>
    </w:p>
    <w:p>
      <w:pPr>
        <w:widowControl/>
        <w:jc w:val="left"/>
        <w:rPr>
          <w:rFonts w:ascii="黑体" w:eastAsia="黑体"/>
          <w:bCs/>
          <w:sz w:val="24"/>
          <w:szCs w:val="24"/>
        </w:rPr>
      </w:pPr>
      <w:r>
        <w:rPr>
          <w:rFonts w:hint="eastAsia" w:ascii="黑体" w:eastAsia="黑体"/>
          <w:bCs/>
          <w:sz w:val="24"/>
          <w:szCs w:val="24"/>
        </w:rPr>
        <w:t>附件：响应文件格式</w:t>
      </w:r>
    </w:p>
    <w:p>
      <w:pPr>
        <w:rPr>
          <w:rFonts w:ascii="黑体" w:eastAsia="黑体"/>
          <w:bCs/>
          <w:sz w:val="32"/>
        </w:rPr>
      </w:pPr>
    </w:p>
    <w:p>
      <w:pPr>
        <w:jc w:val="center"/>
        <w:rPr>
          <w:rFonts w:ascii="黑体" w:eastAsia="黑体"/>
          <w:bCs/>
          <w:sz w:val="52"/>
          <w:szCs w:val="52"/>
        </w:rPr>
      </w:pPr>
      <w:r>
        <w:rPr>
          <w:rFonts w:hint="eastAsia" w:ascii="黑体" w:eastAsia="黑体"/>
          <w:bCs/>
          <w:sz w:val="52"/>
          <w:szCs w:val="52"/>
        </w:rPr>
        <w:t>响</w:t>
      </w:r>
    </w:p>
    <w:p>
      <w:pPr>
        <w:jc w:val="center"/>
        <w:rPr>
          <w:rFonts w:ascii="黑体" w:eastAsia="黑体"/>
          <w:bCs/>
          <w:sz w:val="72"/>
        </w:rPr>
      </w:pPr>
    </w:p>
    <w:p>
      <w:pPr>
        <w:jc w:val="center"/>
        <w:rPr>
          <w:rFonts w:ascii="黑体" w:eastAsia="黑体"/>
          <w:bCs/>
          <w:sz w:val="52"/>
          <w:szCs w:val="52"/>
        </w:rPr>
      </w:pPr>
      <w:r>
        <w:rPr>
          <w:rFonts w:hint="eastAsia" w:ascii="黑体" w:eastAsia="黑体"/>
          <w:bCs/>
          <w:sz w:val="52"/>
          <w:szCs w:val="52"/>
        </w:rPr>
        <w:t>应</w:t>
      </w:r>
    </w:p>
    <w:p>
      <w:pPr>
        <w:jc w:val="center"/>
        <w:rPr>
          <w:rFonts w:ascii="黑体" w:eastAsia="黑体"/>
          <w:bCs/>
          <w:sz w:val="72"/>
        </w:rPr>
      </w:pPr>
    </w:p>
    <w:p>
      <w:pPr>
        <w:jc w:val="center"/>
        <w:rPr>
          <w:rFonts w:ascii="黑体" w:eastAsia="黑体"/>
          <w:bCs/>
          <w:sz w:val="52"/>
          <w:szCs w:val="52"/>
        </w:rPr>
      </w:pPr>
      <w:r>
        <w:rPr>
          <w:rFonts w:hint="eastAsia" w:ascii="黑体" w:eastAsia="黑体"/>
          <w:bCs/>
          <w:sz w:val="52"/>
          <w:szCs w:val="52"/>
        </w:rPr>
        <w:t>文</w:t>
      </w:r>
    </w:p>
    <w:p>
      <w:pPr>
        <w:jc w:val="center"/>
        <w:rPr>
          <w:rFonts w:ascii="黑体" w:eastAsia="黑体"/>
          <w:bCs/>
          <w:sz w:val="52"/>
          <w:szCs w:val="52"/>
        </w:rPr>
      </w:pPr>
    </w:p>
    <w:p>
      <w:pPr>
        <w:jc w:val="center"/>
        <w:rPr>
          <w:rFonts w:ascii="黑体" w:eastAsia="黑体"/>
          <w:bCs/>
          <w:sz w:val="52"/>
          <w:szCs w:val="52"/>
        </w:rPr>
      </w:pPr>
      <w:r>
        <w:rPr>
          <w:rFonts w:hint="eastAsia" w:ascii="黑体" w:eastAsia="黑体"/>
          <w:bCs/>
          <w:sz w:val="52"/>
          <w:szCs w:val="52"/>
        </w:rPr>
        <w:t>件</w:t>
      </w:r>
    </w:p>
    <w:p>
      <w:pPr>
        <w:rPr>
          <w:rFonts w:ascii="楷体_GB2312" w:eastAsia="楷体_GB2312"/>
          <w:bCs/>
          <w:sz w:val="72"/>
        </w:rPr>
      </w:pPr>
    </w:p>
    <w:p>
      <w:pPr>
        <w:jc w:val="center"/>
        <w:rPr>
          <w:rFonts w:ascii="楷体_GB2312" w:eastAsia="楷体_GB2312"/>
          <w:bCs/>
          <w:sz w:val="28"/>
        </w:rPr>
      </w:pPr>
    </w:p>
    <w:p>
      <w:pPr>
        <w:ind w:firstLine="1260" w:firstLineChars="450"/>
        <w:rPr>
          <w:rFonts w:ascii="黑体" w:eastAsia="黑体"/>
          <w:bCs/>
          <w:sz w:val="28"/>
          <w:szCs w:val="28"/>
        </w:rPr>
      </w:pPr>
      <w:r>
        <w:rPr>
          <w:rFonts w:hint="eastAsia" w:ascii="黑体" w:eastAsia="黑体"/>
          <w:bCs/>
          <w:sz w:val="28"/>
          <w:szCs w:val="28"/>
        </w:rPr>
        <w:t>采购项目编号：</w:t>
      </w:r>
      <w:r>
        <w:rPr>
          <w:rFonts w:ascii="黑体" w:eastAsia="黑体"/>
          <w:bCs/>
          <w:sz w:val="28"/>
          <w:szCs w:val="28"/>
        </w:rPr>
        <w:t>BHJYZXKJ2023001</w:t>
      </w:r>
    </w:p>
    <w:p>
      <w:pPr>
        <w:ind w:firstLine="1260" w:firstLineChars="450"/>
        <w:rPr>
          <w:rFonts w:ascii="黑体" w:eastAsia="黑体"/>
          <w:bCs/>
          <w:sz w:val="28"/>
          <w:szCs w:val="28"/>
        </w:rPr>
      </w:pPr>
      <w:r>
        <w:rPr>
          <w:rFonts w:hint="eastAsia" w:ascii="黑体" w:eastAsia="黑体"/>
          <w:bCs/>
          <w:sz w:val="28"/>
          <w:szCs w:val="28"/>
        </w:rPr>
        <w:t>采购项目名称：2023-2025年度无锡市滨湖区车辆维修和保养服务框架协议采购</w:t>
      </w:r>
    </w:p>
    <w:p>
      <w:pPr>
        <w:ind w:firstLine="1260" w:firstLineChars="450"/>
        <w:rPr>
          <w:rFonts w:ascii="黑体" w:eastAsia="黑体"/>
          <w:bCs/>
          <w:sz w:val="28"/>
          <w:szCs w:val="28"/>
        </w:rPr>
      </w:pPr>
      <w:r>
        <w:rPr>
          <w:rFonts w:hint="eastAsia" w:ascii="黑体" w:eastAsia="黑体"/>
          <w:bCs/>
          <w:sz w:val="28"/>
          <w:szCs w:val="28"/>
        </w:rPr>
        <w:t>供应商：</w:t>
      </w:r>
    </w:p>
    <w:p>
      <w:pPr>
        <w:rPr>
          <w:rFonts w:ascii="黑体" w:eastAsia="黑体"/>
          <w:bCs/>
          <w:sz w:val="32"/>
        </w:rPr>
      </w:pPr>
    </w:p>
    <w:p>
      <w:pPr>
        <w:jc w:val="center"/>
        <w:rPr>
          <w:rFonts w:ascii="黑体" w:hAnsi="宋体" w:eastAsia="黑体"/>
          <w:bCs/>
          <w:sz w:val="24"/>
          <w:szCs w:val="24"/>
        </w:rPr>
      </w:pPr>
      <w:bookmarkStart w:id="15" w:name="一．报价函（格式）"/>
      <w:bookmarkEnd w:id="15"/>
      <w:r>
        <w:rPr>
          <w:rFonts w:hint="eastAsia" w:ascii="黑体" w:eastAsia="黑体"/>
          <w:bCs/>
          <w:sz w:val="36"/>
          <w:szCs w:val="36"/>
        </w:rPr>
        <w:t>二○</w:t>
      </w:r>
      <w:r>
        <w:rPr>
          <w:rFonts w:ascii="黑体" w:eastAsia="黑体"/>
          <w:bCs/>
          <w:sz w:val="36"/>
          <w:szCs w:val="36"/>
        </w:rPr>
        <w:t xml:space="preserve">  </w:t>
      </w:r>
      <w:r>
        <w:rPr>
          <w:rFonts w:hint="eastAsia" w:ascii="黑体" w:eastAsia="黑体"/>
          <w:bCs/>
          <w:sz w:val="36"/>
          <w:szCs w:val="36"/>
        </w:rPr>
        <w:t>年</w:t>
      </w:r>
      <w:r>
        <w:rPr>
          <w:rFonts w:ascii="黑体" w:eastAsia="黑体"/>
          <w:bCs/>
          <w:sz w:val="36"/>
          <w:szCs w:val="36"/>
        </w:rPr>
        <w:t xml:space="preserve">  </w:t>
      </w:r>
      <w:r>
        <w:rPr>
          <w:rFonts w:hint="eastAsia" w:ascii="黑体" w:eastAsia="黑体"/>
          <w:bCs/>
          <w:sz w:val="36"/>
          <w:szCs w:val="36"/>
        </w:rPr>
        <w:t>月</w:t>
      </w:r>
      <w:r>
        <w:rPr>
          <w:rFonts w:ascii="黑体" w:eastAsia="黑体"/>
          <w:bCs/>
          <w:sz w:val="36"/>
          <w:szCs w:val="36"/>
        </w:rPr>
        <w:t xml:space="preserve">  </w:t>
      </w:r>
      <w:r>
        <w:rPr>
          <w:rFonts w:hint="eastAsia" w:ascii="黑体" w:eastAsia="黑体"/>
          <w:bCs/>
          <w:sz w:val="36"/>
          <w:szCs w:val="36"/>
        </w:rPr>
        <w:t>日</w:t>
      </w:r>
    </w:p>
    <w:p>
      <w:pPr>
        <w:widowControl/>
        <w:jc w:val="left"/>
        <w:rPr>
          <w:rFonts w:ascii="黑体" w:hAnsi="宋体" w:eastAsia="黑体"/>
          <w:bCs/>
          <w:sz w:val="24"/>
          <w:szCs w:val="24"/>
        </w:rPr>
      </w:pPr>
      <w:r>
        <w:rPr>
          <w:rFonts w:ascii="黑体" w:hAnsi="宋体" w:eastAsia="黑体"/>
          <w:bCs/>
          <w:sz w:val="24"/>
          <w:szCs w:val="24"/>
        </w:rPr>
        <w:br w:type="page"/>
      </w:r>
    </w:p>
    <w:p>
      <w:pPr>
        <w:ind w:firstLine="480" w:firstLineChars="200"/>
        <w:outlineLvl w:val="0"/>
        <w:rPr>
          <w:rFonts w:ascii="黑体" w:hAnsi="宋体" w:eastAsia="黑体"/>
          <w:bCs/>
          <w:sz w:val="24"/>
          <w:szCs w:val="24"/>
        </w:rPr>
      </w:pPr>
      <w:r>
        <w:rPr>
          <w:rFonts w:hint="eastAsia" w:ascii="黑体" w:hAnsi="宋体" w:eastAsia="黑体"/>
          <w:bCs/>
          <w:sz w:val="24"/>
          <w:szCs w:val="24"/>
        </w:rPr>
        <w:t>（一）响应函（格式）：</w:t>
      </w:r>
    </w:p>
    <w:p>
      <w:pPr>
        <w:spacing w:line="360" w:lineRule="auto"/>
        <w:jc w:val="center"/>
        <w:rPr>
          <w:rFonts w:ascii="宋体"/>
          <w:bCs/>
          <w:sz w:val="24"/>
          <w:szCs w:val="24"/>
        </w:rPr>
      </w:pPr>
      <w:r>
        <w:rPr>
          <w:rFonts w:hint="eastAsia" w:ascii="黑体" w:eastAsia="黑体"/>
          <w:bCs/>
          <w:sz w:val="28"/>
          <w:szCs w:val="28"/>
        </w:rPr>
        <w:t>响应函</w:t>
      </w:r>
    </w:p>
    <w:p>
      <w:pPr>
        <w:spacing w:line="360" w:lineRule="auto"/>
        <w:rPr>
          <w:rFonts w:ascii="宋体"/>
          <w:bCs/>
          <w:sz w:val="24"/>
          <w:szCs w:val="24"/>
        </w:rPr>
      </w:pPr>
      <w:r>
        <w:rPr>
          <w:rFonts w:hint="eastAsia" w:ascii="宋体" w:hAnsi="宋体"/>
          <w:bCs/>
          <w:sz w:val="24"/>
          <w:szCs w:val="24"/>
        </w:rPr>
        <w:t>致无锡市滨湖区公共资源交易中心：</w:t>
      </w:r>
    </w:p>
    <w:p>
      <w:pPr>
        <w:spacing w:line="360" w:lineRule="auto"/>
        <w:ind w:firstLine="480" w:firstLineChars="200"/>
        <w:rPr>
          <w:rFonts w:ascii="宋体" w:hAnsi="宋体"/>
          <w:bCs/>
          <w:sz w:val="24"/>
          <w:szCs w:val="24"/>
        </w:rPr>
      </w:pPr>
    </w:p>
    <w:p>
      <w:pPr>
        <w:spacing w:line="360" w:lineRule="auto"/>
        <w:ind w:firstLine="480" w:firstLineChars="200"/>
        <w:rPr>
          <w:rFonts w:ascii="宋体"/>
          <w:bCs/>
          <w:sz w:val="24"/>
          <w:szCs w:val="24"/>
        </w:rPr>
      </w:pPr>
      <w:r>
        <w:rPr>
          <w:rFonts w:hint="eastAsia" w:ascii="宋体" w:hAnsi="宋体"/>
          <w:bCs/>
          <w:sz w:val="24"/>
          <w:szCs w:val="24"/>
        </w:rPr>
        <w:t>我方收到贵方编号</w:t>
      </w:r>
      <w:r>
        <w:rPr>
          <w:rFonts w:ascii="宋体" w:hAnsi="宋体"/>
          <w:bCs/>
          <w:sz w:val="24"/>
          <w:szCs w:val="24"/>
        </w:rPr>
        <w:t>BHJYZXKJ2023001</w:t>
      </w:r>
      <w:r>
        <w:rPr>
          <w:rFonts w:hint="eastAsia" w:ascii="宋体" w:hAnsi="宋体"/>
          <w:bCs/>
          <w:sz w:val="24"/>
          <w:szCs w:val="24"/>
        </w:rPr>
        <w:t>征集文件，经仔细阅读和研究，我方决定参加此项目的征集活动。</w:t>
      </w:r>
    </w:p>
    <w:p>
      <w:pPr>
        <w:numPr>
          <w:ilvl w:val="0"/>
          <w:numId w:val="24"/>
        </w:numPr>
        <w:tabs>
          <w:tab w:val="left" w:pos="315"/>
          <w:tab w:val="left" w:pos="840"/>
          <w:tab w:val="left" w:pos="945"/>
          <w:tab w:val="left" w:pos="1050"/>
          <w:tab w:val="left" w:pos="1260"/>
          <w:tab w:val="clear" w:pos="552"/>
        </w:tabs>
        <w:spacing w:line="360" w:lineRule="auto"/>
        <w:ind w:left="0" w:firstLine="525"/>
        <w:rPr>
          <w:rFonts w:ascii="宋体"/>
          <w:bCs/>
          <w:sz w:val="24"/>
          <w:szCs w:val="24"/>
        </w:rPr>
      </w:pPr>
      <w:r>
        <w:rPr>
          <w:rFonts w:hint="eastAsia" w:ascii="宋体" w:hAnsi="宋体"/>
          <w:bCs/>
          <w:sz w:val="24"/>
          <w:szCs w:val="24"/>
        </w:rPr>
        <w:t>我方愿意按照征集文件的一切要求，提供本项目的报价，综合报价见《报价一览表》。</w:t>
      </w:r>
    </w:p>
    <w:p>
      <w:pPr>
        <w:numPr>
          <w:ilvl w:val="0"/>
          <w:numId w:val="24"/>
        </w:numPr>
        <w:tabs>
          <w:tab w:val="left" w:pos="0"/>
          <w:tab w:val="left" w:pos="315"/>
          <w:tab w:val="left" w:pos="525"/>
          <w:tab w:val="left" w:pos="840"/>
          <w:tab w:val="left" w:pos="945"/>
          <w:tab w:val="left" w:pos="1050"/>
          <w:tab w:val="clear" w:pos="552"/>
        </w:tabs>
        <w:spacing w:line="360" w:lineRule="auto"/>
        <w:ind w:left="0" w:firstLine="523" w:firstLineChars="218"/>
        <w:rPr>
          <w:rStyle w:val="29"/>
          <w:bCs/>
        </w:rPr>
      </w:pPr>
      <w:r>
        <w:rPr>
          <w:rFonts w:hint="eastAsia" w:ascii="宋体" w:hAnsi="宋体"/>
          <w:bCs/>
          <w:sz w:val="24"/>
          <w:szCs w:val="24"/>
        </w:rPr>
        <w:t>我方愿意提供无锡市滨湖区公共资源交易中心在征集文件中要求的文件、资料。</w:t>
      </w:r>
    </w:p>
    <w:p>
      <w:pPr>
        <w:numPr>
          <w:ilvl w:val="0"/>
          <w:numId w:val="24"/>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我方同意按征集文件中的规定，本响应文件响应的有效期限为响应文件的提交截止</w:t>
      </w:r>
      <w:r>
        <w:rPr>
          <w:rFonts w:hint="eastAsia" w:ascii="宋体" w:hAnsi="宋体"/>
          <w:bCs/>
          <w:sz w:val="24"/>
        </w:rPr>
        <w:t>时间之日后9</w:t>
      </w:r>
      <w:r>
        <w:rPr>
          <w:rFonts w:ascii="宋体" w:hAnsi="宋体"/>
          <w:bCs/>
          <w:sz w:val="24"/>
        </w:rPr>
        <w:t>0</w:t>
      </w:r>
      <w:r>
        <w:rPr>
          <w:rFonts w:hint="eastAsia" w:ascii="宋体" w:hAnsi="宋体"/>
          <w:bCs/>
          <w:sz w:val="24"/>
        </w:rPr>
        <w:t>天</w:t>
      </w:r>
      <w:r>
        <w:rPr>
          <w:rFonts w:hint="eastAsia" w:ascii="宋体" w:hAnsi="宋体"/>
          <w:bCs/>
          <w:sz w:val="24"/>
          <w:szCs w:val="24"/>
        </w:rPr>
        <w:t>。</w:t>
      </w:r>
    </w:p>
    <w:p>
      <w:pPr>
        <w:numPr>
          <w:ilvl w:val="0"/>
          <w:numId w:val="24"/>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如果我方的响应文件被接受，我方将履行征集文件中规定的每一项要求，按期、按质、按量、完成服务任务。</w:t>
      </w:r>
    </w:p>
    <w:p>
      <w:pPr>
        <w:numPr>
          <w:ilvl w:val="0"/>
          <w:numId w:val="24"/>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我方认为贵中心有权决定入围成交者。</w:t>
      </w:r>
    </w:p>
    <w:p>
      <w:pPr>
        <w:numPr>
          <w:ilvl w:val="0"/>
          <w:numId w:val="24"/>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我方愿意遵守《中华人民共和国政府采购法》，并按《民法典》、财政部《政府采购框架协议采购方式管理暂行办法》</w:t>
      </w:r>
      <w:r>
        <w:rPr>
          <w:rFonts w:hint="eastAsia" w:ascii="宋体" w:hAnsi="宋体"/>
          <w:sz w:val="24"/>
          <w:szCs w:val="24"/>
        </w:rPr>
        <w:t>和</w:t>
      </w:r>
      <w:r>
        <w:rPr>
          <w:rFonts w:hint="eastAsia" w:ascii="宋体" w:hAnsi="宋体"/>
          <w:bCs/>
          <w:sz w:val="24"/>
          <w:szCs w:val="24"/>
        </w:rPr>
        <w:t>合同条款履行自己的全部责任。</w:t>
      </w:r>
    </w:p>
    <w:p>
      <w:pPr>
        <w:numPr>
          <w:ilvl w:val="0"/>
          <w:numId w:val="24"/>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我方认可并遵守征集文件的所有规定，放弃对征集文件提出质疑的权利。</w:t>
      </w:r>
    </w:p>
    <w:p>
      <w:pPr>
        <w:numPr>
          <w:ilvl w:val="0"/>
          <w:numId w:val="24"/>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我方愿意按征集文件的规定上传响应文件。如我方在响应文件的提交截止期后撤回响应及入围后拒绝遵守响应承诺或拒绝在规定的时间内与采购人签订、履约合同，则接受政府采购监督管理部门的处理。</w:t>
      </w:r>
    </w:p>
    <w:p>
      <w:pPr>
        <w:numPr>
          <w:ilvl w:val="0"/>
          <w:numId w:val="24"/>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如果我方第二阶段被确定为成交供应商，我方如无不可抗力，又未履行征集文件、响应文件和合同条款的，一经查实，我方愿意赔偿由此而造成的一切损失，并同意接受按征集文件的相关要求对我方进行的处理。</w:t>
      </w:r>
    </w:p>
    <w:p>
      <w:pPr>
        <w:numPr>
          <w:ilvl w:val="0"/>
          <w:numId w:val="24"/>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我方决不提供虚假材料谋取入围或成交、决不采取不正当手段诋毁、排挤其他供应商、决不与征集人、采购人、其它供应商恶意串通、决不向采购人、征集人和评委等相关人员进行商业贿赂、决不在采购过程中与征集人进行协商谈判、决不拒绝有关部门监督检查或提供虚假情况，如有违反，无条件接受贵方及相关管理部门的处罚。</w:t>
      </w:r>
    </w:p>
    <w:p>
      <w:pPr>
        <w:spacing w:line="360" w:lineRule="auto"/>
        <w:ind w:firstLine="720" w:firstLineChars="300"/>
        <w:rPr>
          <w:rFonts w:ascii="宋体"/>
          <w:bCs/>
          <w:sz w:val="24"/>
          <w:szCs w:val="24"/>
        </w:rPr>
      </w:pPr>
    </w:p>
    <w:p>
      <w:pPr>
        <w:spacing w:line="400" w:lineRule="exact"/>
        <w:ind w:firstLine="480" w:firstLineChars="200"/>
        <w:rPr>
          <w:rFonts w:ascii="宋体"/>
          <w:bCs/>
          <w:sz w:val="24"/>
          <w:szCs w:val="24"/>
        </w:rPr>
      </w:pPr>
      <w:r>
        <w:rPr>
          <w:rFonts w:hint="eastAsia" w:ascii="宋体" w:hAnsi="宋体"/>
          <w:bCs/>
          <w:sz w:val="24"/>
          <w:szCs w:val="24"/>
        </w:rPr>
        <w:t>供应商（盖章）：</w:t>
      </w:r>
    </w:p>
    <w:p>
      <w:pPr>
        <w:spacing w:line="400" w:lineRule="exact"/>
        <w:ind w:firstLine="480" w:firstLineChars="200"/>
        <w:rPr>
          <w:rFonts w:ascii="宋体"/>
          <w:bCs/>
          <w:sz w:val="24"/>
          <w:szCs w:val="24"/>
        </w:rPr>
      </w:pPr>
      <w:r>
        <w:rPr>
          <w:rFonts w:hint="eastAsia" w:ascii="宋体" w:hAnsi="宋体"/>
          <w:bCs/>
          <w:sz w:val="24"/>
          <w:szCs w:val="24"/>
        </w:rPr>
        <w:t>法定代表人或法定代表人授权代表签字或盖章：</w:t>
      </w:r>
    </w:p>
    <w:p>
      <w:pPr>
        <w:spacing w:line="400" w:lineRule="exact"/>
        <w:ind w:firstLine="480" w:firstLineChars="200"/>
        <w:rPr>
          <w:rFonts w:ascii="宋体" w:hAnsi="宋体"/>
          <w:bCs/>
          <w:sz w:val="24"/>
          <w:szCs w:val="24"/>
        </w:rPr>
      </w:pPr>
      <w:r>
        <w:rPr>
          <w:rFonts w:hint="eastAsia" w:ascii="宋体" w:hAnsi="宋体"/>
          <w:bCs/>
          <w:sz w:val="24"/>
          <w:szCs w:val="24"/>
        </w:rPr>
        <w:t xml:space="preserve">联系人： </w:t>
      </w:r>
      <w:r>
        <w:rPr>
          <w:rFonts w:ascii="宋体" w:hAnsi="宋体"/>
          <w:bCs/>
          <w:sz w:val="24"/>
          <w:szCs w:val="24"/>
        </w:rPr>
        <w:t xml:space="preserve">                             </w:t>
      </w:r>
      <w:r>
        <w:rPr>
          <w:rFonts w:hint="eastAsia" w:ascii="宋体" w:hAnsi="宋体"/>
          <w:bCs/>
          <w:sz w:val="24"/>
          <w:szCs w:val="24"/>
        </w:rPr>
        <w:t xml:space="preserve">  邮箱：</w:t>
      </w:r>
    </w:p>
    <w:p>
      <w:pPr>
        <w:spacing w:line="400" w:lineRule="exact"/>
        <w:ind w:firstLine="480" w:firstLineChars="200"/>
        <w:rPr>
          <w:rFonts w:ascii="宋体" w:hAnsi="宋体"/>
          <w:bCs/>
          <w:sz w:val="24"/>
          <w:szCs w:val="24"/>
        </w:rPr>
      </w:pPr>
      <w:r>
        <w:rPr>
          <w:rFonts w:hint="eastAsia" w:ascii="宋体" w:hAnsi="宋体"/>
          <w:bCs/>
          <w:sz w:val="24"/>
          <w:szCs w:val="24"/>
        </w:rPr>
        <w:t>联系电话：                              传真：</w:t>
      </w:r>
    </w:p>
    <w:p>
      <w:pPr>
        <w:spacing w:line="400" w:lineRule="exact"/>
        <w:ind w:firstLine="480" w:firstLineChars="200"/>
        <w:rPr>
          <w:rFonts w:ascii="黑体" w:hAnsi="宋体" w:eastAsia="黑体"/>
          <w:bCs/>
          <w:sz w:val="24"/>
          <w:szCs w:val="24"/>
        </w:rPr>
      </w:pPr>
      <w:r>
        <w:rPr>
          <w:rFonts w:hint="eastAsia" w:ascii="宋体" w:hAnsi="宋体"/>
          <w:bCs/>
          <w:sz w:val="24"/>
          <w:szCs w:val="24"/>
        </w:rPr>
        <w:t xml:space="preserve">通信地址： </w:t>
      </w:r>
      <w:r>
        <w:rPr>
          <w:rFonts w:ascii="宋体" w:hAnsi="宋体"/>
          <w:bCs/>
          <w:sz w:val="24"/>
          <w:szCs w:val="24"/>
        </w:rPr>
        <w:t xml:space="preserve">                         </w:t>
      </w:r>
      <w:r>
        <w:rPr>
          <w:rFonts w:hint="eastAsia" w:ascii="宋体" w:hAnsi="宋体"/>
          <w:bCs/>
          <w:sz w:val="24"/>
          <w:szCs w:val="24"/>
        </w:rPr>
        <w:t xml:space="preserve">    邮编：</w:t>
      </w:r>
    </w:p>
    <w:p>
      <w:pPr>
        <w:ind w:firstLine="480" w:firstLineChars="200"/>
        <w:outlineLvl w:val="0"/>
        <w:rPr>
          <w:rFonts w:ascii="黑体" w:eastAsia="黑体"/>
          <w:bCs/>
          <w:sz w:val="28"/>
          <w:szCs w:val="28"/>
        </w:rPr>
      </w:pPr>
      <w:r>
        <w:rPr>
          <w:rFonts w:hint="eastAsia" w:ascii="黑体" w:hAnsi="宋体" w:eastAsia="黑体"/>
          <w:bCs/>
          <w:sz w:val="24"/>
          <w:szCs w:val="24"/>
        </w:rPr>
        <w:t>（二）关于资格的声明函（格式）：</w:t>
      </w:r>
    </w:p>
    <w:p>
      <w:pPr>
        <w:spacing w:line="360" w:lineRule="auto"/>
        <w:rPr>
          <w:rFonts w:ascii="黑体" w:eastAsia="黑体"/>
          <w:bCs/>
          <w:sz w:val="36"/>
        </w:rPr>
      </w:pPr>
    </w:p>
    <w:p>
      <w:pPr>
        <w:jc w:val="center"/>
        <w:outlineLvl w:val="0"/>
        <w:rPr>
          <w:rFonts w:ascii="黑体" w:eastAsia="黑体"/>
          <w:bCs/>
          <w:sz w:val="28"/>
          <w:szCs w:val="28"/>
        </w:rPr>
      </w:pPr>
      <w:bookmarkStart w:id="16" w:name="报价方关于资格的声明函（格式）"/>
      <w:bookmarkEnd w:id="16"/>
      <w:r>
        <w:rPr>
          <w:rFonts w:hint="eastAsia" w:ascii="黑体" w:eastAsia="黑体"/>
          <w:bCs/>
          <w:sz w:val="28"/>
          <w:szCs w:val="28"/>
        </w:rPr>
        <w:t>关于资格的声明函</w:t>
      </w:r>
    </w:p>
    <w:p>
      <w:pPr>
        <w:jc w:val="center"/>
        <w:rPr>
          <w:rFonts w:ascii="黑体" w:eastAsia="黑体"/>
          <w:bCs/>
          <w:sz w:val="32"/>
        </w:rPr>
      </w:pPr>
    </w:p>
    <w:p>
      <w:pPr>
        <w:spacing w:line="480" w:lineRule="auto"/>
        <w:jc w:val="center"/>
        <w:rPr>
          <w:rFonts w:ascii="宋体"/>
          <w:bCs/>
          <w:sz w:val="24"/>
          <w:szCs w:val="24"/>
        </w:rPr>
      </w:pPr>
      <w:r>
        <w:rPr>
          <w:rFonts w:hint="eastAsia" w:ascii="宋体" w:hAnsi="宋体"/>
          <w:bCs/>
          <w:sz w:val="24"/>
          <w:szCs w:val="24"/>
        </w:rPr>
        <w:t>采购项目编号：</w:t>
      </w:r>
      <w:r>
        <w:rPr>
          <w:rFonts w:ascii="黑体" w:eastAsia="黑体"/>
          <w:bCs/>
          <w:sz w:val="24"/>
          <w:szCs w:val="24"/>
        </w:rPr>
        <w:t>BHJYZXKJ2023001</w:t>
      </w:r>
    </w:p>
    <w:p>
      <w:pPr>
        <w:tabs>
          <w:tab w:val="left" w:pos="6300"/>
        </w:tabs>
        <w:spacing w:line="480" w:lineRule="auto"/>
        <w:jc w:val="center"/>
        <w:rPr>
          <w:rFonts w:ascii="宋体"/>
          <w:bCs/>
          <w:sz w:val="24"/>
          <w:szCs w:val="24"/>
        </w:rPr>
      </w:pPr>
      <w:r>
        <w:rPr>
          <w:rFonts w:hint="eastAsia" w:ascii="宋体" w:hAnsi="宋体"/>
          <w:bCs/>
          <w:sz w:val="24"/>
          <w:szCs w:val="24"/>
        </w:rPr>
        <w:t>日期：</w:t>
      </w:r>
    </w:p>
    <w:p>
      <w:pPr>
        <w:spacing w:line="480" w:lineRule="auto"/>
        <w:jc w:val="center"/>
        <w:rPr>
          <w:rFonts w:ascii="宋体"/>
          <w:bCs/>
          <w:sz w:val="24"/>
          <w:szCs w:val="24"/>
        </w:rPr>
      </w:pPr>
    </w:p>
    <w:p>
      <w:pPr>
        <w:spacing w:line="480" w:lineRule="auto"/>
        <w:rPr>
          <w:rFonts w:ascii="宋体"/>
          <w:bCs/>
          <w:sz w:val="24"/>
          <w:szCs w:val="24"/>
        </w:rPr>
      </w:pPr>
      <w:r>
        <w:rPr>
          <w:rFonts w:hint="eastAsia" w:ascii="宋体" w:hAnsi="宋体"/>
          <w:bCs/>
          <w:sz w:val="24"/>
          <w:szCs w:val="24"/>
        </w:rPr>
        <w:t>无锡市滨湖区公共资源交易中心：</w:t>
      </w:r>
    </w:p>
    <w:p>
      <w:pPr>
        <w:spacing w:line="480" w:lineRule="auto"/>
        <w:rPr>
          <w:rFonts w:ascii="宋体"/>
          <w:bCs/>
          <w:sz w:val="24"/>
          <w:szCs w:val="24"/>
        </w:rPr>
      </w:pPr>
    </w:p>
    <w:p>
      <w:pPr>
        <w:spacing w:line="480" w:lineRule="auto"/>
        <w:ind w:firstLine="480" w:firstLineChars="200"/>
        <w:rPr>
          <w:rFonts w:ascii="宋体"/>
          <w:bCs/>
          <w:sz w:val="24"/>
          <w:szCs w:val="24"/>
        </w:rPr>
      </w:pPr>
      <w:r>
        <w:rPr>
          <w:rFonts w:hint="eastAsia" w:ascii="宋体" w:hAnsi="宋体"/>
          <w:bCs/>
          <w:sz w:val="24"/>
          <w:szCs w:val="24"/>
        </w:rPr>
        <w:t>我公司（单位）参加本次项目（</w:t>
      </w:r>
      <w:r>
        <w:rPr>
          <w:rFonts w:ascii="黑体" w:eastAsia="黑体"/>
          <w:bCs/>
          <w:sz w:val="24"/>
          <w:szCs w:val="24"/>
        </w:rPr>
        <w:t>BHJYZXKJ2023001</w:t>
      </w:r>
      <w:r>
        <w:rPr>
          <w:rFonts w:hint="eastAsia" w:ascii="黑体" w:eastAsia="黑体"/>
          <w:bCs/>
          <w:sz w:val="24"/>
          <w:szCs w:val="24"/>
        </w:rPr>
        <w:t>）</w:t>
      </w:r>
      <w:r>
        <w:rPr>
          <w:rFonts w:hint="eastAsia" w:ascii="宋体" w:hAnsi="宋体"/>
          <w:bCs/>
          <w:sz w:val="24"/>
          <w:szCs w:val="24"/>
        </w:rPr>
        <w:t>政府采购活动前三年内，在经营活动中没有重大违法记录，我公司（单位）愿针对本次项目（</w:t>
      </w:r>
      <w:r>
        <w:rPr>
          <w:rFonts w:ascii="黑体" w:eastAsia="黑体"/>
          <w:bCs/>
          <w:sz w:val="24"/>
          <w:szCs w:val="24"/>
        </w:rPr>
        <w:t>BHJYZXKJ2023001</w:t>
      </w:r>
      <w:r>
        <w:rPr>
          <w:rFonts w:hint="eastAsia" w:ascii="黑体" w:eastAsia="黑体"/>
          <w:bCs/>
          <w:sz w:val="24"/>
          <w:szCs w:val="24"/>
        </w:rPr>
        <w:t>）</w:t>
      </w:r>
      <w:r>
        <w:rPr>
          <w:rFonts w:hint="eastAsia" w:ascii="宋体" w:hAnsi="宋体"/>
          <w:bCs/>
          <w:sz w:val="24"/>
          <w:szCs w:val="24"/>
        </w:rPr>
        <w:t>进行响应，响应文件中所有关于响应资格的文件、证明、陈述均是真实的、准确的。若有违背，我公司（单位）愿意承担由此而产生的一切后果。</w:t>
      </w:r>
    </w:p>
    <w:p>
      <w:pPr>
        <w:spacing w:line="480" w:lineRule="auto"/>
        <w:rPr>
          <w:rFonts w:ascii="宋体"/>
          <w:bCs/>
          <w:sz w:val="24"/>
          <w:szCs w:val="24"/>
        </w:rPr>
      </w:pPr>
    </w:p>
    <w:p>
      <w:pPr>
        <w:spacing w:line="480" w:lineRule="auto"/>
        <w:ind w:firstLine="5520" w:firstLineChars="2300"/>
        <w:rPr>
          <w:rFonts w:ascii="宋体"/>
          <w:bCs/>
          <w:sz w:val="24"/>
          <w:szCs w:val="24"/>
        </w:rPr>
      </w:pPr>
      <w:r>
        <w:rPr>
          <w:rFonts w:hint="eastAsia" w:ascii="宋体" w:hAnsi="宋体"/>
          <w:bCs/>
          <w:sz w:val="24"/>
          <w:szCs w:val="24"/>
        </w:rPr>
        <w:t>供应商（盖章）：</w:t>
      </w:r>
    </w:p>
    <w:p>
      <w:pPr>
        <w:spacing w:line="480" w:lineRule="auto"/>
        <w:ind w:firstLine="1920" w:firstLineChars="800"/>
        <w:rPr>
          <w:rFonts w:ascii="宋体"/>
          <w:bCs/>
          <w:sz w:val="24"/>
          <w:szCs w:val="24"/>
        </w:rPr>
      </w:pPr>
      <w:r>
        <w:rPr>
          <w:rFonts w:hint="eastAsia" w:ascii="宋体" w:hAnsi="宋体"/>
          <w:bCs/>
          <w:sz w:val="24"/>
          <w:szCs w:val="24"/>
        </w:rPr>
        <w:t>法定代表人或法定代表人授权代表（签字或盖章）：</w:t>
      </w:r>
    </w:p>
    <w:p>
      <w:pPr>
        <w:spacing w:line="480" w:lineRule="auto"/>
        <w:rPr>
          <w:rFonts w:ascii="宋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20" w:firstLineChars="200"/>
        <w:outlineLvl w:val="0"/>
        <w:rPr>
          <w:rFonts w:ascii="黑体" w:hAnsi="宋体" w:eastAsia="黑体"/>
          <w:bCs/>
          <w:sz w:val="24"/>
          <w:szCs w:val="24"/>
        </w:rPr>
      </w:pPr>
      <w:r>
        <w:rPr>
          <w:rFonts w:hint="eastAsia"/>
        </w:rPr>
        <w:t>备注：上述所称“重大违法记录”,是指供应商因违法经营受到刑事处罚或者责令停产停业、吊销许可证或者执照、较大数额罚款等行政处罚。</w:t>
      </w: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widowControl/>
        <w:jc w:val="left"/>
        <w:rPr>
          <w:rFonts w:ascii="黑体" w:hAnsi="宋体" w:eastAsia="黑体"/>
          <w:bCs/>
          <w:sz w:val="24"/>
          <w:szCs w:val="24"/>
        </w:rPr>
      </w:pPr>
      <w:r>
        <w:rPr>
          <w:rFonts w:ascii="黑体" w:hAnsi="宋体" w:eastAsia="黑体"/>
          <w:bCs/>
          <w:sz w:val="24"/>
          <w:szCs w:val="24"/>
        </w:rPr>
        <w:br w:type="page"/>
      </w:r>
    </w:p>
    <w:p>
      <w:pPr>
        <w:ind w:firstLine="480" w:firstLineChars="200"/>
        <w:outlineLvl w:val="0"/>
        <w:rPr>
          <w:rFonts w:ascii="黑体" w:eastAsia="黑体"/>
          <w:bCs/>
          <w:sz w:val="28"/>
          <w:szCs w:val="28"/>
        </w:rPr>
      </w:pPr>
      <w:r>
        <w:rPr>
          <w:rFonts w:hint="eastAsia" w:ascii="黑体" w:hAnsi="宋体" w:eastAsia="黑体"/>
          <w:bCs/>
          <w:sz w:val="24"/>
          <w:szCs w:val="24"/>
        </w:rPr>
        <w:t>（三）法定代表人授权委托书（格式）：</w:t>
      </w:r>
    </w:p>
    <w:p>
      <w:pPr>
        <w:outlineLvl w:val="0"/>
        <w:rPr>
          <w:rFonts w:ascii="黑体" w:eastAsia="黑体"/>
          <w:bCs/>
          <w:sz w:val="28"/>
          <w:szCs w:val="28"/>
        </w:rPr>
      </w:pPr>
    </w:p>
    <w:p>
      <w:pPr>
        <w:jc w:val="center"/>
        <w:outlineLvl w:val="0"/>
        <w:rPr>
          <w:rFonts w:ascii="黑体" w:eastAsia="黑体"/>
          <w:bCs/>
          <w:sz w:val="28"/>
          <w:szCs w:val="28"/>
        </w:rPr>
      </w:pPr>
      <w:r>
        <w:rPr>
          <w:rFonts w:hint="eastAsia" w:ascii="黑体" w:eastAsia="黑体"/>
          <w:bCs/>
          <w:sz w:val="28"/>
          <w:szCs w:val="28"/>
        </w:rPr>
        <w:t>法定代表人授权委托书</w:t>
      </w:r>
    </w:p>
    <w:p>
      <w:pPr>
        <w:spacing w:line="360" w:lineRule="auto"/>
        <w:jc w:val="center"/>
        <w:rPr>
          <w:rFonts w:ascii="楷体_GB2312" w:eastAsia="楷体_GB2312"/>
          <w:bCs/>
          <w:sz w:val="36"/>
        </w:rPr>
      </w:pPr>
    </w:p>
    <w:p>
      <w:pPr>
        <w:spacing w:line="480" w:lineRule="auto"/>
        <w:jc w:val="center"/>
        <w:rPr>
          <w:rFonts w:ascii="宋体"/>
          <w:bCs/>
          <w:sz w:val="24"/>
          <w:szCs w:val="24"/>
        </w:rPr>
      </w:pPr>
      <w:r>
        <w:rPr>
          <w:rFonts w:hint="eastAsia" w:ascii="宋体" w:hAnsi="宋体"/>
          <w:bCs/>
          <w:sz w:val="24"/>
          <w:szCs w:val="24"/>
        </w:rPr>
        <w:t>采购项目编号：</w:t>
      </w:r>
      <w:r>
        <w:rPr>
          <w:rFonts w:ascii="黑体" w:eastAsia="黑体"/>
          <w:bCs/>
          <w:sz w:val="24"/>
          <w:szCs w:val="24"/>
        </w:rPr>
        <w:t>BHJYZXKJ2023001</w:t>
      </w:r>
    </w:p>
    <w:p>
      <w:pPr>
        <w:spacing w:line="480" w:lineRule="auto"/>
        <w:jc w:val="center"/>
        <w:rPr>
          <w:rFonts w:ascii="宋体"/>
          <w:bCs/>
          <w:sz w:val="24"/>
          <w:szCs w:val="24"/>
        </w:rPr>
      </w:pPr>
      <w:r>
        <w:rPr>
          <w:rFonts w:hint="eastAsia" w:ascii="宋体" w:hAnsi="宋体"/>
          <w:bCs/>
          <w:sz w:val="24"/>
          <w:szCs w:val="24"/>
        </w:rPr>
        <w:t>日期：</w:t>
      </w:r>
    </w:p>
    <w:p>
      <w:pPr>
        <w:spacing w:line="600" w:lineRule="exact"/>
        <w:rPr>
          <w:rFonts w:ascii="宋体"/>
          <w:bCs/>
          <w:sz w:val="24"/>
          <w:szCs w:val="24"/>
        </w:rPr>
      </w:pPr>
      <w:r>
        <w:rPr>
          <w:rFonts w:hint="eastAsia" w:ascii="宋体" w:hAnsi="宋体"/>
          <w:bCs/>
          <w:sz w:val="24"/>
          <w:szCs w:val="24"/>
        </w:rPr>
        <w:t>无锡市滨湖区公共资源交易中心：</w:t>
      </w:r>
    </w:p>
    <w:p>
      <w:pPr>
        <w:spacing w:line="580" w:lineRule="exact"/>
        <w:ind w:firstLine="480" w:firstLineChars="200"/>
        <w:rPr>
          <w:rFonts w:ascii="宋体"/>
          <w:bCs/>
          <w:sz w:val="24"/>
          <w:szCs w:val="24"/>
        </w:rPr>
      </w:pPr>
      <w:r>
        <w:rPr>
          <w:rFonts w:ascii="宋体" w:hAnsi="宋体"/>
          <w:bCs/>
          <w:sz w:val="24"/>
          <w:szCs w:val="24"/>
          <w:u w:val="single"/>
        </w:rPr>
        <w:t xml:space="preserve">                      </w:t>
      </w:r>
      <w:r>
        <w:rPr>
          <w:rFonts w:hint="eastAsia" w:ascii="宋体" w:hAnsi="宋体"/>
          <w:bCs/>
          <w:sz w:val="24"/>
          <w:szCs w:val="24"/>
        </w:rPr>
        <w:t>系中华人民共和国合法公司（单位），特授权</w:t>
      </w:r>
      <w:r>
        <w:rPr>
          <w:rFonts w:hint="eastAsia" w:ascii="宋体" w:hAnsi="宋体"/>
          <w:bCs/>
          <w:sz w:val="24"/>
          <w:szCs w:val="24"/>
          <w:u w:val="single"/>
        </w:rPr>
        <w:t xml:space="preserve"> </w:t>
      </w:r>
      <w:r>
        <w:rPr>
          <w:rFonts w:ascii="宋体" w:hAnsi="宋体"/>
          <w:bCs/>
          <w:sz w:val="24"/>
          <w:szCs w:val="24"/>
          <w:u w:val="single"/>
        </w:rPr>
        <w:t xml:space="preserve">      </w:t>
      </w:r>
      <w:r>
        <w:rPr>
          <w:rFonts w:hint="eastAsia" w:ascii="宋体" w:hAnsi="宋体"/>
          <w:bCs/>
          <w:sz w:val="24"/>
          <w:szCs w:val="24"/>
        </w:rPr>
        <w:t>代表我公司（单位）全权办理针对本项目（</w:t>
      </w:r>
      <w:r>
        <w:rPr>
          <w:rFonts w:ascii="黑体" w:eastAsia="黑体"/>
          <w:bCs/>
          <w:sz w:val="24"/>
          <w:szCs w:val="24"/>
        </w:rPr>
        <w:t>BHJYZXKJ2023001</w:t>
      </w:r>
      <w:r>
        <w:rPr>
          <w:rFonts w:hint="eastAsia" w:ascii="黑体" w:eastAsia="黑体"/>
          <w:bCs/>
          <w:sz w:val="24"/>
          <w:szCs w:val="24"/>
        </w:rPr>
        <w:t>）</w:t>
      </w:r>
      <w:r>
        <w:rPr>
          <w:rFonts w:hint="eastAsia" w:ascii="宋体" w:hAnsi="宋体"/>
          <w:bCs/>
          <w:sz w:val="24"/>
          <w:szCs w:val="24"/>
        </w:rPr>
        <w:t>的响应、报价、参与开标、评审、签约等具体工作，并签署全部有关的文件、协议及合同。</w:t>
      </w:r>
    </w:p>
    <w:p>
      <w:pPr>
        <w:spacing w:line="580" w:lineRule="exact"/>
        <w:ind w:firstLine="480" w:firstLineChars="200"/>
        <w:rPr>
          <w:rFonts w:ascii="宋体"/>
          <w:bCs/>
          <w:sz w:val="24"/>
          <w:szCs w:val="24"/>
        </w:rPr>
      </w:pPr>
      <w:r>
        <w:rPr>
          <w:rFonts w:hint="eastAsia" w:ascii="宋体" w:hAnsi="宋体"/>
          <w:bCs/>
          <w:sz w:val="24"/>
          <w:szCs w:val="24"/>
        </w:rPr>
        <w:t>我公司（单位）对被授权代表的签名负全部责任。</w:t>
      </w:r>
    </w:p>
    <w:p>
      <w:pPr>
        <w:spacing w:line="580" w:lineRule="exact"/>
        <w:ind w:firstLine="480" w:firstLineChars="200"/>
        <w:rPr>
          <w:rFonts w:ascii="宋体"/>
          <w:bCs/>
          <w:sz w:val="24"/>
          <w:szCs w:val="24"/>
        </w:rPr>
      </w:pPr>
      <w:r>
        <w:rPr>
          <w:rFonts w:hint="eastAsia" w:ascii="宋体" w:hAnsi="宋体"/>
          <w:bCs/>
          <w:sz w:val="24"/>
          <w:szCs w:val="24"/>
        </w:rPr>
        <w:t>在撤销授权的书面通知送达你处以前，本授权书一直有效，被授权代表签署的所有文件（在授权书有效期内签署的）不因授权的撤销而失效。</w:t>
      </w:r>
    </w:p>
    <w:p>
      <w:pPr>
        <w:spacing w:line="580" w:lineRule="exact"/>
        <w:ind w:firstLine="480" w:firstLineChars="200"/>
        <w:rPr>
          <w:rFonts w:ascii="宋体"/>
          <w:bCs/>
          <w:sz w:val="24"/>
          <w:szCs w:val="24"/>
        </w:rPr>
      </w:pPr>
      <w:r>
        <w:rPr>
          <w:rFonts w:hint="eastAsia" w:ascii="宋体" w:hAnsi="宋体"/>
          <w:bCs/>
          <w:sz w:val="24"/>
          <w:szCs w:val="24"/>
        </w:rPr>
        <w:t>被授权代表情况：</w:t>
      </w:r>
    </w:p>
    <w:p>
      <w:pPr>
        <w:spacing w:line="580" w:lineRule="exact"/>
        <w:ind w:firstLine="525"/>
        <w:rPr>
          <w:rFonts w:ascii="宋体"/>
          <w:bCs/>
          <w:sz w:val="24"/>
          <w:szCs w:val="24"/>
          <w:u w:val="single"/>
        </w:rPr>
      </w:pPr>
      <w:r>
        <w:rPr>
          <w:rFonts w:hint="eastAsia" w:ascii="宋体" w:hAnsi="宋体"/>
          <w:bCs/>
          <w:sz w:val="24"/>
          <w:szCs w:val="24"/>
        </w:rPr>
        <w:t>姓名：</w:t>
      </w:r>
      <w:r>
        <w:rPr>
          <w:rFonts w:hint="eastAsia" w:ascii="宋体" w:hAnsi="宋体"/>
          <w:bCs/>
          <w:sz w:val="24"/>
          <w:szCs w:val="24"/>
          <w:u w:val="single"/>
        </w:rPr>
        <w:t xml:space="preserve"> </w:t>
      </w:r>
      <w:r>
        <w:rPr>
          <w:rFonts w:ascii="宋体" w:hAnsi="宋体"/>
          <w:bCs/>
          <w:sz w:val="24"/>
          <w:szCs w:val="24"/>
          <w:u w:val="single"/>
        </w:rPr>
        <w:t xml:space="preserve">            </w:t>
      </w:r>
      <w:r>
        <w:rPr>
          <w:rFonts w:hint="eastAsia" w:ascii="宋体" w:hAnsi="宋体"/>
          <w:bCs/>
          <w:sz w:val="24"/>
          <w:szCs w:val="24"/>
        </w:rPr>
        <w:t>性别：</w:t>
      </w:r>
      <w:r>
        <w:rPr>
          <w:rFonts w:hint="eastAsia" w:ascii="宋体" w:hAnsi="宋体"/>
          <w:bCs/>
          <w:sz w:val="24"/>
          <w:szCs w:val="24"/>
          <w:u w:val="single"/>
        </w:rPr>
        <w:t xml:space="preserve">   </w:t>
      </w:r>
      <w:r>
        <w:rPr>
          <w:rFonts w:ascii="宋体" w:hAnsi="宋体"/>
          <w:bCs/>
          <w:sz w:val="24"/>
          <w:szCs w:val="24"/>
          <w:u w:val="single"/>
        </w:rPr>
        <w:t xml:space="preserve">         </w:t>
      </w:r>
      <w:r>
        <w:rPr>
          <w:rFonts w:hint="eastAsia" w:ascii="宋体" w:hAnsi="宋体"/>
          <w:bCs/>
          <w:sz w:val="24"/>
          <w:szCs w:val="24"/>
        </w:rPr>
        <w:t>电话：</w:t>
      </w:r>
      <w:r>
        <w:rPr>
          <w:rFonts w:hint="eastAsia" w:ascii="宋体" w:hAnsi="宋体"/>
          <w:bCs/>
          <w:sz w:val="24"/>
          <w:szCs w:val="24"/>
          <w:u w:val="single"/>
        </w:rPr>
        <w:t xml:space="preserve">            </w:t>
      </w:r>
    </w:p>
    <w:p>
      <w:pPr>
        <w:spacing w:line="580" w:lineRule="exact"/>
        <w:ind w:firstLine="3240" w:firstLineChars="1350"/>
        <w:rPr>
          <w:rFonts w:ascii="宋体"/>
          <w:bCs/>
          <w:sz w:val="24"/>
          <w:szCs w:val="24"/>
        </w:rPr>
      </w:pPr>
    </w:p>
    <w:p>
      <w:pPr>
        <w:spacing w:line="580" w:lineRule="exact"/>
        <w:ind w:firstLine="3240" w:firstLineChars="1350"/>
        <w:rPr>
          <w:rFonts w:ascii="宋体"/>
          <w:bCs/>
          <w:sz w:val="24"/>
          <w:szCs w:val="24"/>
        </w:rPr>
      </w:pPr>
    </w:p>
    <w:p>
      <w:pPr>
        <w:spacing w:line="580" w:lineRule="exact"/>
        <w:ind w:firstLine="5880" w:firstLineChars="2450"/>
        <w:rPr>
          <w:rFonts w:ascii="宋体"/>
          <w:bCs/>
          <w:sz w:val="24"/>
          <w:szCs w:val="24"/>
        </w:rPr>
      </w:pPr>
      <w:r>
        <w:rPr>
          <w:rFonts w:hint="eastAsia" w:ascii="宋体" w:hAnsi="宋体"/>
          <w:bCs/>
          <w:sz w:val="24"/>
          <w:szCs w:val="24"/>
        </w:rPr>
        <w:t>单位名称（盖章）：</w:t>
      </w:r>
    </w:p>
    <w:p>
      <w:pPr>
        <w:spacing w:line="580" w:lineRule="exact"/>
        <w:ind w:firstLine="4920" w:firstLineChars="2050"/>
        <w:rPr>
          <w:rFonts w:ascii="宋体"/>
          <w:bCs/>
          <w:sz w:val="24"/>
          <w:szCs w:val="24"/>
        </w:rPr>
      </w:pPr>
      <w:r>
        <w:rPr>
          <w:rFonts w:hint="eastAsia" w:ascii="宋体" w:hAnsi="宋体"/>
          <w:bCs/>
          <w:sz w:val="24"/>
          <w:szCs w:val="24"/>
        </w:rPr>
        <w:t>法定代表人（签字或盖章）：</w:t>
      </w:r>
    </w:p>
    <w:p>
      <w:pPr>
        <w:spacing w:line="580" w:lineRule="exact"/>
        <w:ind w:firstLine="420"/>
        <w:rPr>
          <w:rFonts w:ascii="宋体"/>
          <w:bCs/>
          <w:sz w:val="24"/>
          <w:szCs w:val="24"/>
        </w:rPr>
      </w:pPr>
    </w:p>
    <w:p>
      <w:pPr>
        <w:spacing w:line="580" w:lineRule="exact"/>
        <w:ind w:firstLine="420"/>
        <w:rPr>
          <w:rFonts w:ascii="宋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Theme="minorEastAsia" w:hAnsiTheme="minorEastAsia" w:eastAsiaTheme="minorEastAsia"/>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eastAsia="黑体"/>
          <w:bCs/>
          <w:sz w:val="28"/>
          <w:szCs w:val="28"/>
        </w:rPr>
      </w:pPr>
      <w:r>
        <w:rPr>
          <w:rFonts w:hint="eastAsia" w:ascii="黑体" w:hAnsi="宋体" w:eastAsia="黑体"/>
          <w:bCs/>
          <w:sz w:val="24"/>
          <w:szCs w:val="24"/>
        </w:rPr>
        <w:t>（四）承诺书（格式）：</w:t>
      </w:r>
    </w:p>
    <w:p>
      <w:pPr>
        <w:outlineLvl w:val="0"/>
        <w:rPr>
          <w:rFonts w:ascii="黑体" w:hAnsi="Times New Roman" w:eastAsia="黑体"/>
          <w:bCs/>
          <w:sz w:val="28"/>
          <w:szCs w:val="28"/>
        </w:rPr>
      </w:pPr>
    </w:p>
    <w:p>
      <w:pPr>
        <w:jc w:val="center"/>
        <w:rPr>
          <w:rFonts w:ascii="黑体" w:eastAsia="黑体"/>
          <w:bCs/>
          <w:sz w:val="28"/>
          <w:szCs w:val="28"/>
        </w:rPr>
      </w:pPr>
      <w:r>
        <w:rPr>
          <w:rFonts w:hint="eastAsia" w:ascii="黑体" w:eastAsia="黑体"/>
          <w:bCs/>
          <w:sz w:val="28"/>
          <w:szCs w:val="28"/>
        </w:rPr>
        <w:t>承诺书</w:t>
      </w:r>
    </w:p>
    <w:p>
      <w:pPr>
        <w:jc w:val="center"/>
        <w:rPr>
          <w:rFonts w:ascii="黑体" w:eastAsia="黑体"/>
          <w:bCs/>
          <w:sz w:val="28"/>
          <w:szCs w:val="28"/>
        </w:rPr>
      </w:pPr>
    </w:p>
    <w:p>
      <w:pPr>
        <w:spacing w:line="480" w:lineRule="auto"/>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w:t>
      </w:r>
      <w:r>
        <w:rPr>
          <w:rFonts w:hint="eastAsia" w:ascii="宋体" w:hAnsi="宋体"/>
          <w:sz w:val="24"/>
        </w:rPr>
        <w:t>供应商</w:t>
      </w:r>
      <w:r>
        <w:rPr>
          <w:rFonts w:hint="eastAsia" w:ascii="宋体" w:hAnsi="宋体"/>
          <w:sz w:val="24"/>
          <w:szCs w:val="24"/>
        </w:rPr>
        <w:t>名称）在此承诺：</w:t>
      </w:r>
    </w:p>
    <w:p>
      <w:pPr>
        <w:spacing w:line="480" w:lineRule="auto"/>
        <w:ind w:firstLine="480" w:firstLineChars="200"/>
        <w:rPr>
          <w:rFonts w:ascii="宋体" w:hAnsi="宋体"/>
          <w:sz w:val="24"/>
          <w:szCs w:val="24"/>
        </w:rPr>
      </w:pPr>
    </w:p>
    <w:p>
      <w:pPr>
        <w:spacing w:line="480" w:lineRule="auto"/>
        <w:ind w:firstLine="480" w:firstLineChars="200"/>
        <w:rPr>
          <w:rFonts w:ascii="宋体" w:hAnsi="宋体"/>
          <w:bCs/>
          <w:sz w:val="24"/>
          <w:szCs w:val="24"/>
        </w:rPr>
      </w:pPr>
      <w:r>
        <w:rPr>
          <w:rFonts w:hint="eastAsia" w:ascii="宋体" w:hAnsi="宋体"/>
          <w:sz w:val="24"/>
          <w:szCs w:val="24"/>
        </w:rPr>
        <w:t>1.本公司（单位）</w:t>
      </w:r>
      <w:r>
        <w:rPr>
          <w:rFonts w:hint="eastAsia" w:ascii="宋体" w:hAnsi="宋体"/>
          <w:bCs/>
          <w:sz w:val="24"/>
          <w:szCs w:val="24"/>
        </w:rPr>
        <w:t>对本项目（BHJYZXKJ2023001）所提供的服务、质量均符合征集文件要求；</w:t>
      </w:r>
    </w:p>
    <w:p>
      <w:pPr>
        <w:spacing w:line="480" w:lineRule="auto"/>
        <w:ind w:firstLine="480" w:firstLineChars="200"/>
        <w:rPr>
          <w:rFonts w:ascii="宋体" w:hAnsi="宋体"/>
          <w:bCs/>
          <w:sz w:val="24"/>
          <w:szCs w:val="24"/>
        </w:rPr>
      </w:pPr>
      <w:r>
        <w:rPr>
          <w:rFonts w:hint="eastAsia" w:ascii="宋体" w:hAnsi="宋体"/>
          <w:bCs/>
          <w:sz w:val="24"/>
          <w:szCs w:val="24"/>
        </w:rPr>
        <w:t>2.</w:t>
      </w:r>
      <w:r>
        <w:rPr>
          <w:rFonts w:hint="eastAsia" w:ascii="宋体" w:hAnsi="宋体"/>
          <w:sz w:val="24"/>
          <w:szCs w:val="24"/>
        </w:rPr>
        <w:t>本公司（单位）</w:t>
      </w:r>
      <w:r>
        <w:rPr>
          <w:rFonts w:hint="eastAsia" w:ascii="宋体" w:hAnsi="宋体"/>
          <w:bCs/>
          <w:sz w:val="24"/>
          <w:szCs w:val="24"/>
        </w:rPr>
        <w:t>具备履行本框架协议（项目名称：2023-2025年度无锡市滨湖区车辆维修和保养服务框架协议采购），（项目编号：</w:t>
      </w:r>
      <w:r>
        <w:rPr>
          <w:rFonts w:ascii="宋体" w:hAnsi="宋体"/>
          <w:bCs/>
          <w:sz w:val="24"/>
          <w:szCs w:val="24"/>
        </w:rPr>
        <w:t>BHJYZXKJ2023001</w:t>
      </w:r>
      <w:r>
        <w:rPr>
          <w:rFonts w:hint="eastAsia" w:ascii="宋体" w:hAnsi="宋体"/>
          <w:bCs/>
          <w:sz w:val="24"/>
          <w:szCs w:val="24"/>
        </w:rPr>
        <w:t>）所必需的设备和专业技术能力；</w:t>
      </w:r>
    </w:p>
    <w:p>
      <w:pPr>
        <w:spacing w:line="480" w:lineRule="auto"/>
        <w:ind w:firstLine="480" w:firstLineChars="200"/>
        <w:rPr>
          <w:rFonts w:ascii="宋体" w:hAnsi="宋体"/>
          <w:bCs/>
          <w:sz w:val="24"/>
          <w:szCs w:val="24"/>
        </w:rPr>
      </w:pPr>
      <w:r>
        <w:rPr>
          <w:rFonts w:hint="eastAsia" w:ascii="宋体" w:hAnsi="宋体"/>
          <w:bCs/>
          <w:sz w:val="24"/>
          <w:szCs w:val="24"/>
        </w:rPr>
        <w:t>3.</w:t>
      </w:r>
      <w:r>
        <w:rPr>
          <w:rFonts w:hint="eastAsia" w:ascii="宋体" w:hAnsi="宋体"/>
          <w:sz w:val="24"/>
          <w:szCs w:val="24"/>
        </w:rPr>
        <w:t>本公司（单位）在响应文件中提供的所有材料均为真实有效。</w:t>
      </w:r>
    </w:p>
    <w:p>
      <w:pPr>
        <w:spacing w:line="480" w:lineRule="auto"/>
        <w:ind w:firstLine="480" w:firstLineChars="200"/>
        <w:rPr>
          <w:rFonts w:ascii="宋体" w:hAnsi="宋体"/>
          <w:bCs/>
          <w:sz w:val="24"/>
          <w:szCs w:val="24"/>
        </w:rPr>
      </w:pPr>
      <w:r>
        <w:rPr>
          <w:rFonts w:hint="eastAsia" w:ascii="宋体" w:hAnsi="宋体"/>
          <w:sz w:val="24"/>
          <w:szCs w:val="24"/>
        </w:rPr>
        <w:t>4.本公司所采用的零部件、配件等材料均符合国家或部颁标准和行业标准以及汽车维修相关标准。保证进货渠道合法合规，承诺绝不使用不合格产品或假冒伪劣产品或以次充好等。</w:t>
      </w:r>
    </w:p>
    <w:p>
      <w:pPr>
        <w:spacing w:line="480" w:lineRule="auto"/>
        <w:ind w:firstLine="480" w:firstLineChars="200"/>
        <w:rPr>
          <w:rFonts w:ascii="宋体" w:hAnsi="宋体"/>
          <w:sz w:val="24"/>
          <w:szCs w:val="24"/>
        </w:rPr>
      </w:pPr>
      <w:r>
        <w:rPr>
          <w:rFonts w:hint="eastAsia" w:ascii="宋体" w:hAnsi="宋体"/>
          <w:sz w:val="24"/>
          <w:szCs w:val="24"/>
        </w:rPr>
        <w:t>5.本公司未被“</w:t>
      </w:r>
      <w:r>
        <w:rPr>
          <w:rFonts w:hint="eastAsia" w:ascii="宋体" w:hAnsi="宋体"/>
          <w:bCs/>
          <w:sz w:val="24"/>
          <w:szCs w:val="24"/>
        </w:rPr>
        <w:t>信用中国</w:t>
      </w:r>
      <w:r>
        <w:rPr>
          <w:rFonts w:hint="eastAsia" w:ascii="宋体" w:hAnsi="宋体"/>
          <w:sz w:val="24"/>
          <w:szCs w:val="24"/>
        </w:rPr>
        <w:t>”</w:t>
      </w:r>
      <w:r>
        <w:rPr>
          <w:rFonts w:hint="eastAsia" w:ascii="宋体" w:hAnsi="宋体"/>
          <w:bCs/>
          <w:sz w:val="24"/>
          <w:szCs w:val="24"/>
        </w:rPr>
        <w:t>网站（</w:t>
      </w:r>
      <w:r>
        <w:fldChar w:fldCharType="begin"/>
      </w:r>
      <w:r>
        <w:instrText xml:space="preserve"> HYPERLINK "http://www.creditchina.gov.cn" </w:instrText>
      </w:r>
      <w:r>
        <w:fldChar w:fldCharType="separate"/>
      </w:r>
      <w:r>
        <w:rPr>
          <w:rStyle w:val="30"/>
          <w:rFonts w:hint="eastAsia" w:ascii="宋体" w:hAnsi="宋体"/>
          <w:bCs/>
          <w:sz w:val="24"/>
          <w:szCs w:val="24"/>
        </w:rPr>
        <w:t>www.creditchina.gov.cn</w:t>
      </w:r>
      <w:r>
        <w:rPr>
          <w:rStyle w:val="30"/>
          <w:rFonts w:hint="eastAsia" w:ascii="宋体" w:hAnsi="宋体"/>
          <w:bCs/>
          <w:sz w:val="24"/>
          <w:szCs w:val="24"/>
        </w:rPr>
        <w:fldChar w:fldCharType="end"/>
      </w:r>
      <w:r>
        <w:rPr>
          <w:rFonts w:hint="eastAsia" w:ascii="宋体" w:hAnsi="宋体"/>
          <w:bCs/>
          <w:sz w:val="24"/>
          <w:szCs w:val="24"/>
        </w:rPr>
        <w:t>）、</w:t>
      </w:r>
      <w:r>
        <w:rPr>
          <w:rFonts w:hint="eastAsia" w:ascii="宋体" w:hAnsi="宋体"/>
          <w:sz w:val="24"/>
          <w:szCs w:val="24"/>
        </w:rPr>
        <w:t>中国政府采购网(www.ccgp.gov.cn)列入失信被执行人、重大税收违法案件当事人名单、政府采购严重违法失信行为记录名单。</w:t>
      </w:r>
    </w:p>
    <w:p>
      <w:pPr>
        <w:spacing w:line="480" w:lineRule="auto"/>
        <w:ind w:firstLine="480" w:firstLineChars="200"/>
        <w:rPr>
          <w:rFonts w:ascii="宋体" w:hAnsi="宋体"/>
          <w:bCs/>
          <w:sz w:val="24"/>
          <w:szCs w:val="24"/>
        </w:rPr>
      </w:pPr>
      <w:r>
        <w:rPr>
          <w:rFonts w:hint="eastAsia" w:ascii="宋体" w:hAnsi="宋体"/>
          <w:bCs/>
          <w:sz w:val="24"/>
          <w:szCs w:val="24"/>
        </w:rPr>
        <w:t xml:space="preserve">6. </w:t>
      </w:r>
      <w:r>
        <w:rPr>
          <w:rFonts w:ascii="宋体" w:hAnsi="宋体"/>
          <w:bCs/>
          <w:sz w:val="24"/>
          <w:szCs w:val="24"/>
        </w:rPr>
        <w:t>……</w:t>
      </w:r>
      <w:r>
        <w:rPr>
          <w:rFonts w:hint="eastAsia" w:ascii="宋体" w:hAnsi="宋体"/>
          <w:bCs/>
          <w:sz w:val="24"/>
          <w:szCs w:val="24"/>
        </w:rPr>
        <w:t>（供应商的其他承诺，如有可自行补充）</w:t>
      </w:r>
    </w:p>
    <w:p>
      <w:pPr>
        <w:spacing w:line="480" w:lineRule="auto"/>
        <w:ind w:firstLine="480" w:firstLineChars="200"/>
        <w:rPr>
          <w:rFonts w:ascii="宋体" w:hAnsi="宋体"/>
          <w:bCs/>
          <w:sz w:val="24"/>
          <w:szCs w:val="24"/>
        </w:rPr>
      </w:pPr>
      <w:r>
        <w:rPr>
          <w:rFonts w:hint="eastAsia" w:ascii="宋体" w:hAnsi="宋体"/>
          <w:bCs/>
          <w:sz w:val="24"/>
          <w:szCs w:val="24"/>
        </w:rPr>
        <w:t>如违背上述承诺，本公司</w:t>
      </w:r>
      <w:r>
        <w:rPr>
          <w:rFonts w:hint="eastAsia" w:ascii="宋体" w:hAnsi="宋体"/>
          <w:sz w:val="24"/>
          <w:szCs w:val="24"/>
        </w:rPr>
        <w:t>（单位）</w:t>
      </w:r>
      <w:r>
        <w:rPr>
          <w:rFonts w:hint="eastAsia" w:ascii="宋体" w:hAnsi="宋体"/>
          <w:bCs/>
          <w:sz w:val="24"/>
          <w:szCs w:val="24"/>
        </w:rPr>
        <w:t>将承担一切法律责任。</w:t>
      </w:r>
    </w:p>
    <w:p>
      <w:pPr>
        <w:spacing w:line="480" w:lineRule="auto"/>
        <w:rPr>
          <w:rFonts w:ascii="宋体" w:hAnsi="宋体"/>
          <w:sz w:val="24"/>
          <w:szCs w:val="20"/>
        </w:rPr>
      </w:pPr>
    </w:p>
    <w:p>
      <w:pPr>
        <w:spacing w:line="480" w:lineRule="auto"/>
        <w:ind w:firstLine="5400" w:firstLineChars="2250"/>
        <w:rPr>
          <w:rFonts w:ascii="宋体" w:hAnsi="宋体"/>
          <w:bCs/>
          <w:sz w:val="24"/>
          <w:szCs w:val="24"/>
        </w:rPr>
      </w:pPr>
    </w:p>
    <w:p>
      <w:pPr>
        <w:spacing w:line="480" w:lineRule="auto"/>
        <w:ind w:firstLine="3720" w:firstLineChars="1550"/>
        <w:rPr>
          <w:rFonts w:ascii="宋体" w:hAnsi="宋体"/>
          <w:bCs/>
          <w:sz w:val="24"/>
          <w:szCs w:val="24"/>
        </w:rPr>
      </w:pPr>
      <w:r>
        <w:rPr>
          <w:rFonts w:hint="eastAsia" w:ascii="宋体" w:hAnsi="宋体"/>
          <w:bCs/>
          <w:sz w:val="24"/>
          <w:szCs w:val="24"/>
        </w:rPr>
        <w:t>供应商（盖章）：</w:t>
      </w:r>
    </w:p>
    <w:p>
      <w:pPr>
        <w:ind w:firstLine="480" w:firstLineChars="200"/>
        <w:outlineLvl w:val="0"/>
        <w:rPr>
          <w:rFonts w:ascii="宋体" w:hAnsi="宋体"/>
          <w:bCs/>
          <w:sz w:val="24"/>
          <w:szCs w:val="24"/>
        </w:rPr>
      </w:pPr>
      <w:r>
        <w:rPr>
          <w:rFonts w:hint="eastAsia" w:ascii="宋体" w:hAnsi="宋体"/>
          <w:bCs/>
          <w:sz w:val="24"/>
          <w:szCs w:val="24"/>
        </w:rPr>
        <w:t>法定代表人或法定代表人授权代表签字或盖章：</w:t>
      </w:r>
    </w:p>
    <w:p>
      <w:pPr>
        <w:outlineLvl w:val="0"/>
        <w:rPr>
          <w:rFonts w:ascii="宋体" w:hAnsi="宋体"/>
          <w:bCs/>
          <w:sz w:val="24"/>
          <w:szCs w:val="24"/>
        </w:rPr>
      </w:pPr>
    </w:p>
    <w:p>
      <w:pPr>
        <w:outlineLvl w:val="0"/>
        <w:rPr>
          <w:rFonts w:ascii="宋体" w:hAnsi="宋体"/>
          <w:bCs/>
          <w:sz w:val="24"/>
          <w:szCs w:val="24"/>
        </w:rPr>
      </w:pPr>
    </w:p>
    <w:p>
      <w:pPr>
        <w:outlineLvl w:val="0"/>
        <w:rPr>
          <w:rFonts w:ascii="宋体" w:hAnsi="宋体"/>
          <w:bCs/>
          <w:sz w:val="24"/>
          <w:szCs w:val="24"/>
        </w:rPr>
      </w:pPr>
    </w:p>
    <w:p>
      <w:pPr>
        <w:outlineLvl w:val="0"/>
        <w:rPr>
          <w:rFonts w:ascii="宋体" w:hAnsi="宋体"/>
          <w:bCs/>
          <w:sz w:val="24"/>
          <w:szCs w:val="24"/>
        </w:rPr>
      </w:pPr>
    </w:p>
    <w:p>
      <w:pPr>
        <w:outlineLvl w:val="0"/>
        <w:rPr>
          <w:rFonts w:ascii="宋体" w:hAnsi="宋体"/>
          <w:bCs/>
          <w:sz w:val="24"/>
          <w:szCs w:val="24"/>
        </w:rPr>
      </w:pPr>
    </w:p>
    <w:p>
      <w:pPr>
        <w:outlineLvl w:val="0"/>
        <w:rPr>
          <w:rFonts w:ascii="宋体" w:hAnsi="宋体"/>
          <w:bCs/>
          <w:sz w:val="24"/>
          <w:szCs w:val="24"/>
        </w:rPr>
      </w:pPr>
    </w:p>
    <w:p>
      <w:pPr>
        <w:outlineLvl w:val="0"/>
        <w:rPr>
          <w:rFonts w:ascii="宋体" w:hAnsi="宋体"/>
          <w:bCs/>
          <w:sz w:val="24"/>
          <w:szCs w:val="24"/>
        </w:rPr>
      </w:pPr>
    </w:p>
    <w:p>
      <w:pPr>
        <w:ind w:firstLine="480" w:firstLineChars="200"/>
        <w:outlineLvl w:val="0"/>
        <w:rPr>
          <w:rFonts w:ascii="黑体" w:eastAsia="黑体"/>
          <w:bCs/>
          <w:sz w:val="28"/>
          <w:szCs w:val="28"/>
        </w:rPr>
      </w:pPr>
      <w:r>
        <w:rPr>
          <w:rFonts w:hint="eastAsia" w:ascii="黑体" w:hAnsi="宋体" w:eastAsia="黑体"/>
          <w:bCs/>
          <w:sz w:val="24"/>
          <w:szCs w:val="24"/>
        </w:rPr>
        <w:t>（五）报价一览表（格式）：</w:t>
      </w:r>
    </w:p>
    <w:p>
      <w:pPr>
        <w:outlineLvl w:val="0"/>
        <w:rPr>
          <w:rFonts w:ascii="黑体" w:eastAsia="黑体"/>
          <w:bCs/>
          <w:sz w:val="28"/>
          <w:szCs w:val="28"/>
        </w:rPr>
      </w:pPr>
    </w:p>
    <w:p>
      <w:pPr>
        <w:outlineLvl w:val="0"/>
        <w:rPr>
          <w:rFonts w:ascii="黑体" w:eastAsia="黑体"/>
          <w:bCs/>
          <w:sz w:val="28"/>
          <w:szCs w:val="28"/>
        </w:rPr>
      </w:pPr>
    </w:p>
    <w:p>
      <w:pPr>
        <w:jc w:val="center"/>
        <w:outlineLvl w:val="0"/>
        <w:rPr>
          <w:rFonts w:ascii="黑体" w:eastAsia="黑体"/>
          <w:bCs/>
          <w:sz w:val="28"/>
          <w:szCs w:val="28"/>
        </w:rPr>
      </w:pPr>
      <w:r>
        <w:rPr>
          <w:rFonts w:hint="eastAsia" w:ascii="黑体" w:eastAsia="黑体"/>
          <w:bCs/>
          <w:sz w:val="28"/>
          <w:szCs w:val="28"/>
        </w:rPr>
        <w:t>报价一览表</w:t>
      </w:r>
      <w:r>
        <w:rPr>
          <w:rFonts w:ascii="黑体" w:eastAsia="黑体"/>
          <w:bCs/>
          <w:sz w:val="28"/>
          <w:szCs w:val="28"/>
        </w:rPr>
        <w:t xml:space="preserve"> </w:t>
      </w:r>
    </w:p>
    <w:p>
      <w:pPr>
        <w:jc w:val="center"/>
        <w:outlineLvl w:val="0"/>
        <w:rPr>
          <w:rFonts w:ascii="黑体" w:eastAsia="黑体"/>
          <w:bCs/>
          <w:sz w:val="28"/>
          <w:szCs w:val="28"/>
        </w:rPr>
      </w:pPr>
    </w:p>
    <w:p>
      <w:pPr>
        <w:spacing w:line="360" w:lineRule="auto"/>
        <w:rPr>
          <w:rFonts w:ascii="黑体" w:eastAsia="黑体"/>
          <w:bCs/>
          <w:sz w:val="24"/>
          <w:szCs w:val="24"/>
        </w:rPr>
      </w:pPr>
      <w:r>
        <w:rPr>
          <w:rFonts w:hint="eastAsia" w:ascii="黑体" w:eastAsia="黑体"/>
          <w:bCs/>
          <w:sz w:val="24"/>
          <w:szCs w:val="24"/>
        </w:rPr>
        <w:t xml:space="preserve">供应商名称（盖章）                                     采购项目编号：BHJYZXKJ2023001  </w:t>
      </w:r>
    </w:p>
    <w:tbl>
      <w:tblPr>
        <w:tblStyle w:val="23"/>
        <w:tblW w:w="10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1"/>
        <w:gridCol w:w="1419"/>
        <w:gridCol w:w="2268"/>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4631" w:type="dxa"/>
            <w:vMerge w:val="restart"/>
            <w:vAlign w:val="center"/>
          </w:tcPr>
          <w:p>
            <w:pPr>
              <w:autoSpaceDE w:val="0"/>
              <w:autoSpaceDN w:val="0"/>
              <w:adjustRightInd w:val="0"/>
              <w:jc w:val="center"/>
              <w:rPr>
                <w:rFonts w:ascii="宋体" w:hAnsi="宋体"/>
                <w:b/>
                <w:bCs/>
                <w:sz w:val="24"/>
                <w:szCs w:val="24"/>
              </w:rPr>
            </w:pPr>
            <w:r>
              <w:rPr>
                <w:rFonts w:hint="eastAsia" w:ascii="宋体" w:hAnsi="宋体"/>
                <w:b/>
                <w:bCs/>
                <w:sz w:val="24"/>
                <w:szCs w:val="24"/>
              </w:rPr>
              <w:t>项目名称</w:t>
            </w:r>
          </w:p>
        </w:tc>
        <w:tc>
          <w:tcPr>
            <w:tcW w:w="1419" w:type="dxa"/>
            <w:vMerge w:val="restart"/>
            <w:vAlign w:val="center"/>
          </w:tcPr>
          <w:p>
            <w:pPr>
              <w:autoSpaceDE w:val="0"/>
              <w:autoSpaceDN w:val="0"/>
              <w:adjustRightInd w:val="0"/>
              <w:jc w:val="center"/>
              <w:rPr>
                <w:rFonts w:ascii="宋体" w:hAnsi="宋体"/>
                <w:b/>
                <w:bCs/>
                <w:sz w:val="24"/>
                <w:szCs w:val="24"/>
              </w:rPr>
            </w:pPr>
            <w:r>
              <w:rPr>
                <w:rFonts w:hint="eastAsia" w:ascii="宋体" w:hAnsi="宋体"/>
                <w:b/>
                <w:bCs/>
                <w:sz w:val="24"/>
                <w:szCs w:val="24"/>
              </w:rPr>
              <w:t>响应标段</w:t>
            </w:r>
          </w:p>
        </w:tc>
        <w:tc>
          <w:tcPr>
            <w:tcW w:w="4350" w:type="dxa"/>
            <w:gridSpan w:val="2"/>
            <w:vAlign w:val="center"/>
          </w:tcPr>
          <w:p>
            <w:pPr>
              <w:autoSpaceDE w:val="0"/>
              <w:autoSpaceDN w:val="0"/>
              <w:adjustRightInd w:val="0"/>
              <w:jc w:val="center"/>
              <w:rPr>
                <w:rFonts w:ascii="宋体" w:hAnsi="宋体"/>
                <w:b/>
                <w:bCs/>
                <w:sz w:val="24"/>
                <w:szCs w:val="24"/>
              </w:rPr>
            </w:pPr>
            <w:r>
              <w:rPr>
                <w:rFonts w:hint="eastAsia" w:ascii="宋体" w:hAnsi="宋体"/>
                <w:b/>
                <w:bCs/>
                <w:sz w:val="24"/>
                <w:szCs w:val="24"/>
              </w:rPr>
              <w:t>项目报价(小写)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4631" w:type="dxa"/>
            <w:vMerge w:val="continue"/>
            <w:vAlign w:val="center"/>
          </w:tcPr>
          <w:p>
            <w:pPr>
              <w:pStyle w:val="100"/>
              <w:spacing w:line="400" w:lineRule="exact"/>
              <w:jc w:val="center"/>
              <w:rPr>
                <w:rFonts w:hAnsi="宋体"/>
                <w:szCs w:val="24"/>
              </w:rPr>
            </w:pPr>
          </w:p>
        </w:tc>
        <w:tc>
          <w:tcPr>
            <w:tcW w:w="1419" w:type="dxa"/>
            <w:vMerge w:val="continue"/>
            <w:vAlign w:val="center"/>
          </w:tcPr>
          <w:p>
            <w:pPr>
              <w:pStyle w:val="100"/>
              <w:jc w:val="center"/>
              <w:rPr>
                <w:rFonts w:hAnsi="宋体"/>
                <w:b/>
                <w:szCs w:val="24"/>
              </w:rPr>
            </w:pPr>
          </w:p>
        </w:tc>
        <w:tc>
          <w:tcPr>
            <w:tcW w:w="2268" w:type="dxa"/>
            <w:vAlign w:val="center"/>
          </w:tcPr>
          <w:p>
            <w:pPr>
              <w:pStyle w:val="100"/>
              <w:jc w:val="center"/>
              <w:rPr>
                <w:rFonts w:hAnsi="宋体"/>
                <w:b/>
                <w:szCs w:val="24"/>
              </w:rPr>
            </w:pPr>
            <w:r>
              <w:rPr>
                <w:rFonts w:hint="eastAsia" w:hAnsi="宋体"/>
                <w:szCs w:val="24"/>
              </w:rPr>
              <w:t>工时单价</w:t>
            </w:r>
          </w:p>
        </w:tc>
        <w:tc>
          <w:tcPr>
            <w:tcW w:w="2082" w:type="dxa"/>
            <w:vAlign w:val="center"/>
          </w:tcPr>
          <w:p>
            <w:pPr>
              <w:pStyle w:val="100"/>
              <w:jc w:val="center"/>
              <w:rPr>
                <w:rFonts w:hAnsi="宋体"/>
                <w:b/>
                <w:szCs w:val="24"/>
              </w:rPr>
            </w:pPr>
            <w:r>
              <w:rPr>
                <w:rFonts w:hint="eastAsia" w:hAnsi="宋体"/>
                <w:szCs w:val="24"/>
              </w:rPr>
              <w:t>材料进销差价率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7" w:hRule="atLeast"/>
          <w:jc w:val="center"/>
        </w:trPr>
        <w:tc>
          <w:tcPr>
            <w:tcW w:w="4633" w:type="dxa"/>
            <w:vAlign w:val="center"/>
          </w:tcPr>
          <w:p>
            <w:pPr>
              <w:pStyle w:val="100"/>
              <w:spacing w:line="400" w:lineRule="exact"/>
              <w:jc w:val="center"/>
              <w:rPr>
                <w:rFonts w:hAnsi="宋体"/>
                <w:b/>
                <w:bCs/>
                <w:szCs w:val="24"/>
              </w:rPr>
            </w:pPr>
            <w:r>
              <w:rPr>
                <w:rFonts w:hAnsi="宋体"/>
                <w:b/>
                <w:szCs w:val="24"/>
              </w:rPr>
              <w:t>2023-2025年度无锡市滨湖区车辆维修和保养服务框架协议采购</w:t>
            </w:r>
          </w:p>
        </w:tc>
        <w:tc>
          <w:tcPr>
            <w:tcW w:w="1419" w:type="dxa"/>
            <w:vAlign w:val="center"/>
          </w:tcPr>
          <w:p>
            <w:pPr>
              <w:pStyle w:val="100"/>
              <w:jc w:val="center"/>
              <w:rPr>
                <w:rFonts w:hAnsi="宋体"/>
                <w:b/>
                <w:szCs w:val="24"/>
              </w:rPr>
            </w:pPr>
          </w:p>
        </w:tc>
        <w:tc>
          <w:tcPr>
            <w:tcW w:w="2268" w:type="dxa"/>
            <w:vAlign w:val="center"/>
          </w:tcPr>
          <w:p>
            <w:pPr>
              <w:jc w:val="center"/>
              <w:rPr>
                <w:rFonts w:hAnsi="宋体"/>
                <w:b/>
                <w:szCs w:val="24"/>
              </w:rPr>
            </w:pPr>
            <w:r>
              <w:rPr>
                <w:rFonts w:hint="eastAsia" w:hAnsi="宋体"/>
                <w:b/>
                <w:szCs w:val="24"/>
                <w:u w:val="single"/>
              </w:rPr>
              <w:t xml:space="preserve">      </w:t>
            </w:r>
            <w:r>
              <w:rPr>
                <w:rFonts w:hint="eastAsia" w:hAnsi="宋体"/>
                <w:b/>
                <w:szCs w:val="24"/>
              </w:rPr>
              <w:t>元/工时</w:t>
            </w:r>
          </w:p>
        </w:tc>
        <w:tc>
          <w:tcPr>
            <w:tcW w:w="2080" w:type="dxa"/>
            <w:vAlign w:val="center"/>
          </w:tcPr>
          <w:p>
            <w:pPr>
              <w:pStyle w:val="100"/>
              <w:jc w:val="center"/>
              <w:rPr>
                <w:rFonts w:hAnsi="宋体"/>
                <w:b/>
                <w:szCs w:val="24"/>
              </w:rPr>
            </w:pPr>
            <w:r>
              <w:rPr>
                <w:rFonts w:hint="eastAsia" w:ascii="Calibri" w:hAnsi="宋体"/>
                <w:b/>
                <w:kern w:val="2"/>
                <w:sz w:val="21"/>
                <w:szCs w:val="24"/>
                <w:u w:val="single"/>
              </w:rPr>
              <w:t xml:space="preserve">      </w:t>
            </w:r>
            <w:r>
              <w:rPr>
                <w:rFonts w:hint="eastAsia" w:ascii="Calibri" w:hAnsi="宋体"/>
                <w:b/>
                <w:kern w:val="2"/>
                <w:sz w:val="21"/>
                <w:szCs w:val="24"/>
              </w:rPr>
              <w:t>%</w:t>
            </w:r>
          </w:p>
        </w:tc>
      </w:tr>
    </w:tbl>
    <w:p>
      <w:pPr>
        <w:spacing w:before="5"/>
        <w:rPr>
          <w:b/>
          <w:bCs/>
          <w:sz w:val="24"/>
          <w:szCs w:val="24"/>
        </w:rPr>
      </w:pPr>
    </w:p>
    <w:p>
      <w:pPr>
        <w:spacing w:before="5"/>
        <w:rPr>
          <w:b/>
          <w:bCs/>
          <w:sz w:val="24"/>
          <w:szCs w:val="24"/>
        </w:rPr>
      </w:pPr>
      <w:r>
        <w:rPr>
          <w:rFonts w:hint="eastAsia"/>
          <w:b/>
          <w:bCs/>
          <w:sz w:val="24"/>
          <w:szCs w:val="24"/>
        </w:rPr>
        <w:t>法定代表人或法定代表人授权代表签字或盖章：</w:t>
      </w:r>
    </w:p>
    <w:p>
      <w:pPr>
        <w:spacing w:line="400" w:lineRule="exact"/>
        <w:rPr>
          <w:rFonts w:ascii="黑体" w:eastAsia="黑体"/>
          <w:bCs/>
          <w:sz w:val="32"/>
        </w:rPr>
      </w:pPr>
    </w:p>
    <w:p>
      <w:pPr>
        <w:spacing w:line="400" w:lineRule="exact"/>
        <w:rPr>
          <w:rFonts w:ascii="黑体" w:eastAsia="黑体"/>
          <w:bCs/>
          <w:sz w:val="32"/>
        </w:rPr>
      </w:pPr>
    </w:p>
    <w:p>
      <w:pPr>
        <w:pStyle w:val="107"/>
        <w:rPr>
          <w:rFonts w:hAnsi="宋体" w:eastAsia="宋体"/>
          <w:kern w:val="0"/>
          <w:sz w:val="21"/>
          <w:szCs w:val="21"/>
        </w:rPr>
      </w:pPr>
      <w:r>
        <w:rPr>
          <w:rFonts w:hint="eastAsia" w:hAnsi="宋体" w:eastAsia="宋体"/>
          <w:b/>
          <w:kern w:val="0"/>
          <w:sz w:val="21"/>
          <w:szCs w:val="21"/>
        </w:rPr>
        <w:t>说明：</w:t>
      </w:r>
      <w:r>
        <w:rPr>
          <w:rFonts w:hint="eastAsia" w:hAnsi="宋体" w:eastAsia="宋体"/>
          <w:kern w:val="0"/>
          <w:sz w:val="21"/>
          <w:szCs w:val="21"/>
        </w:rPr>
        <w:t>（1）供应商须在响应标段一栏中填报自己所报标段，如“A标段”或“B标段”。一类汽车维修供应商只限于参与A标段报价，如参与B标段报价，B标段报价将作为无效报价；二类汽车维修供应商只限于参与B标段报价，如参与A标段报价，A标段报价将作为无效报价。若未进行填报的，则视为未响应，响应文件无效。</w:t>
      </w:r>
    </w:p>
    <w:p>
      <w:pPr>
        <w:pStyle w:val="107"/>
        <w:ind w:firstLine="630" w:firstLineChars="300"/>
        <w:rPr>
          <w:rFonts w:hAnsi="宋体" w:eastAsia="宋体"/>
          <w:kern w:val="0"/>
          <w:sz w:val="21"/>
          <w:szCs w:val="21"/>
        </w:rPr>
      </w:pPr>
      <w:r>
        <w:rPr>
          <w:rFonts w:hint="eastAsia" w:hAnsi="宋体" w:eastAsia="宋体"/>
          <w:kern w:val="0"/>
          <w:sz w:val="21"/>
          <w:szCs w:val="21"/>
        </w:rPr>
        <w:t>（2）A标段最高限制单价：工时单价：10元/工时，材料进销差价率：10%；B标段最高限制单价：工时单价：8元/工时，材料进销差价率：10%；供应商报价时不得超过所报标段最高限制单价，否则将被视为无效响应文件。</w:t>
      </w:r>
    </w:p>
    <w:p>
      <w:pPr>
        <w:pStyle w:val="107"/>
        <w:rPr>
          <w:rFonts w:hAnsi="宋体" w:eastAsia="宋体"/>
          <w:kern w:val="0"/>
          <w:sz w:val="21"/>
          <w:szCs w:val="21"/>
        </w:rPr>
      </w:pPr>
      <w:r>
        <w:rPr>
          <w:rFonts w:hint="eastAsia" w:hAnsi="宋体" w:eastAsia="宋体"/>
          <w:kern w:val="0"/>
          <w:sz w:val="21"/>
          <w:szCs w:val="21"/>
        </w:rPr>
        <w:t xml:space="preserve">      （3）各标段报价均按工时单价和材料进销差价率分别进行报价，只报工时单价一项或只报材料进销差价率一项的视为未响应，响应文件无效。所报工时单价和材料进销差价率应按市场价格及自身实际情况客观报价，报价价格均应大于零。供应商所报价格即为第一阶段入围后的协议价格也是采购人确定第二阶段成交供应商的最高限价。</w:t>
      </w:r>
    </w:p>
    <w:p>
      <w:pPr>
        <w:pStyle w:val="107"/>
        <w:ind w:firstLine="630" w:firstLineChars="300"/>
        <w:rPr>
          <w:rFonts w:hAnsi="宋体" w:eastAsia="宋体"/>
          <w:kern w:val="0"/>
          <w:sz w:val="21"/>
          <w:szCs w:val="21"/>
        </w:rPr>
      </w:pPr>
      <w:r>
        <w:rPr>
          <w:rFonts w:hint="eastAsia" w:hAnsi="宋体" w:eastAsia="宋体"/>
          <w:kern w:val="0"/>
          <w:sz w:val="21"/>
          <w:szCs w:val="21"/>
        </w:rPr>
        <w:t>（4）供应商所报工时单价和材料进销差价率的报价最多均只能精确到小数点后两位。即供应商所报工时单价：</w:t>
      </w:r>
      <w:r>
        <w:rPr>
          <w:rFonts w:hint="eastAsia" w:hAnsi="宋体" w:eastAsia="宋体"/>
          <w:kern w:val="0"/>
          <w:sz w:val="21"/>
          <w:szCs w:val="21"/>
          <w:u w:val="single"/>
        </w:rPr>
        <w:t xml:space="preserve"> a </w:t>
      </w:r>
      <w:r>
        <w:rPr>
          <w:rFonts w:hint="eastAsia" w:hAnsi="宋体" w:eastAsia="宋体"/>
          <w:kern w:val="0"/>
          <w:sz w:val="21"/>
          <w:szCs w:val="21"/>
        </w:rPr>
        <w:t>元/工时，材料进销差价率：</w:t>
      </w:r>
      <w:r>
        <w:rPr>
          <w:rFonts w:hint="eastAsia" w:hAnsi="宋体" w:eastAsia="宋体"/>
          <w:kern w:val="0"/>
          <w:sz w:val="21"/>
          <w:szCs w:val="21"/>
          <w:u w:val="single"/>
        </w:rPr>
        <w:t xml:space="preserve"> b </w:t>
      </w:r>
      <w:r>
        <w:rPr>
          <w:rFonts w:hint="eastAsia" w:hAnsi="宋体" w:eastAsia="宋体"/>
          <w:kern w:val="0"/>
          <w:sz w:val="21"/>
          <w:szCs w:val="21"/>
        </w:rPr>
        <w:t>%；则a值和b值最多均只能精确到小数点后两位。否则将被视为无效响应文件。</w:t>
      </w:r>
    </w:p>
    <w:p>
      <w:pPr>
        <w:pStyle w:val="107"/>
        <w:ind w:firstLine="630" w:firstLineChars="300"/>
        <w:rPr>
          <w:rFonts w:hAnsi="宋体" w:eastAsia="宋体"/>
          <w:kern w:val="0"/>
          <w:sz w:val="21"/>
          <w:szCs w:val="21"/>
        </w:rPr>
      </w:pPr>
      <w:r>
        <w:rPr>
          <w:rFonts w:hint="eastAsia" w:hAnsi="宋体" w:eastAsia="宋体"/>
          <w:kern w:val="0"/>
          <w:sz w:val="21"/>
          <w:szCs w:val="21"/>
        </w:rPr>
        <w:t>（5）其他未尽事宜详见“三．采购需求和有关说明”中“报价要求”。</w:t>
      </w:r>
    </w:p>
    <w:p>
      <w:pPr>
        <w:pStyle w:val="107"/>
        <w:rPr>
          <w:rFonts w:ascii="Times New Roman" w:hAnsi="宋体" w:eastAsia="宋体"/>
          <w:kern w:val="0"/>
          <w:sz w:val="21"/>
          <w:szCs w:val="21"/>
        </w:rPr>
      </w:pPr>
    </w:p>
    <w:p>
      <w:pPr>
        <w:pStyle w:val="107"/>
        <w:rPr>
          <w:rFonts w:ascii="Times New Roman" w:hAnsi="宋体" w:eastAsia="宋体"/>
          <w:kern w:val="0"/>
          <w:sz w:val="21"/>
          <w:szCs w:val="21"/>
        </w:rPr>
      </w:pPr>
    </w:p>
    <w:p>
      <w:pPr>
        <w:pStyle w:val="107"/>
        <w:rPr>
          <w:rFonts w:ascii="Times New Roman" w:hAnsi="宋体" w:eastAsia="宋体"/>
          <w:kern w:val="0"/>
          <w:sz w:val="21"/>
          <w:szCs w:val="21"/>
        </w:rPr>
      </w:pPr>
    </w:p>
    <w:p>
      <w:pPr>
        <w:pStyle w:val="107"/>
        <w:rPr>
          <w:rFonts w:ascii="Times New Roman" w:hAnsi="宋体" w:eastAsia="宋体"/>
          <w:kern w:val="0"/>
          <w:sz w:val="21"/>
          <w:szCs w:val="21"/>
        </w:rPr>
      </w:pPr>
    </w:p>
    <w:p>
      <w:pPr>
        <w:pStyle w:val="107"/>
        <w:rPr>
          <w:rFonts w:ascii="Times New Roman" w:hAnsi="宋体" w:eastAsia="宋体"/>
          <w:kern w:val="0"/>
          <w:sz w:val="21"/>
          <w:szCs w:val="21"/>
        </w:rPr>
      </w:pPr>
    </w:p>
    <w:p>
      <w:pPr>
        <w:pStyle w:val="107"/>
        <w:rPr>
          <w:rFonts w:ascii="Times New Roman" w:hAnsi="宋体" w:eastAsia="宋体"/>
          <w:kern w:val="0"/>
          <w:sz w:val="21"/>
          <w:szCs w:val="21"/>
        </w:rPr>
      </w:pPr>
    </w:p>
    <w:p>
      <w:pPr>
        <w:pStyle w:val="107"/>
        <w:rPr>
          <w:rFonts w:ascii="Times New Roman" w:hAnsi="宋体" w:eastAsia="宋体"/>
          <w:kern w:val="0"/>
          <w:sz w:val="21"/>
          <w:szCs w:val="21"/>
        </w:rPr>
      </w:pPr>
    </w:p>
    <w:p>
      <w:pPr>
        <w:pStyle w:val="107"/>
        <w:rPr>
          <w:rFonts w:ascii="Times New Roman" w:hAnsi="宋体" w:eastAsia="宋体"/>
          <w:kern w:val="0"/>
          <w:sz w:val="21"/>
          <w:szCs w:val="21"/>
        </w:rPr>
      </w:pPr>
    </w:p>
    <w:p>
      <w:pPr>
        <w:pStyle w:val="107"/>
        <w:rPr>
          <w:rFonts w:ascii="Times New Roman" w:hAnsi="宋体" w:eastAsia="宋体"/>
          <w:kern w:val="0"/>
          <w:sz w:val="21"/>
          <w:szCs w:val="21"/>
        </w:rPr>
      </w:pPr>
    </w:p>
    <w:p>
      <w:pPr>
        <w:ind w:firstLine="420" w:firstLineChars="175"/>
        <w:outlineLvl w:val="0"/>
        <w:rPr>
          <w:rFonts w:ascii="黑体" w:hAnsi="宋体" w:eastAsia="黑体"/>
          <w:bCs/>
          <w:sz w:val="24"/>
          <w:szCs w:val="24"/>
        </w:rPr>
      </w:pPr>
      <w:r>
        <w:rPr>
          <w:rFonts w:hint="eastAsia" w:ascii="黑体" w:hAnsi="宋体" w:eastAsia="黑体"/>
          <w:bCs/>
          <w:sz w:val="24"/>
          <w:szCs w:val="24"/>
        </w:rPr>
        <w:t xml:space="preserve"> （六）征集文件需求偏离表（格式）：</w:t>
      </w:r>
    </w:p>
    <w:p>
      <w:pPr>
        <w:ind w:firstLine="490" w:firstLineChars="175"/>
        <w:jc w:val="center"/>
        <w:outlineLvl w:val="0"/>
        <w:rPr>
          <w:rFonts w:ascii="黑体" w:eastAsia="黑体"/>
          <w:bCs/>
          <w:sz w:val="28"/>
          <w:szCs w:val="28"/>
        </w:rPr>
      </w:pPr>
    </w:p>
    <w:p>
      <w:pPr>
        <w:ind w:firstLine="490" w:firstLineChars="175"/>
        <w:jc w:val="center"/>
        <w:outlineLvl w:val="0"/>
        <w:rPr>
          <w:rFonts w:ascii="黑体" w:eastAsia="黑体"/>
          <w:bCs/>
          <w:sz w:val="28"/>
          <w:szCs w:val="28"/>
        </w:rPr>
      </w:pPr>
    </w:p>
    <w:p>
      <w:pPr>
        <w:jc w:val="center"/>
        <w:rPr>
          <w:rFonts w:ascii="黑体" w:eastAsia="黑体"/>
          <w:bCs/>
          <w:sz w:val="28"/>
          <w:szCs w:val="28"/>
        </w:rPr>
      </w:pPr>
      <w:r>
        <w:rPr>
          <w:rFonts w:hint="eastAsia" w:ascii="黑体" w:eastAsia="黑体"/>
          <w:bCs/>
          <w:sz w:val="28"/>
          <w:szCs w:val="28"/>
        </w:rPr>
        <w:t>征集文件需求偏离表</w:t>
      </w:r>
    </w:p>
    <w:p>
      <w:pPr>
        <w:spacing w:line="400" w:lineRule="exact"/>
        <w:jc w:val="center"/>
        <w:outlineLvl w:val="0"/>
        <w:rPr>
          <w:rFonts w:ascii="黑体" w:eastAsia="黑体"/>
          <w:bCs/>
          <w:sz w:val="28"/>
          <w:szCs w:val="28"/>
        </w:rPr>
      </w:pPr>
    </w:p>
    <w:p>
      <w:pPr>
        <w:spacing w:line="400" w:lineRule="exact"/>
        <w:jc w:val="center"/>
        <w:outlineLvl w:val="0"/>
        <w:rPr>
          <w:rFonts w:ascii="黑体" w:eastAsia="黑体"/>
          <w:bCs/>
          <w:sz w:val="28"/>
          <w:szCs w:val="28"/>
        </w:rPr>
      </w:pPr>
    </w:p>
    <w:p>
      <w:pPr>
        <w:spacing w:line="400" w:lineRule="exact"/>
        <w:rPr>
          <w:rFonts w:ascii="黑体" w:eastAsia="黑体"/>
          <w:bCs/>
          <w:sz w:val="24"/>
          <w:szCs w:val="24"/>
        </w:rPr>
      </w:pPr>
      <w:r>
        <w:rPr>
          <w:rFonts w:hint="eastAsia" w:ascii="黑体" w:eastAsia="黑体"/>
          <w:bCs/>
          <w:sz w:val="24"/>
          <w:szCs w:val="24"/>
        </w:rPr>
        <w:t>供应商名称（盖章）</w:t>
      </w:r>
      <w:r>
        <w:rPr>
          <w:rFonts w:ascii="黑体" w:eastAsia="黑体"/>
          <w:bCs/>
          <w:sz w:val="24"/>
          <w:szCs w:val="24"/>
        </w:rPr>
        <w:t xml:space="preserve">                                   </w:t>
      </w:r>
      <w:r>
        <w:rPr>
          <w:rFonts w:hint="eastAsia" w:ascii="黑体" w:eastAsia="黑体"/>
          <w:bCs/>
          <w:sz w:val="24"/>
          <w:szCs w:val="24"/>
        </w:rPr>
        <w:t>采购项目编号：</w:t>
      </w:r>
      <w:r>
        <w:rPr>
          <w:rFonts w:ascii="黑体" w:eastAsia="黑体"/>
          <w:bCs/>
          <w:sz w:val="24"/>
          <w:szCs w:val="24"/>
        </w:rPr>
        <w:t>BHJYZXKJ2023001</w:t>
      </w:r>
    </w:p>
    <w:p>
      <w:pPr>
        <w:spacing w:line="400" w:lineRule="exact"/>
        <w:rPr>
          <w:rFonts w:ascii="黑体" w:eastAsia="黑体"/>
          <w:bCs/>
          <w:sz w:val="24"/>
          <w:szCs w:val="24"/>
        </w:rPr>
      </w:pPr>
    </w:p>
    <w:tbl>
      <w:tblPr>
        <w:tblStyle w:val="23"/>
        <w:tblW w:w="9938" w:type="dxa"/>
        <w:tblInd w:w="0" w:type="dxa"/>
        <w:tblLayout w:type="fixed"/>
        <w:tblCellMar>
          <w:top w:w="0" w:type="dxa"/>
          <w:left w:w="0" w:type="dxa"/>
          <w:bottom w:w="0" w:type="dxa"/>
          <w:right w:w="0" w:type="dxa"/>
        </w:tblCellMar>
      </w:tblPr>
      <w:tblGrid>
        <w:gridCol w:w="1905"/>
        <w:gridCol w:w="2835"/>
        <w:gridCol w:w="2835"/>
        <w:gridCol w:w="2363"/>
      </w:tblGrid>
      <w:tr>
        <w:tblPrEx>
          <w:tblCellMar>
            <w:top w:w="0" w:type="dxa"/>
            <w:left w:w="0" w:type="dxa"/>
            <w:bottom w:w="0" w:type="dxa"/>
            <w:right w:w="0" w:type="dxa"/>
          </w:tblCellMar>
        </w:tblPrEx>
        <w:trPr>
          <w:cantSplit/>
          <w:trHeight w:val="555" w:hRule="atLeast"/>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b/>
                <w:bCs/>
                <w:sz w:val="24"/>
                <w:szCs w:val="24"/>
              </w:rPr>
            </w:pPr>
            <w:r>
              <w:rPr>
                <w:rFonts w:hint="eastAsia" w:ascii="宋体" w:hAnsi="宋体"/>
                <w:b/>
                <w:bCs/>
                <w:sz w:val="24"/>
                <w:szCs w:val="24"/>
              </w:rPr>
              <w:t>序号</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sz w:val="24"/>
                <w:szCs w:val="24"/>
              </w:rPr>
            </w:pPr>
            <w:r>
              <w:rPr>
                <w:rFonts w:hint="eastAsia" w:ascii="宋体" w:hAnsi="宋体"/>
                <w:b/>
                <w:bCs/>
                <w:sz w:val="24"/>
                <w:szCs w:val="24"/>
              </w:rPr>
              <w:t>采购要求</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sz w:val="24"/>
                <w:szCs w:val="24"/>
              </w:rPr>
            </w:pPr>
            <w:r>
              <w:rPr>
                <w:rFonts w:hint="eastAsia" w:ascii="宋体" w:hAnsi="宋体"/>
                <w:b/>
                <w:bCs/>
                <w:sz w:val="24"/>
                <w:szCs w:val="24"/>
              </w:rPr>
              <w:t>响应情况</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sz w:val="24"/>
                <w:szCs w:val="24"/>
              </w:rPr>
            </w:pPr>
            <w:r>
              <w:rPr>
                <w:rFonts w:hint="eastAsia" w:ascii="宋体" w:hAnsi="宋体"/>
                <w:b/>
                <w:bCs/>
                <w:sz w:val="24"/>
                <w:szCs w:val="24"/>
              </w:rPr>
              <w:t>偏离情况</w:t>
            </w: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bCs/>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r>
    </w:tbl>
    <w:p>
      <w:pPr>
        <w:rPr>
          <w:rFonts w:ascii="宋体"/>
          <w:b/>
          <w:sz w:val="24"/>
          <w:szCs w:val="24"/>
        </w:rPr>
      </w:pPr>
    </w:p>
    <w:p>
      <w:pPr>
        <w:rPr>
          <w:b/>
          <w:bCs/>
          <w:sz w:val="24"/>
          <w:szCs w:val="24"/>
        </w:rPr>
      </w:pPr>
      <w:r>
        <w:rPr>
          <w:rFonts w:hint="eastAsia"/>
          <w:b/>
          <w:bCs/>
          <w:sz w:val="24"/>
          <w:szCs w:val="24"/>
        </w:rPr>
        <w:t>法定代表人或法定代表人授权代表签字或盖章：</w:t>
      </w:r>
    </w:p>
    <w:p>
      <w:pPr>
        <w:rPr>
          <w:rFonts w:ascii="宋体"/>
          <w:bCs/>
          <w:sz w:val="30"/>
        </w:rPr>
      </w:pPr>
    </w:p>
    <w:p>
      <w:pPr>
        <w:ind w:firstLine="367" w:firstLineChars="175"/>
        <w:outlineLvl w:val="0"/>
        <w:rPr>
          <w:rFonts w:ascii="宋体" w:hAnsi="宋体"/>
          <w:bCs/>
          <w:szCs w:val="21"/>
        </w:rPr>
      </w:pPr>
      <w:r>
        <w:rPr>
          <w:rFonts w:hint="eastAsia" w:ascii="宋体" w:hAnsi="宋体"/>
          <w:bCs/>
          <w:szCs w:val="21"/>
        </w:rPr>
        <w:t>注：（</w:t>
      </w:r>
      <w:r>
        <w:rPr>
          <w:rFonts w:ascii="宋体" w:hAnsi="宋体"/>
          <w:bCs/>
          <w:szCs w:val="21"/>
        </w:rPr>
        <w:t>1</w:t>
      </w:r>
      <w:r>
        <w:rPr>
          <w:rFonts w:hint="eastAsia" w:ascii="宋体" w:hAnsi="宋体"/>
          <w:bCs/>
          <w:szCs w:val="21"/>
        </w:rPr>
        <w:t>）本表不得删除。</w:t>
      </w:r>
    </w:p>
    <w:p>
      <w:pPr>
        <w:ind w:firstLine="367" w:firstLineChars="175"/>
        <w:outlineLvl w:val="0"/>
        <w:rPr>
          <w:rFonts w:ascii="宋体" w:hAnsi="宋体"/>
          <w:bCs/>
          <w:szCs w:val="21"/>
        </w:rPr>
      </w:pPr>
      <w:r>
        <w:rPr>
          <w:rFonts w:ascii="宋体" w:hAnsi="宋体"/>
          <w:bCs/>
          <w:szCs w:val="21"/>
        </w:rPr>
        <w:t xml:space="preserve">   </w:t>
      </w:r>
      <w:r>
        <w:rPr>
          <w:rFonts w:hint="eastAsia" w:ascii="宋体" w:hAnsi="宋体"/>
          <w:bCs/>
          <w:szCs w:val="21"/>
        </w:rPr>
        <w:t>（</w:t>
      </w:r>
      <w:r>
        <w:rPr>
          <w:rFonts w:ascii="宋体" w:hAnsi="宋体"/>
          <w:bCs/>
          <w:szCs w:val="21"/>
        </w:rPr>
        <w:t>2</w:t>
      </w:r>
      <w:r>
        <w:rPr>
          <w:rFonts w:hint="eastAsia" w:ascii="宋体" w:hAnsi="宋体"/>
          <w:bCs/>
          <w:szCs w:val="21"/>
        </w:rPr>
        <w:t>）对本征集文件中所有要求如无任何偏离情况，请于本表“响应情况”中注明“响应”，于“偏离情况”中注明“无偏离”。</w:t>
      </w:r>
    </w:p>
    <w:p>
      <w:pPr>
        <w:ind w:firstLine="367" w:firstLineChars="175"/>
        <w:outlineLvl w:val="0"/>
        <w:rPr>
          <w:rFonts w:ascii="宋体"/>
          <w:bCs/>
          <w:szCs w:val="21"/>
        </w:rPr>
      </w:pPr>
      <w:r>
        <w:rPr>
          <w:rFonts w:hint="eastAsia" w:ascii="宋体" w:hAnsi="宋体"/>
          <w:bCs/>
          <w:szCs w:val="21"/>
        </w:rPr>
        <w:t xml:space="preserve">   （3）如有偏离项，请于本表“响应情况”中写明实报内容，于“偏离情况”中注明实际偏离情况（比如“正偏离”），本项目采购要求均不接受负偏离。其余无偏离内容不须赘述。</w:t>
      </w:r>
    </w:p>
    <w:p>
      <w:pPr>
        <w:ind w:firstLine="367" w:firstLineChars="175"/>
        <w:outlineLvl w:val="0"/>
        <w:rPr>
          <w:rFonts w:ascii="宋体"/>
          <w:bCs/>
          <w:szCs w:val="21"/>
        </w:rPr>
      </w:pPr>
      <w:r>
        <w:rPr>
          <w:rFonts w:hint="eastAsia" w:ascii="宋体" w:hAnsi="宋体"/>
          <w:bCs/>
          <w:szCs w:val="21"/>
        </w:rPr>
        <w:t xml:space="preserve">   （4）表格不够可自行延长。</w:t>
      </w:r>
    </w:p>
    <w:p>
      <w:pPr>
        <w:rPr>
          <w:rFonts w:ascii="宋体"/>
          <w:bCs/>
          <w:sz w:val="30"/>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spacing w:line="400" w:lineRule="exact"/>
        <w:jc w:val="center"/>
        <w:outlineLvl w:val="0"/>
        <w:rPr>
          <w:rFonts w:ascii="宋体" w:hAnsi="宋体"/>
          <w:b/>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20" w:firstLineChars="175"/>
        <w:outlineLvl w:val="0"/>
        <w:rPr>
          <w:rFonts w:ascii="黑体" w:hAnsi="宋体" w:eastAsia="黑体"/>
          <w:bCs/>
          <w:sz w:val="24"/>
          <w:szCs w:val="24"/>
        </w:rPr>
      </w:pPr>
      <w:r>
        <w:rPr>
          <w:rFonts w:hint="eastAsia" w:ascii="黑体" w:hAnsi="宋体" w:eastAsia="黑体"/>
          <w:bCs/>
          <w:sz w:val="24"/>
          <w:szCs w:val="24"/>
        </w:rPr>
        <w:t>（七）供应商情况表（格式）：</w:t>
      </w:r>
    </w:p>
    <w:p>
      <w:pPr>
        <w:spacing w:line="400" w:lineRule="exact"/>
        <w:rPr>
          <w:rFonts w:ascii="宋体" w:hAnsi="宋体"/>
          <w:bCs/>
          <w:sz w:val="24"/>
          <w:szCs w:val="24"/>
        </w:rPr>
      </w:pPr>
    </w:p>
    <w:p>
      <w:pPr>
        <w:jc w:val="center"/>
        <w:rPr>
          <w:rFonts w:ascii="黑体" w:eastAsia="黑体"/>
          <w:bCs/>
          <w:sz w:val="28"/>
          <w:szCs w:val="28"/>
        </w:rPr>
      </w:pPr>
      <w:r>
        <w:rPr>
          <w:rFonts w:hint="eastAsia" w:ascii="黑体" w:eastAsia="黑体"/>
          <w:bCs/>
          <w:sz w:val="28"/>
          <w:szCs w:val="28"/>
        </w:rPr>
        <w:t>供应商情况表</w:t>
      </w:r>
    </w:p>
    <w:p>
      <w:pPr>
        <w:jc w:val="center"/>
        <w:rPr>
          <w:rFonts w:ascii="黑体" w:hAnsi="宋体" w:eastAsia="黑体"/>
          <w:bCs/>
          <w:sz w:val="24"/>
          <w:szCs w:val="24"/>
        </w:rPr>
      </w:pPr>
      <w:r>
        <w:rPr>
          <w:rFonts w:hint="eastAsia" w:ascii="黑体" w:eastAsia="黑体"/>
          <w:bCs/>
          <w:sz w:val="24"/>
          <w:szCs w:val="24"/>
        </w:rPr>
        <w:t>供应商名称（盖章）                                    采购项目编号：BHJYZXKJ2023001</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1463"/>
        <w:gridCol w:w="893"/>
        <w:gridCol w:w="626"/>
        <w:gridCol w:w="599"/>
        <w:gridCol w:w="870"/>
        <w:gridCol w:w="84"/>
        <w:gridCol w:w="657"/>
        <w:gridCol w:w="987"/>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5" w:type="dxa"/>
            <w:vAlign w:val="center"/>
          </w:tcPr>
          <w:p>
            <w:pPr>
              <w:spacing w:line="400" w:lineRule="exact"/>
              <w:jc w:val="center"/>
              <w:rPr>
                <w:rFonts w:ascii="宋体" w:hAnsi="宋体"/>
                <w:bCs/>
                <w:sz w:val="24"/>
                <w:szCs w:val="24"/>
              </w:rPr>
            </w:pPr>
            <w:r>
              <w:rPr>
                <w:rFonts w:ascii="宋体" w:hAnsi="宋体"/>
                <w:bCs/>
                <w:sz w:val="24"/>
                <w:szCs w:val="24"/>
              </w:rPr>
              <w:t>供应商名称（全称）</w:t>
            </w:r>
          </w:p>
        </w:tc>
        <w:tc>
          <w:tcPr>
            <w:tcW w:w="7961" w:type="dxa"/>
            <w:gridSpan w:val="9"/>
          </w:tcPr>
          <w:p>
            <w:pPr>
              <w:spacing w:line="400" w:lineRule="exact"/>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5" w:type="dxa"/>
            <w:vAlign w:val="center"/>
          </w:tcPr>
          <w:p>
            <w:pPr>
              <w:spacing w:line="400" w:lineRule="exact"/>
              <w:jc w:val="center"/>
              <w:rPr>
                <w:rFonts w:ascii="宋体" w:hAnsi="宋体"/>
                <w:bCs/>
                <w:sz w:val="24"/>
                <w:szCs w:val="24"/>
              </w:rPr>
            </w:pPr>
            <w:r>
              <w:rPr>
                <w:rFonts w:ascii="宋体" w:hAnsi="宋体"/>
                <w:bCs/>
                <w:sz w:val="24"/>
                <w:szCs w:val="24"/>
              </w:rPr>
              <w:t>企业地址</w:t>
            </w:r>
          </w:p>
        </w:tc>
        <w:tc>
          <w:tcPr>
            <w:tcW w:w="7961" w:type="dxa"/>
            <w:gridSpan w:val="9"/>
          </w:tcPr>
          <w:p>
            <w:pPr>
              <w:spacing w:line="400" w:lineRule="exact"/>
              <w:jc w:val="center"/>
              <w:rPr>
                <w:rFonts w:ascii="宋体" w:hAnsi="宋体"/>
                <w:bCs/>
                <w:sz w:val="24"/>
                <w:szCs w:val="24"/>
              </w:rPr>
            </w:pPr>
            <w:r>
              <w:rPr>
                <w:rFonts w:hint="eastAsia" w:ascii="宋体" w:hAnsi="宋体"/>
                <w:sz w:val="24"/>
                <w:szCs w:val="24"/>
              </w:rPr>
              <w:t>（   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5" w:type="dxa"/>
            <w:vAlign w:val="center"/>
          </w:tcPr>
          <w:p>
            <w:pPr>
              <w:spacing w:line="400" w:lineRule="exact"/>
              <w:jc w:val="center"/>
              <w:rPr>
                <w:rFonts w:ascii="宋体" w:hAnsi="宋体"/>
                <w:bCs/>
                <w:sz w:val="24"/>
                <w:szCs w:val="24"/>
              </w:rPr>
            </w:pPr>
            <w:r>
              <w:rPr>
                <w:rFonts w:ascii="宋体" w:hAnsi="宋体"/>
                <w:bCs/>
                <w:sz w:val="24"/>
                <w:szCs w:val="24"/>
              </w:rPr>
              <w:t>成立日期</w:t>
            </w:r>
          </w:p>
        </w:tc>
        <w:tc>
          <w:tcPr>
            <w:tcW w:w="2468" w:type="dxa"/>
            <w:gridSpan w:val="2"/>
            <w:vAlign w:val="center"/>
          </w:tcPr>
          <w:p>
            <w:pPr>
              <w:spacing w:line="400" w:lineRule="exact"/>
              <w:jc w:val="center"/>
              <w:rPr>
                <w:rFonts w:ascii="宋体" w:hAnsi="宋体"/>
                <w:bCs/>
                <w:sz w:val="24"/>
                <w:szCs w:val="24"/>
              </w:rPr>
            </w:pPr>
          </w:p>
        </w:tc>
        <w:tc>
          <w:tcPr>
            <w:tcW w:w="2268" w:type="dxa"/>
            <w:gridSpan w:val="4"/>
            <w:vAlign w:val="center"/>
          </w:tcPr>
          <w:p>
            <w:pPr>
              <w:spacing w:line="400" w:lineRule="exact"/>
              <w:jc w:val="center"/>
              <w:rPr>
                <w:rFonts w:ascii="宋体" w:hAnsi="宋体"/>
                <w:bCs/>
                <w:sz w:val="24"/>
                <w:szCs w:val="24"/>
              </w:rPr>
            </w:pPr>
            <w:r>
              <w:rPr>
                <w:rFonts w:hint="eastAsia" w:ascii="宋体" w:hAnsi="宋体"/>
                <w:sz w:val="24"/>
                <w:szCs w:val="24"/>
              </w:rPr>
              <w:t>注册资金</w:t>
            </w:r>
          </w:p>
        </w:tc>
        <w:tc>
          <w:tcPr>
            <w:tcW w:w="3225" w:type="dxa"/>
            <w:gridSpan w:val="3"/>
            <w:vAlign w:val="center"/>
          </w:tcPr>
          <w:p>
            <w:pPr>
              <w:spacing w:line="400" w:lineRule="exact"/>
              <w:jc w:val="center"/>
              <w:rPr>
                <w:rFonts w:ascii="宋体" w:hAnsi="宋体"/>
                <w:bCs/>
                <w:sz w:val="24"/>
                <w:szCs w:val="24"/>
              </w:rPr>
            </w:pPr>
            <w:r>
              <w:rPr>
                <w:rFonts w:hint="eastAsia" w:ascii="宋体" w:hAnsi="宋体"/>
                <w:bCs/>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5" w:type="dxa"/>
            <w:vAlign w:val="center"/>
          </w:tcPr>
          <w:p>
            <w:pPr>
              <w:spacing w:line="400" w:lineRule="exact"/>
              <w:jc w:val="center"/>
              <w:rPr>
                <w:rFonts w:ascii="宋体" w:hAnsi="宋体"/>
                <w:bCs/>
                <w:sz w:val="24"/>
                <w:szCs w:val="24"/>
              </w:rPr>
            </w:pPr>
            <w:r>
              <w:rPr>
                <w:rFonts w:hint="eastAsia" w:ascii="宋体" w:hAnsi="宋体"/>
                <w:sz w:val="24"/>
                <w:szCs w:val="24"/>
              </w:rPr>
              <w:t>统一社会信用代码</w:t>
            </w:r>
          </w:p>
        </w:tc>
        <w:tc>
          <w:tcPr>
            <w:tcW w:w="7961" w:type="dxa"/>
            <w:gridSpan w:val="9"/>
          </w:tcPr>
          <w:p>
            <w:pPr>
              <w:spacing w:line="400" w:lineRule="exact"/>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5" w:type="dxa"/>
            <w:vAlign w:val="center"/>
          </w:tcPr>
          <w:p>
            <w:pPr>
              <w:spacing w:line="400" w:lineRule="exact"/>
              <w:jc w:val="center"/>
              <w:rPr>
                <w:rFonts w:ascii="宋体" w:hAnsi="宋体"/>
                <w:bCs/>
                <w:sz w:val="24"/>
                <w:szCs w:val="24"/>
              </w:rPr>
            </w:pPr>
            <w:r>
              <w:rPr>
                <w:rFonts w:ascii="宋体" w:hAnsi="宋体"/>
                <w:bCs/>
                <w:sz w:val="24"/>
                <w:szCs w:val="24"/>
              </w:rPr>
              <w:t>经营面积</w:t>
            </w:r>
          </w:p>
        </w:tc>
        <w:tc>
          <w:tcPr>
            <w:tcW w:w="2468" w:type="dxa"/>
            <w:gridSpan w:val="2"/>
            <w:vAlign w:val="center"/>
          </w:tcPr>
          <w:p>
            <w:pPr>
              <w:spacing w:line="400" w:lineRule="exact"/>
              <w:jc w:val="center"/>
              <w:rPr>
                <w:rFonts w:ascii="宋体" w:hAnsi="宋体"/>
                <w:bCs/>
                <w:sz w:val="24"/>
                <w:szCs w:val="24"/>
              </w:rPr>
            </w:pPr>
            <w:r>
              <w:rPr>
                <w:rFonts w:ascii="宋体" w:hAnsi="宋体"/>
                <w:sz w:val="24"/>
                <w:szCs w:val="24"/>
              </w:rPr>
              <w:t>平方米</w:t>
            </w:r>
          </w:p>
        </w:tc>
        <w:tc>
          <w:tcPr>
            <w:tcW w:w="2268" w:type="dxa"/>
            <w:gridSpan w:val="4"/>
            <w:vAlign w:val="center"/>
          </w:tcPr>
          <w:p>
            <w:pPr>
              <w:spacing w:line="400" w:lineRule="exact"/>
              <w:jc w:val="center"/>
              <w:rPr>
                <w:rFonts w:ascii="宋体" w:hAnsi="宋体"/>
                <w:bCs/>
                <w:sz w:val="24"/>
                <w:szCs w:val="24"/>
              </w:rPr>
            </w:pPr>
            <w:r>
              <w:rPr>
                <w:rFonts w:ascii="宋体" w:hAnsi="宋体"/>
                <w:bCs/>
                <w:sz w:val="24"/>
                <w:szCs w:val="24"/>
              </w:rPr>
              <w:t>其中：</w:t>
            </w:r>
          </w:p>
        </w:tc>
        <w:tc>
          <w:tcPr>
            <w:tcW w:w="3225" w:type="dxa"/>
            <w:gridSpan w:val="3"/>
            <w:vAlign w:val="center"/>
          </w:tcPr>
          <w:p>
            <w:pPr>
              <w:pStyle w:val="7"/>
              <w:overflowPunct w:val="0"/>
              <w:spacing w:line="360" w:lineRule="auto"/>
              <w:ind w:firstLine="0"/>
              <w:jc w:val="center"/>
              <w:rPr>
                <w:rFonts w:ascii="宋体" w:hAnsi="宋体"/>
                <w:sz w:val="24"/>
                <w:szCs w:val="24"/>
              </w:rPr>
            </w:pPr>
            <w:r>
              <w:rPr>
                <w:rFonts w:ascii="宋体" w:hAnsi="宋体"/>
                <w:sz w:val="24"/>
                <w:szCs w:val="24"/>
              </w:rPr>
              <w:t>自有面积</w:t>
            </w:r>
            <w:r>
              <w:rPr>
                <w:rFonts w:ascii="宋体" w:hAnsi="宋体"/>
                <w:sz w:val="24"/>
                <w:szCs w:val="24"/>
                <w:u w:val="single"/>
              </w:rPr>
              <w:t xml:space="preserve">      </w:t>
            </w:r>
            <w:r>
              <w:rPr>
                <w:rFonts w:ascii="宋体" w:hAnsi="宋体"/>
                <w:sz w:val="24"/>
                <w:szCs w:val="24"/>
              </w:rPr>
              <w:t>平方米；</w:t>
            </w:r>
          </w:p>
          <w:p>
            <w:pPr>
              <w:spacing w:line="400" w:lineRule="exact"/>
              <w:jc w:val="center"/>
              <w:rPr>
                <w:rFonts w:ascii="宋体" w:hAnsi="宋体"/>
                <w:bCs/>
                <w:sz w:val="24"/>
                <w:szCs w:val="24"/>
              </w:rPr>
            </w:pPr>
            <w:r>
              <w:rPr>
                <w:rFonts w:ascii="宋体" w:hAnsi="宋体"/>
                <w:sz w:val="24"/>
                <w:szCs w:val="24"/>
              </w:rPr>
              <w:t>承租面积</w:t>
            </w:r>
            <w:r>
              <w:rPr>
                <w:rFonts w:ascii="宋体" w:hAnsi="宋体"/>
                <w:sz w:val="24"/>
                <w:szCs w:val="24"/>
                <w:u w:val="single"/>
              </w:rPr>
              <w:t xml:space="preserve">      </w:t>
            </w:r>
            <w:r>
              <w:rPr>
                <w:rFonts w:ascii="宋体" w:hAnsi="宋体"/>
                <w:sz w:val="24"/>
                <w:szCs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5" w:type="dxa"/>
            <w:vAlign w:val="center"/>
          </w:tcPr>
          <w:p>
            <w:pPr>
              <w:spacing w:line="400" w:lineRule="exact"/>
              <w:jc w:val="center"/>
              <w:rPr>
                <w:rFonts w:ascii="宋体" w:hAnsi="宋体"/>
                <w:bCs/>
                <w:sz w:val="24"/>
                <w:szCs w:val="24"/>
              </w:rPr>
            </w:pPr>
            <w:r>
              <w:rPr>
                <w:rFonts w:ascii="宋体" w:hAnsi="宋体"/>
                <w:bCs/>
                <w:sz w:val="24"/>
                <w:szCs w:val="24"/>
              </w:rPr>
              <w:t>维修资质</w:t>
            </w:r>
          </w:p>
        </w:tc>
        <w:tc>
          <w:tcPr>
            <w:tcW w:w="2468" w:type="dxa"/>
            <w:gridSpan w:val="2"/>
          </w:tcPr>
          <w:p>
            <w:pPr>
              <w:spacing w:line="400" w:lineRule="exact"/>
              <w:jc w:val="center"/>
              <w:rPr>
                <w:rFonts w:ascii="宋体" w:hAnsi="宋体"/>
                <w:bCs/>
                <w:sz w:val="24"/>
                <w:szCs w:val="24"/>
              </w:rPr>
            </w:pPr>
          </w:p>
        </w:tc>
        <w:tc>
          <w:tcPr>
            <w:tcW w:w="2268" w:type="dxa"/>
            <w:gridSpan w:val="4"/>
          </w:tcPr>
          <w:p>
            <w:pPr>
              <w:spacing w:line="400" w:lineRule="exact"/>
              <w:jc w:val="center"/>
              <w:rPr>
                <w:rFonts w:ascii="宋体" w:hAnsi="宋体"/>
                <w:bCs/>
                <w:sz w:val="24"/>
                <w:szCs w:val="24"/>
              </w:rPr>
            </w:pPr>
            <w:r>
              <w:rPr>
                <w:rFonts w:ascii="宋体" w:hAnsi="宋体"/>
                <w:bCs/>
                <w:sz w:val="24"/>
                <w:szCs w:val="24"/>
              </w:rPr>
              <w:t>经营范围</w:t>
            </w:r>
          </w:p>
        </w:tc>
        <w:tc>
          <w:tcPr>
            <w:tcW w:w="3225" w:type="dxa"/>
            <w:gridSpan w:val="3"/>
          </w:tcPr>
          <w:p>
            <w:pPr>
              <w:spacing w:line="400" w:lineRule="exact"/>
              <w:jc w:val="cente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5" w:type="dxa"/>
            <w:vAlign w:val="center"/>
          </w:tcPr>
          <w:p>
            <w:pPr>
              <w:spacing w:line="400" w:lineRule="exact"/>
              <w:jc w:val="center"/>
              <w:rPr>
                <w:rFonts w:ascii="宋体" w:hAnsi="宋体"/>
                <w:bCs/>
                <w:sz w:val="24"/>
                <w:szCs w:val="24"/>
              </w:rPr>
            </w:pPr>
            <w:r>
              <w:rPr>
                <w:rFonts w:ascii="宋体" w:hAnsi="宋体"/>
                <w:bCs/>
                <w:sz w:val="24"/>
                <w:szCs w:val="24"/>
              </w:rPr>
              <w:t>开户银行</w:t>
            </w:r>
          </w:p>
        </w:tc>
        <w:tc>
          <w:tcPr>
            <w:tcW w:w="7961" w:type="dxa"/>
            <w:gridSpan w:val="9"/>
          </w:tcPr>
          <w:p>
            <w:pPr>
              <w:spacing w:line="400" w:lineRule="exact"/>
              <w:jc w:val="center"/>
              <w:rPr>
                <w:rFonts w:ascii="宋体" w:hAnsi="宋体"/>
                <w:bCs/>
                <w:sz w:val="24"/>
                <w:szCs w:val="24"/>
              </w:rPr>
            </w:pPr>
            <w:r>
              <w:rPr>
                <w:rFonts w:ascii="宋体" w:hAnsi="宋体"/>
                <w:bCs/>
                <w:sz w:val="24"/>
                <w:szCs w:val="24"/>
              </w:rPr>
              <w:t>（</w:t>
            </w:r>
            <w:r>
              <w:rPr>
                <w:rFonts w:hint="eastAsia" w:ascii="宋体" w:hAnsi="宋体"/>
                <w:bCs/>
                <w:sz w:val="24"/>
                <w:szCs w:val="24"/>
              </w:rPr>
              <w:t>开户行、开户名称、银行账号</w:t>
            </w:r>
            <w:r>
              <w:rPr>
                <w:rFonts w:ascii="宋体" w:hAnsi="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5" w:type="dxa"/>
            <w:vAlign w:val="center"/>
          </w:tcPr>
          <w:p>
            <w:pPr>
              <w:spacing w:line="400" w:lineRule="exact"/>
              <w:jc w:val="center"/>
              <w:rPr>
                <w:rFonts w:ascii="宋体" w:hAnsi="宋体"/>
                <w:bCs/>
                <w:sz w:val="24"/>
                <w:szCs w:val="24"/>
              </w:rPr>
            </w:pPr>
            <w:r>
              <w:rPr>
                <w:rFonts w:hint="eastAsia" w:ascii="宋体" w:hAnsi="宋体"/>
                <w:sz w:val="24"/>
                <w:szCs w:val="24"/>
              </w:rPr>
              <w:t>法定代表人</w:t>
            </w:r>
          </w:p>
        </w:tc>
        <w:tc>
          <w:tcPr>
            <w:tcW w:w="3743" w:type="dxa"/>
            <w:gridSpan w:val="4"/>
            <w:vAlign w:val="center"/>
          </w:tcPr>
          <w:p>
            <w:pPr>
              <w:spacing w:line="400" w:lineRule="exact"/>
              <w:jc w:val="center"/>
              <w:rPr>
                <w:rFonts w:ascii="宋体" w:hAnsi="宋体"/>
                <w:bCs/>
                <w:sz w:val="24"/>
                <w:szCs w:val="24"/>
              </w:rPr>
            </w:pPr>
          </w:p>
        </w:tc>
        <w:tc>
          <w:tcPr>
            <w:tcW w:w="1681" w:type="dxa"/>
            <w:gridSpan w:val="3"/>
            <w:vAlign w:val="center"/>
          </w:tcPr>
          <w:p>
            <w:pPr>
              <w:spacing w:line="400" w:lineRule="exact"/>
              <w:jc w:val="center"/>
              <w:rPr>
                <w:rFonts w:ascii="宋体" w:hAnsi="宋体"/>
                <w:bCs/>
                <w:sz w:val="24"/>
                <w:szCs w:val="24"/>
              </w:rPr>
            </w:pPr>
            <w:r>
              <w:rPr>
                <w:rFonts w:ascii="宋体" w:hAnsi="宋体"/>
                <w:bCs/>
                <w:sz w:val="24"/>
                <w:szCs w:val="24"/>
              </w:rPr>
              <w:t>联系电话</w:t>
            </w:r>
          </w:p>
        </w:tc>
        <w:tc>
          <w:tcPr>
            <w:tcW w:w="2537" w:type="dxa"/>
            <w:gridSpan w:val="2"/>
          </w:tcPr>
          <w:p>
            <w:pPr>
              <w:spacing w:line="400" w:lineRule="exact"/>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5" w:type="dxa"/>
            <w:vAlign w:val="center"/>
          </w:tcPr>
          <w:p>
            <w:pPr>
              <w:spacing w:line="400" w:lineRule="exact"/>
              <w:jc w:val="center"/>
              <w:rPr>
                <w:rFonts w:ascii="宋体" w:hAnsi="宋体"/>
                <w:bCs/>
                <w:sz w:val="24"/>
                <w:szCs w:val="24"/>
              </w:rPr>
            </w:pPr>
            <w:r>
              <w:rPr>
                <w:rFonts w:hint="eastAsia" w:ascii="宋体" w:hAnsi="宋体"/>
                <w:bCs/>
                <w:sz w:val="24"/>
                <w:szCs w:val="24"/>
              </w:rPr>
              <w:t>车辆维修和保养服务总协调人</w:t>
            </w:r>
          </w:p>
        </w:tc>
        <w:tc>
          <w:tcPr>
            <w:tcW w:w="3743" w:type="dxa"/>
            <w:gridSpan w:val="4"/>
            <w:vAlign w:val="center"/>
          </w:tcPr>
          <w:p>
            <w:pPr>
              <w:spacing w:line="400" w:lineRule="exact"/>
              <w:jc w:val="center"/>
              <w:rPr>
                <w:rFonts w:ascii="宋体" w:hAnsi="宋体"/>
                <w:bCs/>
                <w:sz w:val="24"/>
                <w:szCs w:val="24"/>
              </w:rPr>
            </w:pPr>
          </w:p>
        </w:tc>
        <w:tc>
          <w:tcPr>
            <w:tcW w:w="1681" w:type="dxa"/>
            <w:gridSpan w:val="3"/>
            <w:vAlign w:val="center"/>
          </w:tcPr>
          <w:p>
            <w:pPr>
              <w:spacing w:line="400" w:lineRule="exact"/>
              <w:jc w:val="center"/>
              <w:rPr>
                <w:rFonts w:ascii="宋体" w:hAnsi="宋体"/>
                <w:bCs/>
                <w:sz w:val="24"/>
                <w:szCs w:val="24"/>
              </w:rPr>
            </w:pPr>
            <w:r>
              <w:rPr>
                <w:rFonts w:ascii="宋体" w:hAnsi="宋体"/>
                <w:bCs/>
                <w:sz w:val="24"/>
                <w:szCs w:val="24"/>
              </w:rPr>
              <w:t>联系电话</w:t>
            </w:r>
          </w:p>
        </w:tc>
        <w:tc>
          <w:tcPr>
            <w:tcW w:w="2537" w:type="dxa"/>
            <w:gridSpan w:val="2"/>
          </w:tcPr>
          <w:p>
            <w:pPr>
              <w:spacing w:line="400" w:lineRule="exact"/>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5" w:type="dxa"/>
            <w:vAlign w:val="center"/>
          </w:tcPr>
          <w:p>
            <w:pPr>
              <w:spacing w:line="400" w:lineRule="exact"/>
              <w:jc w:val="center"/>
              <w:rPr>
                <w:rFonts w:ascii="宋体" w:hAnsi="宋体"/>
                <w:bCs/>
                <w:sz w:val="24"/>
                <w:szCs w:val="24"/>
              </w:rPr>
            </w:pPr>
            <w:r>
              <w:rPr>
                <w:rFonts w:hint="eastAsia" w:ascii="宋体" w:hAnsi="宋体"/>
                <w:sz w:val="24"/>
                <w:szCs w:val="24"/>
              </w:rPr>
              <w:t>职工人员总数</w:t>
            </w:r>
          </w:p>
        </w:tc>
        <w:tc>
          <w:tcPr>
            <w:tcW w:w="1531" w:type="dxa"/>
            <w:vAlign w:val="center"/>
          </w:tcPr>
          <w:p>
            <w:pPr>
              <w:spacing w:line="400" w:lineRule="exact"/>
              <w:jc w:val="center"/>
              <w:rPr>
                <w:rFonts w:ascii="宋体" w:hAnsi="宋体"/>
                <w:bCs/>
                <w:sz w:val="24"/>
                <w:szCs w:val="24"/>
              </w:rPr>
            </w:pPr>
          </w:p>
        </w:tc>
        <w:tc>
          <w:tcPr>
            <w:tcW w:w="1587" w:type="dxa"/>
            <w:gridSpan w:val="2"/>
            <w:vAlign w:val="center"/>
          </w:tcPr>
          <w:p>
            <w:pPr>
              <w:spacing w:line="400" w:lineRule="exact"/>
              <w:jc w:val="center"/>
              <w:rPr>
                <w:rFonts w:ascii="宋体" w:hAnsi="宋体"/>
                <w:bCs/>
                <w:sz w:val="24"/>
                <w:szCs w:val="24"/>
              </w:rPr>
            </w:pPr>
            <w:r>
              <w:rPr>
                <w:rFonts w:hint="eastAsia" w:ascii="宋体" w:hAnsi="宋体"/>
                <w:sz w:val="24"/>
                <w:szCs w:val="24"/>
              </w:rPr>
              <w:t>管理人员数</w:t>
            </w:r>
          </w:p>
        </w:tc>
        <w:tc>
          <w:tcPr>
            <w:tcW w:w="1531" w:type="dxa"/>
            <w:gridSpan w:val="2"/>
            <w:vAlign w:val="center"/>
          </w:tcPr>
          <w:p>
            <w:pPr>
              <w:spacing w:line="400" w:lineRule="exact"/>
              <w:jc w:val="center"/>
              <w:rPr>
                <w:rFonts w:ascii="宋体" w:hAnsi="宋体"/>
                <w:bCs/>
                <w:sz w:val="24"/>
                <w:szCs w:val="24"/>
              </w:rPr>
            </w:pPr>
          </w:p>
        </w:tc>
        <w:tc>
          <w:tcPr>
            <w:tcW w:w="1810" w:type="dxa"/>
            <w:gridSpan w:val="3"/>
            <w:vAlign w:val="center"/>
          </w:tcPr>
          <w:p>
            <w:pPr>
              <w:spacing w:line="400" w:lineRule="exact"/>
              <w:jc w:val="center"/>
              <w:rPr>
                <w:rFonts w:ascii="宋体" w:hAnsi="宋体"/>
                <w:bCs/>
                <w:sz w:val="24"/>
                <w:szCs w:val="24"/>
              </w:rPr>
            </w:pPr>
            <w:r>
              <w:rPr>
                <w:rFonts w:hint="eastAsia" w:ascii="宋体" w:hAnsi="宋体"/>
                <w:sz w:val="24"/>
                <w:szCs w:val="24"/>
              </w:rPr>
              <w:t>技术工人数量</w:t>
            </w:r>
          </w:p>
        </w:tc>
        <w:tc>
          <w:tcPr>
            <w:tcW w:w="1502" w:type="dxa"/>
          </w:tcPr>
          <w:p>
            <w:pPr>
              <w:spacing w:line="400" w:lineRule="exact"/>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5" w:type="dxa"/>
            <w:vAlign w:val="center"/>
          </w:tcPr>
          <w:p>
            <w:pPr>
              <w:spacing w:line="400" w:lineRule="exact"/>
              <w:jc w:val="center"/>
              <w:rPr>
                <w:rFonts w:ascii="宋体" w:hAnsi="宋体"/>
                <w:bCs/>
                <w:sz w:val="24"/>
                <w:szCs w:val="24"/>
              </w:rPr>
            </w:pPr>
            <w:r>
              <w:rPr>
                <w:rFonts w:hint="eastAsia" w:ascii="宋体" w:hAnsi="宋体"/>
                <w:sz w:val="24"/>
                <w:szCs w:val="24"/>
              </w:rPr>
              <w:t>其他需要说明的情况：</w:t>
            </w:r>
          </w:p>
        </w:tc>
        <w:tc>
          <w:tcPr>
            <w:tcW w:w="7961" w:type="dxa"/>
            <w:gridSpan w:val="9"/>
          </w:tcPr>
          <w:p>
            <w:pPr>
              <w:spacing w:line="400" w:lineRule="exact"/>
              <w:rPr>
                <w:rFonts w:ascii="宋体" w:hAnsi="宋体"/>
                <w:bCs/>
                <w:sz w:val="24"/>
                <w:szCs w:val="24"/>
              </w:rPr>
            </w:pPr>
          </w:p>
          <w:p>
            <w:pPr>
              <w:spacing w:line="400" w:lineRule="exact"/>
              <w:rPr>
                <w:rFonts w:ascii="宋体" w:hAnsi="宋体"/>
                <w:bCs/>
                <w:sz w:val="24"/>
                <w:szCs w:val="24"/>
              </w:rPr>
            </w:pPr>
          </w:p>
          <w:p>
            <w:pPr>
              <w:spacing w:line="400" w:lineRule="exact"/>
              <w:rPr>
                <w:rFonts w:ascii="宋体" w:hAnsi="宋体"/>
                <w:bCs/>
                <w:sz w:val="24"/>
                <w:szCs w:val="24"/>
              </w:rPr>
            </w:pPr>
          </w:p>
          <w:p>
            <w:pPr>
              <w:spacing w:line="400" w:lineRule="exact"/>
              <w:rPr>
                <w:rFonts w:ascii="宋体" w:hAnsi="宋体"/>
                <w:bCs/>
                <w:sz w:val="24"/>
                <w:szCs w:val="24"/>
              </w:rPr>
            </w:pPr>
          </w:p>
          <w:p>
            <w:pPr>
              <w:spacing w:line="400" w:lineRule="exact"/>
              <w:rPr>
                <w:rFonts w:ascii="宋体" w:hAnsi="宋体"/>
                <w:bCs/>
                <w:sz w:val="24"/>
                <w:szCs w:val="24"/>
              </w:rPr>
            </w:pPr>
          </w:p>
        </w:tc>
      </w:tr>
    </w:tbl>
    <w:p>
      <w:pPr>
        <w:rPr>
          <w:rFonts w:ascii="宋体"/>
          <w:b/>
          <w:sz w:val="24"/>
          <w:szCs w:val="24"/>
        </w:rPr>
      </w:pPr>
    </w:p>
    <w:p>
      <w:pPr>
        <w:rPr>
          <w:b/>
          <w:bCs/>
          <w:sz w:val="24"/>
          <w:szCs w:val="24"/>
        </w:rPr>
      </w:pPr>
      <w:r>
        <w:rPr>
          <w:rFonts w:hint="eastAsia"/>
          <w:b/>
          <w:bCs/>
          <w:sz w:val="24"/>
          <w:szCs w:val="24"/>
        </w:rPr>
        <w:t>法定代表人或法定代表人授权代表签字或盖章：</w:t>
      </w:r>
    </w:p>
    <w:p>
      <w:pPr>
        <w:spacing w:line="400" w:lineRule="exact"/>
        <w:rPr>
          <w:rFonts w:ascii="黑体" w:hAnsi="宋体" w:eastAsia="黑体"/>
          <w:bCs/>
          <w:sz w:val="24"/>
          <w:szCs w:val="24"/>
        </w:rPr>
      </w:pPr>
    </w:p>
    <w:p>
      <w:pPr>
        <w:ind w:firstLine="480" w:firstLineChars="200"/>
        <w:outlineLvl w:val="0"/>
        <w:rPr>
          <w:rFonts w:ascii="黑体" w:hAnsi="宋体" w:eastAsia="黑体"/>
          <w:bCs/>
          <w:sz w:val="24"/>
          <w:szCs w:val="24"/>
        </w:rPr>
      </w:pPr>
    </w:p>
    <w:p>
      <w:pPr>
        <w:widowControl/>
        <w:jc w:val="left"/>
        <w:rPr>
          <w:rFonts w:ascii="黑体" w:hAnsi="宋体" w:eastAsia="黑体"/>
          <w:bCs/>
          <w:sz w:val="24"/>
          <w:szCs w:val="24"/>
        </w:rPr>
      </w:pPr>
      <w:r>
        <w:rPr>
          <w:rFonts w:ascii="黑体" w:hAnsi="宋体" w:eastAsia="黑体"/>
          <w:bCs/>
          <w:sz w:val="24"/>
          <w:szCs w:val="24"/>
        </w:rPr>
        <w:br w:type="page"/>
      </w:r>
    </w:p>
    <w:p>
      <w:pPr>
        <w:ind w:firstLine="420" w:firstLineChars="175"/>
        <w:outlineLvl w:val="0"/>
        <w:rPr>
          <w:rFonts w:ascii="黑体" w:hAnsi="宋体" w:eastAsia="黑体"/>
          <w:bCs/>
          <w:sz w:val="24"/>
          <w:szCs w:val="24"/>
        </w:rPr>
      </w:pPr>
      <w:r>
        <w:rPr>
          <w:rFonts w:hint="eastAsia" w:ascii="黑体" w:hAnsi="宋体" w:eastAsia="黑体"/>
          <w:bCs/>
          <w:sz w:val="24"/>
          <w:szCs w:val="24"/>
        </w:rPr>
        <w:t>（八）中小企业声明函（格式）：</w:t>
      </w:r>
    </w:p>
    <w:p>
      <w:pPr>
        <w:jc w:val="center"/>
        <w:rPr>
          <w:rFonts w:ascii="黑体" w:eastAsia="黑体"/>
          <w:bCs/>
          <w:sz w:val="28"/>
          <w:szCs w:val="28"/>
        </w:rPr>
      </w:pPr>
      <w:r>
        <w:rPr>
          <w:rFonts w:ascii="黑体" w:eastAsia="黑体"/>
          <w:bCs/>
          <w:sz w:val="28"/>
          <w:szCs w:val="28"/>
        </w:rPr>
        <w:t>中小企业声明函</w:t>
      </w:r>
    </w:p>
    <w:p>
      <w:pPr>
        <w:spacing w:line="580" w:lineRule="exact"/>
        <w:ind w:firstLine="480" w:firstLineChars="200"/>
        <w:rPr>
          <w:rFonts w:ascii="宋体" w:hAnsi="宋体"/>
          <w:bCs/>
          <w:sz w:val="24"/>
          <w:szCs w:val="24"/>
        </w:rPr>
      </w:pPr>
      <w:r>
        <w:rPr>
          <w:rFonts w:ascii="宋体" w:hAnsi="宋体"/>
          <w:bCs/>
          <w:sz w:val="24"/>
          <w:szCs w:val="24"/>
        </w:rPr>
        <w:t>本公司郑重声明，根据《政府采购促进中小企业发展管理办法》（财库﹝2020﹞46 号）的规定，本公司参加</w:t>
      </w:r>
      <w:r>
        <w:rPr>
          <w:rFonts w:hint="eastAsia" w:ascii="宋体" w:hAnsi="宋体"/>
          <w:bCs/>
          <w:sz w:val="24"/>
          <w:szCs w:val="24"/>
        </w:rPr>
        <w:t>无锡市滨湖区公共资源交易中心</w:t>
      </w:r>
      <w:r>
        <w:rPr>
          <w:rFonts w:ascii="宋体" w:hAnsi="宋体"/>
          <w:bCs/>
          <w:sz w:val="24"/>
          <w:szCs w:val="24"/>
        </w:rPr>
        <w:t>组织的</w:t>
      </w:r>
      <w:r>
        <w:rPr>
          <w:rFonts w:hint="eastAsia" w:ascii="宋体" w:hAnsi="宋体"/>
          <w:bCs/>
          <w:sz w:val="24"/>
          <w:szCs w:val="24"/>
          <w:u w:val="single"/>
        </w:rPr>
        <w:t>2023-2025年度无锡市滨湖区车辆维修和保养服务框架协议采购（采购项目编号：BHJYZXKJ2023001）</w:t>
      </w:r>
      <w:r>
        <w:rPr>
          <w:rFonts w:hint="eastAsia" w:ascii="宋体" w:hAnsi="宋体"/>
          <w:bCs/>
          <w:sz w:val="24"/>
          <w:szCs w:val="24"/>
        </w:rPr>
        <w:t>的封闭式框架协议采购活动</w:t>
      </w:r>
      <w:r>
        <w:rPr>
          <w:rFonts w:ascii="宋体" w:hAnsi="宋体"/>
          <w:bCs/>
          <w:sz w:val="24"/>
          <w:szCs w:val="24"/>
        </w:rPr>
        <w:t>，服务全部由符合政策要求的中小企业承接。相关企业（含联合体中的中小企业、签订分包意向协议的中小企业）的具体情况如下：</w:t>
      </w:r>
    </w:p>
    <w:p>
      <w:pPr>
        <w:spacing w:line="580" w:lineRule="exact"/>
        <w:ind w:firstLine="480" w:firstLineChars="200"/>
        <w:rPr>
          <w:rFonts w:ascii="宋体" w:hAnsi="宋体"/>
          <w:bCs/>
          <w:sz w:val="24"/>
          <w:szCs w:val="24"/>
        </w:rPr>
      </w:pPr>
      <w:r>
        <w:rPr>
          <w:rFonts w:ascii="宋体" w:hAnsi="宋体"/>
          <w:bCs/>
          <w:sz w:val="24"/>
          <w:szCs w:val="24"/>
        </w:rPr>
        <w:t>1.</w:t>
      </w:r>
      <w:r>
        <w:rPr>
          <w:rFonts w:ascii="宋体" w:hAnsi="宋体"/>
          <w:bCs/>
          <w:sz w:val="24"/>
          <w:szCs w:val="24"/>
          <w:u w:val="single"/>
        </w:rPr>
        <w:t xml:space="preserve"> （标的名称） </w:t>
      </w:r>
      <w:r>
        <w:rPr>
          <w:rFonts w:ascii="宋体" w:hAnsi="宋体"/>
          <w:bCs/>
          <w:sz w:val="24"/>
          <w:szCs w:val="24"/>
        </w:rPr>
        <w:t>，属于</w:t>
      </w:r>
      <w:r>
        <w:rPr>
          <w:rFonts w:ascii="宋体" w:hAnsi="宋体"/>
          <w:bCs/>
          <w:sz w:val="24"/>
          <w:szCs w:val="24"/>
          <w:u w:val="single"/>
        </w:rPr>
        <w:t>（采购文件中明确的所属行业）</w:t>
      </w:r>
      <w:r>
        <w:rPr>
          <w:rFonts w:ascii="宋体" w:hAnsi="宋体"/>
          <w:bCs/>
          <w:sz w:val="24"/>
          <w:szCs w:val="24"/>
        </w:rPr>
        <w:t>； 承建（承接）企业为</w:t>
      </w:r>
      <w:r>
        <w:rPr>
          <w:rFonts w:ascii="宋体" w:hAnsi="宋体"/>
          <w:bCs/>
          <w:sz w:val="24"/>
          <w:szCs w:val="24"/>
          <w:u w:val="single"/>
        </w:rPr>
        <w:t>（企业名称）</w:t>
      </w:r>
      <w:r>
        <w:rPr>
          <w:rFonts w:ascii="宋体" w:hAnsi="宋体"/>
          <w:bCs/>
          <w:sz w:val="24"/>
          <w:szCs w:val="24"/>
        </w:rPr>
        <w:t>，从业人员</w:t>
      </w:r>
      <w:r>
        <w:rPr>
          <w:rFonts w:hint="eastAsia" w:ascii="宋体" w:hAnsi="宋体"/>
          <w:bCs/>
          <w:sz w:val="24"/>
          <w:szCs w:val="24"/>
          <w:u w:val="single"/>
        </w:rPr>
        <w:t xml:space="preserve">    </w:t>
      </w:r>
      <w:r>
        <w:rPr>
          <w:rFonts w:ascii="宋体" w:hAnsi="宋体"/>
          <w:bCs/>
          <w:sz w:val="24"/>
          <w:szCs w:val="24"/>
        </w:rPr>
        <w:t>人，营业收入为</w:t>
      </w:r>
      <w:r>
        <w:rPr>
          <w:rFonts w:hint="eastAsia" w:ascii="宋体" w:hAnsi="宋体"/>
          <w:bCs/>
          <w:sz w:val="24"/>
          <w:szCs w:val="24"/>
          <w:u w:val="single"/>
        </w:rPr>
        <w:t xml:space="preserve">     </w:t>
      </w:r>
      <w:r>
        <w:rPr>
          <w:rFonts w:ascii="宋体" w:hAnsi="宋体"/>
          <w:bCs/>
          <w:sz w:val="24"/>
          <w:szCs w:val="24"/>
        </w:rPr>
        <w:t>万元，资产总额为</w:t>
      </w:r>
      <w:r>
        <w:rPr>
          <w:rFonts w:hint="eastAsia" w:ascii="宋体" w:hAnsi="宋体"/>
          <w:bCs/>
          <w:sz w:val="24"/>
          <w:szCs w:val="24"/>
          <w:u w:val="single"/>
        </w:rPr>
        <w:t xml:space="preserve">     </w:t>
      </w:r>
      <w:r>
        <w:rPr>
          <w:rFonts w:ascii="宋体" w:hAnsi="宋体"/>
          <w:bCs/>
          <w:sz w:val="24"/>
          <w:szCs w:val="24"/>
        </w:rPr>
        <w:t>万元，属于</w:t>
      </w:r>
      <w:r>
        <w:rPr>
          <w:rFonts w:ascii="宋体" w:hAnsi="宋体"/>
          <w:bCs/>
          <w:sz w:val="24"/>
          <w:szCs w:val="24"/>
          <w:u w:val="single"/>
        </w:rPr>
        <w:t>（中型企业、 小型企业、微型企业）</w:t>
      </w:r>
      <w:r>
        <w:rPr>
          <w:rFonts w:ascii="宋体" w:hAnsi="宋体"/>
          <w:bCs/>
          <w:sz w:val="24"/>
          <w:szCs w:val="24"/>
        </w:rPr>
        <w:t>；</w:t>
      </w:r>
    </w:p>
    <w:p>
      <w:pPr>
        <w:spacing w:line="580" w:lineRule="exact"/>
        <w:ind w:firstLine="480" w:firstLineChars="200"/>
        <w:rPr>
          <w:rFonts w:ascii="宋体" w:hAnsi="宋体"/>
          <w:bCs/>
          <w:sz w:val="24"/>
          <w:szCs w:val="24"/>
        </w:rPr>
      </w:pPr>
      <w:r>
        <w:rPr>
          <w:rFonts w:hint="eastAsia" w:ascii="宋体" w:hAnsi="宋体"/>
          <w:bCs/>
          <w:sz w:val="24"/>
          <w:szCs w:val="24"/>
        </w:rPr>
        <w:t>2.</w:t>
      </w:r>
      <w:r>
        <w:rPr>
          <w:rFonts w:ascii="宋体" w:hAnsi="宋体"/>
          <w:bCs/>
          <w:sz w:val="24"/>
          <w:szCs w:val="24"/>
          <w:u w:val="single"/>
        </w:rPr>
        <w:t xml:space="preserve"> （标的名称） </w:t>
      </w:r>
      <w:r>
        <w:rPr>
          <w:rFonts w:ascii="宋体" w:hAnsi="宋体"/>
          <w:bCs/>
          <w:sz w:val="24"/>
          <w:szCs w:val="24"/>
        </w:rPr>
        <w:t>，属于</w:t>
      </w:r>
      <w:r>
        <w:rPr>
          <w:rFonts w:ascii="宋体" w:hAnsi="宋体"/>
          <w:bCs/>
          <w:sz w:val="24"/>
          <w:szCs w:val="24"/>
          <w:u w:val="single"/>
        </w:rPr>
        <w:t>（采购文件中明确的所属行业）</w:t>
      </w:r>
      <w:r>
        <w:rPr>
          <w:rFonts w:ascii="宋体" w:hAnsi="宋体"/>
          <w:bCs/>
          <w:sz w:val="24"/>
          <w:szCs w:val="24"/>
        </w:rPr>
        <w:t>； 承建（承接）企业为</w:t>
      </w:r>
      <w:r>
        <w:rPr>
          <w:rFonts w:ascii="宋体" w:hAnsi="宋体"/>
          <w:bCs/>
          <w:sz w:val="24"/>
          <w:szCs w:val="24"/>
          <w:u w:val="single"/>
        </w:rPr>
        <w:t>（企业名称）</w:t>
      </w:r>
      <w:r>
        <w:rPr>
          <w:rFonts w:ascii="宋体" w:hAnsi="宋体"/>
          <w:bCs/>
          <w:sz w:val="24"/>
          <w:szCs w:val="24"/>
        </w:rPr>
        <w:t>，从业人员</w:t>
      </w:r>
      <w:r>
        <w:rPr>
          <w:rFonts w:hint="eastAsia" w:ascii="宋体" w:hAnsi="宋体"/>
          <w:bCs/>
          <w:sz w:val="24"/>
          <w:szCs w:val="24"/>
          <w:u w:val="single"/>
        </w:rPr>
        <w:t xml:space="preserve">    </w:t>
      </w:r>
      <w:r>
        <w:rPr>
          <w:rFonts w:ascii="宋体" w:hAnsi="宋体"/>
          <w:bCs/>
          <w:sz w:val="24"/>
          <w:szCs w:val="24"/>
        </w:rPr>
        <w:t>人，营业收入为</w:t>
      </w:r>
      <w:r>
        <w:rPr>
          <w:rFonts w:hint="eastAsia" w:ascii="宋体" w:hAnsi="宋体"/>
          <w:bCs/>
          <w:sz w:val="24"/>
          <w:szCs w:val="24"/>
          <w:u w:val="single"/>
        </w:rPr>
        <w:t xml:space="preserve">     </w:t>
      </w:r>
      <w:r>
        <w:rPr>
          <w:rFonts w:ascii="宋体" w:hAnsi="宋体"/>
          <w:bCs/>
          <w:sz w:val="24"/>
          <w:szCs w:val="24"/>
        </w:rPr>
        <w:t>万元，资产总额为</w:t>
      </w:r>
      <w:r>
        <w:rPr>
          <w:rFonts w:hint="eastAsia" w:ascii="宋体" w:hAnsi="宋体"/>
          <w:bCs/>
          <w:sz w:val="24"/>
          <w:szCs w:val="24"/>
          <w:u w:val="single"/>
        </w:rPr>
        <w:t xml:space="preserve">     </w:t>
      </w:r>
      <w:r>
        <w:rPr>
          <w:rFonts w:ascii="宋体" w:hAnsi="宋体"/>
          <w:bCs/>
          <w:sz w:val="24"/>
          <w:szCs w:val="24"/>
        </w:rPr>
        <w:t>万元，属于</w:t>
      </w:r>
      <w:r>
        <w:rPr>
          <w:rFonts w:ascii="宋体" w:hAnsi="宋体"/>
          <w:bCs/>
          <w:sz w:val="24"/>
          <w:szCs w:val="24"/>
          <w:u w:val="single"/>
        </w:rPr>
        <w:t>（中型企业、 小型企业、微型企业）</w:t>
      </w:r>
      <w:r>
        <w:rPr>
          <w:rFonts w:ascii="宋体" w:hAnsi="宋体"/>
          <w:bCs/>
          <w:sz w:val="24"/>
          <w:szCs w:val="24"/>
        </w:rPr>
        <w:t>；</w:t>
      </w:r>
    </w:p>
    <w:p>
      <w:pPr>
        <w:spacing w:line="580" w:lineRule="exact"/>
        <w:ind w:firstLine="480" w:firstLineChars="200"/>
        <w:rPr>
          <w:rFonts w:ascii="宋体" w:hAnsi="宋体"/>
          <w:bCs/>
          <w:sz w:val="24"/>
          <w:szCs w:val="24"/>
        </w:rPr>
      </w:pPr>
      <w:r>
        <w:rPr>
          <w:rFonts w:ascii="宋体" w:hAnsi="宋体"/>
          <w:bCs/>
          <w:sz w:val="24"/>
          <w:szCs w:val="24"/>
        </w:rPr>
        <w:t>……</w:t>
      </w:r>
    </w:p>
    <w:p>
      <w:pPr>
        <w:spacing w:line="580" w:lineRule="exact"/>
        <w:ind w:firstLine="480" w:firstLineChars="200"/>
        <w:rPr>
          <w:rFonts w:ascii="宋体" w:hAnsi="宋体"/>
          <w:bCs/>
          <w:sz w:val="24"/>
          <w:szCs w:val="24"/>
        </w:rPr>
      </w:pPr>
      <w:r>
        <w:rPr>
          <w:rFonts w:ascii="宋体" w:hAnsi="宋体"/>
          <w:bCs/>
          <w:sz w:val="24"/>
          <w:szCs w:val="24"/>
        </w:rPr>
        <w:t>以上企业，不属于大企业的分支机构，不存在控股股东为大企业的情形，也不存在与大企业的负责人为同一人的情形。 本企业对上述声明内容的真实性负责。如有虚假，将依法承担相应责任。</w:t>
      </w:r>
    </w:p>
    <w:p>
      <w:pPr>
        <w:outlineLvl w:val="0"/>
        <w:rPr>
          <w:rFonts w:ascii="黑体" w:hAnsi="宋体" w:eastAsia="黑体"/>
          <w:bCs/>
          <w:sz w:val="24"/>
          <w:szCs w:val="24"/>
        </w:rPr>
      </w:pPr>
    </w:p>
    <w:p>
      <w:pPr>
        <w:outlineLvl w:val="0"/>
        <w:rPr>
          <w:rFonts w:ascii="黑体" w:hAnsi="宋体" w:eastAsia="黑体"/>
          <w:bCs/>
          <w:sz w:val="24"/>
          <w:szCs w:val="24"/>
        </w:rPr>
      </w:pPr>
      <w:r>
        <w:rPr>
          <w:rFonts w:hint="eastAsia" w:ascii="黑体" w:hAnsi="宋体" w:eastAsia="黑体"/>
          <w:bCs/>
          <w:sz w:val="24"/>
          <w:szCs w:val="24"/>
        </w:rPr>
        <w:t xml:space="preserve"> </w:t>
      </w:r>
    </w:p>
    <w:p>
      <w:pPr>
        <w:outlineLvl w:val="0"/>
        <w:rPr>
          <w:rFonts w:ascii="黑体" w:hAnsi="宋体" w:eastAsia="黑体"/>
          <w:bCs/>
          <w:sz w:val="24"/>
          <w:szCs w:val="24"/>
        </w:rPr>
      </w:pPr>
    </w:p>
    <w:p>
      <w:pPr>
        <w:spacing w:line="360" w:lineRule="auto"/>
        <w:ind w:firstLine="4800" w:firstLineChars="2000"/>
        <w:rPr>
          <w:rFonts w:ascii="宋体" w:hAnsi="宋体"/>
          <w:bCs/>
          <w:sz w:val="24"/>
          <w:szCs w:val="24"/>
        </w:rPr>
      </w:pPr>
      <w:r>
        <w:rPr>
          <w:rFonts w:hint="eastAsia" w:ascii="宋体" w:hAnsi="宋体"/>
          <w:bCs/>
          <w:sz w:val="24"/>
          <w:szCs w:val="24"/>
        </w:rPr>
        <w:t>供应商名称（盖章）：</w:t>
      </w:r>
    </w:p>
    <w:p>
      <w:pPr>
        <w:spacing w:line="360" w:lineRule="auto"/>
        <w:ind w:firstLine="4800" w:firstLineChars="2000"/>
        <w:rPr>
          <w:rFonts w:ascii="宋体" w:hAnsi="宋体"/>
          <w:bCs/>
          <w:sz w:val="24"/>
          <w:szCs w:val="24"/>
        </w:rPr>
      </w:pPr>
    </w:p>
    <w:p>
      <w:pPr>
        <w:spacing w:line="360" w:lineRule="auto"/>
        <w:ind w:firstLine="4800" w:firstLineChars="2000"/>
        <w:rPr>
          <w:rFonts w:ascii="宋体" w:hAnsi="宋体"/>
          <w:bCs/>
          <w:sz w:val="24"/>
          <w:szCs w:val="24"/>
        </w:rPr>
      </w:pPr>
      <w:r>
        <w:rPr>
          <w:rFonts w:hint="eastAsia" w:ascii="宋体" w:hAnsi="宋体"/>
          <w:bCs/>
          <w:sz w:val="24"/>
          <w:szCs w:val="24"/>
        </w:rPr>
        <w:t>日　　　　　　期：</w:t>
      </w:r>
    </w:p>
    <w:p>
      <w:pPr>
        <w:spacing w:line="360" w:lineRule="auto"/>
        <w:rPr>
          <w:rFonts w:ascii="宋体" w:hAnsi="宋体"/>
          <w:bCs/>
          <w:sz w:val="24"/>
          <w:szCs w:val="24"/>
        </w:rPr>
      </w:pPr>
    </w:p>
    <w:p>
      <w:pPr>
        <w:spacing w:line="360" w:lineRule="auto"/>
      </w:pPr>
      <w:r>
        <w:rPr>
          <w:rFonts w:hint="eastAsia"/>
        </w:rPr>
        <w:t>注：1.</w:t>
      </w:r>
      <w:r>
        <w:t>从业人员、营业收入、资产总额填报上一年度数据，无上一年度数据的新成立企业可不填报。</w:t>
      </w:r>
    </w:p>
    <w:p>
      <w:pPr>
        <w:spacing w:line="360" w:lineRule="auto"/>
      </w:pPr>
      <w:r>
        <w:rPr>
          <w:rFonts w:hint="eastAsia"/>
        </w:rPr>
        <w:t xml:space="preserve">    2. 中标供应商的《</w:t>
      </w:r>
      <w:r>
        <w:t>中小企业声明函</w:t>
      </w:r>
      <w:r>
        <w:rPr>
          <w:rFonts w:hint="eastAsia"/>
        </w:rPr>
        <w:t>》将随中标公告进行公示。供应商按照本办法规定提供声明函内容不实的，属于提供虚假材料谋取中标、成交，依照《中华人民共和国政府采购法》等国家有关规定追究相应责任。</w:t>
      </w:r>
    </w:p>
    <w:p>
      <w:pPr>
        <w:spacing w:line="400" w:lineRule="exact"/>
        <w:rPr>
          <w:rFonts w:ascii="黑体" w:hAnsi="宋体" w:eastAsia="黑体"/>
          <w:bCs/>
          <w:sz w:val="24"/>
          <w:szCs w:val="24"/>
        </w:rPr>
      </w:pPr>
    </w:p>
    <w:p>
      <w:pPr>
        <w:ind w:firstLine="480" w:firstLineChars="200"/>
        <w:outlineLvl w:val="0"/>
        <w:rPr>
          <w:rFonts w:ascii="黑体" w:hAnsi="宋体" w:eastAsia="黑体"/>
          <w:bCs/>
          <w:sz w:val="24"/>
          <w:szCs w:val="24"/>
        </w:rPr>
      </w:pPr>
      <w:r>
        <w:rPr>
          <w:rFonts w:hint="eastAsia" w:ascii="黑体" w:hAnsi="宋体" w:eastAsia="黑体"/>
          <w:bCs/>
          <w:sz w:val="24"/>
          <w:szCs w:val="24"/>
        </w:rPr>
        <w:t>（九）</w:t>
      </w:r>
      <w:bookmarkStart w:id="17" w:name="OLE_LINK14"/>
      <w:bookmarkStart w:id="18" w:name="OLE_LINK13"/>
      <w:r>
        <w:rPr>
          <w:rFonts w:hint="eastAsia" w:ascii="黑体" w:hAnsi="宋体" w:eastAsia="黑体"/>
          <w:bCs/>
          <w:sz w:val="24"/>
          <w:szCs w:val="24"/>
        </w:rPr>
        <w:t>残疾人福利性单位声明函（格式）：</w:t>
      </w:r>
    </w:p>
    <w:bookmarkEnd w:id="17"/>
    <w:bookmarkEnd w:id="18"/>
    <w:p>
      <w:pPr>
        <w:spacing w:line="588" w:lineRule="exact"/>
        <w:rPr>
          <w:rFonts w:ascii="仿宋_GB2312" w:eastAsia="仿宋_GB2312"/>
          <w:b/>
          <w:spacing w:val="6"/>
          <w:sz w:val="30"/>
          <w:szCs w:val="30"/>
        </w:rPr>
      </w:pPr>
    </w:p>
    <w:p>
      <w:pPr>
        <w:jc w:val="center"/>
        <w:rPr>
          <w:rFonts w:ascii="黑体" w:eastAsia="黑体"/>
          <w:bCs/>
          <w:sz w:val="28"/>
          <w:szCs w:val="28"/>
        </w:rPr>
      </w:pPr>
      <w:r>
        <w:rPr>
          <w:rFonts w:hint="eastAsia" w:ascii="黑体" w:eastAsia="黑体"/>
          <w:bCs/>
          <w:sz w:val="28"/>
          <w:szCs w:val="28"/>
        </w:rPr>
        <w:t>残疾人福利性单位声明函</w:t>
      </w:r>
    </w:p>
    <w:p>
      <w:pPr>
        <w:jc w:val="center"/>
        <w:rPr>
          <w:rFonts w:ascii="黑体" w:eastAsia="黑体"/>
          <w:bCs/>
          <w:sz w:val="28"/>
          <w:szCs w:val="28"/>
        </w:rPr>
      </w:pPr>
    </w:p>
    <w:p>
      <w:pPr>
        <w:spacing w:line="580" w:lineRule="exact"/>
        <w:ind w:firstLine="480" w:firstLineChars="200"/>
        <w:rPr>
          <w:rFonts w:ascii="宋体" w:hAnsi="宋体"/>
          <w:bCs/>
          <w:sz w:val="24"/>
          <w:szCs w:val="24"/>
        </w:rPr>
      </w:pPr>
      <w:r>
        <w:rPr>
          <w:rFonts w:hint="eastAsia" w:ascii="宋体" w:hAnsi="宋体"/>
          <w:bCs/>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0" w:lineRule="exact"/>
        <w:ind w:firstLine="480" w:firstLineChars="200"/>
        <w:rPr>
          <w:rFonts w:ascii="宋体" w:hAnsi="宋体"/>
          <w:bCs/>
          <w:sz w:val="24"/>
          <w:szCs w:val="24"/>
        </w:rPr>
      </w:pPr>
      <w:r>
        <w:rPr>
          <w:rFonts w:hint="eastAsia" w:ascii="宋体" w:hAnsi="宋体"/>
          <w:bCs/>
          <w:sz w:val="24"/>
          <w:szCs w:val="24"/>
        </w:rPr>
        <w:t>本单位对上述声明的真实性负责。如有虚假，将依法承担相应责任。</w:t>
      </w:r>
    </w:p>
    <w:p>
      <w:pPr>
        <w:spacing w:line="580" w:lineRule="exact"/>
        <w:ind w:firstLine="480" w:firstLineChars="200"/>
        <w:rPr>
          <w:rFonts w:ascii="宋体" w:hAnsi="宋体"/>
          <w:bCs/>
          <w:sz w:val="24"/>
          <w:szCs w:val="24"/>
        </w:rPr>
      </w:pPr>
    </w:p>
    <w:p>
      <w:pPr>
        <w:spacing w:line="580" w:lineRule="exact"/>
        <w:ind w:firstLine="480" w:firstLineChars="200"/>
        <w:rPr>
          <w:rFonts w:ascii="宋体" w:hAnsi="宋体"/>
          <w:bCs/>
          <w:sz w:val="24"/>
          <w:szCs w:val="24"/>
        </w:rPr>
      </w:pPr>
    </w:p>
    <w:p>
      <w:pPr>
        <w:spacing w:line="580" w:lineRule="exact"/>
        <w:ind w:firstLine="480" w:firstLineChars="200"/>
        <w:rPr>
          <w:rFonts w:ascii="宋体" w:hAnsi="宋体"/>
          <w:bCs/>
          <w:sz w:val="24"/>
          <w:szCs w:val="24"/>
        </w:rPr>
      </w:pPr>
      <w:r>
        <w:rPr>
          <w:rFonts w:hint="eastAsia" w:ascii="宋体" w:hAnsi="宋体"/>
          <w:bCs/>
          <w:sz w:val="24"/>
          <w:szCs w:val="24"/>
        </w:rPr>
        <w:t>单位名称（盖章）：</w:t>
      </w:r>
    </w:p>
    <w:p>
      <w:pPr>
        <w:spacing w:line="580" w:lineRule="exact"/>
        <w:ind w:firstLine="480" w:firstLineChars="200"/>
        <w:rPr>
          <w:rFonts w:ascii="宋体" w:hAnsi="宋体"/>
          <w:bCs/>
          <w:sz w:val="24"/>
          <w:szCs w:val="24"/>
        </w:rPr>
      </w:pPr>
      <w:r>
        <w:rPr>
          <w:rFonts w:hint="eastAsia" w:ascii="宋体" w:hAnsi="宋体"/>
          <w:bCs/>
          <w:sz w:val="24"/>
          <w:szCs w:val="24"/>
        </w:rPr>
        <w:t>日  期：</w:t>
      </w: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widowControl/>
        <w:shd w:val="clear" w:color="auto" w:fill="FFFFFF"/>
        <w:wordWrap w:val="0"/>
        <w:jc w:val="left"/>
        <w:rPr>
          <w:rFonts w:ascii="宋体" w:hAnsi="宋体" w:cs="宋体"/>
          <w:kern w:val="0"/>
          <w:szCs w:val="21"/>
        </w:rPr>
      </w:pPr>
    </w:p>
    <w:p>
      <w:pPr>
        <w:widowControl/>
        <w:shd w:val="clear" w:color="auto" w:fill="FFFFFF"/>
        <w:wordWrap w:val="0"/>
        <w:jc w:val="left"/>
        <w:rPr>
          <w:rFonts w:ascii="宋体" w:hAnsi="宋体" w:cs="宋体"/>
          <w:kern w:val="0"/>
          <w:szCs w:val="21"/>
        </w:rPr>
      </w:pPr>
    </w:p>
    <w:p>
      <w:pPr>
        <w:ind w:firstLine="420" w:firstLineChars="175"/>
        <w:outlineLvl w:val="0"/>
        <w:rPr>
          <w:rFonts w:ascii="黑体" w:hAnsi="宋体" w:eastAsia="黑体"/>
          <w:bCs/>
          <w:sz w:val="24"/>
          <w:szCs w:val="24"/>
        </w:rPr>
      </w:pPr>
    </w:p>
    <w:p>
      <w:pPr>
        <w:ind w:firstLine="420" w:firstLineChars="175"/>
        <w:outlineLvl w:val="0"/>
        <w:rPr>
          <w:rFonts w:ascii="黑体" w:hAnsi="宋体" w:eastAsia="黑体"/>
          <w:bCs/>
          <w:sz w:val="24"/>
          <w:szCs w:val="24"/>
        </w:rPr>
      </w:pPr>
    </w:p>
    <w:p>
      <w:pPr>
        <w:ind w:firstLine="420" w:firstLineChars="175"/>
        <w:outlineLvl w:val="0"/>
        <w:rPr>
          <w:rFonts w:ascii="黑体" w:hAnsi="宋体" w:eastAsia="黑体"/>
          <w:bCs/>
          <w:sz w:val="24"/>
          <w:szCs w:val="24"/>
        </w:rPr>
      </w:pPr>
    </w:p>
    <w:p>
      <w:pPr>
        <w:ind w:firstLine="420" w:firstLineChars="175"/>
        <w:outlineLvl w:val="0"/>
        <w:rPr>
          <w:rFonts w:ascii="黑体" w:hAnsi="宋体" w:eastAsia="黑体"/>
          <w:bCs/>
          <w:sz w:val="24"/>
          <w:szCs w:val="24"/>
        </w:rPr>
      </w:pPr>
    </w:p>
    <w:p>
      <w:pPr>
        <w:ind w:firstLine="420" w:firstLineChars="175"/>
        <w:outlineLvl w:val="0"/>
        <w:rPr>
          <w:rFonts w:ascii="黑体" w:hAnsi="宋体" w:eastAsia="黑体"/>
          <w:bCs/>
          <w:sz w:val="24"/>
          <w:szCs w:val="24"/>
        </w:rPr>
      </w:pPr>
    </w:p>
    <w:p>
      <w:pPr>
        <w:ind w:firstLine="420" w:firstLineChars="175"/>
        <w:outlineLvl w:val="0"/>
        <w:rPr>
          <w:rFonts w:ascii="黑体" w:hAnsi="宋体" w:eastAsia="黑体"/>
          <w:bCs/>
          <w:sz w:val="24"/>
          <w:szCs w:val="24"/>
        </w:rPr>
      </w:pPr>
    </w:p>
    <w:p>
      <w:pPr>
        <w:ind w:firstLine="420" w:firstLineChars="175"/>
        <w:outlineLvl w:val="0"/>
        <w:rPr>
          <w:rFonts w:ascii="黑体" w:hAnsi="宋体" w:eastAsia="黑体"/>
          <w:bCs/>
          <w:sz w:val="24"/>
          <w:szCs w:val="24"/>
        </w:rPr>
      </w:pPr>
    </w:p>
    <w:p>
      <w:pPr>
        <w:ind w:firstLine="420" w:firstLineChars="175"/>
        <w:outlineLvl w:val="0"/>
        <w:rPr>
          <w:rFonts w:ascii="黑体" w:hAnsi="宋体" w:eastAsia="黑体"/>
          <w:bCs/>
          <w:sz w:val="24"/>
          <w:szCs w:val="24"/>
        </w:rPr>
      </w:pPr>
    </w:p>
    <w:p>
      <w:pPr>
        <w:ind w:firstLine="420" w:firstLineChars="175"/>
        <w:outlineLvl w:val="0"/>
        <w:rPr>
          <w:rFonts w:ascii="黑体" w:hAnsi="宋体" w:eastAsia="黑体"/>
          <w:bCs/>
          <w:sz w:val="24"/>
          <w:szCs w:val="24"/>
        </w:rPr>
      </w:pPr>
    </w:p>
    <w:p>
      <w:pPr>
        <w:ind w:firstLine="420" w:firstLineChars="175"/>
        <w:outlineLvl w:val="0"/>
        <w:rPr>
          <w:rFonts w:ascii="黑体" w:hAnsi="宋体" w:eastAsia="黑体"/>
          <w:bCs/>
          <w:sz w:val="24"/>
          <w:szCs w:val="24"/>
        </w:rPr>
      </w:pPr>
    </w:p>
    <w:p>
      <w:pPr>
        <w:ind w:firstLine="420" w:firstLineChars="175"/>
        <w:outlineLvl w:val="0"/>
        <w:rPr>
          <w:rFonts w:ascii="黑体" w:hAnsi="宋体" w:eastAsia="黑体"/>
          <w:bCs/>
          <w:sz w:val="24"/>
          <w:szCs w:val="24"/>
        </w:rPr>
      </w:pPr>
    </w:p>
    <w:p>
      <w:pPr>
        <w:ind w:firstLine="420" w:firstLineChars="175"/>
        <w:outlineLvl w:val="0"/>
        <w:rPr>
          <w:rFonts w:ascii="黑体" w:hAnsi="宋体" w:eastAsia="黑体"/>
          <w:bCs/>
          <w:sz w:val="24"/>
          <w:szCs w:val="24"/>
        </w:rPr>
      </w:pPr>
    </w:p>
    <w:p>
      <w:pPr>
        <w:ind w:firstLine="420" w:firstLineChars="175"/>
        <w:outlineLvl w:val="0"/>
        <w:rPr>
          <w:rFonts w:ascii="黑体" w:hAnsi="宋体" w:eastAsia="黑体"/>
          <w:bCs/>
          <w:sz w:val="24"/>
          <w:szCs w:val="24"/>
        </w:rPr>
      </w:pPr>
    </w:p>
    <w:p>
      <w:pPr>
        <w:ind w:firstLine="420" w:firstLineChars="175"/>
        <w:outlineLvl w:val="0"/>
        <w:rPr>
          <w:rFonts w:ascii="黑体" w:hAnsi="宋体" w:eastAsia="黑体"/>
          <w:bCs/>
          <w:sz w:val="24"/>
          <w:szCs w:val="24"/>
        </w:rPr>
      </w:pPr>
    </w:p>
    <w:p>
      <w:pPr>
        <w:ind w:firstLine="420" w:firstLineChars="175"/>
        <w:outlineLvl w:val="0"/>
        <w:rPr>
          <w:rFonts w:ascii="黑体" w:hAnsi="宋体" w:eastAsia="黑体"/>
          <w:bCs/>
          <w:sz w:val="24"/>
          <w:szCs w:val="24"/>
        </w:rPr>
      </w:pPr>
    </w:p>
    <w:p>
      <w:pPr>
        <w:spacing w:line="400" w:lineRule="exact"/>
        <w:rPr>
          <w:rFonts w:ascii="黑体" w:hAnsi="宋体" w:eastAsia="黑体"/>
          <w:bCs/>
          <w:sz w:val="24"/>
          <w:szCs w:val="24"/>
        </w:rPr>
      </w:pPr>
    </w:p>
    <w:sectPr>
      <w:headerReference r:id="rId4" w:type="first"/>
      <w:footerReference r:id="rId7" w:type="first"/>
      <w:headerReference r:id="rId3" w:type="default"/>
      <w:footerReference r:id="rId5" w:type="default"/>
      <w:footerReference r:id="rId6" w:type="even"/>
      <w:pgSz w:w="11906" w:h="16838"/>
      <w:pgMar w:top="567" w:right="851" w:bottom="567" w:left="1134" w:header="624" w:footer="907" w:gutter="0"/>
      <w:pgNumType w:start="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黑体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rPr>
        <w:lang w:val="zh-CN"/>
      </w:rPr>
      <w:t>1</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7"/>
      </w:rPr>
    </w:pPr>
    <w:r>
      <w:rPr>
        <w:rStyle w:val="27"/>
      </w:rPr>
      <w:fldChar w:fldCharType="begin"/>
    </w:r>
    <w:r>
      <w:rPr>
        <w:rStyle w:val="27"/>
      </w:rPr>
      <w:instrText xml:space="preserve">PAGE  </w:instrText>
    </w:r>
    <w:r>
      <w:rPr>
        <w:rStyle w:val="27"/>
      </w:rPr>
      <w:fldChar w:fldCharType="separate"/>
    </w:r>
    <w:r>
      <w:rPr>
        <w:rStyle w:val="27"/>
      </w:rPr>
      <w:t>1</w:t>
    </w:r>
    <w:r>
      <w:rPr>
        <w:rStyle w:val="27"/>
      </w:rPr>
      <w:fldChar w:fldCharType="end"/>
    </w:r>
  </w:p>
  <w:p>
    <w:pPr>
      <w:pStyle w:val="1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rPr>
        <w:rFonts w:ascii="黑体" w:hAnsi="黑体" w:eastAsia="黑体"/>
      </w:rPr>
    </w:pPr>
    <w:r>
      <w:rPr>
        <w:rFonts w:ascii="黑体" w:hAnsi="黑体" w:eastAsia="黑体"/>
      </w:rPr>
      <w:t>BHJYZXKJ2023001</w:t>
    </w:r>
    <w:r>
      <w:rPr>
        <w:rFonts w:hint="eastAsia" w:ascii="黑体" w:hAnsi="黑体" w:eastAsia="黑体"/>
      </w:rPr>
      <w:t xml:space="preserve">  </w:t>
    </w:r>
    <w:r>
      <w:rPr>
        <w:rFonts w:ascii="黑体" w:hAnsi="黑体" w:eastAsia="黑体"/>
      </w:rPr>
      <w:t xml:space="preserve">   </w:t>
    </w:r>
    <w:r>
      <w:rPr>
        <w:rFonts w:hint="eastAsia" w:ascii="黑体" w:hAnsi="黑体" w:eastAsia="黑体"/>
      </w:rPr>
      <w:t>2023-2025年度无锡市滨湖区车辆维修和保养服务框架协议采购    无锡市滨湖区公共资源交易中心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C81397"/>
    <w:multiLevelType w:val="multilevel"/>
    <w:tmpl w:val="04C81397"/>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085007CF"/>
    <w:multiLevelType w:val="multilevel"/>
    <w:tmpl w:val="085007CF"/>
    <w:lvl w:ilvl="0" w:tentative="0">
      <w:start w:val="1"/>
      <w:numFmt w:val="decimal"/>
      <w:lvlText w:val="%1."/>
      <w:lvlJc w:val="left"/>
      <w:pPr>
        <w:tabs>
          <w:tab w:val="left" w:pos="987"/>
        </w:tabs>
        <w:ind w:left="987" w:hanging="420"/>
      </w:pPr>
      <w:rPr>
        <w:rFonts w:cs="Times New Roman"/>
      </w:rPr>
    </w:lvl>
    <w:lvl w:ilvl="1" w:tentative="0">
      <w:start w:val="1"/>
      <w:numFmt w:val="decimal"/>
      <w:lvlText w:val="（%2）"/>
      <w:lvlJc w:val="left"/>
      <w:pPr>
        <w:tabs>
          <w:tab w:val="left" w:pos="990"/>
        </w:tabs>
        <w:ind w:left="990" w:hanging="360"/>
      </w:pPr>
      <w:rPr>
        <w:rFonts w:ascii="宋体" w:hAnsi="宋体" w:eastAsia="宋体" w:cs="Times New Roman"/>
        <w:b w:val="0"/>
        <w:color w:val="auto"/>
      </w:rPr>
    </w:lvl>
    <w:lvl w:ilvl="2" w:tentative="0">
      <w:start w:val="1"/>
      <w:numFmt w:val="lowerRoman"/>
      <w:lvlText w:val="%3."/>
      <w:lvlJc w:val="right"/>
      <w:pPr>
        <w:tabs>
          <w:tab w:val="left" w:pos="1470"/>
        </w:tabs>
        <w:ind w:left="1470" w:hanging="420"/>
      </w:pPr>
      <w:rPr>
        <w:rFonts w:cs="Times New Roman"/>
      </w:rPr>
    </w:lvl>
    <w:lvl w:ilvl="3" w:tentative="0">
      <w:start w:val="1"/>
      <w:numFmt w:val="decimal"/>
      <w:lvlText w:val="%4."/>
      <w:lvlJc w:val="left"/>
      <w:pPr>
        <w:tabs>
          <w:tab w:val="left" w:pos="1890"/>
        </w:tabs>
        <w:ind w:left="1890" w:hanging="420"/>
      </w:pPr>
      <w:rPr>
        <w:rFonts w:cs="Times New Roman"/>
      </w:rPr>
    </w:lvl>
    <w:lvl w:ilvl="4" w:tentative="0">
      <w:start w:val="1"/>
      <w:numFmt w:val="lowerLetter"/>
      <w:lvlText w:val="%5)"/>
      <w:lvlJc w:val="left"/>
      <w:pPr>
        <w:tabs>
          <w:tab w:val="left" w:pos="2310"/>
        </w:tabs>
        <w:ind w:left="2310" w:hanging="420"/>
      </w:pPr>
      <w:rPr>
        <w:rFonts w:cs="Times New Roman"/>
      </w:rPr>
    </w:lvl>
    <w:lvl w:ilvl="5" w:tentative="0">
      <w:start w:val="1"/>
      <w:numFmt w:val="lowerRoman"/>
      <w:lvlText w:val="%6."/>
      <w:lvlJc w:val="right"/>
      <w:pPr>
        <w:tabs>
          <w:tab w:val="left" w:pos="2730"/>
        </w:tabs>
        <w:ind w:left="2730" w:hanging="420"/>
      </w:pPr>
      <w:rPr>
        <w:rFonts w:cs="Times New Roman"/>
      </w:rPr>
    </w:lvl>
    <w:lvl w:ilvl="6" w:tentative="0">
      <w:start w:val="1"/>
      <w:numFmt w:val="decimal"/>
      <w:lvlText w:val="%7."/>
      <w:lvlJc w:val="left"/>
      <w:pPr>
        <w:tabs>
          <w:tab w:val="left" w:pos="3150"/>
        </w:tabs>
        <w:ind w:left="3150" w:hanging="420"/>
      </w:pPr>
      <w:rPr>
        <w:rFonts w:cs="Times New Roman"/>
      </w:rPr>
    </w:lvl>
    <w:lvl w:ilvl="7" w:tentative="0">
      <w:start w:val="1"/>
      <w:numFmt w:val="lowerLetter"/>
      <w:lvlText w:val="%8)"/>
      <w:lvlJc w:val="left"/>
      <w:pPr>
        <w:tabs>
          <w:tab w:val="left" w:pos="3570"/>
        </w:tabs>
        <w:ind w:left="3570" w:hanging="420"/>
      </w:pPr>
      <w:rPr>
        <w:rFonts w:cs="Times New Roman"/>
      </w:rPr>
    </w:lvl>
    <w:lvl w:ilvl="8" w:tentative="0">
      <w:start w:val="1"/>
      <w:numFmt w:val="lowerRoman"/>
      <w:lvlText w:val="%9."/>
      <w:lvlJc w:val="right"/>
      <w:pPr>
        <w:tabs>
          <w:tab w:val="left" w:pos="3990"/>
        </w:tabs>
        <w:ind w:left="3990" w:hanging="420"/>
      </w:pPr>
      <w:rPr>
        <w:rFonts w:cs="Times New Roman"/>
      </w:rPr>
    </w:lvl>
  </w:abstractNum>
  <w:abstractNum w:abstractNumId="2">
    <w:nsid w:val="10926BFE"/>
    <w:multiLevelType w:val="multilevel"/>
    <w:tmpl w:val="10926BFE"/>
    <w:lvl w:ilvl="0" w:tentative="0">
      <w:start w:val="1"/>
      <w:numFmt w:val="japaneseCounting"/>
      <w:lvlText w:val="（%1）"/>
      <w:lvlJc w:val="left"/>
      <w:pPr>
        <w:tabs>
          <w:tab w:val="left" w:pos="1080"/>
        </w:tabs>
        <w:ind w:left="1080" w:hanging="1080"/>
      </w:pPr>
      <w:rPr>
        <w:rFonts w:hint="eastAsia" w:cs="Times New Roman"/>
      </w:rPr>
    </w:lvl>
    <w:lvl w:ilvl="1" w:tentative="0">
      <w:start w:val="1"/>
      <w:numFmt w:val="decimal"/>
      <w:lvlText w:val="%2."/>
      <w:lvlJc w:val="left"/>
      <w:pPr>
        <w:tabs>
          <w:tab w:val="left" w:pos="780"/>
        </w:tabs>
        <w:ind w:left="780" w:hanging="360"/>
      </w:pPr>
      <w:rPr>
        <w:rFonts w:hint="eastAsia" w:cs="Times New Roman"/>
        <w:color w:val="auto"/>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16D06470"/>
    <w:multiLevelType w:val="multilevel"/>
    <w:tmpl w:val="16D06470"/>
    <w:lvl w:ilvl="0" w:tentative="0">
      <w:start w:val="1"/>
      <w:numFmt w:val="decimalEnclosedCircle"/>
      <w:lvlText w:val="%1"/>
      <w:lvlJc w:val="left"/>
      <w:pPr>
        <w:ind w:left="943" w:hanging="420"/>
      </w:pPr>
      <w:rPr>
        <w:rFonts w:ascii="Times New Roman" w:hAnsi="Times New Roman" w:eastAsia="Times New Roman" w:cs="Times New Roman"/>
        <w:color w:val="auto"/>
      </w:rPr>
    </w:lvl>
    <w:lvl w:ilvl="1" w:tentative="0">
      <w:start w:val="1"/>
      <w:numFmt w:val="lowerLetter"/>
      <w:lvlText w:val="%2)"/>
      <w:lvlJc w:val="left"/>
      <w:pPr>
        <w:ind w:left="1363" w:hanging="420"/>
      </w:pPr>
    </w:lvl>
    <w:lvl w:ilvl="2" w:tentative="0">
      <w:start w:val="1"/>
      <w:numFmt w:val="lowerRoman"/>
      <w:lvlText w:val="%3."/>
      <w:lvlJc w:val="right"/>
      <w:pPr>
        <w:ind w:left="1783" w:hanging="420"/>
      </w:pPr>
    </w:lvl>
    <w:lvl w:ilvl="3" w:tentative="0">
      <w:start w:val="1"/>
      <w:numFmt w:val="decimal"/>
      <w:lvlText w:val="%4."/>
      <w:lvlJc w:val="left"/>
      <w:pPr>
        <w:ind w:left="2203" w:hanging="420"/>
      </w:pPr>
    </w:lvl>
    <w:lvl w:ilvl="4" w:tentative="0">
      <w:start w:val="1"/>
      <w:numFmt w:val="lowerLetter"/>
      <w:lvlText w:val="%5)"/>
      <w:lvlJc w:val="left"/>
      <w:pPr>
        <w:ind w:left="2623" w:hanging="420"/>
      </w:pPr>
    </w:lvl>
    <w:lvl w:ilvl="5" w:tentative="0">
      <w:start w:val="1"/>
      <w:numFmt w:val="lowerRoman"/>
      <w:lvlText w:val="%6."/>
      <w:lvlJc w:val="right"/>
      <w:pPr>
        <w:ind w:left="3043" w:hanging="420"/>
      </w:pPr>
    </w:lvl>
    <w:lvl w:ilvl="6" w:tentative="0">
      <w:start w:val="1"/>
      <w:numFmt w:val="decimal"/>
      <w:lvlText w:val="%7."/>
      <w:lvlJc w:val="left"/>
      <w:pPr>
        <w:ind w:left="3463" w:hanging="420"/>
      </w:pPr>
    </w:lvl>
    <w:lvl w:ilvl="7" w:tentative="0">
      <w:start w:val="1"/>
      <w:numFmt w:val="lowerLetter"/>
      <w:lvlText w:val="%8)"/>
      <w:lvlJc w:val="left"/>
      <w:pPr>
        <w:ind w:left="3883" w:hanging="420"/>
      </w:pPr>
    </w:lvl>
    <w:lvl w:ilvl="8" w:tentative="0">
      <w:start w:val="1"/>
      <w:numFmt w:val="lowerRoman"/>
      <w:lvlText w:val="%9."/>
      <w:lvlJc w:val="right"/>
      <w:pPr>
        <w:ind w:left="4303" w:hanging="420"/>
      </w:pPr>
    </w:lvl>
  </w:abstractNum>
  <w:abstractNum w:abstractNumId="4">
    <w:nsid w:val="199A5AD6"/>
    <w:multiLevelType w:val="multilevel"/>
    <w:tmpl w:val="199A5AD6"/>
    <w:lvl w:ilvl="0" w:tentative="0">
      <w:start w:val="1"/>
      <w:numFmt w:val="lowerLetter"/>
      <w:lvlText w:val="%1)"/>
      <w:lvlJc w:val="left"/>
      <w:pPr>
        <w:ind w:left="943" w:hanging="420"/>
      </w:pPr>
    </w:lvl>
    <w:lvl w:ilvl="1" w:tentative="0">
      <w:start w:val="1"/>
      <w:numFmt w:val="lowerLetter"/>
      <w:lvlText w:val="%2)"/>
      <w:lvlJc w:val="left"/>
      <w:pPr>
        <w:ind w:left="1363" w:hanging="420"/>
      </w:pPr>
    </w:lvl>
    <w:lvl w:ilvl="2" w:tentative="0">
      <w:start w:val="1"/>
      <w:numFmt w:val="lowerRoman"/>
      <w:lvlText w:val="%3."/>
      <w:lvlJc w:val="right"/>
      <w:pPr>
        <w:ind w:left="1783" w:hanging="420"/>
      </w:pPr>
    </w:lvl>
    <w:lvl w:ilvl="3" w:tentative="0">
      <w:start w:val="1"/>
      <w:numFmt w:val="decimal"/>
      <w:lvlText w:val="%4."/>
      <w:lvlJc w:val="left"/>
      <w:pPr>
        <w:ind w:left="2203" w:hanging="420"/>
      </w:pPr>
    </w:lvl>
    <w:lvl w:ilvl="4" w:tentative="0">
      <w:start w:val="1"/>
      <w:numFmt w:val="lowerLetter"/>
      <w:lvlText w:val="%5)"/>
      <w:lvlJc w:val="left"/>
      <w:pPr>
        <w:ind w:left="2623" w:hanging="420"/>
      </w:pPr>
    </w:lvl>
    <w:lvl w:ilvl="5" w:tentative="0">
      <w:start w:val="1"/>
      <w:numFmt w:val="lowerRoman"/>
      <w:lvlText w:val="%6."/>
      <w:lvlJc w:val="right"/>
      <w:pPr>
        <w:ind w:left="3043" w:hanging="420"/>
      </w:pPr>
    </w:lvl>
    <w:lvl w:ilvl="6" w:tentative="0">
      <w:start w:val="1"/>
      <w:numFmt w:val="decimal"/>
      <w:lvlText w:val="%7."/>
      <w:lvlJc w:val="left"/>
      <w:pPr>
        <w:ind w:left="3463" w:hanging="420"/>
      </w:pPr>
    </w:lvl>
    <w:lvl w:ilvl="7" w:tentative="0">
      <w:start w:val="1"/>
      <w:numFmt w:val="lowerLetter"/>
      <w:lvlText w:val="%8)"/>
      <w:lvlJc w:val="left"/>
      <w:pPr>
        <w:ind w:left="3883" w:hanging="420"/>
      </w:pPr>
    </w:lvl>
    <w:lvl w:ilvl="8" w:tentative="0">
      <w:start w:val="1"/>
      <w:numFmt w:val="lowerRoman"/>
      <w:lvlText w:val="%9."/>
      <w:lvlJc w:val="right"/>
      <w:pPr>
        <w:ind w:left="4303" w:hanging="420"/>
      </w:pPr>
    </w:lvl>
  </w:abstractNum>
  <w:abstractNum w:abstractNumId="5">
    <w:nsid w:val="1C9F47CF"/>
    <w:multiLevelType w:val="multilevel"/>
    <w:tmpl w:val="1C9F47CF"/>
    <w:lvl w:ilvl="0" w:tentative="0">
      <w:start w:val="1"/>
      <w:numFmt w:val="decimal"/>
      <w:lvlText w:val="（%1）"/>
      <w:lvlJc w:val="left"/>
      <w:pPr>
        <w:ind w:left="945" w:hanging="420"/>
      </w:pPr>
      <w:rPr>
        <w:rFonts w:ascii="Times New Roman" w:hAnsi="Times New Roman" w:eastAsia="Times New Roman" w:cs="Times New Roman"/>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6">
    <w:nsid w:val="1FD96D2B"/>
    <w:multiLevelType w:val="singleLevel"/>
    <w:tmpl w:val="1FD96D2B"/>
    <w:lvl w:ilvl="0" w:tentative="0">
      <w:start w:val="1"/>
      <w:numFmt w:val="decimal"/>
      <w:lvlText w:val="（%1）"/>
      <w:lvlJc w:val="left"/>
      <w:pPr>
        <w:tabs>
          <w:tab w:val="left" w:pos="1104"/>
        </w:tabs>
        <w:ind w:left="1104" w:hanging="696"/>
      </w:pPr>
      <w:rPr>
        <w:rFonts w:ascii="Times New Roman" w:hAnsi="Times New Roman" w:eastAsia="Times New Roman" w:cs="Times New Roman"/>
      </w:rPr>
    </w:lvl>
  </w:abstractNum>
  <w:abstractNum w:abstractNumId="7">
    <w:nsid w:val="26D85E2D"/>
    <w:multiLevelType w:val="multilevel"/>
    <w:tmpl w:val="26D85E2D"/>
    <w:lvl w:ilvl="0" w:tentative="0">
      <w:start w:val="1"/>
      <w:numFmt w:val="decimal"/>
      <w:lvlText w:val="%1．"/>
      <w:lvlJc w:val="left"/>
      <w:pPr>
        <w:tabs>
          <w:tab w:val="left" w:pos="898"/>
        </w:tabs>
        <w:ind w:left="898" w:hanging="720"/>
      </w:pPr>
      <w:rPr>
        <w:rFonts w:hint="eastAsia" w:cs="Times New Roman"/>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2F28583A"/>
    <w:multiLevelType w:val="multilevel"/>
    <w:tmpl w:val="2F28583A"/>
    <w:lvl w:ilvl="0" w:tentative="0">
      <w:start w:val="1"/>
      <w:numFmt w:val="decimal"/>
      <w:lvlText w:val="（%1）"/>
      <w:lvlJc w:val="left"/>
      <w:pPr>
        <w:ind w:left="1020" w:hanging="420"/>
      </w:pPr>
      <w:rPr>
        <w:rFonts w:ascii="Times New Roman" w:hAnsi="Times New Roman" w:eastAsia="Times New Roman" w:cs="Times New Roman"/>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rPr>
        <w:rFonts w:ascii="Times New Roman" w:hAnsi="Times New Roman" w:eastAsia="Times New Roman" w:cs="Times New Roman"/>
      </w:r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9">
    <w:nsid w:val="30C36D78"/>
    <w:multiLevelType w:val="singleLevel"/>
    <w:tmpl w:val="30C36D78"/>
    <w:lvl w:ilvl="0" w:tentative="0">
      <w:start w:val="1"/>
      <w:numFmt w:val="decimal"/>
      <w:lvlText w:val="%1．"/>
      <w:lvlJc w:val="left"/>
      <w:pPr>
        <w:tabs>
          <w:tab w:val="left" w:pos="552"/>
        </w:tabs>
        <w:ind w:left="552" w:hanging="420"/>
      </w:pPr>
      <w:rPr>
        <w:rFonts w:hint="eastAsia" w:cs="Times New Roman"/>
      </w:rPr>
    </w:lvl>
  </w:abstractNum>
  <w:abstractNum w:abstractNumId="10">
    <w:nsid w:val="3AE63A52"/>
    <w:multiLevelType w:val="singleLevel"/>
    <w:tmpl w:val="3AE63A52"/>
    <w:lvl w:ilvl="0" w:tentative="0">
      <w:start w:val="1"/>
      <w:numFmt w:val="decimal"/>
      <w:lvlText w:val="%1."/>
      <w:lvlJc w:val="left"/>
      <w:pPr>
        <w:tabs>
          <w:tab w:val="left" w:pos="762"/>
        </w:tabs>
        <w:ind w:left="762" w:hanging="210"/>
      </w:pPr>
      <w:rPr>
        <w:rFonts w:hint="eastAsia" w:cs="Times New Roman"/>
      </w:rPr>
    </w:lvl>
  </w:abstractNum>
  <w:abstractNum w:abstractNumId="11">
    <w:nsid w:val="41DC48F5"/>
    <w:multiLevelType w:val="multilevel"/>
    <w:tmpl w:val="41DC48F5"/>
    <w:lvl w:ilvl="0" w:tentative="0">
      <w:start w:val="1"/>
      <w:numFmt w:val="decimal"/>
      <w:lvlText w:val="%1．"/>
      <w:lvlJc w:val="left"/>
      <w:pPr>
        <w:tabs>
          <w:tab w:val="left" w:pos="1287"/>
        </w:tabs>
        <w:ind w:left="1287" w:hanging="720"/>
      </w:pPr>
      <w:rPr>
        <w:rFonts w:hint="eastAsia" w:cs="Times New Roman"/>
        <w:color w:val="000000"/>
      </w:rPr>
    </w:lvl>
    <w:lvl w:ilvl="1" w:tentative="0">
      <w:start w:val="3"/>
      <w:numFmt w:val="decimal"/>
      <w:lvlText w:val="%2."/>
      <w:lvlJc w:val="left"/>
      <w:pPr>
        <w:tabs>
          <w:tab w:val="left" w:pos="1347"/>
        </w:tabs>
        <w:ind w:left="1347" w:hanging="360"/>
      </w:pPr>
      <w:rPr>
        <w:rFonts w:hint="default" w:cs="Times New Roman"/>
      </w:rPr>
    </w:lvl>
    <w:lvl w:ilvl="2" w:tentative="0">
      <w:start w:val="1"/>
      <w:numFmt w:val="decimalEnclosedCircle"/>
      <w:lvlText w:val="%3"/>
      <w:lvlJc w:val="left"/>
      <w:pPr>
        <w:tabs>
          <w:tab w:val="left" w:pos="1767"/>
        </w:tabs>
        <w:ind w:left="1767" w:hanging="360"/>
      </w:pPr>
      <w:rPr>
        <w:rFonts w:hint="default" w:cs="Times New Roman"/>
        <w:color w:val="auto"/>
      </w:rPr>
    </w:lvl>
    <w:lvl w:ilvl="3" w:tentative="0">
      <w:start w:val="1"/>
      <w:numFmt w:val="decimal"/>
      <w:lvlText w:val="%4."/>
      <w:lvlJc w:val="left"/>
      <w:pPr>
        <w:tabs>
          <w:tab w:val="left" w:pos="2247"/>
        </w:tabs>
        <w:ind w:left="2247" w:hanging="420"/>
      </w:pPr>
      <w:rPr>
        <w:rFonts w:cs="Times New Roman"/>
      </w:rPr>
    </w:lvl>
    <w:lvl w:ilvl="4" w:tentative="0">
      <w:start w:val="1"/>
      <w:numFmt w:val="lowerLetter"/>
      <w:lvlText w:val="%5)"/>
      <w:lvlJc w:val="left"/>
      <w:pPr>
        <w:tabs>
          <w:tab w:val="left" w:pos="2667"/>
        </w:tabs>
        <w:ind w:left="2667" w:hanging="420"/>
      </w:pPr>
      <w:rPr>
        <w:rFonts w:cs="Times New Roman"/>
      </w:rPr>
    </w:lvl>
    <w:lvl w:ilvl="5" w:tentative="0">
      <w:start w:val="1"/>
      <w:numFmt w:val="lowerRoman"/>
      <w:lvlText w:val="%6."/>
      <w:lvlJc w:val="right"/>
      <w:pPr>
        <w:tabs>
          <w:tab w:val="left" w:pos="3087"/>
        </w:tabs>
        <w:ind w:left="3087" w:hanging="420"/>
      </w:pPr>
      <w:rPr>
        <w:rFonts w:cs="Times New Roman"/>
      </w:rPr>
    </w:lvl>
    <w:lvl w:ilvl="6" w:tentative="0">
      <w:start w:val="1"/>
      <w:numFmt w:val="decimal"/>
      <w:lvlText w:val="%7."/>
      <w:lvlJc w:val="left"/>
      <w:pPr>
        <w:tabs>
          <w:tab w:val="left" w:pos="3507"/>
        </w:tabs>
        <w:ind w:left="3507" w:hanging="420"/>
      </w:pPr>
      <w:rPr>
        <w:rFonts w:cs="Times New Roman"/>
      </w:rPr>
    </w:lvl>
    <w:lvl w:ilvl="7" w:tentative="0">
      <w:start w:val="1"/>
      <w:numFmt w:val="lowerLetter"/>
      <w:lvlText w:val="%8)"/>
      <w:lvlJc w:val="left"/>
      <w:pPr>
        <w:tabs>
          <w:tab w:val="left" w:pos="3927"/>
        </w:tabs>
        <w:ind w:left="3927" w:hanging="420"/>
      </w:pPr>
      <w:rPr>
        <w:rFonts w:cs="Times New Roman"/>
      </w:rPr>
    </w:lvl>
    <w:lvl w:ilvl="8" w:tentative="0">
      <w:start w:val="1"/>
      <w:numFmt w:val="lowerRoman"/>
      <w:lvlText w:val="%9."/>
      <w:lvlJc w:val="right"/>
      <w:pPr>
        <w:tabs>
          <w:tab w:val="left" w:pos="4347"/>
        </w:tabs>
        <w:ind w:left="4347" w:hanging="420"/>
      </w:pPr>
      <w:rPr>
        <w:rFonts w:cs="Times New Roman"/>
      </w:rPr>
    </w:lvl>
  </w:abstractNum>
  <w:abstractNum w:abstractNumId="12">
    <w:nsid w:val="4BC33A8D"/>
    <w:multiLevelType w:val="multilevel"/>
    <w:tmpl w:val="4BC33A8D"/>
    <w:lvl w:ilvl="0" w:tentative="0">
      <w:start w:val="1"/>
      <w:numFmt w:val="decimalEnclosedCircle"/>
      <w:lvlText w:val="%1"/>
      <w:lvlJc w:val="left"/>
      <w:pPr>
        <w:ind w:left="943" w:hanging="420"/>
      </w:pPr>
      <w:rPr>
        <w:rFonts w:ascii="宋体" w:hAnsi="宋体" w:eastAsia="宋体" w:cs="Times New Roman"/>
      </w:rPr>
    </w:lvl>
    <w:lvl w:ilvl="1" w:tentative="0">
      <w:start w:val="1"/>
      <w:numFmt w:val="lowerLetter"/>
      <w:lvlText w:val="%2)"/>
      <w:lvlJc w:val="left"/>
      <w:pPr>
        <w:ind w:left="1363" w:hanging="420"/>
      </w:pPr>
    </w:lvl>
    <w:lvl w:ilvl="2" w:tentative="0">
      <w:start w:val="1"/>
      <w:numFmt w:val="lowerRoman"/>
      <w:lvlText w:val="%3."/>
      <w:lvlJc w:val="right"/>
      <w:pPr>
        <w:ind w:left="1783" w:hanging="420"/>
      </w:pPr>
    </w:lvl>
    <w:lvl w:ilvl="3" w:tentative="0">
      <w:start w:val="1"/>
      <w:numFmt w:val="decimal"/>
      <w:lvlText w:val="%4."/>
      <w:lvlJc w:val="left"/>
      <w:pPr>
        <w:ind w:left="2203" w:hanging="420"/>
      </w:pPr>
    </w:lvl>
    <w:lvl w:ilvl="4" w:tentative="0">
      <w:start w:val="1"/>
      <w:numFmt w:val="lowerLetter"/>
      <w:lvlText w:val="%5)"/>
      <w:lvlJc w:val="left"/>
      <w:pPr>
        <w:ind w:left="2623" w:hanging="420"/>
      </w:pPr>
    </w:lvl>
    <w:lvl w:ilvl="5" w:tentative="0">
      <w:start w:val="1"/>
      <w:numFmt w:val="lowerRoman"/>
      <w:lvlText w:val="%6."/>
      <w:lvlJc w:val="right"/>
      <w:pPr>
        <w:ind w:left="3043" w:hanging="420"/>
      </w:pPr>
    </w:lvl>
    <w:lvl w:ilvl="6" w:tentative="0">
      <w:start w:val="1"/>
      <w:numFmt w:val="decimal"/>
      <w:lvlText w:val="%7."/>
      <w:lvlJc w:val="left"/>
      <w:pPr>
        <w:ind w:left="3463" w:hanging="420"/>
      </w:pPr>
    </w:lvl>
    <w:lvl w:ilvl="7" w:tentative="0">
      <w:start w:val="1"/>
      <w:numFmt w:val="lowerLetter"/>
      <w:lvlText w:val="%8)"/>
      <w:lvlJc w:val="left"/>
      <w:pPr>
        <w:ind w:left="3883" w:hanging="420"/>
      </w:pPr>
    </w:lvl>
    <w:lvl w:ilvl="8" w:tentative="0">
      <w:start w:val="1"/>
      <w:numFmt w:val="lowerRoman"/>
      <w:lvlText w:val="%9."/>
      <w:lvlJc w:val="right"/>
      <w:pPr>
        <w:ind w:left="4303" w:hanging="420"/>
      </w:pPr>
    </w:lvl>
  </w:abstractNum>
  <w:abstractNum w:abstractNumId="13">
    <w:nsid w:val="4FE82BE3"/>
    <w:multiLevelType w:val="multilevel"/>
    <w:tmpl w:val="4FE82BE3"/>
    <w:lvl w:ilvl="0" w:tentative="0">
      <w:start w:val="1"/>
      <w:numFmt w:val="decimalEnclosedCircle"/>
      <w:lvlText w:val="%1"/>
      <w:lvlJc w:val="left"/>
      <w:pPr>
        <w:tabs>
          <w:tab w:val="left" w:pos="881"/>
        </w:tabs>
        <w:ind w:left="881" w:hanging="360"/>
      </w:pPr>
      <w:rPr>
        <w:rFonts w:ascii="宋体" w:hAnsi="宋体" w:eastAsia="宋体" w:cs="Times New Roman"/>
      </w:rPr>
    </w:lvl>
    <w:lvl w:ilvl="1" w:tentative="0">
      <w:start w:val="1"/>
      <w:numFmt w:val="lowerLetter"/>
      <w:lvlText w:val="%2)"/>
      <w:lvlJc w:val="left"/>
      <w:pPr>
        <w:tabs>
          <w:tab w:val="left" w:pos="1361"/>
        </w:tabs>
        <w:ind w:left="1361" w:hanging="420"/>
      </w:pPr>
      <w:rPr>
        <w:rFonts w:cs="Times New Roman"/>
      </w:rPr>
    </w:lvl>
    <w:lvl w:ilvl="2" w:tentative="0">
      <w:start w:val="1"/>
      <w:numFmt w:val="lowerRoman"/>
      <w:lvlText w:val="%3."/>
      <w:lvlJc w:val="right"/>
      <w:pPr>
        <w:tabs>
          <w:tab w:val="left" w:pos="1781"/>
        </w:tabs>
        <w:ind w:left="1781" w:hanging="420"/>
      </w:pPr>
      <w:rPr>
        <w:rFonts w:cs="Times New Roman"/>
      </w:rPr>
    </w:lvl>
    <w:lvl w:ilvl="3" w:tentative="0">
      <w:start w:val="1"/>
      <w:numFmt w:val="decimal"/>
      <w:lvlText w:val="%4."/>
      <w:lvlJc w:val="left"/>
      <w:pPr>
        <w:tabs>
          <w:tab w:val="left" w:pos="2201"/>
        </w:tabs>
        <w:ind w:left="2201" w:hanging="420"/>
      </w:pPr>
      <w:rPr>
        <w:rFonts w:cs="Times New Roman"/>
      </w:rPr>
    </w:lvl>
    <w:lvl w:ilvl="4" w:tentative="0">
      <w:start w:val="1"/>
      <w:numFmt w:val="lowerLetter"/>
      <w:lvlText w:val="%5)"/>
      <w:lvlJc w:val="left"/>
      <w:pPr>
        <w:tabs>
          <w:tab w:val="left" w:pos="2621"/>
        </w:tabs>
        <w:ind w:left="2621" w:hanging="420"/>
      </w:pPr>
      <w:rPr>
        <w:rFonts w:cs="Times New Roman"/>
      </w:rPr>
    </w:lvl>
    <w:lvl w:ilvl="5" w:tentative="0">
      <w:start w:val="1"/>
      <w:numFmt w:val="lowerRoman"/>
      <w:lvlText w:val="%6."/>
      <w:lvlJc w:val="right"/>
      <w:pPr>
        <w:tabs>
          <w:tab w:val="left" w:pos="3041"/>
        </w:tabs>
        <w:ind w:left="3041" w:hanging="420"/>
      </w:pPr>
      <w:rPr>
        <w:rFonts w:cs="Times New Roman"/>
      </w:rPr>
    </w:lvl>
    <w:lvl w:ilvl="6" w:tentative="0">
      <w:start w:val="1"/>
      <w:numFmt w:val="decimal"/>
      <w:lvlText w:val="%7."/>
      <w:lvlJc w:val="left"/>
      <w:pPr>
        <w:tabs>
          <w:tab w:val="left" w:pos="3461"/>
        </w:tabs>
        <w:ind w:left="3461" w:hanging="420"/>
      </w:pPr>
      <w:rPr>
        <w:rFonts w:cs="Times New Roman"/>
      </w:rPr>
    </w:lvl>
    <w:lvl w:ilvl="7" w:tentative="0">
      <w:start w:val="1"/>
      <w:numFmt w:val="lowerLetter"/>
      <w:lvlText w:val="%8)"/>
      <w:lvlJc w:val="left"/>
      <w:pPr>
        <w:tabs>
          <w:tab w:val="left" w:pos="3881"/>
        </w:tabs>
        <w:ind w:left="3881" w:hanging="420"/>
      </w:pPr>
      <w:rPr>
        <w:rFonts w:cs="Times New Roman"/>
      </w:rPr>
    </w:lvl>
    <w:lvl w:ilvl="8" w:tentative="0">
      <w:start w:val="1"/>
      <w:numFmt w:val="lowerRoman"/>
      <w:lvlText w:val="%9."/>
      <w:lvlJc w:val="right"/>
      <w:pPr>
        <w:tabs>
          <w:tab w:val="left" w:pos="4301"/>
        </w:tabs>
        <w:ind w:left="4301" w:hanging="420"/>
      </w:pPr>
      <w:rPr>
        <w:rFonts w:cs="Times New Roman"/>
      </w:rPr>
    </w:lvl>
  </w:abstractNum>
  <w:abstractNum w:abstractNumId="14">
    <w:nsid w:val="510B6456"/>
    <w:multiLevelType w:val="singleLevel"/>
    <w:tmpl w:val="510B6456"/>
    <w:lvl w:ilvl="0" w:tentative="0">
      <w:start w:val="1"/>
      <w:numFmt w:val="decimal"/>
      <w:lvlText w:val="%1．"/>
      <w:lvlJc w:val="left"/>
      <w:pPr>
        <w:tabs>
          <w:tab w:val="left" w:pos="552"/>
        </w:tabs>
        <w:ind w:left="552" w:hanging="420"/>
      </w:pPr>
      <w:rPr>
        <w:rFonts w:hint="eastAsia" w:cs="Times New Roman"/>
        <w:color w:val="auto"/>
      </w:rPr>
    </w:lvl>
  </w:abstractNum>
  <w:abstractNum w:abstractNumId="15">
    <w:nsid w:val="56123E93"/>
    <w:multiLevelType w:val="multilevel"/>
    <w:tmpl w:val="56123E93"/>
    <w:lvl w:ilvl="0" w:tentative="0">
      <w:start w:val="1"/>
      <w:numFmt w:val="decimalEnclosedCircle"/>
      <w:lvlText w:val="%1"/>
      <w:lvlJc w:val="left"/>
      <w:pPr>
        <w:tabs>
          <w:tab w:val="left" w:pos="881"/>
        </w:tabs>
        <w:ind w:left="881" w:hanging="360"/>
      </w:pPr>
      <w:rPr>
        <w:rFonts w:ascii="宋体" w:hAnsi="宋体" w:eastAsia="宋体" w:cs="Times New Roman"/>
        <w:color w:val="auto"/>
      </w:rPr>
    </w:lvl>
    <w:lvl w:ilvl="1" w:tentative="0">
      <w:start w:val="1"/>
      <w:numFmt w:val="lowerLetter"/>
      <w:lvlText w:val="%2)"/>
      <w:lvlJc w:val="left"/>
      <w:pPr>
        <w:tabs>
          <w:tab w:val="left" w:pos="1361"/>
        </w:tabs>
        <w:ind w:left="1361" w:hanging="420"/>
      </w:pPr>
      <w:rPr>
        <w:rFonts w:cs="Times New Roman"/>
      </w:rPr>
    </w:lvl>
    <w:lvl w:ilvl="2" w:tentative="0">
      <w:start w:val="1"/>
      <w:numFmt w:val="lowerRoman"/>
      <w:lvlText w:val="%3."/>
      <w:lvlJc w:val="right"/>
      <w:pPr>
        <w:tabs>
          <w:tab w:val="left" w:pos="1781"/>
        </w:tabs>
        <w:ind w:left="1781" w:hanging="420"/>
      </w:pPr>
      <w:rPr>
        <w:rFonts w:cs="Times New Roman"/>
      </w:rPr>
    </w:lvl>
    <w:lvl w:ilvl="3" w:tentative="0">
      <w:start w:val="1"/>
      <w:numFmt w:val="decimal"/>
      <w:lvlText w:val="%4."/>
      <w:lvlJc w:val="left"/>
      <w:pPr>
        <w:tabs>
          <w:tab w:val="left" w:pos="2201"/>
        </w:tabs>
        <w:ind w:left="2201" w:hanging="420"/>
      </w:pPr>
      <w:rPr>
        <w:rFonts w:cs="Times New Roman"/>
      </w:rPr>
    </w:lvl>
    <w:lvl w:ilvl="4" w:tentative="0">
      <w:start w:val="1"/>
      <w:numFmt w:val="lowerLetter"/>
      <w:lvlText w:val="%5)"/>
      <w:lvlJc w:val="left"/>
      <w:pPr>
        <w:tabs>
          <w:tab w:val="left" w:pos="2621"/>
        </w:tabs>
        <w:ind w:left="2621" w:hanging="420"/>
      </w:pPr>
      <w:rPr>
        <w:rFonts w:cs="Times New Roman"/>
      </w:rPr>
    </w:lvl>
    <w:lvl w:ilvl="5" w:tentative="0">
      <w:start w:val="1"/>
      <w:numFmt w:val="lowerRoman"/>
      <w:lvlText w:val="%6."/>
      <w:lvlJc w:val="right"/>
      <w:pPr>
        <w:tabs>
          <w:tab w:val="left" w:pos="3041"/>
        </w:tabs>
        <w:ind w:left="3041" w:hanging="420"/>
      </w:pPr>
      <w:rPr>
        <w:rFonts w:cs="Times New Roman"/>
      </w:rPr>
    </w:lvl>
    <w:lvl w:ilvl="6" w:tentative="0">
      <w:start w:val="1"/>
      <w:numFmt w:val="decimal"/>
      <w:lvlText w:val="%7."/>
      <w:lvlJc w:val="left"/>
      <w:pPr>
        <w:tabs>
          <w:tab w:val="left" w:pos="3461"/>
        </w:tabs>
        <w:ind w:left="3461" w:hanging="420"/>
      </w:pPr>
      <w:rPr>
        <w:rFonts w:cs="Times New Roman"/>
      </w:rPr>
    </w:lvl>
    <w:lvl w:ilvl="7" w:tentative="0">
      <w:start w:val="1"/>
      <w:numFmt w:val="lowerLetter"/>
      <w:lvlText w:val="%8)"/>
      <w:lvlJc w:val="left"/>
      <w:pPr>
        <w:tabs>
          <w:tab w:val="left" w:pos="3881"/>
        </w:tabs>
        <w:ind w:left="3881" w:hanging="420"/>
      </w:pPr>
      <w:rPr>
        <w:rFonts w:cs="Times New Roman"/>
      </w:rPr>
    </w:lvl>
    <w:lvl w:ilvl="8" w:tentative="0">
      <w:start w:val="1"/>
      <w:numFmt w:val="lowerRoman"/>
      <w:lvlText w:val="%9."/>
      <w:lvlJc w:val="right"/>
      <w:pPr>
        <w:tabs>
          <w:tab w:val="left" w:pos="4301"/>
        </w:tabs>
        <w:ind w:left="4301" w:hanging="420"/>
      </w:pPr>
      <w:rPr>
        <w:rFonts w:cs="Times New Roman"/>
      </w:rPr>
    </w:lvl>
  </w:abstractNum>
  <w:abstractNum w:abstractNumId="16">
    <w:nsid w:val="630C1BC3"/>
    <w:multiLevelType w:val="multilevel"/>
    <w:tmpl w:val="630C1BC3"/>
    <w:lvl w:ilvl="0" w:tentative="0">
      <w:start w:val="1"/>
      <w:numFmt w:val="decimal"/>
      <w:lvlText w:val="%1."/>
      <w:lvlJc w:val="left"/>
      <w:pPr>
        <w:tabs>
          <w:tab w:val="left" w:pos="510"/>
        </w:tabs>
        <w:ind w:left="510" w:hanging="360"/>
      </w:pPr>
      <w:rPr>
        <w:rFonts w:hint="eastAsia" w:cs="Times New Roman"/>
      </w:rPr>
    </w:lvl>
    <w:lvl w:ilvl="1" w:tentative="0">
      <w:start w:val="1"/>
      <w:numFmt w:val="decimal"/>
      <w:lvlText w:val="%2．"/>
      <w:lvlJc w:val="left"/>
      <w:pPr>
        <w:tabs>
          <w:tab w:val="left" w:pos="1290"/>
        </w:tabs>
        <w:ind w:left="1290" w:hanging="720"/>
      </w:pPr>
      <w:rPr>
        <w:rFonts w:hint="eastAsia" w:cs="Times New Roman"/>
      </w:rPr>
    </w:lvl>
    <w:lvl w:ilvl="2" w:tentative="0">
      <w:start w:val="3"/>
      <w:numFmt w:val="decimal"/>
      <w:lvlText w:val="（%3）"/>
      <w:lvlJc w:val="left"/>
      <w:pPr>
        <w:tabs>
          <w:tab w:val="left" w:pos="1140"/>
        </w:tabs>
        <w:ind w:left="1140" w:hanging="720"/>
      </w:pPr>
      <w:rPr>
        <w:rFonts w:hint="eastAsia" w:cs="Times New Roman"/>
      </w:rPr>
    </w:lvl>
    <w:lvl w:ilvl="3" w:tentative="0">
      <w:start w:val="1"/>
      <w:numFmt w:val="decimal"/>
      <w:lvlText w:val="（%4）"/>
      <w:lvlJc w:val="left"/>
      <w:pPr>
        <w:tabs>
          <w:tab w:val="left" w:pos="1830"/>
        </w:tabs>
        <w:ind w:left="1830" w:hanging="420"/>
      </w:pPr>
      <w:rPr>
        <w:rFonts w:ascii="宋体" w:hAnsi="宋体" w:eastAsia="宋体" w:cs="Times New Roman"/>
      </w:rPr>
    </w:lvl>
    <w:lvl w:ilvl="4" w:tentative="0">
      <w:start w:val="1"/>
      <w:numFmt w:val="decimal"/>
      <w:lvlText w:val="（%5）"/>
      <w:lvlJc w:val="left"/>
      <w:pPr>
        <w:tabs>
          <w:tab w:val="left" w:pos="2250"/>
        </w:tabs>
        <w:ind w:left="2250" w:hanging="420"/>
      </w:pPr>
      <w:rPr>
        <w:rFonts w:hint="eastAsia" w:cs="Times New Roman"/>
        <w:b/>
        <w:lang w:val="en-US"/>
      </w:rPr>
    </w:lvl>
    <w:lvl w:ilvl="5" w:tentative="0">
      <w:start w:val="10"/>
      <w:numFmt w:val="japaneseCounting"/>
      <w:lvlText w:val="（%6）"/>
      <w:lvlJc w:val="left"/>
      <w:pPr>
        <w:ind w:left="2970" w:hanging="720"/>
      </w:pPr>
      <w:rPr>
        <w:rFonts w:hint="default" w:cs="Times New Roman"/>
      </w:rPr>
    </w:lvl>
    <w:lvl w:ilvl="6" w:tentative="0">
      <w:start w:val="1"/>
      <w:numFmt w:val="decimalEnclosedCircle"/>
      <w:lvlText w:val="%7"/>
      <w:lvlJc w:val="left"/>
      <w:pPr>
        <w:tabs>
          <w:tab w:val="left" w:pos="3090"/>
        </w:tabs>
        <w:ind w:left="3090" w:hanging="420"/>
      </w:pPr>
      <w:rPr>
        <w:rFonts w:hint="default" w:cs="Times New Roman"/>
        <w:color w:val="auto"/>
      </w:rPr>
    </w:lvl>
    <w:lvl w:ilvl="7" w:tentative="0">
      <w:start w:val="1"/>
      <w:numFmt w:val="lowerLetter"/>
      <w:lvlText w:val="%8)"/>
      <w:lvlJc w:val="left"/>
      <w:pPr>
        <w:tabs>
          <w:tab w:val="left" w:pos="3510"/>
        </w:tabs>
        <w:ind w:left="3510" w:hanging="420"/>
      </w:pPr>
      <w:rPr>
        <w:rFonts w:cs="Times New Roman"/>
      </w:rPr>
    </w:lvl>
    <w:lvl w:ilvl="8" w:tentative="0">
      <w:start w:val="1"/>
      <w:numFmt w:val="lowerRoman"/>
      <w:lvlText w:val="%9."/>
      <w:lvlJc w:val="right"/>
      <w:pPr>
        <w:tabs>
          <w:tab w:val="left" w:pos="3930"/>
        </w:tabs>
        <w:ind w:left="3930" w:hanging="420"/>
      </w:pPr>
      <w:rPr>
        <w:rFonts w:cs="Times New Roman"/>
      </w:rPr>
    </w:lvl>
  </w:abstractNum>
  <w:abstractNum w:abstractNumId="17">
    <w:nsid w:val="64607A38"/>
    <w:multiLevelType w:val="multilevel"/>
    <w:tmpl w:val="64607A38"/>
    <w:lvl w:ilvl="0" w:tentative="0">
      <w:start w:val="1"/>
      <w:numFmt w:val="japaneseCounting"/>
      <w:lvlText w:val="%1、"/>
      <w:lvlJc w:val="left"/>
      <w:pPr>
        <w:tabs>
          <w:tab w:val="left" w:pos="552"/>
        </w:tabs>
        <w:ind w:left="552" w:hanging="420"/>
      </w:pPr>
      <w:rPr>
        <w:rFonts w:ascii="Times New Roman" w:hAnsi="Times New Roman" w:eastAsia="Times New Roman" w:cs="Times New Roman"/>
        <w:color w:val="auto"/>
      </w:rPr>
    </w:lvl>
    <w:lvl w:ilvl="1" w:tentative="0">
      <w:start w:val="1"/>
      <w:numFmt w:val="lowerLetter"/>
      <w:lvlText w:val="%2)"/>
      <w:lvlJc w:val="left"/>
      <w:pPr>
        <w:tabs>
          <w:tab w:val="left" w:pos="840"/>
        </w:tabs>
        <w:ind w:left="840" w:hanging="420"/>
      </w:pPr>
      <w:rPr>
        <w:rFonts w:cs="Times New Roman"/>
      </w:rPr>
    </w:lvl>
    <w:lvl w:ilvl="2" w:tentative="0">
      <w:start w:val="10"/>
      <w:numFmt w:val="decimal"/>
      <w:lvlText w:val="%3."/>
      <w:lvlJc w:val="left"/>
      <w:pPr>
        <w:tabs>
          <w:tab w:val="left" w:pos="1200"/>
        </w:tabs>
        <w:ind w:left="1200" w:hanging="360"/>
      </w:pPr>
      <w:rPr>
        <w:rFonts w:hint="default"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8">
    <w:nsid w:val="666030AB"/>
    <w:multiLevelType w:val="multilevel"/>
    <w:tmpl w:val="666030AB"/>
    <w:lvl w:ilvl="0" w:tentative="0">
      <w:start w:val="1"/>
      <w:numFmt w:val="decimal"/>
      <w:lvlText w:val="（%1）"/>
      <w:lvlJc w:val="left"/>
      <w:pPr>
        <w:tabs>
          <w:tab w:val="left" w:pos="1710"/>
        </w:tabs>
        <w:ind w:left="1710" w:hanging="720"/>
      </w:pPr>
      <w:rPr>
        <w:rFonts w:hint="eastAsia" w:cs="Times New Roman"/>
      </w:rPr>
    </w:lvl>
    <w:lvl w:ilvl="1" w:tentative="0">
      <w:start w:val="2"/>
      <w:numFmt w:val="decimal"/>
      <w:lvlText w:val="%2."/>
      <w:lvlJc w:val="left"/>
      <w:pPr>
        <w:tabs>
          <w:tab w:val="left" w:pos="1770"/>
        </w:tabs>
        <w:ind w:left="1770" w:hanging="360"/>
      </w:pPr>
      <w:rPr>
        <w:rFonts w:hint="default" w:cs="Times New Roman"/>
      </w:rPr>
    </w:lvl>
    <w:lvl w:ilvl="2" w:tentative="0">
      <w:start w:val="1"/>
      <w:numFmt w:val="lowerRoman"/>
      <w:lvlText w:val="%3."/>
      <w:lvlJc w:val="right"/>
      <w:pPr>
        <w:tabs>
          <w:tab w:val="left" w:pos="2250"/>
        </w:tabs>
        <w:ind w:left="2250" w:hanging="420"/>
      </w:pPr>
      <w:rPr>
        <w:rFonts w:cs="Times New Roman"/>
      </w:rPr>
    </w:lvl>
    <w:lvl w:ilvl="3" w:tentative="0">
      <w:start w:val="1"/>
      <w:numFmt w:val="decimal"/>
      <w:lvlText w:val="%4."/>
      <w:lvlJc w:val="left"/>
      <w:pPr>
        <w:tabs>
          <w:tab w:val="left" w:pos="2670"/>
        </w:tabs>
        <w:ind w:left="2670" w:hanging="420"/>
      </w:pPr>
      <w:rPr>
        <w:rFonts w:cs="Times New Roman"/>
      </w:rPr>
    </w:lvl>
    <w:lvl w:ilvl="4" w:tentative="0">
      <w:start w:val="1"/>
      <w:numFmt w:val="lowerLetter"/>
      <w:lvlText w:val="%5)"/>
      <w:lvlJc w:val="left"/>
      <w:pPr>
        <w:tabs>
          <w:tab w:val="left" w:pos="3090"/>
        </w:tabs>
        <w:ind w:left="3090" w:hanging="420"/>
      </w:pPr>
      <w:rPr>
        <w:rFonts w:cs="Times New Roman"/>
      </w:rPr>
    </w:lvl>
    <w:lvl w:ilvl="5" w:tentative="0">
      <w:start w:val="1"/>
      <w:numFmt w:val="lowerRoman"/>
      <w:lvlText w:val="%6."/>
      <w:lvlJc w:val="right"/>
      <w:pPr>
        <w:tabs>
          <w:tab w:val="left" w:pos="3510"/>
        </w:tabs>
        <w:ind w:left="3510" w:hanging="420"/>
      </w:pPr>
      <w:rPr>
        <w:rFonts w:cs="Times New Roman"/>
      </w:rPr>
    </w:lvl>
    <w:lvl w:ilvl="6" w:tentative="0">
      <w:start w:val="1"/>
      <w:numFmt w:val="decimal"/>
      <w:lvlText w:val="%7."/>
      <w:lvlJc w:val="left"/>
      <w:pPr>
        <w:tabs>
          <w:tab w:val="left" w:pos="3930"/>
        </w:tabs>
        <w:ind w:left="3930" w:hanging="420"/>
      </w:pPr>
      <w:rPr>
        <w:rFonts w:cs="Times New Roman"/>
      </w:rPr>
    </w:lvl>
    <w:lvl w:ilvl="7" w:tentative="0">
      <w:start w:val="1"/>
      <w:numFmt w:val="lowerLetter"/>
      <w:lvlText w:val="%8)"/>
      <w:lvlJc w:val="left"/>
      <w:pPr>
        <w:tabs>
          <w:tab w:val="left" w:pos="4350"/>
        </w:tabs>
        <w:ind w:left="4350" w:hanging="420"/>
      </w:pPr>
      <w:rPr>
        <w:rFonts w:cs="Times New Roman"/>
      </w:rPr>
    </w:lvl>
    <w:lvl w:ilvl="8" w:tentative="0">
      <w:start w:val="1"/>
      <w:numFmt w:val="lowerRoman"/>
      <w:lvlText w:val="%9."/>
      <w:lvlJc w:val="right"/>
      <w:pPr>
        <w:tabs>
          <w:tab w:val="left" w:pos="4770"/>
        </w:tabs>
        <w:ind w:left="4770" w:hanging="420"/>
      </w:pPr>
      <w:rPr>
        <w:rFonts w:cs="Times New Roman"/>
      </w:rPr>
    </w:lvl>
  </w:abstractNum>
  <w:abstractNum w:abstractNumId="19">
    <w:nsid w:val="691E62C6"/>
    <w:multiLevelType w:val="multilevel"/>
    <w:tmpl w:val="691E62C6"/>
    <w:lvl w:ilvl="0" w:tentative="0">
      <w:start w:val="2"/>
      <w:numFmt w:val="japaneseCounting"/>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20">
    <w:nsid w:val="6D971756"/>
    <w:multiLevelType w:val="multilevel"/>
    <w:tmpl w:val="6D971756"/>
    <w:lvl w:ilvl="0" w:tentative="0">
      <w:start w:val="1"/>
      <w:numFmt w:val="decimal"/>
      <w:lvlText w:val="（%1）"/>
      <w:lvlJc w:val="left"/>
      <w:pPr>
        <w:ind w:left="945" w:hanging="420"/>
      </w:pPr>
      <w:rPr>
        <w:rFonts w:ascii="Times New Roman" w:hAnsi="Times New Roman" w:eastAsia="Times New Roman" w:cs="Times New Roman"/>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21">
    <w:nsid w:val="6EE101FC"/>
    <w:multiLevelType w:val="singleLevel"/>
    <w:tmpl w:val="6EE101FC"/>
    <w:lvl w:ilvl="0" w:tentative="0">
      <w:start w:val="1"/>
      <w:numFmt w:val="decimal"/>
      <w:lvlText w:val="%1．"/>
      <w:lvlJc w:val="left"/>
      <w:pPr>
        <w:tabs>
          <w:tab w:val="left" w:pos="570"/>
        </w:tabs>
        <w:ind w:left="570" w:hanging="420"/>
      </w:pPr>
      <w:rPr>
        <w:rFonts w:hint="eastAsia" w:cs="Times New Roman"/>
      </w:rPr>
    </w:lvl>
  </w:abstractNum>
  <w:abstractNum w:abstractNumId="22">
    <w:nsid w:val="71D54D18"/>
    <w:multiLevelType w:val="multilevel"/>
    <w:tmpl w:val="71D54D18"/>
    <w:lvl w:ilvl="0" w:tentative="0">
      <w:start w:val="1"/>
      <w:numFmt w:val="upperLetter"/>
      <w:pStyle w:val="6"/>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3">
    <w:nsid w:val="7A672089"/>
    <w:multiLevelType w:val="singleLevel"/>
    <w:tmpl w:val="7A672089"/>
    <w:lvl w:ilvl="0" w:tentative="0">
      <w:start w:val="1"/>
      <w:numFmt w:val="decimal"/>
      <w:lvlText w:val="%1."/>
      <w:lvlJc w:val="left"/>
      <w:pPr>
        <w:tabs>
          <w:tab w:val="left" w:pos="762"/>
        </w:tabs>
        <w:ind w:left="762" w:hanging="210"/>
      </w:pPr>
      <w:rPr>
        <w:rFonts w:hint="eastAsia" w:cs="Times New Roman"/>
      </w:rPr>
    </w:lvl>
  </w:abstractNum>
  <w:num w:numId="1">
    <w:abstractNumId w:val="22"/>
  </w:num>
  <w:num w:numId="2">
    <w:abstractNumId w:val="19"/>
  </w:num>
  <w:num w:numId="3">
    <w:abstractNumId w:val="14"/>
  </w:num>
  <w:num w:numId="4">
    <w:abstractNumId w:val="11"/>
  </w:num>
  <w:num w:numId="5">
    <w:abstractNumId w:val="1"/>
  </w:num>
  <w:num w:numId="6">
    <w:abstractNumId w:val="7"/>
  </w:num>
  <w:num w:numId="7">
    <w:abstractNumId w:val="23"/>
  </w:num>
  <w:num w:numId="8">
    <w:abstractNumId w:val="10"/>
  </w:num>
  <w:num w:numId="9">
    <w:abstractNumId w:val="16"/>
  </w:num>
  <w:num w:numId="10">
    <w:abstractNumId w:val="6"/>
  </w:num>
  <w:num w:numId="11">
    <w:abstractNumId w:val="13"/>
  </w:num>
  <w:num w:numId="12">
    <w:abstractNumId w:val="3"/>
  </w:num>
  <w:num w:numId="13">
    <w:abstractNumId w:val="9"/>
  </w:num>
  <w:num w:numId="14">
    <w:abstractNumId w:val="15"/>
  </w:num>
  <w:num w:numId="15">
    <w:abstractNumId w:val="4"/>
  </w:num>
  <w:num w:numId="16">
    <w:abstractNumId w:val="12"/>
  </w:num>
  <w:num w:numId="17">
    <w:abstractNumId w:val="21"/>
  </w:num>
  <w:num w:numId="18">
    <w:abstractNumId w:val="18"/>
  </w:num>
  <w:num w:numId="19">
    <w:abstractNumId w:val="8"/>
  </w:num>
  <w:num w:numId="20">
    <w:abstractNumId w:val="0"/>
  </w:num>
  <w:num w:numId="21">
    <w:abstractNumId w:val="5"/>
  </w:num>
  <w:num w:numId="22">
    <w:abstractNumId w:val="20"/>
  </w:num>
  <w:num w:numId="23">
    <w:abstractNumId w:val="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A2OTJiODI2NjRiOGNjZjNhZWM5MGU4MGNlOTE5MzkifQ=="/>
  </w:docVars>
  <w:rsids>
    <w:rsidRoot w:val="00CF4F23"/>
    <w:rsid w:val="0000160E"/>
    <w:rsid w:val="000019D1"/>
    <w:rsid w:val="00001D1D"/>
    <w:rsid w:val="00002ACB"/>
    <w:rsid w:val="0000424C"/>
    <w:rsid w:val="00004464"/>
    <w:rsid w:val="00004D3C"/>
    <w:rsid w:val="00006620"/>
    <w:rsid w:val="00006CC2"/>
    <w:rsid w:val="00011FAC"/>
    <w:rsid w:val="0001375F"/>
    <w:rsid w:val="000141C3"/>
    <w:rsid w:val="00016A52"/>
    <w:rsid w:val="00020B1C"/>
    <w:rsid w:val="000216B9"/>
    <w:rsid w:val="00023896"/>
    <w:rsid w:val="0002623F"/>
    <w:rsid w:val="00030FD8"/>
    <w:rsid w:val="00031096"/>
    <w:rsid w:val="000324ED"/>
    <w:rsid w:val="0003251F"/>
    <w:rsid w:val="00034D9B"/>
    <w:rsid w:val="00035F85"/>
    <w:rsid w:val="00036EA1"/>
    <w:rsid w:val="00037625"/>
    <w:rsid w:val="00037906"/>
    <w:rsid w:val="0004118D"/>
    <w:rsid w:val="0004176D"/>
    <w:rsid w:val="00041C88"/>
    <w:rsid w:val="0004219C"/>
    <w:rsid w:val="00043AC9"/>
    <w:rsid w:val="00045B70"/>
    <w:rsid w:val="0004783F"/>
    <w:rsid w:val="00050830"/>
    <w:rsid w:val="00054D85"/>
    <w:rsid w:val="000552AF"/>
    <w:rsid w:val="00055C97"/>
    <w:rsid w:val="00055FE0"/>
    <w:rsid w:val="0005773B"/>
    <w:rsid w:val="00062463"/>
    <w:rsid w:val="000630A8"/>
    <w:rsid w:val="00064815"/>
    <w:rsid w:val="000654F5"/>
    <w:rsid w:val="0006580C"/>
    <w:rsid w:val="00066B9B"/>
    <w:rsid w:val="00070F81"/>
    <w:rsid w:val="000719E4"/>
    <w:rsid w:val="00072D37"/>
    <w:rsid w:val="00073075"/>
    <w:rsid w:val="00073812"/>
    <w:rsid w:val="00076D6D"/>
    <w:rsid w:val="00083D5D"/>
    <w:rsid w:val="00084086"/>
    <w:rsid w:val="00084740"/>
    <w:rsid w:val="00084A50"/>
    <w:rsid w:val="000850D2"/>
    <w:rsid w:val="0008591A"/>
    <w:rsid w:val="00085B18"/>
    <w:rsid w:val="00090313"/>
    <w:rsid w:val="0009186D"/>
    <w:rsid w:val="000957BA"/>
    <w:rsid w:val="00096508"/>
    <w:rsid w:val="0009783E"/>
    <w:rsid w:val="00097C2C"/>
    <w:rsid w:val="000A1E8C"/>
    <w:rsid w:val="000A2B01"/>
    <w:rsid w:val="000A3ACB"/>
    <w:rsid w:val="000A50F2"/>
    <w:rsid w:val="000A5635"/>
    <w:rsid w:val="000A5651"/>
    <w:rsid w:val="000A5A14"/>
    <w:rsid w:val="000A61B7"/>
    <w:rsid w:val="000A7124"/>
    <w:rsid w:val="000B0B4F"/>
    <w:rsid w:val="000B0EA8"/>
    <w:rsid w:val="000B1200"/>
    <w:rsid w:val="000B130F"/>
    <w:rsid w:val="000B2014"/>
    <w:rsid w:val="000B7FE4"/>
    <w:rsid w:val="000C0C8F"/>
    <w:rsid w:val="000C11B4"/>
    <w:rsid w:val="000C2A08"/>
    <w:rsid w:val="000C3087"/>
    <w:rsid w:val="000C38E5"/>
    <w:rsid w:val="000C6D05"/>
    <w:rsid w:val="000C78DD"/>
    <w:rsid w:val="000D1F60"/>
    <w:rsid w:val="000D281C"/>
    <w:rsid w:val="000D3F9C"/>
    <w:rsid w:val="000D4EC5"/>
    <w:rsid w:val="000D6D62"/>
    <w:rsid w:val="000E11F3"/>
    <w:rsid w:val="000E1E10"/>
    <w:rsid w:val="000E2284"/>
    <w:rsid w:val="000E308C"/>
    <w:rsid w:val="000E3421"/>
    <w:rsid w:val="000E5A78"/>
    <w:rsid w:val="000F04C6"/>
    <w:rsid w:val="000F06C4"/>
    <w:rsid w:val="000F07D2"/>
    <w:rsid w:val="000F085C"/>
    <w:rsid w:val="000F2DC3"/>
    <w:rsid w:val="000F32E7"/>
    <w:rsid w:val="000F35D3"/>
    <w:rsid w:val="000F3EE4"/>
    <w:rsid w:val="000F4139"/>
    <w:rsid w:val="000F6E55"/>
    <w:rsid w:val="001005EA"/>
    <w:rsid w:val="0010149D"/>
    <w:rsid w:val="00102A8D"/>
    <w:rsid w:val="001036A2"/>
    <w:rsid w:val="00103B17"/>
    <w:rsid w:val="001059C9"/>
    <w:rsid w:val="001065DF"/>
    <w:rsid w:val="00106848"/>
    <w:rsid w:val="0011183F"/>
    <w:rsid w:val="001130A9"/>
    <w:rsid w:val="001133F8"/>
    <w:rsid w:val="00115A0A"/>
    <w:rsid w:val="001162AB"/>
    <w:rsid w:val="001205E9"/>
    <w:rsid w:val="00120C95"/>
    <w:rsid w:val="00121B96"/>
    <w:rsid w:val="001251C3"/>
    <w:rsid w:val="00125665"/>
    <w:rsid w:val="00126656"/>
    <w:rsid w:val="001268E6"/>
    <w:rsid w:val="00127327"/>
    <w:rsid w:val="00130E19"/>
    <w:rsid w:val="00130F4A"/>
    <w:rsid w:val="0013129C"/>
    <w:rsid w:val="001339DF"/>
    <w:rsid w:val="001356FB"/>
    <w:rsid w:val="0013617D"/>
    <w:rsid w:val="0014155F"/>
    <w:rsid w:val="00141799"/>
    <w:rsid w:val="00142B02"/>
    <w:rsid w:val="00142BD6"/>
    <w:rsid w:val="00143504"/>
    <w:rsid w:val="00143FD0"/>
    <w:rsid w:val="0014441B"/>
    <w:rsid w:val="00145023"/>
    <w:rsid w:val="00146619"/>
    <w:rsid w:val="00152FDF"/>
    <w:rsid w:val="00153D86"/>
    <w:rsid w:val="001541A9"/>
    <w:rsid w:val="0015439F"/>
    <w:rsid w:val="00154CD1"/>
    <w:rsid w:val="001565DA"/>
    <w:rsid w:val="0015740D"/>
    <w:rsid w:val="00160191"/>
    <w:rsid w:val="0016034E"/>
    <w:rsid w:val="00161FB7"/>
    <w:rsid w:val="001621C9"/>
    <w:rsid w:val="00162367"/>
    <w:rsid w:val="00162C09"/>
    <w:rsid w:val="001665DD"/>
    <w:rsid w:val="001672FB"/>
    <w:rsid w:val="0017019C"/>
    <w:rsid w:val="001701DA"/>
    <w:rsid w:val="001719D8"/>
    <w:rsid w:val="0017343B"/>
    <w:rsid w:val="00175B15"/>
    <w:rsid w:val="001767BE"/>
    <w:rsid w:val="001801A9"/>
    <w:rsid w:val="00180A26"/>
    <w:rsid w:val="00182377"/>
    <w:rsid w:val="001827C0"/>
    <w:rsid w:val="001843FD"/>
    <w:rsid w:val="001850D0"/>
    <w:rsid w:val="00185A56"/>
    <w:rsid w:val="0018637B"/>
    <w:rsid w:val="001872A8"/>
    <w:rsid w:val="00187B9C"/>
    <w:rsid w:val="00190910"/>
    <w:rsid w:val="001920A7"/>
    <w:rsid w:val="001925B0"/>
    <w:rsid w:val="001939D3"/>
    <w:rsid w:val="0019528A"/>
    <w:rsid w:val="00195357"/>
    <w:rsid w:val="00195F73"/>
    <w:rsid w:val="001A0EB2"/>
    <w:rsid w:val="001A19AA"/>
    <w:rsid w:val="001A19D3"/>
    <w:rsid w:val="001A250A"/>
    <w:rsid w:val="001A3539"/>
    <w:rsid w:val="001A5224"/>
    <w:rsid w:val="001A52F8"/>
    <w:rsid w:val="001A58BF"/>
    <w:rsid w:val="001A7332"/>
    <w:rsid w:val="001B1072"/>
    <w:rsid w:val="001B18CA"/>
    <w:rsid w:val="001B1F81"/>
    <w:rsid w:val="001B2C29"/>
    <w:rsid w:val="001B32A7"/>
    <w:rsid w:val="001B37C6"/>
    <w:rsid w:val="001B4F51"/>
    <w:rsid w:val="001B6D17"/>
    <w:rsid w:val="001B77C8"/>
    <w:rsid w:val="001C0D59"/>
    <w:rsid w:val="001C1FD9"/>
    <w:rsid w:val="001C25A4"/>
    <w:rsid w:val="001C33C8"/>
    <w:rsid w:val="001C3A18"/>
    <w:rsid w:val="001C4068"/>
    <w:rsid w:val="001C45D7"/>
    <w:rsid w:val="001C75CC"/>
    <w:rsid w:val="001C762D"/>
    <w:rsid w:val="001D21EF"/>
    <w:rsid w:val="001D354C"/>
    <w:rsid w:val="001D4562"/>
    <w:rsid w:val="001D5F32"/>
    <w:rsid w:val="001D5F74"/>
    <w:rsid w:val="001D646A"/>
    <w:rsid w:val="001D6C3B"/>
    <w:rsid w:val="001D7950"/>
    <w:rsid w:val="001D7C9D"/>
    <w:rsid w:val="001E1535"/>
    <w:rsid w:val="001E2AC5"/>
    <w:rsid w:val="001E2EDE"/>
    <w:rsid w:val="001E691D"/>
    <w:rsid w:val="001E6BE3"/>
    <w:rsid w:val="001E6ED2"/>
    <w:rsid w:val="001F0EA4"/>
    <w:rsid w:val="001F102A"/>
    <w:rsid w:val="001F24A1"/>
    <w:rsid w:val="001F29D8"/>
    <w:rsid w:val="001F3215"/>
    <w:rsid w:val="001F5601"/>
    <w:rsid w:val="001F7A66"/>
    <w:rsid w:val="00201CF5"/>
    <w:rsid w:val="00202DA2"/>
    <w:rsid w:val="00202DBC"/>
    <w:rsid w:val="00203CA4"/>
    <w:rsid w:val="00205830"/>
    <w:rsid w:val="00205ACE"/>
    <w:rsid w:val="00205C26"/>
    <w:rsid w:val="00205CD2"/>
    <w:rsid w:val="00206185"/>
    <w:rsid w:val="0020653B"/>
    <w:rsid w:val="0021008E"/>
    <w:rsid w:val="00210E21"/>
    <w:rsid w:val="00214470"/>
    <w:rsid w:val="00215911"/>
    <w:rsid w:val="00216604"/>
    <w:rsid w:val="00216D8C"/>
    <w:rsid w:val="0021707B"/>
    <w:rsid w:val="00217C5C"/>
    <w:rsid w:val="002200F1"/>
    <w:rsid w:val="00220C46"/>
    <w:rsid w:val="00221F0A"/>
    <w:rsid w:val="0022264E"/>
    <w:rsid w:val="00224AD7"/>
    <w:rsid w:val="00225584"/>
    <w:rsid w:val="00226A3B"/>
    <w:rsid w:val="002271F9"/>
    <w:rsid w:val="00227F25"/>
    <w:rsid w:val="00232A93"/>
    <w:rsid w:val="00232C2C"/>
    <w:rsid w:val="0023527A"/>
    <w:rsid w:val="00235C9A"/>
    <w:rsid w:val="00235DFE"/>
    <w:rsid w:val="002374A8"/>
    <w:rsid w:val="002374AC"/>
    <w:rsid w:val="00237741"/>
    <w:rsid w:val="0023778A"/>
    <w:rsid w:val="002378CD"/>
    <w:rsid w:val="00240AD7"/>
    <w:rsid w:val="00241133"/>
    <w:rsid w:val="00241B48"/>
    <w:rsid w:val="0024283F"/>
    <w:rsid w:val="00244606"/>
    <w:rsid w:val="002453F3"/>
    <w:rsid w:val="002457DC"/>
    <w:rsid w:val="002458C9"/>
    <w:rsid w:val="00246004"/>
    <w:rsid w:val="00246DEF"/>
    <w:rsid w:val="00250FA5"/>
    <w:rsid w:val="00251A5A"/>
    <w:rsid w:val="002529DA"/>
    <w:rsid w:val="002537EB"/>
    <w:rsid w:val="00256B7F"/>
    <w:rsid w:val="00257525"/>
    <w:rsid w:val="00260314"/>
    <w:rsid w:val="002614DF"/>
    <w:rsid w:val="00262DFD"/>
    <w:rsid w:val="002633E3"/>
    <w:rsid w:val="00263870"/>
    <w:rsid w:val="00263C74"/>
    <w:rsid w:val="00263D53"/>
    <w:rsid w:val="002664D0"/>
    <w:rsid w:val="00267216"/>
    <w:rsid w:val="00267B9E"/>
    <w:rsid w:val="00270BDA"/>
    <w:rsid w:val="00271D63"/>
    <w:rsid w:val="00273DDF"/>
    <w:rsid w:val="00274BE9"/>
    <w:rsid w:val="00274F99"/>
    <w:rsid w:val="00277B42"/>
    <w:rsid w:val="0028050A"/>
    <w:rsid w:val="0028169D"/>
    <w:rsid w:val="0028312F"/>
    <w:rsid w:val="00284F63"/>
    <w:rsid w:val="00285EA1"/>
    <w:rsid w:val="00286A94"/>
    <w:rsid w:val="002872A4"/>
    <w:rsid w:val="002908F5"/>
    <w:rsid w:val="002909B0"/>
    <w:rsid w:val="0029277F"/>
    <w:rsid w:val="00292E3D"/>
    <w:rsid w:val="00294448"/>
    <w:rsid w:val="00296A55"/>
    <w:rsid w:val="002A11DD"/>
    <w:rsid w:val="002A1B04"/>
    <w:rsid w:val="002A1BF4"/>
    <w:rsid w:val="002A2AA2"/>
    <w:rsid w:val="002A305F"/>
    <w:rsid w:val="002A41B7"/>
    <w:rsid w:val="002A4A3B"/>
    <w:rsid w:val="002A618C"/>
    <w:rsid w:val="002A670D"/>
    <w:rsid w:val="002A6C4E"/>
    <w:rsid w:val="002B20BE"/>
    <w:rsid w:val="002B2DD2"/>
    <w:rsid w:val="002B46D4"/>
    <w:rsid w:val="002B4CA8"/>
    <w:rsid w:val="002B65CD"/>
    <w:rsid w:val="002B6CCC"/>
    <w:rsid w:val="002B6F33"/>
    <w:rsid w:val="002C06F9"/>
    <w:rsid w:val="002C5682"/>
    <w:rsid w:val="002C6419"/>
    <w:rsid w:val="002C6A79"/>
    <w:rsid w:val="002C720D"/>
    <w:rsid w:val="002C755E"/>
    <w:rsid w:val="002C7C10"/>
    <w:rsid w:val="002D036D"/>
    <w:rsid w:val="002D03EA"/>
    <w:rsid w:val="002D45C6"/>
    <w:rsid w:val="002D6369"/>
    <w:rsid w:val="002D6C13"/>
    <w:rsid w:val="002D74B7"/>
    <w:rsid w:val="002D7FC6"/>
    <w:rsid w:val="002E0265"/>
    <w:rsid w:val="002E1175"/>
    <w:rsid w:val="002E12B9"/>
    <w:rsid w:val="002E1DAD"/>
    <w:rsid w:val="002E247F"/>
    <w:rsid w:val="002E27F1"/>
    <w:rsid w:val="002E4323"/>
    <w:rsid w:val="002E584A"/>
    <w:rsid w:val="002E6689"/>
    <w:rsid w:val="002E7FF5"/>
    <w:rsid w:val="002F167F"/>
    <w:rsid w:val="002F21CD"/>
    <w:rsid w:val="002F34F8"/>
    <w:rsid w:val="002F53EE"/>
    <w:rsid w:val="002F5EF4"/>
    <w:rsid w:val="002F60AA"/>
    <w:rsid w:val="002F6E83"/>
    <w:rsid w:val="0030293F"/>
    <w:rsid w:val="00302B15"/>
    <w:rsid w:val="00302F4A"/>
    <w:rsid w:val="0030576E"/>
    <w:rsid w:val="00305F07"/>
    <w:rsid w:val="0030633C"/>
    <w:rsid w:val="003068BE"/>
    <w:rsid w:val="00306FE1"/>
    <w:rsid w:val="003101A1"/>
    <w:rsid w:val="00313B77"/>
    <w:rsid w:val="00316E1B"/>
    <w:rsid w:val="00317BAF"/>
    <w:rsid w:val="00320B53"/>
    <w:rsid w:val="00322D21"/>
    <w:rsid w:val="00323361"/>
    <w:rsid w:val="0032368A"/>
    <w:rsid w:val="00323769"/>
    <w:rsid w:val="00324243"/>
    <w:rsid w:val="00324883"/>
    <w:rsid w:val="003250B8"/>
    <w:rsid w:val="00330016"/>
    <w:rsid w:val="003317E1"/>
    <w:rsid w:val="00332161"/>
    <w:rsid w:val="00332E06"/>
    <w:rsid w:val="00332EAA"/>
    <w:rsid w:val="00334771"/>
    <w:rsid w:val="00337795"/>
    <w:rsid w:val="00340A8E"/>
    <w:rsid w:val="00342AE1"/>
    <w:rsid w:val="00342E4F"/>
    <w:rsid w:val="00343142"/>
    <w:rsid w:val="003431AE"/>
    <w:rsid w:val="00343BEF"/>
    <w:rsid w:val="00344739"/>
    <w:rsid w:val="00344D88"/>
    <w:rsid w:val="00346707"/>
    <w:rsid w:val="003469B4"/>
    <w:rsid w:val="00346DA4"/>
    <w:rsid w:val="00347146"/>
    <w:rsid w:val="0035011A"/>
    <w:rsid w:val="003503D5"/>
    <w:rsid w:val="0035092E"/>
    <w:rsid w:val="003529B0"/>
    <w:rsid w:val="00353431"/>
    <w:rsid w:val="00353959"/>
    <w:rsid w:val="00353EA2"/>
    <w:rsid w:val="003554EC"/>
    <w:rsid w:val="0035584E"/>
    <w:rsid w:val="00355DF1"/>
    <w:rsid w:val="00356D62"/>
    <w:rsid w:val="003570C0"/>
    <w:rsid w:val="003612BA"/>
    <w:rsid w:val="00363833"/>
    <w:rsid w:val="00364016"/>
    <w:rsid w:val="0036598A"/>
    <w:rsid w:val="003716E0"/>
    <w:rsid w:val="00371BF4"/>
    <w:rsid w:val="00375250"/>
    <w:rsid w:val="0037593B"/>
    <w:rsid w:val="0037781B"/>
    <w:rsid w:val="003779AB"/>
    <w:rsid w:val="0038038E"/>
    <w:rsid w:val="0038057A"/>
    <w:rsid w:val="003808CE"/>
    <w:rsid w:val="00381936"/>
    <w:rsid w:val="00381FE7"/>
    <w:rsid w:val="003823DD"/>
    <w:rsid w:val="00382E8B"/>
    <w:rsid w:val="00382FBD"/>
    <w:rsid w:val="00383455"/>
    <w:rsid w:val="00383D4D"/>
    <w:rsid w:val="00384517"/>
    <w:rsid w:val="00384F8E"/>
    <w:rsid w:val="00390087"/>
    <w:rsid w:val="003912B4"/>
    <w:rsid w:val="00391CB2"/>
    <w:rsid w:val="00392154"/>
    <w:rsid w:val="003921F4"/>
    <w:rsid w:val="0039246F"/>
    <w:rsid w:val="003927C2"/>
    <w:rsid w:val="003928D0"/>
    <w:rsid w:val="0039626F"/>
    <w:rsid w:val="0039657A"/>
    <w:rsid w:val="00396750"/>
    <w:rsid w:val="00396A1C"/>
    <w:rsid w:val="003A107C"/>
    <w:rsid w:val="003A34C7"/>
    <w:rsid w:val="003A3773"/>
    <w:rsid w:val="003A5081"/>
    <w:rsid w:val="003A5085"/>
    <w:rsid w:val="003A55E7"/>
    <w:rsid w:val="003A5D0C"/>
    <w:rsid w:val="003A70A2"/>
    <w:rsid w:val="003B080F"/>
    <w:rsid w:val="003B0C06"/>
    <w:rsid w:val="003B0D2F"/>
    <w:rsid w:val="003B13FB"/>
    <w:rsid w:val="003B2DD2"/>
    <w:rsid w:val="003B2FE1"/>
    <w:rsid w:val="003B4BD6"/>
    <w:rsid w:val="003B52BE"/>
    <w:rsid w:val="003B536D"/>
    <w:rsid w:val="003B58F3"/>
    <w:rsid w:val="003B5924"/>
    <w:rsid w:val="003B5BF9"/>
    <w:rsid w:val="003B603B"/>
    <w:rsid w:val="003B6ADA"/>
    <w:rsid w:val="003C0285"/>
    <w:rsid w:val="003C1116"/>
    <w:rsid w:val="003C232A"/>
    <w:rsid w:val="003C2AFD"/>
    <w:rsid w:val="003C3168"/>
    <w:rsid w:val="003C3423"/>
    <w:rsid w:val="003C370C"/>
    <w:rsid w:val="003C3E7D"/>
    <w:rsid w:val="003C4F60"/>
    <w:rsid w:val="003C507E"/>
    <w:rsid w:val="003C50B7"/>
    <w:rsid w:val="003D27B2"/>
    <w:rsid w:val="003D293D"/>
    <w:rsid w:val="003D2DB7"/>
    <w:rsid w:val="003D3088"/>
    <w:rsid w:val="003D4304"/>
    <w:rsid w:val="003D4CA1"/>
    <w:rsid w:val="003D590A"/>
    <w:rsid w:val="003D71D6"/>
    <w:rsid w:val="003D7814"/>
    <w:rsid w:val="003E015D"/>
    <w:rsid w:val="003E1876"/>
    <w:rsid w:val="003E4814"/>
    <w:rsid w:val="003E52B4"/>
    <w:rsid w:val="003E581B"/>
    <w:rsid w:val="003E6736"/>
    <w:rsid w:val="003E6A04"/>
    <w:rsid w:val="003E7DC8"/>
    <w:rsid w:val="003F07AF"/>
    <w:rsid w:val="003F1129"/>
    <w:rsid w:val="003F235C"/>
    <w:rsid w:val="003F2686"/>
    <w:rsid w:val="003F2791"/>
    <w:rsid w:val="003F2D3F"/>
    <w:rsid w:val="003F4BD4"/>
    <w:rsid w:val="003F5705"/>
    <w:rsid w:val="003F6656"/>
    <w:rsid w:val="00400EE3"/>
    <w:rsid w:val="00401EB5"/>
    <w:rsid w:val="004028B0"/>
    <w:rsid w:val="00403EBF"/>
    <w:rsid w:val="00403F7E"/>
    <w:rsid w:val="0040483F"/>
    <w:rsid w:val="00405603"/>
    <w:rsid w:val="00405A29"/>
    <w:rsid w:val="00405A4F"/>
    <w:rsid w:val="00410E56"/>
    <w:rsid w:val="004110E3"/>
    <w:rsid w:val="00411CA0"/>
    <w:rsid w:val="00412186"/>
    <w:rsid w:val="00412946"/>
    <w:rsid w:val="00413AAB"/>
    <w:rsid w:val="00414C30"/>
    <w:rsid w:val="00414F91"/>
    <w:rsid w:val="00420C77"/>
    <w:rsid w:val="00421BD2"/>
    <w:rsid w:val="00421E73"/>
    <w:rsid w:val="0042251E"/>
    <w:rsid w:val="00423CC8"/>
    <w:rsid w:val="00423E62"/>
    <w:rsid w:val="0042517D"/>
    <w:rsid w:val="00425D01"/>
    <w:rsid w:val="00430301"/>
    <w:rsid w:val="00430F18"/>
    <w:rsid w:val="00430F24"/>
    <w:rsid w:val="00434F42"/>
    <w:rsid w:val="00436914"/>
    <w:rsid w:val="00441A1C"/>
    <w:rsid w:val="00442339"/>
    <w:rsid w:val="0044284F"/>
    <w:rsid w:val="0044293B"/>
    <w:rsid w:val="00443145"/>
    <w:rsid w:val="00443E2C"/>
    <w:rsid w:val="004454F2"/>
    <w:rsid w:val="00447208"/>
    <w:rsid w:val="004517C1"/>
    <w:rsid w:val="0045262B"/>
    <w:rsid w:val="004533EF"/>
    <w:rsid w:val="0045520D"/>
    <w:rsid w:val="0045726C"/>
    <w:rsid w:val="00460B22"/>
    <w:rsid w:val="00461125"/>
    <w:rsid w:val="004611B5"/>
    <w:rsid w:val="00466393"/>
    <w:rsid w:val="00466D60"/>
    <w:rsid w:val="00467C68"/>
    <w:rsid w:val="00471DE9"/>
    <w:rsid w:val="00471FD5"/>
    <w:rsid w:val="00474D1A"/>
    <w:rsid w:val="0047717E"/>
    <w:rsid w:val="00477220"/>
    <w:rsid w:val="004803A3"/>
    <w:rsid w:val="004820FA"/>
    <w:rsid w:val="00483A1E"/>
    <w:rsid w:val="00483FB2"/>
    <w:rsid w:val="00485DFE"/>
    <w:rsid w:val="00491AD5"/>
    <w:rsid w:val="00493716"/>
    <w:rsid w:val="00494DD8"/>
    <w:rsid w:val="00496657"/>
    <w:rsid w:val="004A0641"/>
    <w:rsid w:val="004A1605"/>
    <w:rsid w:val="004A2812"/>
    <w:rsid w:val="004A4880"/>
    <w:rsid w:val="004A4DC6"/>
    <w:rsid w:val="004A6090"/>
    <w:rsid w:val="004A7695"/>
    <w:rsid w:val="004A77EF"/>
    <w:rsid w:val="004B101D"/>
    <w:rsid w:val="004B1EFC"/>
    <w:rsid w:val="004B272E"/>
    <w:rsid w:val="004B7D7C"/>
    <w:rsid w:val="004C079F"/>
    <w:rsid w:val="004C0D42"/>
    <w:rsid w:val="004C3071"/>
    <w:rsid w:val="004C30FA"/>
    <w:rsid w:val="004C3301"/>
    <w:rsid w:val="004C3A32"/>
    <w:rsid w:val="004C4923"/>
    <w:rsid w:val="004C52F3"/>
    <w:rsid w:val="004C5842"/>
    <w:rsid w:val="004C7345"/>
    <w:rsid w:val="004C7DBE"/>
    <w:rsid w:val="004D2C6F"/>
    <w:rsid w:val="004D39AC"/>
    <w:rsid w:val="004D39E4"/>
    <w:rsid w:val="004D4107"/>
    <w:rsid w:val="004D41C4"/>
    <w:rsid w:val="004D456B"/>
    <w:rsid w:val="004D6940"/>
    <w:rsid w:val="004D6A3C"/>
    <w:rsid w:val="004D78AF"/>
    <w:rsid w:val="004E2208"/>
    <w:rsid w:val="004E43DF"/>
    <w:rsid w:val="004E464F"/>
    <w:rsid w:val="004E6045"/>
    <w:rsid w:val="004E7416"/>
    <w:rsid w:val="004E77B4"/>
    <w:rsid w:val="004E7823"/>
    <w:rsid w:val="004E78AE"/>
    <w:rsid w:val="004F493C"/>
    <w:rsid w:val="004F59B9"/>
    <w:rsid w:val="004F6046"/>
    <w:rsid w:val="004F6689"/>
    <w:rsid w:val="004F7F80"/>
    <w:rsid w:val="00501B9B"/>
    <w:rsid w:val="00501FA8"/>
    <w:rsid w:val="00504219"/>
    <w:rsid w:val="005065D8"/>
    <w:rsid w:val="005068BA"/>
    <w:rsid w:val="0051234D"/>
    <w:rsid w:val="00512431"/>
    <w:rsid w:val="005133E2"/>
    <w:rsid w:val="00513D95"/>
    <w:rsid w:val="00514965"/>
    <w:rsid w:val="00516772"/>
    <w:rsid w:val="00517A9C"/>
    <w:rsid w:val="00520597"/>
    <w:rsid w:val="00520D12"/>
    <w:rsid w:val="00520E63"/>
    <w:rsid w:val="00520E70"/>
    <w:rsid w:val="00522F38"/>
    <w:rsid w:val="00524461"/>
    <w:rsid w:val="00525DED"/>
    <w:rsid w:val="00526AEA"/>
    <w:rsid w:val="00532BC3"/>
    <w:rsid w:val="00545D54"/>
    <w:rsid w:val="0054760B"/>
    <w:rsid w:val="00550E99"/>
    <w:rsid w:val="00553124"/>
    <w:rsid w:val="00553955"/>
    <w:rsid w:val="00554664"/>
    <w:rsid w:val="00555ACC"/>
    <w:rsid w:val="00555E90"/>
    <w:rsid w:val="005566B6"/>
    <w:rsid w:val="00557E7F"/>
    <w:rsid w:val="00562AE7"/>
    <w:rsid w:val="00567010"/>
    <w:rsid w:val="00571725"/>
    <w:rsid w:val="00575E55"/>
    <w:rsid w:val="0057650F"/>
    <w:rsid w:val="005777F4"/>
    <w:rsid w:val="00577924"/>
    <w:rsid w:val="00577F37"/>
    <w:rsid w:val="005802E2"/>
    <w:rsid w:val="005820BE"/>
    <w:rsid w:val="005822B4"/>
    <w:rsid w:val="00582403"/>
    <w:rsid w:val="00582D59"/>
    <w:rsid w:val="005847BC"/>
    <w:rsid w:val="005858A6"/>
    <w:rsid w:val="00585B09"/>
    <w:rsid w:val="0058715D"/>
    <w:rsid w:val="00593EF3"/>
    <w:rsid w:val="00595515"/>
    <w:rsid w:val="00595B7D"/>
    <w:rsid w:val="005A03AE"/>
    <w:rsid w:val="005A069F"/>
    <w:rsid w:val="005A0B78"/>
    <w:rsid w:val="005A11DE"/>
    <w:rsid w:val="005A1CDD"/>
    <w:rsid w:val="005A2857"/>
    <w:rsid w:val="005A286F"/>
    <w:rsid w:val="005A2B73"/>
    <w:rsid w:val="005A2EF0"/>
    <w:rsid w:val="005A407E"/>
    <w:rsid w:val="005A61C7"/>
    <w:rsid w:val="005A6E98"/>
    <w:rsid w:val="005A763B"/>
    <w:rsid w:val="005A7989"/>
    <w:rsid w:val="005B0C6F"/>
    <w:rsid w:val="005B204D"/>
    <w:rsid w:val="005B3491"/>
    <w:rsid w:val="005B44E1"/>
    <w:rsid w:val="005B4E78"/>
    <w:rsid w:val="005B61ED"/>
    <w:rsid w:val="005B73E4"/>
    <w:rsid w:val="005C43F4"/>
    <w:rsid w:val="005C634C"/>
    <w:rsid w:val="005C6633"/>
    <w:rsid w:val="005C6C90"/>
    <w:rsid w:val="005C7600"/>
    <w:rsid w:val="005D0558"/>
    <w:rsid w:val="005D056A"/>
    <w:rsid w:val="005D0E54"/>
    <w:rsid w:val="005D1149"/>
    <w:rsid w:val="005D24E4"/>
    <w:rsid w:val="005D31E3"/>
    <w:rsid w:val="005D6234"/>
    <w:rsid w:val="005D62AD"/>
    <w:rsid w:val="005E2937"/>
    <w:rsid w:val="005E50C2"/>
    <w:rsid w:val="005E557B"/>
    <w:rsid w:val="005E6ACB"/>
    <w:rsid w:val="005E6C74"/>
    <w:rsid w:val="005E7A82"/>
    <w:rsid w:val="005F0840"/>
    <w:rsid w:val="005F1682"/>
    <w:rsid w:val="005F194F"/>
    <w:rsid w:val="005F1D71"/>
    <w:rsid w:val="005F2B14"/>
    <w:rsid w:val="005F62C5"/>
    <w:rsid w:val="005F7550"/>
    <w:rsid w:val="0060168D"/>
    <w:rsid w:val="00602242"/>
    <w:rsid w:val="00602314"/>
    <w:rsid w:val="00602A0C"/>
    <w:rsid w:val="006031E2"/>
    <w:rsid w:val="00603473"/>
    <w:rsid w:val="00603520"/>
    <w:rsid w:val="00610FDC"/>
    <w:rsid w:val="00612F6C"/>
    <w:rsid w:val="006132A9"/>
    <w:rsid w:val="006135EF"/>
    <w:rsid w:val="0061677D"/>
    <w:rsid w:val="00616FBD"/>
    <w:rsid w:val="00617245"/>
    <w:rsid w:val="006172B7"/>
    <w:rsid w:val="006206B0"/>
    <w:rsid w:val="0062093D"/>
    <w:rsid w:val="00620FC7"/>
    <w:rsid w:val="0062298E"/>
    <w:rsid w:val="00622D63"/>
    <w:rsid w:val="00625B08"/>
    <w:rsid w:val="0062787F"/>
    <w:rsid w:val="0063036F"/>
    <w:rsid w:val="00630E32"/>
    <w:rsid w:val="006321FF"/>
    <w:rsid w:val="00632E2B"/>
    <w:rsid w:val="00633A10"/>
    <w:rsid w:val="00641789"/>
    <w:rsid w:val="00641ED7"/>
    <w:rsid w:val="00644E0B"/>
    <w:rsid w:val="00645036"/>
    <w:rsid w:val="00645392"/>
    <w:rsid w:val="00645540"/>
    <w:rsid w:val="00645F66"/>
    <w:rsid w:val="006467A3"/>
    <w:rsid w:val="00646810"/>
    <w:rsid w:val="00646E26"/>
    <w:rsid w:val="0065002A"/>
    <w:rsid w:val="0065066D"/>
    <w:rsid w:val="0065071E"/>
    <w:rsid w:val="006509C8"/>
    <w:rsid w:val="00651053"/>
    <w:rsid w:val="0065146A"/>
    <w:rsid w:val="006514A5"/>
    <w:rsid w:val="00651DE3"/>
    <w:rsid w:val="00652472"/>
    <w:rsid w:val="006528B5"/>
    <w:rsid w:val="00652BF6"/>
    <w:rsid w:val="0065348C"/>
    <w:rsid w:val="0065353E"/>
    <w:rsid w:val="00654884"/>
    <w:rsid w:val="00655F96"/>
    <w:rsid w:val="00657BF7"/>
    <w:rsid w:val="00660AEC"/>
    <w:rsid w:val="006616A5"/>
    <w:rsid w:val="00661EFA"/>
    <w:rsid w:val="006620B2"/>
    <w:rsid w:val="00663919"/>
    <w:rsid w:val="00664243"/>
    <w:rsid w:val="00665CD6"/>
    <w:rsid w:val="006666AA"/>
    <w:rsid w:val="00666DAA"/>
    <w:rsid w:val="00667B1B"/>
    <w:rsid w:val="00667B8F"/>
    <w:rsid w:val="00667FE2"/>
    <w:rsid w:val="00670C09"/>
    <w:rsid w:val="00672D3E"/>
    <w:rsid w:val="00675C5A"/>
    <w:rsid w:val="00676857"/>
    <w:rsid w:val="00677469"/>
    <w:rsid w:val="00677573"/>
    <w:rsid w:val="00681F6A"/>
    <w:rsid w:val="00682064"/>
    <w:rsid w:val="006831B8"/>
    <w:rsid w:val="006838B0"/>
    <w:rsid w:val="00684406"/>
    <w:rsid w:val="0068509E"/>
    <w:rsid w:val="0068560A"/>
    <w:rsid w:val="00685B5A"/>
    <w:rsid w:val="00686C19"/>
    <w:rsid w:val="0068726F"/>
    <w:rsid w:val="006903FA"/>
    <w:rsid w:val="006907EA"/>
    <w:rsid w:val="006912CA"/>
    <w:rsid w:val="00693AAB"/>
    <w:rsid w:val="0069618A"/>
    <w:rsid w:val="00696F7F"/>
    <w:rsid w:val="006A0059"/>
    <w:rsid w:val="006A21D3"/>
    <w:rsid w:val="006A3602"/>
    <w:rsid w:val="006A389F"/>
    <w:rsid w:val="006A3C08"/>
    <w:rsid w:val="006A49A9"/>
    <w:rsid w:val="006A4BBE"/>
    <w:rsid w:val="006A5AF6"/>
    <w:rsid w:val="006A5D11"/>
    <w:rsid w:val="006A6354"/>
    <w:rsid w:val="006A68B3"/>
    <w:rsid w:val="006A79CF"/>
    <w:rsid w:val="006B3F39"/>
    <w:rsid w:val="006B57F9"/>
    <w:rsid w:val="006B5BD3"/>
    <w:rsid w:val="006B6A28"/>
    <w:rsid w:val="006B79DA"/>
    <w:rsid w:val="006C18C4"/>
    <w:rsid w:val="006C195C"/>
    <w:rsid w:val="006C2D06"/>
    <w:rsid w:val="006C37C8"/>
    <w:rsid w:val="006C40C0"/>
    <w:rsid w:val="006C436E"/>
    <w:rsid w:val="006C457F"/>
    <w:rsid w:val="006C4FCF"/>
    <w:rsid w:val="006C5123"/>
    <w:rsid w:val="006C5241"/>
    <w:rsid w:val="006C591D"/>
    <w:rsid w:val="006C60F6"/>
    <w:rsid w:val="006C69EE"/>
    <w:rsid w:val="006C764B"/>
    <w:rsid w:val="006C7D5F"/>
    <w:rsid w:val="006D027D"/>
    <w:rsid w:val="006D0298"/>
    <w:rsid w:val="006D120B"/>
    <w:rsid w:val="006D168D"/>
    <w:rsid w:val="006D18BA"/>
    <w:rsid w:val="006D260B"/>
    <w:rsid w:val="006D78F9"/>
    <w:rsid w:val="006D7E5E"/>
    <w:rsid w:val="006E1155"/>
    <w:rsid w:val="006E208C"/>
    <w:rsid w:val="006E25DA"/>
    <w:rsid w:val="006E3141"/>
    <w:rsid w:val="006E5291"/>
    <w:rsid w:val="006E5933"/>
    <w:rsid w:val="006E5DF2"/>
    <w:rsid w:val="006E6B26"/>
    <w:rsid w:val="006E6F6A"/>
    <w:rsid w:val="006E7D50"/>
    <w:rsid w:val="006F142F"/>
    <w:rsid w:val="006F1889"/>
    <w:rsid w:val="006F38E8"/>
    <w:rsid w:val="006F590F"/>
    <w:rsid w:val="006F7605"/>
    <w:rsid w:val="006F7D09"/>
    <w:rsid w:val="00701A59"/>
    <w:rsid w:val="00702561"/>
    <w:rsid w:val="00703655"/>
    <w:rsid w:val="00704DFF"/>
    <w:rsid w:val="007050F9"/>
    <w:rsid w:val="00710915"/>
    <w:rsid w:val="007110B0"/>
    <w:rsid w:val="007135E4"/>
    <w:rsid w:val="00714742"/>
    <w:rsid w:val="007150C2"/>
    <w:rsid w:val="00715F58"/>
    <w:rsid w:val="007162AD"/>
    <w:rsid w:val="00716857"/>
    <w:rsid w:val="007171D7"/>
    <w:rsid w:val="0072492C"/>
    <w:rsid w:val="00724AEB"/>
    <w:rsid w:val="00727A30"/>
    <w:rsid w:val="00730197"/>
    <w:rsid w:val="00730348"/>
    <w:rsid w:val="00732BA2"/>
    <w:rsid w:val="00732D91"/>
    <w:rsid w:val="0073313A"/>
    <w:rsid w:val="00733EE5"/>
    <w:rsid w:val="00734EF8"/>
    <w:rsid w:val="00735080"/>
    <w:rsid w:val="0073568B"/>
    <w:rsid w:val="00735E0E"/>
    <w:rsid w:val="0074045B"/>
    <w:rsid w:val="00740B84"/>
    <w:rsid w:val="00742B32"/>
    <w:rsid w:val="00742DE1"/>
    <w:rsid w:val="0074303E"/>
    <w:rsid w:val="00743CA2"/>
    <w:rsid w:val="00743FE6"/>
    <w:rsid w:val="007444D3"/>
    <w:rsid w:val="007469E7"/>
    <w:rsid w:val="0074791E"/>
    <w:rsid w:val="007507A7"/>
    <w:rsid w:val="0075096F"/>
    <w:rsid w:val="0075151A"/>
    <w:rsid w:val="007546B0"/>
    <w:rsid w:val="00754989"/>
    <w:rsid w:val="00755DE2"/>
    <w:rsid w:val="00760375"/>
    <w:rsid w:val="00763511"/>
    <w:rsid w:val="00763D65"/>
    <w:rsid w:val="00764260"/>
    <w:rsid w:val="0076652D"/>
    <w:rsid w:val="00766A65"/>
    <w:rsid w:val="00766FC7"/>
    <w:rsid w:val="00767AD6"/>
    <w:rsid w:val="00771CD9"/>
    <w:rsid w:val="00772614"/>
    <w:rsid w:val="00773192"/>
    <w:rsid w:val="00774CBA"/>
    <w:rsid w:val="007765E8"/>
    <w:rsid w:val="007773D9"/>
    <w:rsid w:val="00780897"/>
    <w:rsid w:val="007817B9"/>
    <w:rsid w:val="0078244C"/>
    <w:rsid w:val="0078314B"/>
    <w:rsid w:val="00784065"/>
    <w:rsid w:val="00785073"/>
    <w:rsid w:val="0078758C"/>
    <w:rsid w:val="00790086"/>
    <w:rsid w:val="00790116"/>
    <w:rsid w:val="00792331"/>
    <w:rsid w:val="00793182"/>
    <w:rsid w:val="00793212"/>
    <w:rsid w:val="00794309"/>
    <w:rsid w:val="0079542A"/>
    <w:rsid w:val="00795504"/>
    <w:rsid w:val="00796CCF"/>
    <w:rsid w:val="00796ED8"/>
    <w:rsid w:val="0079703E"/>
    <w:rsid w:val="007A4F10"/>
    <w:rsid w:val="007A50FE"/>
    <w:rsid w:val="007A5D77"/>
    <w:rsid w:val="007A6244"/>
    <w:rsid w:val="007A6E3A"/>
    <w:rsid w:val="007B1884"/>
    <w:rsid w:val="007B2381"/>
    <w:rsid w:val="007B247E"/>
    <w:rsid w:val="007B2BEA"/>
    <w:rsid w:val="007B3A62"/>
    <w:rsid w:val="007B467C"/>
    <w:rsid w:val="007B4C3F"/>
    <w:rsid w:val="007B5350"/>
    <w:rsid w:val="007B5E1B"/>
    <w:rsid w:val="007C228F"/>
    <w:rsid w:val="007C2B77"/>
    <w:rsid w:val="007C2D8D"/>
    <w:rsid w:val="007C2ED9"/>
    <w:rsid w:val="007C3200"/>
    <w:rsid w:val="007C368E"/>
    <w:rsid w:val="007C3A2A"/>
    <w:rsid w:val="007C4ED5"/>
    <w:rsid w:val="007C5C33"/>
    <w:rsid w:val="007C72BA"/>
    <w:rsid w:val="007D042D"/>
    <w:rsid w:val="007D0AD9"/>
    <w:rsid w:val="007D0C79"/>
    <w:rsid w:val="007D0F3E"/>
    <w:rsid w:val="007D2B4A"/>
    <w:rsid w:val="007D3AC9"/>
    <w:rsid w:val="007D3C95"/>
    <w:rsid w:val="007D5895"/>
    <w:rsid w:val="007D626D"/>
    <w:rsid w:val="007D62CD"/>
    <w:rsid w:val="007E0D3B"/>
    <w:rsid w:val="007E1719"/>
    <w:rsid w:val="007E2711"/>
    <w:rsid w:val="007E5896"/>
    <w:rsid w:val="007E5E7A"/>
    <w:rsid w:val="007E7A7D"/>
    <w:rsid w:val="007F1375"/>
    <w:rsid w:val="007F1CCF"/>
    <w:rsid w:val="007F2EC2"/>
    <w:rsid w:val="007F341A"/>
    <w:rsid w:val="007F34A9"/>
    <w:rsid w:val="007F45D7"/>
    <w:rsid w:val="007F4604"/>
    <w:rsid w:val="008016CB"/>
    <w:rsid w:val="00803013"/>
    <w:rsid w:val="008043F9"/>
    <w:rsid w:val="00811687"/>
    <w:rsid w:val="00811911"/>
    <w:rsid w:val="008129B7"/>
    <w:rsid w:val="00813580"/>
    <w:rsid w:val="00815EF1"/>
    <w:rsid w:val="0082146F"/>
    <w:rsid w:val="0082254A"/>
    <w:rsid w:val="0082348B"/>
    <w:rsid w:val="008246FA"/>
    <w:rsid w:val="0082656D"/>
    <w:rsid w:val="00830D21"/>
    <w:rsid w:val="00831669"/>
    <w:rsid w:val="00831ED6"/>
    <w:rsid w:val="00833122"/>
    <w:rsid w:val="00833BD6"/>
    <w:rsid w:val="008346DC"/>
    <w:rsid w:val="00834A0F"/>
    <w:rsid w:val="00834D63"/>
    <w:rsid w:val="00835553"/>
    <w:rsid w:val="0083588C"/>
    <w:rsid w:val="00837981"/>
    <w:rsid w:val="0083798E"/>
    <w:rsid w:val="00842822"/>
    <w:rsid w:val="00842898"/>
    <w:rsid w:val="00842EA3"/>
    <w:rsid w:val="00843D7B"/>
    <w:rsid w:val="008446C7"/>
    <w:rsid w:val="0084517D"/>
    <w:rsid w:val="008454B4"/>
    <w:rsid w:val="0084594C"/>
    <w:rsid w:val="00845B05"/>
    <w:rsid w:val="00847864"/>
    <w:rsid w:val="00850AD7"/>
    <w:rsid w:val="0085215E"/>
    <w:rsid w:val="00852BD8"/>
    <w:rsid w:val="00856435"/>
    <w:rsid w:val="0085662D"/>
    <w:rsid w:val="00860DE5"/>
    <w:rsid w:val="00862A1F"/>
    <w:rsid w:val="00862C4C"/>
    <w:rsid w:val="00863E29"/>
    <w:rsid w:val="00865C18"/>
    <w:rsid w:val="00866135"/>
    <w:rsid w:val="008672DD"/>
    <w:rsid w:val="00872914"/>
    <w:rsid w:val="00873440"/>
    <w:rsid w:val="00873F4B"/>
    <w:rsid w:val="008745A7"/>
    <w:rsid w:val="00874CA8"/>
    <w:rsid w:val="008752C1"/>
    <w:rsid w:val="008770A9"/>
    <w:rsid w:val="00877B19"/>
    <w:rsid w:val="00877F3F"/>
    <w:rsid w:val="00881DF4"/>
    <w:rsid w:val="0088299E"/>
    <w:rsid w:val="0088383E"/>
    <w:rsid w:val="00884F08"/>
    <w:rsid w:val="00890335"/>
    <w:rsid w:val="00890A6B"/>
    <w:rsid w:val="00890FDA"/>
    <w:rsid w:val="0089211A"/>
    <w:rsid w:val="00892196"/>
    <w:rsid w:val="00893959"/>
    <w:rsid w:val="00895433"/>
    <w:rsid w:val="008955D2"/>
    <w:rsid w:val="008959DD"/>
    <w:rsid w:val="00896152"/>
    <w:rsid w:val="008A018E"/>
    <w:rsid w:val="008A0439"/>
    <w:rsid w:val="008A0D8E"/>
    <w:rsid w:val="008A1528"/>
    <w:rsid w:val="008A16A7"/>
    <w:rsid w:val="008A38A0"/>
    <w:rsid w:val="008A3ADF"/>
    <w:rsid w:val="008A3C57"/>
    <w:rsid w:val="008A43F8"/>
    <w:rsid w:val="008A642E"/>
    <w:rsid w:val="008A6680"/>
    <w:rsid w:val="008B160D"/>
    <w:rsid w:val="008B31AF"/>
    <w:rsid w:val="008B34CF"/>
    <w:rsid w:val="008B3565"/>
    <w:rsid w:val="008B37EF"/>
    <w:rsid w:val="008B51A1"/>
    <w:rsid w:val="008B7012"/>
    <w:rsid w:val="008B7657"/>
    <w:rsid w:val="008C088C"/>
    <w:rsid w:val="008C173B"/>
    <w:rsid w:val="008C17B1"/>
    <w:rsid w:val="008C1CCA"/>
    <w:rsid w:val="008C2195"/>
    <w:rsid w:val="008C2811"/>
    <w:rsid w:val="008C3052"/>
    <w:rsid w:val="008C5E5B"/>
    <w:rsid w:val="008C6303"/>
    <w:rsid w:val="008C793F"/>
    <w:rsid w:val="008D0827"/>
    <w:rsid w:val="008D42E1"/>
    <w:rsid w:val="008D57BC"/>
    <w:rsid w:val="008D6BE7"/>
    <w:rsid w:val="008D743D"/>
    <w:rsid w:val="008D7A89"/>
    <w:rsid w:val="008E447A"/>
    <w:rsid w:val="008E64EC"/>
    <w:rsid w:val="008E78E7"/>
    <w:rsid w:val="008F036E"/>
    <w:rsid w:val="008F0445"/>
    <w:rsid w:val="008F296F"/>
    <w:rsid w:val="008F5A3A"/>
    <w:rsid w:val="008F5BCF"/>
    <w:rsid w:val="008F6F5F"/>
    <w:rsid w:val="008F7B6A"/>
    <w:rsid w:val="008F7ECF"/>
    <w:rsid w:val="009007E5"/>
    <w:rsid w:val="00900A8A"/>
    <w:rsid w:val="00901171"/>
    <w:rsid w:val="009029E7"/>
    <w:rsid w:val="00902C7D"/>
    <w:rsid w:val="009053E6"/>
    <w:rsid w:val="009057A8"/>
    <w:rsid w:val="0090621E"/>
    <w:rsid w:val="00906965"/>
    <w:rsid w:val="00907696"/>
    <w:rsid w:val="009103DF"/>
    <w:rsid w:val="00911607"/>
    <w:rsid w:val="009134D4"/>
    <w:rsid w:val="00913E53"/>
    <w:rsid w:val="00916BAC"/>
    <w:rsid w:val="00916DF7"/>
    <w:rsid w:val="00917018"/>
    <w:rsid w:val="00923A54"/>
    <w:rsid w:val="00924FEA"/>
    <w:rsid w:val="009253E0"/>
    <w:rsid w:val="00930147"/>
    <w:rsid w:val="00931210"/>
    <w:rsid w:val="009320CF"/>
    <w:rsid w:val="009343E5"/>
    <w:rsid w:val="009361B8"/>
    <w:rsid w:val="0093696A"/>
    <w:rsid w:val="009370FA"/>
    <w:rsid w:val="00940895"/>
    <w:rsid w:val="0094095E"/>
    <w:rsid w:val="00941ECF"/>
    <w:rsid w:val="00942EB3"/>
    <w:rsid w:val="0094499D"/>
    <w:rsid w:val="00944A9F"/>
    <w:rsid w:val="00944CA6"/>
    <w:rsid w:val="00945A30"/>
    <w:rsid w:val="00945D40"/>
    <w:rsid w:val="009467B3"/>
    <w:rsid w:val="009470BD"/>
    <w:rsid w:val="009474EF"/>
    <w:rsid w:val="00947B23"/>
    <w:rsid w:val="00947CF9"/>
    <w:rsid w:val="00947E82"/>
    <w:rsid w:val="009508CB"/>
    <w:rsid w:val="00950E4F"/>
    <w:rsid w:val="00951E7A"/>
    <w:rsid w:val="00951ED7"/>
    <w:rsid w:val="009540D9"/>
    <w:rsid w:val="00954A30"/>
    <w:rsid w:val="009555D1"/>
    <w:rsid w:val="0095635B"/>
    <w:rsid w:val="009575B5"/>
    <w:rsid w:val="009578D5"/>
    <w:rsid w:val="00957EF4"/>
    <w:rsid w:val="00960111"/>
    <w:rsid w:val="00961150"/>
    <w:rsid w:val="00961D85"/>
    <w:rsid w:val="009662EE"/>
    <w:rsid w:val="009668A9"/>
    <w:rsid w:val="00966FFC"/>
    <w:rsid w:val="009700C5"/>
    <w:rsid w:val="00971956"/>
    <w:rsid w:val="00971D39"/>
    <w:rsid w:val="009730AB"/>
    <w:rsid w:val="0097347C"/>
    <w:rsid w:val="0097620E"/>
    <w:rsid w:val="00976A71"/>
    <w:rsid w:val="0098410A"/>
    <w:rsid w:val="00984917"/>
    <w:rsid w:val="009852FE"/>
    <w:rsid w:val="00985E53"/>
    <w:rsid w:val="00986105"/>
    <w:rsid w:val="009905A2"/>
    <w:rsid w:val="00990C88"/>
    <w:rsid w:val="00990DA6"/>
    <w:rsid w:val="00991CF3"/>
    <w:rsid w:val="00992624"/>
    <w:rsid w:val="009927D9"/>
    <w:rsid w:val="009940AB"/>
    <w:rsid w:val="00994273"/>
    <w:rsid w:val="009963F3"/>
    <w:rsid w:val="00996F49"/>
    <w:rsid w:val="00997F64"/>
    <w:rsid w:val="009A0DCE"/>
    <w:rsid w:val="009A1C66"/>
    <w:rsid w:val="009A3196"/>
    <w:rsid w:val="009A3710"/>
    <w:rsid w:val="009A3EC7"/>
    <w:rsid w:val="009A52E3"/>
    <w:rsid w:val="009A795C"/>
    <w:rsid w:val="009A7E70"/>
    <w:rsid w:val="009B1447"/>
    <w:rsid w:val="009B14C6"/>
    <w:rsid w:val="009B17B4"/>
    <w:rsid w:val="009B1CC5"/>
    <w:rsid w:val="009B6CAE"/>
    <w:rsid w:val="009B6EE9"/>
    <w:rsid w:val="009B72B9"/>
    <w:rsid w:val="009B7885"/>
    <w:rsid w:val="009B7A66"/>
    <w:rsid w:val="009C05F1"/>
    <w:rsid w:val="009C30B4"/>
    <w:rsid w:val="009C4F6A"/>
    <w:rsid w:val="009C5063"/>
    <w:rsid w:val="009C6231"/>
    <w:rsid w:val="009C6460"/>
    <w:rsid w:val="009C7EFF"/>
    <w:rsid w:val="009C7F71"/>
    <w:rsid w:val="009D0502"/>
    <w:rsid w:val="009D23B7"/>
    <w:rsid w:val="009D2C08"/>
    <w:rsid w:val="009D2D58"/>
    <w:rsid w:val="009D320E"/>
    <w:rsid w:val="009D34EF"/>
    <w:rsid w:val="009D4403"/>
    <w:rsid w:val="009D4CC7"/>
    <w:rsid w:val="009D5BE4"/>
    <w:rsid w:val="009D64D7"/>
    <w:rsid w:val="009D6C84"/>
    <w:rsid w:val="009D74B3"/>
    <w:rsid w:val="009D7D06"/>
    <w:rsid w:val="009D7E1A"/>
    <w:rsid w:val="009E1A31"/>
    <w:rsid w:val="009E2887"/>
    <w:rsid w:val="009E3B30"/>
    <w:rsid w:val="009E6342"/>
    <w:rsid w:val="009F0650"/>
    <w:rsid w:val="009F196F"/>
    <w:rsid w:val="009F253E"/>
    <w:rsid w:val="009F2B4C"/>
    <w:rsid w:val="009F2F12"/>
    <w:rsid w:val="009F44EF"/>
    <w:rsid w:val="009F44FF"/>
    <w:rsid w:val="009F4909"/>
    <w:rsid w:val="009F5548"/>
    <w:rsid w:val="009F7852"/>
    <w:rsid w:val="00A002B4"/>
    <w:rsid w:val="00A02B37"/>
    <w:rsid w:val="00A0416E"/>
    <w:rsid w:val="00A10C59"/>
    <w:rsid w:val="00A12601"/>
    <w:rsid w:val="00A1287A"/>
    <w:rsid w:val="00A12969"/>
    <w:rsid w:val="00A1420D"/>
    <w:rsid w:val="00A14E6F"/>
    <w:rsid w:val="00A1579D"/>
    <w:rsid w:val="00A16687"/>
    <w:rsid w:val="00A1783E"/>
    <w:rsid w:val="00A20CA0"/>
    <w:rsid w:val="00A21271"/>
    <w:rsid w:val="00A21581"/>
    <w:rsid w:val="00A21E75"/>
    <w:rsid w:val="00A21EBC"/>
    <w:rsid w:val="00A21F03"/>
    <w:rsid w:val="00A2594B"/>
    <w:rsid w:val="00A25C3F"/>
    <w:rsid w:val="00A2622A"/>
    <w:rsid w:val="00A263FE"/>
    <w:rsid w:val="00A275C6"/>
    <w:rsid w:val="00A31B2A"/>
    <w:rsid w:val="00A31DBC"/>
    <w:rsid w:val="00A34573"/>
    <w:rsid w:val="00A349CD"/>
    <w:rsid w:val="00A35B00"/>
    <w:rsid w:val="00A36387"/>
    <w:rsid w:val="00A363C8"/>
    <w:rsid w:val="00A369D8"/>
    <w:rsid w:val="00A36C9B"/>
    <w:rsid w:val="00A376CA"/>
    <w:rsid w:val="00A406A9"/>
    <w:rsid w:val="00A41E04"/>
    <w:rsid w:val="00A433B4"/>
    <w:rsid w:val="00A464B5"/>
    <w:rsid w:val="00A50D28"/>
    <w:rsid w:val="00A51884"/>
    <w:rsid w:val="00A525E4"/>
    <w:rsid w:val="00A52698"/>
    <w:rsid w:val="00A54376"/>
    <w:rsid w:val="00A54CDF"/>
    <w:rsid w:val="00A55EC9"/>
    <w:rsid w:val="00A55FCF"/>
    <w:rsid w:val="00A5691F"/>
    <w:rsid w:val="00A57136"/>
    <w:rsid w:val="00A572C8"/>
    <w:rsid w:val="00A61601"/>
    <w:rsid w:val="00A61835"/>
    <w:rsid w:val="00A61CE6"/>
    <w:rsid w:val="00A65469"/>
    <w:rsid w:val="00A654AA"/>
    <w:rsid w:val="00A65682"/>
    <w:rsid w:val="00A65D35"/>
    <w:rsid w:val="00A65DEF"/>
    <w:rsid w:val="00A6622B"/>
    <w:rsid w:val="00A66414"/>
    <w:rsid w:val="00A66BB5"/>
    <w:rsid w:val="00A70742"/>
    <w:rsid w:val="00A70CA3"/>
    <w:rsid w:val="00A71D60"/>
    <w:rsid w:val="00A72A08"/>
    <w:rsid w:val="00A74E8A"/>
    <w:rsid w:val="00A7554D"/>
    <w:rsid w:val="00A769B7"/>
    <w:rsid w:val="00A80F72"/>
    <w:rsid w:val="00A819DC"/>
    <w:rsid w:val="00A82760"/>
    <w:rsid w:val="00A83A07"/>
    <w:rsid w:val="00A857FF"/>
    <w:rsid w:val="00A860E2"/>
    <w:rsid w:val="00A873C1"/>
    <w:rsid w:val="00A90A93"/>
    <w:rsid w:val="00A91058"/>
    <w:rsid w:val="00A91539"/>
    <w:rsid w:val="00A915F3"/>
    <w:rsid w:val="00A92E61"/>
    <w:rsid w:val="00A93199"/>
    <w:rsid w:val="00A9426F"/>
    <w:rsid w:val="00A97658"/>
    <w:rsid w:val="00A97D4A"/>
    <w:rsid w:val="00A97DAF"/>
    <w:rsid w:val="00AA0505"/>
    <w:rsid w:val="00AA0976"/>
    <w:rsid w:val="00AA1EDB"/>
    <w:rsid w:val="00AA28EF"/>
    <w:rsid w:val="00AA41D1"/>
    <w:rsid w:val="00AA45DF"/>
    <w:rsid w:val="00AA4C4F"/>
    <w:rsid w:val="00AA511B"/>
    <w:rsid w:val="00AA52FC"/>
    <w:rsid w:val="00AA5933"/>
    <w:rsid w:val="00AA6614"/>
    <w:rsid w:val="00AA6C16"/>
    <w:rsid w:val="00AA7EAC"/>
    <w:rsid w:val="00AB1A28"/>
    <w:rsid w:val="00AB2F17"/>
    <w:rsid w:val="00AB31F7"/>
    <w:rsid w:val="00AB44BD"/>
    <w:rsid w:val="00AB46C6"/>
    <w:rsid w:val="00AB4A4A"/>
    <w:rsid w:val="00AB57CA"/>
    <w:rsid w:val="00AB64AF"/>
    <w:rsid w:val="00AB7933"/>
    <w:rsid w:val="00AC177F"/>
    <w:rsid w:val="00AC19B5"/>
    <w:rsid w:val="00AC22EE"/>
    <w:rsid w:val="00AC4E5D"/>
    <w:rsid w:val="00AC572E"/>
    <w:rsid w:val="00AC64DB"/>
    <w:rsid w:val="00AC7405"/>
    <w:rsid w:val="00AC7AD8"/>
    <w:rsid w:val="00AD06FB"/>
    <w:rsid w:val="00AD1A99"/>
    <w:rsid w:val="00AD2025"/>
    <w:rsid w:val="00AD359C"/>
    <w:rsid w:val="00AD3F8F"/>
    <w:rsid w:val="00AD52EA"/>
    <w:rsid w:val="00AD5F6F"/>
    <w:rsid w:val="00AD74BD"/>
    <w:rsid w:val="00AD7619"/>
    <w:rsid w:val="00AE190B"/>
    <w:rsid w:val="00AE291E"/>
    <w:rsid w:val="00AE2BD1"/>
    <w:rsid w:val="00AE33F1"/>
    <w:rsid w:val="00AE3D16"/>
    <w:rsid w:val="00AE46B6"/>
    <w:rsid w:val="00AE70DB"/>
    <w:rsid w:val="00AF0B7D"/>
    <w:rsid w:val="00AF191F"/>
    <w:rsid w:val="00AF19AB"/>
    <w:rsid w:val="00AF1D40"/>
    <w:rsid w:val="00AF2346"/>
    <w:rsid w:val="00AF24A6"/>
    <w:rsid w:val="00AF29D0"/>
    <w:rsid w:val="00AF44EA"/>
    <w:rsid w:val="00AF4C9C"/>
    <w:rsid w:val="00AF4E44"/>
    <w:rsid w:val="00AF5DB2"/>
    <w:rsid w:val="00AF6102"/>
    <w:rsid w:val="00AF7415"/>
    <w:rsid w:val="00B00255"/>
    <w:rsid w:val="00B01294"/>
    <w:rsid w:val="00B01535"/>
    <w:rsid w:val="00B01FC7"/>
    <w:rsid w:val="00B03010"/>
    <w:rsid w:val="00B0314F"/>
    <w:rsid w:val="00B14577"/>
    <w:rsid w:val="00B159F3"/>
    <w:rsid w:val="00B16E8B"/>
    <w:rsid w:val="00B21162"/>
    <w:rsid w:val="00B22332"/>
    <w:rsid w:val="00B227FD"/>
    <w:rsid w:val="00B2383F"/>
    <w:rsid w:val="00B23952"/>
    <w:rsid w:val="00B23C63"/>
    <w:rsid w:val="00B243BC"/>
    <w:rsid w:val="00B253CD"/>
    <w:rsid w:val="00B2572F"/>
    <w:rsid w:val="00B25C8D"/>
    <w:rsid w:val="00B279FB"/>
    <w:rsid w:val="00B3310B"/>
    <w:rsid w:val="00B33204"/>
    <w:rsid w:val="00B33595"/>
    <w:rsid w:val="00B349AE"/>
    <w:rsid w:val="00B34D6F"/>
    <w:rsid w:val="00B35005"/>
    <w:rsid w:val="00B40F51"/>
    <w:rsid w:val="00B41074"/>
    <w:rsid w:val="00B42312"/>
    <w:rsid w:val="00B42DD9"/>
    <w:rsid w:val="00B430D3"/>
    <w:rsid w:val="00B46764"/>
    <w:rsid w:val="00B476EF"/>
    <w:rsid w:val="00B47961"/>
    <w:rsid w:val="00B5403F"/>
    <w:rsid w:val="00B54704"/>
    <w:rsid w:val="00B54C0F"/>
    <w:rsid w:val="00B57011"/>
    <w:rsid w:val="00B607D8"/>
    <w:rsid w:val="00B61050"/>
    <w:rsid w:val="00B6280F"/>
    <w:rsid w:val="00B63EEF"/>
    <w:rsid w:val="00B65379"/>
    <w:rsid w:val="00B66AE8"/>
    <w:rsid w:val="00B672E0"/>
    <w:rsid w:val="00B6735F"/>
    <w:rsid w:val="00B67AF1"/>
    <w:rsid w:val="00B708D1"/>
    <w:rsid w:val="00B70C30"/>
    <w:rsid w:val="00B70E7F"/>
    <w:rsid w:val="00B713E4"/>
    <w:rsid w:val="00B76193"/>
    <w:rsid w:val="00B7763C"/>
    <w:rsid w:val="00B77EB9"/>
    <w:rsid w:val="00B804F8"/>
    <w:rsid w:val="00B81E52"/>
    <w:rsid w:val="00B838FC"/>
    <w:rsid w:val="00B844DE"/>
    <w:rsid w:val="00B84B97"/>
    <w:rsid w:val="00B85303"/>
    <w:rsid w:val="00B86B91"/>
    <w:rsid w:val="00B86F23"/>
    <w:rsid w:val="00B87E1C"/>
    <w:rsid w:val="00B90EA1"/>
    <w:rsid w:val="00B91A71"/>
    <w:rsid w:val="00B91C3D"/>
    <w:rsid w:val="00B91D24"/>
    <w:rsid w:val="00B9447B"/>
    <w:rsid w:val="00B9729F"/>
    <w:rsid w:val="00BA043D"/>
    <w:rsid w:val="00BA272D"/>
    <w:rsid w:val="00BA4530"/>
    <w:rsid w:val="00BA5671"/>
    <w:rsid w:val="00BA5BC2"/>
    <w:rsid w:val="00BA6B32"/>
    <w:rsid w:val="00BB0093"/>
    <w:rsid w:val="00BB0B4F"/>
    <w:rsid w:val="00BB131E"/>
    <w:rsid w:val="00BB2723"/>
    <w:rsid w:val="00BB27AD"/>
    <w:rsid w:val="00BB4EBD"/>
    <w:rsid w:val="00BB5232"/>
    <w:rsid w:val="00BB66D2"/>
    <w:rsid w:val="00BB6E5F"/>
    <w:rsid w:val="00BC1CB0"/>
    <w:rsid w:val="00BC226E"/>
    <w:rsid w:val="00BC28C6"/>
    <w:rsid w:val="00BC329B"/>
    <w:rsid w:val="00BC5F5E"/>
    <w:rsid w:val="00BC7685"/>
    <w:rsid w:val="00BD02F5"/>
    <w:rsid w:val="00BD0741"/>
    <w:rsid w:val="00BD0C77"/>
    <w:rsid w:val="00BD2A5E"/>
    <w:rsid w:val="00BD3ABB"/>
    <w:rsid w:val="00BD6E89"/>
    <w:rsid w:val="00BD7FB9"/>
    <w:rsid w:val="00BE416E"/>
    <w:rsid w:val="00BE5116"/>
    <w:rsid w:val="00BE5F83"/>
    <w:rsid w:val="00BE7017"/>
    <w:rsid w:val="00BE7106"/>
    <w:rsid w:val="00BE7782"/>
    <w:rsid w:val="00BF0907"/>
    <w:rsid w:val="00BF1260"/>
    <w:rsid w:val="00BF3047"/>
    <w:rsid w:val="00C0083C"/>
    <w:rsid w:val="00C01D3A"/>
    <w:rsid w:val="00C01DA3"/>
    <w:rsid w:val="00C033C2"/>
    <w:rsid w:val="00C036D0"/>
    <w:rsid w:val="00C05406"/>
    <w:rsid w:val="00C0771C"/>
    <w:rsid w:val="00C07AF4"/>
    <w:rsid w:val="00C119DE"/>
    <w:rsid w:val="00C13FE3"/>
    <w:rsid w:val="00C14809"/>
    <w:rsid w:val="00C14B72"/>
    <w:rsid w:val="00C15717"/>
    <w:rsid w:val="00C17DBB"/>
    <w:rsid w:val="00C2408A"/>
    <w:rsid w:val="00C24341"/>
    <w:rsid w:val="00C247B3"/>
    <w:rsid w:val="00C25F0F"/>
    <w:rsid w:val="00C26045"/>
    <w:rsid w:val="00C26131"/>
    <w:rsid w:val="00C26B14"/>
    <w:rsid w:val="00C276E7"/>
    <w:rsid w:val="00C3096C"/>
    <w:rsid w:val="00C30DBB"/>
    <w:rsid w:val="00C31EEE"/>
    <w:rsid w:val="00C32555"/>
    <w:rsid w:val="00C3275B"/>
    <w:rsid w:val="00C3603B"/>
    <w:rsid w:val="00C361A4"/>
    <w:rsid w:val="00C37111"/>
    <w:rsid w:val="00C43204"/>
    <w:rsid w:val="00C45C86"/>
    <w:rsid w:val="00C45D61"/>
    <w:rsid w:val="00C46F7A"/>
    <w:rsid w:val="00C47649"/>
    <w:rsid w:val="00C47747"/>
    <w:rsid w:val="00C50AA2"/>
    <w:rsid w:val="00C515A1"/>
    <w:rsid w:val="00C5246E"/>
    <w:rsid w:val="00C524C6"/>
    <w:rsid w:val="00C529D3"/>
    <w:rsid w:val="00C53EFA"/>
    <w:rsid w:val="00C55711"/>
    <w:rsid w:val="00C55722"/>
    <w:rsid w:val="00C55FCE"/>
    <w:rsid w:val="00C572C7"/>
    <w:rsid w:val="00C61CB2"/>
    <w:rsid w:val="00C622FE"/>
    <w:rsid w:val="00C63A56"/>
    <w:rsid w:val="00C65399"/>
    <w:rsid w:val="00C65C18"/>
    <w:rsid w:val="00C66548"/>
    <w:rsid w:val="00C679A0"/>
    <w:rsid w:val="00C70AC7"/>
    <w:rsid w:val="00C710B7"/>
    <w:rsid w:val="00C71F77"/>
    <w:rsid w:val="00C72811"/>
    <w:rsid w:val="00C72E14"/>
    <w:rsid w:val="00C73057"/>
    <w:rsid w:val="00C7585D"/>
    <w:rsid w:val="00C767F2"/>
    <w:rsid w:val="00C775E0"/>
    <w:rsid w:val="00C77AA4"/>
    <w:rsid w:val="00C81783"/>
    <w:rsid w:val="00C82023"/>
    <w:rsid w:val="00C833F6"/>
    <w:rsid w:val="00C8368C"/>
    <w:rsid w:val="00C85A06"/>
    <w:rsid w:val="00C86240"/>
    <w:rsid w:val="00C86962"/>
    <w:rsid w:val="00C87DFC"/>
    <w:rsid w:val="00C87F6D"/>
    <w:rsid w:val="00C90C2F"/>
    <w:rsid w:val="00C92287"/>
    <w:rsid w:val="00C93DDB"/>
    <w:rsid w:val="00C94D1B"/>
    <w:rsid w:val="00C95810"/>
    <w:rsid w:val="00C96377"/>
    <w:rsid w:val="00C96A30"/>
    <w:rsid w:val="00C97777"/>
    <w:rsid w:val="00CA031D"/>
    <w:rsid w:val="00CA1632"/>
    <w:rsid w:val="00CA1A98"/>
    <w:rsid w:val="00CA29C8"/>
    <w:rsid w:val="00CA5D96"/>
    <w:rsid w:val="00CA7006"/>
    <w:rsid w:val="00CA7ECE"/>
    <w:rsid w:val="00CB02A1"/>
    <w:rsid w:val="00CB1E75"/>
    <w:rsid w:val="00CB268B"/>
    <w:rsid w:val="00CB2946"/>
    <w:rsid w:val="00CB2F3F"/>
    <w:rsid w:val="00CB42C9"/>
    <w:rsid w:val="00CB4CB7"/>
    <w:rsid w:val="00CB636F"/>
    <w:rsid w:val="00CB6726"/>
    <w:rsid w:val="00CB7165"/>
    <w:rsid w:val="00CB75BF"/>
    <w:rsid w:val="00CC0B51"/>
    <w:rsid w:val="00CC11C9"/>
    <w:rsid w:val="00CC24B3"/>
    <w:rsid w:val="00CC3477"/>
    <w:rsid w:val="00CC4BBF"/>
    <w:rsid w:val="00CC50D4"/>
    <w:rsid w:val="00CC5769"/>
    <w:rsid w:val="00CC635F"/>
    <w:rsid w:val="00CD0012"/>
    <w:rsid w:val="00CD07DD"/>
    <w:rsid w:val="00CD0871"/>
    <w:rsid w:val="00CD0E5F"/>
    <w:rsid w:val="00CD2316"/>
    <w:rsid w:val="00CD39C8"/>
    <w:rsid w:val="00CD42CD"/>
    <w:rsid w:val="00CD48B6"/>
    <w:rsid w:val="00CD53E5"/>
    <w:rsid w:val="00CD5875"/>
    <w:rsid w:val="00CD5B48"/>
    <w:rsid w:val="00CD6E90"/>
    <w:rsid w:val="00CE388E"/>
    <w:rsid w:val="00CE3A70"/>
    <w:rsid w:val="00CE53F3"/>
    <w:rsid w:val="00CE5DB1"/>
    <w:rsid w:val="00CE7566"/>
    <w:rsid w:val="00CE7AF0"/>
    <w:rsid w:val="00CF0148"/>
    <w:rsid w:val="00CF0295"/>
    <w:rsid w:val="00CF06D8"/>
    <w:rsid w:val="00CF132E"/>
    <w:rsid w:val="00CF1EE5"/>
    <w:rsid w:val="00CF2586"/>
    <w:rsid w:val="00CF267C"/>
    <w:rsid w:val="00CF3828"/>
    <w:rsid w:val="00CF4630"/>
    <w:rsid w:val="00CF4F23"/>
    <w:rsid w:val="00CF56A8"/>
    <w:rsid w:val="00CF61FA"/>
    <w:rsid w:val="00CF71C8"/>
    <w:rsid w:val="00D004D6"/>
    <w:rsid w:val="00D00868"/>
    <w:rsid w:val="00D012EF"/>
    <w:rsid w:val="00D01A01"/>
    <w:rsid w:val="00D025B5"/>
    <w:rsid w:val="00D0524B"/>
    <w:rsid w:val="00D0529E"/>
    <w:rsid w:val="00D06948"/>
    <w:rsid w:val="00D06ABA"/>
    <w:rsid w:val="00D06B86"/>
    <w:rsid w:val="00D0770E"/>
    <w:rsid w:val="00D1015D"/>
    <w:rsid w:val="00D1076C"/>
    <w:rsid w:val="00D1221A"/>
    <w:rsid w:val="00D134FA"/>
    <w:rsid w:val="00D144E9"/>
    <w:rsid w:val="00D1527E"/>
    <w:rsid w:val="00D15525"/>
    <w:rsid w:val="00D15D8F"/>
    <w:rsid w:val="00D165E9"/>
    <w:rsid w:val="00D17458"/>
    <w:rsid w:val="00D1752C"/>
    <w:rsid w:val="00D17FBB"/>
    <w:rsid w:val="00D20BF9"/>
    <w:rsid w:val="00D21190"/>
    <w:rsid w:val="00D220BD"/>
    <w:rsid w:val="00D2260F"/>
    <w:rsid w:val="00D22B5A"/>
    <w:rsid w:val="00D24351"/>
    <w:rsid w:val="00D246FB"/>
    <w:rsid w:val="00D24843"/>
    <w:rsid w:val="00D25F46"/>
    <w:rsid w:val="00D27394"/>
    <w:rsid w:val="00D27F9B"/>
    <w:rsid w:val="00D30FEB"/>
    <w:rsid w:val="00D313BD"/>
    <w:rsid w:val="00D327EA"/>
    <w:rsid w:val="00D32BBF"/>
    <w:rsid w:val="00D345EE"/>
    <w:rsid w:val="00D34674"/>
    <w:rsid w:val="00D34F3F"/>
    <w:rsid w:val="00D3519F"/>
    <w:rsid w:val="00D36346"/>
    <w:rsid w:val="00D37665"/>
    <w:rsid w:val="00D37BCD"/>
    <w:rsid w:val="00D41AD8"/>
    <w:rsid w:val="00D4272B"/>
    <w:rsid w:val="00D43BDE"/>
    <w:rsid w:val="00D44D5F"/>
    <w:rsid w:val="00D522E8"/>
    <w:rsid w:val="00D52862"/>
    <w:rsid w:val="00D53900"/>
    <w:rsid w:val="00D55615"/>
    <w:rsid w:val="00D55F90"/>
    <w:rsid w:val="00D57372"/>
    <w:rsid w:val="00D60A4D"/>
    <w:rsid w:val="00D60B76"/>
    <w:rsid w:val="00D62C3C"/>
    <w:rsid w:val="00D62CB8"/>
    <w:rsid w:val="00D63C06"/>
    <w:rsid w:val="00D647E4"/>
    <w:rsid w:val="00D653ED"/>
    <w:rsid w:val="00D65B91"/>
    <w:rsid w:val="00D660A3"/>
    <w:rsid w:val="00D6699C"/>
    <w:rsid w:val="00D66B02"/>
    <w:rsid w:val="00D71E81"/>
    <w:rsid w:val="00D72A72"/>
    <w:rsid w:val="00D7313C"/>
    <w:rsid w:val="00D7649A"/>
    <w:rsid w:val="00D805B0"/>
    <w:rsid w:val="00D80B46"/>
    <w:rsid w:val="00D81773"/>
    <w:rsid w:val="00D84BF7"/>
    <w:rsid w:val="00D84BFA"/>
    <w:rsid w:val="00D90FE5"/>
    <w:rsid w:val="00D92E66"/>
    <w:rsid w:val="00D97439"/>
    <w:rsid w:val="00D974B3"/>
    <w:rsid w:val="00DA0B1E"/>
    <w:rsid w:val="00DA20C6"/>
    <w:rsid w:val="00DA3F78"/>
    <w:rsid w:val="00DA41C7"/>
    <w:rsid w:val="00DA5253"/>
    <w:rsid w:val="00DA5466"/>
    <w:rsid w:val="00DB1E6F"/>
    <w:rsid w:val="00DB1F98"/>
    <w:rsid w:val="00DB3E14"/>
    <w:rsid w:val="00DB4F0E"/>
    <w:rsid w:val="00DB7B4F"/>
    <w:rsid w:val="00DC12A8"/>
    <w:rsid w:val="00DC1376"/>
    <w:rsid w:val="00DC1C17"/>
    <w:rsid w:val="00DC45DA"/>
    <w:rsid w:val="00DC4E5B"/>
    <w:rsid w:val="00DC5C3F"/>
    <w:rsid w:val="00DC6333"/>
    <w:rsid w:val="00DC657E"/>
    <w:rsid w:val="00DC6A9D"/>
    <w:rsid w:val="00DD1FF4"/>
    <w:rsid w:val="00DD440A"/>
    <w:rsid w:val="00DD4ADB"/>
    <w:rsid w:val="00DD4FEB"/>
    <w:rsid w:val="00DD53BC"/>
    <w:rsid w:val="00DD59BA"/>
    <w:rsid w:val="00DD6E16"/>
    <w:rsid w:val="00DD76CF"/>
    <w:rsid w:val="00DD7D72"/>
    <w:rsid w:val="00DE0DFF"/>
    <w:rsid w:val="00DE247E"/>
    <w:rsid w:val="00DE291A"/>
    <w:rsid w:val="00DE375F"/>
    <w:rsid w:val="00DE3A92"/>
    <w:rsid w:val="00DE6C1E"/>
    <w:rsid w:val="00DE7621"/>
    <w:rsid w:val="00DF004D"/>
    <w:rsid w:val="00DF05EB"/>
    <w:rsid w:val="00DF0636"/>
    <w:rsid w:val="00DF0A0C"/>
    <w:rsid w:val="00DF138C"/>
    <w:rsid w:val="00DF279D"/>
    <w:rsid w:val="00DF2883"/>
    <w:rsid w:val="00DF35A8"/>
    <w:rsid w:val="00DF4F3E"/>
    <w:rsid w:val="00DF4FC5"/>
    <w:rsid w:val="00DF6FAA"/>
    <w:rsid w:val="00DF763A"/>
    <w:rsid w:val="00E00DF1"/>
    <w:rsid w:val="00E01997"/>
    <w:rsid w:val="00E0296E"/>
    <w:rsid w:val="00E04D4B"/>
    <w:rsid w:val="00E06CC0"/>
    <w:rsid w:val="00E079D3"/>
    <w:rsid w:val="00E109ED"/>
    <w:rsid w:val="00E11710"/>
    <w:rsid w:val="00E121F7"/>
    <w:rsid w:val="00E125B6"/>
    <w:rsid w:val="00E13259"/>
    <w:rsid w:val="00E13A45"/>
    <w:rsid w:val="00E1459D"/>
    <w:rsid w:val="00E14801"/>
    <w:rsid w:val="00E160FC"/>
    <w:rsid w:val="00E169AF"/>
    <w:rsid w:val="00E2003A"/>
    <w:rsid w:val="00E21139"/>
    <w:rsid w:val="00E240D2"/>
    <w:rsid w:val="00E25055"/>
    <w:rsid w:val="00E25B99"/>
    <w:rsid w:val="00E2652E"/>
    <w:rsid w:val="00E26544"/>
    <w:rsid w:val="00E26B19"/>
    <w:rsid w:val="00E32F3E"/>
    <w:rsid w:val="00E3382A"/>
    <w:rsid w:val="00E33BBE"/>
    <w:rsid w:val="00E3514E"/>
    <w:rsid w:val="00E366B2"/>
    <w:rsid w:val="00E36F21"/>
    <w:rsid w:val="00E40999"/>
    <w:rsid w:val="00E416B2"/>
    <w:rsid w:val="00E45561"/>
    <w:rsid w:val="00E45870"/>
    <w:rsid w:val="00E46802"/>
    <w:rsid w:val="00E46FA0"/>
    <w:rsid w:val="00E50478"/>
    <w:rsid w:val="00E50A8B"/>
    <w:rsid w:val="00E51244"/>
    <w:rsid w:val="00E524FA"/>
    <w:rsid w:val="00E542DF"/>
    <w:rsid w:val="00E574FA"/>
    <w:rsid w:val="00E57CCD"/>
    <w:rsid w:val="00E63A84"/>
    <w:rsid w:val="00E64433"/>
    <w:rsid w:val="00E65D87"/>
    <w:rsid w:val="00E65E3A"/>
    <w:rsid w:val="00E662B2"/>
    <w:rsid w:val="00E671BA"/>
    <w:rsid w:val="00E6743A"/>
    <w:rsid w:val="00E6767F"/>
    <w:rsid w:val="00E67FF1"/>
    <w:rsid w:val="00E70DF2"/>
    <w:rsid w:val="00E713C7"/>
    <w:rsid w:val="00E72E7D"/>
    <w:rsid w:val="00E74624"/>
    <w:rsid w:val="00E7501C"/>
    <w:rsid w:val="00E758D8"/>
    <w:rsid w:val="00E77339"/>
    <w:rsid w:val="00E77684"/>
    <w:rsid w:val="00E80A06"/>
    <w:rsid w:val="00E80A57"/>
    <w:rsid w:val="00E80DE2"/>
    <w:rsid w:val="00E80FC9"/>
    <w:rsid w:val="00E810BF"/>
    <w:rsid w:val="00E81831"/>
    <w:rsid w:val="00E81B32"/>
    <w:rsid w:val="00E81DDD"/>
    <w:rsid w:val="00E85494"/>
    <w:rsid w:val="00E8637B"/>
    <w:rsid w:val="00E86819"/>
    <w:rsid w:val="00E86A56"/>
    <w:rsid w:val="00E86C96"/>
    <w:rsid w:val="00E904DE"/>
    <w:rsid w:val="00E91A24"/>
    <w:rsid w:val="00E91C05"/>
    <w:rsid w:val="00E91C5A"/>
    <w:rsid w:val="00E91CAC"/>
    <w:rsid w:val="00E92767"/>
    <w:rsid w:val="00E9277B"/>
    <w:rsid w:val="00E930F8"/>
    <w:rsid w:val="00E946B7"/>
    <w:rsid w:val="00E9574D"/>
    <w:rsid w:val="00E96D8A"/>
    <w:rsid w:val="00E97AB4"/>
    <w:rsid w:val="00EA0001"/>
    <w:rsid w:val="00EA1E02"/>
    <w:rsid w:val="00EA2300"/>
    <w:rsid w:val="00EA2538"/>
    <w:rsid w:val="00EA2A66"/>
    <w:rsid w:val="00EA46DB"/>
    <w:rsid w:val="00EA58DC"/>
    <w:rsid w:val="00EA74BA"/>
    <w:rsid w:val="00EB1310"/>
    <w:rsid w:val="00EB245B"/>
    <w:rsid w:val="00EB3736"/>
    <w:rsid w:val="00EB4250"/>
    <w:rsid w:val="00EB4942"/>
    <w:rsid w:val="00EB4B9C"/>
    <w:rsid w:val="00EB5D9C"/>
    <w:rsid w:val="00EB5DC6"/>
    <w:rsid w:val="00EB7281"/>
    <w:rsid w:val="00EB72A4"/>
    <w:rsid w:val="00EB7EDC"/>
    <w:rsid w:val="00EC084F"/>
    <w:rsid w:val="00EC136C"/>
    <w:rsid w:val="00EC1E34"/>
    <w:rsid w:val="00EC1F0D"/>
    <w:rsid w:val="00EC1F30"/>
    <w:rsid w:val="00EC2727"/>
    <w:rsid w:val="00EC4A0F"/>
    <w:rsid w:val="00EC5A87"/>
    <w:rsid w:val="00EC72C9"/>
    <w:rsid w:val="00EC74D4"/>
    <w:rsid w:val="00ED2866"/>
    <w:rsid w:val="00ED3D1C"/>
    <w:rsid w:val="00ED3DAF"/>
    <w:rsid w:val="00ED543A"/>
    <w:rsid w:val="00ED6333"/>
    <w:rsid w:val="00EE0816"/>
    <w:rsid w:val="00EE14A1"/>
    <w:rsid w:val="00EE362B"/>
    <w:rsid w:val="00EE436A"/>
    <w:rsid w:val="00EE5137"/>
    <w:rsid w:val="00EE5402"/>
    <w:rsid w:val="00EF2A04"/>
    <w:rsid w:val="00EF2BFC"/>
    <w:rsid w:val="00EF5376"/>
    <w:rsid w:val="00EF568E"/>
    <w:rsid w:val="00EF7368"/>
    <w:rsid w:val="00F00759"/>
    <w:rsid w:val="00F00CA9"/>
    <w:rsid w:val="00F02892"/>
    <w:rsid w:val="00F03AF3"/>
    <w:rsid w:val="00F04019"/>
    <w:rsid w:val="00F0565D"/>
    <w:rsid w:val="00F058DB"/>
    <w:rsid w:val="00F0594F"/>
    <w:rsid w:val="00F05FE1"/>
    <w:rsid w:val="00F0763B"/>
    <w:rsid w:val="00F105C7"/>
    <w:rsid w:val="00F10FE8"/>
    <w:rsid w:val="00F1103F"/>
    <w:rsid w:val="00F124F6"/>
    <w:rsid w:val="00F13EF4"/>
    <w:rsid w:val="00F13FF0"/>
    <w:rsid w:val="00F154D8"/>
    <w:rsid w:val="00F161BE"/>
    <w:rsid w:val="00F16FC3"/>
    <w:rsid w:val="00F16FF9"/>
    <w:rsid w:val="00F173E2"/>
    <w:rsid w:val="00F21D6F"/>
    <w:rsid w:val="00F22118"/>
    <w:rsid w:val="00F23230"/>
    <w:rsid w:val="00F241E9"/>
    <w:rsid w:val="00F27600"/>
    <w:rsid w:val="00F27FE0"/>
    <w:rsid w:val="00F3091E"/>
    <w:rsid w:val="00F31168"/>
    <w:rsid w:val="00F316F7"/>
    <w:rsid w:val="00F31AF6"/>
    <w:rsid w:val="00F3205A"/>
    <w:rsid w:val="00F3371D"/>
    <w:rsid w:val="00F339F3"/>
    <w:rsid w:val="00F33E2F"/>
    <w:rsid w:val="00F35331"/>
    <w:rsid w:val="00F368B1"/>
    <w:rsid w:val="00F3700D"/>
    <w:rsid w:val="00F371E7"/>
    <w:rsid w:val="00F3726E"/>
    <w:rsid w:val="00F3747B"/>
    <w:rsid w:val="00F40C3E"/>
    <w:rsid w:val="00F42377"/>
    <w:rsid w:val="00F43004"/>
    <w:rsid w:val="00F431C4"/>
    <w:rsid w:val="00F441B4"/>
    <w:rsid w:val="00F455AF"/>
    <w:rsid w:val="00F507DB"/>
    <w:rsid w:val="00F50AC5"/>
    <w:rsid w:val="00F51122"/>
    <w:rsid w:val="00F52A05"/>
    <w:rsid w:val="00F54544"/>
    <w:rsid w:val="00F55FEF"/>
    <w:rsid w:val="00F5687A"/>
    <w:rsid w:val="00F575E8"/>
    <w:rsid w:val="00F6237F"/>
    <w:rsid w:val="00F62B88"/>
    <w:rsid w:val="00F64210"/>
    <w:rsid w:val="00F64B75"/>
    <w:rsid w:val="00F677C3"/>
    <w:rsid w:val="00F7315E"/>
    <w:rsid w:val="00F76E08"/>
    <w:rsid w:val="00F7706D"/>
    <w:rsid w:val="00F779C3"/>
    <w:rsid w:val="00F77D2F"/>
    <w:rsid w:val="00F77F62"/>
    <w:rsid w:val="00F8019B"/>
    <w:rsid w:val="00F80386"/>
    <w:rsid w:val="00F81774"/>
    <w:rsid w:val="00F8203C"/>
    <w:rsid w:val="00F826F6"/>
    <w:rsid w:val="00F844F9"/>
    <w:rsid w:val="00F84D2A"/>
    <w:rsid w:val="00F859B7"/>
    <w:rsid w:val="00F86577"/>
    <w:rsid w:val="00F86756"/>
    <w:rsid w:val="00F87898"/>
    <w:rsid w:val="00F90028"/>
    <w:rsid w:val="00F93139"/>
    <w:rsid w:val="00F94040"/>
    <w:rsid w:val="00F941B5"/>
    <w:rsid w:val="00F94690"/>
    <w:rsid w:val="00F94851"/>
    <w:rsid w:val="00F956B6"/>
    <w:rsid w:val="00F95F93"/>
    <w:rsid w:val="00F96231"/>
    <w:rsid w:val="00F964F2"/>
    <w:rsid w:val="00F96FCD"/>
    <w:rsid w:val="00FA0D01"/>
    <w:rsid w:val="00FA11DF"/>
    <w:rsid w:val="00FA1595"/>
    <w:rsid w:val="00FA1B66"/>
    <w:rsid w:val="00FA24C9"/>
    <w:rsid w:val="00FA3D11"/>
    <w:rsid w:val="00FA46B4"/>
    <w:rsid w:val="00FA47EF"/>
    <w:rsid w:val="00FA50D2"/>
    <w:rsid w:val="00FA7A1C"/>
    <w:rsid w:val="00FA7B15"/>
    <w:rsid w:val="00FB002A"/>
    <w:rsid w:val="00FB0E99"/>
    <w:rsid w:val="00FB157C"/>
    <w:rsid w:val="00FB1987"/>
    <w:rsid w:val="00FB27CB"/>
    <w:rsid w:val="00FB2D41"/>
    <w:rsid w:val="00FB3352"/>
    <w:rsid w:val="00FB4618"/>
    <w:rsid w:val="00FB4BC7"/>
    <w:rsid w:val="00FB7D04"/>
    <w:rsid w:val="00FC0A1D"/>
    <w:rsid w:val="00FC235E"/>
    <w:rsid w:val="00FC3297"/>
    <w:rsid w:val="00FC35AB"/>
    <w:rsid w:val="00FC3E3C"/>
    <w:rsid w:val="00FC4D66"/>
    <w:rsid w:val="00FC5B75"/>
    <w:rsid w:val="00FC67B1"/>
    <w:rsid w:val="00FC726F"/>
    <w:rsid w:val="00FD0C20"/>
    <w:rsid w:val="00FD2BEC"/>
    <w:rsid w:val="00FD3057"/>
    <w:rsid w:val="00FD3987"/>
    <w:rsid w:val="00FD39F1"/>
    <w:rsid w:val="00FD5613"/>
    <w:rsid w:val="00FD69C9"/>
    <w:rsid w:val="00FE04A1"/>
    <w:rsid w:val="00FE12DA"/>
    <w:rsid w:val="00FE14B9"/>
    <w:rsid w:val="00FE1AE0"/>
    <w:rsid w:val="00FE5AA9"/>
    <w:rsid w:val="00FE79BD"/>
    <w:rsid w:val="00FF0DE7"/>
    <w:rsid w:val="00FF1988"/>
    <w:rsid w:val="00FF2246"/>
    <w:rsid w:val="00FF2DBF"/>
    <w:rsid w:val="00FF30B8"/>
    <w:rsid w:val="00FF3D67"/>
    <w:rsid w:val="00FF43C5"/>
    <w:rsid w:val="00FF498D"/>
    <w:rsid w:val="00FF53F1"/>
    <w:rsid w:val="00FF58C2"/>
    <w:rsid w:val="00FF6486"/>
    <w:rsid w:val="00FF6642"/>
    <w:rsid w:val="00FF7D3F"/>
    <w:rsid w:val="1A261709"/>
    <w:rsid w:val="1EF10FBE"/>
    <w:rsid w:val="3CDE3C4B"/>
    <w:rsid w:val="44832FFF"/>
    <w:rsid w:val="512B7FEF"/>
    <w:rsid w:val="64501F0E"/>
    <w:rsid w:val="6CB43DFE"/>
    <w:rsid w:val="77630DBE"/>
    <w:rsid w:val="7DC95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99" w:semiHidden="0"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4"/>
    <w:qFormat/>
    <w:uiPriority w:val="99"/>
    <w:pPr>
      <w:keepNext/>
      <w:jc w:val="center"/>
      <w:outlineLvl w:val="0"/>
    </w:pPr>
    <w:rPr>
      <w:rFonts w:ascii="楷体_GB2312" w:hAnsi="Times New Roman" w:eastAsia="楷体_GB2312"/>
      <w:b/>
      <w:kern w:val="0"/>
      <w:sz w:val="28"/>
      <w:szCs w:val="20"/>
    </w:rPr>
  </w:style>
  <w:style w:type="paragraph" w:styleId="3">
    <w:name w:val="heading 2"/>
    <w:basedOn w:val="1"/>
    <w:next w:val="1"/>
    <w:link w:val="35"/>
    <w:qFormat/>
    <w:uiPriority w:val="99"/>
    <w:pPr>
      <w:keepNext/>
      <w:jc w:val="center"/>
      <w:outlineLvl w:val="1"/>
    </w:pPr>
    <w:rPr>
      <w:rFonts w:ascii="楷体_GB2312" w:hAnsi="Times New Roman" w:eastAsia="楷体_GB2312"/>
      <w:b/>
      <w:bCs/>
      <w:kern w:val="0"/>
      <w:sz w:val="18"/>
      <w:szCs w:val="20"/>
    </w:rPr>
  </w:style>
  <w:style w:type="paragraph" w:styleId="4">
    <w:name w:val="heading 3"/>
    <w:basedOn w:val="1"/>
    <w:next w:val="1"/>
    <w:link w:val="36"/>
    <w:qFormat/>
    <w:uiPriority w:val="99"/>
    <w:pPr>
      <w:keepNext/>
      <w:jc w:val="center"/>
      <w:outlineLvl w:val="2"/>
    </w:pPr>
    <w:rPr>
      <w:rFonts w:ascii="Times New Roman" w:hAnsi="Times New Roman" w:eastAsia="楷体_GB2312"/>
      <w:b/>
      <w:bCs/>
      <w:kern w:val="0"/>
      <w:sz w:val="15"/>
      <w:szCs w:val="20"/>
    </w:rPr>
  </w:style>
  <w:style w:type="paragraph" w:styleId="5">
    <w:name w:val="heading 4"/>
    <w:basedOn w:val="1"/>
    <w:next w:val="1"/>
    <w:link w:val="37"/>
    <w:qFormat/>
    <w:uiPriority w:val="99"/>
    <w:pPr>
      <w:keepNext/>
      <w:jc w:val="center"/>
      <w:outlineLvl w:val="3"/>
    </w:pPr>
    <w:rPr>
      <w:rFonts w:ascii="Times New Roman" w:hAnsi="Times New Roman" w:eastAsia="楷体_GB2312"/>
      <w:b/>
      <w:bCs/>
      <w:kern w:val="0"/>
      <w:sz w:val="13"/>
      <w:szCs w:val="20"/>
    </w:rPr>
  </w:style>
  <w:style w:type="paragraph" w:styleId="6">
    <w:name w:val="heading 5"/>
    <w:basedOn w:val="1"/>
    <w:next w:val="1"/>
    <w:link w:val="38"/>
    <w:qFormat/>
    <w:uiPriority w:val="99"/>
    <w:pPr>
      <w:keepNext/>
      <w:numPr>
        <w:ilvl w:val="0"/>
        <w:numId w:val="1"/>
      </w:numPr>
      <w:outlineLvl w:val="4"/>
    </w:pPr>
    <w:rPr>
      <w:rFonts w:ascii="楷体_GB2312" w:hAnsi="Times New Roman" w:eastAsia="楷体_GB2312"/>
      <w:bCs/>
      <w:kern w:val="0"/>
      <w:sz w:val="28"/>
      <w:szCs w:val="20"/>
    </w:r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108"/>
    <w:qFormat/>
    <w:uiPriority w:val="0"/>
    <w:pPr>
      <w:ind w:firstLine="420"/>
    </w:pPr>
    <w:rPr>
      <w:rFonts w:ascii="Times New Roman" w:hAnsi="Times New Roman"/>
      <w:szCs w:val="20"/>
    </w:rPr>
  </w:style>
  <w:style w:type="paragraph" w:styleId="8">
    <w:name w:val="Document Map"/>
    <w:basedOn w:val="1"/>
    <w:link w:val="39"/>
    <w:semiHidden/>
    <w:qFormat/>
    <w:uiPriority w:val="99"/>
    <w:pPr>
      <w:shd w:val="clear" w:color="auto" w:fill="000080"/>
    </w:pPr>
    <w:rPr>
      <w:rFonts w:ascii="Times New Roman" w:hAnsi="Times New Roman"/>
      <w:kern w:val="0"/>
      <w:sz w:val="20"/>
      <w:szCs w:val="20"/>
    </w:rPr>
  </w:style>
  <w:style w:type="paragraph" w:styleId="9">
    <w:name w:val="annotation text"/>
    <w:basedOn w:val="1"/>
    <w:link w:val="40"/>
    <w:unhideWhenUsed/>
    <w:qFormat/>
    <w:uiPriority w:val="0"/>
    <w:pPr>
      <w:jc w:val="left"/>
    </w:pPr>
  </w:style>
  <w:style w:type="paragraph" w:styleId="10">
    <w:name w:val="Body Text"/>
    <w:basedOn w:val="1"/>
    <w:link w:val="41"/>
    <w:qFormat/>
    <w:uiPriority w:val="99"/>
    <w:rPr>
      <w:rFonts w:ascii="华文中宋" w:hAnsi="Times New Roman" w:eastAsia="华文中宋"/>
      <w:bCs/>
      <w:kern w:val="0"/>
      <w:sz w:val="28"/>
      <w:szCs w:val="20"/>
    </w:rPr>
  </w:style>
  <w:style w:type="paragraph" w:styleId="11">
    <w:name w:val="Body Text Indent"/>
    <w:basedOn w:val="1"/>
    <w:link w:val="42"/>
    <w:qFormat/>
    <w:uiPriority w:val="99"/>
    <w:pPr>
      <w:ind w:firstLine="576"/>
    </w:pPr>
    <w:rPr>
      <w:rFonts w:ascii="Times New Roman" w:hAnsi="Times New Roman"/>
      <w:b/>
      <w:kern w:val="0"/>
      <w:sz w:val="30"/>
      <w:szCs w:val="20"/>
    </w:rPr>
  </w:style>
  <w:style w:type="paragraph" w:styleId="12">
    <w:name w:val="Plain Text"/>
    <w:basedOn w:val="1"/>
    <w:link w:val="114"/>
    <w:qFormat/>
    <w:uiPriority w:val="0"/>
    <w:rPr>
      <w:rFonts w:ascii="宋体" w:hAnsi="Courier New"/>
      <w:szCs w:val="20"/>
    </w:rPr>
  </w:style>
  <w:style w:type="paragraph" w:styleId="13">
    <w:name w:val="Date"/>
    <w:basedOn w:val="1"/>
    <w:next w:val="1"/>
    <w:link w:val="43"/>
    <w:qFormat/>
    <w:uiPriority w:val="99"/>
    <w:rPr>
      <w:rFonts w:ascii="Times New Roman" w:hAnsi="Times New Roman" w:eastAsia="黑体"/>
      <w:b/>
      <w:kern w:val="0"/>
      <w:sz w:val="36"/>
      <w:szCs w:val="20"/>
    </w:rPr>
  </w:style>
  <w:style w:type="paragraph" w:styleId="14">
    <w:name w:val="Body Text Indent 2"/>
    <w:basedOn w:val="1"/>
    <w:link w:val="44"/>
    <w:qFormat/>
    <w:uiPriority w:val="99"/>
    <w:pPr>
      <w:ind w:left="900"/>
    </w:pPr>
    <w:rPr>
      <w:rFonts w:ascii="楷体_GB2312" w:hAnsi="Times New Roman" w:eastAsia="楷体_GB2312"/>
      <w:b/>
      <w:kern w:val="0"/>
      <w:sz w:val="28"/>
      <w:szCs w:val="20"/>
    </w:rPr>
  </w:style>
  <w:style w:type="paragraph" w:styleId="15">
    <w:name w:val="Balloon Text"/>
    <w:basedOn w:val="1"/>
    <w:link w:val="45"/>
    <w:semiHidden/>
    <w:unhideWhenUsed/>
    <w:qFormat/>
    <w:uiPriority w:val="99"/>
    <w:rPr>
      <w:rFonts w:ascii="Times New Roman" w:hAnsi="Times New Roman"/>
      <w:sz w:val="18"/>
      <w:szCs w:val="18"/>
    </w:rPr>
  </w:style>
  <w:style w:type="paragraph" w:styleId="16">
    <w:name w:val="footer"/>
    <w:basedOn w:val="1"/>
    <w:link w:val="33"/>
    <w:unhideWhenUsed/>
    <w:qFormat/>
    <w:uiPriority w:val="99"/>
    <w:pPr>
      <w:tabs>
        <w:tab w:val="center" w:pos="4153"/>
        <w:tab w:val="right" w:pos="8306"/>
      </w:tabs>
      <w:snapToGrid w:val="0"/>
      <w:jc w:val="left"/>
    </w:pPr>
    <w:rPr>
      <w:sz w:val="18"/>
      <w:szCs w:val="18"/>
    </w:rPr>
  </w:style>
  <w:style w:type="paragraph" w:styleId="17">
    <w:name w:val="header"/>
    <w:basedOn w:val="1"/>
    <w:link w:val="32"/>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widowControl/>
      <w:spacing w:after="100" w:line="259" w:lineRule="auto"/>
      <w:jc w:val="left"/>
    </w:pPr>
    <w:rPr>
      <w:kern w:val="0"/>
      <w:sz w:val="22"/>
    </w:rPr>
  </w:style>
  <w:style w:type="paragraph" w:styleId="19">
    <w:name w:val="Body Text Indent 3"/>
    <w:basedOn w:val="1"/>
    <w:link w:val="46"/>
    <w:qFormat/>
    <w:uiPriority w:val="99"/>
    <w:pPr>
      <w:ind w:left="359" w:leftChars="171" w:firstLine="359" w:firstLineChars="171"/>
    </w:pPr>
    <w:rPr>
      <w:rFonts w:ascii="Times New Roman" w:hAnsi="Times New Roman"/>
      <w:kern w:val="0"/>
      <w:sz w:val="20"/>
      <w:szCs w:val="20"/>
    </w:rPr>
  </w:style>
  <w:style w:type="paragraph" w:styleId="20">
    <w:name w:val="Body Text 2"/>
    <w:basedOn w:val="1"/>
    <w:link w:val="47"/>
    <w:qFormat/>
    <w:uiPriority w:val="99"/>
    <w:pPr>
      <w:spacing w:after="120" w:line="480" w:lineRule="auto"/>
    </w:pPr>
    <w:rPr>
      <w:rFonts w:ascii="Times New Roman" w:hAnsi="Times New Roman"/>
      <w:kern w:val="0"/>
      <w:sz w:val="20"/>
      <w:szCs w:val="20"/>
    </w:rPr>
  </w:style>
  <w:style w:type="paragraph" w:styleId="2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2">
    <w:name w:val="annotation subject"/>
    <w:basedOn w:val="9"/>
    <w:next w:val="9"/>
    <w:link w:val="48"/>
    <w:semiHidden/>
    <w:unhideWhenUsed/>
    <w:qFormat/>
    <w:uiPriority w:val="99"/>
    <w:rPr>
      <w:b/>
      <w:bCs/>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22"/>
    <w:rPr>
      <w:rFonts w:cs="Times New Roman"/>
      <w:b/>
      <w:bCs/>
    </w:rPr>
  </w:style>
  <w:style w:type="character" w:styleId="27">
    <w:name w:val="page number"/>
    <w:qFormat/>
    <w:uiPriority w:val="99"/>
    <w:rPr>
      <w:rFonts w:cs="Times New Roman"/>
    </w:rPr>
  </w:style>
  <w:style w:type="character" w:styleId="28">
    <w:name w:val="FollowedHyperlink"/>
    <w:semiHidden/>
    <w:unhideWhenUsed/>
    <w:qFormat/>
    <w:uiPriority w:val="99"/>
    <w:rPr>
      <w:color w:val="800080"/>
      <w:u w:val="single"/>
    </w:rPr>
  </w:style>
  <w:style w:type="character" w:styleId="29">
    <w:name w:val="HTML Typewriter"/>
    <w:qFormat/>
    <w:uiPriority w:val="99"/>
    <w:rPr>
      <w:rFonts w:ascii="宋体" w:hAnsi="宋体" w:eastAsia="宋体" w:cs="宋体"/>
      <w:sz w:val="24"/>
      <w:szCs w:val="24"/>
    </w:rPr>
  </w:style>
  <w:style w:type="character" w:styleId="30">
    <w:name w:val="Hyperlink"/>
    <w:qFormat/>
    <w:uiPriority w:val="99"/>
    <w:rPr>
      <w:rFonts w:cs="Times New Roman"/>
      <w:color w:val="auto"/>
      <w:u w:val="none"/>
    </w:rPr>
  </w:style>
  <w:style w:type="character" w:styleId="31">
    <w:name w:val="annotation reference"/>
    <w:basedOn w:val="25"/>
    <w:unhideWhenUsed/>
    <w:qFormat/>
    <w:uiPriority w:val="0"/>
    <w:rPr>
      <w:sz w:val="21"/>
      <w:szCs w:val="21"/>
    </w:rPr>
  </w:style>
  <w:style w:type="character" w:customStyle="1" w:styleId="32">
    <w:name w:val="页眉 字符"/>
    <w:basedOn w:val="25"/>
    <w:link w:val="17"/>
    <w:qFormat/>
    <w:uiPriority w:val="99"/>
    <w:rPr>
      <w:sz w:val="18"/>
      <w:szCs w:val="18"/>
    </w:rPr>
  </w:style>
  <w:style w:type="character" w:customStyle="1" w:styleId="33">
    <w:name w:val="页脚 字符"/>
    <w:basedOn w:val="25"/>
    <w:link w:val="16"/>
    <w:qFormat/>
    <w:uiPriority w:val="99"/>
    <w:rPr>
      <w:sz w:val="18"/>
      <w:szCs w:val="18"/>
    </w:rPr>
  </w:style>
  <w:style w:type="character" w:customStyle="1" w:styleId="34">
    <w:name w:val="标题 1 字符"/>
    <w:basedOn w:val="25"/>
    <w:link w:val="2"/>
    <w:qFormat/>
    <w:uiPriority w:val="99"/>
    <w:rPr>
      <w:rFonts w:ascii="楷体_GB2312" w:hAnsi="Times New Roman" w:eastAsia="楷体_GB2312" w:cs="Times New Roman"/>
      <w:b/>
      <w:kern w:val="0"/>
      <w:sz w:val="28"/>
      <w:szCs w:val="20"/>
    </w:rPr>
  </w:style>
  <w:style w:type="character" w:customStyle="1" w:styleId="35">
    <w:name w:val="标题 2 字符"/>
    <w:basedOn w:val="25"/>
    <w:link w:val="3"/>
    <w:qFormat/>
    <w:uiPriority w:val="99"/>
    <w:rPr>
      <w:rFonts w:ascii="楷体_GB2312" w:hAnsi="Times New Roman" w:eastAsia="楷体_GB2312" w:cs="Times New Roman"/>
      <w:b/>
      <w:bCs/>
      <w:kern w:val="0"/>
      <w:sz w:val="18"/>
      <w:szCs w:val="20"/>
    </w:rPr>
  </w:style>
  <w:style w:type="character" w:customStyle="1" w:styleId="36">
    <w:name w:val="标题 3 字符"/>
    <w:basedOn w:val="25"/>
    <w:link w:val="4"/>
    <w:qFormat/>
    <w:uiPriority w:val="99"/>
    <w:rPr>
      <w:rFonts w:ascii="Times New Roman" w:hAnsi="Times New Roman" w:eastAsia="楷体_GB2312" w:cs="Times New Roman"/>
      <w:b/>
      <w:bCs/>
      <w:kern w:val="0"/>
      <w:sz w:val="15"/>
      <w:szCs w:val="20"/>
    </w:rPr>
  </w:style>
  <w:style w:type="character" w:customStyle="1" w:styleId="37">
    <w:name w:val="标题 4 字符"/>
    <w:basedOn w:val="25"/>
    <w:link w:val="5"/>
    <w:qFormat/>
    <w:uiPriority w:val="99"/>
    <w:rPr>
      <w:rFonts w:ascii="Times New Roman" w:hAnsi="Times New Roman" w:eastAsia="楷体_GB2312" w:cs="Times New Roman"/>
      <w:b/>
      <w:bCs/>
      <w:kern w:val="0"/>
      <w:sz w:val="13"/>
      <w:szCs w:val="20"/>
    </w:rPr>
  </w:style>
  <w:style w:type="character" w:customStyle="1" w:styleId="38">
    <w:name w:val="标题 5 字符"/>
    <w:basedOn w:val="25"/>
    <w:link w:val="6"/>
    <w:qFormat/>
    <w:uiPriority w:val="99"/>
    <w:rPr>
      <w:rFonts w:ascii="楷体_GB2312" w:hAnsi="Times New Roman" w:eastAsia="楷体_GB2312" w:cs="Times New Roman"/>
      <w:bCs/>
      <w:kern w:val="0"/>
      <w:sz w:val="28"/>
      <w:szCs w:val="20"/>
    </w:rPr>
  </w:style>
  <w:style w:type="character" w:customStyle="1" w:styleId="39">
    <w:name w:val="文档结构图 字符"/>
    <w:basedOn w:val="25"/>
    <w:link w:val="8"/>
    <w:semiHidden/>
    <w:qFormat/>
    <w:uiPriority w:val="99"/>
    <w:rPr>
      <w:rFonts w:ascii="Times New Roman" w:hAnsi="Times New Roman" w:eastAsia="宋体" w:cs="Times New Roman"/>
      <w:kern w:val="0"/>
      <w:sz w:val="20"/>
      <w:szCs w:val="20"/>
      <w:shd w:val="clear" w:color="auto" w:fill="000080"/>
    </w:rPr>
  </w:style>
  <w:style w:type="character" w:customStyle="1" w:styleId="40">
    <w:name w:val="批注文字 字符"/>
    <w:basedOn w:val="25"/>
    <w:link w:val="9"/>
    <w:qFormat/>
    <w:uiPriority w:val="0"/>
    <w:rPr>
      <w:rFonts w:ascii="Calibri" w:hAnsi="Calibri" w:eastAsia="宋体" w:cs="Times New Roman"/>
    </w:rPr>
  </w:style>
  <w:style w:type="character" w:customStyle="1" w:styleId="41">
    <w:name w:val="正文文本 字符"/>
    <w:basedOn w:val="25"/>
    <w:link w:val="10"/>
    <w:qFormat/>
    <w:uiPriority w:val="99"/>
    <w:rPr>
      <w:rFonts w:ascii="华文中宋" w:hAnsi="Times New Roman" w:eastAsia="华文中宋" w:cs="Times New Roman"/>
      <w:bCs/>
      <w:kern w:val="0"/>
      <w:sz w:val="28"/>
      <w:szCs w:val="20"/>
    </w:rPr>
  </w:style>
  <w:style w:type="character" w:customStyle="1" w:styleId="42">
    <w:name w:val="正文文本缩进 字符"/>
    <w:basedOn w:val="25"/>
    <w:link w:val="11"/>
    <w:qFormat/>
    <w:uiPriority w:val="99"/>
    <w:rPr>
      <w:rFonts w:ascii="Times New Roman" w:hAnsi="Times New Roman" w:eastAsia="宋体" w:cs="Times New Roman"/>
      <w:b/>
      <w:kern w:val="0"/>
      <w:sz w:val="30"/>
      <w:szCs w:val="20"/>
    </w:rPr>
  </w:style>
  <w:style w:type="character" w:customStyle="1" w:styleId="43">
    <w:name w:val="日期 字符"/>
    <w:basedOn w:val="25"/>
    <w:link w:val="13"/>
    <w:qFormat/>
    <w:uiPriority w:val="99"/>
    <w:rPr>
      <w:rFonts w:ascii="Times New Roman" w:hAnsi="Times New Roman" w:eastAsia="黑体" w:cs="Times New Roman"/>
      <w:b/>
      <w:kern w:val="0"/>
      <w:sz w:val="36"/>
      <w:szCs w:val="20"/>
    </w:rPr>
  </w:style>
  <w:style w:type="character" w:customStyle="1" w:styleId="44">
    <w:name w:val="正文文本缩进 2 字符"/>
    <w:basedOn w:val="25"/>
    <w:link w:val="14"/>
    <w:qFormat/>
    <w:uiPriority w:val="99"/>
    <w:rPr>
      <w:rFonts w:ascii="楷体_GB2312" w:hAnsi="Times New Roman" w:eastAsia="楷体_GB2312" w:cs="Times New Roman"/>
      <w:b/>
      <w:kern w:val="0"/>
      <w:sz w:val="28"/>
      <w:szCs w:val="20"/>
    </w:rPr>
  </w:style>
  <w:style w:type="character" w:customStyle="1" w:styleId="45">
    <w:name w:val="批注框文本 字符"/>
    <w:basedOn w:val="25"/>
    <w:link w:val="15"/>
    <w:semiHidden/>
    <w:qFormat/>
    <w:uiPriority w:val="99"/>
    <w:rPr>
      <w:rFonts w:ascii="Times New Roman" w:hAnsi="Times New Roman" w:eastAsia="宋体" w:cs="Times New Roman"/>
      <w:sz w:val="18"/>
      <w:szCs w:val="18"/>
    </w:rPr>
  </w:style>
  <w:style w:type="character" w:customStyle="1" w:styleId="46">
    <w:name w:val="正文文本缩进 3 字符"/>
    <w:basedOn w:val="25"/>
    <w:link w:val="19"/>
    <w:qFormat/>
    <w:uiPriority w:val="99"/>
    <w:rPr>
      <w:rFonts w:ascii="Times New Roman" w:hAnsi="Times New Roman" w:eastAsia="宋体" w:cs="Times New Roman"/>
      <w:kern w:val="0"/>
      <w:sz w:val="20"/>
      <w:szCs w:val="20"/>
    </w:rPr>
  </w:style>
  <w:style w:type="character" w:customStyle="1" w:styleId="47">
    <w:name w:val="正文文本 2 字符"/>
    <w:basedOn w:val="25"/>
    <w:link w:val="20"/>
    <w:qFormat/>
    <w:uiPriority w:val="99"/>
    <w:rPr>
      <w:rFonts w:ascii="Times New Roman" w:hAnsi="Times New Roman" w:eastAsia="宋体" w:cs="Times New Roman"/>
      <w:kern w:val="0"/>
      <w:sz w:val="20"/>
      <w:szCs w:val="20"/>
    </w:rPr>
  </w:style>
  <w:style w:type="character" w:customStyle="1" w:styleId="48">
    <w:name w:val="批注主题 字符"/>
    <w:basedOn w:val="40"/>
    <w:link w:val="22"/>
    <w:semiHidden/>
    <w:qFormat/>
    <w:uiPriority w:val="99"/>
    <w:rPr>
      <w:rFonts w:ascii="Calibri" w:hAnsi="Calibri" w:eastAsia="宋体" w:cs="Times New Roman"/>
      <w:b/>
      <w:bCs/>
    </w:rPr>
  </w:style>
  <w:style w:type="paragraph" w:customStyle="1" w:styleId="49">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50">
    <w:name w:val="font6"/>
    <w:basedOn w:val="1"/>
    <w:qFormat/>
    <w:uiPriority w:val="99"/>
    <w:pPr>
      <w:widowControl/>
      <w:spacing w:before="100" w:beforeAutospacing="1" w:after="100" w:afterAutospacing="1"/>
      <w:jc w:val="left"/>
    </w:pPr>
    <w:rPr>
      <w:rFonts w:ascii="宋体" w:hAnsi="宋体"/>
      <w:b/>
      <w:bCs/>
      <w:kern w:val="0"/>
      <w:sz w:val="20"/>
      <w:szCs w:val="20"/>
    </w:rPr>
  </w:style>
  <w:style w:type="paragraph" w:customStyle="1" w:styleId="51">
    <w:name w:val="font7"/>
    <w:basedOn w:val="1"/>
    <w:qFormat/>
    <w:uiPriority w:val="99"/>
    <w:pPr>
      <w:widowControl/>
      <w:spacing w:before="100" w:beforeAutospacing="1" w:after="100" w:afterAutospacing="1"/>
      <w:jc w:val="left"/>
    </w:pPr>
    <w:rPr>
      <w:rFonts w:ascii="Times New Roman" w:hAnsi="Times New Roman"/>
      <w:b/>
      <w:bCs/>
      <w:i/>
      <w:iCs/>
      <w:kern w:val="0"/>
      <w:sz w:val="20"/>
      <w:szCs w:val="20"/>
    </w:rPr>
  </w:style>
  <w:style w:type="paragraph" w:customStyle="1" w:styleId="52">
    <w:name w:val="font8"/>
    <w:basedOn w:val="1"/>
    <w:qFormat/>
    <w:uiPriority w:val="99"/>
    <w:pPr>
      <w:widowControl/>
      <w:spacing w:before="100" w:beforeAutospacing="1" w:after="100" w:afterAutospacing="1"/>
      <w:jc w:val="left"/>
    </w:pPr>
    <w:rPr>
      <w:rFonts w:ascii="宋体" w:hAnsi="宋体"/>
      <w:b/>
      <w:bCs/>
      <w:i/>
      <w:iCs/>
      <w:kern w:val="0"/>
      <w:sz w:val="20"/>
      <w:szCs w:val="20"/>
    </w:rPr>
  </w:style>
  <w:style w:type="paragraph" w:customStyle="1" w:styleId="53">
    <w:name w:val="font9"/>
    <w:basedOn w:val="1"/>
    <w:qFormat/>
    <w:uiPriority w:val="99"/>
    <w:pPr>
      <w:widowControl/>
      <w:spacing w:before="100" w:beforeAutospacing="1" w:after="100" w:afterAutospacing="1"/>
      <w:jc w:val="left"/>
    </w:pPr>
    <w:rPr>
      <w:rFonts w:ascii="Times New Roman" w:hAnsi="Times New Roman"/>
      <w:b/>
      <w:bCs/>
      <w:kern w:val="0"/>
      <w:sz w:val="20"/>
      <w:szCs w:val="20"/>
    </w:rPr>
  </w:style>
  <w:style w:type="paragraph" w:customStyle="1" w:styleId="54">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55">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b/>
      <w:bCs/>
      <w:i/>
      <w:iCs/>
      <w:kern w:val="0"/>
      <w:sz w:val="20"/>
      <w:szCs w:val="20"/>
    </w:rPr>
  </w:style>
  <w:style w:type="paragraph" w:customStyle="1" w:styleId="56">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0"/>
      <w:szCs w:val="20"/>
    </w:rPr>
  </w:style>
  <w:style w:type="paragraph" w:customStyle="1" w:styleId="57">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i/>
      <w:iCs/>
      <w:kern w:val="0"/>
      <w:sz w:val="20"/>
      <w:szCs w:val="20"/>
    </w:rPr>
  </w:style>
  <w:style w:type="paragraph" w:customStyle="1" w:styleId="58">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b/>
      <w:bCs/>
      <w:i/>
      <w:iCs/>
      <w:kern w:val="0"/>
      <w:sz w:val="20"/>
      <w:szCs w:val="20"/>
    </w:rPr>
  </w:style>
  <w:style w:type="paragraph" w:customStyle="1" w:styleId="59">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0"/>
      <w:szCs w:val="20"/>
    </w:rPr>
  </w:style>
  <w:style w:type="paragraph" w:customStyle="1" w:styleId="60">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kern w:val="0"/>
      <w:sz w:val="20"/>
      <w:szCs w:val="20"/>
    </w:rPr>
  </w:style>
  <w:style w:type="paragraph" w:customStyle="1" w:styleId="61">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b/>
      <w:bCs/>
      <w:kern w:val="0"/>
      <w:sz w:val="24"/>
      <w:szCs w:val="24"/>
    </w:rPr>
  </w:style>
  <w:style w:type="paragraph" w:customStyle="1" w:styleId="62">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b/>
      <w:bCs/>
      <w:i/>
      <w:iCs/>
      <w:kern w:val="0"/>
      <w:sz w:val="20"/>
      <w:szCs w:val="20"/>
    </w:rPr>
  </w:style>
  <w:style w:type="paragraph" w:customStyle="1" w:styleId="63">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64">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b/>
      <w:bCs/>
      <w:i/>
      <w:iCs/>
      <w:kern w:val="0"/>
      <w:sz w:val="20"/>
      <w:szCs w:val="20"/>
    </w:rPr>
  </w:style>
  <w:style w:type="paragraph" w:customStyle="1" w:styleId="65">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0"/>
      <w:szCs w:val="20"/>
    </w:rPr>
  </w:style>
  <w:style w:type="paragraph" w:customStyle="1" w:styleId="66">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67">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kern w:val="0"/>
      <w:sz w:val="20"/>
      <w:szCs w:val="20"/>
    </w:rPr>
  </w:style>
  <w:style w:type="paragraph" w:customStyle="1" w:styleId="6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69">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7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b/>
      <w:bCs/>
      <w:kern w:val="0"/>
      <w:sz w:val="20"/>
      <w:szCs w:val="20"/>
    </w:rPr>
  </w:style>
  <w:style w:type="paragraph" w:customStyle="1" w:styleId="71">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72">
    <w:name w:val="xl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73">
    <w:name w:val="xl4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74">
    <w:name w:val="xl4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75">
    <w:name w:val="xl45"/>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76">
    <w:name w:val="xl46"/>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77">
    <w:name w:val="xl4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78">
    <w:name w:val="xl4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0"/>
      <w:szCs w:val="20"/>
    </w:rPr>
  </w:style>
  <w:style w:type="paragraph" w:customStyle="1" w:styleId="79">
    <w:name w:val="xl49"/>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0"/>
      <w:szCs w:val="20"/>
    </w:rPr>
  </w:style>
  <w:style w:type="paragraph" w:customStyle="1" w:styleId="80">
    <w:name w:val="xl5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0"/>
      <w:szCs w:val="20"/>
    </w:rPr>
  </w:style>
  <w:style w:type="paragraph" w:customStyle="1" w:styleId="81">
    <w:name w:val="xl51"/>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rFonts w:ascii="Times New Roman" w:hAnsi="Times New Roman"/>
      <w:b/>
      <w:bCs/>
      <w:i/>
      <w:iCs/>
      <w:kern w:val="0"/>
      <w:sz w:val="20"/>
      <w:szCs w:val="20"/>
    </w:rPr>
  </w:style>
  <w:style w:type="paragraph" w:customStyle="1" w:styleId="82">
    <w:name w:val="xl52"/>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pPr>
    <w:rPr>
      <w:rFonts w:ascii="Times New Roman" w:hAnsi="Times New Roman"/>
      <w:b/>
      <w:bCs/>
      <w:i/>
      <w:iCs/>
      <w:kern w:val="0"/>
      <w:sz w:val="20"/>
      <w:szCs w:val="20"/>
    </w:rPr>
  </w:style>
  <w:style w:type="paragraph" w:customStyle="1" w:styleId="83">
    <w:name w:val="xl53"/>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rFonts w:ascii="Times New Roman" w:hAnsi="Times New Roman"/>
      <w:b/>
      <w:bCs/>
      <w:i/>
      <w:iCs/>
      <w:kern w:val="0"/>
      <w:sz w:val="20"/>
      <w:szCs w:val="20"/>
    </w:rPr>
  </w:style>
  <w:style w:type="paragraph" w:customStyle="1" w:styleId="84">
    <w:name w:val="xl54"/>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85">
    <w:name w:val="xl55"/>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b/>
      <w:bCs/>
      <w:kern w:val="0"/>
      <w:sz w:val="20"/>
      <w:szCs w:val="20"/>
    </w:rPr>
  </w:style>
  <w:style w:type="paragraph" w:customStyle="1" w:styleId="86">
    <w:name w:val="xl56"/>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b/>
      <w:bCs/>
      <w:kern w:val="0"/>
      <w:sz w:val="20"/>
      <w:szCs w:val="20"/>
    </w:rPr>
  </w:style>
  <w:style w:type="paragraph" w:customStyle="1" w:styleId="87">
    <w:name w:val="xl5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b/>
      <w:bCs/>
      <w:i/>
      <w:iCs/>
      <w:kern w:val="0"/>
      <w:sz w:val="20"/>
      <w:szCs w:val="20"/>
    </w:rPr>
  </w:style>
  <w:style w:type="paragraph" w:customStyle="1" w:styleId="88">
    <w:name w:val="xl58"/>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b/>
      <w:bCs/>
      <w:i/>
      <w:iCs/>
      <w:kern w:val="0"/>
      <w:sz w:val="20"/>
      <w:szCs w:val="20"/>
    </w:rPr>
  </w:style>
  <w:style w:type="paragraph" w:customStyle="1" w:styleId="89">
    <w:name w:val="xl59"/>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i/>
      <w:iCs/>
      <w:kern w:val="0"/>
      <w:sz w:val="20"/>
      <w:szCs w:val="20"/>
    </w:rPr>
  </w:style>
  <w:style w:type="paragraph" w:customStyle="1" w:styleId="90">
    <w:name w:val="xl60"/>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b/>
      <w:bCs/>
      <w:i/>
      <w:iCs/>
      <w:kern w:val="0"/>
      <w:sz w:val="20"/>
      <w:szCs w:val="20"/>
    </w:rPr>
  </w:style>
  <w:style w:type="paragraph" w:customStyle="1" w:styleId="91">
    <w:name w:val="xl61"/>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b/>
      <w:bCs/>
      <w:i/>
      <w:iCs/>
      <w:kern w:val="0"/>
      <w:sz w:val="20"/>
      <w:szCs w:val="20"/>
    </w:rPr>
  </w:style>
  <w:style w:type="paragraph" w:customStyle="1" w:styleId="92">
    <w:name w:val="xl62"/>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b/>
      <w:bCs/>
      <w:i/>
      <w:iCs/>
      <w:kern w:val="0"/>
      <w:sz w:val="20"/>
      <w:szCs w:val="20"/>
    </w:rPr>
  </w:style>
  <w:style w:type="paragraph" w:customStyle="1" w:styleId="93">
    <w:name w:val="xl63"/>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b/>
      <w:bCs/>
      <w:kern w:val="0"/>
      <w:sz w:val="20"/>
      <w:szCs w:val="20"/>
    </w:rPr>
  </w:style>
  <w:style w:type="paragraph" w:customStyle="1" w:styleId="94">
    <w:name w:val="font10"/>
    <w:basedOn w:val="1"/>
    <w:qFormat/>
    <w:uiPriority w:val="99"/>
    <w:pPr>
      <w:widowControl/>
      <w:spacing w:before="100" w:beforeAutospacing="1" w:after="100" w:afterAutospacing="1"/>
      <w:jc w:val="left"/>
    </w:pPr>
    <w:rPr>
      <w:rFonts w:ascii="楷体_GB2312" w:hAnsi="宋体" w:eastAsia="楷体_GB2312"/>
      <w:b/>
      <w:bCs/>
      <w:kern w:val="0"/>
      <w:sz w:val="18"/>
      <w:szCs w:val="18"/>
    </w:rPr>
  </w:style>
  <w:style w:type="paragraph" w:customStyle="1" w:styleId="95">
    <w:name w:val="font11"/>
    <w:basedOn w:val="1"/>
    <w:qFormat/>
    <w:uiPriority w:val="99"/>
    <w:pPr>
      <w:widowControl/>
      <w:spacing w:before="100" w:beforeAutospacing="1" w:after="100" w:afterAutospacing="1"/>
      <w:jc w:val="left"/>
    </w:pPr>
    <w:rPr>
      <w:rFonts w:ascii="Times New Roman" w:hAnsi="Times New Roman"/>
      <w:b/>
      <w:bCs/>
      <w:kern w:val="0"/>
      <w:sz w:val="18"/>
      <w:szCs w:val="18"/>
    </w:rPr>
  </w:style>
  <w:style w:type="paragraph" w:customStyle="1" w:styleId="96">
    <w:name w:val="font12"/>
    <w:basedOn w:val="1"/>
    <w:qFormat/>
    <w:uiPriority w:val="99"/>
    <w:pPr>
      <w:widowControl/>
      <w:spacing w:before="100" w:beforeAutospacing="1" w:after="100" w:afterAutospacing="1"/>
      <w:jc w:val="left"/>
    </w:pPr>
    <w:rPr>
      <w:rFonts w:ascii="宋体" w:hAnsi="宋体"/>
      <w:kern w:val="0"/>
      <w:sz w:val="36"/>
      <w:szCs w:val="36"/>
    </w:rPr>
  </w:style>
  <w:style w:type="paragraph" w:customStyle="1" w:styleId="97">
    <w:name w:val="font13"/>
    <w:basedOn w:val="1"/>
    <w:qFormat/>
    <w:uiPriority w:val="99"/>
    <w:pPr>
      <w:widowControl/>
      <w:spacing w:before="100" w:beforeAutospacing="1" w:after="100" w:afterAutospacing="1"/>
      <w:jc w:val="left"/>
    </w:pPr>
    <w:rPr>
      <w:rFonts w:ascii="Times New Roman" w:hAnsi="Times New Roman"/>
      <w:i/>
      <w:iCs/>
      <w:kern w:val="0"/>
      <w:sz w:val="36"/>
      <w:szCs w:val="36"/>
    </w:rPr>
  </w:style>
  <w:style w:type="paragraph" w:customStyle="1" w:styleId="98">
    <w:name w:val="font14"/>
    <w:basedOn w:val="1"/>
    <w:qFormat/>
    <w:uiPriority w:val="99"/>
    <w:pPr>
      <w:widowControl/>
      <w:spacing w:before="100" w:beforeAutospacing="1" w:after="100" w:afterAutospacing="1"/>
      <w:jc w:val="left"/>
    </w:pPr>
    <w:rPr>
      <w:rFonts w:ascii="Times New Roman" w:hAnsi="Times New Roman"/>
      <w:kern w:val="0"/>
      <w:sz w:val="36"/>
      <w:szCs w:val="36"/>
    </w:rPr>
  </w:style>
  <w:style w:type="character" w:customStyle="1" w:styleId="99">
    <w:name w:val="case31"/>
    <w:qFormat/>
    <w:uiPriority w:val="99"/>
    <w:rPr>
      <w:rFonts w:cs="Times New Roman"/>
      <w:spacing w:val="390"/>
      <w:sz w:val="21"/>
      <w:szCs w:val="21"/>
    </w:rPr>
  </w:style>
  <w:style w:type="paragraph" w:customStyle="1" w:styleId="100">
    <w:name w:val="普通文字"/>
    <w:basedOn w:val="1"/>
    <w:next w:val="1"/>
    <w:qFormat/>
    <w:uiPriority w:val="0"/>
    <w:rPr>
      <w:rFonts w:ascii="宋体" w:hAnsi="Times New Roman"/>
      <w:kern w:val="0"/>
      <w:sz w:val="24"/>
      <w:szCs w:val="20"/>
      <w:u w:color="000000"/>
    </w:rPr>
  </w:style>
  <w:style w:type="paragraph" w:customStyle="1" w:styleId="101">
    <w:name w:val="默认段落字体 Para Char"/>
    <w:basedOn w:val="1"/>
    <w:qFormat/>
    <w:uiPriority w:val="99"/>
    <w:pPr>
      <w:tabs>
        <w:tab w:val="left" w:pos="552"/>
      </w:tabs>
      <w:ind w:left="552" w:hanging="420"/>
    </w:pPr>
    <w:rPr>
      <w:rFonts w:ascii="Times New Roman" w:hAnsi="Times New Roman"/>
      <w:sz w:val="24"/>
      <w:szCs w:val="24"/>
    </w:rPr>
  </w:style>
  <w:style w:type="paragraph" w:customStyle="1" w:styleId="102">
    <w:name w:val="Char Char Char Char"/>
    <w:basedOn w:val="8"/>
    <w:qFormat/>
    <w:uiPriority w:val="99"/>
    <w:pPr>
      <w:adjustRightInd w:val="0"/>
      <w:snapToGrid w:val="0"/>
      <w:spacing w:line="360" w:lineRule="auto"/>
    </w:pPr>
    <w:rPr>
      <w:rFonts w:ascii="Tahoma" w:hAnsi="Tahoma"/>
      <w:sz w:val="24"/>
      <w:szCs w:val="24"/>
    </w:rPr>
  </w:style>
  <w:style w:type="paragraph" w:customStyle="1" w:styleId="103">
    <w:name w:val="Char Char1 Char Char Char Char"/>
    <w:basedOn w:val="8"/>
    <w:qFormat/>
    <w:uiPriority w:val="99"/>
    <w:pPr>
      <w:adjustRightInd w:val="0"/>
      <w:spacing w:line="436" w:lineRule="exact"/>
      <w:ind w:left="357"/>
      <w:jc w:val="left"/>
      <w:outlineLvl w:val="3"/>
    </w:pPr>
    <w:rPr>
      <w:rFonts w:ascii="Tahoma" w:hAnsi="Tahoma"/>
      <w:b/>
      <w:sz w:val="24"/>
      <w:szCs w:val="24"/>
    </w:rPr>
  </w:style>
  <w:style w:type="paragraph" w:styleId="104">
    <w:name w:val="List Paragraph"/>
    <w:basedOn w:val="1"/>
    <w:qFormat/>
    <w:uiPriority w:val="99"/>
    <w:pPr>
      <w:ind w:firstLine="420" w:firstLineChars="200"/>
    </w:pPr>
    <w:rPr>
      <w:rFonts w:ascii="Times New Roman" w:hAnsi="Times New Roman"/>
      <w:szCs w:val="20"/>
    </w:rPr>
  </w:style>
  <w:style w:type="paragraph" w:customStyle="1" w:styleId="105">
    <w:name w:val="修订1"/>
    <w:hidden/>
    <w:semiHidden/>
    <w:qFormat/>
    <w:uiPriority w:val="99"/>
    <w:rPr>
      <w:rFonts w:ascii="Times New Roman" w:hAnsi="Times New Roman" w:eastAsia="宋体" w:cs="Times New Roman"/>
      <w:kern w:val="2"/>
      <w:sz w:val="21"/>
      <w:lang w:val="en-US" w:eastAsia="zh-CN" w:bidi="ar-SA"/>
    </w:rPr>
  </w:style>
  <w:style w:type="paragraph" w:customStyle="1" w:styleId="106">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07">
    <w:name w:val="纯文本1"/>
    <w:basedOn w:val="1"/>
    <w:qFormat/>
    <w:uiPriority w:val="0"/>
    <w:pPr>
      <w:adjustRightInd w:val="0"/>
      <w:textAlignment w:val="baseline"/>
    </w:pPr>
    <w:rPr>
      <w:rFonts w:ascii="宋体" w:hAnsi="Courier New" w:eastAsia="楷体_GB2312"/>
      <w:sz w:val="28"/>
      <w:szCs w:val="20"/>
    </w:rPr>
  </w:style>
  <w:style w:type="character" w:customStyle="1" w:styleId="108">
    <w:name w:val="正文缩进 字符"/>
    <w:link w:val="7"/>
    <w:qFormat/>
    <w:uiPriority w:val="0"/>
    <w:rPr>
      <w:rFonts w:ascii="Times New Roman" w:hAnsi="Times New Roman" w:eastAsia="宋体" w:cs="Times New Roman"/>
      <w:szCs w:val="20"/>
    </w:rPr>
  </w:style>
  <w:style w:type="paragraph" w:customStyle="1" w:styleId="109">
    <w:name w:val="样式 小四 段前: 5 磅 段后: 5 磅 首行缩进:  2 字符"/>
    <w:basedOn w:val="1"/>
    <w:qFormat/>
    <w:uiPriority w:val="0"/>
    <w:pPr>
      <w:spacing w:line="360" w:lineRule="auto"/>
    </w:pPr>
    <w:rPr>
      <w:rFonts w:ascii="宋体" w:hAnsi="宋体"/>
      <w:szCs w:val="21"/>
    </w:rPr>
  </w:style>
  <w:style w:type="character" w:customStyle="1" w:styleId="110">
    <w:name w:val="ep_ckeditor_sensitivewords"/>
    <w:basedOn w:val="25"/>
    <w:qFormat/>
    <w:uiPriority w:val="0"/>
  </w:style>
  <w:style w:type="paragraph" w:customStyle="1" w:styleId="111">
    <w:name w:val="正文-首缩2字符"/>
    <w:basedOn w:val="1"/>
    <w:qFormat/>
    <w:uiPriority w:val="99"/>
    <w:pPr>
      <w:adjustRightInd w:val="0"/>
      <w:snapToGrid w:val="0"/>
      <w:spacing w:line="300" w:lineRule="auto"/>
      <w:ind w:firstLine="200" w:firstLineChars="200"/>
      <w:jc w:val="left"/>
    </w:pPr>
    <w:rPr>
      <w:rFonts w:hAnsi="宋体" w:cs="宋体" w:asciiTheme="minorEastAsia" w:eastAsiaTheme="minorEastAsia"/>
      <w:sz w:val="24"/>
      <w:szCs w:val="24"/>
    </w:rPr>
  </w:style>
  <w:style w:type="character" w:customStyle="1" w:styleId="112">
    <w:name w:val="未处理的提及1"/>
    <w:basedOn w:val="25"/>
    <w:semiHidden/>
    <w:unhideWhenUsed/>
    <w:qFormat/>
    <w:uiPriority w:val="99"/>
    <w:rPr>
      <w:color w:val="605E5C"/>
      <w:shd w:val="clear" w:color="auto" w:fill="E1DFDD"/>
    </w:rPr>
  </w:style>
  <w:style w:type="character" w:customStyle="1" w:styleId="113">
    <w:name w:val="纯文本 Char"/>
    <w:basedOn w:val="25"/>
    <w:semiHidden/>
    <w:qFormat/>
    <w:uiPriority w:val="99"/>
    <w:rPr>
      <w:rFonts w:ascii="宋体" w:hAnsi="Courier New" w:eastAsia="宋体" w:cs="Courier New"/>
      <w:szCs w:val="21"/>
    </w:rPr>
  </w:style>
  <w:style w:type="character" w:customStyle="1" w:styleId="114">
    <w:name w:val="纯文本 字符"/>
    <w:basedOn w:val="25"/>
    <w:link w:val="12"/>
    <w:qFormat/>
    <w:uiPriority w:val="0"/>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Company>
  <Pages>40</Pages>
  <Words>24079</Words>
  <Characters>25827</Characters>
  <Lines>198</Lines>
  <Paragraphs>55</Paragraphs>
  <TotalTime>7022</TotalTime>
  <ScaleCrop>false</ScaleCrop>
  <LinksUpToDate>false</LinksUpToDate>
  <CharactersWithSpaces>26544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2022-09-30T00:49:00Z</dcterms:created>
  <dc:creator>徐鹏飞</dc:creator>
  <cp:lastModifiedBy>飞哥</cp:lastModifiedBy>
  <cp:lastPrinted>2022-11-10T00:04:00Z</cp:lastPrinted>
  <dcterms:modified xsi:type="dcterms:W3CDTF">2023-06-28T06:57:30Z</dcterms:modified>
  <cp:revision>2591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BE631F50896C437D8C90B239F3CF45CC_12</vt:lpwstr>
  </property>
</Properties>
</file>