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jc w:val="center"/>
        <w:rPr>
          <w:rFonts w:ascii="黑体" w:hAnsi="华文中宋" w:eastAsia="黑体"/>
          <w:bCs/>
          <w:color w:val="000000" w:themeColor="text1"/>
          <w:spacing w:val="20"/>
          <w:sz w:val="72"/>
          <w:szCs w:val="72"/>
          <w14:textFill>
            <w14:solidFill>
              <w14:schemeClr w14:val="tx1"/>
            </w14:solidFill>
          </w14:textFill>
        </w:rPr>
      </w:pPr>
      <w:r>
        <w:rPr>
          <w:rFonts w:hint="eastAsia" w:ascii="黑体" w:hAnsi="华文中宋" w:eastAsia="黑体"/>
          <w:bCs/>
          <w:color w:val="000000" w:themeColor="text1"/>
          <w:spacing w:val="20"/>
          <w:sz w:val="72"/>
          <w:szCs w:val="72"/>
          <w14:textFill>
            <w14:solidFill>
              <w14:schemeClr w14:val="tx1"/>
            </w14:solidFill>
          </w14:textFill>
        </w:rPr>
        <w:t>无锡市梁溪区政府采购</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pacing w:val="20"/>
          <w:w w:val="90"/>
          <w:sz w:val="48"/>
          <w:szCs w:val="48"/>
          <w14:textFill>
            <w14:solidFill>
              <w14:schemeClr w14:val="tx1"/>
            </w14:solidFill>
          </w14:textFill>
        </w:rPr>
      </w:pPr>
      <w:r>
        <w:rPr>
          <w:rFonts w:hint="eastAsia" w:ascii="黑体" w:hAnsi="华文中宋" w:eastAsia="黑体"/>
          <w:bCs/>
          <w:color w:val="000000" w:themeColor="text1"/>
          <w:spacing w:val="20"/>
          <w:w w:val="90"/>
          <w:sz w:val="48"/>
          <w:szCs w:val="48"/>
          <w14:textFill>
            <w14:solidFill>
              <w14:schemeClr w14:val="tx1"/>
            </w14:solidFill>
          </w14:textFill>
        </w:rPr>
        <w:t>公</w:t>
      </w:r>
      <w:r>
        <w:rPr>
          <w:rFonts w:ascii="黑体" w:hAnsi="华文中宋" w:eastAsia="黑体"/>
          <w:bCs/>
          <w:color w:val="000000" w:themeColor="text1"/>
          <w:spacing w:val="20"/>
          <w:w w:val="90"/>
          <w:sz w:val="48"/>
          <w:szCs w:val="48"/>
          <w14:textFill>
            <w14:solidFill>
              <w14:schemeClr w14:val="tx1"/>
            </w14:solidFill>
          </w14:textFill>
        </w:rPr>
        <w:t xml:space="preserve">   </w:t>
      </w:r>
      <w:r>
        <w:rPr>
          <w:rFonts w:hint="eastAsia" w:ascii="黑体" w:hAnsi="华文中宋" w:eastAsia="黑体"/>
          <w:bCs/>
          <w:color w:val="000000" w:themeColor="text1"/>
          <w:spacing w:val="20"/>
          <w:w w:val="90"/>
          <w:sz w:val="48"/>
          <w:szCs w:val="48"/>
          <w14:textFill>
            <w14:solidFill>
              <w14:schemeClr w14:val="tx1"/>
            </w14:solidFill>
          </w14:textFill>
        </w:rPr>
        <w:t>开</w:t>
      </w:r>
    </w:p>
    <w:p>
      <w:pPr>
        <w:jc w:val="center"/>
        <w:rPr>
          <w:rFonts w:ascii="黑体" w:hAnsi="华文中宋" w:eastAsia="黑体"/>
          <w:bCs/>
          <w:color w:val="000000" w:themeColor="text1"/>
          <w:spacing w:val="20"/>
          <w:sz w:val="52"/>
          <w:szCs w:val="5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0" cy="0"/>
                <wp:effectExtent l="9525" t="7620" r="9525" b="1143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15.6pt;height:0pt;width:0pt;z-index:251659264;mso-width-relative:page;mso-height-relative:page;" filled="f" stroked="t" coordsize="21600,21600" o:allowincell="f"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BS05OcwQEAAJk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oL3cxw0uoA6ryPVxloYqWby3bllXhtl+y/f9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5d1/UAAAACQEAAA8AAAAAAAAAAQAgAAAAIgAAAGRycy9kb3ducmV2LnhtbFBL&#10;AQIUABQAAAAIAIdO4kBS05OcwQEAAJkDAAAOAAAAAAAAAAEAIAAAACMBAABkcnMvZTJvRG9jLnht&#10;bFBLBQYAAAAABgAGAFkBAABWBQAAAAA=&#10;">
                <v:fill on="f" focussize="0,0"/>
                <v:stroke color="#000000" joinstyle="round"/>
                <v:imagedata o:title=""/>
                <o:lock v:ext="edit" aspectratio="f"/>
              </v:line>
            </w:pict>
          </mc:Fallback>
        </mc:AlternateContent>
      </w:r>
      <w:r>
        <w:rPr>
          <w:rFonts w:hint="eastAsia" w:ascii="黑体" w:hAnsi="华文中宋" w:eastAsia="黑体"/>
          <w:bCs/>
          <w:color w:val="000000" w:themeColor="text1"/>
          <w:spacing w:val="20"/>
          <w:sz w:val="52"/>
          <w:szCs w:val="52"/>
          <w14:textFill>
            <w14:solidFill>
              <w14:schemeClr w14:val="tx1"/>
            </w14:solidFill>
          </w14:textFill>
        </w:rPr>
        <w:t>招</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件</w:t>
      </w:r>
    </w:p>
    <w:p>
      <w:pPr>
        <w:tabs>
          <w:tab w:val="left" w:pos="9921"/>
        </w:tabs>
        <w:jc w:val="center"/>
        <w:rPr>
          <w:rFonts w:ascii="华文中宋" w:hAnsi="华文中宋" w:eastAsia="华文中宋"/>
          <w:bCs/>
          <w:color w:val="000000"/>
          <w:sz w:val="30"/>
        </w:rPr>
      </w:pPr>
      <w:r>
        <w:rPr>
          <w:rFonts w:hint="eastAsia" w:ascii="华文中宋" w:hAnsi="华文中宋" w:eastAsia="华文中宋"/>
          <w:bCs/>
          <w:color w:val="000000"/>
          <w:sz w:val="30"/>
        </w:rPr>
        <w:t>（全流程电子化）</w:t>
      </w:r>
    </w:p>
    <w:p>
      <w:pPr>
        <w:rPr>
          <w:rFonts w:ascii="华文中宋" w:hAnsi="华文中宋" w:eastAsia="华文中宋"/>
          <w:bCs/>
          <w:color w:val="000000" w:themeColor="text1"/>
          <w:sz w:val="30"/>
          <w14:textFill>
            <w14:solidFill>
              <w14:schemeClr w14:val="tx1"/>
            </w14:solidFill>
          </w14:textFill>
        </w:rPr>
      </w:pPr>
    </w:p>
    <w:p>
      <w:pPr>
        <w:tabs>
          <w:tab w:val="left" w:pos="9921"/>
        </w:tabs>
        <w:jc w:val="cente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ind w:firstLine="2700" w:firstLineChars="900"/>
        <w:rPr>
          <w:rFonts w:hint="eastAsia" w:ascii="黑体" w:hAnsi="华文中宋" w:eastAsia="黑体"/>
          <w:bCs/>
          <w:color w:val="000000" w:themeColor="text1"/>
          <w:sz w:val="30"/>
          <w:szCs w:val="30"/>
          <w:lang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lang w:eastAsia="zh-CN"/>
          <w14:textFill>
            <w14:solidFill>
              <w14:schemeClr w14:val="tx1"/>
            </w14:solidFill>
          </w14:textFill>
        </w:rPr>
        <w:t>LXZC2022-023</w:t>
      </w:r>
    </w:p>
    <w:p>
      <w:pPr>
        <w:ind w:left="5083" w:leftChars="1278" w:hanging="2400" w:hangingChars="800"/>
        <w:rPr>
          <w:rFonts w:hint="eastAsia" w:ascii="黑体" w:hAnsi="华文中宋" w:eastAsia="黑体"/>
          <w:bCs/>
          <w:color w:val="000000" w:themeColor="text1"/>
          <w:sz w:val="30"/>
          <w:szCs w:val="30"/>
          <w:lang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lang w:eastAsia="zh-CN"/>
          <w14:textFill>
            <w14:solidFill>
              <w14:schemeClr w14:val="tx1"/>
            </w14:solidFill>
          </w14:textFill>
        </w:rPr>
        <w:t>梁溪区社会治理现代化智慧工程项目一期（智慧梁溪2021年项目）信息安全等级保护测评项目</w:t>
      </w:r>
    </w:p>
    <w:p>
      <w:pPr>
        <w:ind w:firstLine="2700" w:firstLineChars="9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集中采购机构：</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14:textFill>
            <w14:solidFill>
              <w14:schemeClr w14:val="tx1"/>
            </w14:solidFill>
          </w14:textFill>
        </w:rPr>
        <w:t>无锡市公共资源交易中心梁溪分中心</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44"/>
          <w:szCs w:val="44"/>
          <w14:textFill>
            <w14:solidFill>
              <w14:schemeClr w14:val="tx1"/>
            </w14:solidFill>
          </w14:textFill>
        </w:rPr>
      </w:pPr>
      <w:r>
        <w:rPr>
          <w:rFonts w:hint="eastAsia" w:ascii="黑体" w:hAnsi="华文中宋" w:eastAsia="黑体"/>
          <w:bCs/>
          <w:color w:val="000000" w:themeColor="text1"/>
          <w:sz w:val="44"/>
          <w:szCs w:val="44"/>
          <w14:textFill>
            <w14:solidFill>
              <w14:schemeClr w14:val="tx1"/>
            </w14:solidFill>
          </w14:textFill>
        </w:rPr>
        <w:t>二○二二年</w:t>
      </w:r>
      <w:r>
        <w:rPr>
          <w:rFonts w:hint="eastAsia" w:ascii="黑体" w:hAnsi="华文中宋" w:eastAsia="黑体"/>
          <w:bCs/>
          <w:color w:val="000000" w:themeColor="text1"/>
          <w:sz w:val="44"/>
          <w:szCs w:val="44"/>
          <w:lang w:val="en-US" w:eastAsia="zh-CN"/>
          <w14:textFill>
            <w14:solidFill>
              <w14:schemeClr w14:val="tx1"/>
            </w14:solidFill>
          </w14:textFill>
        </w:rPr>
        <w:t>八</w:t>
      </w:r>
      <w:r>
        <w:rPr>
          <w:rFonts w:hint="eastAsia" w:ascii="黑体" w:hAnsi="华文中宋" w:eastAsia="黑体"/>
          <w:bCs/>
          <w:color w:val="000000" w:themeColor="text1"/>
          <w:sz w:val="44"/>
          <w:szCs w:val="44"/>
          <w14:textFill>
            <w14:solidFill>
              <w14:schemeClr w14:val="tx1"/>
            </w14:solidFill>
          </w14:textFill>
        </w:rPr>
        <w:t>月</w:t>
      </w:r>
      <w:r>
        <w:rPr>
          <w:rFonts w:hint="eastAsia" w:ascii="黑体" w:hAnsi="华文中宋" w:eastAsia="黑体"/>
          <w:bCs/>
          <w:color w:val="000000" w:themeColor="text1"/>
          <w:sz w:val="44"/>
          <w:szCs w:val="44"/>
          <w:lang w:val="en-US" w:eastAsia="zh-CN"/>
          <w14:textFill>
            <w14:solidFill>
              <w14:schemeClr w14:val="tx1"/>
            </w14:solidFill>
          </w14:textFill>
        </w:rPr>
        <w:t>二十四</w:t>
      </w:r>
      <w:r>
        <w:rPr>
          <w:rFonts w:hint="eastAsia" w:ascii="黑体" w:hAnsi="华文中宋" w:eastAsia="黑体"/>
          <w:bCs/>
          <w:color w:val="000000" w:themeColor="text1"/>
          <w:sz w:val="44"/>
          <w:szCs w:val="44"/>
          <w14:textFill>
            <w14:solidFill>
              <w14:schemeClr w14:val="tx1"/>
            </w14:solidFill>
          </w14:textFill>
        </w:rPr>
        <w:t>日</w:t>
      </w:r>
    </w:p>
    <w:p>
      <w:pPr>
        <w:jc w:val="center"/>
        <w:rPr>
          <w:rFonts w:ascii="黑体" w:eastAsia="黑体"/>
          <w:bCs/>
          <w:color w:val="000000" w:themeColor="text1"/>
          <w:sz w:val="44"/>
          <w14:textFill>
            <w14:solidFill>
              <w14:schemeClr w14:val="tx1"/>
            </w14:solidFill>
          </w14:textFill>
        </w:rPr>
      </w:pPr>
    </w:p>
    <w:p>
      <w:pPr>
        <w:rPr>
          <w:rFonts w:ascii="华文新魏" w:eastAsia="华文新魏"/>
          <w:bCs/>
          <w:color w:val="000000" w:themeColor="text1"/>
          <w:sz w:val="44"/>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eastAsia="黑体"/>
          <w:bCs/>
          <w:color w:val="000000" w:themeColor="text1"/>
          <w:sz w:val="48"/>
          <w14:textFill>
            <w14:solidFill>
              <w14:schemeClr w14:val="tx1"/>
            </w14:solidFill>
          </w14:textFill>
        </w:rPr>
        <w:t xml:space="preserve"> </w:t>
      </w: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hint="eastAsia" w:eastAsia="黑体"/>
          <w:bCs/>
          <w:color w:val="000000" w:themeColor="text1"/>
          <w:sz w:val="48"/>
          <w14:textFill>
            <w14:solidFill>
              <w14:schemeClr w14:val="tx1"/>
            </w14:solidFill>
          </w14:textFill>
        </w:rPr>
        <w:t>目</w:t>
      </w:r>
      <w:r>
        <w:rPr>
          <w:rStyle w:val="27"/>
          <w:rFonts w:eastAsia="黑体"/>
          <w:bCs/>
          <w:color w:val="000000" w:themeColor="text1"/>
          <w:sz w:val="48"/>
          <w14:textFill>
            <w14:solidFill>
              <w14:schemeClr w14:val="tx1"/>
            </w14:solidFill>
          </w14:textFill>
        </w:rPr>
        <w:t xml:space="preserve">     </w:t>
      </w:r>
      <w:r>
        <w:rPr>
          <w:rStyle w:val="27"/>
          <w:rFonts w:hint="eastAsia" w:eastAsia="黑体"/>
          <w:bCs/>
          <w:color w:val="000000" w:themeColor="text1"/>
          <w:sz w:val="48"/>
          <w14:textFill>
            <w14:solidFill>
              <w14:schemeClr w14:val="tx1"/>
            </w14:solidFill>
          </w14:textFill>
        </w:rPr>
        <w:t>录</w:t>
      </w:r>
    </w:p>
    <w:p>
      <w:pPr>
        <w:jc w:val="center"/>
        <w:rPr>
          <w:rFonts w:ascii="黑体" w:eastAsia="黑体"/>
          <w:bCs/>
          <w:color w:val="000000" w:themeColor="text1"/>
          <w:sz w:val="30"/>
          <w14:textFill>
            <w14:solidFill>
              <w14:schemeClr w14:val="tx1"/>
            </w14:solidFill>
          </w14:textFill>
        </w:rPr>
      </w:pPr>
    </w:p>
    <w:p>
      <w:pPr>
        <w:jc w:val="center"/>
        <w:rPr>
          <w:rFonts w:ascii="黑体" w:eastAsia="黑体"/>
          <w:bCs/>
          <w:color w:val="000000" w:themeColor="text1"/>
          <w:sz w:val="30"/>
          <w14:textFill>
            <w14:solidFill>
              <w14:schemeClr w14:val="tx1"/>
            </w14:solidFill>
          </w14:textFill>
        </w:rPr>
      </w:pP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一．投标邀请函</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（2）</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二．投标人须知</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（5）</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三．项目技术要求和有关说明</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（12）</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四</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合同书（格式文本）</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17</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五．合同条款（格式）</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19</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附件</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（2</w:t>
      </w:r>
      <w:r>
        <w:rPr>
          <w:rFonts w:hint="eastAsia" w:ascii="宋体" w:hAnsi="宋体"/>
          <w:bCs/>
          <w:color w:val="000000" w:themeColor="text1"/>
          <w:sz w:val="30"/>
          <w:szCs w:val="30"/>
          <w:lang w:val="en-US" w:eastAsia="zh-CN"/>
          <w14:textFill>
            <w14:solidFill>
              <w14:schemeClr w14:val="tx1"/>
            </w14:solidFill>
          </w14:textFill>
        </w:rPr>
        <w:t>2</w:t>
      </w:r>
      <w:r>
        <w:rPr>
          <w:rFonts w:hint="eastAsia" w:ascii="宋体" w:hAnsi="宋体"/>
          <w:bCs/>
          <w:color w:val="000000" w:themeColor="text1"/>
          <w:sz w:val="30"/>
          <w:szCs w:val="30"/>
          <w14:textFill>
            <w14:solidFill>
              <w14:schemeClr w14:val="tx1"/>
            </w14:solidFill>
          </w14:textFill>
        </w:rPr>
        <w:t>）</w:t>
      </w:r>
    </w:p>
    <w:p>
      <w:pPr>
        <w:spacing w:line="720" w:lineRule="auto"/>
        <w:rPr>
          <w:rFonts w:ascii="宋体"/>
          <w:bCs/>
          <w:color w:val="000000" w:themeColor="text1"/>
          <w:sz w:val="28"/>
          <w:szCs w:val="28"/>
          <w14:textFill>
            <w14:solidFill>
              <w14:schemeClr w14:val="tx1"/>
            </w14:solidFill>
          </w14:textFill>
        </w:rPr>
      </w:pPr>
      <w:r>
        <w:rPr>
          <w:rFonts w:ascii="宋体"/>
          <w:bCs/>
          <w:color w:val="000000" w:themeColor="text1"/>
          <w:sz w:val="28"/>
          <w:szCs w:val="28"/>
          <w14:textFill>
            <w14:solidFill>
              <w14:schemeClr w14:val="tx1"/>
            </w14:solidFill>
          </w14:textFill>
        </w:rPr>
        <w:t xml:space="preserve"> </w:t>
      </w:r>
      <w:bookmarkStart w:id="0" w:name="报价方须知前附表"/>
      <w:bookmarkEnd w:id="0"/>
    </w:p>
    <w:p>
      <w:pPr>
        <w:pStyle w:val="31"/>
      </w:pPr>
      <w:r>
        <w:br w:type="page"/>
      </w: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一．投标邀请函</w:t>
      </w:r>
    </w:p>
    <w:p>
      <w:pPr>
        <w:spacing w:line="360" w:lineRule="auto"/>
        <w:ind w:firstLine="480" w:firstLineChars="200"/>
        <w:rPr>
          <w:rFonts w:ascii="宋体" w:hAnsi="宋体"/>
          <w:bCs/>
          <w:sz w:val="24"/>
          <w:szCs w:val="24"/>
        </w:rPr>
      </w:pPr>
      <w:r>
        <w:rPr>
          <w:rFonts w:hint="eastAsia" w:ascii="宋体" w:hAnsi="宋体"/>
          <w:bCs/>
          <w:color w:val="000000" w:themeColor="text1"/>
          <w:sz w:val="24"/>
          <w:szCs w:val="24"/>
          <w14:textFill>
            <w14:solidFill>
              <w14:schemeClr w14:val="tx1"/>
            </w14:solidFill>
          </w14:textFill>
        </w:rPr>
        <w:t>我中心</w:t>
      </w:r>
      <w:r>
        <w:rPr>
          <w:rFonts w:hint="eastAsia" w:ascii="宋体" w:hAnsi="宋体"/>
          <w:bCs/>
          <w:sz w:val="24"/>
          <w:szCs w:val="24"/>
        </w:rPr>
        <w:t>受</w:t>
      </w:r>
      <w:r>
        <w:rPr>
          <w:rFonts w:hint="eastAsia" w:asciiTheme="minorEastAsia" w:hAnsiTheme="minorEastAsia" w:cstheme="minorEastAsia"/>
          <w:sz w:val="24"/>
          <w:szCs w:val="24"/>
          <w:lang w:eastAsia="zh-CN"/>
        </w:rPr>
        <w:t>无锡市梁溪区大数据管理局</w:t>
      </w:r>
      <w:r>
        <w:rPr>
          <w:rFonts w:hint="eastAsia" w:ascii="宋体" w:hAnsi="宋体"/>
          <w:bCs/>
          <w:sz w:val="24"/>
          <w:szCs w:val="24"/>
        </w:rPr>
        <w:t>的委托，对</w:t>
      </w:r>
      <w:r>
        <w:rPr>
          <w:rFonts w:hint="eastAsia" w:ascii="宋体" w:hAnsi="宋体"/>
          <w:bCs/>
          <w:sz w:val="24"/>
          <w:szCs w:val="24"/>
          <w:lang w:eastAsia="zh-CN"/>
        </w:rPr>
        <w:t>梁溪区社会治理现代化智慧工程项目一期（智慧梁溪2021年项目）信息安全等级保护测评项目</w:t>
      </w:r>
      <w:r>
        <w:rPr>
          <w:rFonts w:hint="eastAsia" w:ascii="宋体" w:hAnsi="宋体"/>
          <w:bCs/>
          <w:sz w:val="24"/>
          <w:szCs w:val="24"/>
        </w:rPr>
        <w:t>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1.项目名称：</w:t>
      </w:r>
      <w:r>
        <w:rPr>
          <w:rFonts w:hint="eastAsia" w:ascii="宋体" w:hAnsi="宋体" w:cs="宋体"/>
          <w:kern w:val="0"/>
          <w:sz w:val="24"/>
          <w:szCs w:val="24"/>
          <w:lang w:eastAsia="zh-CN"/>
        </w:rPr>
        <w:t>梁溪区社会治理现代化智慧工程项目一期（智慧梁溪2021年项目）信息安全等级保护测评项目</w:t>
      </w:r>
    </w:p>
    <w:p>
      <w:pPr>
        <w:widowControl/>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LXZC2022-023</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w:t>
      </w:r>
      <w:r>
        <w:rPr>
          <w:rFonts w:hint="eastAsia" w:ascii="宋体" w:hAnsi="宋体" w:cs="宋体"/>
          <w:kern w:val="0"/>
          <w:sz w:val="24"/>
          <w:szCs w:val="24"/>
          <w:lang w:val="en-US" w:eastAsia="zh-CN"/>
        </w:rPr>
        <w:t>40</w:t>
      </w:r>
      <w:r>
        <w:rPr>
          <w:rFonts w:hint="eastAsia" w:ascii="宋体" w:hAnsi="宋体" w:cs="宋体"/>
          <w:kern w:val="0"/>
          <w:sz w:val="24"/>
          <w:szCs w:val="24"/>
        </w:rPr>
        <w:t xml:space="preserve">万元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hint="eastAsia" w:ascii="宋体" w:hAnsi="宋体" w:eastAsia="宋体"/>
          <w:bCs/>
          <w:sz w:val="24"/>
          <w:szCs w:val="24"/>
          <w:lang w:eastAsia="zh-CN"/>
        </w:rPr>
      </w:pPr>
      <w:r>
        <w:rPr>
          <w:rFonts w:hint="eastAsia" w:ascii="宋体" w:hAnsi="宋体" w:cs="宋体"/>
          <w:kern w:val="0"/>
          <w:sz w:val="24"/>
          <w:szCs w:val="24"/>
        </w:rPr>
        <w:t>5.采购人：</w:t>
      </w:r>
      <w:r>
        <w:rPr>
          <w:rFonts w:hint="eastAsia" w:asciiTheme="minorEastAsia" w:hAnsiTheme="minorEastAsia" w:cstheme="minorEastAsia"/>
          <w:sz w:val="24"/>
          <w:szCs w:val="24"/>
          <w:lang w:eastAsia="zh-CN"/>
        </w:rPr>
        <w:t>无锡市梁溪区大数据管理局</w:t>
      </w:r>
    </w:p>
    <w:p>
      <w:pPr>
        <w:widowControl/>
        <w:shd w:val="clear" w:color="auto" w:fill="FFFFFF"/>
        <w:spacing w:line="360" w:lineRule="auto"/>
        <w:ind w:firstLine="480" w:firstLineChars="200"/>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kern w:val="0"/>
          <w:sz w:val="24"/>
          <w:szCs w:val="24"/>
          <w:highlight w:val="none"/>
        </w:rPr>
        <w:t>6.本项目</w:t>
      </w:r>
      <w:r>
        <w:rPr>
          <w:rFonts w:hint="eastAsia" w:ascii="宋体" w:hAnsi="宋体" w:cs="宋体"/>
          <w:color w:val="000000" w:themeColor="text1"/>
          <w:kern w:val="0"/>
          <w:sz w:val="24"/>
          <w:szCs w:val="24"/>
          <w:highlight w:val="none"/>
          <w14:textFill>
            <w14:solidFill>
              <w14:schemeClr w14:val="tx1"/>
            </w14:solidFill>
          </w14:textFill>
        </w:rPr>
        <w:t>标的所属行业：</w:t>
      </w:r>
      <w:r>
        <w:rPr>
          <w:rFonts w:hint="eastAsia" w:ascii="宋体" w:hAnsi="宋体" w:cs="宋体"/>
          <w:color w:val="000000" w:themeColor="text1"/>
          <w:kern w:val="0"/>
          <w:sz w:val="24"/>
          <w:szCs w:val="24"/>
          <w:highlight w:val="none"/>
          <w:lang w:val="en-US" w:eastAsia="zh-CN"/>
          <w14:textFill>
            <w14:solidFill>
              <w14:schemeClr w14:val="tx1"/>
            </w14:solidFill>
          </w14:textFill>
        </w:rPr>
        <w:t>软件和信息技术服务业</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7.本项目是否专门面向中小企业：是</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（二）投标人资格要求</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2.未被“信用中国”网站（</w:t>
      </w:r>
      <w:r>
        <w:fldChar w:fldCharType="begin"/>
      </w:r>
      <w:r>
        <w:instrText xml:space="preserve"> HYPERLINK "http://www.creditchina.gov.cn" </w:instrText>
      </w:r>
      <w:r>
        <w:fldChar w:fldCharType="separate"/>
      </w:r>
      <w:r>
        <w:rPr>
          <w:rFonts w:hint="eastAsia" w:ascii="宋体" w:hAnsi="宋体"/>
          <w:color w:val="000000" w:themeColor="text1"/>
          <w:sz w:val="24"/>
          <w:szCs w:val="24"/>
          <w14:textFill>
            <w14:solidFill>
              <w14:schemeClr w14:val="tx1"/>
            </w14:solidFill>
          </w14:textFill>
        </w:rPr>
        <w:t>www.creditchina.gov.cn</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具备</w:t>
      </w:r>
      <w:r>
        <w:rPr>
          <w:rFonts w:hint="eastAsia" w:ascii="宋体" w:hAnsi="宋体" w:cs="宋体"/>
          <w:color w:val="000000" w:themeColor="text1"/>
          <w:kern w:val="0"/>
          <w:sz w:val="24"/>
          <w:szCs w:val="24"/>
          <w14:textFill>
            <w14:solidFill>
              <w14:schemeClr w14:val="tx1"/>
            </w14:solidFill>
          </w14:textFill>
        </w:rPr>
        <w:t>采购人根据招标项目的特殊要求规定的</w:t>
      </w:r>
      <w:r>
        <w:rPr>
          <w:rFonts w:hint="eastAsia" w:ascii="宋体" w:hAnsi="宋体"/>
          <w:color w:val="000000" w:themeColor="text1"/>
          <w:sz w:val="24"/>
          <w:szCs w:val="24"/>
          <w14:textFill>
            <w14:solidFill>
              <w14:schemeClr w14:val="tx1"/>
            </w14:solidFill>
          </w14:textFill>
        </w:rPr>
        <w:t>以下</w:t>
      </w:r>
      <w:r>
        <w:rPr>
          <w:rFonts w:hint="eastAsia" w:ascii="宋体" w:hAnsi="宋体" w:cs="宋体"/>
          <w:color w:val="000000" w:themeColor="text1"/>
          <w:kern w:val="0"/>
          <w:sz w:val="24"/>
          <w:szCs w:val="24"/>
          <w14:textFill>
            <w14:solidFill>
              <w14:schemeClr w14:val="tx1"/>
            </w14:solidFill>
          </w14:textFill>
        </w:rPr>
        <w:t>特定资质：</w:t>
      </w:r>
    </w:p>
    <w:p>
      <w:pPr>
        <w:widowControl/>
        <w:shd w:val="clear" w:color="auto" w:fill="FFFFFF"/>
        <w:spacing w:line="360" w:lineRule="auto"/>
        <w:ind w:firstLine="480" w:firstLineChars="200"/>
        <w:jc w:val="left"/>
        <w:rPr>
          <w:rFonts w:hint="eastAsia" w:ascii="宋体" w:hAnsi="宋体" w:eastAsia="宋体"/>
          <w:bCs/>
          <w:color w:val="auto"/>
          <w:sz w:val="24"/>
          <w:szCs w:val="24"/>
          <w:highlight w:val="none"/>
          <w:lang w:eastAsia="zh-CN"/>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bCs/>
          <w:color w:val="auto"/>
          <w:sz w:val="24"/>
          <w:szCs w:val="24"/>
          <w:highlight w:val="none"/>
        </w:rPr>
        <w:t>本项目为具备特定资质的网络安全测评服务，投标企业必须具有公安部第三研究所颁发的《网络安全等级测评与检测评估机构服务认证证书》</w:t>
      </w:r>
      <w:r>
        <w:rPr>
          <w:rFonts w:hint="eastAsia" w:ascii="宋体" w:hAnsi="宋体"/>
          <w:bCs/>
          <w:color w:val="auto"/>
          <w:sz w:val="24"/>
          <w:szCs w:val="24"/>
          <w:highlight w:val="none"/>
          <w:lang w:eastAsia="zh-CN"/>
        </w:rPr>
        <w:t>；</w:t>
      </w:r>
    </w:p>
    <w:p>
      <w:pPr>
        <w:widowControl/>
        <w:shd w:val="clear" w:color="auto" w:fill="FFFFFF"/>
        <w:spacing w:line="360" w:lineRule="auto"/>
        <w:ind w:firstLine="480" w:firstLineChars="200"/>
        <w:jc w:val="left"/>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）不接受联合体投标</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（三）</w:t>
      </w:r>
      <w:r>
        <w:rPr>
          <w:rFonts w:hint="eastAsia" w:ascii="黑体" w:hAnsi="黑体" w:eastAsia="黑体" w:cs="宋体"/>
          <w:color w:val="000000"/>
          <w:kern w:val="0"/>
          <w:sz w:val="24"/>
          <w:szCs w:val="24"/>
        </w:rPr>
        <w:t>供应商主体信息库注册</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1.请有意参加本项目投标的供应商按以下流程进行操作：</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（3）投标客户端下载链接：</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https://zcy-cdn.oss-cn-shanghai.aliyuncs.com/zcy-client/bidding-client/wuxi/ZhengCaiYunStep.3.11.7.exe </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（4）CA驱动下载链接（江苏省-国信CA驱动）：</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https://customer.zcygov.cn/CA-driver-download?utm=web-login-front.509b3709.0.0.004ab15096ee11ebbc33f5d151e70834 </w:t>
      </w:r>
    </w:p>
    <w:p>
      <w:pPr>
        <w:widowControl/>
        <w:shd w:val="clear" w:color="auto" w:fill="FFFFFF"/>
        <w:spacing w:line="360" w:lineRule="auto"/>
        <w:ind w:firstLine="480" w:firstLineChars="200"/>
        <w:jc w:val="left"/>
        <w:rPr>
          <w:rFonts w:ascii="宋体" w:hAnsi="宋体"/>
          <w:bCs/>
          <w:color w:val="000000"/>
          <w:sz w:val="24"/>
          <w:szCs w:val="24"/>
        </w:rPr>
      </w:pPr>
      <w:r>
        <w:rPr>
          <w:rFonts w:hint="eastAsia" w:ascii="宋体" w:hAnsi="宋体"/>
          <w:bCs/>
          <w:color w:val="000000"/>
          <w:sz w:val="24"/>
          <w:szCs w:val="24"/>
        </w:rPr>
        <w:t>技术服务电话：4008817190（服务时间：工作日8:00-20:00）</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2.投标人在领取CA和办理电子签章前务必前往“无锡政府采购网”“供应商信息库”（网址：</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https://cz.wuxi.zcygov.cn/wxCategory19/wxCategory125/index.html?utm=sites_group_front.5b1ba037.0.0.959ae250ca6711ebb0349920799faebc）查询是否完成注册登记。</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color w:val="000000"/>
          <w:kern w:val="0"/>
          <w:sz w:val="24"/>
          <w:szCs w:val="24"/>
        </w:rPr>
      </w:pPr>
      <w:r>
        <w:rPr>
          <w:rFonts w:hint="eastAsia" w:ascii="宋体" w:hAnsi="宋体"/>
          <w:bCs/>
          <w:color w:val="000000"/>
          <w:sz w:val="24"/>
          <w:szCs w:val="24"/>
        </w:rPr>
        <w:t>3.如投标人未按上述要求操作，由此所产生的损失及风险由投标人自行承担。在“供应商信息库”中无法查询的投标人，由评标委员会审</w:t>
      </w:r>
      <w:r>
        <w:rPr>
          <w:rFonts w:hint="eastAsia" w:ascii="宋体" w:hAnsi="宋体" w:cs="宋体"/>
          <w:color w:val="000000"/>
          <w:kern w:val="0"/>
          <w:sz w:val="24"/>
          <w:szCs w:val="24"/>
        </w:rPr>
        <w:t>查其投标截止时间前提交的未审核资料。</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（四）</w:t>
      </w:r>
      <w:r>
        <w:rPr>
          <w:rFonts w:hint="eastAsia" w:ascii="黑体" w:hAnsi="黑体" w:eastAsia="黑体" w:cs="宋体"/>
          <w:color w:val="000000"/>
          <w:sz w:val="24"/>
          <w:szCs w:val="24"/>
        </w:rPr>
        <w:t>完成项目报名，获取采购文件</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color w:val="000000"/>
          <w:kern w:val="0"/>
          <w:sz w:val="24"/>
          <w:szCs w:val="24"/>
        </w:rPr>
      </w:pPr>
      <w:r>
        <w:rPr>
          <w:rFonts w:hint="eastAsia" w:ascii="黑体" w:hAnsi="黑体" w:eastAsia="黑体" w:cs="宋体"/>
          <w:color w:val="000000"/>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采购人、无锡市公共资源交易中心梁溪分中心将于以下时间、地点对投标人针对采购文件书面提出的要求澄清的问题进行公开答疑。投标人如有需要对采购文件要求澄清的问题，请以书面形式提出“</w:t>
      </w:r>
      <w:r>
        <w:rPr>
          <w:rFonts w:hint="eastAsia" w:ascii="宋体" w:hAnsi="宋体"/>
          <w:bCs/>
          <w:sz w:val="24"/>
          <w:szCs w:val="24"/>
          <w:lang w:eastAsia="zh-CN"/>
        </w:rPr>
        <w:t>LXZC2022-023</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ascii="宋体"/>
          <w:bCs/>
          <w:sz w:val="24"/>
          <w:szCs w:val="24"/>
        </w:rPr>
      </w:pPr>
      <w:r>
        <w:rPr>
          <w:rFonts w:hint="eastAsia" w:ascii="宋体" w:hAnsi="宋体"/>
          <w:bCs/>
          <w:sz w:val="24"/>
          <w:szCs w:val="24"/>
        </w:rPr>
        <w:t>公开答疑会时间：</w:t>
      </w:r>
      <w:r>
        <w:rPr>
          <w:rFonts w:ascii="宋体" w:hAnsi="宋体"/>
          <w:bCs/>
          <w:sz w:val="24"/>
          <w:szCs w:val="24"/>
        </w:rPr>
        <w:t>202</w:t>
      </w:r>
      <w:r>
        <w:rPr>
          <w:rFonts w:hint="eastAsia" w:ascii="宋体" w:hAnsi="宋体"/>
          <w:bCs/>
          <w:sz w:val="24"/>
          <w:szCs w:val="24"/>
        </w:rPr>
        <w:t>2年</w:t>
      </w:r>
      <w:r>
        <w:rPr>
          <w:rFonts w:hint="eastAsia" w:ascii="宋体" w:hAnsi="宋体"/>
          <w:bCs/>
          <w:sz w:val="24"/>
          <w:szCs w:val="24"/>
          <w:lang w:val="en-US" w:eastAsia="zh-CN"/>
        </w:rPr>
        <w:t>9</w:t>
      </w:r>
      <w:r>
        <w:rPr>
          <w:rFonts w:hint="eastAsia" w:ascii="宋体" w:hAnsi="宋体"/>
          <w:bCs/>
          <w:sz w:val="24"/>
          <w:szCs w:val="24"/>
        </w:rPr>
        <w:t>月</w:t>
      </w:r>
      <w:r>
        <w:rPr>
          <w:rFonts w:hint="eastAsia" w:ascii="宋体" w:hAnsi="宋体"/>
          <w:bCs/>
          <w:sz w:val="24"/>
          <w:szCs w:val="24"/>
          <w:lang w:val="en-US" w:eastAsia="zh-CN"/>
        </w:rPr>
        <w:t>5</w:t>
      </w:r>
      <w:r>
        <w:rPr>
          <w:rFonts w:hint="eastAsia" w:ascii="宋体" w:hAnsi="宋体"/>
          <w:bCs/>
          <w:sz w:val="24"/>
          <w:szCs w:val="24"/>
        </w:rPr>
        <w:t>日14</w:t>
      </w:r>
      <w:r>
        <w:rPr>
          <w:rFonts w:ascii="宋体" w:hAnsi="宋体"/>
          <w:bCs/>
          <w:sz w:val="24"/>
          <w:szCs w:val="24"/>
        </w:rPr>
        <w:t xml:space="preserve">: </w:t>
      </w:r>
      <w:r>
        <w:rPr>
          <w:rFonts w:hint="eastAsia" w:ascii="宋体" w:hAnsi="宋体"/>
          <w:bCs/>
          <w:sz w:val="24"/>
          <w:szCs w:val="24"/>
          <w:lang w:val="en-US" w:eastAsia="zh-CN"/>
        </w:rPr>
        <w:t>3</w:t>
      </w:r>
      <w:r>
        <w:rPr>
          <w:rFonts w:ascii="宋体" w:hAnsi="宋体"/>
          <w:bCs/>
          <w:sz w:val="24"/>
          <w:szCs w:val="24"/>
        </w:rPr>
        <w:t>0</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宋体" w:hAnsi="宋体"/>
          <w:bCs/>
          <w:sz w:val="24"/>
          <w:szCs w:val="24"/>
        </w:rPr>
        <w:t>公开答疑会地点：无锡市公共资源交易中心梁溪分中心开标一室（清名路</w:t>
      </w:r>
      <w:r>
        <w:rPr>
          <w:rFonts w:ascii="宋体" w:hAnsi="宋体"/>
          <w:bCs/>
          <w:sz w:val="24"/>
          <w:szCs w:val="24"/>
        </w:rPr>
        <w:t>380</w:t>
      </w:r>
      <w:r>
        <w:rPr>
          <w:rFonts w:hint="eastAsia" w:ascii="宋体" w:hAnsi="宋体"/>
          <w:bCs/>
          <w:sz w:val="24"/>
          <w:szCs w:val="24"/>
        </w:rPr>
        <w:t>号</w:t>
      </w:r>
      <w:r>
        <w:rPr>
          <w:rFonts w:ascii="宋体" w:hAnsi="宋体"/>
          <w:bCs/>
          <w:sz w:val="24"/>
          <w:szCs w:val="24"/>
        </w:rPr>
        <w:t>6</w:t>
      </w:r>
      <w:r>
        <w:rPr>
          <w:rFonts w:hint="eastAsia" w:ascii="宋体" w:hAnsi="宋体"/>
          <w:bCs/>
          <w:sz w:val="24"/>
          <w:szCs w:val="24"/>
        </w:rPr>
        <w:t>楼）</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（六）</w:t>
      </w:r>
      <w:r>
        <w:rPr>
          <w:rFonts w:hint="eastAsia" w:ascii="黑体" w:hAnsi="黑体" w:eastAsia="黑体" w:cs="宋体"/>
          <w:color w:val="000000"/>
          <w:kern w:val="0"/>
          <w:sz w:val="24"/>
          <w:szCs w:val="24"/>
        </w:rPr>
        <w:t>投标及开标、定标时间、地点</w:t>
      </w:r>
      <w:r>
        <w:rPr>
          <w:rFonts w:hint="eastAsia" w:ascii="宋体" w:hAnsi="宋体" w:eastAsia="黑体" w:cs="宋体"/>
          <w:kern w:val="0"/>
          <w:sz w:val="24"/>
          <w:szCs w:val="24"/>
        </w:rPr>
        <w:t>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网上投标截止时间：2022年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 14：00，投标截止时间后的投标文件恕不接受</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网上解密时间：2022年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w:t>
      </w:r>
      <w:r>
        <w:rPr>
          <w:rFonts w:hint="eastAsia" w:ascii="宋体" w:hAnsi="宋体" w:cs="宋体"/>
          <w:color w:val="000000" w:themeColor="text1"/>
          <w:kern w:val="0"/>
          <w:sz w:val="24"/>
          <w:szCs w:val="24"/>
          <w14:textFill>
            <w14:solidFill>
              <w14:schemeClr w14:val="tx1"/>
            </w14:solidFill>
          </w14:textFill>
        </w:rPr>
        <w:t>开启解密后半小时</w:t>
      </w:r>
    </w:p>
    <w:p>
      <w:pPr>
        <w:spacing w:line="360" w:lineRule="auto"/>
        <w:ind w:firstLine="480" w:firstLineChars="200"/>
        <w:rPr>
          <w:rFonts w:ascii="宋体"/>
          <w:bCs/>
          <w:sz w:val="24"/>
          <w:szCs w:val="24"/>
        </w:rPr>
      </w:pPr>
      <w:r>
        <w:rPr>
          <w:rFonts w:hint="eastAsia" w:ascii="宋体" w:hAnsi="宋体"/>
          <w:bCs/>
          <w:sz w:val="24"/>
          <w:szCs w:val="24"/>
        </w:rPr>
        <w:t>确定中标单位时间：评审结束</w:t>
      </w:r>
    </w:p>
    <w:p>
      <w:pPr>
        <w:spacing w:line="360" w:lineRule="auto"/>
        <w:ind w:firstLine="480" w:firstLineChars="200"/>
        <w:rPr>
          <w:rFonts w:ascii="宋体" w:hAnsi="宋体"/>
          <w:bCs/>
          <w:sz w:val="24"/>
          <w:szCs w:val="24"/>
        </w:rPr>
      </w:pPr>
      <w:r>
        <w:rPr>
          <w:rFonts w:hint="eastAsia" w:ascii="宋体" w:hAnsi="宋体"/>
          <w:bCs/>
          <w:sz w:val="24"/>
          <w:szCs w:val="24"/>
        </w:rPr>
        <w:t>确定中标单位地点：无锡市公共资源交易中心梁溪分中心</w:t>
      </w:r>
      <w:bookmarkStart w:id="6" w:name="_GoBack"/>
      <w:bookmarkEnd w:id="6"/>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（七）</w:t>
      </w:r>
      <w:r>
        <w:rPr>
          <w:rFonts w:hint="eastAsia" w:ascii="黑体" w:hAnsi="黑体" w:eastAsia="黑体"/>
          <w:bCs/>
          <w:color w:val="000000"/>
          <w:sz w:val="24"/>
          <w:szCs w:val="24"/>
        </w:rPr>
        <w:t>投标有效期：</w:t>
      </w:r>
      <w:r>
        <w:rPr>
          <w:rFonts w:hint="eastAsia" w:ascii="宋体" w:hAnsi="宋体"/>
          <w:bCs/>
          <w:color w:val="000000"/>
          <w:sz w:val="24"/>
          <w:szCs w:val="24"/>
        </w:rPr>
        <w:t>开标之日起</w:t>
      </w:r>
      <w:r>
        <w:rPr>
          <w:rFonts w:ascii="宋体" w:hAnsi="宋体"/>
          <w:bCs/>
          <w:color w:val="000000"/>
          <w:sz w:val="24"/>
          <w:szCs w:val="24"/>
        </w:rPr>
        <w:t>90</w:t>
      </w:r>
      <w:r>
        <w:rPr>
          <w:rFonts w:hint="eastAsia" w:ascii="宋体" w:hAnsi="宋体"/>
          <w:bCs/>
          <w:color w:val="000000"/>
          <w:sz w:val="24"/>
          <w:szCs w:val="24"/>
        </w:rPr>
        <w:t>天</w:t>
      </w:r>
    </w:p>
    <w:p>
      <w:pPr>
        <w:spacing w:line="360" w:lineRule="auto"/>
        <w:ind w:firstLine="480" w:firstLineChars="200"/>
        <w:rPr>
          <w:rFonts w:ascii="黑体" w:hAnsi="黑体" w:eastAsia="黑体"/>
          <w:bCs/>
          <w:color w:val="000000"/>
          <w:sz w:val="24"/>
          <w:szCs w:val="24"/>
        </w:rPr>
      </w:pPr>
      <w:r>
        <w:rPr>
          <w:rFonts w:hint="eastAsia" w:ascii="黑体" w:hAnsi="黑体" w:eastAsia="黑体"/>
          <w:bCs/>
          <w:color w:val="000000" w:themeColor="text1"/>
          <w:sz w:val="24"/>
          <w:szCs w:val="24"/>
          <w14:textFill>
            <w14:solidFill>
              <w14:schemeClr w14:val="tx1"/>
            </w14:solidFill>
          </w14:textFill>
        </w:rPr>
        <w:t>（八）</w:t>
      </w:r>
      <w:r>
        <w:rPr>
          <w:rFonts w:hint="eastAsia" w:ascii="黑体" w:hAnsi="黑体" w:eastAsia="黑体"/>
          <w:bCs/>
          <w:color w:val="000000"/>
          <w:sz w:val="24"/>
          <w:szCs w:val="24"/>
        </w:rPr>
        <w:t>采购方法：</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olor w:val="000000"/>
          <w:sz w:val="24"/>
          <w:szCs w:val="24"/>
        </w:rPr>
        <w:t>本次采购采用《无锡市政府采购交易管理系统》进行招标投标活动，招标、投标、评标和中标结果发布全程电子化。</w:t>
      </w:r>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sz w:val="24"/>
          <w:szCs w:val="24"/>
        </w:rPr>
        <w:t>（九）</w:t>
      </w:r>
      <w:r>
        <w:rPr>
          <w:rFonts w:hint="eastAsia" w:ascii="黑体" w:hAnsi="黑体" w:eastAsia="黑体"/>
          <w:bCs/>
          <w:color w:val="000000" w:themeColor="text1"/>
          <w:sz w:val="24"/>
          <w:szCs w:val="24"/>
          <w14:textFill>
            <w14:solidFill>
              <w14:schemeClr w14:val="tx1"/>
            </w14:solidFill>
          </w14:textFill>
        </w:rPr>
        <w:t>其它</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集中采购机构：无锡市公共资源交易中心梁溪分中心       </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 无锡市梁溪区</w:t>
      </w:r>
      <w:bookmarkStart w:id="1" w:name="_Hlk11659573"/>
      <w:r>
        <w:rPr>
          <w:rFonts w:hint="eastAsia" w:ascii="宋体" w:hAnsi="宋体" w:cs="宋体"/>
          <w:color w:val="000000" w:themeColor="text1"/>
          <w:kern w:val="0"/>
          <w:sz w:val="24"/>
          <w:szCs w:val="24"/>
          <w14:textFill>
            <w14:solidFill>
              <w14:schemeClr w14:val="tx1"/>
            </w14:solidFill>
          </w14:textFill>
        </w:rPr>
        <w:t>清名路</w:t>
      </w:r>
      <w:r>
        <w:rPr>
          <w:rFonts w:ascii="宋体" w:hAnsi="宋体" w:cs="宋体"/>
          <w:color w:val="000000" w:themeColor="text1"/>
          <w:kern w:val="0"/>
          <w:sz w:val="24"/>
          <w:szCs w:val="24"/>
          <w14:textFill>
            <w14:solidFill>
              <w14:schemeClr w14:val="tx1"/>
            </w14:solidFill>
          </w14:textFill>
        </w:rPr>
        <w:t>380</w:t>
      </w:r>
      <w:r>
        <w:rPr>
          <w:rFonts w:hint="eastAsia" w:ascii="宋体" w:hAnsi="宋体" w:cs="宋体"/>
          <w:color w:val="000000" w:themeColor="text1"/>
          <w:kern w:val="0"/>
          <w:sz w:val="24"/>
          <w:szCs w:val="24"/>
          <w14:textFill>
            <w14:solidFill>
              <w14:schemeClr w14:val="tx1"/>
            </w14:solidFill>
          </w14:textFill>
        </w:rPr>
        <w:t>号</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楼</w:t>
      </w:r>
      <w:bookmarkEnd w:id="1"/>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项目联系人：王湉湉</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刘智</w:t>
      </w:r>
      <w:r>
        <w:rPr>
          <w:rFonts w:hint="eastAsia" w:ascii="宋体" w:hAnsi="宋体" w:cs="宋体"/>
          <w:color w:val="000000" w:themeColor="text1"/>
          <w:kern w:val="0"/>
          <w:sz w:val="24"/>
          <w:szCs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电话：0510-8505</w:t>
      </w:r>
      <w:r>
        <w:rPr>
          <w:rFonts w:hint="eastAsia" w:ascii="宋体" w:hAnsi="宋体" w:cs="宋体"/>
          <w:color w:val="000000" w:themeColor="text1"/>
          <w:kern w:val="0"/>
          <w:sz w:val="24"/>
          <w:szCs w:val="24"/>
          <w:lang w:val="en-US" w:eastAsia="zh-CN"/>
          <w14:textFill>
            <w14:solidFill>
              <w14:schemeClr w14:val="tx1"/>
            </w14:solidFill>
          </w14:textFill>
        </w:rPr>
        <w:t>8802</w:t>
      </w:r>
      <w:r>
        <w:rPr>
          <w:rFonts w:hint="eastAsia" w:ascii="宋体" w:hAnsi="宋体" w:cs="宋体"/>
          <w:color w:val="000000" w:themeColor="text1"/>
          <w:kern w:val="0"/>
          <w:sz w:val="24"/>
          <w:szCs w:val="24"/>
          <w14:textFill>
            <w14:solidFill>
              <w14:schemeClr w14:val="tx1"/>
            </w14:solidFill>
          </w14:textFill>
        </w:rPr>
        <w:t>；传真：0510-85059295</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综合部：0510-83158182</w:t>
      </w:r>
    </w:p>
    <w:p>
      <w:pPr>
        <w:widowControl/>
        <w:jc w:val="left"/>
        <w:rPr>
          <w:rFonts w:ascii="黑体" w:eastAsia="黑体"/>
          <w:bCs/>
          <w:color w:val="000000" w:themeColor="text1"/>
          <w:sz w:val="24"/>
          <w:szCs w:val="24"/>
          <w14:textFill>
            <w14:solidFill>
              <w14:schemeClr w14:val="tx1"/>
            </w14:solidFill>
          </w14:textFill>
        </w:rPr>
      </w:pPr>
      <w:r>
        <w:rPr>
          <w:rFonts w:ascii="黑体" w:eastAsia="黑体"/>
          <w:bCs/>
          <w:color w:val="000000" w:themeColor="text1"/>
          <w:sz w:val="24"/>
          <w:szCs w:val="24"/>
          <w14:textFill>
            <w14:solidFill>
              <w14:schemeClr w14:val="tx1"/>
            </w14:solidFill>
          </w14:textFill>
        </w:rPr>
        <w:br w:type="page"/>
      </w:r>
    </w:p>
    <w:p>
      <w:pPr>
        <w:spacing w:line="490" w:lineRule="exact"/>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二．投标人须知</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numPr>
          <w:ilvl w:val="0"/>
          <w:numId w:val="2"/>
        </w:numPr>
        <w:spacing w:line="360" w:lineRule="auto"/>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招标文件：</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采购文件中的“法定代表人”是指投标人的营业执照的“法定代表人”或相关部门的登记证明文件中的“负责人”。</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投标人应在无锡市政府采购交易管理系统（http://58.215.18.247:9003/zfcg_supplier_wx/login?bs=5）下载招标文件及有关资料，按要求制作、上传投标文件，对招标文件各项内容做出实质性响应，否则投标无效。</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w:t>
      </w:r>
      <w:r>
        <w:rPr>
          <w:rFonts w:ascii="黑体" w:hAnsi="宋体" w:eastAsia="黑体"/>
          <w:bCs/>
          <w:sz w:val="24"/>
          <w:szCs w:val="24"/>
        </w:rPr>
        <w:t xml:space="preserve"> </w:t>
      </w:r>
      <w:r>
        <w:rPr>
          <w:rFonts w:hint="eastAsia" w:ascii="黑体" w:hAnsi="宋体" w:eastAsia="黑体"/>
          <w:bCs/>
          <w:sz w:val="24"/>
          <w:szCs w:val="24"/>
        </w:rPr>
        <w:t>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本文件的最终解释权归无锡市公共资源交易中心梁溪分中心。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w:t>
      </w:r>
      <w:r>
        <w:rPr>
          <w:rFonts w:ascii="黑体" w:hAnsi="宋体" w:eastAsia="黑体"/>
          <w:bCs/>
          <w:sz w:val="24"/>
          <w:szCs w:val="24"/>
        </w:rPr>
        <w:t xml:space="preserve"> </w:t>
      </w:r>
      <w:r>
        <w:rPr>
          <w:rFonts w:hint="eastAsia" w:ascii="黑体" w:hAnsi="宋体" w:eastAsia="黑体"/>
          <w:bCs/>
          <w:sz w:val="24"/>
          <w:szCs w:val="24"/>
        </w:rPr>
        <w:t>招标文件的补充或修正：</w:t>
      </w:r>
      <w:r>
        <w:rPr>
          <w:rFonts w:ascii="黑体" w:hAnsi="宋体" w:eastAsia="黑体"/>
          <w:bCs/>
          <w:sz w:val="24"/>
          <w:szCs w:val="24"/>
        </w:rPr>
        <w:t xml:space="preserve"> </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无锡市公共资源交易中心梁溪分中心可在投标截止时间十五日前对招标文件进行必要的澄清或者修改，不足15日的，将顺延提交投标文件的截止时间。</w:t>
      </w:r>
    </w:p>
    <w:p>
      <w:pPr>
        <w:numPr>
          <w:ilvl w:val="0"/>
          <w:numId w:val="3"/>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pPr>
        <w:spacing w:line="360" w:lineRule="auto"/>
        <w:ind w:firstLine="480" w:firstLineChars="200"/>
        <w:rPr>
          <w:rFonts w:ascii="宋体"/>
          <w:bCs/>
          <w:sz w:val="24"/>
          <w:szCs w:val="24"/>
        </w:rPr>
      </w:pPr>
      <w:r>
        <w:rPr>
          <w:rFonts w:hint="eastAsia" w:ascii="黑体" w:hAnsi="宋体" w:eastAsia="黑体"/>
          <w:bCs/>
          <w:sz w:val="24"/>
          <w:szCs w:val="24"/>
        </w:rPr>
        <w:t>（五）</w:t>
      </w:r>
      <w:r>
        <w:rPr>
          <w:rFonts w:ascii="黑体" w:hAnsi="宋体" w:eastAsia="黑体"/>
          <w:bCs/>
          <w:sz w:val="24"/>
          <w:szCs w:val="24"/>
        </w:rPr>
        <w:t xml:space="preserve"> </w:t>
      </w:r>
      <w:r>
        <w:rPr>
          <w:rFonts w:hint="eastAsia" w:ascii="黑体" w:hAnsi="宋体" w:eastAsia="黑体"/>
          <w:bCs/>
          <w:sz w:val="24"/>
          <w:szCs w:val="24"/>
        </w:rPr>
        <w:t>投标文件的组成</w:t>
      </w:r>
      <w:r>
        <w:rPr>
          <w:rFonts w:hint="eastAsia" w:ascii="宋体" w:hAnsi="宋体"/>
          <w:bCs/>
          <w:color w:val="000000"/>
          <w:sz w:val="24"/>
          <w:szCs w:val="24"/>
        </w:rPr>
        <w:t>（</w:t>
      </w:r>
      <w:r>
        <w:rPr>
          <w:rFonts w:hint="eastAsia" w:ascii="宋体" w:hAnsi="宋体"/>
          <w:b/>
          <w:bCs/>
          <w:color w:val="000000"/>
          <w:sz w:val="24"/>
          <w:szCs w:val="24"/>
        </w:rPr>
        <w:t>相应内容上传至无锡市政府采购交易管理系统投标模块</w:t>
      </w:r>
      <w:r>
        <w:rPr>
          <w:rFonts w:hint="eastAsia" w:ascii="宋体" w:hAnsi="宋体"/>
          <w:bCs/>
          <w:color w:val="000000"/>
          <w:sz w:val="24"/>
          <w:szCs w:val="24"/>
        </w:rPr>
        <w:t>）</w:t>
      </w:r>
      <w:r>
        <w:rPr>
          <w:rFonts w:hint="eastAsia" w:ascii="黑体" w:hAnsi="宋体" w:eastAsia="黑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投标函</w:t>
      </w:r>
      <w:r>
        <w:rPr>
          <w:rFonts w:hint="eastAsia" w:ascii="宋体" w:hAnsi="宋体"/>
          <w:b/>
          <w:bCs/>
          <w:color w:val="000000"/>
          <w:sz w:val="24"/>
          <w:szCs w:val="24"/>
        </w:rPr>
        <w:t>（格式见附件）</w:t>
      </w:r>
    </w:p>
    <w:p>
      <w:pPr>
        <w:numPr>
          <w:ilvl w:val="0"/>
          <w:numId w:val="4"/>
        </w:numPr>
        <w:tabs>
          <w:tab w:val="left" w:pos="420"/>
          <w:tab w:val="left" w:pos="525"/>
          <w:tab w:val="left" w:pos="945"/>
          <w:tab w:val="clear" w:pos="630"/>
        </w:tabs>
        <w:spacing w:line="360" w:lineRule="auto"/>
        <w:ind w:left="1" w:firstLine="523" w:firstLineChars="218"/>
        <w:rPr>
          <w:rFonts w:ascii="宋体"/>
          <w:bCs/>
          <w:color w:val="000000"/>
          <w:sz w:val="24"/>
          <w:szCs w:val="24"/>
        </w:rPr>
      </w:pPr>
      <w:r>
        <w:rPr>
          <w:rFonts w:hint="eastAsia" w:ascii="宋体" w:hAnsi="宋体"/>
          <w:bCs/>
          <w:color w:val="000000"/>
          <w:sz w:val="24"/>
          <w:szCs w:val="24"/>
        </w:rPr>
        <w:t>资格、资信证明文件</w:t>
      </w:r>
      <w:r>
        <w:rPr>
          <w:rFonts w:hint="eastAsia" w:ascii="宋体" w:hAnsi="宋体"/>
          <w:b/>
          <w:bCs/>
          <w:color w:val="000000"/>
          <w:sz w:val="24"/>
          <w:szCs w:val="24"/>
        </w:rPr>
        <w:t>（扫描后上传，身份证应为正、反面）：</w:t>
      </w:r>
    </w:p>
    <w:p>
      <w:pPr>
        <w:pStyle w:val="101"/>
        <w:numPr>
          <w:ilvl w:val="1"/>
          <w:numId w:val="4"/>
        </w:numPr>
        <w:tabs>
          <w:tab w:val="left" w:pos="1285"/>
          <w:tab w:val="clear" w:pos="990"/>
        </w:tabs>
        <w:spacing w:line="360" w:lineRule="auto"/>
        <w:ind w:left="0" w:firstLine="567" w:firstLineChars="0"/>
        <w:rPr>
          <w:rFonts w:ascii="宋体"/>
          <w:bCs/>
          <w:color w:val="000000"/>
          <w:sz w:val="24"/>
          <w:szCs w:val="24"/>
        </w:rPr>
      </w:pPr>
      <w:r>
        <w:rPr>
          <w:rFonts w:hint="eastAsia" w:ascii="宋体" w:hAnsi="宋体"/>
          <w:bCs/>
          <w:color w:val="000000"/>
          <w:sz w:val="24"/>
          <w:szCs w:val="24"/>
        </w:rPr>
        <w:t>关于资格的声明函（</w:t>
      </w:r>
      <w:r>
        <w:rPr>
          <w:rFonts w:hint="eastAsia" w:ascii="宋体" w:hAnsi="宋体"/>
          <w:b/>
          <w:bCs/>
          <w:color w:val="000000"/>
          <w:sz w:val="24"/>
          <w:szCs w:val="24"/>
        </w:rPr>
        <w:t>格式见附件</w:t>
      </w:r>
      <w:r>
        <w:rPr>
          <w:rFonts w:hint="eastAsia" w:ascii="宋体" w:hAnsi="宋体"/>
          <w:bCs/>
          <w:color w:val="000000"/>
          <w:sz w:val="24"/>
          <w:szCs w:val="24"/>
        </w:rPr>
        <w:t>）</w:t>
      </w:r>
    </w:p>
    <w:p>
      <w:pPr>
        <w:pStyle w:val="101"/>
        <w:numPr>
          <w:ilvl w:val="1"/>
          <w:numId w:val="4"/>
        </w:numPr>
        <w:tabs>
          <w:tab w:val="left" w:pos="1285"/>
          <w:tab w:val="clear" w:pos="990"/>
        </w:tabs>
        <w:spacing w:line="360" w:lineRule="auto"/>
        <w:ind w:left="0" w:firstLine="567" w:firstLineChars="0"/>
        <w:rPr>
          <w:rFonts w:ascii="宋体"/>
          <w:bCs/>
          <w:color w:val="000000"/>
          <w:sz w:val="24"/>
          <w:szCs w:val="24"/>
        </w:rPr>
      </w:pPr>
      <w:r>
        <w:rPr>
          <w:rFonts w:hint="eastAsia" w:ascii="宋体" w:hAnsi="宋体"/>
          <w:bCs/>
          <w:color w:val="000000"/>
          <w:sz w:val="24"/>
          <w:szCs w:val="24"/>
        </w:rPr>
        <w:t>具有独立承担民事责任能力的投标人营业执照或相关部门的登记证明文件复印件（投标人如是</w:t>
      </w:r>
      <w:r>
        <w:rPr>
          <w:rFonts w:hint="eastAsia" w:ascii="宋体" w:hAnsi="宋体" w:cs="宋体"/>
          <w:color w:val="000000"/>
          <w:kern w:val="0"/>
          <w:sz w:val="24"/>
          <w:szCs w:val="24"/>
        </w:rPr>
        <w:t>允许以分支机构身份参加投标的，提供投标人分支机构的营业执照复印件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投标人法定代表人授权委托书</w:t>
      </w:r>
      <w:r>
        <w:rPr>
          <w:rFonts w:hint="eastAsia" w:ascii="宋体" w:hAnsi="宋体"/>
          <w:color w:val="000000"/>
          <w:sz w:val="24"/>
          <w:szCs w:val="24"/>
        </w:rPr>
        <w:t>（</w:t>
      </w:r>
      <w:r>
        <w:rPr>
          <w:rFonts w:hint="eastAsia" w:ascii="宋体" w:hAnsi="宋体"/>
          <w:b/>
          <w:bCs/>
          <w:color w:val="000000"/>
          <w:sz w:val="24"/>
          <w:szCs w:val="24"/>
        </w:rPr>
        <w:t>格式见附件，法定代表人亲自参加投标的除外</w:t>
      </w:r>
      <w:r>
        <w:rPr>
          <w:rFonts w:hint="eastAsia" w:ascii="宋体" w:hAnsi="宋体"/>
          <w:color w:val="000000"/>
          <w:sz w:val="24"/>
          <w:szCs w:val="24"/>
        </w:rPr>
        <w:t>）（投标人</w:t>
      </w:r>
      <w:r>
        <w:rPr>
          <w:rFonts w:hint="eastAsia" w:ascii="宋体" w:hAnsi="宋体"/>
          <w:bCs/>
          <w:color w:val="000000"/>
          <w:sz w:val="24"/>
          <w:szCs w:val="24"/>
        </w:rPr>
        <w:t>如是</w:t>
      </w:r>
      <w:r>
        <w:rPr>
          <w:rFonts w:hint="eastAsia" w:ascii="宋体" w:hAnsi="宋体" w:cs="宋体"/>
          <w:color w:val="000000"/>
          <w:kern w:val="0"/>
          <w:sz w:val="24"/>
          <w:szCs w:val="24"/>
        </w:rPr>
        <w:t>允许以分支机构身份参加投标的，请自行将“法定代表人”更改为“负责人”，分支机构投标时涉及到采购文件“法定代表人”要求的部分，其具体要求视同本条规定</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投标人法定代表人身份证；</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投标人法定代表人授权代表身份证（</w:t>
      </w:r>
      <w:r>
        <w:rPr>
          <w:rFonts w:hint="eastAsia" w:ascii="宋体" w:hAnsi="宋体"/>
          <w:b/>
          <w:bCs/>
          <w:color w:val="000000"/>
          <w:sz w:val="24"/>
          <w:szCs w:val="24"/>
        </w:rPr>
        <w:t>法定代表人亲自参加投标的除外</w:t>
      </w:r>
      <w:r>
        <w:rPr>
          <w:rFonts w:hint="eastAsia" w:ascii="宋体" w:hAnsi="宋体"/>
          <w:bCs/>
          <w:color w:val="000000"/>
          <w:sz w:val="24"/>
          <w:szCs w:val="24"/>
        </w:rPr>
        <w:t>）</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投标人连续六个月(至少包含近六个月中任意一个月份(不含投标当月))为其法定代表人授权代表缴纳社保的证明（由相关主管部门出具，</w:t>
      </w:r>
      <w:r>
        <w:rPr>
          <w:rFonts w:hint="eastAsia" w:ascii="宋体" w:hAnsi="宋体"/>
          <w:b/>
          <w:bCs/>
          <w:color w:val="000000"/>
          <w:sz w:val="24"/>
          <w:szCs w:val="24"/>
        </w:rPr>
        <w:t>新成立公司除外、法定代表人亲自参加投标的除外</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hAnsi="Calibri"/>
          <w:bCs/>
          <w:color w:val="000000"/>
          <w:sz w:val="24"/>
          <w:szCs w:val="24"/>
        </w:rPr>
      </w:pPr>
      <w:r>
        <w:rPr>
          <w:rFonts w:hint="eastAsia" w:ascii="宋体" w:hAnsi="宋体"/>
          <w:bCs/>
          <w:color w:val="000000"/>
          <w:sz w:val="24"/>
          <w:szCs w:val="24"/>
        </w:rPr>
        <w:t>投标人近三个月中任意一个月份(不含投标当月)的财务状况报告（资产负债表和利润表）或由会计师事务所出具的近两年中任意一个年度的审计报告和所附已审财务报告；</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投标人近三个月中任意一个月份(不含投标当月)的依法缴纳税收的相关材料（提供相关主管部门证明或银行代扣证明）；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投标人近三个月中任意一个月份(不含投标当月)的依法缴纳社会保障资金的相关材料（提供相关主管部门证明或银行代扣证明）；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承诺书（</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中小企业声明函（</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1"/>
          <w:numId w:val="4"/>
        </w:numPr>
        <w:tabs>
          <w:tab w:val="left" w:pos="945"/>
          <w:tab w:val="left" w:pos="1285"/>
        </w:tabs>
        <w:spacing w:line="360" w:lineRule="auto"/>
        <w:ind w:left="0" w:firstLine="523" w:firstLineChars="218"/>
        <w:rPr>
          <w:rFonts w:ascii="宋体" w:hAnsi="宋体"/>
          <w:b/>
          <w:color w:val="000000"/>
          <w:sz w:val="24"/>
          <w:szCs w:val="24"/>
        </w:rPr>
      </w:pPr>
      <w:r>
        <w:rPr>
          <w:rFonts w:hint="eastAsia" w:ascii="宋体" w:hAnsi="宋体"/>
          <w:bCs/>
          <w:color w:val="000000"/>
          <w:sz w:val="24"/>
          <w:szCs w:val="24"/>
        </w:rPr>
        <w:t>采购人要求的特定资质证明</w:t>
      </w:r>
      <w:r>
        <w:rPr>
          <w:rFonts w:hint="eastAsia" w:ascii="宋体" w:hAnsi="宋体"/>
          <w:b/>
          <w:color w:val="000000"/>
          <w:sz w:val="24"/>
          <w:szCs w:val="24"/>
        </w:rPr>
        <w:t>（详见“投标邀请函”-“投标人资格要求”之3中要求）。</w:t>
      </w:r>
    </w:p>
    <w:p>
      <w:pPr>
        <w:tabs>
          <w:tab w:val="left" w:pos="630"/>
          <w:tab w:val="left" w:pos="945"/>
          <w:tab w:val="left" w:pos="1276"/>
        </w:tabs>
        <w:spacing w:line="360" w:lineRule="auto"/>
        <w:ind w:firstLine="480" w:firstLineChars="200"/>
        <w:rPr>
          <w:rFonts w:ascii="宋体"/>
          <w:bCs/>
          <w:color w:val="000000"/>
          <w:sz w:val="24"/>
          <w:szCs w:val="24"/>
        </w:rPr>
      </w:pPr>
      <w:r>
        <w:rPr>
          <w:rFonts w:hint="eastAsia" w:ascii="宋体" w:hAnsi="宋体" w:cs="宋体"/>
          <w:color w:val="000000"/>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开标一览表（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明细报价表（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投标偏离表（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项目人员配置表（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项目技术要求中须提供的证明材料（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评分标准中对应的其它所需证明材料（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要求采购人提供的配合（</w:t>
      </w:r>
      <w:r>
        <w:rPr>
          <w:rFonts w:hint="eastAsia" w:ascii="宋体" w:hAnsi="宋体"/>
          <w:b/>
          <w:bCs/>
          <w:color w:val="000000"/>
          <w:sz w:val="24"/>
          <w:szCs w:val="24"/>
        </w:rPr>
        <w:t>如有自拟并自行添加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其它（</w:t>
      </w:r>
      <w:r>
        <w:rPr>
          <w:rFonts w:hint="eastAsia" w:ascii="宋体" w:hAnsi="宋体"/>
          <w:b/>
          <w:bCs/>
          <w:color w:val="000000"/>
          <w:sz w:val="24"/>
          <w:szCs w:val="24"/>
        </w:rPr>
        <w:t>投标人认为有必要提供的声明和文件，如有自拟并自行添加</w:t>
      </w:r>
      <w:r>
        <w:rPr>
          <w:rFonts w:hint="eastAsia" w:ascii="宋体" w:hAnsi="宋体"/>
          <w:bCs/>
          <w:color w:val="000000"/>
          <w:sz w:val="24"/>
          <w:szCs w:val="24"/>
        </w:rPr>
        <w:t>）</w:t>
      </w:r>
    </w:p>
    <w:p>
      <w:pPr>
        <w:tabs>
          <w:tab w:val="left" w:pos="945"/>
        </w:tabs>
        <w:spacing w:line="360" w:lineRule="auto"/>
        <w:ind w:firstLine="480" w:firstLineChars="200"/>
        <w:rPr>
          <w:rFonts w:ascii="宋体" w:hAnsi="Calibri"/>
          <w:bCs/>
          <w:color w:val="000000"/>
          <w:sz w:val="24"/>
          <w:szCs w:val="24"/>
        </w:rPr>
      </w:pPr>
      <w:r>
        <w:rPr>
          <w:rFonts w:hint="eastAsia" w:ascii="宋体" w:hAnsi="宋体"/>
          <w:bCs/>
          <w:color w:val="000000"/>
          <w:sz w:val="24"/>
          <w:szCs w:val="24"/>
        </w:rPr>
        <w:t>上述1-5项投标人必须按要求全部提供，否则投标文件无效。</w:t>
      </w:r>
      <w:r>
        <w:rPr>
          <w:rFonts w:hint="eastAsia" w:ascii="Tahoma" w:hAnsi="Tahoma" w:cs="Tahoma"/>
          <w:color w:val="000000"/>
          <w:sz w:val="24"/>
          <w:szCs w:val="24"/>
        </w:rPr>
        <w:t>如上述资格证明文件遇年检、换证，则必须提供法定年检、换证单位出具的有效证明复印件。如上述资格证明文件第</w:t>
      </w:r>
      <w:r>
        <w:rPr>
          <w:rFonts w:hint="eastAsia" w:ascii="宋体" w:hAnsi="宋体" w:cs="Tahoma"/>
          <w:color w:val="000000"/>
          <w:sz w:val="24"/>
          <w:szCs w:val="24"/>
        </w:rPr>
        <w:t>（6）（7）（8）（9）</w:t>
      </w:r>
      <w:r>
        <w:rPr>
          <w:rFonts w:hint="eastAsia" w:ascii="Tahoma" w:hAnsi="Tahoma" w:cs="Tahoma"/>
          <w:color w:val="000000"/>
          <w:sz w:val="24"/>
          <w:szCs w:val="24"/>
        </w:rPr>
        <w:t>四项遇有国家相关政策规定可不具备的，必须提供相关政策规定或相关单位出具的有效证明复印件。</w:t>
      </w:r>
      <w:r>
        <w:rPr>
          <w:rFonts w:hint="eastAsia" w:ascii="宋体" w:hAnsi="宋体"/>
          <w:bCs/>
          <w:color w:val="000000"/>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投标文件的制作：</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所有文件、往来函件均应使用简体中文（规格、型号辅助符号例外）。</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投标文件由投标人按要求参考给定格式如实填写（编写），须有投标人（盖章）、法定代表人或法定代表人授权代表签字或盖章，方为有效，未尽事宜可自行补充。</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如无特别说明，</w:t>
      </w:r>
      <w:r>
        <w:rPr>
          <w:rFonts w:hint="eastAsia" w:ascii="宋体" w:hAnsi="宋体"/>
          <w:bCs/>
          <w:color w:val="000000" w:themeColor="text1"/>
          <w:sz w:val="24"/>
          <w:szCs w:val="24"/>
          <w14:textFill>
            <w14:solidFill>
              <w14:schemeClr w14:val="tx1"/>
            </w14:solidFill>
          </w14:textFill>
        </w:rPr>
        <w:t>投标人报价一律以人民币为投标结算货币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投标费用自理。</w:t>
      </w:r>
    </w:p>
    <w:p>
      <w:pPr>
        <w:tabs>
          <w:tab w:val="left" w:pos="945"/>
        </w:tabs>
        <w:spacing w:line="360" w:lineRule="auto"/>
        <w:ind w:firstLine="480" w:firstLineChars="200"/>
        <w:rPr>
          <w:rFonts w:ascii="黑体" w:hAnsi="宋体" w:eastAsia="黑体"/>
          <w:bCs/>
          <w:color w:val="000000"/>
          <w:sz w:val="24"/>
          <w:szCs w:val="24"/>
        </w:rPr>
      </w:pPr>
      <w:r>
        <w:rPr>
          <w:rFonts w:hint="eastAsia" w:ascii="黑体" w:hAnsi="宋体" w:eastAsia="黑体"/>
          <w:bCs/>
          <w:color w:val="000000"/>
          <w:sz w:val="24"/>
          <w:szCs w:val="24"/>
        </w:rPr>
        <w:t>（七）网上投标</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投标人应对CA数字证书妥善保管，如被他人盗用投标，后果自负。</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投标人按招标文件规定的</w:t>
      </w:r>
      <w:r>
        <w:rPr>
          <w:rFonts w:hint="eastAsia" w:ascii="宋体" w:hAnsi="宋体"/>
          <w:color w:val="000000"/>
          <w:sz w:val="24"/>
          <w:szCs w:val="24"/>
        </w:rPr>
        <w:t>网上解密时间</w:t>
      </w:r>
      <w:r>
        <w:rPr>
          <w:rFonts w:hint="eastAsia" w:ascii="宋体" w:hAnsi="宋体"/>
          <w:bCs/>
          <w:color w:val="000000"/>
          <w:sz w:val="24"/>
          <w:szCs w:val="24"/>
        </w:rPr>
        <w:t>进行解密，如未按时解密后果自负。</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投标人应当对招标文件提出的要求和条件作出实质性响应，并在电子投标系统逐条应答。</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投标人应对要求提供的资格证明文件（如资质证书、资格证书）、技术资料（如白皮书、彩页、手册、检测报告等）扫描上传至投标系统。</w:t>
      </w:r>
    </w:p>
    <w:p>
      <w:pPr>
        <w:tabs>
          <w:tab w:val="left" w:pos="945"/>
        </w:tabs>
        <w:spacing w:line="360" w:lineRule="auto"/>
        <w:ind w:firstLine="480" w:firstLineChars="200"/>
        <w:rPr>
          <w:rFonts w:ascii="宋体" w:hAnsi="宋体"/>
          <w:color w:val="000000"/>
          <w:sz w:val="24"/>
          <w:szCs w:val="24"/>
        </w:rPr>
      </w:pPr>
      <w:r>
        <w:rPr>
          <w:rFonts w:hint="eastAsia" w:ascii="宋体" w:hAnsi="宋体"/>
          <w:bCs/>
          <w:color w:val="000000"/>
          <w:sz w:val="24"/>
          <w:szCs w:val="24"/>
        </w:rPr>
        <w:t>投标人进行网上</w:t>
      </w:r>
      <w:r>
        <w:rPr>
          <w:rFonts w:hint="eastAsia" w:ascii="宋体" w:hAnsi="宋体"/>
          <w:color w:val="000000"/>
          <w:sz w:val="24"/>
          <w:szCs w:val="24"/>
        </w:rPr>
        <w:t>投标</w:t>
      </w:r>
      <w:r>
        <w:rPr>
          <w:rFonts w:hint="eastAsia" w:ascii="宋体" w:hAnsi="宋体"/>
          <w:bCs/>
          <w:color w:val="000000"/>
          <w:sz w:val="24"/>
          <w:szCs w:val="24"/>
        </w:rPr>
        <w:t>请参照《</w:t>
      </w:r>
      <w:r>
        <w:rPr>
          <w:rFonts w:hint="eastAsia" w:ascii="宋体" w:hAnsi="宋体"/>
          <w:color w:val="000000"/>
          <w:sz w:val="24"/>
          <w:szCs w:val="24"/>
        </w:rPr>
        <w:t>政府采购项目电子交易管理操作指南-供应商》。</w:t>
      </w:r>
    </w:p>
    <w:p>
      <w:pPr>
        <w:tabs>
          <w:tab w:val="left" w:pos="945"/>
        </w:tabs>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无效投标文件的确认：</w:t>
      </w:r>
    </w:p>
    <w:p>
      <w:pPr>
        <w:tabs>
          <w:tab w:val="left" w:pos="945"/>
        </w:tabs>
        <w:spacing w:line="360" w:lineRule="auto"/>
        <w:ind w:firstLine="480" w:firstLineChars="200"/>
        <w:rPr>
          <w:rFonts w:ascii="黑体" w:hAnsi="宋体" w:eastAsia="黑体"/>
          <w:bCs/>
          <w:color w:val="000000"/>
          <w:sz w:val="24"/>
          <w:szCs w:val="24"/>
        </w:rPr>
      </w:pPr>
      <w:r>
        <w:rPr>
          <w:rFonts w:hint="eastAsia" w:ascii="宋体" w:hAnsi="宋体"/>
          <w:bCs/>
          <w:color w:val="000000"/>
          <w:sz w:val="24"/>
          <w:szCs w:val="24"/>
        </w:rPr>
        <w:t>投标人有下列情况之一者，投标文件无效：</w:t>
      </w:r>
    </w:p>
    <w:p>
      <w:pPr>
        <w:numPr>
          <w:ilvl w:val="0"/>
          <w:numId w:val="7"/>
        </w:numPr>
        <w:tabs>
          <w:tab w:val="left" w:pos="945"/>
        </w:tabs>
        <w:spacing w:line="360" w:lineRule="auto"/>
        <w:rPr>
          <w:rFonts w:ascii="宋体" w:hAnsi="Calibri"/>
          <w:bCs/>
          <w:color w:val="000000"/>
          <w:sz w:val="24"/>
          <w:szCs w:val="24"/>
        </w:rPr>
      </w:pPr>
      <w:r>
        <w:rPr>
          <w:rFonts w:hint="eastAsia" w:ascii="宋体" w:hAnsi="宋体"/>
          <w:color w:val="000000"/>
          <w:sz w:val="24"/>
          <w:szCs w:val="24"/>
        </w:rPr>
        <w:t>未按规定在无锡市政府采购供应商信息库注册的；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电子投标文件未按规定期限投标的，纸质投标文件（如有）未按规定的期限、地点送达的；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电子投标文件未按招标文件要求签章的；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投标人未按招标文件要求解密电子投标文件的；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投标人的法定代表人授权代表，无法定代表人授权委托书的；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不具备招标文件中规定的资格要求或未按招标文件规定的要求提供资格、资信证明文件的；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color w:val="000000"/>
          <w:sz w:val="24"/>
          <w:szCs w:val="24"/>
        </w:rPr>
        <w:t>被“信用中国”网站（</w:t>
      </w:r>
      <w:r>
        <w:fldChar w:fldCharType="begin"/>
      </w:r>
      <w:r>
        <w:instrText xml:space="preserve"> HYPERLINK "http://www.creditchina.gov.cn" </w:instrText>
      </w:r>
      <w:r>
        <w:fldChar w:fldCharType="separate"/>
      </w:r>
      <w:r>
        <w:rPr>
          <w:rStyle w:val="29"/>
          <w:rFonts w:hint="eastAsia" w:ascii="宋体" w:hAnsi="宋体"/>
          <w:color w:val="000000"/>
          <w:sz w:val="24"/>
          <w:szCs w:val="24"/>
        </w:rPr>
        <w:t>www.creditchina.gov.cn</w:t>
      </w:r>
      <w:r>
        <w:rPr>
          <w:rStyle w:val="29"/>
          <w:rFonts w:hint="eastAsia" w:ascii="宋体" w:hAnsi="宋体"/>
          <w:color w:val="000000"/>
          <w:sz w:val="24"/>
          <w:szCs w:val="24"/>
        </w:rPr>
        <w:fldChar w:fldCharType="end"/>
      </w:r>
      <w:r>
        <w:rPr>
          <w:rFonts w:hint="eastAsia" w:ascii="宋体" w:hAnsi="宋体"/>
          <w:color w:val="000000"/>
          <w:sz w:val="24"/>
          <w:szCs w:val="24"/>
        </w:rPr>
        <w:t>）列入失信被执行人、重大税收违法案件当事人名单、政府采购严重违法失信行为记录名单的；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投标文件未按招标文件规定的内容和要求填写的；没有在投标系统指定位置上传对应文件、材料的；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电子投标文件图片、字迹模糊不清、无法辨认的；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投标文件中有招标文件未允许提供的选择性内容；</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不同投标人委托同一单位或者个人办理投标事宜的；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不同投标人的单位负责人为同一人或者存在直接控股、管理关系的；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不同投标人的投标文件的装订形式、纸张情况、目录序号、排版格式、文字风格等存在明显的相似性或一致性，特征显示由同一单位或者同一个人编制的；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不同投标人投标文件内容存在非正常一致、项目组成员出现同一人、投标文件中错误（或异常）一致或雷同、电子文档信息一致或雷同的、投标报价呈规律性差异的；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项目（标段）投标总价超过本项目（标段）预算或最高限价的；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提供虚假材料的（包括工商营业执照、财务报表、资格证明文件等）；</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投标文件含有采购人不能接受的附加条件的；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除单一来源采购项目外，为采购项目提供整体设计、规范编制或者项目管理、监理、检测等服务的；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投标文件内容不全或不符合招标文件中规定的其它实质性要求的；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开标、评标：</w:t>
      </w:r>
    </w:p>
    <w:p>
      <w:pPr>
        <w:numPr>
          <w:ilvl w:val="1"/>
          <w:numId w:val="8"/>
        </w:numPr>
        <w:tabs>
          <w:tab w:val="left" w:pos="525"/>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所有投标单位在招标文件规定的时间内解密各自投标文件。</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投标截止时间后参加投标的供应商或解密投标文件的供应商不足三家的，不开标；开标后，所有投标供应商可在线上开标大厅中看到所有投标人的投标报价。</w:t>
      </w:r>
    </w:p>
    <w:p>
      <w:pPr>
        <w:numPr>
          <w:ilvl w:val="1"/>
          <w:numId w:val="8"/>
        </w:numPr>
        <w:tabs>
          <w:tab w:val="left" w:pos="525"/>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开标时，投标文件报价出现前后不一致的，按照下列规定修正：</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投标文件中开标一览表（报价表）内容与投标文件中相应内容不一致的，以开标一览表（报价表）为准；</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大写金额和小写金额不一致的，以大写金额为准；</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单价金额小数点或者百分比有明显错位的，以开标一览表的总价为准，并修改单价；</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color w:val="000000"/>
          <w:sz w:val="24"/>
          <w:szCs w:val="24"/>
        </w:rPr>
      </w:pPr>
      <w:r>
        <w:rPr>
          <w:rFonts w:hint="eastAsia" w:ascii="宋体"/>
          <w:bCs/>
          <w:color w:val="000000"/>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电子投标文件与纸质投标文件（如有）不符的，以电子投标文件为准。</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投标人未参加开标的，视同认可开标结果。</w:t>
      </w:r>
    </w:p>
    <w:p>
      <w:pPr>
        <w:numPr>
          <w:ilvl w:val="1"/>
          <w:numId w:val="8"/>
        </w:numPr>
        <w:tabs>
          <w:tab w:val="left" w:pos="525"/>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评标程序</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szCs w:val="24"/>
        </w:rPr>
        <w:t>评标工作由</w:t>
      </w:r>
      <w:r>
        <w:rPr>
          <w:rFonts w:hint="eastAsia" w:ascii="宋体" w:hAnsi="宋体"/>
          <w:bCs/>
          <w:sz w:val="24"/>
          <w:szCs w:val="24"/>
        </w:rPr>
        <w:t>无锡市公共资源交易中心梁溪分中心</w:t>
      </w:r>
      <w:r>
        <w:rPr>
          <w:rFonts w:hint="eastAsia" w:ascii="宋体" w:hAnsi="宋体"/>
          <w:bCs/>
          <w:color w:val="000000"/>
          <w:sz w:val="24"/>
          <w:szCs w:val="24"/>
        </w:rPr>
        <w:t>负责组织，具体评标事务由依法组建的评标委员会负责。</w:t>
      </w:r>
    </w:p>
    <w:p>
      <w:pPr>
        <w:numPr>
          <w:ilvl w:val="0"/>
          <w:numId w:val="10"/>
        </w:numPr>
        <w:tabs>
          <w:tab w:val="left" w:pos="630"/>
          <w:tab w:val="left" w:pos="945"/>
          <w:tab w:val="left" w:pos="115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投标文件初审。初审分为资格性检查和符合性检查。</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color w:val="000000"/>
          <w:sz w:val="24"/>
          <w:szCs w:val="22"/>
        </w:rPr>
      </w:pPr>
      <w:r>
        <w:rPr>
          <w:rFonts w:hint="eastAsia" w:ascii="宋体" w:hAnsi="宋体"/>
          <w:bCs/>
          <w:color w:val="000000"/>
          <w:sz w:val="24"/>
        </w:rPr>
        <w:t>资格性检查。采购人依据法律法规和招标文件的规定，对投标文件中的资格证明、投标（报价）承诺函等进行审查；</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Style w:val="29"/>
          <w:rFonts w:hint="eastAsia" w:ascii="宋体" w:hAnsi="宋体"/>
          <w:bCs/>
          <w:color w:val="000000"/>
          <w:sz w:val="24"/>
          <w:szCs w:val="24"/>
        </w:rPr>
        <w:t>www.creditchina.gov.cn</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color w:val="000000"/>
          <w:sz w:val="24"/>
          <w:szCs w:val="24"/>
        </w:rPr>
        <w:t>中国政府采购网(www.ccgp.gov.cn)</w:t>
      </w:r>
      <w:r>
        <w:rPr>
          <w:rFonts w:hint="eastAsia" w:ascii="宋体" w:hAnsi="宋体"/>
          <w:bCs/>
          <w:color w:val="000000"/>
          <w:sz w:val="24"/>
          <w:szCs w:val="24"/>
        </w:rPr>
        <w:t>查询投标供应商在投标截止时间之前，是否被列入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以确定投标供应商是否具备投标资格。信用</w:t>
      </w:r>
      <w:r>
        <w:rPr>
          <w:rFonts w:hint="eastAsia" w:ascii="宋体" w:hAnsi="宋体"/>
          <w:color w:val="000000"/>
          <w:sz w:val="24"/>
          <w:szCs w:val="24"/>
        </w:rPr>
        <w:t>查询结果以网页打印的形式留存并归档。</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color w:val="000000"/>
          <w:sz w:val="24"/>
        </w:rPr>
      </w:pPr>
      <w:r>
        <w:rPr>
          <w:rFonts w:hint="eastAsia" w:ascii="宋体" w:hAnsi="宋体"/>
          <w:bCs/>
          <w:color w:val="000000"/>
          <w:sz w:val="24"/>
        </w:rPr>
        <w:t>符合性检查。评标委员会依据招标文件的规定，从投标文件的有效性、完整性和对招标文件的响应程度进行审查，以确定是否对招标文件的实质性要求作出响应。</w:t>
      </w:r>
    </w:p>
    <w:p>
      <w:pPr>
        <w:numPr>
          <w:ilvl w:val="0"/>
          <w:numId w:val="10"/>
        </w:numPr>
        <w:tabs>
          <w:tab w:val="left" w:pos="525"/>
          <w:tab w:val="left" w:pos="945"/>
          <w:tab w:val="left" w:pos="115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澄清有关问题。对投标文件中含义不明确、同类问题表述不一致或者有明显文字和计算错误的内容，评标委员会可以通过</w:t>
      </w:r>
      <w:r>
        <w:rPr>
          <w:rFonts w:hint="eastAsia" w:ascii="宋体" w:hAnsi="宋体"/>
          <w:bCs/>
          <w:color w:val="000000"/>
          <w:sz w:val="24"/>
          <w:szCs w:val="24"/>
        </w:rPr>
        <w:t>政府采购交易管理一体化系统</w:t>
      </w:r>
      <w:r>
        <w:rPr>
          <w:rFonts w:hint="eastAsia" w:ascii="宋体" w:hAnsi="宋体"/>
          <w:bCs/>
          <w:color w:val="000000"/>
          <w:sz w:val="24"/>
        </w:rPr>
        <w:t>发起询标，要求投标人作出必要的澄清、说明或者纠正。投标人的澄清、说明或者补正应当通过</w:t>
      </w:r>
      <w:r>
        <w:rPr>
          <w:rFonts w:hint="eastAsia" w:ascii="宋体" w:hAnsi="宋体"/>
          <w:bCs/>
          <w:color w:val="000000"/>
          <w:sz w:val="24"/>
          <w:szCs w:val="24"/>
        </w:rPr>
        <w:t>政府采购交易管理一体化系统</w:t>
      </w:r>
      <w:r>
        <w:rPr>
          <w:rFonts w:hint="eastAsia" w:ascii="宋体" w:hAnsi="宋体"/>
          <w:bCs/>
          <w:color w:val="000000"/>
          <w:sz w:val="24"/>
        </w:rPr>
        <w:t>，由其授权的代表应答并加盖电子公章，且不得超出投标文件的范围或者改变投标文件的实质性内容</w:t>
      </w:r>
      <w:r>
        <w:rPr>
          <w:rFonts w:hint="eastAsia" w:ascii="宋体" w:hAnsi="宋体"/>
          <w:bCs/>
          <w:color w:val="000000"/>
          <w:sz w:val="24"/>
          <w:szCs w:val="24"/>
        </w:rPr>
        <w:t>。</w:t>
      </w:r>
    </w:p>
    <w:p>
      <w:pPr>
        <w:numPr>
          <w:ilvl w:val="0"/>
          <w:numId w:val="10"/>
        </w:numPr>
        <w:tabs>
          <w:tab w:val="left" w:pos="945"/>
          <w:tab w:val="left" w:pos="1155"/>
          <w:tab w:val="left" w:pos="136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比较与评价。按招标文件中规定的评标方法和标准，对资格性检查和符合性检查合格的投标文件进行商务和技术评估，综合比较与评价</w:t>
      </w:r>
      <w:r>
        <w:rPr>
          <w:rFonts w:hint="eastAsia" w:ascii="宋体" w:hAnsi="宋体"/>
          <w:bCs/>
          <w:color w:val="000000"/>
          <w:sz w:val="24"/>
          <w:szCs w:val="24"/>
        </w:rPr>
        <w:t>。</w:t>
      </w:r>
    </w:p>
    <w:p>
      <w:pPr>
        <w:numPr>
          <w:ilvl w:val="1"/>
          <w:numId w:val="8"/>
        </w:numPr>
        <w:tabs>
          <w:tab w:val="left" w:pos="525"/>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评标方法</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szCs w:val="24"/>
        </w:rPr>
        <w:t>投标人通过初审的，方可进入</w:t>
      </w:r>
      <w:r>
        <w:rPr>
          <w:rFonts w:hint="eastAsia" w:ascii="宋体" w:hAnsi="宋体"/>
          <w:bCs/>
          <w:color w:val="000000"/>
          <w:sz w:val="24"/>
        </w:rPr>
        <w:t>比较与评价程序</w:t>
      </w:r>
      <w:r>
        <w:rPr>
          <w:rFonts w:hint="eastAsia" w:ascii="宋体" w:hAnsi="宋体"/>
          <w:bCs/>
          <w:color w:val="000000"/>
          <w:sz w:val="24"/>
          <w:szCs w:val="24"/>
        </w:rPr>
        <w:t>。</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rPr>
        <w:t>比较与评价</w:t>
      </w:r>
      <w:r>
        <w:rPr>
          <w:rFonts w:hint="eastAsia" w:ascii="宋体" w:hAnsi="宋体"/>
          <w:bCs/>
          <w:color w:val="000000"/>
          <w:sz w:val="24"/>
          <w:szCs w:val="24"/>
        </w:rPr>
        <w:t>采用综合评分法。</w:t>
      </w:r>
    </w:p>
    <w:p>
      <w:pPr>
        <w:tabs>
          <w:tab w:val="left" w:pos="945"/>
        </w:tabs>
        <w:spacing w:line="360" w:lineRule="auto"/>
        <w:ind w:firstLine="523" w:firstLineChars="218"/>
        <w:rPr>
          <w:rFonts w:ascii="宋体" w:hAnsi="宋体"/>
          <w:bCs/>
          <w:color w:val="000000"/>
          <w:sz w:val="24"/>
          <w:szCs w:val="24"/>
        </w:rPr>
      </w:pPr>
      <w:r>
        <w:rPr>
          <w:rFonts w:hint="eastAsia" w:ascii="宋体" w:hAnsi="宋体"/>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color w:val="000000"/>
          <w:sz w:val="24"/>
        </w:rPr>
        <w:t>非单一产品采购项目，多家投标人提供的核心产品品牌相同的，同上处理。</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评分标准</w:t>
      </w:r>
    </w:p>
    <w:p>
      <w:pPr>
        <w:tabs>
          <w:tab w:val="left" w:pos="945"/>
        </w:tabs>
        <w:spacing w:line="360" w:lineRule="auto"/>
        <w:ind w:firstLine="480" w:firstLineChars="200"/>
        <w:outlineLvl w:val="0"/>
        <w:rPr>
          <w:rFonts w:ascii="宋体" w:hAnsi="宋体"/>
          <w:bCs/>
          <w:color w:val="000000"/>
          <w:sz w:val="24"/>
          <w:szCs w:val="24"/>
        </w:rPr>
      </w:pPr>
      <w:r>
        <w:rPr>
          <w:rFonts w:hint="eastAsia" w:ascii="宋体" w:hAnsi="宋体"/>
          <w:bCs/>
          <w:color w:val="000000"/>
          <w:sz w:val="24"/>
          <w:szCs w:val="24"/>
        </w:rPr>
        <w:t>详见附件。</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定标：</w:t>
      </w:r>
    </w:p>
    <w:p>
      <w:pPr>
        <w:numPr>
          <w:ilvl w:val="0"/>
          <w:numId w:val="12"/>
        </w:numPr>
        <w:tabs>
          <w:tab w:val="left" w:pos="420"/>
          <w:tab w:val="left" w:pos="525"/>
          <w:tab w:val="left" w:pos="945"/>
          <w:tab w:val="left" w:pos="1155"/>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评标委员会根据招标文件规定的评标方法和评标标准进行评审，按招标文件的要求依法确定中标供应商。</w:t>
      </w:r>
      <w:r>
        <w:rPr>
          <w:rFonts w:hint="eastAsia" w:ascii="宋体" w:hAnsi="宋体"/>
          <w:bCs/>
          <w:sz w:val="24"/>
          <w:szCs w:val="24"/>
        </w:rPr>
        <w:t>无锡市公共资源交易中心梁溪分中心</w:t>
      </w:r>
      <w:r>
        <w:rPr>
          <w:rFonts w:hint="eastAsia" w:ascii="宋体" w:hAnsi="宋体"/>
          <w:bCs/>
          <w:color w:val="000000"/>
          <w:sz w:val="24"/>
          <w:szCs w:val="24"/>
        </w:rPr>
        <w:t>将在无锡市公共资源交易中心政府采购专栏、无锡政府采购网、江苏政府采购网和中国政府采购网发布中标公告。如有质疑，应在法定质疑期限内，即</w:t>
      </w:r>
      <w:r>
        <w:rPr>
          <w:rFonts w:hint="eastAsia" w:ascii="宋体" w:hAnsi="宋体"/>
          <w:color w:val="000000"/>
          <w:sz w:val="24"/>
          <w:szCs w:val="24"/>
        </w:rPr>
        <w:t>中标公告</w:t>
      </w:r>
      <w:r>
        <w:rPr>
          <w:rFonts w:hint="eastAsia" w:ascii="宋体" w:hAnsi="宋体" w:cs="宋体"/>
          <w:bCs/>
          <w:color w:val="000000"/>
          <w:kern w:val="0"/>
          <w:sz w:val="24"/>
        </w:rPr>
        <w:t>期限届满之日</w:t>
      </w:r>
      <w:r>
        <w:rPr>
          <w:rFonts w:hint="eastAsia" w:ascii="宋体" w:hAnsi="宋体"/>
          <w:color w:val="000000"/>
          <w:sz w:val="24"/>
          <w:szCs w:val="24"/>
        </w:rPr>
        <w:t>起7个工作日</w:t>
      </w:r>
      <w:r>
        <w:rPr>
          <w:rFonts w:hint="eastAsia" w:ascii="宋体" w:hAnsi="宋体"/>
          <w:bCs/>
          <w:color w:val="000000"/>
          <w:sz w:val="24"/>
          <w:szCs w:val="24"/>
        </w:rPr>
        <w:t>内，以书面形式（原件）送达</w:t>
      </w:r>
      <w:r>
        <w:rPr>
          <w:rFonts w:hint="eastAsia" w:ascii="宋体" w:hAnsi="宋体"/>
          <w:bCs/>
          <w:sz w:val="24"/>
          <w:szCs w:val="24"/>
        </w:rPr>
        <w:t>无锡市公共资源交易中心梁溪分中心</w:t>
      </w:r>
      <w:r>
        <w:rPr>
          <w:rFonts w:hint="eastAsia" w:ascii="宋体" w:hAnsi="宋体"/>
          <w:bCs/>
          <w:color w:val="000000"/>
          <w:sz w:val="24"/>
          <w:szCs w:val="24"/>
        </w:rPr>
        <w:t>，并且针对同一采购程序环节的质疑，须在法定质疑期内一次性提出。质疑函的质疑事项应具体、明确，并有必要的事实依据和法律依据（格式详见中国政府采购网《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Style w:val="29"/>
          <w:rFonts w:hint="eastAsia" w:ascii="宋体" w:hAnsi="宋体"/>
          <w:bCs/>
          <w:color w:val="000000"/>
          <w:sz w:val="24"/>
          <w:szCs w:val="24"/>
        </w:rPr>
        <w:t>政府采购供应商质疑函范本</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bCs/>
          <w:sz w:val="24"/>
          <w:szCs w:val="24"/>
        </w:rPr>
        <w:t>无锡市公共资源交易中心梁溪分中心</w:t>
      </w:r>
      <w:r>
        <w:rPr>
          <w:rFonts w:hint="eastAsia" w:ascii="宋体" w:hAnsi="宋体"/>
          <w:bCs/>
          <w:color w:val="000000"/>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rPr>
        <w:t>无锡市公共资源交易中心梁溪分中心</w:t>
      </w:r>
      <w:r>
        <w:rPr>
          <w:rFonts w:hint="eastAsia" w:ascii="宋体" w:hAnsi="宋体"/>
          <w:bCs/>
          <w:color w:val="000000"/>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2"/>
        </w:numPr>
        <w:tabs>
          <w:tab w:val="left" w:pos="420"/>
          <w:tab w:val="left" w:pos="525"/>
          <w:tab w:val="left" w:pos="945"/>
          <w:tab w:val="left" w:pos="1155"/>
          <w:tab w:val="clear" w:pos="552"/>
        </w:tabs>
        <w:spacing w:line="360" w:lineRule="auto"/>
        <w:ind w:left="0" w:firstLine="523" w:firstLineChars="218"/>
        <w:rPr>
          <w:rFonts w:ascii="宋体"/>
          <w:bCs/>
          <w:color w:val="000000"/>
          <w:sz w:val="24"/>
          <w:szCs w:val="24"/>
        </w:rPr>
      </w:pPr>
      <w:r>
        <w:rPr>
          <w:rFonts w:hint="eastAsia" w:ascii="宋体" w:hAnsi="宋体"/>
          <w:bCs/>
          <w:sz w:val="24"/>
          <w:szCs w:val="24"/>
        </w:rPr>
        <w:t>无锡市公共资源交易中心梁溪分中心</w:t>
      </w:r>
      <w:r>
        <w:rPr>
          <w:rFonts w:hint="eastAsia" w:ascii="宋体" w:hAnsi="宋体"/>
          <w:bCs/>
          <w:color w:val="000000"/>
          <w:sz w:val="24"/>
          <w:szCs w:val="24"/>
        </w:rPr>
        <w:t>向中标供应商发中标通知书。</w:t>
      </w:r>
    </w:p>
    <w:p>
      <w:pPr>
        <w:spacing w:line="360" w:lineRule="auto"/>
        <w:ind w:firstLine="480" w:firstLineChars="200"/>
        <w:outlineLvl w:val="0"/>
        <w:rPr>
          <w:rFonts w:ascii="宋体" w:hAnsi="宋体"/>
          <w:bCs/>
          <w:color w:val="000000"/>
          <w:sz w:val="24"/>
          <w:szCs w:val="24"/>
        </w:rPr>
      </w:pPr>
      <w:r>
        <w:rPr>
          <w:rFonts w:hint="eastAsia" w:ascii="宋体" w:hAnsi="宋体"/>
          <w:bCs/>
          <w:color w:val="000000"/>
          <w:sz w:val="24"/>
          <w:szCs w:val="24"/>
        </w:rPr>
        <w:t>投标供应商电子投标文件将作为电子档案保存。</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废标的确认：</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在招标采购中，出现下列情况之一的，应予废标：</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符合专业条件的投标人或者对招标文件作出实质性响应的投标人不足三家；</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出现影响采购公正的违法、违规行为；</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投标人的报价均超过采购预算，采购人不能支付的；</w:t>
      </w:r>
    </w:p>
    <w:p>
      <w:pPr>
        <w:numPr>
          <w:ilvl w:val="0"/>
          <w:numId w:val="13"/>
        </w:numPr>
        <w:tabs>
          <w:tab w:val="right" w:pos="180"/>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因重大变故，采购任务取消。</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
          <w:color w:val="000000" w:themeColor="text1"/>
          <w:sz w:val="24"/>
          <w:szCs w:val="24"/>
          <w14:textFill>
            <w14:solidFill>
              <w14:schemeClr w14:val="tx1"/>
            </w14:solidFill>
          </w14:textFill>
        </w:rPr>
        <w:t>（十二）</w:t>
      </w:r>
      <w:r>
        <w:rPr>
          <w:rFonts w:hint="eastAsia" w:ascii="黑体" w:hAnsi="宋体" w:eastAsia="黑体"/>
          <w:bCs/>
          <w:color w:val="000000" w:themeColor="text1"/>
          <w:sz w:val="24"/>
          <w:szCs w:val="24"/>
          <w14:textFill>
            <w14:solidFill>
              <w14:schemeClr w14:val="tx1"/>
            </w14:solidFill>
          </w14:textFill>
        </w:rPr>
        <w:t>中标无效的确认：</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提供虚假材料谋取中标的；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采取不正当手段诋毁、排挤其他投标人的；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与招标采购单位、其他投标人恶意串通的；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向招标采购单位行贿或者提供其他不正当利益的；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在招标过程中与招标采购单位进行协商谈判、不按照招标文件和中标供应商的投标文件订立合同，或者与采购人另行订立背离合同实质性内容的协议的；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拒绝有关部门监督检查或者提供虚假情况的。</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）项情形之一的，中标无效。有上述（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6</w:t>
      </w:r>
      <w:r>
        <w:rPr>
          <w:rFonts w:hint="eastAsia" w:ascii="宋体" w:hAnsi="宋体"/>
          <w:bCs/>
          <w:color w:val="000000" w:themeColor="text1"/>
          <w:sz w:val="24"/>
          <w:szCs w:val="24"/>
          <w14:textFill>
            <w14:solidFill>
              <w14:schemeClr w14:val="tx1"/>
            </w14:solidFill>
          </w14:textFill>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（十三）签订</w:t>
      </w:r>
      <w:r>
        <w:rPr>
          <w:rFonts w:hint="eastAsia" w:ascii="黑体" w:hAnsi="宋体" w:eastAsia="黑体"/>
          <w:b/>
          <w:color w:val="000000" w:themeColor="text1"/>
          <w:sz w:val="24"/>
          <w:szCs w:val="24"/>
          <w14:textFill>
            <w14:solidFill>
              <w14:schemeClr w14:val="tx1"/>
            </w14:solidFill>
          </w14:textFill>
        </w:rPr>
        <w:t>、履行</w:t>
      </w:r>
      <w:r>
        <w:rPr>
          <w:rFonts w:hint="eastAsia" w:ascii="黑体" w:hAnsi="宋体" w:eastAsia="黑体"/>
          <w:bCs/>
          <w:color w:val="000000" w:themeColor="text1"/>
          <w:sz w:val="24"/>
          <w:szCs w:val="24"/>
          <w14:textFill>
            <w14:solidFill>
              <w14:schemeClr w14:val="tx1"/>
            </w14:solidFill>
          </w14:textFill>
        </w:rPr>
        <w:t>合同：</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采购人应当自中标通知书发出之日起三十日内（</w:t>
      </w:r>
      <w:r>
        <w:rPr>
          <w:rFonts w:ascii="宋体" w:hAnsi="宋体"/>
          <w:color w:val="000000" w:themeColor="text1"/>
          <w:sz w:val="24"/>
          <w:szCs w:val="24"/>
          <w14:textFill>
            <w14:solidFill>
              <w14:schemeClr w14:val="tx1"/>
            </w14:solidFill>
          </w14:textFill>
        </w:rPr>
        <w:t>到新冠疫情应急响应解除之日</w:t>
      </w:r>
      <w:r>
        <w:rPr>
          <w:rFonts w:hint="eastAsia" w:ascii="宋体" w:hAnsi="宋体"/>
          <w:color w:val="000000" w:themeColor="text1"/>
          <w:sz w:val="24"/>
          <w:szCs w:val="24"/>
          <w14:textFill>
            <w14:solidFill>
              <w14:schemeClr w14:val="tx1"/>
            </w14:solidFill>
          </w14:textFill>
        </w:rPr>
        <w:t>前缩短至十五日内</w:t>
      </w:r>
      <w:r>
        <w:rPr>
          <w:rFonts w:hint="eastAsia" w:ascii="宋体" w:hAnsi="宋体"/>
          <w:bCs/>
          <w:color w:val="000000" w:themeColor="text1"/>
          <w:sz w:val="24"/>
          <w:szCs w:val="24"/>
          <w14:textFill>
            <w14:solidFill>
              <w14:schemeClr w14:val="tx1"/>
            </w14:solidFill>
          </w14:textFill>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公共资源交易中心梁溪分中心见证后生效。</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中标方非因不可抗力未履行招、投标文件和合同规定的义务，一经查实，无锡市公共资源交易中心梁溪分中心将根据具体情况提请政府采购管理部门作出相应处理。</w:t>
      </w:r>
    </w:p>
    <w:p>
      <w:pPr>
        <w:numPr>
          <w:ilvl w:val="0"/>
          <w:numId w:val="15"/>
        </w:numPr>
        <w:tabs>
          <w:tab w:val="left" w:pos="525"/>
          <w:tab w:val="left" w:pos="945"/>
          <w:tab w:val="left" w:pos="1050"/>
          <w:tab w:val="clear" w:pos="552"/>
        </w:tabs>
        <w:spacing w:line="360" w:lineRule="auto"/>
        <w:ind w:left="0" w:firstLine="52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中标供应商向采购人缴纳的履约保证金不超过政府采购合同金额的10%。</w:t>
      </w:r>
      <w:r>
        <w:rPr>
          <w:rFonts w:hint="eastAsia" w:ascii="宋体" w:hAnsi="宋体"/>
          <w:bCs/>
          <w:color w:val="000000" w:themeColor="text1"/>
          <w:sz w:val="24"/>
          <w14:textFill>
            <w14:solidFill>
              <w14:schemeClr w14:val="tx1"/>
            </w14:solidFill>
          </w14:textFill>
        </w:rPr>
        <w:t>收取履约保证金的，采购人应当</w:t>
      </w:r>
      <w:r>
        <w:rPr>
          <w:rFonts w:hint="eastAsia" w:ascii="宋体"/>
          <w:bCs/>
          <w:color w:val="000000" w:themeColor="text1"/>
          <w:sz w:val="24"/>
          <w14:textFill>
            <w14:solidFill>
              <w14:schemeClr w14:val="tx1"/>
            </w14:solidFill>
          </w14:textFill>
        </w:rPr>
        <w:t>允许</w:t>
      </w:r>
      <w:r>
        <w:rPr>
          <w:rFonts w:ascii="宋体"/>
          <w:bCs/>
          <w:color w:val="000000" w:themeColor="text1"/>
          <w:sz w:val="24"/>
          <w:szCs w:val="24"/>
          <w14:textFill>
            <w14:solidFill>
              <w14:schemeClr w14:val="tx1"/>
            </w14:solidFill>
          </w14:textFill>
        </w:rPr>
        <w:t>供应商自主选择以支票、 汇票、 本票、 保函等非现金形式缴纳或提交，</w:t>
      </w:r>
      <w:r>
        <w:rPr>
          <w:rFonts w:hint="eastAsia" w:ascii="宋体"/>
          <w:bCs/>
          <w:color w:val="000000" w:themeColor="text1"/>
          <w:sz w:val="24"/>
          <w:szCs w:val="24"/>
          <w14:textFill>
            <w14:solidFill>
              <w14:schemeClr w14:val="tx1"/>
            </w14:solidFill>
          </w14:textFill>
        </w:rPr>
        <w:t>并</w:t>
      </w:r>
      <w:r>
        <w:rPr>
          <w:rFonts w:hint="eastAsia" w:ascii="宋体" w:hAnsi="宋体"/>
          <w:bCs/>
          <w:color w:val="000000" w:themeColor="text1"/>
          <w:sz w:val="24"/>
          <w14:textFill>
            <w14:solidFill>
              <w14:schemeClr w14:val="tx1"/>
            </w14:solidFill>
          </w14:textFill>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（十四）注意事项：</w:t>
      </w:r>
    </w:p>
    <w:p>
      <w:pPr>
        <w:tabs>
          <w:tab w:val="left" w:pos="945"/>
        </w:tabs>
        <w:spacing w:line="360" w:lineRule="auto"/>
        <w:ind w:firstLine="360" w:firstLineChars="1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中标供应商有下列情形之一的，情节严重的，由财政部门将其列入不良行为记录名单，在一至三年内禁止参加政府采购活动，并予以通报：</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中标后无正当理由不与采购人签订合同的；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将中标项目转让给他人，或者在投标文件中未说明，且未经过采购人同意，将中标项目分包给他人的；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拒绝履行合同义务的。</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（十四）中标服务费：</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本次招标，无锡市公共资源交易中心梁溪分中心为中标供应商提供免费服务，不收取中标服务费。</w:t>
      </w:r>
    </w:p>
    <w:p>
      <w:pPr>
        <w:spacing w:line="360" w:lineRule="auto"/>
        <w:rPr>
          <w:rFonts w:ascii="黑体" w:eastAsia="黑体"/>
          <w:bCs/>
          <w:color w:val="000000" w:themeColor="text1"/>
          <w:sz w:val="30"/>
          <w:szCs w:val="30"/>
          <w14:textFill>
            <w14:solidFill>
              <w14:schemeClr w14:val="tx1"/>
            </w14:solidFill>
          </w14:textFill>
        </w:rPr>
      </w:pPr>
    </w:p>
    <w:p>
      <w:pPr>
        <w:spacing w:line="360" w:lineRule="auto"/>
        <w:jc w:val="center"/>
        <w:rPr>
          <w:rFonts w:ascii="黑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三．</w:t>
      </w:r>
      <w:r>
        <w:rPr>
          <w:rFonts w:hint="eastAsia" w:ascii="黑体" w:eastAsia="黑体"/>
          <w:b/>
          <w:color w:val="000000" w:themeColor="text1"/>
          <w:sz w:val="30"/>
          <w:szCs w:val="30"/>
          <w14:textFill>
            <w14:solidFill>
              <w14:schemeClr w14:val="tx1"/>
            </w14:solidFill>
          </w14:textFill>
        </w:rPr>
        <w:t>项目技术要求和有关说明</w:t>
      </w:r>
    </w:p>
    <w:p>
      <w:pPr>
        <w:pStyle w:val="11"/>
        <w:spacing w:line="360" w:lineRule="auto"/>
        <w:ind w:firstLine="480" w:firstLineChars="200"/>
        <w:rPr>
          <w:rFonts w:ascii="宋体" w:hAnsi="宋体"/>
          <w:sz w:val="24"/>
          <w:szCs w:val="24"/>
        </w:rPr>
      </w:pPr>
      <w:r>
        <w:rPr>
          <w:rFonts w:hint="eastAsia" w:ascii="宋体" w:hAnsi="宋体"/>
          <w:sz w:val="24"/>
          <w:szCs w:val="24"/>
        </w:rPr>
        <w:t>本项目为</w:t>
      </w:r>
      <w:r>
        <w:rPr>
          <w:rFonts w:hint="eastAsia" w:ascii="宋体" w:hAnsi="宋体"/>
          <w:sz w:val="24"/>
          <w:szCs w:val="24"/>
          <w:lang w:eastAsia="zh-CN"/>
        </w:rPr>
        <w:t>梁溪区社会治理现代化智慧工程项目一期（智慧梁溪2021年项目）信息安全等级保护测评项目</w:t>
      </w:r>
      <w:r>
        <w:rPr>
          <w:rFonts w:hint="eastAsia" w:ascii="宋体" w:hAnsi="宋体"/>
          <w:sz w:val="24"/>
          <w:szCs w:val="24"/>
        </w:rPr>
        <w:t>。项目具体要求如下，投标人所投内容必须满足以下要求，不得有负偏离。</w:t>
      </w:r>
    </w:p>
    <w:p>
      <w:pPr>
        <w:spacing w:after="5" w:line="360" w:lineRule="auto"/>
        <w:ind w:firstLine="480" w:firstLineChars="200"/>
        <w:rPr>
          <w:rFonts w:ascii="宋体" w:hAnsi="宋体"/>
          <w:sz w:val="28"/>
          <w:szCs w:val="28"/>
        </w:rPr>
      </w:pPr>
      <w:r>
        <w:rPr>
          <w:rFonts w:hint="eastAsia" w:ascii="黑体" w:eastAsia="黑体"/>
          <w:color w:val="000000"/>
          <w:sz w:val="24"/>
          <w:szCs w:val="24"/>
        </w:rPr>
        <w:t>（一）项目技术要求：</w:t>
      </w:r>
    </w:p>
    <w:p>
      <w:pPr>
        <w:spacing w:line="360" w:lineRule="auto"/>
        <w:ind w:firstLine="480" w:firstLineChars="200"/>
        <w:rPr>
          <w:rFonts w:hint="default"/>
          <w:lang w:val="en-US" w:eastAsia="zh-CN"/>
        </w:rPr>
      </w:pPr>
      <w:r>
        <w:rPr>
          <w:rFonts w:hint="eastAsia" w:ascii="宋体" w:hAnsi="宋体" w:eastAsia="宋体"/>
          <w:bCs/>
          <w:color w:val="000000" w:themeColor="text1"/>
          <w:sz w:val="24"/>
          <w:szCs w:val="24"/>
          <w14:textFill>
            <w14:solidFill>
              <w14:schemeClr w14:val="tx1"/>
            </w14:solidFill>
          </w14:textFill>
        </w:rPr>
        <w:t>根据《中华人民共和国网络安全法》、《信息安全等级保护管理办法》（公通字[2007]43号)、《关于推动信息安全等级保护测评体系建设和开展等级测评工作的通知》（公信安[2010]303号）、《关于开展信息安全等级保护安全建设整改工作的指导意见》(公信安[2009]1429号)、《中华人民共和国计算机信息系统安全保护条例》（国务院147号令）</w:t>
      </w:r>
      <w:r>
        <w:rPr>
          <w:rFonts w:hint="eastAsia" w:ascii="宋体" w:hAnsi="宋体" w:eastAsia="宋体"/>
          <w:bCs/>
          <w:color w:val="000000" w:themeColor="text1"/>
          <w:sz w:val="24"/>
          <w:szCs w:val="24"/>
          <w:lang w:val="en-US" w:eastAsia="zh-CN"/>
          <w14:textFill>
            <w14:solidFill>
              <w14:schemeClr w14:val="tx1"/>
            </w14:solidFill>
          </w14:textFill>
        </w:rPr>
        <w:t>等</w:t>
      </w:r>
      <w:r>
        <w:rPr>
          <w:rFonts w:hint="eastAsia" w:ascii="宋体" w:hAnsi="宋体" w:eastAsia="宋体"/>
          <w:bCs/>
          <w:color w:val="000000" w:themeColor="text1"/>
          <w:sz w:val="24"/>
          <w:szCs w:val="24"/>
          <w14:textFill>
            <w14:solidFill>
              <w14:schemeClr w14:val="tx1"/>
            </w14:solidFill>
          </w14:textFill>
        </w:rPr>
        <w:t>相关文件要求，</w:t>
      </w:r>
      <w:r>
        <w:rPr>
          <w:rFonts w:hint="eastAsia" w:ascii="宋体" w:hAnsi="宋体" w:eastAsia="宋体"/>
          <w:bCs/>
          <w:color w:val="000000" w:themeColor="text1"/>
          <w:sz w:val="24"/>
          <w:szCs w:val="24"/>
          <w:lang w:val="en-US" w:eastAsia="zh-CN"/>
          <w14:textFill>
            <w14:solidFill>
              <w14:schemeClr w14:val="tx1"/>
            </w14:solidFill>
          </w14:textFill>
        </w:rPr>
        <w:t>无锡市梁溪区大数据管理局</w:t>
      </w:r>
      <w:r>
        <w:rPr>
          <w:rFonts w:hint="eastAsia" w:ascii="宋体" w:hAnsi="宋体" w:eastAsia="宋体"/>
          <w:bCs/>
          <w:color w:val="000000" w:themeColor="text1"/>
          <w:sz w:val="24"/>
          <w:szCs w:val="24"/>
          <w14:textFill>
            <w14:solidFill>
              <w14:schemeClr w14:val="tx1"/>
            </w14:solidFill>
          </w14:textFill>
        </w:rPr>
        <w:t>对相关信息系统进行网络安全等级保护测评服务工作。</w:t>
      </w:r>
    </w:p>
    <w:p>
      <w:pPr>
        <w:spacing w:line="400" w:lineRule="exact"/>
        <w:ind w:firstLine="470" w:firstLineChars="196"/>
        <w:rPr>
          <w:rFonts w:ascii="宋体" w:hAnsi="宋体" w:eastAsia="宋体"/>
          <w:b/>
          <w:kern w:val="1"/>
          <w:sz w:val="24"/>
          <w:szCs w:val="24"/>
        </w:rPr>
      </w:pPr>
      <w:r>
        <w:rPr>
          <w:rFonts w:hint="eastAsia" w:ascii="宋体" w:hAnsi="宋体" w:eastAsia="宋体"/>
          <w:b/>
          <w:kern w:val="1"/>
          <w:sz w:val="24"/>
          <w:szCs w:val="24"/>
        </w:rPr>
        <w:t>（一）</w:t>
      </w:r>
      <w:r>
        <w:rPr>
          <w:rFonts w:ascii="宋体" w:hAnsi="宋体" w:eastAsia="宋体"/>
          <w:b/>
          <w:kern w:val="1"/>
          <w:sz w:val="24"/>
          <w:szCs w:val="24"/>
        </w:rPr>
        <w:t>采购清单</w:t>
      </w:r>
    </w:p>
    <w:tbl>
      <w:tblPr>
        <w:tblStyle w:val="23"/>
        <w:tblW w:w="9245" w:type="dxa"/>
        <w:tblInd w:w="94" w:type="dxa"/>
        <w:tblLayout w:type="fixed"/>
        <w:tblCellMar>
          <w:top w:w="0" w:type="dxa"/>
          <w:left w:w="108" w:type="dxa"/>
          <w:bottom w:w="0" w:type="dxa"/>
          <w:right w:w="108" w:type="dxa"/>
        </w:tblCellMar>
      </w:tblPr>
      <w:tblGrid>
        <w:gridCol w:w="700"/>
        <w:gridCol w:w="3996"/>
        <w:gridCol w:w="1572"/>
        <w:gridCol w:w="1276"/>
        <w:gridCol w:w="1701"/>
      </w:tblGrid>
      <w:tr>
        <w:tblPrEx>
          <w:tblCellMar>
            <w:top w:w="0" w:type="dxa"/>
            <w:left w:w="108" w:type="dxa"/>
            <w:bottom w:w="0" w:type="dxa"/>
            <w:right w:w="108" w:type="dxa"/>
          </w:tblCellMar>
        </w:tblPrEx>
        <w:trPr>
          <w:trHeight w:val="402" w:hRule="atLeast"/>
        </w:trPr>
        <w:tc>
          <w:tcPr>
            <w:tcW w:w="9245" w:type="dxa"/>
            <w:gridSpan w:val="5"/>
            <w:tcBorders>
              <w:bottom w:val="single" w:color="000000" w:sz="4" w:space="0"/>
            </w:tcBorders>
            <w:vAlign w:val="bottom"/>
          </w:tcPr>
          <w:p>
            <w:pPr>
              <w:widowControl/>
              <w:jc w:val="center"/>
              <w:rPr>
                <w:rFonts w:hint="eastAsia" w:ascii="宋体" w:hAnsi="宋体" w:eastAsia="宋体"/>
                <w:b/>
                <w:sz w:val="24"/>
                <w:szCs w:val="24"/>
              </w:rPr>
            </w:pPr>
            <w:r>
              <w:rPr>
                <w:rFonts w:hint="eastAsia" w:ascii="宋体" w:hAnsi="宋体" w:eastAsia="宋体" w:cs="仿宋_GB2312"/>
                <w:kern w:val="1"/>
                <w:sz w:val="24"/>
                <w:szCs w:val="24"/>
              </w:rPr>
              <w:t>等级保护</w:t>
            </w:r>
            <w:r>
              <w:rPr>
                <w:rFonts w:ascii="宋体" w:hAnsi="宋体" w:eastAsia="宋体" w:cs="仿宋_GB2312"/>
                <w:kern w:val="1"/>
                <w:sz w:val="24"/>
                <w:szCs w:val="24"/>
              </w:rPr>
              <w:t>信息系统</w:t>
            </w:r>
          </w:p>
        </w:tc>
      </w:tr>
      <w:tr>
        <w:tblPrEx>
          <w:tblCellMar>
            <w:top w:w="0" w:type="dxa"/>
            <w:left w:w="108" w:type="dxa"/>
            <w:bottom w:w="0" w:type="dxa"/>
            <w:right w:w="108" w:type="dxa"/>
          </w:tblCellMar>
        </w:tblPrEx>
        <w:trPr>
          <w:trHeight w:val="402" w:hRule="atLeast"/>
        </w:trPr>
        <w:tc>
          <w:tcPr>
            <w:tcW w:w="700" w:type="dxa"/>
            <w:tcBorders>
              <w:left w:val="single" w:color="000000" w:sz="4" w:space="0"/>
              <w:bottom w:val="single" w:color="auto" w:sz="4" w:space="0"/>
              <w:right w:val="single" w:color="000000" w:sz="4" w:space="0"/>
            </w:tcBorders>
            <w:shd w:val="clear" w:color="auto" w:fill="C0C0C0"/>
            <w:vAlign w:val="center"/>
          </w:tcPr>
          <w:p>
            <w:pPr>
              <w:widowControl/>
              <w:jc w:val="center"/>
              <w:rPr>
                <w:rFonts w:ascii="宋体" w:hAnsi="宋体" w:eastAsia="宋体"/>
                <w:sz w:val="24"/>
                <w:szCs w:val="24"/>
              </w:rPr>
            </w:pPr>
            <w:r>
              <w:rPr>
                <w:rFonts w:hint="eastAsia" w:ascii="宋体" w:hAnsi="宋体" w:eastAsia="宋体"/>
                <w:sz w:val="24"/>
                <w:szCs w:val="24"/>
              </w:rPr>
              <w:t>序号</w:t>
            </w:r>
          </w:p>
        </w:tc>
        <w:tc>
          <w:tcPr>
            <w:tcW w:w="3996" w:type="dxa"/>
            <w:tcBorders>
              <w:bottom w:val="single" w:color="auto" w:sz="4" w:space="0"/>
              <w:right w:val="single" w:color="000000" w:sz="4" w:space="0"/>
            </w:tcBorders>
            <w:shd w:val="clear" w:color="auto" w:fill="C0C0C0"/>
            <w:vAlign w:val="center"/>
          </w:tcPr>
          <w:p>
            <w:pPr>
              <w:widowControl/>
              <w:jc w:val="center"/>
              <w:rPr>
                <w:rFonts w:ascii="宋体" w:hAnsi="宋体" w:eastAsia="宋体"/>
                <w:sz w:val="24"/>
                <w:szCs w:val="24"/>
              </w:rPr>
            </w:pPr>
            <w:r>
              <w:rPr>
                <w:rFonts w:hint="eastAsia" w:ascii="宋体" w:hAnsi="宋体" w:eastAsia="宋体"/>
                <w:sz w:val="24"/>
                <w:szCs w:val="24"/>
              </w:rPr>
              <w:t>品　名</w:t>
            </w:r>
          </w:p>
        </w:tc>
        <w:tc>
          <w:tcPr>
            <w:tcW w:w="1572" w:type="dxa"/>
            <w:tcBorders>
              <w:bottom w:val="single" w:color="auto" w:sz="4" w:space="0"/>
              <w:right w:val="single" w:color="000000" w:sz="4" w:space="0"/>
            </w:tcBorders>
            <w:shd w:val="clear" w:color="auto" w:fill="C0C0C0"/>
            <w:vAlign w:val="center"/>
          </w:tcPr>
          <w:p>
            <w:pPr>
              <w:widowControl/>
              <w:jc w:val="center"/>
              <w:rPr>
                <w:rFonts w:ascii="宋体" w:hAnsi="宋体" w:eastAsia="宋体"/>
                <w:sz w:val="24"/>
                <w:szCs w:val="24"/>
              </w:rPr>
            </w:pPr>
            <w:r>
              <w:rPr>
                <w:rFonts w:hint="eastAsia" w:ascii="宋体" w:hAnsi="宋体" w:eastAsia="宋体"/>
                <w:sz w:val="24"/>
                <w:szCs w:val="24"/>
              </w:rPr>
              <w:t>单位</w:t>
            </w:r>
          </w:p>
        </w:tc>
        <w:tc>
          <w:tcPr>
            <w:tcW w:w="1276" w:type="dxa"/>
            <w:tcBorders>
              <w:bottom w:val="single" w:color="auto" w:sz="4" w:space="0"/>
              <w:right w:val="single" w:color="000000" w:sz="4" w:space="0"/>
            </w:tcBorders>
            <w:shd w:val="clear" w:color="auto" w:fill="C0C0C0"/>
            <w:vAlign w:val="center"/>
          </w:tcPr>
          <w:p>
            <w:pPr>
              <w:widowControl/>
              <w:jc w:val="center"/>
              <w:rPr>
                <w:rFonts w:ascii="宋体" w:hAnsi="宋体" w:eastAsia="宋体"/>
                <w:sz w:val="24"/>
                <w:szCs w:val="24"/>
              </w:rPr>
            </w:pPr>
            <w:r>
              <w:rPr>
                <w:rFonts w:hint="eastAsia" w:ascii="宋体" w:hAnsi="宋体" w:eastAsia="宋体"/>
                <w:sz w:val="24"/>
                <w:szCs w:val="24"/>
              </w:rPr>
              <w:t>数量</w:t>
            </w:r>
          </w:p>
        </w:tc>
        <w:tc>
          <w:tcPr>
            <w:tcW w:w="1701" w:type="dxa"/>
            <w:tcBorders>
              <w:bottom w:val="single" w:color="auto" w:sz="4" w:space="0"/>
              <w:right w:val="single" w:color="000000" w:sz="4" w:space="0"/>
            </w:tcBorders>
            <w:shd w:val="clear" w:color="auto" w:fill="C0C0C0"/>
            <w:vAlign w:val="center"/>
          </w:tcPr>
          <w:p>
            <w:pPr>
              <w:widowControl/>
              <w:jc w:val="center"/>
              <w:rPr>
                <w:rFonts w:ascii="宋体" w:hAnsi="宋体" w:eastAsia="宋体"/>
                <w:sz w:val="24"/>
                <w:szCs w:val="24"/>
              </w:rPr>
            </w:pPr>
            <w:r>
              <w:rPr>
                <w:rFonts w:hint="eastAsia" w:ascii="宋体" w:hAnsi="宋体" w:eastAsia="宋体"/>
                <w:sz w:val="24"/>
                <w:szCs w:val="24"/>
              </w:rPr>
              <w:t>等级</w:t>
            </w:r>
          </w:p>
        </w:tc>
      </w:tr>
      <w:tr>
        <w:tblPrEx>
          <w:tblCellMar>
            <w:top w:w="0" w:type="dxa"/>
            <w:left w:w="108" w:type="dxa"/>
            <w:bottom w:w="0" w:type="dxa"/>
            <w:right w:w="108" w:type="dxa"/>
          </w:tblCellMar>
        </w:tblPrEx>
        <w:trPr>
          <w:trHeight w:val="66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4"/>
              </w:rPr>
            </w:pPr>
            <w:r>
              <w:rPr>
                <w:rFonts w:hint="eastAsia" w:ascii="宋体" w:hAnsi="宋体" w:eastAsia="宋体"/>
                <w:sz w:val="24"/>
                <w:szCs w:val="24"/>
              </w:rPr>
              <w:t>1</w:t>
            </w:r>
          </w:p>
        </w:tc>
        <w:tc>
          <w:tcPr>
            <w:tcW w:w="3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24"/>
                <w:szCs w:val="24"/>
              </w:rPr>
            </w:pPr>
            <w:r>
              <w:rPr>
                <w:rFonts w:hint="eastAsia" w:ascii="宋体" w:hAnsi="宋体" w:eastAsia="宋体"/>
                <w:sz w:val="24"/>
                <w:szCs w:val="24"/>
                <w:lang w:val="en-US" w:eastAsia="zh-CN"/>
              </w:rPr>
              <w:t>三</w:t>
            </w:r>
            <w:r>
              <w:rPr>
                <w:rFonts w:hint="eastAsia" w:ascii="宋体" w:hAnsi="宋体" w:eastAsia="宋体"/>
                <w:sz w:val="24"/>
                <w:szCs w:val="24"/>
              </w:rPr>
              <w:t>级</w:t>
            </w:r>
            <w:r>
              <w:rPr>
                <w:rFonts w:ascii="宋体" w:hAnsi="宋体" w:eastAsia="宋体"/>
                <w:sz w:val="24"/>
                <w:szCs w:val="24"/>
              </w:rPr>
              <w:t>系统</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4"/>
              </w:rPr>
            </w:pPr>
            <w:r>
              <w:rPr>
                <w:rFonts w:hint="eastAsia" w:ascii="宋体" w:hAnsi="宋体" w:eastAsia="宋体"/>
                <w:sz w:val="24"/>
                <w:szCs w:val="24"/>
              </w:rPr>
              <w:t>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24"/>
                <w:szCs w:val="24"/>
                <w:lang w:eastAsia="zh-CN"/>
              </w:rPr>
            </w:pPr>
            <w:r>
              <w:rPr>
                <w:rFonts w:hint="eastAsia" w:ascii="宋体" w:hAnsi="宋体" w:eastAsia="宋体"/>
                <w:sz w:val="24"/>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4"/>
              </w:rPr>
            </w:pPr>
            <w:r>
              <w:rPr>
                <w:rFonts w:hint="eastAsia" w:ascii="宋体" w:hAnsi="宋体" w:eastAsia="宋体"/>
                <w:sz w:val="24"/>
                <w:szCs w:val="24"/>
                <w:lang w:val="en-US" w:eastAsia="zh-CN"/>
              </w:rPr>
              <w:t>三</w:t>
            </w:r>
            <w:r>
              <w:rPr>
                <w:rFonts w:hint="eastAsia" w:ascii="宋体" w:hAnsi="宋体" w:eastAsia="宋体"/>
                <w:sz w:val="24"/>
                <w:szCs w:val="24"/>
              </w:rPr>
              <w:t>级</w:t>
            </w:r>
          </w:p>
        </w:tc>
      </w:tr>
    </w:tbl>
    <w:p>
      <w:pPr>
        <w:pStyle w:val="101"/>
        <w:spacing w:line="400" w:lineRule="exact"/>
        <w:ind w:left="420" w:leftChars="200" w:firstLine="0" w:firstLineChars="0"/>
        <w:rPr>
          <w:rFonts w:hint="eastAsia" w:ascii="宋体" w:hAnsi="宋体" w:eastAsia="宋体"/>
          <w:b/>
          <w:kern w:val="1"/>
          <w:sz w:val="24"/>
          <w:szCs w:val="24"/>
        </w:rPr>
      </w:pPr>
    </w:p>
    <w:p>
      <w:pPr>
        <w:pStyle w:val="101"/>
        <w:spacing w:line="400" w:lineRule="exact"/>
        <w:ind w:left="420" w:leftChars="200" w:firstLine="0" w:firstLineChars="0"/>
        <w:rPr>
          <w:rFonts w:ascii="宋体" w:hAnsi="宋体" w:eastAsia="宋体"/>
          <w:b/>
          <w:kern w:val="1"/>
          <w:sz w:val="24"/>
          <w:szCs w:val="24"/>
        </w:rPr>
      </w:pPr>
      <w:r>
        <w:rPr>
          <w:rFonts w:hint="eastAsia" w:ascii="宋体" w:hAnsi="宋体" w:eastAsia="宋体"/>
          <w:b/>
          <w:kern w:val="1"/>
          <w:sz w:val="24"/>
          <w:szCs w:val="24"/>
        </w:rPr>
        <w:t>（二）项目背景</w:t>
      </w:r>
      <w:r>
        <w:rPr>
          <w:rFonts w:hint="eastAsia" w:ascii="宋体" w:hAnsi="宋体" w:eastAsia="宋体"/>
          <w:sz w:val="24"/>
          <w:szCs w:val="24"/>
        </w:rPr>
        <w:t>：</w:t>
      </w:r>
    </w:p>
    <w:p>
      <w:pPr>
        <w:spacing w:line="360" w:lineRule="auto"/>
        <w:ind w:left="472" w:firstLine="600" w:firstLineChars="250"/>
        <w:rPr>
          <w:rFonts w:ascii="宋体" w:hAnsi="宋体" w:eastAsia="宋体"/>
          <w:b/>
          <w:kern w:val="1"/>
          <w:sz w:val="28"/>
          <w:szCs w:val="28"/>
        </w:rPr>
      </w:pPr>
      <w:r>
        <w:rPr>
          <w:rFonts w:hint="eastAsia" w:ascii="宋体" w:hAnsi="宋体" w:eastAsia="宋体"/>
          <w:kern w:val="1"/>
          <w:sz w:val="24"/>
          <w:szCs w:val="24"/>
        </w:rPr>
        <w:t>为贯彻落实《国家信息化领导小组关于加强信息安全保障工作的意见》、《关于信息安全等级保护工作的实施意见》和《信息安全等级保护管理办法》的精神；同时，根据《中华人民共和国网络安全法》的要求，无锡市梁溪区</w:t>
      </w:r>
      <w:r>
        <w:rPr>
          <w:rFonts w:ascii="宋体" w:hAnsi="宋体" w:eastAsia="宋体"/>
          <w:kern w:val="1"/>
          <w:sz w:val="24"/>
          <w:szCs w:val="24"/>
        </w:rPr>
        <w:t>大数据</w:t>
      </w:r>
      <w:r>
        <w:rPr>
          <w:rFonts w:hint="eastAsia" w:ascii="宋体" w:hAnsi="宋体" w:eastAsia="宋体"/>
          <w:kern w:val="1"/>
          <w:sz w:val="24"/>
          <w:szCs w:val="24"/>
        </w:rPr>
        <w:t>管理</w:t>
      </w:r>
      <w:r>
        <w:rPr>
          <w:rFonts w:ascii="宋体" w:hAnsi="宋体" w:eastAsia="宋体"/>
          <w:kern w:val="1"/>
          <w:sz w:val="24"/>
          <w:szCs w:val="24"/>
        </w:rPr>
        <w:t>局</w:t>
      </w:r>
      <w:r>
        <w:rPr>
          <w:rFonts w:hint="eastAsia" w:ascii="宋体" w:hAnsi="宋体" w:eastAsia="宋体"/>
          <w:kern w:val="1"/>
          <w:sz w:val="24"/>
          <w:szCs w:val="24"/>
        </w:rPr>
        <w:t>将对</w:t>
      </w:r>
      <w:r>
        <w:rPr>
          <w:rFonts w:hint="eastAsia" w:ascii="宋体" w:hAnsi="宋体" w:eastAsia="宋体"/>
          <w:kern w:val="1"/>
          <w:sz w:val="24"/>
          <w:szCs w:val="24"/>
          <w:lang w:val="en-US" w:eastAsia="zh-CN"/>
        </w:rPr>
        <w:t>5</w:t>
      </w:r>
      <w:r>
        <w:rPr>
          <w:rFonts w:hint="eastAsia" w:ascii="宋体" w:hAnsi="宋体" w:eastAsia="宋体"/>
          <w:kern w:val="1"/>
          <w:sz w:val="24"/>
          <w:szCs w:val="24"/>
        </w:rPr>
        <w:t>个</w:t>
      </w:r>
      <w:r>
        <w:rPr>
          <w:rFonts w:ascii="宋体" w:hAnsi="宋体" w:eastAsia="宋体"/>
          <w:kern w:val="1"/>
          <w:sz w:val="24"/>
          <w:szCs w:val="24"/>
        </w:rPr>
        <w:t>三级系统</w:t>
      </w:r>
      <w:r>
        <w:rPr>
          <w:rFonts w:hint="eastAsia" w:ascii="宋体" w:hAnsi="宋体" w:eastAsia="宋体"/>
          <w:kern w:val="1"/>
          <w:sz w:val="24"/>
          <w:szCs w:val="24"/>
        </w:rPr>
        <w:t>开展信息安全等级保护测评</w:t>
      </w:r>
      <w:r>
        <w:rPr>
          <w:rFonts w:hint="eastAsia" w:ascii="宋体" w:hAnsi="宋体"/>
          <w:kern w:val="1"/>
          <w:sz w:val="24"/>
          <w:szCs w:val="24"/>
          <w:lang w:eastAsia="zh-CN"/>
        </w:rPr>
        <w:t>。</w:t>
      </w:r>
    </w:p>
    <w:p>
      <w:pPr>
        <w:numPr>
          <w:ilvl w:val="0"/>
          <w:numId w:val="2"/>
        </w:numPr>
        <w:spacing w:line="440" w:lineRule="exact"/>
        <w:rPr>
          <w:rFonts w:ascii="宋体" w:hAnsi="宋体" w:eastAsia="宋体"/>
          <w:b/>
          <w:kern w:val="1"/>
          <w:sz w:val="24"/>
          <w:szCs w:val="24"/>
        </w:rPr>
      </w:pPr>
      <w:r>
        <w:rPr>
          <w:rFonts w:hint="eastAsia" w:ascii="宋体" w:hAnsi="宋体" w:eastAsia="宋体"/>
          <w:b/>
          <w:kern w:val="1"/>
          <w:sz w:val="24"/>
          <w:szCs w:val="24"/>
        </w:rPr>
        <w:t>项目内容及要求</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通过风险评估、安全扫描和渗透测试等测评手段，准确反映我单位网络信息系统的安全防护能力现状，对发现的问题进行深入分析，最终出具信息系统等级保护测评报告。</w:t>
      </w:r>
    </w:p>
    <w:p>
      <w:pPr>
        <w:spacing w:line="400" w:lineRule="exact"/>
        <w:ind w:firstLine="480" w:firstLineChars="200"/>
        <w:rPr>
          <w:rFonts w:ascii="宋体" w:hAnsi="宋体" w:eastAsia="宋体"/>
          <w:b/>
          <w:kern w:val="1"/>
          <w:sz w:val="24"/>
          <w:szCs w:val="24"/>
        </w:rPr>
      </w:pPr>
      <w:r>
        <w:rPr>
          <w:rFonts w:ascii="宋体" w:hAnsi="宋体" w:eastAsia="宋体"/>
          <w:b/>
          <w:kern w:val="1"/>
          <w:sz w:val="24"/>
          <w:szCs w:val="24"/>
        </w:rPr>
        <w:t>1、项目实施原则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1）客观性和公正性原则：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测评人员在项目实施过程中应无偏见，在最小主观判断情形下，按照测评双方相互认可的测评方案，基于明确定义的测评方式和解释，实施测评活动。</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2）可重复性和可再现性原则：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依照同一要求，使用同一测评方式，对每个测评实施过程的重复执行应该得到同样的结果。可再现性和可重复性的区别在于，前者与不同测评者测评结果的一致性有关，后者与同一测评者测评结果的一致性有关。</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3）连续性原则：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确保在高速变化的信息安全环境中，在有效的服务期间内，保证等级测评结论的准确性和及时性，对于新投产的信息系统和服务，或新建立的信息化项目，进行局部系统的重新测评。</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4）扩展性原则：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在测评过程结束后，信息安全等级保护测评过程要保持扩展性，从扩展的属性上进一步加强测评结束后采购方的安全管理有效性和可用性。</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5）保密原则：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在测评过程中，需严格遵循保密原则，双方签订保密协议，对服务过程中涉及到的任何用户信息未经允许不向其他任何第三方泄漏，以及不得利用这些信息损害采购方利益。</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6）互动原则：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在整个测评过程中，强调采购方的互动参与，每个阶段都能够及时根据行内要求和实际情况对测评的内容、方式做出相关调整，进而更好的进行等级测评工作。</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7）最小影响原则：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测评工作应该尽可能小地影响系统和网络的正常运行，不能对业务的正常运行产生明显的影响（包括系统性能明显下降、网络阻塞、服务中断等），如无法避免，则应做出说明。</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8）规范性原则：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信息安全等级保护测评服务的实施必须由专业的测评服务人员依照规范的操作流程进行，对操作过程和结果要有相应的记录，并提供完整的服务报告。</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9）质量保障原则：</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在整个测评过程中，须特别重视项目质量管理。项目的实施将严格按照项目实施方案和流程进行，并由项目协调小组从中监督，控制项目的进度和质量。</w:t>
      </w:r>
    </w:p>
    <w:p>
      <w:pPr>
        <w:spacing w:line="400" w:lineRule="exact"/>
        <w:ind w:firstLine="480" w:firstLineChars="200"/>
        <w:rPr>
          <w:rFonts w:ascii="宋体" w:hAnsi="宋体" w:eastAsia="宋体"/>
          <w:b/>
          <w:kern w:val="1"/>
          <w:sz w:val="24"/>
          <w:szCs w:val="24"/>
        </w:rPr>
      </w:pPr>
      <w:r>
        <w:rPr>
          <w:rFonts w:ascii="宋体" w:hAnsi="宋体" w:eastAsia="宋体"/>
          <w:b/>
          <w:kern w:val="1"/>
          <w:sz w:val="24"/>
          <w:szCs w:val="24"/>
        </w:rPr>
        <w:t>2、项目内容</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根据各信息系统的安全保护等级需求，依据国家及行业等级保护标准，通过信息安全等级保护测评的方法，查找信息系统各安全层面与相应安全保护等级标准的差距，明确存在的安全问题及现有安全措施的有效性，并针对安全问题关联的资产、威胁、脆弱性，综合分析信息系统面临的安全风险，寻求风险降低或规避的方法、提出建设整改建议。提交《信息系统安全等级测评报告》。</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具体工作内容及要求如下：</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1、开展信息系统安全等级保护现状测评工作</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依据相关标准，结合行业特点和自身安全需求，为信息系统开展信息系统安全等级保护现状测评工作，提供包括但不限于以下服务内容：</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1）信息收集：对项目涉及的所有信息系统开展调研工作，明确所有系统的物理环境及机房基础设施情况，网络架构，网络设备、安全设备部署情况，服务器分布及操作系统、数据库系统使用情况，应用系统业务流程、数据流向、用户群体情况，数据传输及存储备份情况，系统的高可用性需求情况，安全管理制度建设及执行情况。并根据收集的信息建立基础台账。</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2）方案编制：根据收集的基础信息，识别各信息系统网络结构及其网络覆盖范围，系统构成、资产识别与赋值、威胁识别与赋值，明确检测评估目的及流程、明确检测评估对象及指标、明确检测评估方法及工具扫描接入点、明确检测评估实施步骤及配合需求、明确检测评估的实施计划。并据此编制实施方案、开发实施指导书。</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3）现场检测评估实施：依据测评方案、参照实施指导书，通过访谈、检查、测试、实地查看等方法开展现场检测评估活动，详细记录每个检测评估对象的安全现状。形成现场检测评估记录表。</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4）数据汇总分析：根据现场检测评估记录，按照物理安全、网络安全、主机安全、应用安全、数据安全、安全管理几个安全层面，汇总各安全层面测评对象的安全现状，明确已有安全措施的有效性，识别测评对象关联资产的脆弱性。形成安全措施汇总表、安全问题汇总表。</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5）安全问题交流：通过交流会的形式，对安全措施汇总表、安全问题汇总表中的内容进行沟通交流，明确安全问题是否真实存在，如有遗漏或不确定项需进行补充检测并详细记录结果；并针对存在的问题，结合威胁被利用的可能性、威胁被利用后的后果严重性，交流降低或规避风险的方法，提出初步的建设整改建议。</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6）建设整改方案设计：在明确安全问题的基础上，依据交流的建设整改建议。</w:t>
      </w:r>
    </w:p>
    <w:p>
      <w:pPr>
        <w:spacing w:line="400" w:lineRule="exact"/>
        <w:rPr>
          <w:rFonts w:ascii="宋体" w:hAnsi="宋体" w:eastAsia="宋体"/>
          <w:kern w:val="1"/>
          <w:sz w:val="24"/>
          <w:szCs w:val="24"/>
        </w:rPr>
      </w:pPr>
      <w:r>
        <w:rPr>
          <w:rFonts w:hint="eastAsia" w:ascii="宋体" w:hAnsi="宋体" w:eastAsia="宋体"/>
          <w:kern w:val="1"/>
          <w:sz w:val="24"/>
          <w:szCs w:val="24"/>
        </w:rPr>
        <w:t xml:space="preserve">    7）提交《信息系统安全等级测评报告》。</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2、安全培训工作</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u w:val="single"/>
        </w:rPr>
        <w:t>为无锡市梁溪区</w:t>
      </w:r>
      <w:r>
        <w:rPr>
          <w:rFonts w:ascii="宋体" w:hAnsi="宋体" w:eastAsia="宋体"/>
          <w:kern w:val="1"/>
          <w:sz w:val="24"/>
          <w:szCs w:val="24"/>
          <w:u w:val="single"/>
        </w:rPr>
        <w:t>大数据管理局</w:t>
      </w:r>
      <w:r>
        <w:rPr>
          <w:rFonts w:hint="eastAsia" w:ascii="宋体" w:hAnsi="宋体" w:eastAsia="宋体"/>
          <w:kern w:val="1"/>
          <w:sz w:val="24"/>
          <w:szCs w:val="24"/>
          <w:u w:val="single"/>
        </w:rPr>
        <w:t xml:space="preserve">  </w:t>
      </w:r>
      <w:r>
        <w:rPr>
          <w:rFonts w:hint="eastAsia" w:ascii="宋体" w:hAnsi="宋体" w:eastAsia="宋体"/>
          <w:kern w:val="1"/>
          <w:sz w:val="24"/>
          <w:szCs w:val="24"/>
        </w:rPr>
        <w:t>提供一次网络安全等级保护相关安全培训；</w:t>
      </w:r>
    </w:p>
    <w:p>
      <w:pPr>
        <w:spacing w:line="400" w:lineRule="exact"/>
        <w:ind w:firstLine="480" w:firstLineChars="200"/>
        <w:rPr>
          <w:rFonts w:ascii="宋体" w:hAnsi="宋体" w:eastAsia="宋体"/>
          <w:kern w:val="1"/>
          <w:sz w:val="24"/>
          <w:szCs w:val="24"/>
        </w:rPr>
      </w:pPr>
      <w:r>
        <w:rPr>
          <w:rFonts w:ascii="宋体" w:hAnsi="宋体" w:eastAsia="宋体"/>
          <w:kern w:val="1"/>
          <w:sz w:val="24"/>
          <w:szCs w:val="24"/>
        </w:rPr>
        <w:t>3、项目实施方案，技术支持和服务保障</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1）、针对本项目所描述项目需求进行业务分析并提出项目总体实施方案、测评方案。</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2）、实施方案，包括项目进度表和组织机构。</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3）、技术支持和服务,要求制定详细的支持和服务保障方案，提供服务项目清单及自身服务承诺 (包括服务周期时间、费用)。</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4）、为完成本项目，投标方应组建工作小组、明确组成人员职责。</w:t>
      </w:r>
    </w:p>
    <w:p>
      <w:pPr>
        <w:spacing w:line="400" w:lineRule="exact"/>
        <w:ind w:firstLine="480" w:firstLineChars="200"/>
        <w:rPr>
          <w:rFonts w:ascii="宋体" w:hAnsi="宋体" w:eastAsia="宋体"/>
          <w:kern w:val="1"/>
          <w:sz w:val="24"/>
          <w:szCs w:val="24"/>
        </w:rPr>
      </w:pPr>
      <w:r>
        <w:rPr>
          <w:rFonts w:hint="eastAsia" w:ascii="宋体" w:hAnsi="宋体" w:eastAsia="宋体"/>
          <w:kern w:val="1"/>
          <w:sz w:val="24"/>
          <w:szCs w:val="24"/>
        </w:rPr>
        <w:t>（</w:t>
      </w:r>
      <w:r>
        <w:rPr>
          <w:rFonts w:ascii="宋体" w:hAnsi="宋体" w:eastAsia="宋体"/>
          <w:kern w:val="1"/>
          <w:sz w:val="24"/>
          <w:szCs w:val="24"/>
        </w:rPr>
        <w:t>5）、在项目现场实施周期内，投标人须为本项目成立等级保护测评小组，安排包括项目经理和核心技术人员在内测评师现场驻场服务；驻场人员未经采购方同意项目实施途中不得随意更换；成员均须具有信息安全等级测评师资格，必须符合投标时投标文件中明确的人员。</w:t>
      </w:r>
    </w:p>
    <w:p>
      <w:pPr>
        <w:numPr>
          <w:ilvl w:val="0"/>
          <w:numId w:val="2"/>
        </w:numPr>
        <w:spacing w:line="440" w:lineRule="exact"/>
        <w:rPr>
          <w:rFonts w:ascii="宋体" w:hAnsi="宋体" w:eastAsia="宋体"/>
          <w:b/>
          <w:bCs/>
          <w:sz w:val="24"/>
          <w:szCs w:val="28"/>
        </w:rPr>
      </w:pPr>
      <w:r>
        <w:rPr>
          <w:rFonts w:hint="eastAsia" w:ascii="宋体" w:hAnsi="宋体" w:eastAsia="宋体"/>
          <w:b/>
          <w:bCs/>
          <w:sz w:val="24"/>
          <w:szCs w:val="28"/>
        </w:rPr>
        <w:t>项目</w:t>
      </w:r>
      <w:r>
        <w:rPr>
          <w:rFonts w:ascii="宋体" w:hAnsi="宋体" w:eastAsia="宋体"/>
          <w:b/>
          <w:bCs/>
          <w:sz w:val="24"/>
          <w:szCs w:val="28"/>
        </w:rPr>
        <w:t>依据</w:t>
      </w:r>
    </w:p>
    <w:p>
      <w:pPr>
        <w:spacing w:line="360" w:lineRule="auto"/>
        <w:ind w:firstLine="480" w:firstLineChars="200"/>
        <w:rPr>
          <w:rFonts w:ascii="宋体" w:hAnsi="宋体" w:eastAsia="宋体"/>
          <w:kern w:val="1"/>
          <w:sz w:val="24"/>
          <w:szCs w:val="24"/>
        </w:rPr>
      </w:pPr>
      <w:r>
        <w:rPr>
          <w:rFonts w:ascii="宋体" w:hAnsi="宋体" w:eastAsia="宋体"/>
          <w:kern w:val="1"/>
          <w:sz w:val="24"/>
          <w:szCs w:val="24"/>
        </w:rPr>
        <w:t>GB/T 22239-2019</w:t>
      </w:r>
      <w:r>
        <w:rPr>
          <w:rFonts w:hint="eastAsia" w:ascii="宋体" w:hAnsi="宋体" w:eastAsia="宋体"/>
          <w:kern w:val="1"/>
          <w:sz w:val="24"/>
          <w:szCs w:val="24"/>
        </w:rPr>
        <w:t>信息安全技术 网络安全等级保护基本要求</w:t>
      </w:r>
    </w:p>
    <w:p>
      <w:pPr>
        <w:spacing w:line="360" w:lineRule="auto"/>
        <w:ind w:firstLine="480" w:firstLineChars="200"/>
        <w:rPr>
          <w:rFonts w:ascii="宋体" w:hAnsi="宋体" w:eastAsia="宋体"/>
          <w:kern w:val="1"/>
          <w:sz w:val="24"/>
          <w:szCs w:val="24"/>
        </w:rPr>
      </w:pPr>
      <w:r>
        <w:rPr>
          <w:rFonts w:ascii="宋体" w:hAnsi="宋体" w:eastAsia="宋体"/>
          <w:kern w:val="1"/>
          <w:sz w:val="24"/>
          <w:szCs w:val="24"/>
        </w:rPr>
        <w:t xml:space="preserve">GB/T 22240-2020 </w:t>
      </w:r>
      <w:r>
        <w:rPr>
          <w:rFonts w:hint="eastAsia" w:ascii="宋体" w:hAnsi="宋体" w:eastAsia="宋体"/>
          <w:kern w:val="1"/>
          <w:sz w:val="24"/>
          <w:szCs w:val="24"/>
        </w:rPr>
        <w:t>信息安全技术 网络安全等级保护定级指南</w:t>
      </w:r>
    </w:p>
    <w:p>
      <w:pPr>
        <w:spacing w:line="360" w:lineRule="auto"/>
        <w:ind w:firstLine="480" w:firstLineChars="200"/>
        <w:rPr>
          <w:rFonts w:ascii="宋体" w:hAnsi="宋体" w:eastAsia="宋体"/>
          <w:kern w:val="1"/>
          <w:sz w:val="24"/>
          <w:szCs w:val="24"/>
        </w:rPr>
      </w:pPr>
      <w:r>
        <w:rPr>
          <w:rFonts w:ascii="宋体" w:hAnsi="宋体" w:eastAsia="宋体"/>
          <w:kern w:val="1"/>
          <w:sz w:val="24"/>
          <w:szCs w:val="24"/>
        </w:rPr>
        <w:t xml:space="preserve">GB/T 25058-2019 </w:t>
      </w:r>
      <w:r>
        <w:rPr>
          <w:rFonts w:hint="eastAsia" w:ascii="宋体" w:hAnsi="宋体" w:eastAsia="宋体"/>
          <w:kern w:val="1"/>
          <w:sz w:val="24"/>
          <w:szCs w:val="24"/>
        </w:rPr>
        <w:t>信息安全技术 网络安全等级保护实施指南</w:t>
      </w:r>
    </w:p>
    <w:p>
      <w:pPr>
        <w:spacing w:line="360" w:lineRule="auto"/>
        <w:ind w:firstLine="480" w:firstLineChars="200"/>
        <w:rPr>
          <w:rFonts w:ascii="宋体" w:hAnsi="宋体" w:eastAsia="宋体"/>
          <w:kern w:val="1"/>
          <w:sz w:val="24"/>
          <w:szCs w:val="24"/>
        </w:rPr>
      </w:pPr>
      <w:r>
        <w:rPr>
          <w:rFonts w:ascii="宋体" w:hAnsi="宋体" w:eastAsia="宋体"/>
          <w:kern w:val="1"/>
          <w:sz w:val="24"/>
          <w:szCs w:val="24"/>
        </w:rPr>
        <w:t xml:space="preserve">GB/T 28448-2019 </w:t>
      </w:r>
      <w:r>
        <w:rPr>
          <w:rFonts w:hint="eastAsia" w:ascii="宋体" w:hAnsi="宋体" w:eastAsia="宋体"/>
          <w:kern w:val="1"/>
          <w:sz w:val="24"/>
          <w:szCs w:val="24"/>
        </w:rPr>
        <w:t>信息安全技术 网络安全等级保护测评要求</w:t>
      </w:r>
    </w:p>
    <w:p>
      <w:pPr>
        <w:ind w:firstLine="480" w:firstLineChars="200"/>
      </w:pPr>
      <w:r>
        <w:rPr>
          <w:rFonts w:ascii="宋体" w:hAnsi="宋体" w:eastAsia="宋体"/>
          <w:kern w:val="1"/>
          <w:sz w:val="24"/>
          <w:szCs w:val="24"/>
        </w:rPr>
        <w:t xml:space="preserve">GB/T 28449-2018 </w:t>
      </w:r>
      <w:r>
        <w:rPr>
          <w:rFonts w:hint="eastAsia" w:ascii="宋体" w:hAnsi="宋体" w:eastAsia="宋体"/>
          <w:kern w:val="1"/>
          <w:sz w:val="24"/>
          <w:szCs w:val="24"/>
        </w:rPr>
        <w:t xml:space="preserve">信息安全技术 </w:t>
      </w:r>
      <w:r>
        <w:rPr>
          <w:rFonts w:ascii="宋体" w:hAnsi="宋体" w:eastAsia="宋体"/>
          <w:kern w:val="1"/>
          <w:sz w:val="24"/>
          <w:szCs w:val="24"/>
        </w:rPr>
        <w:t xml:space="preserve"> </w:t>
      </w:r>
      <w:r>
        <w:rPr>
          <w:rFonts w:hint="eastAsia" w:ascii="宋体" w:hAnsi="宋体" w:eastAsia="宋体"/>
          <w:kern w:val="1"/>
          <w:sz w:val="24"/>
          <w:szCs w:val="24"/>
        </w:rPr>
        <w:t>网络安全等级保护测评过程指南</w:t>
      </w:r>
    </w:p>
    <w:p>
      <w:pPr>
        <w:tabs>
          <w:tab w:val="left" w:pos="525"/>
          <w:tab w:val="left" w:pos="630"/>
          <w:tab w:val="left" w:pos="735"/>
          <w:tab w:val="left" w:pos="945"/>
        </w:tabs>
        <w:spacing w:line="360" w:lineRule="auto"/>
        <w:rPr>
          <w:rFonts w:ascii="宋体" w:hAnsi="宋体"/>
          <w:bCs/>
          <w:color w:val="000000" w:themeColor="text1"/>
          <w:sz w:val="24"/>
          <w:szCs w:val="24"/>
          <w14:textFill>
            <w14:solidFill>
              <w14:schemeClr w14:val="tx1"/>
            </w14:solidFill>
          </w14:textFill>
        </w:rPr>
      </w:pPr>
    </w:p>
    <w:p>
      <w:pPr>
        <w:spacing w:line="360" w:lineRule="auto"/>
        <w:outlineLvl w:val="1"/>
        <w:rPr>
          <w:rFonts w:ascii="黑体" w:hAnsi="宋体" w:eastAsia="黑体"/>
          <w:bCs/>
          <w:sz w:val="24"/>
          <w:szCs w:val="24"/>
        </w:rPr>
      </w:pPr>
      <w:r>
        <w:rPr>
          <w:rFonts w:hint="eastAsia" w:ascii="黑体" w:hAnsi="宋体" w:eastAsia="黑体"/>
          <w:bCs/>
          <w:sz w:val="24"/>
          <w:szCs w:val="24"/>
        </w:rPr>
        <w:t>（二）有关说明：</w:t>
      </w:r>
      <w:r>
        <w:rPr>
          <w:rFonts w:ascii="黑体" w:hAnsi="宋体" w:eastAsia="黑体"/>
          <w:bCs/>
          <w:sz w:val="24"/>
          <w:szCs w:val="24"/>
        </w:rPr>
        <w:t xml:space="preserve"> </w:t>
      </w:r>
    </w:p>
    <w:p>
      <w:pPr>
        <w:numPr>
          <w:ilvl w:val="1"/>
          <w:numId w:val="17"/>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17"/>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17"/>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本项目中有信息安全产品的，必须选择经国家认证的信息安全产品，并提供由中国信息安全认证中心颁发的有效认证证书复印件。</w:t>
      </w:r>
    </w:p>
    <w:p>
      <w:pPr>
        <w:numPr>
          <w:ilvl w:val="1"/>
          <w:numId w:val="17"/>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依据财政部、发展改革委发布的《节能产品政府采购品目清单》，本项目中有政府强制采购节能产品的</w:t>
      </w:r>
      <w:r>
        <w:rPr>
          <w:rFonts w:ascii="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17"/>
        </w:numPr>
        <w:tabs>
          <w:tab w:val="left" w:pos="525"/>
          <w:tab w:val="left" w:pos="945"/>
        </w:tabs>
        <w:spacing w:line="460" w:lineRule="exact"/>
        <w:ind w:left="0" w:firstLine="527"/>
        <w:rPr>
          <w:rFonts w:hint="eastAsia" w:ascii="宋体" w:hAns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17"/>
        </w:numPr>
        <w:tabs>
          <w:tab w:val="left" w:pos="525"/>
          <w:tab w:val="left" w:pos="945"/>
        </w:tabs>
        <w:spacing w:line="460" w:lineRule="exact"/>
        <w:ind w:left="0" w:firstLine="527"/>
        <w:rPr>
          <w:rFonts w:hint="eastAsia" w:ascii="宋体" w:hAnsi="宋体"/>
          <w:bCs/>
          <w:sz w:val="24"/>
          <w:szCs w:val="24"/>
        </w:rPr>
      </w:pPr>
      <w:r>
        <w:rPr>
          <w:rFonts w:hint="eastAsia" w:ascii="宋体" w:hAnsi="宋体"/>
          <w:bCs/>
          <w:sz w:val="24"/>
          <w:szCs w:val="24"/>
        </w:rPr>
        <w:t>完工期：合同签订生效后2个月内，出具信息系统等级保护测评报告</w:t>
      </w:r>
      <w:r>
        <w:rPr>
          <w:rFonts w:hint="eastAsia" w:ascii="宋体" w:hAnsi="宋体"/>
          <w:bCs/>
          <w:sz w:val="24"/>
          <w:szCs w:val="24"/>
          <w:lang w:eastAsia="zh-CN"/>
        </w:rPr>
        <w:t>。</w:t>
      </w:r>
    </w:p>
    <w:p>
      <w:pPr>
        <w:numPr>
          <w:ilvl w:val="1"/>
          <w:numId w:val="17"/>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本项目合同履行地点为</w:t>
      </w:r>
      <w:r>
        <w:rPr>
          <w:rFonts w:hint="eastAsia"/>
          <w:color w:val="000000"/>
          <w:sz w:val="24"/>
          <w:szCs w:val="24"/>
          <w:lang w:val="en-US" w:eastAsia="zh-CN"/>
        </w:rPr>
        <w:t>无锡市梁溪区</w:t>
      </w:r>
      <w:r>
        <w:rPr>
          <w:rFonts w:hint="eastAsia"/>
          <w:color w:val="000000"/>
          <w:sz w:val="24"/>
          <w:szCs w:val="24"/>
          <w:lang w:eastAsia="zh-Hans"/>
        </w:rPr>
        <w:t>，具体地点以合同书约定为准</w:t>
      </w:r>
      <w:r>
        <w:rPr>
          <w:rFonts w:hint="eastAsia"/>
          <w:color w:val="000000"/>
          <w:sz w:val="24"/>
          <w:szCs w:val="24"/>
        </w:rPr>
        <w:t>。</w:t>
      </w:r>
    </w:p>
    <w:p>
      <w:pPr>
        <w:numPr>
          <w:ilvl w:val="1"/>
          <w:numId w:val="17"/>
        </w:numPr>
        <w:tabs>
          <w:tab w:val="left" w:pos="525"/>
          <w:tab w:val="left" w:pos="945"/>
        </w:tabs>
        <w:spacing w:line="460" w:lineRule="exact"/>
        <w:ind w:left="0" w:firstLine="527"/>
        <w:rPr>
          <w:rFonts w:hint="eastAsia" w:hAnsi="宋体"/>
          <w:bCs/>
          <w:sz w:val="24"/>
          <w:szCs w:val="24"/>
        </w:rPr>
      </w:pPr>
      <w:r>
        <w:rPr>
          <w:rFonts w:hint="eastAsia" w:hAnsi="宋体"/>
          <w:bCs/>
          <w:sz w:val="24"/>
          <w:szCs w:val="24"/>
        </w:rPr>
        <w:t>付款方式：合同签订生效后支付合同价的40%，乙方提供纸质测评报告后，甲方支付合同总金额的60%。</w:t>
      </w:r>
    </w:p>
    <w:p>
      <w:pPr>
        <w:numPr>
          <w:ilvl w:val="1"/>
          <w:numId w:val="17"/>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17"/>
        </w:numPr>
        <w:tabs>
          <w:tab w:val="left" w:pos="525"/>
          <w:tab w:val="left" w:pos="630"/>
          <w:tab w:val="left" w:pos="735"/>
          <w:tab w:val="left" w:pos="945"/>
        </w:tabs>
        <w:spacing w:line="360" w:lineRule="auto"/>
        <w:ind w:left="0" w:firstLine="525"/>
        <w:rPr>
          <w:rFonts w:ascii="宋体" w:hAns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中标、成交供应商可根据自身情况，自行决定是否选择采用合同融资形式，在无锡政府采购网——政采贷专栏提供的银行名录内自主选择合作银行。</w:t>
      </w:r>
    </w:p>
    <w:p>
      <w:pPr>
        <w:numPr>
          <w:ilvl w:val="1"/>
          <w:numId w:val="17"/>
        </w:numPr>
        <w:tabs>
          <w:tab w:val="left" w:pos="525"/>
          <w:tab w:val="left" w:pos="630"/>
          <w:tab w:val="left" w:pos="735"/>
          <w:tab w:val="left" w:pos="945"/>
        </w:tabs>
        <w:spacing w:line="360" w:lineRule="auto"/>
        <w:ind w:left="0" w:firstLine="525"/>
        <w:rPr>
          <w:rFonts w:ascii="宋体" w:hAnsi="宋体"/>
          <w:bCs/>
          <w:sz w:val="24"/>
          <w:szCs w:val="22"/>
        </w:rPr>
      </w:pPr>
      <w:r>
        <w:rPr>
          <w:rFonts w:hint="eastAsia" w:ascii="宋体" w:hAnsi="宋体"/>
          <w:bCs/>
          <w:sz w:val="24"/>
          <w:szCs w:val="22"/>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17"/>
        </w:numPr>
        <w:tabs>
          <w:tab w:val="left" w:pos="525"/>
          <w:tab w:val="left" w:pos="945"/>
        </w:tabs>
        <w:spacing w:line="460" w:lineRule="exact"/>
        <w:ind w:left="0" w:firstLine="527"/>
        <w:rPr>
          <w:rFonts w:ascii="宋体"/>
          <w:color w:val="000000" w:themeColor="text1"/>
          <w:kern w:val="0"/>
          <w:sz w:val="24"/>
          <w:szCs w:val="24"/>
          <w:u w:color="000000"/>
          <w14:textFill>
            <w14:solidFill>
              <w14:schemeClr w14:val="tx1"/>
            </w14:solidFill>
          </w14:textFill>
        </w:rPr>
      </w:pPr>
      <w:r>
        <w:rPr>
          <w:rFonts w:hint="eastAsia" w:ascii="宋体" w:hAnsi="宋体"/>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17"/>
        </w:numPr>
        <w:tabs>
          <w:tab w:val="left" w:pos="525"/>
          <w:tab w:val="left" w:pos="630"/>
          <w:tab w:val="left" w:pos="735"/>
          <w:tab w:val="left" w:pos="945"/>
        </w:tabs>
        <w:spacing w:line="360" w:lineRule="auto"/>
        <w:ind w:left="0" w:firstLine="525"/>
        <w:rPr>
          <w:rFonts w:ascii="宋体" w:hAnsi="宋体"/>
          <w:bCs/>
          <w:sz w:val="24"/>
        </w:rPr>
      </w:pPr>
      <w:r>
        <w:rPr>
          <w:rFonts w:hint="eastAsia" w:ascii="宋体" w:hAnsi="宋体"/>
          <w:bCs/>
          <w:sz w:val="24"/>
        </w:rPr>
        <w:t>依据《政府采购促进中小企业发展管理办法》规定享受扶持政策获得政府采购合同的，小微企业不得将合同分包给大中型企业，中型企业不得将合同分包给大型企业。</w:t>
      </w:r>
    </w:p>
    <w:p>
      <w:pPr>
        <w:numPr>
          <w:ilvl w:val="1"/>
          <w:numId w:val="17"/>
        </w:numPr>
        <w:tabs>
          <w:tab w:val="left" w:pos="525"/>
          <w:tab w:val="left" w:pos="630"/>
          <w:tab w:val="left" w:pos="735"/>
          <w:tab w:val="left" w:pos="945"/>
        </w:tabs>
        <w:spacing w:line="360" w:lineRule="auto"/>
        <w:ind w:left="0" w:firstLine="525"/>
        <w:rPr>
          <w:rFonts w:ascii="宋体" w:hAnsi="宋体"/>
          <w:bCs/>
          <w:sz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
      <w:pPr>
        <w:pStyle w:val="2"/>
      </w:pPr>
    </w:p>
    <w:p/>
    <w:p>
      <w:pPr>
        <w:spacing w:line="360" w:lineRule="auto"/>
        <w:jc w:val="center"/>
        <w:rPr>
          <w:rFonts w:ascii="黑体" w:hAnsi="宋体" w:eastAsia="黑体"/>
          <w:b/>
          <w:color w:val="000000"/>
          <w:sz w:val="28"/>
          <w:szCs w:val="28"/>
        </w:rPr>
      </w:pPr>
      <w:r>
        <w:rPr>
          <w:rFonts w:hint="eastAsia" w:ascii="黑体" w:eastAsia="黑体"/>
          <w:bCs/>
          <w:color w:val="000000"/>
          <w:sz w:val="28"/>
          <w:szCs w:val="28"/>
        </w:rPr>
        <w:t>四．合同书（格式文本）</w:t>
      </w:r>
    </w:p>
    <w:p>
      <w:pPr>
        <w:snapToGrid w:val="0"/>
        <w:spacing w:line="288" w:lineRule="auto"/>
        <w:jc w:val="center"/>
        <w:rPr>
          <w:rFonts w:ascii="黑体" w:hAnsi="宋体" w:eastAsia="黑体"/>
          <w:b/>
          <w:color w:val="000000"/>
          <w:sz w:val="28"/>
          <w:szCs w:val="28"/>
        </w:rPr>
      </w:pPr>
      <w:r>
        <w:rPr>
          <w:rFonts w:hint="eastAsia" w:ascii="黑体" w:hAnsi="宋体" w:eastAsia="黑体"/>
          <w:b/>
          <w:color w:val="000000"/>
          <w:sz w:val="28"/>
          <w:szCs w:val="28"/>
        </w:rPr>
        <w:t>合同书(货物）格式条款</w:t>
      </w:r>
    </w:p>
    <w:p>
      <w:pPr>
        <w:snapToGrid w:val="0"/>
        <w:spacing w:line="288" w:lineRule="auto"/>
        <w:ind w:firstLine="480" w:firstLineChars="200"/>
        <w:jc w:val="left"/>
        <w:rPr>
          <w:rFonts w:ascii="黑体" w:hAnsi="宋体"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）采购及有关事项协商一致，共同达成如下协议：</w:t>
      </w:r>
    </w:p>
    <w:p>
      <w:pPr>
        <w:snapToGrid w:val="0"/>
        <w:spacing w:line="288" w:lineRule="auto"/>
        <w:rPr>
          <w:rFonts w:ascii="宋体" w:hAnsi="Calibri"/>
          <w:bCs/>
          <w:color w:val="000000"/>
          <w:sz w:val="24"/>
          <w:szCs w:val="24"/>
          <w:u w:val="single"/>
        </w:rPr>
      </w:pPr>
      <w:r>
        <w:rPr>
          <w:rFonts w:hint="eastAsia" w:ascii="宋体" w:hAnsi="宋体"/>
          <w:bCs/>
          <w:color w:val="000000"/>
          <w:sz w:val="24"/>
          <w:szCs w:val="24"/>
        </w:rPr>
        <w:t>需方（采购人）：</w:t>
      </w:r>
    </w:p>
    <w:p>
      <w:pPr>
        <w:snapToGrid w:val="0"/>
        <w:spacing w:line="288" w:lineRule="auto"/>
        <w:rPr>
          <w:rFonts w:ascii="宋体"/>
          <w:bCs/>
          <w:color w:val="000000"/>
          <w:sz w:val="24"/>
          <w:szCs w:val="24"/>
          <w:u w:val="single"/>
        </w:rPr>
      </w:pPr>
      <w:r>
        <w:rPr>
          <w:rFonts w:hint="eastAsia" w:ascii="宋体" w:hAnsi="宋体"/>
          <w:bCs/>
          <w:color w:val="000000"/>
          <w:sz w:val="24"/>
          <w:szCs w:val="24"/>
        </w:rPr>
        <w:t>供方（中标方）：</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一、采购项目编号：</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四、交货期或完工期：</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五、项目整体质保期：</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六、交货地点和方式：</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七、货款支付步骤和办法：</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八、合同书不可分割部分：</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000000"/>
          <w:sz w:val="24"/>
          <w:szCs w:val="24"/>
        </w:rPr>
      </w:pPr>
      <w:r>
        <w:rPr>
          <w:rFonts w:hint="eastAsia" w:ascii="宋体" w:hAnsi="宋体"/>
          <w:color w:val="000000"/>
          <w:sz w:val="24"/>
          <w:szCs w:val="24"/>
        </w:rPr>
        <w:t>九、合同书组成：</w:t>
      </w:r>
    </w:p>
    <w:p>
      <w:pPr>
        <w:tabs>
          <w:tab w:val="left" w:pos="210"/>
          <w:tab w:val="left" w:pos="735"/>
          <w:tab w:val="left" w:pos="1155"/>
        </w:tabs>
        <w:snapToGrid w:val="0"/>
        <w:spacing w:line="288" w:lineRule="auto"/>
        <w:ind w:firstLine="480" w:firstLineChars="200"/>
        <w:rPr>
          <w:rFonts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w:t>
      </w:r>
      <w:r>
        <w:rPr>
          <w:rFonts w:hint="eastAsia" w:ascii="宋体" w:hAnsi="宋体"/>
          <w:color w:val="000000"/>
          <w:sz w:val="24"/>
          <w:szCs w:val="24"/>
        </w:rPr>
        <w:t>合同类型,</w:t>
      </w:r>
      <w:r>
        <w:rPr>
          <w:rFonts w:hint="eastAsia" w:ascii="宋体" w:hAnsi="宋体"/>
          <w:bCs/>
          <w:color w:val="000000"/>
          <w:sz w:val="24"/>
          <w:szCs w:val="24"/>
        </w:rPr>
        <w:t>标的名称、采购标的质量、数量，履行时间、地点和方式，包装方式，履约保证金要求，价款或报酬、付款进度安排、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，验收、交付标准和方法，质量保修范围和保修期，违约责任与解决争议的方法，甲乙双方权利与义务，合同分包要求等。</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十二、根据《政府采购法》第四十九、五十条规定，甲乙双方不得擅自变更、中止或终止合同。</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960" w:firstLine="4080" w:firstLineChars="1700"/>
        <w:rPr>
          <w:rFonts w:ascii="宋体" w:hAnsi="宋体"/>
          <w:bCs/>
          <w:color w:val="000000"/>
          <w:sz w:val="24"/>
          <w:szCs w:val="24"/>
        </w:rPr>
      </w:pPr>
      <w:r>
        <w:rPr>
          <w:rFonts w:hint="eastAsia" w:ascii="宋体" w:hAnsi="宋体"/>
          <w:bCs/>
          <w:color w:val="000000"/>
          <w:sz w:val="24"/>
          <w:szCs w:val="24"/>
        </w:rPr>
        <w:t xml:space="preserve">见证人：                          </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 xml:space="preserve">     年   月   日</w:t>
      </w:r>
    </w:p>
    <w:p>
      <w:pPr>
        <w:snapToGrid w:val="0"/>
        <w:spacing w:line="288" w:lineRule="auto"/>
        <w:jc w:val="center"/>
        <w:rPr>
          <w:rFonts w:ascii="黑体" w:hAnsi="宋体" w:eastAsia="黑体"/>
          <w:b/>
          <w:color w:val="000000"/>
          <w:sz w:val="28"/>
          <w:szCs w:val="28"/>
        </w:rPr>
      </w:pPr>
    </w:p>
    <w:p>
      <w:pPr>
        <w:snapToGrid w:val="0"/>
        <w:spacing w:line="288" w:lineRule="auto"/>
        <w:jc w:val="center"/>
        <w:rPr>
          <w:rFonts w:ascii="黑体" w:hAnsi="宋体" w:eastAsia="黑体"/>
          <w:b/>
          <w:color w:val="000000"/>
          <w:sz w:val="28"/>
          <w:szCs w:val="28"/>
        </w:rPr>
      </w:pPr>
      <w:r>
        <w:rPr>
          <w:rFonts w:hint="eastAsia" w:ascii="黑体" w:hAnsi="宋体" w:eastAsia="黑体"/>
          <w:b/>
          <w:color w:val="000000"/>
          <w:sz w:val="28"/>
          <w:szCs w:val="28"/>
        </w:rPr>
        <w:t>合同书（服务）格式条款</w:t>
      </w:r>
    </w:p>
    <w:p>
      <w:pPr>
        <w:snapToGrid w:val="0"/>
        <w:spacing w:line="288" w:lineRule="auto"/>
        <w:ind w:firstLine="480" w:firstLineChars="200"/>
        <w:rPr>
          <w:rFonts w:ascii="黑体" w:hAnsi="Calibri"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）实施及有关事项协商一致，共同达成如下协议：</w:t>
      </w:r>
    </w:p>
    <w:p>
      <w:pPr>
        <w:snapToGrid w:val="0"/>
        <w:spacing w:line="288" w:lineRule="auto"/>
        <w:rPr>
          <w:rFonts w:ascii="宋体"/>
          <w:bCs/>
          <w:color w:val="000000"/>
          <w:sz w:val="24"/>
          <w:szCs w:val="24"/>
          <w:u w:val="single"/>
        </w:rPr>
      </w:pPr>
      <w:r>
        <w:rPr>
          <w:rFonts w:hint="eastAsia" w:ascii="宋体" w:hAnsi="宋体"/>
          <w:bCs/>
          <w:color w:val="000000"/>
          <w:sz w:val="24"/>
          <w:szCs w:val="24"/>
        </w:rPr>
        <w:t>需方（采购人）：</w:t>
      </w:r>
    </w:p>
    <w:p>
      <w:pPr>
        <w:snapToGrid w:val="0"/>
        <w:spacing w:line="288" w:lineRule="auto"/>
        <w:rPr>
          <w:rFonts w:ascii="宋体" w:hAnsi="宋体"/>
          <w:bCs/>
          <w:color w:val="000000"/>
          <w:sz w:val="24"/>
          <w:szCs w:val="24"/>
        </w:rPr>
      </w:pPr>
      <w:r>
        <w:rPr>
          <w:rFonts w:hint="eastAsia" w:ascii="宋体" w:hAnsi="宋体"/>
          <w:bCs/>
          <w:color w:val="000000"/>
          <w:sz w:val="24"/>
          <w:szCs w:val="24"/>
        </w:rPr>
        <w:t>供方（中标方）：</w:t>
      </w:r>
    </w:p>
    <w:p>
      <w:pPr>
        <w:snapToGrid w:val="0"/>
        <w:spacing w:line="288" w:lineRule="auto"/>
        <w:ind w:firstLine="480" w:firstLineChars="200"/>
        <w:rPr>
          <w:rFonts w:ascii="宋体" w:hAnsi="Calibri"/>
          <w:bCs/>
          <w:color w:val="000000"/>
          <w:sz w:val="24"/>
          <w:szCs w:val="24"/>
          <w:u w:val="single"/>
        </w:rPr>
      </w:pPr>
      <w:r>
        <w:rPr>
          <w:rFonts w:hint="eastAsia" w:ascii="宋体" w:hAnsi="宋体"/>
          <w:bCs/>
          <w:color w:val="000000"/>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七、合同书不可分割部分：</w:t>
      </w:r>
    </w:p>
    <w:p>
      <w:pPr>
        <w:tabs>
          <w:tab w:val="left" w:pos="210"/>
          <w:tab w:val="left" w:pos="420"/>
          <w:tab w:val="left" w:pos="1155"/>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000000"/>
          <w:sz w:val="24"/>
          <w:szCs w:val="24"/>
        </w:rPr>
      </w:pPr>
      <w:r>
        <w:rPr>
          <w:rFonts w:hint="eastAsia" w:ascii="宋体" w:hAnsi="宋体"/>
          <w:color w:val="000000"/>
          <w:sz w:val="24"/>
          <w:szCs w:val="24"/>
        </w:rPr>
        <w:t>八、合同书组成：</w:t>
      </w:r>
    </w:p>
    <w:p>
      <w:pPr>
        <w:tabs>
          <w:tab w:val="left" w:pos="210"/>
          <w:tab w:val="left" w:pos="735"/>
          <w:tab w:val="left" w:pos="1155"/>
        </w:tabs>
        <w:snapToGrid w:val="0"/>
        <w:spacing w:line="288" w:lineRule="auto"/>
        <w:ind w:firstLine="480" w:firstLineChars="200"/>
        <w:rPr>
          <w:rFonts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w:t>
      </w:r>
      <w:r>
        <w:rPr>
          <w:rFonts w:hint="eastAsia" w:ascii="宋体" w:hAnsi="宋体"/>
          <w:color w:val="000000"/>
          <w:sz w:val="24"/>
          <w:szCs w:val="24"/>
        </w:rPr>
        <w:t>合同类型</w:t>
      </w:r>
      <w:r>
        <w:rPr>
          <w:rFonts w:hint="eastAsia" w:ascii="宋体" w:hAnsi="宋体"/>
          <w:bCs/>
          <w:color w:val="000000"/>
          <w:sz w:val="24"/>
          <w:szCs w:val="24"/>
        </w:rPr>
        <w:t>等。</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十一、根据《政府采购法》第四十九、五十条规定，甲乙双方不得擅自变更、中止或终止合同。</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1920"/>
        <w:jc w:val="center"/>
        <w:rPr>
          <w:rFonts w:ascii="宋体" w:hAnsi="宋体"/>
          <w:bCs/>
          <w:color w:val="000000"/>
          <w:sz w:val="24"/>
          <w:szCs w:val="24"/>
        </w:rPr>
      </w:pPr>
      <w:r>
        <w:rPr>
          <w:rFonts w:hint="eastAsia" w:ascii="宋体" w:hAnsi="宋体"/>
          <w:bCs/>
          <w:color w:val="000000"/>
          <w:sz w:val="24"/>
          <w:szCs w:val="24"/>
        </w:rPr>
        <w:t xml:space="preserve">                            见证人：                  </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 xml:space="preserve">   年   月    日</w:t>
      </w:r>
    </w:p>
    <w:p>
      <w:pPr>
        <w:pStyle w:val="11"/>
      </w:pPr>
    </w:p>
    <w:p>
      <w:pPr>
        <w:pStyle w:val="11"/>
      </w:pPr>
    </w:p>
    <w:p>
      <w:pPr>
        <w:pStyle w:val="11"/>
      </w:pPr>
    </w:p>
    <w:p>
      <w:pPr>
        <w:pStyle w:val="11"/>
      </w:pPr>
    </w:p>
    <w:p>
      <w:pPr>
        <w:spacing w:line="360" w:lineRule="auto"/>
        <w:jc w:val="center"/>
        <w:rPr>
          <w:rFonts w:ascii="黑体" w:eastAsia="黑体"/>
          <w:bCs/>
          <w:color w:val="000000"/>
          <w:sz w:val="28"/>
          <w:szCs w:val="28"/>
        </w:rPr>
      </w:pPr>
      <w:r>
        <w:rPr>
          <w:rFonts w:hint="eastAsia" w:ascii="黑体" w:eastAsia="黑体"/>
          <w:bCs/>
          <w:color w:val="000000"/>
          <w:sz w:val="28"/>
          <w:szCs w:val="28"/>
        </w:rPr>
        <w:t>五．合同条款</w:t>
      </w:r>
    </w:p>
    <w:p>
      <w:pPr>
        <w:snapToGrid w:val="0"/>
        <w:spacing w:line="336" w:lineRule="auto"/>
        <w:ind w:firstLine="480" w:firstLineChars="200"/>
        <w:jc w:val="center"/>
        <w:rPr>
          <w:rFonts w:ascii="宋体" w:hAnsi="宋体"/>
          <w:bCs/>
          <w:color w:val="000000"/>
          <w:sz w:val="24"/>
          <w:szCs w:val="24"/>
        </w:rPr>
      </w:pPr>
      <w:r>
        <w:rPr>
          <w:rFonts w:hint="eastAsia" w:ascii="宋体" w:hAnsi="宋体"/>
          <w:bCs/>
          <w:color w:val="000000"/>
          <w:sz w:val="24"/>
          <w:szCs w:val="24"/>
        </w:rPr>
        <w:t>（根据相关法律规定以及采购文件确定事项订立）</w:t>
      </w:r>
    </w:p>
    <w:p>
      <w:pPr>
        <w:snapToGrid w:val="0"/>
        <w:spacing w:line="336" w:lineRule="auto"/>
        <w:ind w:firstLine="525"/>
        <w:rPr>
          <w:rFonts w:ascii="宋体" w:hAnsi="Calibri"/>
          <w:bCs/>
          <w:color w:val="000000"/>
          <w:sz w:val="24"/>
          <w:szCs w:val="24"/>
        </w:rPr>
      </w:pPr>
      <w:r>
        <w:rPr>
          <w:rFonts w:hint="eastAsia" w:ascii="宋体" w:hAnsi="宋体"/>
          <w:bCs/>
          <w:color w:val="000000"/>
          <w:sz w:val="24"/>
          <w:szCs w:val="24"/>
        </w:rPr>
        <w:t>（一）合同内容：需方向供方购买。</w:t>
      </w:r>
    </w:p>
    <w:p>
      <w:pPr>
        <w:snapToGrid w:val="0"/>
        <w:spacing w:line="336" w:lineRule="auto"/>
        <w:ind w:firstLine="525"/>
        <w:rPr>
          <w:rFonts w:ascii="宋体"/>
          <w:bCs/>
          <w:color w:val="000000"/>
          <w:sz w:val="24"/>
          <w:szCs w:val="24"/>
        </w:rPr>
      </w:pPr>
      <w:r>
        <w:rPr>
          <w:rFonts w:hint="eastAsia" w:ascii="宋体" w:hAnsi="宋体"/>
          <w:bCs/>
          <w:color w:val="000000"/>
          <w:sz w:val="24"/>
          <w:szCs w:val="24"/>
        </w:rPr>
        <w:t>（二）价格及支付：</w:t>
      </w:r>
    </w:p>
    <w:p>
      <w:pPr>
        <w:tabs>
          <w:tab w:val="left" w:pos="525"/>
          <w:tab w:val="left" w:pos="1050"/>
          <w:tab w:val="left" w:pos="1155"/>
        </w:tabs>
        <w:snapToGrid w:val="0"/>
        <w:spacing w:line="336" w:lineRule="auto"/>
        <w:ind w:firstLine="523" w:firstLineChars="218"/>
        <w:rPr>
          <w:rFonts w:ascii="宋体"/>
          <w:bCs/>
          <w:color w:val="000000"/>
          <w:sz w:val="24"/>
          <w:szCs w:val="24"/>
        </w:rPr>
      </w:pPr>
      <w:r>
        <w:rPr>
          <w:rFonts w:hint="eastAsia" w:ascii="宋体" w:hAnsi="宋体"/>
          <w:bCs/>
          <w:color w:val="000000"/>
          <w:sz w:val="24"/>
          <w:szCs w:val="24"/>
        </w:rPr>
        <w:t>1. 按此次中标价格执行，合同总标的额为</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numPr>
          <w:ilvl w:val="1"/>
          <w:numId w:val="18"/>
        </w:numPr>
        <w:tabs>
          <w:tab w:val="left" w:pos="945"/>
          <w:tab w:val="left" w:pos="1770"/>
          <w:tab w:val="left" w:pos="2100"/>
        </w:tabs>
        <w:snapToGrid w:val="0"/>
        <w:spacing w:line="336" w:lineRule="auto"/>
        <w:ind w:left="0" w:firstLine="525"/>
        <w:rPr>
          <w:rFonts w:ascii="宋体"/>
          <w:bCs/>
          <w:color w:val="000000"/>
          <w:sz w:val="24"/>
          <w:szCs w:val="24"/>
        </w:rPr>
      </w:pPr>
      <w:r>
        <w:rPr>
          <w:rFonts w:hint="eastAsia" w:ascii="宋体" w:hAnsi="宋体"/>
          <w:bCs/>
          <w:color w:val="000000"/>
          <w:sz w:val="24"/>
          <w:szCs w:val="24"/>
        </w:rPr>
        <w:t>付款方式：</w:t>
      </w:r>
    </w:p>
    <w:p>
      <w:pPr>
        <w:numPr>
          <w:ilvl w:val="1"/>
          <w:numId w:val="18"/>
        </w:numPr>
        <w:tabs>
          <w:tab w:val="left" w:pos="945"/>
          <w:tab w:val="left" w:pos="1770"/>
          <w:tab w:val="left" w:pos="2100"/>
        </w:tabs>
        <w:snapToGrid w:val="0"/>
        <w:spacing w:line="336" w:lineRule="auto"/>
        <w:ind w:left="0" w:firstLine="525"/>
        <w:rPr>
          <w:rFonts w:ascii="宋体"/>
          <w:bCs/>
          <w:color w:val="000000"/>
          <w:sz w:val="24"/>
          <w:szCs w:val="24"/>
        </w:rPr>
      </w:pPr>
      <w:r>
        <w:rPr>
          <w:rFonts w:hint="eastAsia" w:ascii="宋体" w:hAnsi="宋体"/>
          <w:bCs/>
          <w:color w:val="000000"/>
          <w:sz w:val="24"/>
          <w:szCs w:val="24"/>
        </w:rPr>
        <w:t>履约保证金的缴纳和退付：</w:t>
      </w:r>
    </w:p>
    <w:p>
      <w:pPr>
        <w:tabs>
          <w:tab w:val="left" w:pos="945"/>
          <w:tab w:val="left" w:pos="2100"/>
        </w:tabs>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本项目是/否向采购人缴纳履约保证金：</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w:t>
      </w:r>
    </w:p>
    <w:p>
      <w:pPr>
        <w:tabs>
          <w:tab w:val="left" w:pos="945"/>
          <w:tab w:val="left" w:pos="2100"/>
        </w:tabs>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履约保证金缴纳金额：</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tabs>
          <w:tab w:val="left" w:pos="945"/>
          <w:tab w:val="left" w:pos="2100"/>
        </w:tabs>
        <w:snapToGrid w:val="0"/>
        <w:spacing w:line="336" w:lineRule="auto"/>
        <w:ind w:firstLine="480" w:firstLineChars="200"/>
        <w:rPr>
          <w:rFonts w:ascii="宋体" w:hAnsi="宋体"/>
          <w:bCs/>
          <w:color w:val="000000"/>
          <w:sz w:val="24"/>
          <w:szCs w:val="22"/>
        </w:rPr>
      </w:pPr>
      <w:r>
        <w:rPr>
          <w:rFonts w:hint="eastAsia" w:ascii="宋体" w:hAnsi="宋体"/>
          <w:bCs/>
          <w:color w:val="000000"/>
          <w:sz w:val="24"/>
          <w:szCs w:val="24"/>
        </w:rPr>
        <w:t>履约保证金的缴纳时间：</w:t>
      </w:r>
      <w:r>
        <w:rPr>
          <w:rFonts w:hint="eastAsia" w:ascii="宋体" w:hAnsi="宋体"/>
          <w:bCs/>
          <w:color w:val="000000"/>
          <w:sz w:val="24"/>
          <w:szCs w:val="24"/>
          <w:u w:val="single"/>
        </w:rPr>
        <w:t xml:space="preserve">       </w:t>
      </w:r>
      <w:r>
        <w:rPr>
          <w:rFonts w:hint="eastAsia" w:ascii="宋体" w:hAnsi="宋体"/>
          <w:bCs/>
          <w:color w:val="000000"/>
          <w:sz w:val="24"/>
          <w:szCs w:val="24"/>
        </w:rPr>
        <w:t>，缴纳形式：</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ascii="宋体" w:hAnsi="宋体"/>
          <w:bCs/>
          <w:color w:val="000000"/>
          <w:sz w:val="24"/>
        </w:rPr>
      </w:pPr>
      <w:r>
        <w:rPr>
          <w:rFonts w:hint="eastAsia" w:ascii="宋体" w:hAnsi="宋体"/>
          <w:bCs/>
          <w:color w:val="000000"/>
          <w:sz w:val="24"/>
          <w:szCs w:val="24"/>
        </w:rPr>
        <w:t>履约保证金的退付时间：</w:t>
      </w:r>
      <w:r>
        <w:rPr>
          <w:rFonts w:hint="eastAsia" w:ascii="宋体" w:hAnsi="宋体"/>
          <w:bCs/>
          <w:color w:val="000000"/>
          <w:sz w:val="24"/>
          <w:szCs w:val="24"/>
          <w:u w:val="single"/>
        </w:rPr>
        <w:t xml:space="preserve">       </w:t>
      </w:r>
      <w:r>
        <w:rPr>
          <w:rFonts w:hint="eastAsia" w:ascii="宋体" w:hAnsi="宋体"/>
          <w:bCs/>
          <w:color w:val="000000"/>
          <w:sz w:val="24"/>
          <w:szCs w:val="24"/>
        </w:rPr>
        <w:t>，退付办法：</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ascii="宋体" w:hAnsi="宋体"/>
          <w:bCs/>
          <w:color w:val="000000"/>
          <w:sz w:val="24"/>
        </w:rPr>
      </w:pPr>
      <w:r>
        <w:rPr>
          <w:rFonts w:hint="eastAsia" w:ascii="宋体" w:hAnsi="宋体"/>
          <w:bCs/>
          <w:color w:val="000000"/>
          <w:sz w:val="24"/>
        </w:rPr>
        <w:t>履约保证金不予退还的情形：</w:t>
      </w:r>
      <w:r>
        <w:rPr>
          <w:rFonts w:hint="eastAsia" w:ascii="宋体" w:hAnsi="宋体"/>
          <w:bCs/>
          <w:color w:val="000000"/>
          <w:sz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ascii="宋体" w:hAnsi="Calibri"/>
          <w:bCs/>
          <w:color w:val="000000"/>
          <w:sz w:val="24"/>
          <w:szCs w:val="24"/>
        </w:rPr>
      </w:pPr>
      <w:r>
        <w:rPr>
          <w:rFonts w:hint="eastAsia" w:ascii="宋体" w:hAnsi="宋体"/>
          <w:bCs/>
          <w:color w:val="000000"/>
          <w:sz w:val="24"/>
        </w:rPr>
        <w:t>逾期退还履约保证金的违约责任：</w:t>
      </w:r>
      <w:r>
        <w:rPr>
          <w:rFonts w:hint="eastAsia" w:ascii="宋体" w:hAnsi="宋体"/>
          <w:bCs/>
          <w:color w:val="000000"/>
          <w:sz w:val="24"/>
          <w:u w:val="single"/>
        </w:rPr>
        <w:t xml:space="preserve">                 </w:t>
      </w:r>
      <w:r>
        <w:rPr>
          <w:rFonts w:hint="eastAsia" w:ascii="宋体" w:hAnsi="宋体"/>
          <w:bCs/>
          <w:color w:val="000000"/>
          <w:sz w:val="24"/>
        </w:rPr>
        <w:t>。</w:t>
      </w:r>
    </w:p>
    <w:p>
      <w:pPr>
        <w:tabs>
          <w:tab w:val="left" w:pos="0"/>
          <w:tab w:val="left" w:pos="13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（三）知识产权</w:t>
      </w:r>
    </w:p>
    <w:p>
      <w:pPr>
        <w:tabs>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（四）质量要求与检验：</w:t>
      </w:r>
    </w:p>
    <w:p>
      <w:pPr>
        <w:tabs>
          <w:tab w:val="left" w:pos="525"/>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4.货物和系统调试验收标准：</w:t>
      </w:r>
    </w:p>
    <w:p>
      <w:pPr>
        <w:tabs>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（五）交货条件：</w:t>
      </w:r>
    </w:p>
    <w:p>
      <w:pPr>
        <w:tabs>
          <w:tab w:val="left" w:pos="420"/>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1.交货日期（或完工期）：</w:t>
      </w:r>
    </w:p>
    <w:p>
      <w:pPr>
        <w:tabs>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color w:val="000000"/>
          <w:sz w:val="24"/>
          <w:szCs w:val="24"/>
        </w:rPr>
      </w:pPr>
      <w:r>
        <w:rPr>
          <w:rFonts w:hint="eastAsia" w:ascii="宋体" w:hAnsi="宋体"/>
          <w:bCs/>
          <w:color w:val="000000"/>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5.需方如要求供方提供招标文件及供方投标文件以外的其它服务，其费用另定。</w:t>
      </w:r>
    </w:p>
    <w:p>
      <w:pPr>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8.招标文件及合同中所述之“不可抗力”系指不可预见、不可避免、不可克服的事件，包括但不限于：战争、洪水、台风、地震及其他法律、法规规定的事件。</w:t>
      </w:r>
    </w:p>
    <w:p>
      <w:pPr>
        <w:pStyle w:val="101"/>
        <w:numPr>
          <w:ilvl w:val="0"/>
          <w:numId w:val="19"/>
        </w:numPr>
        <w:snapToGrid w:val="0"/>
        <w:spacing w:line="336" w:lineRule="auto"/>
        <w:ind w:firstLineChars="0"/>
        <w:rPr>
          <w:rFonts w:ascii="宋体"/>
          <w:bCs/>
          <w:color w:val="000000"/>
          <w:sz w:val="24"/>
          <w:szCs w:val="24"/>
        </w:rPr>
      </w:pPr>
      <w:r>
        <w:rPr>
          <w:rFonts w:hint="eastAsia" w:ascii="宋体" w:hAnsi="宋体"/>
          <w:bCs/>
          <w:color w:val="000000"/>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1.合同经供需双方代表签字并盖章，且在无锡市公共资源交易中心梁溪分中心见证后即生效。</w:t>
      </w:r>
    </w:p>
    <w:p>
      <w:pPr>
        <w:tabs>
          <w:tab w:val="left" w:pos="0"/>
          <w:tab w:val="left" w:pos="315"/>
          <w:tab w:val="left" w:pos="525"/>
          <w:tab w:val="left" w:pos="945"/>
        </w:tabs>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color w:val="000000"/>
          <w:sz w:val="24"/>
          <w:szCs w:val="24"/>
        </w:rPr>
        <w:t>由供需双方协商处理，若协商不成，</w:t>
      </w:r>
      <w:r>
        <w:rPr>
          <w:rFonts w:hint="eastAsia" w:ascii="宋体" w:hAnsi="宋体"/>
          <w:bCs/>
          <w:color w:val="000000"/>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color w:val="000000"/>
          <w:sz w:val="24"/>
          <w:szCs w:val="24"/>
        </w:rPr>
      </w:pPr>
      <w:r>
        <w:rPr>
          <w:rFonts w:hint="eastAsia" w:ascii="宋体" w:hAnsi="宋体"/>
          <w:color w:val="000000"/>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hAnsi="Calibri"/>
          <w:color w:val="000000"/>
          <w:sz w:val="24"/>
          <w:szCs w:val="24"/>
        </w:rPr>
      </w:pPr>
      <w:r>
        <w:rPr>
          <w:rFonts w:hint="eastAsia" w:ascii="宋体" w:hAnsi="宋体"/>
          <w:color w:val="000000"/>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color w:val="000000"/>
          <w:sz w:val="24"/>
          <w:szCs w:val="24"/>
        </w:rPr>
      </w:pPr>
      <w:r>
        <w:rPr>
          <w:rFonts w:hint="eastAsia" w:ascii="宋体" w:hAnsi="宋体"/>
          <w:bCs/>
          <w:color w:val="000000"/>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color w:val="000000"/>
          <w:sz w:val="24"/>
          <w:szCs w:val="24"/>
        </w:rPr>
      </w:pPr>
      <w:r>
        <w:rPr>
          <w:rFonts w:hint="eastAsia" w:ascii="宋体" w:hAnsi="宋体"/>
          <w:color w:val="000000"/>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ind w:firstLine="480" w:firstLineChars="200"/>
        <w:jc w:val="center"/>
        <w:rPr>
          <w:rFonts w:ascii="宋体" w:hAnsi="宋体"/>
          <w:bCs/>
          <w:color w:val="000000"/>
          <w:sz w:val="24"/>
          <w:szCs w:val="24"/>
        </w:rPr>
      </w:pPr>
    </w:p>
    <w:p>
      <w:pPr>
        <w:snapToGrid w:val="0"/>
        <w:spacing w:line="336" w:lineRule="auto"/>
        <w:rPr>
          <w:rFonts w:ascii="宋体" w:hAnsi="Calibri"/>
          <w:bCs/>
          <w:color w:val="000000"/>
          <w:sz w:val="24"/>
          <w:szCs w:val="24"/>
          <w:u w:val="single"/>
        </w:rPr>
      </w:pPr>
      <w:r>
        <w:rPr>
          <w:rFonts w:hint="eastAsia" w:ascii="宋体" w:hAnsi="宋体"/>
          <w:bCs/>
          <w:color w:val="000000"/>
          <w:sz w:val="24"/>
          <w:szCs w:val="24"/>
        </w:rPr>
        <w:t>需方（采购人）：（签章）                   供方（中标方）：（签章）</w:t>
      </w:r>
    </w:p>
    <w:p>
      <w:pPr>
        <w:snapToGrid w:val="0"/>
        <w:spacing w:line="336" w:lineRule="auto"/>
        <w:rPr>
          <w:rFonts w:ascii="宋体" w:hAnsi="宋体"/>
          <w:bCs/>
          <w:color w:val="000000"/>
          <w:sz w:val="24"/>
          <w:szCs w:val="24"/>
        </w:rPr>
      </w:pPr>
      <w:r>
        <w:rPr>
          <w:rFonts w:hint="eastAsia" w:ascii="宋体" w:hAnsi="宋体"/>
          <w:bCs/>
          <w:color w:val="000000"/>
          <w:sz w:val="24"/>
          <w:szCs w:val="24"/>
        </w:rPr>
        <w:t>法定（授权）代表人：                     法定（授权）代表人：</w:t>
      </w:r>
    </w:p>
    <w:p>
      <w:pPr>
        <w:snapToGrid w:val="0"/>
        <w:spacing w:line="336" w:lineRule="auto"/>
        <w:rPr>
          <w:rFonts w:ascii="宋体" w:hAnsi="宋体"/>
          <w:bCs/>
          <w:color w:val="000000"/>
          <w:sz w:val="24"/>
          <w:szCs w:val="24"/>
          <w:u w:val="single"/>
        </w:rPr>
      </w:pPr>
      <w:r>
        <w:rPr>
          <w:rFonts w:hint="eastAsia" w:ascii="宋体" w:hAnsi="宋体"/>
          <w:bCs/>
          <w:color w:val="000000"/>
          <w:sz w:val="24"/>
          <w:szCs w:val="24"/>
        </w:rPr>
        <w:t>地址：                                   地址：</w:t>
      </w:r>
    </w:p>
    <w:p>
      <w:pPr>
        <w:snapToGrid w:val="0"/>
        <w:spacing w:line="336" w:lineRule="auto"/>
        <w:ind w:firstLine="480" w:firstLineChars="200"/>
        <w:rPr>
          <w:rFonts w:ascii="宋体" w:hAnsi="Calibri"/>
          <w:bCs/>
          <w:color w:val="000000"/>
          <w:sz w:val="24"/>
          <w:szCs w:val="24"/>
          <w:u w:val="single"/>
        </w:rPr>
      </w:pPr>
      <w:r>
        <w:rPr>
          <w:rFonts w:hint="eastAsia" w:ascii="宋体" w:hAnsi="宋体"/>
          <w:bCs/>
          <w:color w:val="000000"/>
          <w:sz w:val="24"/>
          <w:szCs w:val="24"/>
        </w:rPr>
        <w:t>年    月    日                           年      月       日</w:t>
      </w:r>
    </w:p>
    <w:p>
      <w:pPr>
        <w:snapToGrid w:val="0"/>
        <w:spacing w:line="336" w:lineRule="auto"/>
        <w:ind w:firstLine="480" w:firstLineChars="200"/>
        <w:rPr>
          <w:rFonts w:ascii="宋体" w:hAnsi="宋体"/>
          <w:bCs/>
          <w:color w:val="000000"/>
          <w:sz w:val="24"/>
          <w:szCs w:val="24"/>
          <w:u w:val="single"/>
        </w:rPr>
      </w:pPr>
      <w:r>
        <w:rPr>
          <w:rFonts w:hint="eastAsia" w:ascii="宋体" w:hAnsi="宋体"/>
          <w:bCs/>
          <w:color w:val="000000"/>
          <w:sz w:val="24"/>
          <w:szCs w:val="24"/>
        </w:rPr>
        <w:t xml:space="preserve">                                     供方户名：</w:t>
      </w:r>
    </w:p>
    <w:p>
      <w:pPr>
        <w:snapToGrid w:val="0"/>
        <w:spacing w:line="336" w:lineRule="auto"/>
        <w:rPr>
          <w:rFonts w:ascii="宋体" w:hAnsi="宋体"/>
          <w:bCs/>
          <w:color w:val="000000"/>
          <w:sz w:val="24"/>
          <w:szCs w:val="24"/>
          <w:u w:val="single"/>
        </w:rPr>
      </w:pPr>
      <w:r>
        <w:rPr>
          <w:rFonts w:hint="eastAsia" w:ascii="宋体" w:hAnsi="宋体"/>
          <w:bCs/>
          <w:color w:val="000000"/>
          <w:sz w:val="24"/>
          <w:szCs w:val="24"/>
        </w:rPr>
        <w:t xml:space="preserve">                                         供方开户银行：</w:t>
      </w:r>
    </w:p>
    <w:p>
      <w:pPr>
        <w:snapToGrid w:val="0"/>
        <w:spacing w:line="336" w:lineRule="auto"/>
        <w:ind w:firstLine="480" w:firstLineChars="200"/>
        <w:rPr>
          <w:rFonts w:ascii="宋体" w:hAnsi="宋体"/>
          <w:bCs/>
          <w:color w:val="000000"/>
          <w:sz w:val="24"/>
          <w:szCs w:val="24"/>
        </w:rPr>
      </w:pPr>
      <w:r>
        <w:rPr>
          <w:rFonts w:hint="eastAsia" w:ascii="宋体" w:hAnsi="宋体"/>
          <w:bCs/>
          <w:color w:val="000000"/>
          <w:sz w:val="24"/>
          <w:szCs w:val="24"/>
        </w:rPr>
        <w:t xml:space="preserve">                                     供方帐号：</w:t>
      </w: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六.附件</w:t>
      </w: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附件一：评分标准</w:t>
      </w:r>
    </w:p>
    <w:p>
      <w:pPr>
        <w:numPr>
          <w:ilvl w:val="4"/>
          <w:numId w:val="16"/>
        </w:numPr>
        <w:tabs>
          <w:tab w:val="left" w:pos="420"/>
          <w:tab w:val="left" w:pos="525"/>
          <w:tab w:val="left" w:pos="945"/>
          <w:tab w:val="left" w:pos="1155"/>
          <w:tab w:val="left" w:pos="3823"/>
        </w:tabs>
        <w:spacing w:line="360" w:lineRule="auto"/>
        <w:ind w:left="0" w:firstLine="523" w:firstLineChars="21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价格（</w:t>
      </w:r>
      <w:r>
        <w:rPr>
          <w:rFonts w:hint="eastAsia" w:ascii="宋体" w:hAnsi="宋体"/>
          <w:b/>
          <w:bCs/>
          <w:color w:val="000000" w:themeColor="text1"/>
          <w:sz w:val="24"/>
          <w:szCs w:val="24"/>
          <w:lang w:val="en-US" w:eastAsia="zh-CN"/>
          <w14:textFill>
            <w14:solidFill>
              <w14:schemeClr w14:val="tx1"/>
            </w14:solidFill>
          </w14:textFill>
        </w:rPr>
        <w:t>30</w:t>
      </w:r>
      <w:r>
        <w:rPr>
          <w:rFonts w:hint="eastAsia" w:ascii="宋体" w:hAnsi="宋体"/>
          <w:b/>
          <w:bCs/>
          <w:color w:val="000000" w:themeColor="text1"/>
          <w:sz w:val="24"/>
          <w:szCs w:val="24"/>
          <w14:textFill>
            <w14:solidFill>
              <w14:schemeClr w14:val="tx1"/>
            </w14:solidFill>
          </w14:textFill>
        </w:rPr>
        <w:t>分）：</w:t>
      </w:r>
      <w:r>
        <w:rPr>
          <w:rFonts w:ascii="宋体" w:hAnsi="宋体"/>
          <w:b/>
          <w:bCs/>
          <w:color w:val="000000" w:themeColor="text1"/>
          <w:sz w:val="24"/>
          <w:szCs w:val="24"/>
          <w14:textFill>
            <w14:solidFill>
              <w14:schemeClr w14:val="tx1"/>
            </w14:solidFill>
          </w14:textFill>
        </w:rPr>
        <w:t xml:space="preserve"> </w:t>
      </w:r>
    </w:p>
    <w:p>
      <w:pPr>
        <w:tabs>
          <w:tab w:val="left" w:pos="945"/>
          <w:tab w:val="left" w:pos="1155"/>
        </w:tabs>
        <w:spacing w:line="360" w:lineRule="auto"/>
        <w:ind w:firstLine="566" w:firstLineChars="236"/>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投标报价得分</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评标基准价／投标报价</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×价格权值×</w:t>
      </w:r>
      <w:r>
        <w:rPr>
          <w:rFonts w:ascii="宋体" w:hAnsi="宋体"/>
          <w:bCs/>
          <w:color w:val="000000" w:themeColor="text1"/>
          <w:sz w:val="24"/>
          <w:szCs w:val="24"/>
          <w14:textFill>
            <w14:solidFill>
              <w14:schemeClr w14:val="tx1"/>
            </w14:solidFill>
          </w14:textFill>
        </w:rPr>
        <w:t>100</w:t>
      </w:r>
      <w:r>
        <w:rPr>
          <w:rFonts w:hint="eastAsia" w:ascii="宋体" w:hAnsi="宋体"/>
          <w:bCs/>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bCs/>
          <w:color w:val="FF0000"/>
          <w:sz w:val="24"/>
          <w:szCs w:val="24"/>
        </w:rPr>
      </w:pPr>
      <w:r>
        <w:rPr>
          <w:rFonts w:hint="eastAsia" w:ascii="宋体" w:hAnsi="宋体"/>
          <w:bCs/>
          <w:color w:val="000000" w:themeColor="text1"/>
          <w:sz w:val="24"/>
          <w:szCs w:val="24"/>
          <w14:textFill>
            <w14:solidFill>
              <w14:schemeClr w14:val="tx1"/>
            </w14:solidFill>
          </w14:textFill>
        </w:rPr>
        <w:t>价格扣除：</w:t>
      </w:r>
      <w:r>
        <w:rPr>
          <w:rFonts w:ascii="宋体" w:hAnsi="宋体"/>
          <w:bCs/>
          <w:sz w:val="24"/>
          <w:szCs w:val="24"/>
        </w:rPr>
        <w:t>专门面向中小/小微企业的项目不予价格扣除。</w:t>
      </w:r>
    </w:p>
    <w:p>
      <w:pPr>
        <w:tabs>
          <w:tab w:val="left" w:pos="945"/>
          <w:tab w:val="left" w:pos="1155"/>
        </w:tabs>
        <w:spacing w:line="360" w:lineRule="auto"/>
        <w:ind w:firstLine="480" w:firstLineChars="200"/>
        <w:rPr>
          <w:rFonts w:ascii="宋体" w:hAnsi="宋体" w:eastAsia="宋体" w:cs="Times New Roman"/>
          <w:b/>
          <w:bCs/>
          <w:sz w:val="24"/>
          <w:szCs w:val="24"/>
        </w:rPr>
      </w:pP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2</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rPr>
        <w:t>投标人综合情况（</w:t>
      </w:r>
      <w:r>
        <w:rPr>
          <w:rFonts w:hint="eastAsia" w:ascii="宋体" w:hAnsi="宋体" w:eastAsia="宋体" w:cs="Times New Roman"/>
          <w:b/>
          <w:bCs/>
          <w:sz w:val="24"/>
          <w:szCs w:val="24"/>
          <w:lang w:val="en-US" w:eastAsia="zh-CN"/>
        </w:rPr>
        <w:t>26</w:t>
      </w:r>
      <w:r>
        <w:rPr>
          <w:rFonts w:hint="eastAsia" w:ascii="宋体" w:hAnsi="宋体" w:eastAsia="宋体" w:cs="Times New Roman"/>
          <w:b/>
          <w:bCs/>
          <w:sz w:val="24"/>
          <w:szCs w:val="24"/>
        </w:rPr>
        <w:t>分）：相关证书及合同原件上传至投标系统中</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rPr>
        <w:t>相关证书信息及有效性须可在国家认监委官方网站</w:t>
      </w:r>
      <w:r>
        <w:rPr>
          <w:rFonts w:hint="eastAsia" w:ascii="宋体" w:hAnsi="宋体" w:eastAsia="宋体" w:cs="宋体"/>
          <w:b/>
          <w:bCs/>
          <w:sz w:val="24"/>
        </w:rPr>
        <w:t>（www.cnca.gov.cn）上查询，否则不得分。</w:t>
      </w:r>
    </w:p>
    <w:p>
      <w:pPr>
        <w:ind w:firstLine="480" w:firstLineChars="200"/>
        <w:rPr>
          <w:rFonts w:hint="eastAsia" w:ascii="宋体" w:hAnsi="宋体"/>
          <w:bCs/>
          <w:sz w:val="24"/>
          <w:szCs w:val="24"/>
        </w:rPr>
      </w:pPr>
      <w:r>
        <w:rPr>
          <w:rFonts w:hint="eastAsia" w:ascii="宋体" w:hAnsi="宋体"/>
          <w:bCs/>
          <w:sz w:val="24"/>
          <w:szCs w:val="24"/>
        </w:rPr>
        <w:t>①</w:t>
      </w:r>
      <w:r>
        <w:rPr>
          <w:rFonts w:hint="eastAsia" w:ascii="宋体" w:hAnsi="宋体"/>
          <w:bCs/>
          <w:sz w:val="24"/>
          <w:szCs w:val="24"/>
          <w:lang w:val="en-US" w:eastAsia="zh-CN"/>
        </w:rPr>
        <w:t>证书</w:t>
      </w: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a.具有中国网络安全审查技术与认证中心颁发的《信息安全服务资质》-信息安全风险评估类证书，二级以上的，得1分。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b.具有中国网络安全审查技术与认证中心颁发的《信息安全服务资质》-信息安全应急处理服务证书，二级以上的，得1分。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c.具有由国家认监委认可的认证中心颁发的质量管理体系认证证书ISO9001（认证范围：信息安全等级保护测评），得1分；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d.具有由国家认监委认可的认证中心颁发的信息安全管理体系认证证书ISO27001（认证范围：信息安全等级保护测评），得1分；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e.具有由国家认监委认可的认证中心颁发的合规管理体系认证证书GB/T35770，得1分；</w:t>
      </w:r>
    </w:p>
    <w:p>
      <w:pPr>
        <w:tabs>
          <w:tab w:val="left" w:pos="945"/>
          <w:tab w:val="left" w:pos="1155"/>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f.参选人具有社会责任管理体系认证证书SA8000（认证范围：网络安全等级保护测评，风险评估），得1分。</w:t>
      </w:r>
    </w:p>
    <w:p>
      <w:pPr>
        <w:pStyle w:val="11"/>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②业绩（</w:t>
      </w:r>
      <w:r>
        <w:rPr>
          <w:rFonts w:hint="eastAsia" w:ascii="宋体" w:hAnsi="宋体" w:eastAsia="宋体" w:cs="Times New Roman"/>
          <w:bCs/>
          <w:sz w:val="24"/>
          <w:szCs w:val="24"/>
          <w:lang w:val="en-US" w:eastAsia="zh-CN"/>
        </w:rPr>
        <w:t>8</w:t>
      </w:r>
      <w:r>
        <w:rPr>
          <w:rFonts w:hint="eastAsia" w:ascii="宋体" w:hAnsi="宋体" w:eastAsia="宋体" w:cs="Times New Roman"/>
          <w:bCs/>
          <w:sz w:val="24"/>
          <w:szCs w:val="24"/>
        </w:rPr>
        <w:t>分）：提供自20</w:t>
      </w:r>
      <w:r>
        <w:rPr>
          <w:rFonts w:hint="eastAsia" w:ascii="宋体" w:hAnsi="宋体" w:eastAsia="宋体" w:cs="Times New Roman"/>
          <w:bCs/>
          <w:sz w:val="24"/>
          <w:szCs w:val="24"/>
          <w:lang w:val="en-US" w:eastAsia="zh-CN"/>
        </w:rPr>
        <w:t>19</w:t>
      </w:r>
      <w:r>
        <w:rPr>
          <w:rFonts w:hint="eastAsia" w:ascii="宋体" w:hAnsi="宋体" w:eastAsia="宋体" w:cs="Times New Roman"/>
          <w:bCs/>
          <w:sz w:val="24"/>
          <w:szCs w:val="24"/>
        </w:rPr>
        <w:t>年1 月 1 日至</w:t>
      </w:r>
      <w:r>
        <w:rPr>
          <w:rFonts w:hint="eastAsia" w:ascii="宋体" w:hAnsi="宋体" w:eastAsia="宋体" w:cs="Times New Roman"/>
          <w:bCs/>
          <w:sz w:val="24"/>
          <w:szCs w:val="24"/>
          <w:lang w:val="en-US" w:eastAsia="zh-CN"/>
        </w:rPr>
        <w:t>投标</w:t>
      </w:r>
      <w:r>
        <w:rPr>
          <w:rFonts w:hint="eastAsia" w:ascii="宋体" w:hAnsi="宋体" w:eastAsia="宋体" w:cs="Times New Roman"/>
          <w:bCs/>
          <w:sz w:val="24"/>
          <w:szCs w:val="24"/>
        </w:rPr>
        <w:t>截止之日前，承担过网络安全等级测评服务相关案例，</w:t>
      </w:r>
      <w:r>
        <w:rPr>
          <w:rFonts w:hint="eastAsia" w:ascii="宋体" w:hAnsi="宋体" w:eastAsia="宋体" w:cs="Times New Roman"/>
          <w:bCs/>
          <w:sz w:val="24"/>
          <w:szCs w:val="24"/>
          <w:lang w:val="en-US" w:eastAsia="zh-CN"/>
        </w:rPr>
        <w:t>提供一个有效合同</w:t>
      </w:r>
      <w:r>
        <w:rPr>
          <w:rFonts w:hint="eastAsia" w:ascii="宋体" w:hAnsi="宋体" w:eastAsia="宋体" w:cs="Times New Roman"/>
          <w:bCs/>
          <w:sz w:val="24"/>
          <w:szCs w:val="24"/>
        </w:rPr>
        <w:t>得2分，最高得</w:t>
      </w:r>
      <w:r>
        <w:rPr>
          <w:rFonts w:hint="eastAsia" w:ascii="宋体" w:hAnsi="宋体" w:eastAsia="宋体" w:cs="Times New Roman"/>
          <w:bCs/>
          <w:sz w:val="24"/>
          <w:szCs w:val="24"/>
          <w:lang w:val="en-US" w:eastAsia="zh-CN"/>
        </w:rPr>
        <w:t>8</w:t>
      </w:r>
      <w:r>
        <w:rPr>
          <w:rFonts w:hint="eastAsia" w:ascii="宋体" w:hAnsi="宋体" w:eastAsia="宋体" w:cs="Times New Roman"/>
          <w:bCs/>
          <w:sz w:val="24"/>
          <w:szCs w:val="24"/>
        </w:rPr>
        <w:t>分。</w:t>
      </w:r>
    </w:p>
    <w:p>
      <w:pPr>
        <w:tabs>
          <w:tab w:val="left" w:pos="945"/>
          <w:tab w:val="left" w:pos="1155"/>
        </w:tabs>
        <w:spacing w:line="360" w:lineRule="auto"/>
        <w:ind w:firstLine="480" w:firstLineChars="200"/>
        <w:rPr>
          <w:rFonts w:hint="eastAsia" w:ascii="宋体" w:hAnsi="宋体"/>
          <w:bCs/>
          <w:sz w:val="24"/>
          <w:szCs w:val="24"/>
        </w:rPr>
      </w:pPr>
      <w:r>
        <w:rPr>
          <w:rFonts w:hint="eastAsia" w:ascii="宋体" w:hAnsi="宋体"/>
          <w:sz w:val="24"/>
          <w:szCs w:val="24"/>
        </w:rPr>
        <w:t>③</w:t>
      </w:r>
      <w:r>
        <w:rPr>
          <w:rFonts w:hint="eastAsia" w:ascii="宋体" w:hAnsi="宋体"/>
          <w:bCs/>
          <w:sz w:val="24"/>
          <w:szCs w:val="24"/>
        </w:rPr>
        <w:t>项目人员配置（</w:t>
      </w:r>
      <w:r>
        <w:rPr>
          <w:rFonts w:hint="eastAsia" w:ascii="宋体" w:hAnsi="宋体"/>
          <w:bCs/>
          <w:sz w:val="24"/>
          <w:szCs w:val="24"/>
          <w:lang w:val="en-US" w:eastAsia="zh-CN"/>
        </w:rPr>
        <w:t>10</w:t>
      </w:r>
      <w:r>
        <w:rPr>
          <w:rFonts w:hint="eastAsia" w:ascii="宋体" w:hAnsi="宋体"/>
          <w:bCs/>
          <w:sz w:val="24"/>
          <w:szCs w:val="24"/>
        </w:rPr>
        <w:t>分）：以投标人填列的《项目人员配置清单》及按要求提供的证明材料为准。</w:t>
      </w:r>
    </w:p>
    <w:p>
      <w:pPr>
        <w:tabs>
          <w:tab w:val="left" w:pos="945"/>
          <w:tab w:val="left" w:pos="1155"/>
        </w:tabs>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a.</w:t>
      </w:r>
      <w:r>
        <w:rPr>
          <w:rFonts w:hint="eastAsia" w:ascii="宋体" w:hAnsi="宋体" w:eastAsia="宋体" w:cs="Times New Roman"/>
          <w:bCs/>
          <w:sz w:val="24"/>
          <w:szCs w:val="24"/>
        </w:rPr>
        <w:t>项目经理同时具备高级测评师、CISP证书、IT服务项目经理证书、CIIP-A（物联网安全）证书全部满足的得5分，缺一项不得分。（提供人员连续六个月(至少包含近六个月中任意一个月份(不含投标当月))的社保缴纳证明材料）</w:t>
      </w:r>
    </w:p>
    <w:p>
      <w:pPr>
        <w:tabs>
          <w:tab w:val="left" w:pos="945"/>
          <w:tab w:val="left" w:pos="1155"/>
        </w:tabs>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b.</w:t>
      </w:r>
      <w:r>
        <w:rPr>
          <w:rFonts w:hint="eastAsia" w:ascii="宋体" w:hAnsi="宋体" w:eastAsia="宋体" w:cs="Times New Roman"/>
          <w:bCs/>
          <w:sz w:val="24"/>
          <w:szCs w:val="24"/>
        </w:rPr>
        <w:t>除项目经理外，项目组其他成员同时具有等级测评师同时具有CIIP-A认证的，每有一人得1分，最高得5分。（提供人员连续三个月(至少包含近三个月中任意一个月份(不含投标当月))的社保缴纳证明材料）</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⑤本地化服务（</w:t>
      </w:r>
      <w:r>
        <w:rPr>
          <w:rFonts w:hint="eastAsia" w:ascii="宋体" w:hAnsi="宋体"/>
          <w:bCs/>
          <w:sz w:val="24"/>
          <w:szCs w:val="24"/>
          <w:lang w:val="en-US" w:eastAsia="zh-CN"/>
        </w:rPr>
        <w:t>2</w:t>
      </w:r>
      <w:r>
        <w:rPr>
          <w:rFonts w:hint="eastAsia" w:ascii="宋体" w:hAnsi="宋体"/>
          <w:bCs/>
          <w:sz w:val="24"/>
          <w:szCs w:val="24"/>
        </w:rPr>
        <w:t>分）：本地投标人不需提供资料。投标人不在本地的，须在本地设立常驻售后服务机构或派驻本地服务人员，并提供本地办公场所（自有的或租赁的）相关证明复印件或本项目所有售后服务相关人员连续三个月(至少包含近三个月中任意一个月份(不含投标当月))的社保缴纳证明材料复印件。</w:t>
      </w:r>
    </w:p>
    <w:p>
      <w:pPr>
        <w:tabs>
          <w:tab w:val="left" w:pos="945"/>
          <w:tab w:val="left" w:pos="1155"/>
        </w:tabs>
        <w:spacing w:line="360" w:lineRule="auto"/>
        <w:ind w:firstLine="480" w:firstLineChars="200"/>
        <w:rPr>
          <w:rFonts w:ascii="宋体" w:hAnsi="宋体"/>
          <w:bCs/>
          <w:sz w:val="24"/>
          <w:szCs w:val="24"/>
        </w:rPr>
      </w:pPr>
      <w:r>
        <w:rPr>
          <w:rFonts w:ascii="宋体" w:hAnsi="宋体"/>
          <w:b/>
          <w:bCs/>
          <w:sz w:val="24"/>
          <w:szCs w:val="24"/>
        </w:rPr>
        <w:t>（</w:t>
      </w:r>
      <w:r>
        <w:rPr>
          <w:rFonts w:hint="eastAsia" w:ascii="宋体" w:hAnsi="宋体"/>
          <w:b/>
          <w:bCs/>
          <w:sz w:val="24"/>
          <w:szCs w:val="24"/>
        </w:rPr>
        <w:t>3</w:t>
      </w:r>
      <w:r>
        <w:rPr>
          <w:rFonts w:ascii="宋体" w:hAnsi="宋体"/>
          <w:b/>
          <w:bCs/>
          <w:sz w:val="24"/>
          <w:szCs w:val="24"/>
        </w:rPr>
        <w:t>）</w:t>
      </w:r>
      <w:r>
        <w:rPr>
          <w:rFonts w:hint="eastAsia" w:ascii="宋体" w:hAnsi="宋体"/>
          <w:b/>
          <w:bCs/>
          <w:sz w:val="24"/>
          <w:szCs w:val="24"/>
        </w:rPr>
        <w:t xml:space="preserve"> </w:t>
      </w:r>
      <w:r>
        <w:rPr>
          <w:rFonts w:hint="eastAsia" w:ascii="宋体" w:hAnsi="宋体"/>
          <w:b/>
          <w:bCs/>
          <w:sz w:val="24"/>
          <w:szCs w:val="24"/>
          <w:lang w:val="en-US" w:eastAsia="zh-CN"/>
        </w:rPr>
        <w:t>项目</w:t>
      </w:r>
      <w:r>
        <w:rPr>
          <w:rFonts w:hint="eastAsia" w:ascii="宋体" w:hAnsi="宋体"/>
          <w:b/>
          <w:bCs/>
          <w:sz w:val="24"/>
          <w:szCs w:val="24"/>
        </w:rPr>
        <w:t>方案（</w:t>
      </w:r>
      <w:r>
        <w:rPr>
          <w:rFonts w:hint="eastAsia" w:ascii="宋体" w:hAnsi="宋体"/>
          <w:b/>
          <w:bCs/>
          <w:sz w:val="24"/>
          <w:szCs w:val="24"/>
          <w:lang w:val="en-US" w:eastAsia="zh-CN"/>
        </w:rPr>
        <w:t>44</w:t>
      </w:r>
      <w:r>
        <w:rPr>
          <w:rFonts w:hint="eastAsia" w:ascii="宋体" w:hAnsi="宋体"/>
          <w:b/>
          <w:bCs/>
          <w:sz w:val="24"/>
          <w:szCs w:val="24"/>
        </w:rPr>
        <w:t>分）</w:t>
      </w:r>
      <w:r>
        <w:rPr>
          <w:rFonts w:hint="eastAsia" w:ascii="宋体" w:hAnsi="宋体"/>
          <w:bCs/>
          <w:sz w:val="24"/>
          <w:szCs w:val="24"/>
        </w:rPr>
        <w:t>：</w:t>
      </w:r>
      <w:r>
        <w:rPr>
          <w:rFonts w:hint="eastAsia" w:ascii="宋体" w:hAnsi="宋体"/>
          <w:b/>
          <w:bCs/>
          <w:color w:val="000000" w:themeColor="text1"/>
          <w:sz w:val="24"/>
          <w:szCs w:val="24"/>
          <w14:textFill>
            <w14:solidFill>
              <w14:schemeClr w14:val="tx1"/>
            </w14:solidFill>
          </w14:textFill>
        </w:rPr>
        <w:t>无方案不得分</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b/>
          <w:bCs/>
          <w:color w:val="000000" w:themeColor="text1"/>
          <w:sz w:val="24"/>
          <w:szCs w:val="24"/>
          <w:lang w:val="en-US" w:eastAsia="zh-CN"/>
          <w14:textFill>
            <w14:solidFill>
              <w14:schemeClr w14:val="tx1"/>
            </w14:solidFill>
          </w14:textFill>
        </w:rPr>
        <w:t>评委根据横向比较综合打分</w:t>
      </w:r>
      <w:r>
        <w:rPr>
          <w:rFonts w:hint="eastAsia" w:ascii="宋体" w:hAnsi="宋体"/>
          <w:b/>
          <w:bCs/>
          <w:color w:val="000000" w:themeColor="text1"/>
          <w:sz w:val="24"/>
          <w:szCs w:val="24"/>
          <w14:textFill>
            <w14:solidFill>
              <w14:schemeClr w14:val="tx1"/>
            </w14:solidFill>
          </w14:textFill>
        </w:rPr>
        <w:t>。</w:t>
      </w:r>
    </w:p>
    <w:p>
      <w:pPr>
        <w:tabs>
          <w:tab w:val="left" w:pos="945"/>
          <w:tab w:val="left" w:pos="1155"/>
        </w:tabs>
        <w:spacing w:line="360" w:lineRule="auto"/>
        <w:ind w:firstLine="480" w:firstLineChars="200"/>
        <w:rPr>
          <w:rFonts w:hint="eastAsia" w:ascii="宋体" w:hAnsi="宋体" w:eastAsia="宋体" w:cs="Times New Roman"/>
          <w:bCs/>
          <w:color w:val="000000" w:themeColor="text1"/>
          <w:sz w:val="24"/>
          <w:szCs w:val="24"/>
          <w:lang w:val="en-US"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①技术服务方案（</w:t>
      </w:r>
      <w:r>
        <w:rPr>
          <w:rFonts w:hint="eastAsia" w:ascii="宋体" w:hAnsi="宋体" w:eastAsia="宋体" w:cs="Times New Roman"/>
          <w:bCs/>
          <w:color w:val="000000" w:themeColor="text1"/>
          <w:sz w:val="24"/>
          <w:szCs w:val="24"/>
          <w:lang w:val="en-US" w:eastAsia="zh-CN"/>
          <w14:textFill>
            <w14:solidFill>
              <w14:schemeClr w14:val="tx1"/>
            </w14:solidFill>
          </w14:textFill>
        </w:rPr>
        <w:t>14</w:t>
      </w:r>
      <w:r>
        <w:rPr>
          <w:rFonts w:hint="eastAsia" w:ascii="宋体" w:hAnsi="宋体" w:eastAsia="宋体" w:cs="Times New Roman"/>
          <w:bCs/>
          <w:color w:val="000000" w:themeColor="text1"/>
          <w:sz w:val="24"/>
          <w:szCs w:val="24"/>
          <w14:textFill>
            <w14:solidFill>
              <w14:schemeClr w14:val="tx1"/>
            </w14:solidFill>
          </w14:textFill>
        </w:rPr>
        <w:t>分）：提供技术服务方案，内容包含测评内容、测评指标、测评方法和测评流程。（可根据方案内容进行细化主观分分值）根据方案是否合理可行进行评分</w:t>
      </w:r>
      <w:r>
        <w:rPr>
          <w:rFonts w:hint="eastAsia" w:ascii="宋体" w:hAnsi="宋体" w:eastAsia="宋体" w:cs="Times New Roman"/>
          <w:bCs/>
          <w:color w:val="000000" w:themeColor="text1"/>
          <w:sz w:val="24"/>
          <w:szCs w:val="24"/>
          <w:lang w:eastAsia="zh-CN"/>
          <w14:textFill>
            <w14:solidFill>
              <w14:schemeClr w14:val="tx1"/>
            </w14:solidFill>
          </w14:textFill>
        </w:rPr>
        <w:t>。</w:t>
      </w:r>
    </w:p>
    <w:p>
      <w:pPr>
        <w:tabs>
          <w:tab w:val="left" w:pos="945"/>
          <w:tab w:val="left" w:pos="1155"/>
        </w:tabs>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②风险识别与规避方案（</w:t>
      </w:r>
      <w:r>
        <w:rPr>
          <w:rFonts w:hint="eastAsia" w:ascii="宋体" w:hAnsi="宋体" w:eastAsia="宋体" w:cs="Times New Roman"/>
          <w:bCs/>
          <w:color w:val="000000" w:themeColor="text1"/>
          <w:sz w:val="24"/>
          <w:szCs w:val="24"/>
          <w:lang w:val="en-US" w:eastAsia="zh-CN"/>
          <w14:textFill>
            <w14:solidFill>
              <w14:schemeClr w14:val="tx1"/>
            </w14:solidFill>
          </w14:textFill>
        </w:rPr>
        <w:t>10</w:t>
      </w:r>
      <w:r>
        <w:rPr>
          <w:rFonts w:hint="eastAsia" w:ascii="宋体" w:hAnsi="宋体" w:eastAsia="宋体" w:cs="Times New Roman"/>
          <w:bCs/>
          <w:color w:val="000000" w:themeColor="text1"/>
          <w:sz w:val="24"/>
          <w:szCs w:val="24"/>
          <w14:textFill>
            <w14:solidFill>
              <w14:schemeClr w14:val="tx1"/>
            </w14:solidFill>
          </w14:textFill>
        </w:rPr>
        <w:t>分）：提供测评风险识别与规避方案。风险识别全面，预防或解决措施有效。根据方案是否合理可行进行评分</w:t>
      </w:r>
      <w:r>
        <w:rPr>
          <w:rFonts w:hint="eastAsia" w:ascii="宋体" w:hAnsi="宋体" w:eastAsia="宋体" w:cs="Times New Roman"/>
          <w:bCs/>
          <w:color w:val="000000" w:themeColor="text1"/>
          <w:sz w:val="24"/>
          <w:szCs w:val="24"/>
          <w:lang w:eastAsia="zh-CN"/>
          <w14:textFill>
            <w14:solidFill>
              <w14:schemeClr w14:val="tx1"/>
            </w14:solidFill>
          </w14:textFill>
        </w:rPr>
        <w:t>。</w:t>
      </w:r>
    </w:p>
    <w:p>
      <w:pPr>
        <w:tabs>
          <w:tab w:val="left" w:pos="945"/>
          <w:tab w:val="left" w:pos="1155"/>
        </w:tabs>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③应急响应服务方案（</w:t>
      </w:r>
      <w:r>
        <w:rPr>
          <w:rFonts w:hint="eastAsia" w:ascii="宋体" w:hAnsi="宋体" w:eastAsia="宋体" w:cs="Times New Roman"/>
          <w:bCs/>
          <w:color w:val="000000" w:themeColor="text1"/>
          <w:sz w:val="24"/>
          <w:szCs w:val="24"/>
          <w:lang w:val="en-US" w:eastAsia="zh-CN"/>
          <w14:textFill>
            <w14:solidFill>
              <w14:schemeClr w14:val="tx1"/>
            </w14:solidFill>
          </w14:textFill>
        </w:rPr>
        <w:t>10分</w:t>
      </w:r>
      <w:r>
        <w:rPr>
          <w:rFonts w:hint="eastAsia" w:ascii="宋体" w:hAnsi="宋体" w:eastAsia="宋体" w:cs="Times New Roman"/>
          <w:bCs/>
          <w:color w:val="000000" w:themeColor="text1"/>
          <w:sz w:val="24"/>
          <w:szCs w:val="24"/>
          <w14:textFill>
            <w14:solidFill>
              <w14:schemeClr w14:val="tx1"/>
            </w14:solidFill>
          </w14:textFill>
        </w:rPr>
        <w:t>）：根据参选人提供的应急响应方案进行评分，内容包括：7*24小时热线电话服务、服务响应时间具有合理的服务受理、各类处理流程机制、具有完善的人员调配制度和节假日响应机制等。根据方案是否合理可行进行评分</w:t>
      </w:r>
      <w:r>
        <w:rPr>
          <w:rFonts w:hint="eastAsia" w:ascii="宋体" w:hAnsi="宋体" w:eastAsia="宋体" w:cs="Times New Roman"/>
          <w:bCs/>
          <w:color w:val="000000" w:themeColor="text1"/>
          <w:sz w:val="24"/>
          <w:szCs w:val="24"/>
          <w:lang w:eastAsia="zh-CN"/>
          <w14:textFill>
            <w14:solidFill>
              <w14:schemeClr w14:val="tx1"/>
            </w14:solidFill>
          </w14:textFill>
        </w:rPr>
        <w:t>。</w:t>
      </w:r>
    </w:p>
    <w:p>
      <w:pPr>
        <w:tabs>
          <w:tab w:val="left" w:pos="945"/>
          <w:tab w:val="left" w:pos="1155"/>
        </w:tabs>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④售后服务方案（</w:t>
      </w:r>
      <w:r>
        <w:rPr>
          <w:rFonts w:hint="eastAsia" w:ascii="宋体" w:hAnsi="宋体" w:eastAsia="宋体" w:cs="Times New Roman"/>
          <w:bCs/>
          <w:color w:val="000000" w:themeColor="text1"/>
          <w:sz w:val="24"/>
          <w:szCs w:val="24"/>
          <w:lang w:val="en-US" w:eastAsia="zh-CN"/>
          <w14:textFill>
            <w14:solidFill>
              <w14:schemeClr w14:val="tx1"/>
            </w14:solidFill>
          </w14:textFill>
        </w:rPr>
        <w:t>10</w:t>
      </w:r>
      <w:r>
        <w:rPr>
          <w:rFonts w:hint="eastAsia" w:ascii="宋体" w:hAnsi="宋体" w:eastAsia="宋体" w:cs="Times New Roman"/>
          <w:bCs/>
          <w:color w:val="000000" w:themeColor="text1"/>
          <w:sz w:val="24"/>
          <w:szCs w:val="24"/>
          <w14:textFill>
            <w14:solidFill>
              <w14:schemeClr w14:val="tx1"/>
            </w14:solidFill>
          </w14:textFill>
        </w:rPr>
        <w:t>分）：对参选人提供的售后服务方案进行比较打分，售后服务方案应完整，措施详细。根据方案是否合理可行进行评分</w:t>
      </w:r>
      <w:r>
        <w:rPr>
          <w:rFonts w:hint="eastAsia" w:ascii="宋体" w:hAnsi="宋体" w:eastAsia="宋体" w:cs="Times New Roman"/>
          <w:bCs/>
          <w:color w:val="000000" w:themeColor="text1"/>
          <w:sz w:val="24"/>
          <w:szCs w:val="24"/>
          <w:lang w:eastAsia="zh-CN"/>
          <w14:textFill>
            <w14:solidFill>
              <w14:schemeClr w14:val="tx1"/>
            </w14:solidFill>
          </w14:textFill>
        </w:rPr>
        <w:t>。</w:t>
      </w:r>
    </w:p>
    <w:p>
      <w:pPr>
        <w:pStyle w:val="12"/>
        <w:ind w:left="420" w:hanging="420"/>
      </w:pPr>
    </w:p>
    <w:p>
      <w:pPr>
        <w:widowControl/>
        <w:jc w:val="left"/>
      </w:pPr>
      <w:r>
        <w:br w:type="page"/>
      </w: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附件二：投标文件格式</w:t>
      </w:r>
    </w:p>
    <w:p>
      <w:pPr>
        <w:rPr>
          <w:rFonts w:ascii="黑体" w:eastAsia="黑体"/>
          <w:bCs/>
          <w:color w:val="000000" w:themeColor="text1"/>
          <w:sz w:val="32"/>
          <w14:textFill>
            <w14:solidFill>
              <w14:schemeClr w14:val="tx1"/>
            </w14:solidFill>
          </w14:textFill>
        </w:rPr>
      </w:pPr>
    </w:p>
    <w:p>
      <w:pPr>
        <w:pStyle w:val="11"/>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投</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标</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文</w:t>
      </w:r>
    </w:p>
    <w:p>
      <w:pPr>
        <w:jc w:val="center"/>
        <w:rPr>
          <w:rFonts w:ascii="黑体" w:eastAsia="黑体"/>
          <w:bCs/>
          <w:color w:val="000000" w:themeColor="text1"/>
          <w:sz w:val="52"/>
          <w:szCs w:val="5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件</w:t>
      </w:r>
    </w:p>
    <w:p>
      <w:pP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28"/>
          <w14:textFill>
            <w14:solidFill>
              <w14:schemeClr w14:val="tx1"/>
            </w14:solidFill>
          </w14:textFill>
        </w:rPr>
      </w:pPr>
    </w:p>
    <w:p>
      <w:pPr>
        <w:ind w:firstLine="2715"/>
        <w:rPr>
          <w:rFonts w:hint="eastAsia"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采购项目编号：</w:t>
      </w:r>
      <w:r>
        <w:rPr>
          <w:rFonts w:hint="eastAsia" w:ascii="黑体" w:eastAsia="黑体"/>
          <w:bCs/>
          <w:color w:val="000000" w:themeColor="text1"/>
          <w:sz w:val="28"/>
          <w:szCs w:val="28"/>
          <w:lang w:eastAsia="zh-CN"/>
          <w14:textFill>
            <w14:solidFill>
              <w14:schemeClr w14:val="tx1"/>
            </w14:solidFill>
          </w14:textFill>
        </w:rPr>
        <w:t>LXZC2022-023</w:t>
      </w:r>
    </w:p>
    <w:p>
      <w:pPr>
        <w:ind w:firstLine="2703"/>
        <w:rPr>
          <w:rFonts w:hint="eastAsia"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采购项目名称：</w:t>
      </w:r>
      <w:r>
        <w:rPr>
          <w:rFonts w:hint="eastAsia" w:ascii="黑体" w:eastAsia="黑体"/>
          <w:bCs/>
          <w:color w:val="000000" w:themeColor="text1"/>
          <w:sz w:val="28"/>
          <w:szCs w:val="28"/>
          <w:lang w:eastAsia="zh-CN"/>
          <w14:textFill>
            <w14:solidFill>
              <w14:schemeClr w14:val="tx1"/>
            </w14:solidFill>
          </w14:textFill>
        </w:rPr>
        <w:t>梁溪区社会治理现代化智慧工程项目一期（智慧梁溪2021年项目）信息安全等级保护测评项目</w:t>
      </w:r>
    </w:p>
    <w:p>
      <w:pPr>
        <w:ind w:firstLine="2703"/>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投标人：</w:t>
      </w: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二○二二年</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月</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日</w:t>
      </w:r>
    </w:p>
    <w:p>
      <w:pPr>
        <w:outlineLvl w:val="0"/>
        <w:rPr>
          <w:rFonts w:ascii="黑体" w:hAnsi="宋体" w:eastAsia="黑体"/>
          <w:bCs/>
          <w:color w:val="000000" w:themeColor="text1"/>
          <w:sz w:val="24"/>
          <w:szCs w:val="24"/>
          <w14:textFill>
            <w14:solidFill>
              <w14:schemeClr w14:val="tx1"/>
            </w14:solidFill>
          </w14:textFill>
        </w:rPr>
      </w:pPr>
      <w:bookmarkStart w:id="2" w:name="一．报价函（格式）"/>
      <w:bookmarkEnd w:id="2"/>
    </w:p>
    <w:p>
      <w:pPr>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pStyle w:val="31"/>
      </w:pP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（一）投标函（格式）：</w:t>
      </w:r>
    </w:p>
    <w:p>
      <w:pPr>
        <w:outlineLvl w:val="0"/>
        <w:rPr>
          <w:rFonts w:ascii="宋体"/>
          <w:b/>
          <w:bCs/>
          <w:color w:val="000000" w:themeColor="text1"/>
          <w:sz w:val="24"/>
          <w:szCs w:val="24"/>
          <w14:textFill>
            <w14:solidFill>
              <w14:schemeClr w14:val="tx1"/>
            </w14:solidFill>
          </w14:textFill>
        </w:rPr>
      </w:pP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致无锡市公共资源交易中心梁溪分中心：</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lang w:eastAsia="zh-CN"/>
          <w14:textFill>
            <w14:solidFill>
              <w14:schemeClr w14:val="tx1"/>
            </w14:solidFill>
          </w14:textFill>
        </w:rPr>
        <w:t>LXZC2022-023</w:t>
      </w:r>
      <w:r>
        <w:rPr>
          <w:rFonts w:hint="eastAsia" w:ascii="宋体" w:hAnsi="宋体"/>
          <w:bCs/>
          <w:color w:val="000000" w:themeColor="text1"/>
          <w:sz w:val="24"/>
          <w:szCs w:val="24"/>
          <w14:textFill>
            <w14:solidFill>
              <w14:schemeClr w14:val="tx1"/>
            </w14:solidFill>
          </w14:textFill>
        </w:rPr>
        <w:t>招标文件，经仔细阅读和研究，我方决定参加此项目的投标。</w:t>
      </w:r>
    </w:p>
    <w:p>
      <w:pPr>
        <w:numPr>
          <w:ilvl w:val="0"/>
          <w:numId w:val="20"/>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我方愿意按照招标文件的一切要求，提供本项目的投标，投标总价见《开标一览表》。</w:t>
      </w:r>
    </w:p>
    <w:p>
      <w:pPr>
        <w:numPr>
          <w:ilvl w:val="0"/>
          <w:numId w:val="20"/>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我方愿意提供无锡市公共资源交易中心梁溪分中心在招标文件中要求的文件、资料。</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我方同意按招标文件中的规定，本投标文件投标的有效期限为开标之日起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如果我方的投标文件被接受，我方将履行招标文件中规定的每一项要求，按期、按质、按量，完成交货任务。</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我方认为贵中心有权决定中标者。</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我方愿意遵守《中华人民共和国政府采购法》，并按《中华人民共和国民法典》、财政部《政府采购货物和服务招标投标管理办法》</w:t>
      </w:r>
      <w:r>
        <w:rPr>
          <w:rFonts w:hint="eastAsia" w:ascii="宋体" w:hAnsi="宋体"/>
          <w:color w:val="000000" w:themeColor="text1"/>
          <w:sz w:val="24"/>
          <w:szCs w:val="24"/>
          <w14:textFill>
            <w14:solidFill>
              <w14:schemeClr w14:val="tx1"/>
            </w14:solidFill>
          </w14:textFill>
        </w:rPr>
        <w:t>和</w:t>
      </w:r>
      <w:r>
        <w:rPr>
          <w:rFonts w:hint="eastAsia" w:ascii="宋体" w:hAnsi="宋体"/>
          <w:bCs/>
          <w:color w:val="000000" w:themeColor="text1"/>
          <w:sz w:val="24"/>
          <w:szCs w:val="24"/>
          <w14:textFill>
            <w14:solidFill>
              <w14:schemeClr w14:val="tx1"/>
            </w14:solidFill>
          </w14:textFill>
        </w:rPr>
        <w:t>合同条款履行自己的全部责任。</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我方认可并遵守招标文件的所有规定，放弃对招标文件提出质疑的权利。</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我方愿意按招标文件的规定提交《投标（报价）承诺函》。如我方在投标截止期后撤回投标及中标后拒绝遵守投标承诺或拒绝在规定的时间内与采购人签订合同，则接受政府采购监督管理部门的处理。</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如果我方被确定为中标供应商，我方愿意</w:t>
      </w:r>
      <w:r>
        <w:rPr>
          <w:rFonts w:hint="eastAsia" w:ascii="宋体" w:hAnsi="宋体"/>
          <w:color w:val="000000" w:themeColor="text1"/>
          <w:sz w:val="24"/>
          <w:szCs w:val="24"/>
          <w14:textFill>
            <w14:solidFill>
              <w14:schemeClr w14:val="tx1"/>
            </w14:solidFill>
          </w14:textFill>
        </w:rPr>
        <w:t>向</w:t>
      </w:r>
      <w:r>
        <w:rPr>
          <w:rFonts w:hint="eastAsia" w:ascii="宋体" w:hAnsi="宋体"/>
          <w:bCs/>
          <w:color w:val="000000" w:themeColor="text1"/>
          <w:sz w:val="24"/>
          <w:szCs w:val="24"/>
          <w14:textFill>
            <w14:solidFill>
              <w14:schemeClr w14:val="tx1"/>
            </w14:solidFill>
          </w14:textFill>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投标人（盖章）：</w:t>
      </w:r>
      <w:r>
        <w:rPr>
          <w:rFonts w:ascii="宋体" w:hAnsi="宋体"/>
          <w:bCs/>
          <w:color w:val="000000" w:themeColor="text1"/>
          <w:sz w:val="24"/>
          <w:szCs w:val="24"/>
          <w14:textFill>
            <w14:solidFill>
              <w14:schemeClr w14:val="tx1"/>
            </w14:solidFill>
          </w14:textFill>
        </w:rPr>
        <w:t xml:space="preserve">     </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电话：</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通讯地址：</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（二）（投标人）关于资格的声明函（格式）：</w:t>
      </w:r>
    </w:p>
    <w:p>
      <w:pPr>
        <w:spacing w:line="360" w:lineRule="auto"/>
        <w:rPr>
          <w:rFonts w:ascii="黑体" w:eastAsia="黑体"/>
          <w:bCs/>
          <w:color w:val="000000" w:themeColor="text1"/>
          <w:sz w:val="36"/>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bookmarkStart w:id="3" w:name="报价方关于资格的声明函（格式）"/>
      <w:bookmarkEnd w:id="3"/>
      <w:r>
        <w:rPr>
          <w:rFonts w:hint="eastAsia" w:ascii="黑体" w:eastAsia="黑体"/>
          <w:bCs/>
          <w:color w:val="000000" w:themeColor="text1"/>
          <w:sz w:val="28"/>
          <w:szCs w:val="28"/>
          <w14:textFill>
            <w14:solidFill>
              <w14:schemeClr w14:val="tx1"/>
            </w14:solidFill>
          </w14:textFill>
        </w:rPr>
        <w:t>关于资格的声明函</w:t>
      </w:r>
    </w:p>
    <w:p>
      <w:pPr>
        <w:jc w:val="center"/>
        <w:rPr>
          <w:rFonts w:ascii="黑体" w:eastAsia="黑体"/>
          <w:bCs/>
          <w:color w:val="000000" w:themeColor="text1"/>
          <w:sz w:val="32"/>
          <w14:textFill>
            <w14:solidFill>
              <w14:schemeClr w14:val="tx1"/>
            </w14:solidFill>
          </w14:textFill>
        </w:rPr>
      </w:pPr>
    </w:p>
    <w:p>
      <w:pPr>
        <w:spacing w:line="480" w:lineRule="auto"/>
        <w:jc w:val="center"/>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tabs>
          <w:tab w:val="left" w:pos="6300"/>
        </w:tabs>
        <w:spacing w:line="480" w:lineRule="auto"/>
        <w:jc w:val="center"/>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lang w:eastAsia="zh-CN"/>
          <w14:textFill>
            <w14:solidFill>
              <w14:schemeClr w14:val="tx1"/>
            </w14:solidFill>
          </w14:textFill>
        </w:rPr>
        <w:t>LXZC2022-023</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政府采购活动前三年内，在经营活动中没有重大违法记录，我公司（单位）愿针对本次项目（</w:t>
      </w:r>
      <w:r>
        <w:rPr>
          <w:rFonts w:hint="eastAsia" w:ascii="黑体" w:eastAsia="黑体"/>
          <w:bCs/>
          <w:color w:val="000000" w:themeColor="text1"/>
          <w:sz w:val="24"/>
          <w:szCs w:val="24"/>
          <w:lang w:eastAsia="zh-CN"/>
          <w14:textFill>
            <w14:solidFill>
              <w14:schemeClr w14:val="tx1"/>
            </w14:solidFill>
          </w14:textFill>
        </w:rPr>
        <w:t>LXZC2022-023</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进行投标，投标文件中所有关于投标资格的文件、证明、陈述均是真实的、准确的。若有违背，我公司（单位）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投标人（盖章）：</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20" w:firstLineChars="200"/>
        <w:outlineLvl w:val="0"/>
        <w:rPr>
          <w:rFonts w:ascii="黑体" w:hAnsi="宋体" w:eastAsia="黑体"/>
          <w:bCs/>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备注：上述所称“重大违法记录”,是指供应商因违法经营受到刑事处罚或者责令停产停业、吊销许可证或者执照、较大数额罚款等行政处罚。</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（三）（投标人）法定代表人授权委托书（格式）：</w:t>
      </w: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600" w:lineRule="exact"/>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580" w:lineRule="exact"/>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系中华人民共和国合法公司（单位），特授权</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代表我公司（单位）全权办理针对本项目（</w:t>
      </w:r>
      <w:r>
        <w:rPr>
          <w:rFonts w:hint="eastAsia" w:ascii="黑体" w:eastAsia="黑体"/>
          <w:bCs/>
          <w:color w:val="000000" w:themeColor="text1"/>
          <w:sz w:val="24"/>
          <w:szCs w:val="24"/>
          <w:lang w:eastAsia="zh-CN"/>
          <w14:textFill>
            <w14:solidFill>
              <w14:schemeClr w14:val="tx1"/>
            </w14:solidFill>
          </w14:textFill>
        </w:rPr>
        <w:t>LXZC2022-023</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的投标、参与开标、评标、签约等具体工作，并签署全部有关的文件、协议及合同。</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580" w:lineRule="exact"/>
        <w:ind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性别：</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电话：</w:t>
      </w: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080" w:firstLineChars="17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p>
    <w:p>
      <w:pPr>
        <w:spacing w:line="580" w:lineRule="exact"/>
        <w:ind w:firstLine="420"/>
        <w:rPr>
          <w:rFonts w:ascii="宋体"/>
          <w:bCs/>
          <w:color w:val="000000" w:themeColor="text1"/>
          <w:sz w:val="24"/>
          <w:szCs w:val="24"/>
          <w14:textFill>
            <w14:solidFill>
              <w14:schemeClr w14:val="tx1"/>
            </w14:solidFill>
          </w14:textFill>
        </w:rPr>
      </w:pPr>
    </w:p>
    <w:p>
      <w:pPr>
        <w:spacing w:line="580" w:lineRule="exact"/>
        <w:ind w:firstLine="420"/>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11"/>
      </w:pPr>
    </w:p>
    <w:p>
      <w:pPr>
        <w:pStyle w:val="12"/>
        <w:ind w:left="420" w:hanging="420"/>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（四）（投标人）中小企业声明函（格式）：</w:t>
      </w:r>
    </w:p>
    <w:p>
      <w:pPr>
        <w:spacing w:line="480" w:lineRule="auto"/>
        <w:rPr>
          <w:rFonts w:ascii="宋体"/>
          <w:bCs/>
          <w:color w:val="000000" w:themeColor="text1"/>
          <w:sz w:val="24"/>
          <w:szCs w:val="24"/>
          <w14:textFill>
            <w14:solidFill>
              <w14:schemeClr w14:val="tx1"/>
            </w14:solidFill>
          </w14:textFill>
        </w:rPr>
      </w:pPr>
    </w:p>
    <w:p>
      <w:pPr>
        <w:jc w:val="center"/>
        <w:rPr>
          <w:rFonts w:ascii="黑体" w:eastAsia="黑体"/>
          <w:bCs/>
          <w:sz w:val="28"/>
          <w:szCs w:val="28"/>
        </w:rPr>
      </w:pPr>
      <w:r>
        <w:rPr>
          <w:rFonts w:hint="eastAsia" w:ascii="黑体" w:eastAsia="黑体"/>
          <w:bCs/>
          <w:sz w:val="28"/>
          <w:szCs w:val="28"/>
        </w:rPr>
        <w:t>中小企业声明函（服务）</w:t>
      </w:r>
    </w:p>
    <w:p>
      <w:pPr>
        <w:spacing w:line="580" w:lineRule="exact"/>
        <w:ind w:firstLine="480" w:firstLineChars="200"/>
        <w:rPr>
          <w:rFonts w:ascii="宋体" w:hAnsi="宋体"/>
          <w:bCs/>
          <w:sz w:val="24"/>
          <w:szCs w:val="24"/>
        </w:rPr>
      </w:pPr>
      <w:r>
        <w:rPr>
          <w:rFonts w:hint="eastAsia" w:ascii="宋体" w:hAnsi="宋体"/>
          <w:bCs/>
          <w:sz w:val="24"/>
          <w:szCs w:val="24"/>
        </w:rPr>
        <w:t xml:space="preserve">本公司（联合体）郑重声明，根据《政府采购促进中小企业发展管理办法》（财库﹝2020﹞46 号）的规定，本公司 </w:t>
      </w:r>
      <w:r>
        <w:rPr>
          <w:rFonts w:hint="eastAsia" w:ascii="宋体" w:hAnsi="宋体"/>
          <w:bCs/>
          <w:sz w:val="24"/>
          <w:szCs w:val="24"/>
          <w:u w:val="single"/>
        </w:rPr>
        <w:t>（联合体）</w:t>
      </w:r>
      <w:r>
        <w:rPr>
          <w:rFonts w:hint="eastAsia" w:ascii="宋体" w:hAnsi="宋体"/>
          <w:bCs/>
          <w:sz w:val="24"/>
          <w:szCs w:val="24"/>
        </w:rPr>
        <w:t>参加</w:t>
      </w:r>
      <w:r>
        <w:rPr>
          <w:rFonts w:hint="eastAsia" w:ascii="宋体" w:hAnsi="宋体"/>
          <w:bCs/>
          <w:sz w:val="24"/>
          <w:szCs w:val="24"/>
          <w:u w:val="single"/>
        </w:rPr>
        <w:t>（单位名称）</w:t>
      </w:r>
      <w:r>
        <w:rPr>
          <w:rFonts w:hint="eastAsia" w:ascii="宋体" w:hAnsi="宋体"/>
          <w:bCs/>
          <w:sz w:val="24"/>
          <w:szCs w:val="24"/>
        </w:rPr>
        <w:t>的</w:t>
      </w:r>
      <w:r>
        <w:rPr>
          <w:rFonts w:hint="eastAsia" w:ascii="宋体" w:hAnsi="宋体"/>
          <w:bCs/>
          <w:sz w:val="24"/>
          <w:szCs w:val="24"/>
          <w:u w:val="single"/>
        </w:rPr>
        <w:t>（项目名称）</w:t>
      </w:r>
      <w:r>
        <w:rPr>
          <w:rFonts w:hint="eastAsia"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outlineLvl w:val="0"/>
        <w:rPr>
          <w:rFonts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 xml:space="preserve"> </w:t>
      </w: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ind w:firstLine="420" w:firstLineChars="200"/>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中标供应商的《中小企业声明函》将随中标公告进行公示。供应商按照本办法规定提供声明函内容不实的，属于提供虚假材料谋取中标、成交，依照《中华人民共和国政府采购法》等国家有关规定追究相应责任。</w:t>
      </w:r>
    </w:p>
    <w:p>
      <w:pPr>
        <w:spacing w:line="360" w:lineRule="auto"/>
        <w:rPr>
          <w:color w:val="000000" w:themeColor="text1"/>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w:t>
      </w:r>
      <w:bookmarkStart w:id="4" w:name="OLE_LINK14"/>
      <w:bookmarkStart w:id="5" w:name="OLE_LINK13"/>
      <w:r>
        <w:rPr>
          <w:rFonts w:hint="eastAsia" w:ascii="黑体" w:hAnsi="宋体" w:eastAsia="黑体"/>
          <w:bCs/>
          <w:color w:val="000000" w:themeColor="text1"/>
          <w:sz w:val="24"/>
          <w:szCs w:val="24"/>
          <w14:textFill>
            <w14:solidFill>
              <w14:schemeClr w14:val="tx1"/>
            </w14:solidFill>
          </w14:textFill>
        </w:rPr>
        <w:t>（投标人）残疾人福利性单位声明函（格式）：</w:t>
      </w:r>
    </w:p>
    <w:bookmarkEnd w:id="4"/>
    <w:bookmarkEnd w:id="5"/>
    <w:p>
      <w:pPr>
        <w:spacing w:line="588" w:lineRule="exact"/>
        <w:rPr>
          <w:rFonts w:ascii="仿宋_GB2312" w:eastAsia="仿宋_GB2312"/>
          <w:b/>
          <w:color w:val="000000" w:themeColor="text1"/>
          <w:spacing w:val="6"/>
          <w:sz w:val="30"/>
          <w:szCs w:val="30"/>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残疾人福利性单位声明函</w:t>
      </w:r>
    </w:p>
    <w:p>
      <w:pPr>
        <w:jc w:val="center"/>
        <w:rPr>
          <w:rFonts w:ascii="黑体" w:eastAsia="黑体"/>
          <w:bCs/>
          <w:color w:val="000000" w:themeColor="text1"/>
          <w:sz w:val="28"/>
          <w:szCs w:val="28"/>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2"/>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2"/>
        <w:rPr>
          <w:rFonts w:ascii="黑体" w:hAnsi="宋体" w:eastAsia="黑体"/>
          <w:bCs/>
          <w:sz w:val="24"/>
          <w:szCs w:val="24"/>
        </w:rPr>
      </w:pPr>
      <w:r>
        <w:rPr>
          <w:rFonts w:hint="eastAsia" w:ascii="黑体" w:hAnsi="宋体" w:eastAsia="黑体"/>
          <w:bCs/>
          <w:sz w:val="24"/>
          <w:szCs w:val="24"/>
        </w:rPr>
        <w:t>（六）承诺书（格式）：</w:t>
      </w:r>
    </w:p>
    <w:p>
      <w:pPr>
        <w:rPr>
          <w:rFonts w:ascii="黑体" w:eastAsia="黑体"/>
          <w:bCs/>
          <w:sz w:val="28"/>
          <w:szCs w:val="28"/>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服务保障承诺书</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（投标人名称）针</w:t>
      </w:r>
      <w:r>
        <w:rPr>
          <w:rFonts w:hint="eastAsia" w:ascii="宋体" w:hAnsi="宋体"/>
          <w:bCs/>
          <w:color w:val="000000" w:themeColor="text1"/>
          <w:sz w:val="24"/>
          <w:szCs w:val="24"/>
          <w14:textFill>
            <w14:solidFill>
              <w14:schemeClr w14:val="tx1"/>
            </w14:solidFill>
          </w14:textFill>
        </w:rPr>
        <w:t>对本项目（</w:t>
      </w:r>
      <w:r>
        <w:rPr>
          <w:rFonts w:hint="eastAsia" w:ascii="宋体" w:hAnsi="宋体"/>
          <w:bCs/>
          <w:color w:val="000000" w:themeColor="text1"/>
          <w:sz w:val="24"/>
          <w:szCs w:val="24"/>
          <w:lang w:eastAsia="zh-CN"/>
          <w14:textFill>
            <w14:solidFill>
              <w14:schemeClr w14:val="tx1"/>
            </w14:solidFill>
          </w14:textFill>
        </w:rPr>
        <w:t>LXZC2022-023</w:t>
      </w:r>
      <w:r>
        <w:rPr>
          <w:rFonts w:hint="eastAsia" w:ascii="宋体" w:hAnsi="宋体"/>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在此承诺：</w:t>
      </w:r>
    </w:p>
    <w:p>
      <w:pPr>
        <w:spacing w:line="480" w:lineRule="auto"/>
        <w:rPr>
          <w:rFonts w:ascii="宋体" w:hAnsi="宋体"/>
          <w:color w:val="000000" w:themeColor="text1"/>
          <w:sz w:val="24"/>
          <w:szCs w:val="24"/>
          <w14:textFill>
            <w14:solidFill>
              <w14:schemeClr w14:val="tx1"/>
            </w14:solidFill>
          </w14:textFill>
        </w:rPr>
      </w:pPr>
    </w:p>
    <w:p>
      <w:pPr>
        <w:tabs>
          <w:tab w:val="left" w:pos="945"/>
        </w:tabs>
        <w:spacing w:line="360" w:lineRule="auto"/>
        <w:ind w:firstLine="465"/>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本公司（单位）</w:t>
      </w:r>
      <w:r>
        <w:rPr>
          <w:rFonts w:hint="eastAsia" w:ascii="宋体" w:hAnsi="宋体"/>
          <w:bCs/>
          <w:color w:val="000000" w:themeColor="text1"/>
          <w:sz w:val="24"/>
          <w:szCs w:val="24"/>
          <w14:textFill>
            <w14:solidFill>
              <w14:schemeClr w14:val="tx1"/>
            </w14:solidFill>
          </w14:textFill>
        </w:rPr>
        <w:t>具备履行合同所必需的设备和专业技术能力；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本公司未被“</w:t>
      </w:r>
      <w:r>
        <w:rPr>
          <w:rFonts w:hint="eastAsia" w:ascii="宋体" w:hAnsi="宋体"/>
          <w:bCs/>
          <w:color w:val="000000" w:themeColor="text1"/>
          <w:sz w:val="24"/>
          <w:szCs w:val="24"/>
          <w14:textFill>
            <w14:solidFill>
              <w14:schemeClr w14:val="tx1"/>
            </w14:solidFill>
          </w14:textFill>
        </w:rPr>
        <w:t>信用中国</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网站（</w:t>
      </w:r>
      <w:r>
        <w:fldChar w:fldCharType="begin"/>
      </w:r>
      <w:r>
        <w:instrText xml:space="preserve"> HYPERLINK "http://www.creditchina.gov.cn" </w:instrText>
      </w:r>
      <w:r>
        <w:fldChar w:fldCharType="separate"/>
      </w:r>
      <w:r>
        <w:rPr>
          <w:rStyle w:val="29"/>
          <w:rFonts w:hint="eastAsia" w:ascii="宋体" w:hAnsi="宋体"/>
          <w:bCs/>
          <w:color w:val="000000" w:themeColor="text1"/>
          <w:sz w:val="24"/>
          <w:szCs w:val="24"/>
          <w14:textFill>
            <w14:solidFill>
              <w14:schemeClr w14:val="tx1"/>
            </w14:solidFill>
          </w14:textFill>
        </w:rPr>
        <w:t>www.creditchina.gov.cn</w:t>
      </w:r>
      <w:r>
        <w:rPr>
          <w:rStyle w:val="29"/>
          <w:rFonts w:hint="eastAsia"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列入失信被执行人、重大税收违法案件当事人名单、政府采购严重违法失信行为记录名单。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tabs>
          <w:tab w:val="left" w:pos="945"/>
        </w:tabs>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p>
      <w:pPr>
        <w:tabs>
          <w:tab w:val="left" w:pos="945"/>
        </w:tabs>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p>
      <w:pPr>
        <w:spacing w:line="480" w:lineRule="auto"/>
        <w:ind w:firstLine="960" w:firstLineChars="4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p>
    <w:p>
      <w:pPr>
        <w:spacing w:line="480" w:lineRule="auto"/>
        <w:ind w:firstLine="960" w:firstLineChars="4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如违背上述承诺，本公司</w:t>
      </w:r>
      <w:r>
        <w:rPr>
          <w:rFonts w:hint="eastAsia" w:ascii="宋体" w:hAnsi="宋体"/>
          <w:color w:val="000000" w:themeColor="text1"/>
          <w:sz w:val="24"/>
          <w:szCs w:val="24"/>
          <w14:textFill>
            <w14:solidFill>
              <w14:schemeClr w14:val="tx1"/>
            </w14:solidFill>
          </w14:textFill>
        </w:rPr>
        <w:t>（单位）</w:t>
      </w:r>
      <w:r>
        <w:rPr>
          <w:rFonts w:hint="eastAsia" w:ascii="宋体" w:hAnsi="宋体"/>
          <w:bCs/>
          <w:color w:val="000000" w:themeColor="text1"/>
          <w:sz w:val="24"/>
          <w:szCs w:val="24"/>
          <w14:textFill>
            <w14:solidFill>
              <w14:schemeClr w14:val="tx1"/>
            </w14:solidFill>
          </w14:textFill>
        </w:rPr>
        <w:t>将承担一切法律责任。</w:t>
      </w:r>
    </w:p>
    <w:p>
      <w:pPr>
        <w:spacing w:line="480" w:lineRule="auto"/>
        <w:rPr>
          <w:rFonts w:ascii="宋体" w:hAnsi="宋体"/>
          <w:bCs/>
          <w:color w:val="000000" w:themeColor="text1"/>
          <w:sz w:val="24"/>
          <w:szCs w:val="24"/>
          <w14:textFill>
            <w14:solidFill>
              <w14:schemeClr w14:val="tx1"/>
            </w14:solidFill>
          </w14:textFill>
        </w:rPr>
      </w:pPr>
    </w:p>
    <w:p>
      <w:pPr>
        <w:spacing w:line="480" w:lineRule="auto"/>
        <w:ind w:firstLine="3720" w:firstLineChars="155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hint="eastAsia" w:ascii="宋体" w:hAnsi="宋体"/>
          <w:bCs/>
          <w:color w:val="000000" w:themeColor="text1"/>
          <w:sz w:val="24"/>
          <w:szCs w:val="24"/>
          <w14:textFill>
            <w14:solidFill>
              <w14:schemeClr w14:val="tx1"/>
            </w14:solidFill>
          </w14:textFill>
        </w:rPr>
        <w:t>（盖章）：</w:t>
      </w: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ind w:firstLine="420" w:firstLineChars="200"/>
        <w:outlineLvl w:val="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Cs w:val="21"/>
          <w14:textFill>
            <w14:solidFill>
              <w14:schemeClr w14:val="tx1"/>
            </w14:solidFill>
          </w14:textFill>
        </w:rPr>
        <w:t>注：以上内容由投标单位根据采购要求自行完善。</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pStyle w:val="2"/>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（七）开标一览表（格式）：</w:t>
      </w:r>
    </w:p>
    <w:p>
      <w:pPr>
        <w:outlineLvl w:val="0"/>
        <w:rPr>
          <w:rFonts w:ascii="黑体" w:eastAsia="黑体"/>
          <w:bCs/>
          <w:color w:val="000000" w:themeColor="text1"/>
          <w:sz w:val="28"/>
          <w:szCs w:val="28"/>
          <w14:textFill>
            <w14:solidFill>
              <w14:schemeClr w14:val="tx1"/>
            </w14:solidFill>
          </w14:textFill>
        </w:rPr>
      </w:pP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开标一览表</w:t>
      </w:r>
      <w:r>
        <w:rPr>
          <w:rFonts w:ascii="黑体" w:eastAsia="黑体"/>
          <w:bCs/>
          <w:color w:val="000000" w:themeColor="text1"/>
          <w:sz w:val="28"/>
          <w:szCs w:val="28"/>
          <w14:textFill>
            <w14:solidFill>
              <w14:schemeClr w14:val="tx1"/>
            </w14:solidFill>
          </w14:textFill>
        </w:rPr>
        <w:t xml:space="preserve"> </w:t>
      </w:r>
    </w:p>
    <w:p>
      <w:pPr>
        <w:jc w:val="center"/>
        <w:outlineLvl w:val="0"/>
        <w:rPr>
          <w:rFonts w:ascii="黑体" w:eastAsia="黑体"/>
          <w:bCs/>
          <w:color w:val="000000" w:themeColor="text1"/>
          <w:sz w:val="28"/>
          <w:szCs w:val="28"/>
          <w14:textFill>
            <w14:solidFill>
              <w14:schemeClr w14:val="tx1"/>
            </w14:solidFill>
          </w14:textFill>
        </w:rPr>
      </w:pPr>
    </w:p>
    <w:p>
      <w:pPr>
        <w:spacing w:line="360" w:lineRule="auto"/>
        <w:rPr>
          <w:rFonts w:hint="eastAsia" w:ascii="黑体" w:eastAsia="黑体"/>
          <w:bCs/>
          <w:color w:val="000000" w:themeColor="text1"/>
          <w:sz w:val="24"/>
          <w:szCs w:val="24"/>
          <w:lang w:eastAsia="zh-CN"/>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lang w:eastAsia="zh-CN"/>
          <w14:textFill>
            <w14:solidFill>
              <w14:schemeClr w14:val="tx1"/>
            </w14:solidFill>
          </w14:textFill>
        </w:rPr>
        <w:t>LXZC2022-023</w:t>
      </w:r>
    </w:p>
    <w:tbl>
      <w:tblPr>
        <w:tblStyle w:val="23"/>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95"/>
              <w:spacing w:line="400" w:lineRule="exact"/>
              <w:jc w:val="center"/>
              <w:rPr>
                <w:rFonts w:hint="eastAsia" w:hAnsi="宋体" w:eastAsia="宋体"/>
                <w:bCs/>
                <w:color w:val="000000" w:themeColor="text1"/>
                <w:szCs w:val="24"/>
                <w:lang w:eastAsia="zh-CN"/>
                <w14:textFill>
                  <w14:solidFill>
                    <w14:schemeClr w14:val="tx1"/>
                  </w14:solidFill>
                </w14:textFill>
              </w:rPr>
            </w:pPr>
            <w:r>
              <w:rPr>
                <w:rFonts w:hint="eastAsia" w:hAnsi="宋体"/>
                <w:bCs/>
                <w:color w:val="000000" w:themeColor="text1"/>
                <w:szCs w:val="24"/>
                <w:lang w:eastAsia="zh-CN"/>
                <w14:textFill>
                  <w14:solidFill>
                    <w14:schemeClr w14:val="tx1"/>
                  </w14:solidFill>
                </w14:textFill>
              </w:rPr>
              <w:t>梁溪区社会治理现代化智慧工程项目一期（智慧梁溪2021年项目）信息安全等级保护测评项目</w:t>
            </w:r>
          </w:p>
        </w:tc>
        <w:tc>
          <w:tcPr>
            <w:tcW w:w="4515" w:type="dxa"/>
            <w:vAlign w:val="center"/>
          </w:tcPr>
          <w:p>
            <w:pPr>
              <w:pStyle w:val="95"/>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投标总报价（大写）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3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（八）明细报价表（格式）：</w:t>
      </w:r>
    </w:p>
    <w:p>
      <w:pPr>
        <w:spacing w:line="400" w:lineRule="exact"/>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明细报价表</w:t>
      </w: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                                  采购项目编号：LXZC</w:t>
      </w:r>
      <w:r>
        <w:rPr>
          <w:rFonts w:ascii="黑体" w:eastAsia="黑体"/>
          <w:bCs/>
          <w:color w:val="000000" w:themeColor="text1"/>
          <w:sz w:val="24"/>
          <w:szCs w:val="24"/>
          <w14:textFill>
            <w14:solidFill>
              <w14:schemeClr w14:val="tx1"/>
            </w14:solidFill>
          </w14:textFill>
        </w:rPr>
        <w:t>2022-0</w:t>
      </w:r>
      <w:r>
        <w:rPr>
          <w:rFonts w:hint="eastAsia" w:ascii="黑体" w:eastAsia="黑体"/>
          <w:bCs/>
          <w:color w:val="000000" w:themeColor="text1"/>
          <w:sz w:val="24"/>
          <w:szCs w:val="24"/>
          <w14:textFill>
            <w14:solidFill>
              <w14:schemeClr w14:val="tx1"/>
            </w14:solidFill>
          </w14:textFill>
        </w:rPr>
        <w:t>09</w:t>
      </w:r>
    </w:p>
    <w:tbl>
      <w:tblPr>
        <w:tblStyle w:val="23"/>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序号</w:t>
            </w:r>
          </w:p>
        </w:tc>
        <w:tc>
          <w:tcPr>
            <w:tcW w:w="1050" w:type="dxa"/>
            <w:gridSpan w:val="2"/>
            <w:noWrap/>
            <w:tcMar>
              <w:top w:w="15" w:type="dxa"/>
              <w:left w:w="15" w:type="dxa"/>
              <w:bottom w:w="0" w:type="dxa"/>
              <w:right w:w="15" w:type="dxa"/>
            </w:tcMar>
            <w:vAlign w:val="center"/>
          </w:tcPr>
          <w:p>
            <w:pPr>
              <w:spacing w:before="5"/>
              <w:jc w:val="center"/>
              <w:rPr>
                <w:color w:val="000000" w:themeColor="text1"/>
                <w:sz w:val="18"/>
                <w:u w:color="FF0000"/>
                <w14:textFill>
                  <w14:solidFill>
                    <w14:schemeClr w14:val="tx1"/>
                  </w14:solidFill>
                </w14:textFill>
              </w:rPr>
            </w:pPr>
            <w:r>
              <w:rPr>
                <w:rFonts w:hint="eastAsia"/>
                <w:color w:val="000000" w:themeColor="text1"/>
                <w:sz w:val="18"/>
                <w14:textFill>
                  <w14:solidFill>
                    <w14:schemeClr w14:val="tx1"/>
                  </w14:solidFill>
                </w14:textFill>
              </w:rPr>
              <w:t>名称</w:t>
            </w:r>
          </w:p>
        </w:tc>
        <w:tc>
          <w:tcPr>
            <w:tcW w:w="945" w:type="dxa"/>
            <w:noWrap/>
            <w:tcMar>
              <w:top w:w="15" w:type="dxa"/>
              <w:left w:w="15" w:type="dxa"/>
              <w:bottom w:w="0" w:type="dxa"/>
              <w:right w:w="15" w:type="dxa"/>
            </w:tcMar>
            <w:vAlign w:val="center"/>
          </w:tcPr>
          <w:p>
            <w:pPr>
              <w:spacing w:before="5"/>
              <w:jc w:val="center"/>
              <w:rPr>
                <w:color w:val="000000" w:themeColor="text1"/>
                <w:sz w:val="18"/>
                <w:u w:color="FF0000"/>
                <w14:textFill>
                  <w14:solidFill>
                    <w14:schemeClr w14:val="tx1"/>
                  </w14:solidFill>
                </w14:textFill>
              </w:rPr>
            </w:pPr>
            <w:r>
              <w:rPr>
                <w:rFonts w:hint="eastAsia"/>
                <w:color w:val="000000" w:themeColor="text1"/>
                <w:sz w:val="18"/>
                <w:u w:color="FF0000"/>
                <w14:textFill>
                  <w14:solidFill>
                    <w14:schemeClr w14:val="tx1"/>
                  </w14:solidFill>
                </w14:textFill>
              </w:rPr>
              <w:t>品牌型号</w:t>
            </w:r>
          </w:p>
        </w:tc>
        <w:tc>
          <w:tcPr>
            <w:tcW w:w="3045" w:type="dxa"/>
            <w:noWrap/>
            <w:tcMar>
              <w:top w:w="15" w:type="dxa"/>
              <w:left w:w="15" w:type="dxa"/>
              <w:bottom w:w="0" w:type="dxa"/>
              <w:right w:w="15" w:type="dxa"/>
            </w:tcMar>
            <w:vAlign w:val="center"/>
          </w:tcPr>
          <w:p>
            <w:pPr>
              <w:spacing w:before="5"/>
              <w:jc w:val="center"/>
              <w:rPr>
                <w:color w:val="000000" w:themeColor="text1"/>
                <w:sz w:val="18"/>
                <w14:textFill>
                  <w14:solidFill>
                    <w14:schemeClr w14:val="tx1"/>
                  </w14:solidFill>
                </w14:textFill>
              </w:rPr>
            </w:pPr>
            <w:r>
              <w:rPr>
                <w:rFonts w:hint="eastAsia"/>
                <w:color w:val="000000" w:themeColor="text1"/>
                <w:sz w:val="18"/>
                <w:u w:color="FF0000"/>
                <w14:textFill>
                  <w14:solidFill>
                    <w14:schemeClr w14:val="tx1"/>
                  </w14:solidFill>
                </w14:textFill>
              </w:rPr>
              <w:t>性能指标</w:t>
            </w:r>
          </w:p>
        </w:tc>
        <w:tc>
          <w:tcPr>
            <w:tcW w:w="599" w:type="dxa"/>
            <w:tcMar>
              <w:top w:w="15" w:type="dxa"/>
              <w:left w:w="15" w:type="dxa"/>
              <w:bottom w:w="0" w:type="dxa"/>
              <w:right w:w="15" w:type="dxa"/>
            </w:tcMar>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数量</w:t>
            </w:r>
          </w:p>
        </w:tc>
        <w:tc>
          <w:tcPr>
            <w:tcW w:w="1276" w:type="dxa"/>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产地</w:t>
            </w:r>
          </w:p>
        </w:tc>
        <w:tc>
          <w:tcPr>
            <w:tcW w:w="992" w:type="dxa"/>
            <w:noWrap/>
            <w:tcMar>
              <w:top w:w="15" w:type="dxa"/>
              <w:left w:w="15" w:type="dxa"/>
              <w:bottom w:w="0" w:type="dxa"/>
              <w:right w:w="15" w:type="dxa"/>
            </w:tcMar>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质保期</w:t>
            </w:r>
          </w:p>
        </w:tc>
        <w:tc>
          <w:tcPr>
            <w:tcW w:w="709" w:type="dxa"/>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单报价</w:t>
            </w:r>
          </w:p>
        </w:tc>
        <w:tc>
          <w:tcPr>
            <w:tcW w:w="939" w:type="dxa"/>
            <w:vAlign w:val="center"/>
          </w:tcPr>
          <w:p>
            <w:pPr>
              <w:spacing w:before="5"/>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spacing w:before="5"/>
              <w:jc w:val="center"/>
              <w:rPr>
                <w:rFonts w:ascii="宋体"/>
                <w:color w:val="000000" w:themeColor="text1"/>
                <w:sz w:val="18"/>
                <w:szCs w:val="18"/>
                <w14:textFill>
                  <w14:solidFill>
                    <w14:schemeClr w14:val="tx1"/>
                  </w14:solidFill>
                </w14:textFill>
              </w:rPr>
            </w:pPr>
          </w:p>
        </w:tc>
        <w:tc>
          <w:tcPr>
            <w:tcW w:w="1050" w:type="dxa"/>
            <w:gridSpan w:val="2"/>
            <w:noWrap/>
            <w:tcMar>
              <w:top w:w="15" w:type="dxa"/>
              <w:left w:w="15" w:type="dxa"/>
              <w:bottom w:w="0" w:type="dxa"/>
              <w:right w:w="15" w:type="dxa"/>
            </w:tcMar>
            <w:vAlign w:val="center"/>
          </w:tcPr>
          <w:p>
            <w:pPr>
              <w:jc w:val="center"/>
              <w:rPr>
                <w:rFonts w:ascii="宋体"/>
                <w:bCs/>
                <w:color w:val="000000" w:themeColor="text1"/>
                <w:sz w:val="18"/>
                <w:szCs w:val="18"/>
                <w14:textFill>
                  <w14:solidFill>
                    <w14:schemeClr w14:val="tx1"/>
                  </w14:solidFill>
                </w14:textFill>
              </w:rPr>
            </w:pPr>
          </w:p>
        </w:tc>
        <w:tc>
          <w:tcPr>
            <w:tcW w:w="945" w:type="dxa"/>
            <w:tcMar>
              <w:top w:w="15" w:type="dxa"/>
              <w:left w:w="15" w:type="dxa"/>
              <w:bottom w:w="0" w:type="dxa"/>
              <w:right w:w="15" w:type="dxa"/>
            </w:tcMar>
            <w:vAlign w:val="center"/>
          </w:tcPr>
          <w:p>
            <w:pPr>
              <w:jc w:val="center"/>
              <w:rPr>
                <w:rFonts w:ascii="宋体"/>
                <w:bCs/>
                <w:color w:val="000000" w:themeColor="text1"/>
                <w:sz w:val="18"/>
                <w:szCs w:val="18"/>
                <w14:textFill>
                  <w14:solidFill>
                    <w14:schemeClr w14:val="tx1"/>
                  </w14:solidFill>
                </w14:textFill>
              </w:rPr>
            </w:pPr>
          </w:p>
        </w:tc>
        <w:tc>
          <w:tcPr>
            <w:tcW w:w="3045" w:type="dxa"/>
            <w:tcMar>
              <w:top w:w="15" w:type="dxa"/>
              <w:left w:w="15" w:type="dxa"/>
              <w:bottom w:w="0" w:type="dxa"/>
              <w:right w:w="15" w:type="dxa"/>
            </w:tcMar>
          </w:tcPr>
          <w:p>
            <w:pPr>
              <w:jc w:val="center"/>
              <w:rPr>
                <w:rFonts w:ascii="宋体"/>
                <w:bCs/>
                <w:color w:val="000000" w:themeColor="text1"/>
                <w:sz w:val="18"/>
                <w14:textFill>
                  <w14:solidFill>
                    <w14:schemeClr w14:val="tx1"/>
                  </w14:solidFill>
                </w14:textFill>
              </w:rPr>
            </w:pPr>
          </w:p>
        </w:tc>
        <w:tc>
          <w:tcPr>
            <w:tcW w:w="599" w:type="dxa"/>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r>
              <w:rPr>
                <w:rFonts w:hint="eastAsia" w:ascii="黑体" w:eastAsia="黑体"/>
                <w:b/>
                <w:bCs/>
                <w:color w:val="000000" w:themeColor="text1"/>
                <w14:textFill>
                  <w14:solidFill>
                    <w14:schemeClr w14:val="tx1"/>
                  </w14:solidFill>
                </w14:textFill>
              </w:rPr>
              <w:t>　</w:t>
            </w:r>
          </w:p>
        </w:tc>
        <w:tc>
          <w:tcPr>
            <w:tcW w:w="1276" w:type="dxa"/>
            <w:vAlign w:val="center"/>
          </w:tcPr>
          <w:p>
            <w:pPr>
              <w:jc w:val="center"/>
              <w:rPr>
                <w:rFonts w:ascii="黑体" w:hAnsi="宋体" w:eastAsia="黑体"/>
                <w:b/>
                <w:bCs/>
                <w:color w:val="000000" w:themeColor="text1"/>
                <w:sz w:val="24"/>
                <w:szCs w:val="24"/>
                <w14:textFill>
                  <w14:solidFill>
                    <w14:schemeClr w14:val="tx1"/>
                  </w14:solidFill>
                </w14:textFill>
              </w:rPr>
            </w:pPr>
          </w:p>
        </w:tc>
        <w:tc>
          <w:tcPr>
            <w:tcW w:w="992" w:type="dxa"/>
            <w:noWrap/>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r>
              <w:rPr>
                <w:rFonts w:hint="eastAsia" w:ascii="黑体" w:eastAsia="黑体"/>
                <w:b/>
                <w:bCs/>
                <w:color w:val="000000" w:themeColor="text1"/>
                <w14:textFill>
                  <w14:solidFill>
                    <w14:schemeClr w14:val="tx1"/>
                  </w14:solidFill>
                </w14:textFill>
              </w:rPr>
              <w:t>　</w:t>
            </w:r>
          </w:p>
        </w:tc>
        <w:tc>
          <w:tcPr>
            <w:tcW w:w="709" w:type="dxa"/>
            <w:vAlign w:val="center"/>
          </w:tcPr>
          <w:p>
            <w:pPr>
              <w:jc w:val="center"/>
              <w:rPr>
                <w:rFonts w:ascii="黑体" w:hAnsi="宋体" w:eastAsia="黑体"/>
                <w:b/>
                <w:bCs/>
                <w:color w:val="000000" w:themeColor="text1"/>
                <w:sz w:val="24"/>
                <w:szCs w:val="24"/>
                <w14:textFill>
                  <w14:solidFill>
                    <w14:schemeClr w14:val="tx1"/>
                  </w14:solidFill>
                </w14:textFill>
              </w:rPr>
            </w:pPr>
          </w:p>
        </w:tc>
        <w:tc>
          <w:tcPr>
            <w:tcW w:w="939" w:type="dxa"/>
            <w:vAlign w:val="center"/>
          </w:tcPr>
          <w:p>
            <w:pPr>
              <w:jc w:val="center"/>
              <w:rPr>
                <w:rFonts w:ascii="黑体" w:hAnsi="宋体" w:eastAsia="黑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color w:val="000000" w:themeColor="text1"/>
                <w:sz w:val="18"/>
                <w14:textFill>
                  <w14:solidFill>
                    <w14:schemeClr w14:val="tx1"/>
                  </w14:solidFill>
                </w14:textFill>
              </w:rPr>
            </w:pPr>
          </w:p>
        </w:tc>
        <w:tc>
          <w:tcPr>
            <w:tcW w:w="1050" w:type="dxa"/>
            <w:gridSpan w:val="2"/>
            <w:noWrap/>
            <w:tcMar>
              <w:top w:w="15" w:type="dxa"/>
              <w:left w:w="15" w:type="dxa"/>
              <w:bottom w:w="0" w:type="dxa"/>
              <w:right w:w="15" w:type="dxa"/>
            </w:tcMar>
            <w:vAlign w:val="center"/>
          </w:tcPr>
          <w:p>
            <w:pPr>
              <w:jc w:val="center"/>
              <w:rPr>
                <w:rFonts w:ascii="宋体"/>
                <w:color w:val="000000" w:themeColor="text1"/>
                <w14:textFill>
                  <w14:solidFill>
                    <w14:schemeClr w14:val="tx1"/>
                  </w14:solidFill>
                </w14:textFill>
              </w:rPr>
            </w:pPr>
          </w:p>
        </w:tc>
        <w:tc>
          <w:tcPr>
            <w:tcW w:w="945" w:type="dxa"/>
            <w:tcMar>
              <w:top w:w="15" w:type="dxa"/>
              <w:left w:w="15" w:type="dxa"/>
              <w:bottom w:w="0" w:type="dxa"/>
              <w:right w:w="15" w:type="dxa"/>
            </w:tcMar>
            <w:vAlign w:val="center"/>
          </w:tcPr>
          <w:p>
            <w:pPr>
              <w:jc w:val="center"/>
              <w:rPr>
                <w:rFonts w:ascii="宋体"/>
                <w:bCs/>
                <w:color w:val="000000" w:themeColor="text1"/>
                <w:sz w:val="18"/>
                <w:szCs w:val="18"/>
                <w14:textFill>
                  <w14:solidFill>
                    <w14:schemeClr w14:val="tx1"/>
                  </w14:solidFill>
                </w14:textFill>
              </w:rPr>
            </w:pPr>
          </w:p>
        </w:tc>
        <w:tc>
          <w:tcPr>
            <w:tcW w:w="3045" w:type="dxa"/>
            <w:tcMar>
              <w:top w:w="15" w:type="dxa"/>
              <w:left w:w="15" w:type="dxa"/>
              <w:bottom w:w="0" w:type="dxa"/>
              <w:right w:w="15" w:type="dxa"/>
            </w:tcMar>
            <w:vAlign w:val="center"/>
          </w:tcPr>
          <w:p>
            <w:pPr>
              <w:jc w:val="center"/>
              <w:rPr>
                <w:rFonts w:ascii="宋体"/>
                <w:bCs/>
                <w:color w:val="000000" w:themeColor="text1"/>
                <w:sz w:val="18"/>
                <w14:textFill>
                  <w14:solidFill>
                    <w14:schemeClr w14:val="tx1"/>
                  </w14:solidFill>
                </w14:textFill>
              </w:rPr>
            </w:pPr>
          </w:p>
        </w:tc>
        <w:tc>
          <w:tcPr>
            <w:tcW w:w="599" w:type="dxa"/>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r>
              <w:rPr>
                <w:rFonts w:hint="eastAsia" w:ascii="黑体" w:eastAsia="黑体"/>
                <w:b/>
                <w:bCs/>
                <w:color w:val="000000" w:themeColor="text1"/>
                <w14:textFill>
                  <w14:solidFill>
                    <w14:schemeClr w14:val="tx1"/>
                  </w14:solidFill>
                </w14:textFill>
              </w:rPr>
              <w:t>　</w:t>
            </w:r>
          </w:p>
        </w:tc>
        <w:tc>
          <w:tcPr>
            <w:tcW w:w="1276" w:type="dxa"/>
            <w:vAlign w:val="center"/>
          </w:tcPr>
          <w:p>
            <w:pPr>
              <w:jc w:val="center"/>
              <w:rPr>
                <w:rFonts w:ascii="黑体" w:hAnsi="宋体" w:eastAsia="黑体"/>
                <w:b/>
                <w:bCs/>
                <w:color w:val="000000" w:themeColor="text1"/>
                <w:sz w:val="24"/>
                <w:szCs w:val="24"/>
                <w14:textFill>
                  <w14:solidFill>
                    <w14:schemeClr w14:val="tx1"/>
                  </w14:solidFill>
                </w14:textFill>
              </w:rPr>
            </w:pPr>
          </w:p>
        </w:tc>
        <w:tc>
          <w:tcPr>
            <w:tcW w:w="992" w:type="dxa"/>
            <w:noWrap/>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r>
              <w:rPr>
                <w:rFonts w:hint="eastAsia" w:ascii="黑体" w:eastAsia="黑体"/>
                <w:b/>
                <w:bCs/>
                <w:color w:val="000000" w:themeColor="text1"/>
                <w14:textFill>
                  <w14:solidFill>
                    <w14:schemeClr w14:val="tx1"/>
                  </w14:solidFill>
                </w14:textFill>
              </w:rPr>
              <w:t>　</w:t>
            </w:r>
          </w:p>
        </w:tc>
        <w:tc>
          <w:tcPr>
            <w:tcW w:w="709" w:type="dxa"/>
            <w:vAlign w:val="center"/>
          </w:tcPr>
          <w:p>
            <w:pPr>
              <w:jc w:val="center"/>
              <w:rPr>
                <w:rFonts w:ascii="黑体" w:hAnsi="宋体" w:eastAsia="黑体"/>
                <w:b/>
                <w:bCs/>
                <w:color w:val="000000" w:themeColor="text1"/>
                <w:sz w:val="24"/>
                <w:szCs w:val="24"/>
                <w14:textFill>
                  <w14:solidFill>
                    <w14:schemeClr w14:val="tx1"/>
                  </w14:solidFill>
                </w14:textFill>
              </w:rPr>
            </w:pPr>
          </w:p>
        </w:tc>
        <w:tc>
          <w:tcPr>
            <w:tcW w:w="939" w:type="dxa"/>
            <w:vAlign w:val="center"/>
          </w:tcPr>
          <w:p>
            <w:pPr>
              <w:jc w:val="center"/>
              <w:rPr>
                <w:rFonts w:ascii="黑体" w:hAnsi="宋体" w:eastAsia="黑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jc w:val="center"/>
              <w:rPr>
                <w:rFonts w:ascii="宋体"/>
                <w:b/>
                <w:bCs/>
                <w:color w:val="000000" w:themeColor="text1"/>
                <w:sz w:val="24"/>
                <w:szCs w:val="18"/>
                <w14:textFill>
                  <w14:solidFill>
                    <w14:schemeClr w14:val="tx1"/>
                  </w14:solidFill>
                </w14:textFill>
              </w:rPr>
            </w:pPr>
            <w:r>
              <w:rPr>
                <w:rFonts w:hint="eastAsia" w:ascii="宋体"/>
                <w:b/>
                <w:bCs/>
                <w:color w:val="000000" w:themeColor="text1"/>
                <w:kern w:val="0"/>
                <w:sz w:val="24"/>
                <w:szCs w:val="18"/>
                <w14:textFill>
                  <w14:solidFill>
                    <w14:schemeClr w14:val="tx1"/>
                  </w14:solidFill>
                </w14:textFill>
              </w:rPr>
              <w:t>完工期</w:t>
            </w:r>
          </w:p>
        </w:tc>
        <w:tc>
          <w:tcPr>
            <w:tcW w:w="7560" w:type="dxa"/>
            <w:gridSpan w:val="6"/>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jc w:val="center"/>
              <w:rPr>
                <w:rFonts w:ascii="宋体"/>
                <w:b/>
                <w:bCs/>
                <w:color w:val="000000" w:themeColor="text1"/>
                <w:sz w:val="24"/>
                <w:szCs w:val="18"/>
                <w14:textFill>
                  <w14:solidFill>
                    <w14:schemeClr w14:val="tx1"/>
                  </w14:solidFill>
                </w14:textFill>
              </w:rPr>
            </w:pPr>
            <w:r>
              <w:rPr>
                <w:rFonts w:hint="eastAsia" w:ascii="宋体"/>
                <w:b/>
                <w:bCs/>
                <w:color w:val="000000" w:themeColor="text1"/>
                <w:kern w:val="0"/>
                <w:sz w:val="24"/>
                <w:szCs w:val="18"/>
                <w14:textFill>
                  <w14:solidFill>
                    <w14:schemeClr w14:val="tx1"/>
                  </w14:solidFill>
                </w14:textFill>
              </w:rPr>
              <w:t>项目整体质保期</w:t>
            </w:r>
          </w:p>
        </w:tc>
        <w:tc>
          <w:tcPr>
            <w:tcW w:w="7560" w:type="dxa"/>
            <w:gridSpan w:val="6"/>
            <w:tcMar>
              <w:top w:w="15" w:type="dxa"/>
              <w:left w:w="15" w:type="dxa"/>
              <w:bottom w:w="0" w:type="dxa"/>
              <w:right w:w="15" w:type="dxa"/>
            </w:tcMar>
            <w:vAlign w:val="center"/>
          </w:tcPr>
          <w:p>
            <w:pPr>
              <w:jc w:val="center"/>
              <w:rPr>
                <w:rFonts w:ascii="黑体" w:hAnsi="宋体" w:eastAsia="黑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spacing w:after="120" w:line="400" w:lineRule="exact"/>
              <w:ind w:firstLine="120" w:firstLineChars="5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服</w:t>
            </w:r>
          </w:p>
          <w:p>
            <w:pPr>
              <w:spacing w:after="120" w:line="400" w:lineRule="exact"/>
              <w:rPr>
                <w:rFonts w:ascii="宋体"/>
                <w:b/>
                <w:bCs/>
                <w:color w:val="000000" w:themeColor="text1"/>
                <w:sz w:val="24"/>
                <w:szCs w:val="24"/>
                <w14:textFill>
                  <w14:solidFill>
                    <w14:schemeClr w14:val="tx1"/>
                  </w14:solidFill>
                </w14:textFill>
              </w:rPr>
            </w:pPr>
          </w:p>
          <w:p>
            <w:pPr>
              <w:spacing w:after="120" w:line="400" w:lineRule="exact"/>
              <w:ind w:firstLine="120" w:firstLineChars="5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务</w:t>
            </w:r>
          </w:p>
          <w:p>
            <w:pPr>
              <w:spacing w:after="120" w:line="400" w:lineRule="exact"/>
              <w:rPr>
                <w:rFonts w:ascii="宋体"/>
                <w:b/>
                <w:bCs/>
                <w:color w:val="000000" w:themeColor="text1"/>
                <w:sz w:val="24"/>
                <w:szCs w:val="24"/>
                <w14:textFill>
                  <w14:solidFill>
                    <w14:schemeClr w14:val="tx1"/>
                  </w14:solidFill>
                </w14:textFill>
              </w:rPr>
            </w:pPr>
          </w:p>
          <w:p>
            <w:pPr>
              <w:spacing w:after="120" w:line="400" w:lineRule="exact"/>
              <w:ind w:firstLine="120" w:firstLineChars="5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w:t>
            </w:r>
          </w:p>
          <w:p>
            <w:pPr>
              <w:spacing w:after="120" w:line="400" w:lineRule="exact"/>
              <w:rPr>
                <w:rFonts w:ascii="宋体"/>
                <w:b/>
                <w:bCs/>
                <w:color w:val="000000" w:themeColor="text1"/>
                <w:sz w:val="24"/>
                <w:szCs w:val="24"/>
                <w14:textFill>
                  <w14:solidFill>
                    <w14:schemeClr w14:val="tx1"/>
                  </w14:solidFill>
                </w14:textFill>
              </w:rPr>
            </w:pPr>
          </w:p>
          <w:p>
            <w:pPr>
              <w:spacing w:after="120" w:line="400" w:lineRule="exact"/>
              <w:ind w:firstLine="120" w:firstLineChars="50"/>
              <w:rPr>
                <w:rFonts w:asci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诺</w:t>
            </w:r>
          </w:p>
        </w:tc>
        <w:tc>
          <w:tcPr>
            <w:tcW w:w="9345" w:type="dxa"/>
            <w:gridSpan w:val="8"/>
            <w:vAlign w:val="center"/>
          </w:tcPr>
          <w:p>
            <w:pPr>
              <w:numPr>
                <w:ilvl w:val="0"/>
                <w:numId w:val="21"/>
              </w:numPr>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质量</w:t>
            </w:r>
            <w:r>
              <w:rPr>
                <w:rFonts w:ascii="宋体" w:hAnsi="宋体"/>
                <w:bCs/>
                <w:color w:val="000000" w:themeColor="text1"/>
                <w:sz w:val="24"/>
                <w:szCs w:val="24"/>
                <w14:textFill>
                  <w14:solidFill>
                    <w14:schemeClr w14:val="tx1"/>
                  </w14:solidFill>
                </w14:textFill>
              </w:rPr>
              <w:t xml:space="preserve"> 2.</w:t>
            </w:r>
            <w:r>
              <w:rPr>
                <w:rFonts w:hint="eastAsia" w:ascii="宋体" w:hAnsi="宋体"/>
                <w:bCs/>
                <w:color w:val="000000" w:themeColor="text1"/>
                <w:sz w:val="24"/>
                <w:szCs w:val="24"/>
                <w14:textFill>
                  <w14:solidFill>
                    <w14:schemeClr w14:val="tx1"/>
                  </w14:solidFill>
                </w14:textFill>
              </w:rPr>
              <w:t>安装</w:t>
            </w:r>
            <w:r>
              <w:rPr>
                <w:rFonts w:ascii="宋体" w:hAnsi="宋体"/>
                <w:bCs/>
                <w:color w:val="000000" w:themeColor="text1"/>
                <w:sz w:val="24"/>
                <w:szCs w:val="24"/>
                <w14:textFill>
                  <w14:solidFill>
                    <w14:schemeClr w14:val="tx1"/>
                  </w14:solidFill>
                </w14:textFill>
              </w:rPr>
              <w:t xml:space="preserve"> 3."</w:t>
            </w:r>
            <w:r>
              <w:rPr>
                <w:rFonts w:hint="eastAsia" w:ascii="宋体" w:hAnsi="宋体"/>
                <w:bCs/>
                <w:color w:val="000000" w:themeColor="text1"/>
                <w:sz w:val="24"/>
                <w:szCs w:val="24"/>
                <w14:textFill>
                  <w14:solidFill>
                    <w14:schemeClr w14:val="tx1"/>
                  </w14:solidFill>
                </w14:textFill>
              </w:rPr>
              <w:t>三包</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包修、包退、包换</w:t>
            </w:r>
            <w:r>
              <w:rPr>
                <w:rFonts w:ascii="宋体" w:hAnsi="宋体"/>
                <w:bCs/>
                <w:color w:val="000000" w:themeColor="text1"/>
                <w:sz w:val="24"/>
                <w:szCs w:val="24"/>
                <w14:textFill>
                  <w14:solidFill>
                    <w14:schemeClr w14:val="tx1"/>
                  </w14:solidFill>
                </w14:textFill>
              </w:rPr>
              <w:t>)4</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其他承诺</w:t>
            </w:r>
          </w:p>
          <w:p>
            <w:pPr>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vAlign w:val="center"/>
          </w:tcPr>
          <w:p>
            <w:pPr>
              <w:spacing w:after="120" w:line="400" w:lineRule="exact"/>
              <w:rPr>
                <w:rFonts w:ascii="宋体"/>
                <w:bCs/>
                <w:color w:val="000000" w:themeColor="text1"/>
                <w:sz w:val="24"/>
                <w:szCs w:val="24"/>
                <w14:textFill>
                  <w14:solidFill>
                    <w14:schemeClr w14:val="tx1"/>
                  </w14:solidFill>
                </w14:textFill>
              </w:rPr>
            </w:pPr>
          </w:p>
        </w:tc>
        <w:tc>
          <w:tcPr>
            <w:tcW w:w="9345" w:type="dxa"/>
            <w:gridSpan w:val="8"/>
            <w:vAlign w:val="center"/>
          </w:tcPr>
          <w:p>
            <w:pPr>
              <w:rPr>
                <w:rFonts w:ascii="宋体"/>
                <w:bCs/>
                <w:color w:val="000000" w:themeColor="text1"/>
                <w:sz w:val="24"/>
                <w:szCs w:val="24"/>
                <w14:textFill>
                  <w14:solidFill>
                    <w14:schemeClr w14:val="tx1"/>
                  </w14:solidFill>
                </w14:textFill>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color w:val="000000" w:themeColor="text1"/>
          <w:szCs w:val="21"/>
          <w14:textFill>
            <w14:solidFill>
              <w14:schemeClr w14:val="tx1"/>
            </w14:solidFill>
          </w14:textFill>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w:t>
      </w:r>
      <w:r>
        <w:rPr>
          <w:rFonts w:hint="eastAsia" w:ascii="宋体"/>
          <w:bCs/>
          <w:color w:val="000000" w:themeColor="text1"/>
          <w:szCs w:val="21"/>
          <w14:textFill>
            <w14:solidFill>
              <w14:schemeClr w14:val="tx1"/>
            </w14:solidFill>
          </w14:textFill>
        </w:rPr>
        <w:t>的投标人属于监狱企业的证明文件复印件；或提供投标人《残疾人福利性单位声明函》。如未按要求填写和提供有效证明或相关内容表述不清的，不得享受价格扣除。投标人对所报相关数据的真实性负责，无锡市政府采购中心有权将相关内容进行公示；</w:t>
      </w:r>
    </w:p>
    <w:p>
      <w:pPr>
        <w:spacing w:line="400" w:lineRule="exact"/>
        <w:ind w:firstLine="315" w:firstLineChars="150"/>
        <w:outlineLvl w:val="0"/>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）投标人应当根据“项目技术要求和有关说明”的内容在上表中详细填写；</w:t>
      </w:r>
    </w:p>
    <w:p>
      <w:pPr>
        <w:spacing w:line="400" w:lineRule="exact"/>
        <w:ind w:firstLine="315" w:firstLineChars="150"/>
        <w:outlineLvl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）表格不够可自行延长。</w:t>
      </w:r>
    </w:p>
    <w:p>
      <w:pPr>
        <w:spacing w:line="400" w:lineRule="exact"/>
        <w:outlineLvl w:val="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pStyle w:val="11"/>
        <w:rPr>
          <w:rFonts w:ascii="宋体"/>
          <w:bCs/>
          <w:color w:val="000000" w:themeColor="text1"/>
          <w:szCs w:val="21"/>
          <w14:textFill>
            <w14:solidFill>
              <w14:schemeClr w14:val="tx1"/>
            </w14:solidFill>
          </w14:textFill>
        </w:rPr>
      </w:pPr>
    </w:p>
    <w:p>
      <w:pPr>
        <w:ind w:firstLine="420" w:firstLineChars="175"/>
        <w:outlineLvl w:val="0"/>
        <w:rPr>
          <w:rFonts w:ascii="黑体" w:hAnsi="宋体" w:eastAsia="黑体"/>
          <w:bCs/>
          <w:color w:val="000000" w:themeColor="text1"/>
          <w:sz w:val="24"/>
          <w:szCs w:val="24"/>
          <w14:textFill>
            <w14:solidFill>
              <w14:schemeClr w14:val="tx1"/>
            </w14:solidFill>
          </w14:textFill>
        </w:rPr>
      </w:pPr>
    </w:p>
    <w:p>
      <w:pPr>
        <w:ind w:firstLine="420" w:firstLineChars="175"/>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（九）投标偏离表（格式）：</w:t>
      </w: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投标偏离表</w:t>
      </w: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rPr>
          <w:rFonts w:hint="eastAsia" w:ascii="黑体" w:eastAsia="黑体"/>
          <w:bCs/>
          <w:color w:val="000000" w:themeColor="text1"/>
          <w:sz w:val="24"/>
          <w:szCs w:val="24"/>
          <w:lang w:eastAsia="zh-CN"/>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lang w:eastAsia="zh-CN"/>
          <w14:textFill>
            <w14:solidFill>
              <w14:schemeClr w14:val="tx1"/>
            </w14:solidFill>
          </w14:textFill>
        </w:rPr>
        <w:t>LXZC2022-023</w:t>
      </w:r>
    </w:p>
    <w:p>
      <w:pPr>
        <w:spacing w:line="400" w:lineRule="exact"/>
        <w:rPr>
          <w:rFonts w:ascii="黑体" w:eastAsia="黑体"/>
          <w:bCs/>
          <w:color w:val="000000" w:themeColor="text1"/>
          <w:sz w:val="24"/>
          <w:szCs w:val="24"/>
          <w14:textFill>
            <w14:solidFill>
              <w14:schemeClr w14:val="tx1"/>
            </w14:solidFill>
          </w14:textFill>
        </w:rPr>
      </w:pPr>
    </w:p>
    <w:tbl>
      <w:tblPr>
        <w:tblStyle w:val="2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rPr>
          <w:rFonts w:ascii="宋体"/>
          <w:bCs/>
          <w:color w:val="000000" w:themeColor="text1"/>
          <w:sz w:val="30"/>
          <w14:textFill>
            <w14:solidFill>
              <w14:schemeClr w14:val="tx1"/>
            </w14:solidFill>
          </w14:textFill>
        </w:rPr>
      </w:pPr>
    </w:p>
    <w:p>
      <w:pPr>
        <w:ind w:firstLine="420" w:firstLineChars="175"/>
        <w:outlineLvl w:val="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）本表不得删除；</w:t>
      </w:r>
    </w:p>
    <w:p>
      <w:pPr>
        <w:ind w:firstLine="420" w:firstLineChars="175"/>
        <w:outlineLvl w:val="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）如无任何技术偏离，请于本表 “偏离说明”中注明“无偏离”；</w:t>
      </w:r>
    </w:p>
    <w:p>
      <w:pPr>
        <w:ind w:firstLine="420" w:firstLineChars="175"/>
        <w:outlineLvl w:val="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（3）如有技术偏离项，请于本表中列明偏离内容，如需要可自行延长，其余无偏离内容不须赘述。</w:t>
      </w:r>
    </w:p>
    <w:p>
      <w:pPr>
        <w:rPr>
          <w:rFonts w:ascii="宋体"/>
          <w:bCs/>
          <w:color w:val="000000" w:themeColor="text1"/>
          <w:sz w:val="30"/>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
      <w:pPr>
        <w:spacing w:after="312" w:afterLines="100"/>
        <w:jc w:val="left"/>
        <w:outlineLvl w:val="1"/>
        <w:rPr>
          <w:rFonts w:ascii="黑体" w:hAnsi="Calibri" w:eastAsia="黑体"/>
          <w:bCs/>
          <w:sz w:val="24"/>
          <w:szCs w:val="24"/>
        </w:rPr>
      </w:pPr>
    </w:p>
    <w:p>
      <w:pPr>
        <w:pStyle w:val="31"/>
      </w:pPr>
    </w:p>
    <w:p>
      <w:pPr>
        <w:outlineLvl w:val="2"/>
        <w:rPr>
          <w:rFonts w:ascii="黑体" w:hAnsi="宋体" w:eastAsia="黑体"/>
          <w:bCs/>
          <w:sz w:val="24"/>
          <w:szCs w:val="24"/>
        </w:rPr>
      </w:pPr>
    </w:p>
    <w:p>
      <w:pPr>
        <w:outlineLvl w:val="2"/>
        <w:rPr>
          <w:rFonts w:ascii="黑体" w:hAnsi="宋体" w:eastAsia="黑体"/>
          <w:bCs/>
          <w:sz w:val="24"/>
          <w:szCs w:val="24"/>
        </w:rPr>
      </w:pPr>
      <w:r>
        <w:rPr>
          <w:rFonts w:hint="eastAsia" w:ascii="黑体" w:hAnsi="宋体" w:eastAsia="黑体"/>
          <w:bCs/>
          <w:sz w:val="24"/>
          <w:szCs w:val="24"/>
        </w:rPr>
        <w:t>（十）项目人员配置清单（格式）：</w:t>
      </w:r>
    </w:p>
    <w:p>
      <w:pPr>
        <w:spacing w:line="400" w:lineRule="exact"/>
        <w:rPr>
          <w:rFonts w:ascii="黑体" w:hAnsi="Calibri" w:eastAsia="黑体"/>
          <w:bCs/>
          <w:sz w:val="28"/>
          <w:szCs w:val="28"/>
        </w:rPr>
      </w:pPr>
    </w:p>
    <w:p>
      <w:pPr>
        <w:spacing w:line="400" w:lineRule="exact"/>
        <w:jc w:val="center"/>
        <w:rPr>
          <w:rFonts w:ascii="黑体" w:eastAsia="黑体"/>
          <w:bCs/>
          <w:sz w:val="28"/>
          <w:szCs w:val="28"/>
        </w:rPr>
      </w:pPr>
      <w:r>
        <w:rPr>
          <w:rFonts w:hint="eastAsia" w:ascii="黑体" w:eastAsia="黑体"/>
          <w:bCs/>
          <w:sz w:val="28"/>
          <w:szCs w:val="28"/>
        </w:rPr>
        <w:t>项目人员配置清单</w:t>
      </w:r>
    </w:p>
    <w:p>
      <w:pPr>
        <w:spacing w:line="400" w:lineRule="exact"/>
        <w:jc w:val="center"/>
        <w:rPr>
          <w:rFonts w:ascii="黑体" w:eastAsia="黑体"/>
          <w:bCs/>
          <w:sz w:val="28"/>
          <w:szCs w:val="28"/>
        </w:rPr>
      </w:pPr>
    </w:p>
    <w:p>
      <w:pPr>
        <w:spacing w:line="580" w:lineRule="exact"/>
        <w:rPr>
          <w:rFonts w:hint="eastAsia" w:ascii="黑体" w:eastAsia="黑体"/>
          <w:bCs/>
          <w:sz w:val="24"/>
          <w:szCs w:val="24"/>
          <w:highlight w:val="yellow"/>
          <w:lang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LXZC2022-023</w:t>
      </w:r>
    </w:p>
    <w:tbl>
      <w:tblPr>
        <w:tblStyle w:val="2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26"/>
        <w:gridCol w:w="793"/>
        <w:gridCol w:w="2585"/>
        <w:gridCol w:w="145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6" w:type="dxa"/>
            <w:vAlign w:val="center"/>
          </w:tcPr>
          <w:p>
            <w:pPr>
              <w:rPr>
                <w:b/>
                <w:bCs/>
                <w:sz w:val="24"/>
                <w:szCs w:val="24"/>
              </w:rPr>
            </w:pPr>
            <w:r>
              <w:rPr>
                <w:rFonts w:hint="eastAsia"/>
                <w:b/>
                <w:bCs/>
                <w:sz w:val="24"/>
                <w:szCs w:val="24"/>
              </w:rPr>
              <w:t>序号</w:t>
            </w:r>
          </w:p>
        </w:tc>
        <w:tc>
          <w:tcPr>
            <w:tcW w:w="1626" w:type="dxa"/>
            <w:vAlign w:val="center"/>
          </w:tcPr>
          <w:p>
            <w:pPr>
              <w:rPr>
                <w:b/>
                <w:bCs/>
                <w:sz w:val="24"/>
                <w:szCs w:val="24"/>
              </w:rPr>
            </w:pPr>
            <w:r>
              <w:rPr>
                <w:rFonts w:hint="eastAsia"/>
                <w:b/>
                <w:bCs/>
                <w:sz w:val="24"/>
                <w:szCs w:val="24"/>
              </w:rPr>
              <w:t>姓名</w:t>
            </w:r>
          </w:p>
        </w:tc>
        <w:tc>
          <w:tcPr>
            <w:tcW w:w="793" w:type="dxa"/>
            <w:vAlign w:val="center"/>
          </w:tcPr>
          <w:p>
            <w:pPr>
              <w:rPr>
                <w:b/>
                <w:bCs/>
                <w:sz w:val="24"/>
                <w:szCs w:val="24"/>
              </w:rPr>
            </w:pPr>
            <w:r>
              <w:rPr>
                <w:rFonts w:hint="eastAsia"/>
                <w:b/>
                <w:bCs/>
                <w:sz w:val="24"/>
                <w:szCs w:val="24"/>
              </w:rPr>
              <w:t>年龄</w:t>
            </w:r>
          </w:p>
        </w:tc>
        <w:tc>
          <w:tcPr>
            <w:tcW w:w="2585" w:type="dxa"/>
            <w:vAlign w:val="center"/>
          </w:tcPr>
          <w:p>
            <w:pPr>
              <w:rPr>
                <w:b/>
                <w:bCs/>
                <w:sz w:val="24"/>
                <w:szCs w:val="24"/>
              </w:rPr>
            </w:pPr>
            <w:r>
              <w:rPr>
                <w:rFonts w:hint="eastAsia"/>
                <w:b/>
                <w:bCs/>
                <w:sz w:val="24"/>
                <w:szCs w:val="24"/>
              </w:rPr>
              <w:t>本项目职责</w:t>
            </w:r>
          </w:p>
        </w:tc>
        <w:tc>
          <w:tcPr>
            <w:tcW w:w="1459" w:type="dxa"/>
            <w:vAlign w:val="center"/>
          </w:tcPr>
          <w:p>
            <w:pPr>
              <w:rPr>
                <w:b/>
                <w:bCs/>
                <w:sz w:val="24"/>
                <w:szCs w:val="24"/>
              </w:rPr>
            </w:pPr>
            <w:r>
              <w:rPr>
                <w:rFonts w:hint="eastAsia"/>
                <w:b/>
                <w:bCs/>
                <w:sz w:val="24"/>
                <w:szCs w:val="24"/>
              </w:rPr>
              <w:t>个人经验</w:t>
            </w:r>
          </w:p>
        </w:tc>
        <w:tc>
          <w:tcPr>
            <w:tcW w:w="1977" w:type="dxa"/>
            <w:vAlign w:val="center"/>
          </w:tcPr>
          <w:p>
            <w:pPr>
              <w:rPr>
                <w:b/>
                <w:bCs/>
                <w:sz w:val="24"/>
                <w:szCs w:val="24"/>
              </w:rPr>
            </w:pPr>
            <w:r>
              <w:rPr>
                <w:rFonts w:hint="eastAsia"/>
                <w:b/>
                <w:bCs/>
                <w:sz w:val="24"/>
                <w:szCs w:val="24"/>
              </w:rPr>
              <w:t>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bl>
    <w:p>
      <w:pPr>
        <w:rPr>
          <w:rFonts w:ascii="Calibri" w:hAnsi="Calibri"/>
          <w:b/>
          <w:bCs/>
          <w:sz w:val="24"/>
          <w:szCs w:val="24"/>
        </w:rPr>
      </w:pPr>
      <w:r>
        <w:rPr>
          <w:rFonts w:hint="eastAsia"/>
          <w:b/>
          <w:bCs/>
          <w:sz w:val="24"/>
          <w:szCs w:val="24"/>
        </w:rPr>
        <w:t>法定代表人或法定代表人授权代表签字或盖章：</w:t>
      </w:r>
    </w:p>
    <w:p>
      <w:pPr>
        <w:rPr>
          <w:rFonts w:ascii="宋体" w:hAnsi="宋体"/>
          <w:bCs/>
          <w:szCs w:val="21"/>
        </w:rPr>
      </w:pPr>
    </w:p>
    <w:p>
      <w:pPr>
        <w:rPr>
          <w:rFonts w:ascii="宋体" w:hAnsi="宋体"/>
          <w:bCs/>
          <w:szCs w:val="21"/>
        </w:rPr>
      </w:pPr>
      <w:r>
        <w:rPr>
          <w:rFonts w:hint="eastAsia" w:ascii="宋体" w:hAnsi="宋体"/>
          <w:bCs/>
          <w:szCs w:val="21"/>
        </w:rPr>
        <w:t>注：1. 表格不够可自行延长。</w:t>
      </w:r>
    </w:p>
    <w:p>
      <w:pPr>
        <w:spacing w:after="312" w:afterLines="100"/>
        <w:jc w:val="left"/>
        <w:outlineLvl w:val="1"/>
        <w:rPr>
          <w:rFonts w:ascii="宋体" w:hAnsi="宋体"/>
          <w:bCs/>
          <w:szCs w:val="21"/>
        </w:rPr>
      </w:pPr>
      <w:r>
        <w:rPr>
          <w:rFonts w:hint="eastAsia" w:ascii="宋体" w:hAnsi="宋体"/>
          <w:bCs/>
          <w:szCs w:val="21"/>
        </w:rPr>
        <w:t>2. 人员相关证明材料应按招标文件要求提供，并附在本表之后。</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480" w:lineRule="auto"/>
        <w:rPr>
          <w:rFonts w:ascii="宋体"/>
          <w:bCs/>
          <w:color w:val="000000" w:themeColor="text1"/>
          <w:sz w:val="24"/>
          <w:szCs w:val="24"/>
          <w14:textFill>
            <w14:solidFill>
              <w14:schemeClr w14:val="tx1"/>
            </w14:solidFill>
          </w14:textFill>
        </w:rPr>
      </w:pPr>
    </w:p>
    <w:sectPr>
      <w:headerReference r:id="rId3" w:type="default"/>
      <w:footerReference r:id="rId4" w:type="default"/>
      <w:footerReference r:id="rId5" w:type="even"/>
      <w:pgSz w:w="11906" w:h="16838"/>
      <w:pgMar w:top="567" w:right="851" w:bottom="567" w:left="1134" w:header="624" w:footer="907"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15"/>
        <w:szCs w:val="15"/>
      </w:rPr>
    </w:pPr>
    <w:r>
      <w:rPr>
        <w:rFonts w:hint="eastAsia" w:ascii="华文新魏" w:hAnsi="华文中宋" w:eastAsia="华文新魏"/>
        <w:sz w:val="15"/>
        <w:szCs w:val="15"/>
        <w:lang w:eastAsia="zh-CN"/>
      </w:rPr>
      <w:t>LXZC2022-023</w:t>
    </w:r>
    <w:r>
      <w:rPr>
        <w:rFonts w:hint="eastAsia" w:eastAsia="华文新魏"/>
        <w:sz w:val="15"/>
        <w:szCs w:val="15"/>
        <w:lang w:eastAsia="zh-CN"/>
      </w:rPr>
      <w:t>梁溪区社会治理现代化智慧工程项目一期（智慧梁溪2021年项目）信息安全等级保护测评项目</w:t>
    </w:r>
    <w:r>
      <w:rPr>
        <w:rFonts w:hint="eastAsia" w:eastAsia="华文新魏"/>
        <w:sz w:val="15"/>
        <w:szCs w:val="15"/>
      </w:rPr>
      <w:t xml:space="preserve">    无锡市公共资源交易中心梁溪分中心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hint="default" w:ascii="宋体" w:hAnsi="宋体" w:eastAsia="宋体" w:cs="Times New Roman"/>
        <w:b w:val="0"/>
        <w:bCs w:val="0"/>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360"/>
        </w:tabs>
        <w:ind w:left="360" w:hanging="360"/>
      </w:pPr>
      <w:rPr>
        <w:rFonts w:hint="eastAsia" w:cs="Times New Roman" w:asciiTheme="minorEastAsia" w:hAnsiTheme="minorEastAsia" w:eastAsiaTheme="minorEastAsia"/>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3">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5">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6">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7">
    <w:nsid w:val="3AE63A52"/>
    <w:multiLevelType w:val="singleLevel"/>
    <w:tmpl w:val="3AE63A52"/>
    <w:lvl w:ilvl="0" w:tentative="0">
      <w:start w:val="1"/>
      <w:numFmt w:val="decimal"/>
      <w:lvlText w:val="%1."/>
      <w:lvlJc w:val="left"/>
      <w:pPr>
        <w:tabs>
          <w:tab w:val="left" w:pos="762"/>
        </w:tabs>
        <w:ind w:left="762" w:hanging="210"/>
      </w:pPr>
      <w:rPr>
        <w:rFonts w:cs="Times New Roman"/>
      </w:rPr>
    </w:lvl>
  </w:abstractNum>
  <w:abstractNum w:abstractNumId="8">
    <w:nsid w:val="3EC72376"/>
    <w:multiLevelType w:val="multilevel"/>
    <w:tmpl w:val="3EC72376"/>
    <w:lvl w:ilvl="0" w:tentative="0">
      <w:start w:val="8"/>
      <w:numFmt w:val="japaneseCounting"/>
      <w:lvlText w:val="（%1）"/>
      <w:lvlJc w:val="left"/>
      <w:pPr>
        <w:ind w:left="1239" w:hanging="720"/>
      </w:pPr>
      <w:rPr>
        <w:rFonts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9">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0">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1">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420"/>
        </w:tabs>
        <w:ind w:left="42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3">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5">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17">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17"/>
  </w:num>
  <w:num w:numId="2">
    <w:abstractNumId w:val="15"/>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lvlOverride w:ilvl="0">
      <w:startOverride w:val="1"/>
    </w:lvlOverride>
  </w:num>
  <w:num w:numId="7">
    <w:abstractNumId w:val="7"/>
    <w:lvlOverride w:ilvl="0">
      <w:startOverride w:val="1"/>
    </w:lvlOverride>
  </w:num>
  <w:num w:numId="8">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16"/>
  </w:num>
  <w:num w:numId="14">
    <w:abstractNumId w:val="14"/>
  </w:num>
  <w:num w:numId="15">
    <w:abstractNumId w:val="6"/>
  </w:num>
  <w:num w:numId="16">
    <w:abstractNumId w:val="12"/>
  </w:num>
  <w:num w:numId="17">
    <w:abstractNumId w:val="1"/>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JkNjExMzJhNDUxNWJkNTkxZjkzM2Y1MjBkMmMifQ=="/>
  </w:docVars>
  <w:rsids>
    <w:rsidRoot w:val="004F7E7C"/>
    <w:rsid w:val="00000246"/>
    <w:rsid w:val="0000147A"/>
    <w:rsid w:val="00001D91"/>
    <w:rsid w:val="000025FD"/>
    <w:rsid w:val="0000630B"/>
    <w:rsid w:val="0000706E"/>
    <w:rsid w:val="0001062E"/>
    <w:rsid w:val="000109A3"/>
    <w:rsid w:val="0001120F"/>
    <w:rsid w:val="000114F5"/>
    <w:rsid w:val="0001198A"/>
    <w:rsid w:val="00015719"/>
    <w:rsid w:val="00016B3F"/>
    <w:rsid w:val="00017561"/>
    <w:rsid w:val="00017773"/>
    <w:rsid w:val="00017BE8"/>
    <w:rsid w:val="00017E5F"/>
    <w:rsid w:val="0002028A"/>
    <w:rsid w:val="00020AA6"/>
    <w:rsid w:val="00021B38"/>
    <w:rsid w:val="00021C55"/>
    <w:rsid w:val="00021D3D"/>
    <w:rsid w:val="0002482E"/>
    <w:rsid w:val="0002495A"/>
    <w:rsid w:val="000273DF"/>
    <w:rsid w:val="000337EB"/>
    <w:rsid w:val="00033B04"/>
    <w:rsid w:val="00034340"/>
    <w:rsid w:val="00035F23"/>
    <w:rsid w:val="00036986"/>
    <w:rsid w:val="00037074"/>
    <w:rsid w:val="00037E14"/>
    <w:rsid w:val="0004115C"/>
    <w:rsid w:val="0004138A"/>
    <w:rsid w:val="000413ED"/>
    <w:rsid w:val="0004158D"/>
    <w:rsid w:val="000415CD"/>
    <w:rsid w:val="00042DB2"/>
    <w:rsid w:val="000433BF"/>
    <w:rsid w:val="00043493"/>
    <w:rsid w:val="0004377B"/>
    <w:rsid w:val="00044F01"/>
    <w:rsid w:val="00047103"/>
    <w:rsid w:val="000478D6"/>
    <w:rsid w:val="000501C8"/>
    <w:rsid w:val="000508F5"/>
    <w:rsid w:val="00052D27"/>
    <w:rsid w:val="00053810"/>
    <w:rsid w:val="00053B23"/>
    <w:rsid w:val="00055172"/>
    <w:rsid w:val="000561D6"/>
    <w:rsid w:val="00056FF7"/>
    <w:rsid w:val="00057B7C"/>
    <w:rsid w:val="0006076C"/>
    <w:rsid w:val="000608B0"/>
    <w:rsid w:val="000628EE"/>
    <w:rsid w:val="000659F4"/>
    <w:rsid w:val="000675AF"/>
    <w:rsid w:val="000678F3"/>
    <w:rsid w:val="00067E9F"/>
    <w:rsid w:val="0007120B"/>
    <w:rsid w:val="0007339C"/>
    <w:rsid w:val="000734BB"/>
    <w:rsid w:val="00074792"/>
    <w:rsid w:val="00075491"/>
    <w:rsid w:val="000759A3"/>
    <w:rsid w:val="00075DD9"/>
    <w:rsid w:val="000763A3"/>
    <w:rsid w:val="00076BD2"/>
    <w:rsid w:val="000821F9"/>
    <w:rsid w:val="00082FEF"/>
    <w:rsid w:val="0008355D"/>
    <w:rsid w:val="00083932"/>
    <w:rsid w:val="00083FE1"/>
    <w:rsid w:val="0008519B"/>
    <w:rsid w:val="00085876"/>
    <w:rsid w:val="00087758"/>
    <w:rsid w:val="0009023A"/>
    <w:rsid w:val="000903B2"/>
    <w:rsid w:val="00092396"/>
    <w:rsid w:val="0009595E"/>
    <w:rsid w:val="000A0304"/>
    <w:rsid w:val="000A0558"/>
    <w:rsid w:val="000A0D51"/>
    <w:rsid w:val="000A0F85"/>
    <w:rsid w:val="000A10E2"/>
    <w:rsid w:val="000A1660"/>
    <w:rsid w:val="000A1817"/>
    <w:rsid w:val="000A32EA"/>
    <w:rsid w:val="000A4837"/>
    <w:rsid w:val="000A54CD"/>
    <w:rsid w:val="000A6749"/>
    <w:rsid w:val="000A720C"/>
    <w:rsid w:val="000B1D13"/>
    <w:rsid w:val="000B1DF3"/>
    <w:rsid w:val="000B3D4D"/>
    <w:rsid w:val="000B3E3B"/>
    <w:rsid w:val="000B5F16"/>
    <w:rsid w:val="000B67A4"/>
    <w:rsid w:val="000C052C"/>
    <w:rsid w:val="000C074F"/>
    <w:rsid w:val="000C5496"/>
    <w:rsid w:val="000D0BC6"/>
    <w:rsid w:val="000D15A8"/>
    <w:rsid w:val="000D2FE0"/>
    <w:rsid w:val="000D31F8"/>
    <w:rsid w:val="000D3C7B"/>
    <w:rsid w:val="000D3F2B"/>
    <w:rsid w:val="000D41B9"/>
    <w:rsid w:val="000D450D"/>
    <w:rsid w:val="000D547B"/>
    <w:rsid w:val="000D55BC"/>
    <w:rsid w:val="000D6935"/>
    <w:rsid w:val="000D71CB"/>
    <w:rsid w:val="000E08A3"/>
    <w:rsid w:val="000E0F29"/>
    <w:rsid w:val="000E127E"/>
    <w:rsid w:val="000E57EB"/>
    <w:rsid w:val="000E7D8B"/>
    <w:rsid w:val="000F0B78"/>
    <w:rsid w:val="000F138B"/>
    <w:rsid w:val="000F16DF"/>
    <w:rsid w:val="000F1B4D"/>
    <w:rsid w:val="000F2375"/>
    <w:rsid w:val="000F423D"/>
    <w:rsid w:val="000F520D"/>
    <w:rsid w:val="000F63CA"/>
    <w:rsid w:val="000F6A18"/>
    <w:rsid w:val="000F71F0"/>
    <w:rsid w:val="000F73AC"/>
    <w:rsid w:val="00100364"/>
    <w:rsid w:val="00100E48"/>
    <w:rsid w:val="00101CE7"/>
    <w:rsid w:val="00101FF8"/>
    <w:rsid w:val="00103EC7"/>
    <w:rsid w:val="001055CE"/>
    <w:rsid w:val="00107877"/>
    <w:rsid w:val="00110500"/>
    <w:rsid w:val="00110CB5"/>
    <w:rsid w:val="001114B4"/>
    <w:rsid w:val="001114FF"/>
    <w:rsid w:val="001134ED"/>
    <w:rsid w:val="001140DE"/>
    <w:rsid w:val="00115415"/>
    <w:rsid w:val="001157CA"/>
    <w:rsid w:val="0011597E"/>
    <w:rsid w:val="00115ACD"/>
    <w:rsid w:val="00115D18"/>
    <w:rsid w:val="00116412"/>
    <w:rsid w:val="00120A0A"/>
    <w:rsid w:val="0012114A"/>
    <w:rsid w:val="001216AB"/>
    <w:rsid w:val="001220ED"/>
    <w:rsid w:val="00122112"/>
    <w:rsid w:val="001249B8"/>
    <w:rsid w:val="001249E7"/>
    <w:rsid w:val="0012542C"/>
    <w:rsid w:val="0012629F"/>
    <w:rsid w:val="001272D9"/>
    <w:rsid w:val="00127B0D"/>
    <w:rsid w:val="00127F9B"/>
    <w:rsid w:val="00130664"/>
    <w:rsid w:val="001325B8"/>
    <w:rsid w:val="00132D94"/>
    <w:rsid w:val="0013301B"/>
    <w:rsid w:val="00133BEC"/>
    <w:rsid w:val="001342A6"/>
    <w:rsid w:val="0013468C"/>
    <w:rsid w:val="00134735"/>
    <w:rsid w:val="00134EBB"/>
    <w:rsid w:val="00135B43"/>
    <w:rsid w:val="00135FC3"/>
    <w:rsid w:val="001370A7"/>
    <w:rsid w:val="00137695"/>
    <w:rsid w:val="001379D5"/>
    <w:rsid w:val="00137B77"/>
    <w:rsid w:val="00140BF2"/>
    <w:rsid w:val="00140D27"/>
    <w:rsid w:val="00141545"/>
    <w:rsid w:val="001415E2"/>
    <w:rsid w:val="0014180E"/>
    <w:rsid w:val="00142075"/>
    <w:rsid w:val="00142503"/>
    <w:rsid w:val="00142AD5"/>
    <w:rsid w:val="00142ADA"/>
    <w:rsid w:val="001433FF"/>
    <w:rsid w:val="00143722"/>
    <w:rsid w:val="0014621F"/>
    <w:rsid w:val="00146CEA"/>
    <w:rsid w:val="00150326"/>
    <w:rsid w:val="001505DA"/>
    <w:rsid w:val="00150CB2"/>
    <w:rsid w:val="001516CA"/>
    <w:rsid w:val="00152DF6"/>
    <w:rsid w:val="00154F32"/>
    <w:rsid w:val="00155484"/>
    <w:rsid w:val="001560CD"/>
    <w:rsid w:val="0015678F"/>
    <w:rsid w:val="00156D8F"/>
    <w:rsid w:val="00156F98"/>
    <w:rsid w:val="00157FA7"/>
    <w:rsid w:val="0016033E"/>
    <w:rsid w:val="00161C78"/>
    <w:rsid w:val="0016340B"/>
    <w:rsid w:val="0016356D"/>
    <w:rsid w:val="0016461F"/>
    <w:rsid w:val="0016484D"/>
    <w:rsid w:val="00165BA1"/>
    <w:rsid w:val="0016602F"/>
    <w:rsid w:val="00166298"/>
    <w:rsid w:val="00170996"/>
    <w:rsid w:val="001713BF"/>
    <w:rsid w:val="0017312D"/>
    <w:rsid w:val="00174FDC"/>
    <w:rsid w:val="00175753"/>
    <w:rsid w:val="0017630E"/>
    <w:rsid w:val="001763FA"/>
    <w:rsid w:val="0017682B"/>
    <w:rsid w:val="001777FF"/>
    <w:rsid w:val="00180444"/>
    <w:rsid w:val="00181B67"/>
    <w:rsid w:val="00183235"/>
    <w:rsid w:val="00184556"/>
    <w:rsid w:val="0018524B"/>
    <w:rsid w:val="00185A0C"/>
    <w:rsid w:val="00186545"/>
    <w:rsid w:val="00191007"/>
    <w:rsid w:val="00191F46"/>
    <w:rsid w:val="001924D5"/>
    <w:rsid w:val="00192C20"/>
    <w:rsid w:val="00193BBC"/>
    <w:rsid w:val="0019535E"/>
    <w:rsid w:val="001961C4"/>
    <w:rsid w:val="00196523"/>
    <w:rsid w:val="00197530"/>
    <w:rsid w:val="001A02BB"/>
    <w:rsid w:val="001A17D5"/>
    <w:rsid w:val="001A1C67"/>
    <w:rsid w:val="001A31B2"/>
    <w:rsid w:val="001A3575"/>
    <w:rsid w:val="001A5089"/>
    <w:rsid w:val="001A54D0"/>
    <w:rsid w:val="001A5A56"/>
    <w:rsid w:val="001A7E8E"/>
    <w:rsid w:val="001B1BB4"/>
    <w:rsid w:val="001B2471"/>
    <w:rsid w:val="001B2D81"/>
    <w:rsid w:val="001B36AD"/>
    <w:rsid w:val="001B3FB8"/>
    <w:rsid w:val="001B5D8F"/>
    <w:rsid w:val="001B676F"/>
    <w:rsid w:val="001B6791"/>
    <w:rsid w:val="001B794E"/>
    <w:rsid w:val="001C14C3"/>
    <w:rsid w:val="001C25B0"/>
    <w:rsid w:val="001C467D"/>
    <w:rsid w:val="001C6217"/>
    <w:rsid w:val="001C66C0"/>
    <w:rsid w:val="001C6C8F"/>
    <w:rsid w:val="001C77DE"/>
    <w:rsid w:val="001D2039"/>
    <w:rsid w:val="001D34E9"/>
    <w:rsid w:val="001D37D9"/>
    <w:rsid w:val="001D3FC1"/>
    <w:rsid w:val="001D40E8"/>
    <w:rsid w:val="001D428C"/>
    <w:rsid w:val="001D46D2"/>
    <w:rsid w:val="001D4EA7"/>
    <w:rsid w:val="001D5F8D"/>
    <w:rsid w:val="001D64DC"/>
    <w:rsid w:val="001E0112"/>
    <w:rsid w:val="001E104F"/>
    <w:rsid w:val="001E3929"/>
    <w:rsid w:val="001E3F25"/>
    <w:rsid w:val="001E6915"/>
    <w:rsid w:val="001E773C"/>
    <w:rsid w:val="001E7BB0"/>
    <w:rsid w:val="001E7F04"/>
    <w:rsid w:val="001F067F"/>
    <w:rsid w:val="001F11D1"/>
    <w:rsid w:val="001F24EF"/>
    <w:rsid w:val="001F36C0"/>
    <w:rsid w:val="001F452C"/>
    <w:rsid w:val="001F5C10"/>
    <w:rsid w:val="001F5FCA"/>
    <w:rsid w:val="001F7677"/>
    <w:rsid w:val="001F7D09"/>
    <w:rsid w:val="0020143F"/>
    <w:rsid w:val="0020238F"/>
    <w:rsid w:val="00202489"/>
    <w:rsid w:val="00207130"/>
    <w:rsid w:val="002077E3"/>
    <w:rsid w:val="002077FB"/>
    <w:rsid w:val="00207EB8"/>
    <w:rsid w:val="00210A92"/>
    <w:rsid w:val="00211CAB"/>
    <w:rsid w:val="0021273C"/>
    <w:rsid w:val="002128BA"/>
    <w:rsid w:val="00212FE6"/>
    <w:rsid w:val="00213848"/>
    <w:rsid w:val="00213926"/>
    <w:rsid w:val="00214951"/>
    <w:rsid w:val="00216CCD"/>
    <w:rsid w:val="002207BB"/>
    <w:rsid w:val="00222DDA"/>
    <w:rsid w:val="00223423"/>
    <w:rsid w:val="0022348D"/>
    <w:rsid w:val="0022355E"/>
    <w:rsid w:val="0022603E"/>
    <w:rsid w:val="0022676E"/>
    <w:rsid w:val="00227686"/>
    <w:rsid w:val="00227A8D"/>
    <w:rsid w:val="002315FF"/>
    <w:rsid w:val="002324F7"/>
    <w:rsid w:val="00232E8C"/>
    <w:rsid w:val="00232FE0"/>
    <w:rsid w:val="00232FE1"/>
    <w:rsid w:val="0023308C"/>
    <w:rsid w:val="002348B8"/>
    <w:rsid w:val="002361A4"/>
    <w:rsid w:val="002367B7"/>
    <w:rsid w:val="00236826"/>
    <w:rsid w:val="00237D5F"/>
    <w:rsid w:val="002401C6"/>
    <w:rsid w:val="0024070E"/>
    <w:rsid w:val="0024107B"/>
    <w:rsid w:val="00242072"/>
    <w:rsid w:val="002440C5"/>
    <w:rsid w:val="0024486B"/>
    <w:rsid w:val="002449A6"/>
    <w:rsid w:val="0024551F"/>
    <w:rsid w:val="00246798"/>
    <w:rsid w:val="00246976"/>
    <w:rsid w:val="00247A5D"/>
    <w:rsid w:val="00250EA8"/>
    <w:rsid w:val="0025328C"/>
    <w:rsid w:val="00255CD8"/>
    <w:rsid w:val="0025660D"/>
    <w:rsid w:val="0025745D"/>
    <w:rsid w:val="00257F56"/>
    <w:rsid w:val="00261791"/>
    <w:rsid w:val="002631F1"/>
    <w:rsid w:val="00264143"/>
    <w:rsid w:val="002648B7"/>
    <w:rsid w:val="0026615E"/>
    <w:rsid w:val="002662DF"/>
    <w:rsid w:val="00266E9A"/>
    <w:rsid w:val="00267ADA"/>
    <w:rsid w:val="00267BA6"/>
    <w:rsid w:val="00270D2F"/>
    <w:rsid w:val="0027229D"/>
    <w:rsid w:val="002729FF"/>
    <w:rsid w:val="00273B24"/>
    <w:rsid w:val="002746EF"/>
    <w:rsid w:val="00274FAC"/>
    <w:rsid w:val="00275160"/>
    <w:rsid w:val="00275375"/>
    <w:rsid w:val="00275BBB"/>
    <w:rsid w:val="00276963"/>
    <w:rsid w:val="00281F9F"/>
    <w:rsid w:val="0028360F"/>
    <w:rsid w:val="00283739"/>
    <w:rsid w:val="00284497"/>
    <w:rsid w:val="002851A9"/>
    <w:rsid w:val="00285EAB"/>
    <w:rsid w:val="00286DC7"/>
    <w:rsid w:val="00286ED3"/>
    <w:rsid w:val="00290DCC"/>
    <w:rsid w:val="00290E4E"/>
    <w:rsid w:val="00293D39"/>
    <w:rsid w:val="002942C7"/>
    <w:rsid w:val="002944C4"/>
    <w:rsid w:val="002958A6"/>
    <w:rsid w:val="00296A9C"/>
    <w:rsid w:val="002971A4"/>
    <w:rsid w:val="002A02BF"/>
    <w:rsid w:val="002A13B1"/>
    <w:rsid w:val="002A188E"/>
    <w:rsid w:val="002A1DB1"/>
    <w:rsid w:val="002A377E"/>
    <w:rsid w:val="002A5832"/>
    <w:rsid w:val="002A6836"/>
    <w:rsid w:val="002A6E33"/>
    <w:rsid w:val="002A6E8E"/>
    <w:rsid w:val="002B01B1"/>
    <w:rsid w:val="002B258A"/>
    <w:rsid w:val="002B2828"/>
    <w:rsid w:val="002B2B3F"/>
    <w:rsid w:val="002B5169"/>
    <w:rsid w:val="002B6F45"/>
    <w:rsid w:val="002B72D5"/>
    <w:rsid w:val="002B7325"/>
    <w:rsid w:val="002B7C1F"/>
    <w:rsid w:val="002C022F"/>
    <w:rsid w:val="002C083F"/>
    <w:rsid w:val="002C0C73"/>
    <w:rsid w:val="002C3203"/>
    <w:rsid w:val="002C47B8"/>
    <w:rsid w:val="002C4932"/>
    <w:rsid w:val="002C4ED1"/>
    <w:rsid w:val="002C5A28"/>
    <w:rsid w:val="002C66DF"/>
    <w:rsid w:val="002C75D2"/>
    <w:rsid w:val="002C7E00"/>
    <w:rsid w:val="002D1F87"/>
    <w:rsid w:val="002D25E3"/>
    <w:rsid w:val="002D4BC6"/>
    <w:rsid w:val="002D514E"/>
    <w:rsid w:val="002D5423"/>
    <w:rsid w:val="002D59FE"/>
    <w:rsid w:val="002D76C3"/>
    <w:rsid w:val="002E17E6"/>
    <w:rsid w:val="002E2C8F"/>
    <w:rsid w:val="002E2E31"/>
    <w:rsid w:val="002E32BA"/>
    <w:rsid w:val="002E3B4A"/>
    <w:rsid w:val="002E3E8F"/>
    <w:rsid w:val="002E6FC2"/>
    <w:rsid w:val="002E750F"/>
    <w:rsid w:val="002F0DF6"/>
    <w:rsid w:val="002F0E5A"/>
    <w:rsid w:val="002F1FCF"/>
    <w:rsid w:val="002F2CDB"/>
    <w:rsid w:val="002F34AC"/>
    <w:rsid w:val="002F3630"/>
    <w:rsid w:val="002F3CFA"/>
    <w:rsid w:val="002F6D1C"/>
    <w:rsid w:val="002F76A5"/>
    <w:rsid w:val="002F7E34"/>
    <w:rsid w:val="002F7FF5"/>
    <w:rsid w:val="00301905"/>
    <w:rsid w:val="00301A3A"/>
    <w:rsid w:val="00301B22"/>
    <w:rsid w:val="003028BB"/>
    <w:rsid w:val="00303700"/>
    <w:rsid w:val="00303805"/>
    <w:rsid w:val="00303BF6"/>
    <w:rsid w:val="0030475C"/>
    <w:rsid w:val="0030556D"/>
    <w:rsid w:val="00305C33"/>
    <w:rsid w:val="003064B0"/>
    <w:rsid w:val="003110F6"/>
    <w:rsid w:val="00312F1D"/>
    <w:rsid w:val="00315A53"/>
    <w:rsid w:val="003161EE"/>
    <w:rsid w:val="00316BAA"/>
    <w:rsid w:val="003173ED"/>
    <w:rsid w:val="0032161A"/>
    <w:rsid w:val="0032321C"/>
    <w:rsid w:val="0032379D"/>
    <w:rsid w:val="003246ED"/>
    <w:rsid w:val="00325468"/>
    <w:rsid w:val="003262E0"/>
    <w:rsid w:val="003266BE"/>
    <w:rsid w:val="003267A0"/>
    <w:rsid w:val="00326D9D"/>
    <w:rsid w:val="003278D9"/>
    <w:rsid w:val="003278F8"/>
    <w:rsid w:val="00330A28"/>
    <w:rsid w:val="00330CEA"/>
    <w:rsid w:val="003321B6"/>
    <w:rsid w:val="00332F17"/>
    <w:rsid w:val="00333562"/>
    <w:rsid w:val="00333E01"/>
    <w:rsid w:val="00335C64"/>
    <w:rsid w:val="00337DE7"/>
    <w:rsid w:val="003400E8"/>
    <w:rsid w:val="0034072C"/>
    <w:rsid w:val="00340FB5"/>
    <w:rsid w:val="003417A7"/>
    <w:rsid w:val="00341A6F"/>
    <w:rsid w:val="003429AF"/>
    <w:rsid w:val="00342F27"/>
    <w:rsid w:val="00342F91"/>
    <w:rsid w:val="0034382F"/>
    <w:rsid w:val="00343EB2"/>
    <w:rsid w:val="00345191"/>
    <w:rsid w:val="00345668"/>
    <w:rsid w:val="00345BBF"/>
    <w:rsid w:val="003471BD"/>
    <w:rsid w:val="0034780A"/>
    <w:rsid w:val="00351605"/>
    <w:rsid w:val="00354D54"/>
    <w:rsid w:val="00354F1D"/>
    <w:rsid w:val="00356153"/>
    <w:rsid w:val="00356350"/>
    <w:rsid w:val="003576D5"/>
    <w:rsid w:val="00357AF3"/>
    <w:rsid w:val="0036070F"/>
    <w:rsid w:val="00361D10"/>
    <w:rsid w:val="00365474"/>
    <w:rsid w:val="00366DD7"/>
    <w:rsid w:val="00370036"/>
    <w:rsid w:val="00370357"/>
    <w:rsid w:val="00372E89"/>
    <w:rsid w:val="00373193"/>
    <w:rsid w:val="00373D65"/>
    <w:rsid w:val="003743C6"/>
    <w:rsid w:val="00374D3A"/>
    <w:rsid w:val="003752C5"/>
    <w:rsid w:val="00375422"/>
    <w:rsid w:val="00375E21"/>
    <w:rsid w:val="00376811"/>
    <w:rsid w:val="00377A17"/>
    <w:rsid w:val="00377F15"/>
    <w:rsid w:val="00381716"/>
    <w:rsid w:val="00381ADD"/>
    <w:rsid w:val="00382D5B"/>
    <w:rsid w:val="00383FE1"/>
    <w:rsid w:val="00384AF2"/>
    <w:rsid w:val="0038583E"/>
    <w:rsid w:val="00386422"/>
    <w:rsid w:val="00386986"/>
    <w:rsid w:val="00386E83"/>
    <w:rsid w:val="0038781C"/>
    <w:rsid w:val="003907F4"/>
    <w:rsid w:val="00390841"/>
    <w:rsid w:val="0039098E"/>
    <w:rsid w:val="003913ED"/>
    <w:rsid w:val="0039162F"/>
    <w:rsid w:val="00392160"/>
    <w:rsid w:val="00394CB7"/>
    <w:rsid w:val="0039567B"/>
    <w:rsid w:val="003967B0"/>
    <w:rsid w:val="00397A33"/>
    <w:rsid w:val="003A0095"/>
    <w:rsid w:val="003A00C5"/>
    <w:rsid w:val="003A10BC"/>
    <w:rsid w:val="003A18D0"/>
    <w:rsid w:val="003A2BD5"/>
    <w:rsid w:val="003A3A2C"/>
    <w:rsid w:val="003A4592"/>
    <w:rsid w:val="003A487A"/>
    <w:rsid w:val="003A65F0"/>
    <w:rsid w:val="003A7D5B"/>
    <w:rsid w:val="003A7F3C"/>
    <w:rsid w:val="003B43CB"/>
    <w:rsid w:val="003B44EE"/>
    <w:rsid w:val="003B5AEB"/>
    <w:rsid w:val="003B5BBB"/>
    <w:rsid w:val="003C00DF"/>
    <w:rsid w:val="003C1A31"/>
    <w:rsid w:val="003C3B7E"/>
    <w:rsid w:val="003C6D60"/>
    <w:rsid w:val="003D013C"/>
    <w:rsid w:val="003D0C63"/>
    <w:rsid w:val="003D1208"/>
    <w:rsid w:val="003D1B73"/>
    <w:rsid w:val="003D1E90"/>
    <w:rsid w:val="003D27C8"/>
    <w:rsid w:val="003D382D"/>
    <w:rsid w:val="003D3D26"/>
    <w:rsid w:val="003D4DF3"/>
    <w:rsid w:val="003D5168"/>
    <w:rsid w:val="003D52B6"/>
    <w:rsid w:val="003D614B"/>
    <w:rsid w:val="003D7D28"/>
    <w:rsid w:val="003E0FEE"/>
    <w:rsid w:val="003E1E26"/>
    <w:rsid w:val="003E2274"/>
    <w:rsid w:val="003E2502"/>
    <w:rsid w:val="003E3CAD"/>
    <w:rsid w:val="003E45B3"/>
    <w:rsid w:val="003E463A"/>
    <w:rsid w:val="003E6770"/>
    <w:rsid w:val="003E6C63"/>
    <w:rsid w:val="003F0265"/>
    <w:rsid w:val="003F042C"/>
    <w:rsid w:val="003F18A7"/>
    <w:rsid w:val="003F1DC0"/>
    <w:rsid w:val="003F211A"/>
    <w:rsid w:val="003F2583"/>
    <w:rsid w:val="003F275D"/>
    <w:rsid w:val="003F368D"/>
    <w:rsid w:val="003F488A"/>
    <w:rsid w:val="003F4C40"/>
    <w:rsid w:val="003F67DB"/>
    <w:rsid w:val="003F6E28"/>
    <w:rsid w:val="003F6F53"/>
    <w:rsid w:val="00400E7A"/>
    <w:rsid w:val="00401A10"/>
    <w:rsid w:val="0040646E"/>
    <w:rsid w:val="004068CE"/>
    <w:rsid w:val="004069E3"/>
    <w:rsid w:val="004108B9"/>
    <w:rsid w:val="00411679"/>
    <w:rsid w:val="00412433"/>
    <w:rsid w:val="00413A41"/>
    <w:rsid w:val="004151CD"/>
    <w:rsid w:val="00415C12"/>
    <w:rsid w:val="00415DB4"/>
    <w:rsid w:val="0041721B"/>
    <w:rsid w:val="0042067B"/>
    <w:rsid w:val="00420D5C"/>
    <w:rsid w:val="00421E06"/>
    <w:rsid w:val="00422670"/>
    <w:rsid w:val="0042287D"/>
    <w:rsid w:val="004245E2"/>
    <w:rsid w:val="004252C2"/>
    <w:rsid w:val="004254C6"/>
    <w:rsid w:val="0042575B"/>
    <w:rsid w:val="00425B79"/>
    <w:rsid w:val="00427D4D"/>
    <w:rsid w:val="004310BB"/>
    <w:rsid w:val="0043176A"/>
    <w:rsid w:val="00431A41"/>
    <w:rsid w:val="00432284"/>
    <w:rsid w:val="00432CE6"/>
    <w:rsid w:val="00433985"/>
    <w:rsid w:val="004364D2"/>
    <w:rsid w:val="00436691"/>
    <w:rsid w:val="0043693B"/>
    <w:rsid w:val="0043736E"/>
    <w:rsid w:val="004376F3"/>
    <w:rsid w:val="0044045C"/>
    <w:rsid w:val="0044248A"/>
    <w:rsid w:val="00442B37"/>
    <w:rsid w:val="00443933"/>
    <w:rsid w:val="00443F3A"/>
    <w:rsid w:val="0044416F"/>
    <w:rsid w:val="00445407"/>
    <w:rsid w:val="004457E9"/>
    <w:rsid w:val="00446C07"/>
    <w:rsid w:val="00446E41"/>
    <w:rsid w:val="004471F4"/>
    <w:rsid w:val="00450D74"/>
    <w:rsid w:val="0045303A"/>
    <w:rsid w:val="00454522"/>
    <w:rsid w:val="00456CE4"/>
    <w:rsid w:val="00457829"/>
    <w:rsid w:val="004606BB"/>
    <w:rsid w:val="00461E85"/>
    <w:rsid w:val="00464446"/>
    <w:rsid w:val="00465547"/>
    <w:rsid w:val="00466C61"/>
    <w:rsid w:val="00466C68"/>
    <w:rsid w:val="00466FF6"/>
    <w:rsid w:val="00471153"/>
    <w:rsid w:val="004718EB"/>
    <w:rsid w:val="00471BEE"/>
    <w:rsid w:val="00474894"/>
    <w:rsid w:val="00474B80"/>
    <w:rsid w:val="00475F5A"/>
    <w:rsid w:val="004771C8"/>
    <w:rsid w:val="00480B26"/>
    <w:rsid w:val="00480F7A"/>
    <w:rsid w:val="00480FA5"/>
    <w:rsid w:val="00481FF4"/>
    <w:rsid w:val="00483D19"/>
    <w:rsid w:val="00484A31"/>
    <w:rsid w:val="00484A86"/>
    <w:rsid w:val="00484B4F"/>
    <w:rsid w:val="00484E12"/>
    <w:rsid w:val="00486792"/>
    <w:rsid w:val="00486DF9"/>
    <w:rsid w:val="00487FD0"/>
    <w:rsid w:val="0049077D"/>
    <w:rsid w:val="0049089D"/>
    <w:rsid w:val="004908B6"/>
    <w:rsid w:val="0049131E"/>
    <w:rsid w:val="0049285A"/>
    <w:rsid w:val="004934D2"/>
    <w:rsid w:val="00493991"/>
    <w:rsid w:val="00493A67"/>
    <w:rsid w:val="00494131"/>
    <w:rsid w:val="00494147"/>
    <w:rsid w:val="00494451"/>
    <w:rsid w:val="004946A6"/>
    <w:rsid w:val="004951AE"/>
    <w:rsid w:val="0049616F"/>
    <w:rsid w:val="004A08C7"/>
    <w:rsid w:val="004A0BFE"/>
    <w:rsid w:val="004A0D9E"/>
    <w:rsid w:val="004A142B"/>
    <w:rsid w:val="004A301D"/>
    <w:rsid w:val="004A6EBC"/>
    <w:rsid w:val="004A6F5F"/>
    <w:rsid w:val="004B0EE0"/>
    <w:rsid w:val="004B368F"/>
    <w:rsid w:val="004C1FCD"/>
    <w:rsid w:val="004C2D6E"/>
    <w:rsid w:val="004C3CF6"/>
    <w:rsid w:val="004D2031"/>
    <w:rsid w:val="004D24E1"/>
    <w:rsid w:val="004D465A"/>
    <w:rsid w:val="004D5017"/>
    <w:rsid w:val="004D5679"/>
    <w:rsid w:val="004D7089"/>
    <w:rsid w:val="004E0C55"/>
    <w:rsid w:val="004E134F"/>
    <w:rsid w:val="004E14A3"/>
    <w:rsid w:val="004E1D99"/>
    <w:rsid w:val="004E4FDC"/>
    <w:rsid w:val="004E553F"/>
    <w:rsid w:val="004E7735"/>
    <w:rsid w:val="004F0254"/>
    <w:rsid w:val="004F1377"/>
    <w:rsid w:val="004F24E1"/>
    <w:rsid w:val="004F6C92"/>
    <w:rsid w:val="004F70AB"/>
    <w:rsid w:val="004F7C8E"/>
    <w:rsid w:val="004F7E7C"/>
    <w:rsid w:val="00500824"/>
    <w:rsid w:val="00500988"/>
    <w:rsid w:val="00504747"/>
    <w:rsid w:val="00505A0C"/>
    <w:rsid w:val="00505A3E"/>
    <w:rsid w:val="00505EED"/>
    <w:rsid w:val="00506F49"/>
    <w:rsid w:val="00507275"/>
    <w:rsid w:val="0050757E"/>
    <w:rsid w:val="00507CBA"/>
    <w:rsid w:val="00510D49"/>
    <w:rsid w:val="0051101B"/>
    <w:rsid w:val="00512140"/>
    <w:rsid w:val="00512842"/>
    <w:rsid w:val="00513825"/>
    <w:rsid w:val="005139C5"/>
    <w:rsid w:val="00513C97"/>
    <w:rsid w:val="0051458D"/>
    <w:rsid w:val="005161C7"/>
    <w:rsid w:val="00516DA3"/>
    <w:rsid w:val="005171BA"/>
    <w:rsid w:val="005216E8"/>
    <w:rsid w:val="00524771"/>
    <w:rsid w:val="00525EE8"/>
    <w:rsid w:val="00526635"/>
    <w:rsid w:val="00526663"/>
    <w:rsid w:val="005307C0"/>
    <w:rsid w:val="0053112E"/>
    <w:rsid w:val="00531631"/>
    <w:rsid w:val="00532F27"/>
    <w:rsid w:val="0053384A"/>
    <w:rsid w:val="00533A04"/>
    <w:rsid w:val="00534BD2"/>
    <w:rsid w:val="00535A37"/>
    <w:rsid w:val="00536676"/>
    <w:rsid w:val="005366CE"/>
    <w:rsid w:val="00540837"/>
    <w:rsid w:val="005428E4"/>
    <w:rsid w:val="00543864"/>
    <w:rsid w:val="00546A7D"/>
    <w:rsid w:val="0054764E"/>
    <w:rsid w:val="00547E66"/>
    <w:rsid w:val="005511F6"/>
    <w:rsid w:val="00551C32"/>
    <w:rsid w:val="00553F0C"/>
    <w:rsid w:val="005546CD"/>
    <w:rsid w:val="00554D9C"/>
    <w:rsid w:val="00556985"/>
    <w:rsid w:val="0056193E"/>
    <w:rsid w:val="005621D7"/>
    <w:rsid w:val="00562F3D"/>
    <w:rsid w:val="005648A1"/>
    <w:rsid w:val="00564AB9"/>
    <w:rsid w:val="00566461"/>
    <w:rsid w:val="00567001"/>
    <w:rsid w:val="005678D2"/>
    <w:rsid w:val="00567F6A"/>
    <w:rsid w:val="00570209"/>
    <w:rsid w:val="0057055B"/>
    <w:rsid w:val="00570D8F"/>
    <w:rsid w:val="00571195"/>
    <w:rsid w:val="005725AE"/>
    <w:rsid w:val="00572726"/>
    <w:rsid w:val="00573166"/>
    <w:rsid w:val="005731B1"/>
    <w:rsid w:val="00573737"/>
    <w:rsid w:val="005743B9"/>
    <w:rsid w:val="00574969"/>
    <w:rsid w:val="00574FCC"/>
    <w:rsid w:val="00576210"/>
    <w:rsid w:val="005765AF"/>
    <w:rsid w:val="0057715A"/>
    <w:rsid w:val="00581E4C"/>
    <w:rsid w:val="00582186"/>
    <w:rsid w:val="005846B8"/>
    <w:rsid w:val="00586362"/>
    <w:rsid w:val="00587797"/>
    <w:rsid w:val="00590030"/>
    <w:rsid w:val="00593D6C"/>
    <w:rsid w:val="00594273"/>
    <w:rsid w:val="00597DCA"/>
    <w:rsid w:val="005A08EC"/>
    <w:rsid w:val="005A26B3"/>
    <w:rsid w:val="005A37D5"/>
    <w:rsid w:val="005A4F42"/>
    <w:rsid w:val="005A51B0"/>
    <w:rsid w:val="005A78C3"/>
    <w:rsid w:val="005B2FF8"/>
    <w:rsid w:val="005B31C5"/>
    <w:rsid w:val="005B338A"/>
    <w:rsid w:val="005B35E0"/>
    <w:rsid w:val="005B35F5"/>
    <w:rsid w:val="005B42D4"/>
    <w:rsid w:val="005B4C7D"/>
    <w:rsid w:val="005C2427"/>
    <w:rsid w:val="005D0E08"/>
    <w:rsid w:val="005D1E46"/>
    <w:rsid w:val="005D2545"/>
    <w:rsid w:val="005D349D"/>
    <w:rsid w:val="005D47D0"/>
    <w:rsid w:val="005D4B2D"/>
    <w:rsid w:val="005D4FE6"/>
    <w:rsid w:val="005E00C5"/>
    <w:rsid w:val="005E0217"/>
    <w:rsid w:val="005E0D2A"/>
    <w:rsid w:val="005E13A9"/>
    <w:rsid w:val="005E2C18"/>
    <w:rsid w:val="005E30AE"/>
    <w:rsid w:val="005E552C"/>
    <w:rsid w:val="005E5EE3"/>
    <w:rsid w:val="005E690D"/>
    <w:rsid w:val="005E7C09"/>
    <w:rsid w:val="005F0241"/>
    <w:rsid w:val="005F1140"/>
    <w:rsid w:val="005F17AB"/>
    <w:rsid w:val="005F31D9"/>
    <w:rsid w:val="005F3BE0"/>
    <w:rsid w:val="005F5251"/>
    <w:rsid w:val="005F5DCA"/>
    <w:rsid w:val="00600134"/>
    <w:rsid w:val="00600773"/>
    <w:rsid w:val="006013D2"/>
    <w:rsid w:val="00602D8C"/>
    <w:rsid w:val="0060311E"/>
    <w:rsid w:val="00605DAD"/>
    <w:rsid w:val="00606242"/>
    <w:rsid w:val="006072C5"/>
    <w:rsid w:val="00607910"/>
    <w:rsid w:val="00607BA0"/>
    <w:rsid w:val="0061007C"/>
    <w:rsid w:val="00611FEC"/>
    <w:rsid w:val="006148B5"/>
    <w:rsid w:val="006154F5"/>
    <w:rsid w:val="00616A47"/>
    <w:rsid w:val="00620079"/>
    <w:rsid w:val="00620485"/>
    <w:rsid w:val="00620A36"/>
    <w:rsid w:val="006215C0"/>
    <w:rsid w:val="00621C62"/>
    <w:rsid w:val="006233B7"/>
    <w:rsid w:val="006238C0"/>
    <w:rsid w:val="00624A75"/>
    <w:rsid w:val="00624C64"/>
    <w:rsid w:val="006269CE"/>
    <w:rsid w:val="006305CC"/>
    <w:rsid w:val="006307FA"/>
    <w:rsid w:val="00633B7B"/>
    <w:rsid w:val="00633F6A"/>
    <w:rsid w:val="00634F47"/>
    <w:rsid w:val="00635A61"/>
    <w:rsid w:val="00635BF9"/>
    <w:rsid w:val="006430EB"/>
    <w:rsid w:val="00643478"/>
    <w:rsid w:val="006454D1"/>
    <w:rsid w:val="00647F9D"/>
    <w:rsid w:val="00654040"/>
    <w:rsid w:val="00655545"/>
    <w:rsid w:val="0065576A"/>
    <w:rsid w:val="00656143"/>
    <w:rsid w:val="00656CE8"/>
    <w:rsid w:val="00657D5D"/>
    <w:rsid w:val="00661105"/>
    <w:rsid w:val="00662F89"/>
    <w:rsid w:val="00663348"/>
    <w:rsid w:val="0066429F"/>
    <w:rsid w:val="00665036"/>
    <w:rsid w:val="00665BEC"/>
    <w:rsid w:val="00665E70"/>
    <w:rsid w:val="00666F26"/>
    <w:rsid w:val="0067179B"/>
    <w:rsid w:val="0067254F"/>
    <w:rsid w:val="00673E20"/>
    <w:rsid w:val="006741ED"/>
    <w:rsid w:val="00674C0C"/>
    <w:rsid w:val="00675125"/>
    <w:rsid w:val="00675D76"/>
    <w:rsid w:val="00675DF4"/>
    <w:rsid w:val="00676D5D"/>
    <w:rsid w:val="0067751A"/>
    <w:rsid w:val="0067784B"/>
    <w:rsid w:val="00677921"/>
    <w:rsid w:val="00677BD3"/>
    <w:rsid w:val="00680595"/>
    <w:rsid w:val="0068066A"/>
    <w:rsid w:val="00680D68"/>
    <w:rsid w:val="00681970"/>
    <w:rsid w:val="006854E7"/>
    <w:rsid w:val="00686705"/>
    <w:rsid w:val="00686AC1"/>
    <w:rsid w:val="006875CD"/>
    <w:rsid w:val="0069037D"/>
    <w:rsid w:val="00691746"/>
    <w:rsid w:val="00691D37"/>
    <w:rsid w:val="00691D3D"/>
    <w:rsid w:val="0069303E"/>
    <w:rsid w:val="00693C97"/>
    <w:rsid w:val="0069470F"/>
    <w:rsid w:val="006947E1"/>
    <w:rsid w:val="006957F7"/>
    <w:rsid w:val="00695DF2"/>
    <w:rsid w:val="00696FE7"/>
    <w:rsid w:val="0069725F"/>
    <w:rsid w:val="006A1417"/>
    <w:rsid w:val="006A14A6"/>
    <w:rsid w:val="006A18FB"/>
    <w:rsid w:val="006A1A0D"/>
    <w:rsid w:val="006A2651"/>
    <w:rsid w:val="006A26CE"/>
    <w:rsid w:val="006A2FED"/>
    <w:rsid w:val="006A6536"/>
    <w:rsid w:val="006A6B4B"/>
    <w:rsid w:val="006A6D2B"/>
    <w:rsid w:val="006B01BF"/>
    <w:rsid w:val="006B0AC7"/>
    <w:rsid w:val="006B0EAC"/>
    <w:rsid w:val="006B1BA1"/>
    <w:rsid w:val="006B231D"/>
    <w:rsid w:val="006B356E"/>
    <w:rsid w:val="006B3ACE"/>
    <w:rsid w:val="006B47D4"/>
    <w:rsid w:val="006B5F96"/>
    <w:rsid w:val="006C0427"/>
    <w:rsid w:val="006C0726"/>
    <w:rsid w:val="006C0F43"/>
    <w:rsid w:val="006C1AE3"/>
    <w:rsid w:val="006C26B5"/>
    <w:rsid w:val="006C50B8"/>
    <w:rsid w:val="006C5A39"/>
    <w:rsid w:val="006C6541"/>
    <w:rsid w:val="006D0265"/>
    <w:rsid w:val="006D02B6"/>
    <w:rsid w:val="006D0A58"/>
    <w:rsid w:val="006D1843"/>
    <w:rsid w:val="006D24C0"/>
    <w:rsid w:val="006D306C"/>
    <w:rsid w:val="006D3585"/>
    <w:rsid w:val="006D3C91"/>
    <w:rsid w:val="006D3E52"/>
    <w:rsid w:val="006D53D7"/>
    <w:rsid w:val="006D6FC6"/>
    <w:rsid w:val="006D7459"/>
    <w:rsid w:val="006D7B92"/>
    <w:rsid w:val="006E022C"/>
    <w:rsid w:val="006E66CF"/>
    <w:rsid w:val="006E7AE1"/>
    <w:rsid w:val="006E7BE0"/>
    <w:rsid w:val="006F0495"/>
    <w:rsid w:val="006F07C4"/>
    <w:rsid w:val="006F0AEA"/>
    <w:rsid w:val="006F3373"/>
    <w:rsid w:val="006F3D88"/>
    <w:rsid w:val="006F5943"/>
    <w:rsid w:val="006F596F"/>
    <w:rsid w:val="006F684A"/>
    <w:rsid w:val="006F6EF1"/>
    <w:rsid w:val="00700237"/>
    <w:rsid w:val="007003D6"/>
    <w:rsid w:val="00700CFA"/>
    <w:rsid w:val="00701B45"/>
    <w:rsid w:val="007021D1"/>
    <w:rsid w:val="00703BA4"/>
    <w:rsid w:val="0070494F"/>
    <w:rsid w:val="0070510F"/>
    <w:rsid w:val="007053A8"/>
    <w:rsid w:val="007064B3"/>
    <w:rsid w:val="0070654B"/>
    <w:rsid w:val="00706E92"/>
    <w:rsid w:val="0070744A"/>
    <w:rsid w:val="0071115D"/>
    <w:rsid w:val="0071137D"/>
    <w:rsid w:val="00711518"/>
    <w:rsid w:val="0071160F"/>
    <w:rsid w:val="00711871"/>
    <w:rsid w:val="007149E5"/>
    <w:rsid w:val="00714E50"/>
    <w:rsid w:val="007153F2"/>
    <w:rsid w:val="00715B8A"/>
    <w:rsid w:val="00716ACF"/>
    <w:rsid w:val="007170F9"/>
    <w:rsid w:val="00720FBA"/>
    <w:rsid w:val="00721544"/>
    <w:rsid w:val="00723164"/>
    <w:rsid w:val="007232CC"/>
    <w:rsid w:val="00723AA8"/>
    <w:rsid w:val="0072555B"/>
    <w:rsid w:val="0072663B"/>
    <w:rsid w:val="00726DC6"/>
    <w:rsid w:val="00731190"/>
    <w:rsid w:val="00731D56"/>
    <w:rsid w:val="00732933"/>
    <w:rsid w:val="00732E3E"/>
    <w:rsid w:val="00733B9E"/>
    <w:rsid w:val="00734B99"/>
    <w:rsid w:val="0073537E"/>
    <w:rsid w:val="007356E3"/>
    <w:rsid w:val="00735BCB"/>
    <w:rsid w:val="007378DD"/>
    <w:rsid w:val="0074052E"/>
    <w:rsid w:val="00740BFF"/>
    <w:rsid w:val="00741249"/>
    <w:rsid w:val="007416D8"/>
    <w:rsid w:val="00742115"/>
    <w:rsid w:val="0074348B"/>
    <w:rsid w:val="007436EA"/>
    <w:rsid w:val="00747A14"/>
    <w:rsid w:val="00753A03"/>
    <w:rsid w:val="00755518"/>
    <w:rsid w:val="007557FA"/>
    <w:rsid w:val="00756228"/>
    <w:rsid w:val="00756C45"/>
    <w:rsid w:val="00757541"/>
    <w:rsid w:val="0075791B"/>
    <w:rsid w:val="00761D75"/>
    <w:rsid w:val="00762761"/>
    <w:rsid w:val="00763178"/>
    <w:rsid w:val="0076420B"/>
    <w:rsid w:val="00765417"/>
    <w:rsid w:val="00765B12"/>
    <w:rsid w:val="007662BD"/>
    <w:rsid w:val="0077093F"/>
    <w:rsid w:val="00770C40"/>
    <w:rsid w:val="0077153E"/>
    <w:rsid w:val="007718BF"/>
    <w:rsid w:val="00771FEF"/>
    <w:rsid w:val="007724CA"/>
    <w:rsid w:val="00773007"/>
    <w:rsid w:val="00774ACA"/>
    <w:rsid w:val="00774AEE"/>
    <w:rsid w:val="007753FC"/>
    <w:rsid w:val="00776CD4"/>
    <w:rsid w:val="0077738B"/>
    <w:rsid w:val="007802EB"/>
    <w:rsid w:val="00781315"/>
    <w:rsid w:val="00782B9F"/>
    <w:rsid w:val="007837C5"/>
    <w:rsid w:val="0078413C"/>
    <w:rsid w:val="00784BC3"/>
    <w:rsid w:val="00784E18"/>
    <w:rsid w:val="00785CF7"/>
    <w:rsid w:val="007866D7"/>
    <w:rsid w:val="00786716"/>
    <w:rsid w:val="007901C3"/>
    <w:rsid w:val="00790817"/>
    <w:rsid w:val="00791757"/>
    <w:rsid w:val="00794A8E"/>
    <w:rsid w:val="00794D6E"/>
    <w:rsid w:val="00795B1A"/>
    <w:rsid w:val="007965A8"/>
    <w:rsid w:val="0079664A"/>
    <w:rsid w:val="007A09DF"/>
    <w:rsid w:val="007A1225"/>
    <w:rsid w:val="007A286B"/>
    <w:rsid w:val="007A5DBC"/>
    <w:rsid w:val="007A6B68"/>
    <w:rsid w:val="007B026A"/>
    <w:rsid w:val="007B1029"/>
    <w:rsid w:val="007B23BA"/>
    <w:rsid w:val="007B4639"/>
    <w:rsid w:val="007B4BEB"/>
    <w:rsid w:val="007B4F30"/>
    <w:rsid w:val="007C1290"/>
    <w:rsid w:val="007C136B"/>
    <w:rsid w:val="007C3058"/>
    <w:rsid w:val="007C4B3A"/>
    <w:rsid w:val="007C4C5B"/>
    <w:rsid w:val="007C5FE0"/>
    <w:rsid w:val="007D0FEE"/>
    <w:rsid w:val="007D14D2"/>
    <w:rsid w:val="007D2125"/>
    <w:rsid w:val="007D261B"/>
    <w:rsid w:val="007D2986"/>
    <w:rsid w:val="007D37E9"/>
    <w:rsid w:val="007D4749"/>
    <w:rsid w:val="007D528B"/>
    <w:rsid w:val="007D69F9"/>
    <w:rsid w:val="007D7A0C"/>
    <w:rsid w:val="007E02E1"/>
    <w:rsid w:val="007E1905"/>
    <w:rsid w:val="007E2B01"/>
    <w:rsid w:val="007E3B09"/>
    <w:rsid w:val="007E4FFD"/>
    <w:rsid w:val="007E51F8"/>
    <w:rsid w:val="007E6D7D"/>
    <w:rsid w:val="007E78C3"/>
    <w:rsid w:val="007E79C1"/>
    <w:rsid w:val="007F2346"/>
    <w:rsid w:val="007F2720"/>
    <w:rsid w:val="007F29E7"/>
    <w:rsid w:val="007F2B97"/>
    <w:rsid w:val="007F3466"/>
    <w:rsid w:val="00801FD5"/>
    <w:rsid w:val="0080345A"/>
    <w:rsid w:val="008059DC"/>
    <w:rsid w:val="00806AF7"/>
    <w:rsid w:val="008102BB"/>
    <w:rsid w:val="00810859"/>
    <w:rsid w:val="008117F0"/>
    <w:rsid w:val="00811AD5"/>
    <w:rsid w:val="008129BA"/>
    <w:rsid w:val="008133C0"/>
    <w:rsid w:val="00813E35"/>
    <w:rsid w:val="00814559"/>
    <w:rsid w:val="00814D70"/>
    <w:rsid w:val="00816081"/>
    <w:rsid w:val="008163BC"/>
    <w:rsid w:val="008164CC"/>
    <w:rsid w:val="008203E3"/>
    <w:rsid w:val="008213DD"/>
    <w:rsid w:val="00822188"/>
    <w:rsid w:val="00823805"/>
    <w:rsid w:val="00824263"/>
    <w:rsid w:val="008248D5"/>
    <w:rsid w:val="00824FF0"/>
    <w:rsid w:val="0082798D"/>
    <w:rsid w:val="00831163"/>
    <w:rsid w:val="00832059"/>
    <w:rsid w:val="00832F12"/>
    <w:rsid w:val="008332BB"/>
    <w:rsid w:val="008335B1"/>
    <w:rsid w:val="0083436E"/>
    <w:rsid w:val="00834761"/>
    <w:rsid w:val="008361C7"/>
    <w:rsid w:val="00836DA2"/>
    <w:rsid w:val="008375A9"/>
    <w:rsid w:val="00837FF4"/>
    <w:rsid w:val="008414C3"/>
    <w:rsid w:val="00842243"/>
    <w:rsid w:val="008434FA"/>
    <w:rsid w:val="00844558"/>
    <w:rsid w:val="00845B7E"/>
    <w:rsid w:val="00845CBB"/>
    <w:rsid w:val="00845ECD"/>
    <w:rsid w:val="008462FF"/>
    <w:rsid w:val="008475B8"/>
    <w:rsid w:val="00850060"/>
    <w:rsid w:val="00850B8C"/>
    <w:rsid w:val="00850E7E"/>
    <w:rsid w:val="0085216D"/>
    <w:rsid w:val="00852BE8"/>
    <w:rsid w:val="00852F8F"/>
    <w:rsid w:val="00853527"/>
    <w:rsid w:val="008552AF"/>
    <w:rsid w:val="00855B28"/>
    <w:rsid w:val="00856949"/>
    <w:rsid w:val="00857C33"/>
    <w:rsid w:val="00862FF8"/>
    <w:rsid w:val="00863BB7"/>
    <w:rsid w:val="008660AB"/>
    <w:rsid w:val="0086622A"/>
    <w:rsid w:val="00866685"/>
    <w:rsid w:val="008677B4"/>
    <w:rsid w:val="00867F80"/>
    <w:rsid w:val="0087260B"/>
    <w:rsid w:val="00877279"/>
    <w:rsid w:val="008805C2"/>
    <w:rsid w:val="008805D9"/>
    <w:rsid w:val="008813DC"/>
    <w:rsid w:val="008814D7"/>
    <w:rsid w:val="00885A6F"/>
    <w:rsid w:val="00886632"/>
    <w:rsid w:val="00890432"/>
    <w:rsid w:val="00891D6F"/>
    <w:rsid w:val="00891F03"/>
    <w:rsid w:val="0089204B"/>
    <w:rsid w:val="00892916"/>
    <w:rsid w:val="00893D2F"/>
    <w:rsid w:val="008940E5"/>
    <w:rsid w:val="00894628"/>
    <w:rsid w:val="0089568C"/>
    <w:rsid w:val="00897B69"/>
    <w:rsid w:val="008A18A0"/>
    <w:rsid w:val="008A20D7"/>
    <w:rsid w:val="008A3145"/>
    <w:rsid w:val="008A3376"/>
    <w:rsid w:val="008A4233"/>
    <w:rsid w:val="008A42B7"/>
    <w:rsid w:val="008A5F21"/>
    <w:rsid w:val="008B207D"/>
    <w:rsid w:val="008B21CA"/>
    <w:rsid w:val="008B409C"/>
    <w:rsid w:val="008B52DE"/>
    <w:rsid w:val="008B600A"/>
    <w:rsid w:val="008B6320"/>
    <w:rsid w:val="008B68F0"/>
    <w:rsid w:val="008C0A9E"/>
    <w:rsid w:val="008C175F"/>
    <w:rsid w:val="008C3098"/>
    <w:rsid w:val="008C3D43"/>
    <w:rsid w:val="008C4E25"/>
    <w:rsid w:val="008C5E44"/>
    <w:rsid w:val="008C7FB5"/>
    <w:rsid w:val="008D0610"/>
    <w:rsid w:val="008D0E7F"/>
    <w:rsid w:val="008D17D1"/>
    <w:rsid w:val="008D3F88"/>
    <w:rsid w:val="008D3FDC"/>
    <w:rsid w:val="008D4698"/>
    <w:rsid w:val="008D5023"/>
    <w:rsid w:val="008D591B"/>
    <w:rsid w:val="008D6C24"/>
    <w:rsid w:val="008D76E3"/>
    <w:rsid w:val="008E0D15"/>
    <w:rsid w:val="008E0E62"/>
    <w:rsid w:val="008E103A"/>
    <w:rsid w:val="008E1F16"/>
    <w:rsid w:val="008E26DC"/>
    <w:rsid w:val="008E33DB"/>
    <w:rsid w:val="008E5AB3"/>
    <w:rsid w:val="008E6C63"/>
    <w:rsid w:val="008F0CEC"/>
    <w:rsid w:val="008F290D"/>
    <w:rsid w:val="008F3DE2"/>
    <w:rsid w:val="008F50E9"/>
    <w:rsid w:val="008F54BE"/>
    <w:rsid w:val="008F7B29"/>
    <w:rsid w:val="0090037A"/>
    <w:rsid w:val="00901C26"/>
    <w:rsid w:val="0090265A"/>
    <w:rsid w:val="009032B5"/>
    <w:rsid w:val="00903C6E"/>
    <w:rsid w:val="009065A8"/>
    <w:rsid w:val="0091119C"/>
    <w:rsid w:val="00911238"/>
    <w:rsid w:val="0091156B"/>
    <w:rsid w:val="00911B98"/>
    <w:rsid w:val="00911E1B"/>
    <w:rsid w:val="00914789"/>
    <w:rsid w:val="0091553C"/>
    <w:rsid w:val="009157ED"/>
    <w:rsid w:val="00920566"/>
    <w:rsid w:val="009211B1"/>
    <w:rsid w:val="009232B2"/>
    <w:rsid w:val="00924DF5"/>
    <w:rsid w:val="0092558F"/>
    <w:rsid w:val="0092591C"/>
    <w:rsid w:val="009269AA"/>
    <w:rsid w:val="009318C9"/>
    <w:rsid w:val="009326AA"/>
    <w:rsid w:val="00933073"/>
    <w:rsid w:val="009330B7"/>
    <w:rsid w:val="00933CDD"/>
    <w:rsid w:val="00934C92"/>
    <w:rsid w:val="00937925"/>
    <w:rsid w:val="00940116"/>
    <w:rsid w:val="00942218"/>
    <w:rsid w:val="00942C45"/>
    <w:rsid w:val="00943130"/>
    <w:rsid w:val="009431C0"/>
    <w:rsid w:val="00943640"/>
    <w:rsid w:val="0094434D"/>
    <w:rsid w:val="00944833"/>
    <w:rsid w:val="00946561"/>
    <w:rsid w:val="0094670E"/>
    <w:rsid w:val="00952AD5"/>
    <w:rsid w:val="00953453"/>
    <w:rsid w:val="00953B22"/>
    <w:rsid w:val="00953B30"/>
    <w:rsid w:val="009543BA"/>
    <w:rsid w:val="00954E63"/>
    <w:rsid w:val="00956CB9"/>
    <w:rsid w:val="00956F12"/>
    <w:rsid w:val="00956F47"/>
    <w:rsid w:val="00960338"/>
    <w:rsid w:val="00960923"/>
    <w:rsid w:val="00960BBF"/>
    <w:rsid w:val="00960F86"/>
    <w:rsid w:val="0096151C"/>
    <w:rsid w:val="0096210E"/>
    <w:rsid w:val="00962AAF"/>
    <w:rsid w:val="00964610"/>
    <w:rsid w:val="00966282"/>
    <w:rsid w:val="009674AD"/>
    <w:rsid w:val="00967978"/>
    <w:rsid w:val="009702C9"/>
    <w:rsid w:val="00973F64"/>
    <w:rsid w:val="00974F4E"/>
    <w:rsid w:val="0097527A"/>
    <w:rsid w:val="00975A16"/>
    <w:rsid w:val="00976155"/>
    <w:rsid w:val="00977210"/>
    <w:rsid w:val="00977FB7"/>
    <w:rsid w:val="0098060F"/>
    <w:rsid w:val="00980AA7"/>
    <w:rsid w:val="0098334D"/>
    <w:rsid w:val="00983C58"/>
    <w:rsid w:val="009842E6"/>
    <w:rsid w:val="00984371"/>
    <w:rsid w:val="009870A4"/>
    <w:rsid w:val="00990A65"/>
    <w:rsid w:val="0099105E"/>
    <w:rsid w:val="009912B6"/>
    <w:rsid w:val="00992A17"/>
    <w:rsid w:val="00993835"/>
    <w:rsid w:val="00993A07"/>
    <w:rsid w:val="00993C92"/>
    <w:rsid w:val="0099436C"/>
    <w:rsid w:val="00995284"/>
    <w:rsid w:val="00996463"/>
    <w:rsid w:val="00997BC2"/>
    <w:rsid w:val="009A0469"/>
    <w:rsid w:val="009A1364"/>
    <w:rsid w:val="009A1F99"/>
    <w:rsid w:val="009A2607"/>
    <w:rsid w:val="009A2BB0"/>
    <w:rsid w:val="009A4836"/>
    <w:rsid w:val="009A4BE9"/>
    <w:rsid w:val="009A5B3F"/>
    <w:rsid w:val="009A7A86"/>
    <w:rsid w:val="009B0631"/>
    <w:rsid w:val="009B1A3C"/>
    <w:rsid w:val="009B1C75"/>
    <w:rsid w:val="009B2C5E"/>
    <w:rsid w:val="009B3214"/>
    <w:rsid w:val="009B3987"/>
    <w:rsid w:val="009B3C71"/>
    <w:rsid w:val="009B47D8"/>
    <w:rsid w:val="009B4D49"/>
    <w:rsid w:val="009C035B"/>
    <w:rsid w:val="009C0EDA"/>
    <w:rsid w:val="009C135D"/>
    <w:rsid w:val="009C1BCF"/>
    <w:rsid w:val="009C407D"/>
    <w:rsid w:val="009C421A"/>
    <w:rsid w:val="009C5A46"/>
    <w:rsid w:val="009D0983"/>
    <w:rsid w:val="009D1C62"/>
    <w:rsid w:val="009D2BFA"/>
    <w:rsid w:val="009D2DE1"/>
    <w:rsid w:val="009D559A"/>
    <w:rsid w:val="009D5C14"/>
    <w:rsid w:val="009E00E3"/>
    <w:rsid w:val="009E3A43"/>
    <w:rsid w:val="009E4AD0"/>
    <w:rsid w:val="009E7985"/>
    <w:rsid w:val="009E7FE1"/>
    <w:rsid w:val="009F08A4"/>
    <w:rsid w:val="009F2676"/>
    <w:rsid w:val="009F2F08"/>
    <w:rsid w:val="009F31D0"/>
    <w:rsid w:val="009F3A04"/>
    <w:rsid w:val="009F469E"/>
    <w:rsid w:val="009F477A"/>
    <w:rsid w:val="009F55BC"/>
    <w:rsid w:val="009F5EE4"/>
    <w:rsid w:val="009F73AD"/>
    <w:rsid w:val="009F74D5"/>
    <w:rsid w:val="009F7EA7"/>
    <w:rsid w:val="00A0005C"/>
    <w:rsid w:val="00A02F27"/>
    <w:rsid w:val="00A031A9"/>
    <w:rsid w:val="00A03260"/>
    <w:rsid w:val="00A0424C"/>
    <w:rsid w:val="00A04EF8"/>
    <w:rsid w:val="00A05270"/>
    <w:rsid w:val="00A055E9"/>
    <w:rsid w:val="00A0604B"/>
    <w:rsid w:val="00A077F8"/>
    <w:rsid w:val="00A10379"/>
    <w:rsid w:val="00A10B6D"/>
    <w:rsid w:val="00A12DEE"/>
    <w:rsid w:val="00A138E6"/>
    <w:rsid w:val="00A14F91"/>
    <w:rsid w:val="00A17180"/>
    <w:rsid w:val="00A20209"/>
    <w:rsid w:val="00A20A19"/>
    <w:rsid w:val="00A20E5A"/>
    <w:rsid w:val="00A21E2E"/>
    <w:rsid w:val="00A236C6"/>
    <w:rsid w:val="00A24097"/>
    <w:rsid w:val="00A24807"/>
    <w:rsid w:val="00A255EB"/>
    <w:rsid w:val="00A26EE7"/>
    <w:rsid w:val="00A27139"/>
    <w:rsid w:val="00A309F1"/>
    <w:rsid w:val="00A32622"/>
    <w:rsid w:val="00A33061"/>
    <w:rsid w:val="00A33BF3"/>
    <w:rsid w:val="00A33FF6"/>
    <w:rsid w:val="00A35C07"/>
    <w:rsid w:val="00A37FAE"/>
    <w:rsid w:val="00A4046B"/>
    <w:rsid w:val="00A408EE"/>
    <w:rsid w:val="00A43F63"/>
    <w:rsid w:val="00A44A6B"/>
    <w:rsid w:val="00A455B4"/>
    <w:rsid w:val="00A46C9D"/>
    <w:rsid w:val="00A47043"/>
    <w:rsid w:val="00A508BA"/>
    <w:rsid w:val="00A52FEA"/>
    <w:rsid w:val="00A60A71"/>
    <w:rsid w:val="00A60B54"/>
    <w:rsid w:val="00A6368B"/>
    <w:rsid w:val="00A63743"/>
    <w:rsid w:val="00A639FA"/>
    <w:rsid w:val="00A644EB"/>
    <w:rsid w:val="00A65105"/>
    <w:rsid w:val="00A67B9E"/>
    <w:rsid w:val="00A70619"/>
    <w:rsid w:val="00A70998"/>
    <w:rsid w:val="00A71900"/>
    <w:rsid w:val="00A7324A"/>
    <w:rsid w:val="00A741DC"/>
    <w:rsid w:val="00A74343"/>
    <w:rsid w:val="00A7466F"/>
    <w:rsid w:val="00A74762"/>
    <w:rsid w:val="00A756A4"/>
    <w:rsid w:val="00A76599"/>
    <w:rsid w:val="00A76DF9"/>
    <w:rsid w:val="00A77709"/>
    <w:rsid w:val="00A80680"/>
    <w:rsid w:val="00A810B2"/>
    <w:rsid w:val="00A8162F"/>
    <w:rsid w:val="00A85A96"/>
    <w:rsid w:val="00A85C2E"/>
    <w:rsid w:val="00A86781"/>
    <w:rsid w:val="00A87379"/>
    <w:rsid w:val="00A90E88"/>
    <w:rsid w:val="00A918CC"/>
    <w:rsid w:val="00A91A81"/>
    <w:rsid w:val="00A91D21"/>
    <w:rsid w:val="00A923BE"/>
    <w:rsid w:val="00A92F78"/>
    <w:rsid w:val="00A94114"/>
    <w:rsid w:val="00A9533E"/>
    <w:rsid w:val="00A96321"/>
    <w:rsid w:val="00A963F8"/>
    <w:rsid w:val="00A973F4"/>
    <w:rsid w:val="00AA002C"/>
    <w:rsid w:val="00AA0574"/>
    <w:rsid w:val="00AA0F44"/>
    <w:rsid w:val="00AA1C32"/>
    <w:rsid w:val="00AA1E93"/>
    <w:rsid w:val="00AA25FC"/>
    <w:rsid w:val="00AA395B"/>
    <w:rsid w:val="00AA3C9A"/>
    <w:rsid w:val="00AA4968"/>
    <w:rsid w:val="00AA4AFD"/>
    <w:rsid w:val="00AA5C75"/>
    <w:rsid w:val="00AA6704"/>
    <w:rsid w:val="00AA7CA8"/>
    <w:rsid w:val="00AA7DB5"/>
    <w:rsid w:val="00AB0108"/>
    <w:rsid w:val="00AB02A9"/>
    <w:rsid w:val="00AB22E7"/>
    <w:rsid w:val="00AB27E0"/>
    <w:rsid w:val="00AB328B"/>
    <w:rsid w:val="00AB3831"/>
    <w:rsid w:val="00AB3E07"/>
    <w:rsid w:val="00AB45DF"/>
    <w:rsid w:val="00AB7BBC"/>
    <w:rsid w:val="00AB7DB0"/>
    <w:rsid w:val="00AC03B5"/>
    <w:rsid w:val="00AC1902"/>
    <w:rsid w:val="00AC3CD5"/>
    <w:rsid w:val="00AC3DC8"/>
    <w:rsid w:val="00AC5B4A"/>
    <w:rsid w:val="00AC5B5A"/>
    <w:rsid w:val="00AC64E2"/>
    <w:rsid w:val="00AC6D0D"/>
    <w:rsid w:val="00AC7809"/>
    <w:rsid w:val="00AD1A42"/>
    <w:rsid w:val="00AD209E"/>
    <w:rsid w:val="00AD3153"/>
    <w:rsid w:val="00AD333B"/>
    <w:rsid w:val="00AD5DE4"/>
    <w:rsid w:val="00AD798A"/>
    <w:rsid w:val="00AD7B9E"/>
    <w:rsid w:val="00AE0B11"/>
    <w:rsid w:val="00AE1E85"/>
    <w:rsid w:val="00AE2B29"/>
    <w:rsid w:val="00AE3A69"/>
    <w:rsid w:val="00AE4340"/>
    <w:rsid w:val="00AE4978"/>
    <w:rsid w:val="00AE5478"/>
    <w:rsid w:val="00AE5B35"/>
    <w:rsid w:val="00AE5B51"/>
    <w:rsid w:val="00AE6521"/>
    <w:rsid w:val="00AE6C14"/>
    <w:rsid w:val="00AF03C7"/>
    <w:rsid w:val="00AF0D90"/>
    <w:rsid w:val="00AF1725"/>
    <w:rsid w:val="00AF1983"/>
    <w:rsid w:val="00AF1998"/>
    <w:rsid w:val="00AF2A2E"/>
    <w:rsid w:val="00AF2BB5"/>
    <w:rsid w:val="00AF494A"/>
    <w:rsid w:val="00AF5A4A"/>
    <w:rsid w:val="00AF60A6"/>
    <w:rsid w:val="00AF7F42"/>
    <w:rsid w:val="00B0061E"/>
    <w:rsid w:val="00B01186"/>
    <w:rsid w:val="00B01C37"/>
    <w:rsid w:val="00B01F34"/>
    <w:rsid w:val="00B0291B"/>
    <w:rsid w:val="00B046B6"/>
    <w:rsid w:val="00B05133"/>
    <w:rsid w:val="00B059C6"/>
    <w:rsid w:val="00B05B59"/>
    <w:rsid w:val="00B06CCE"/>
    <w:rsid w:val="00B078EF"/>
    <w:rsid w:val="00B07E30"/>
    <w:rsid w:val="00B1099B"/>
    <w:rsid w:val="00B10B1E"/>
    <w:rsid w:val="00B10D04"/>
    <w:rsid w:val="00B12087"/>
    <w:rsid w:val="00B13B8E"/>
    <w:rsid w:val="00B13ED6"/>
    <w:rsid w:val="00B16021"/>
    <w:rsid w:val="00B162E1"/>
    <w:rsid w:val="00B166ED"/>
    <w:rsid w:val="00B16CC5"/>
    <w:rsid w:val="00B17204"/>
    <w:rsid w:val="00B17A18"/>
    <w:rsid w:val="00B17F7E"/>
    <w:rsid w:val="00B2025D"/>
    <w:rsid w:val="00B2051C"/>
    <w:rsid w:val="00B211CB"/>
    <w:rsid w:val="00B220FC"/>
    <w:rsid w:val="00B225F0"/>
    <w:rsid w:val="00B2318E"/>
    <w:rsid w:val="00B2362C"/>
    <w:rsid w:val="00B242FA"/>
    <w:rsid w:val="00B25B37"/>
    <w:rsid w:val="00B27A4E"/>
    <w:rsid w:val="00B27B62"/>
    <w:rsid w:val="00B305D4"/>
    <w:rsid w:val="00B322FB"/>
    <w:rsid w:val="00B32CC4"/>
    <w:rsid w:val="00B33A4E"/>
    <w:rsid w:val="00B34225"/>
    <w:rsid w:val="00B347C4"/>
    <w:rsid w:val="00B3560E"/>
    <w:rsid w:val="00B37879"/>
    <w:rsid w:val="00B37ED1"/>
    <w:rsid w:val="00B41F9C"/>
    <w:rsid w:val="00B429D2"/>
    <w:rsid w:val="00B42F3D"/>
    <w:rsid w:val="00B436EE"/>
    <w:rsid w:val="00B476C1"/>
    <w:rsid w:val="00B479C2"/>
    <w:rsid w:val="00B50938"/>
    <w:rsid w:val="00B50DD2"/>
    <w:rsid w:val="00B51381"/>
    <w:rsid w:val="00B52016"/>
    <w:rsid w:val="00B541A5"/>
    <w:rsid w:val="00B54A57"/>
    <w:rsid w:val="00B54BD2"/>
    <w:rsid w:val="00B55A91"/>
    <w:rsid w:val="00B56432"/>
    <w:rsid w:val="00B579DE"/>
    <w:rsid w:val="00B57D3D"/>
    <w:rsid w:val="00B60AAA"/>
    <w:rsid w:val="00B6131D"/>
    <w:rsid w:val="00B61769"/>
    <w:rsid w:val="00B63BCC"/>
    <w:rsid w:val="00B63EE0"/>
    <w:rsid w:val="00B64FB8"/>
    <w:rsid w:val="00B655BC"/>
    <w:rsid w:val="00B65A06"/>
    <w:rsid w:val="00B66134"/>
    <w:rsid w:val="00B66BBA"/>
    <w:rsid w:val="00B677C0"/>
    <w:rsid w:val="00B70F26"/>
    <w:rsid w:val="00B71AF3"/>
    <w:rsid w:val="00B71B7A"/>
    <w:rsid w:val="00B73367"/>
    <w:rsid w:val="00B73818"/>
    <w:rsid w:val="00B74A6C"/>
    <w:rsid w:val="00B74B72"/>
    <w:rsid w:val="00B76245"/>
    <w:rsid w:val="00B76934"/>
    <w:rsid w:val="00B7705E"/>
    <w:rsid w:val="00B80016"/>
    <w:rsid w:val="00B83975"/>
    <w:rsid w:val="00B85566"/>
    <w:rsid w:val="00B8707F"/>
    <w:rsid w:val="00B877F5"/>
    <w:rsid w:val="00B92170"/>
    <w:rsid w:val="00B9261C"/>
    <w:rsid w:val="00B93677"/>
    <w:rsid w:val="00B95690"/>
    <w:rsid w:val="00B95C8D"/>
    <w:rsid w:val="00B9640F"/>
    <w:rsid w:val="00B96C75"/>
    <w:rsid w:val="00BA0EBD"/>
    <w:rsid w:val="00BA2E8D"/>
    <w:rsid w:val="00BA350E"/>
    <w:rsid w:val="00BA3F68"/>
    <w:rsid w:val="00BA40ED"/>
    <w:rsid w:val="00BA5CB5"/>
    <w:rsid w:val="00BA64B0"/>
    <w:rsid w:val="00BA6EE8"/>
    <w:rsid w:val="00BA6FFE"/>
    <w:rsid w:val="00BB0293"/>
    <w:rsid w:val="00BB0FA7"/>
    <w:rsid w:val="00BB1F6A"/>
    <w:rsid w:val="00BB4BE6"/>
    <w:rsid w:val="00BB5167"/>
    <w:rsid w:val="00BB5414"/>
    <w:rsid w:val="00BB584B"/>
    <w:rsid w:val="00BB6273"/>
    <w:rsid w:val="00BC0493"/>
    <w:rsid w:val="00BC0542"/>
    <w:rsid w:val="00BC0FB1"/>
    <w:rsid w:val="00BC17A9"/>
    <w:rsid w:val="00BC1ACD"/>
    <w:rsid w:val="00BC23BF"/>
    <w:rsid w:val="00BC241C"/>
    <w:rsid w:val="00BC44B3"/>
    <w:rsid w:val="00BD0212"/>
    <w:rsid w:val="00BD0252"/>
    <w:rsid w:val="00BD0C1F"/>
    <w:rsid w:val="00BD4D64"/>
    <w:rsid w:val="00BD5943"/>
    <w:rsid w:val="00BD69F5"/>
    <w:rsid w:val="00BE1413"/>
    <w:rsid w:val="00BE1865"/>
    <w:rsid w:val="00BE362D"/>
    <w:rsid w:val="00BE3D9A"/>
    <w:rsid w:val="00BE6241"/>
    <w:rsid w:val="00BE64B8"/>
    <w:rsid w:val="00BF004E"/>
    <w:rsid w:val="00BF0260"/>
    <w:rsid w:val="00BF05F1"/>
    <w:rsid w:val="00BF1158"/>
    <w:rsid w:val="00BF47AB"/>
    <w:rsid w:val="00BF582C"/>
    <w:rsid w:val="00BF5D01"/>
    <w:rsid w:val="00BF648B"/>
    <w:rsid w:val="00BF6BD5"/>
    <w:rsid w:val="00BF6F23"/>
    <w:rsid w:val="00C0070A"/>
    <w:rsid w:val="00C024C4"/>
    <w:rsid w:val="00C06614"/>
    <w:rsid w:val="00C07F3B"/>
    <w:rsid w:val="00C11B81"/>
    <w:rsid w:val="00C130BC"/>
    <w:rsid w:val="00C131D9"/>
    <w:rsid w:val="00C13B1E"/>
    <w:rsid w:val="00C15A50"/>
    <w:rsid w:val="00C173DA"/>
    <w:rsid w:val="00C22E85"/>
    <w:rsid w:val="00C23A83"/>
    <w:rsid w:val="00C23F49"/>
    <w:rsid w:val="00C2430F"/>
    <w:rsid w:val="00C2492F"/>
    <w:rsid w:val="00C267D1"/>
    <w:rsid w:val="00C26B8E"/>
    <w:rsid w:val="00C2778A"/>
    <w:rsid w:val="00C2780A"/>
    <w:rsid w:val="00C31C3D"/>
    <w:rsid w:val="00C341B5"/>
    <w:rsid w:val="00C3441A"/>
    <w:rsid w:val="00C34B0E"/>
    <w:rsid w:val="00C34F36"/>
    <w:rsid w:val="00C3541F"/>
    <w:rsid w:val="00C35A15"/>
    <w:rsid w:val="00C35DA2"/>
    <w:rsid w:val="00C36BD9"/>
    <w:rsid w:val="00C373A3"/>
    <w:rsid w:val="00C3745C"/>
    <w:rsid w:val="00C43A56"/>
    <w:rsid w:val="00C4534C"/>
    <w:rsid w:val="00C45F44"/>
    <w:rsid w:val="00C46232"/>
    <w:rsid w:val="00C4683A"/>
    <w:rsid w:val="00C47EF1"/>
    <w:rsid w:val="00C47F5A"/>
    <w:rsid w:val="00C510E8"/>
    <w:rsid w:val="00C518BD"/>
    <w:rsid w:val="00C51CAD"/>
    <w:rsid w:val="00C528EF"/>
    <w:rsid w:val="00C52EC7"/>
    <w:rsid w:val="00C5307F"/>
    <w:rsid w:val="00C568AE"/>
    <w:rsid w:val="00C57536"/>
    <w:rsid w:val="00C578F8"/>
    <w:rsid w:val="00C60A73"/>
    <w:rsid w:val="00C60E14"/>
    <w:rsid w:val="00C611C1"/>
    <w:rsid w:val="00C62367"/>
    <w:rsid w:val="00C64007"/>
    <w:rsid w:val="00C64F96"/>
    <w:rsid w:val="00C66AA2"/>
    <w:rsid w:val="00C673A2"/>
    <w:rsid w:val="00C719DB"/>
    <w:rsid w:val="00C7200E"/>
    <w:rsid w:val="00C72A62"/>
    <w:rsid w:val="00C73077"/>
    <w:rsid w:val="00C74B78"/>
    <w:rsid w:val="00C7557F"/>
    <w:rsid w:val="00C756A5"/>
    <w:rsid w:val="00C75ABD"/>
    <w:rsid w:val="00C8052F"/>
    <w:rsid w:val="00C81BE0"/>
    <w:rsid w:val="00C82094"/>
    <w:rsid w:val="00C82F5D"/>
    <w:rsid w:val="00C837A8"/>
    <w:rsid w:val="00C843AB"/>
    <w:rsid w:val="00C845F9"/>
    <w:rsid w:val="00C84C68"/>
    <w:rsid w:val="00C86F5E"/>
    <w:rsid w:val="00C87EFD"/>
    <w:rsid w:val="00C90245"/>
    <w:rsid w:val="00C91A00"/>
    <w:rsid w:val="00C9231F"/>
    <w:rsid w:val="00C92350"/>
    <w:rsid w:val="00C92A08"/>
    <w:rsid w:val="00C93CB0"/>
    <w:rsid w:val="00C947AD"/>
    <w:rsid w:val="00CA0A8A"/>
    <w:rsid w:val="00CA1E81"/>
    <w:rsid w:val="00CA2423"/>
    <w:rsid w:val="00CA2606"/>
    <w:rsid w:val="00CA2712"/>
    <w:rsid w:val="00CA3456"/>
    <w:rsid w:val="00CA3904"/>
    <w:rsid w:val="00CA4075"/>
    <w:rsid w:val="00CA6508"/>
    <w:rsid w:val="00CA6A38"/>
    <w:rsid w:val="00CA6CC8"/>
    <w:rsid w:val="00CB03B0"/>
    <w:rsid w:val="00CB082B"/>
    <w:rsid w:val="00CB0F47"/>
    <w:rsid w:val="00CB1677"/>
    <w:rsid w:val="00CB1F0C"/>
    <w:rsid w:val="00CB36FB"/>
    <w:rsid w:val="00CB3968"/>
    <w:rsid w:val="00CB3BDB"/>
    <w:rsid w:val="00CB3EA1"/>
    <w:rsid w:val="00CB5647"/>
    <w:rsid w:val="00CB5DED"/>
    <w:rsid w:val="00CB7C43"/>
    <w:rsid w:val="00CC0E8F"/>
    <w:rsid w:val="00CC1705"/>
    <w:rsid w:val="00CC352F"/>
    <w:rsid w:val="00CC5ABD"/>
    <w:rsid w:val="00CC6621"/>
    <w:rsid w:val="00CD12D8"/>
    <w:rsid w:val="00CD2ED3"/>
    <w:rsid w:val="00CE2543"/>
    <w:rsid w:val="00CE2AEF"/>
    <w:rsid w:val="00CE3BC0"/>
    <w:rsid w:val="00CE5A69"/>
    <w:rsid w:val="00CF0907"/>
    <w:rsid w:val="00CF1422"/>
    <w:rsid w:val="00CF1D90"/>
    <w:rsid w:val="00CF2540"/>
    <w:rsid w:val="00CF2CC8"/>
    <w:rsid w:val="00CF3701"/>
    <w:rsid w:val="00CF42E2"/>
    <w:rsid w:val="00CF46C6"/>
    <w:rsid w:val="00CF571F"/>
    <w:rsid w:val="00CF5C04"/>
    <w:rsid w:val="00CF6C33"/>
    <w:rsid w:val="00CF748F"/>
    <w:rsid w:val="00CF7504"/>
    <w:rsid w:val="00D0034D"/>
    <w:rsid w:val="00D0287C"/>
    <w:rsid w:val="00D02B2A"/>
    <w:rsid w:val="00D033ED"/>
    <w:rsid w:val="00D036FE"/>
    <w:rsid w:val="00D04083"/>
    <w:rsid w:val="00D04A58"/>
    <w:rsid w:val="00D05889"/>
    <w:rsid w:val="00D065BE"/>
    <w:rsid w:val="00D06D81"/>
    <w:rsid w:val="00D077CD"/>
    <w:rsid w:val="00D07D83"/>
    <w:rsid w:val="00D07E40"/>
    <w:rsid w:val="00D1024B"/>
    <w:rsid w:val="00D10502"/>
    <w:rsid w:val="00D1231A"/>
    <w:rsid w:val="00D123B7"/>
    <w:rsid w:val="00D1286D"/>
    <w:rsid w:val="00D14268"/>
    <w:rsid w:val="00D15621"/>
    <w:rsid w:val="00D17D11"/>
    <w:rsid w:val="00D22D9C"/>
    <w:rsid w:val="00D2437B"/>
    <w:rsid w:val="00D2466D"/>
    <w:rsid w:val="00D2517F"/>
    <w:rsid w:val="00D25D22"/>
    <w:rsid w:val="00D27E15"/>
    <w:rsid w:val="00D31088"/>
    <w:rsid w:val="00D31830"/>
    <w:rsid w:val="00D31A08"/>
    <w:rsid w:val="00D33D98"/>
    <w:rsid w:val="00D34E5B"/>
    <w:rsid w:val="00D40863"/>
    <w:rsid w:val="00D419B2"/>
    <w:rsid w:val="00D41DB7"/>
    <w:rsid w:val="00D43BBE"/>
    <w:rsid w:val="00D45FD8"/>
    <w:rsid w:val="00D460AE"/>
    <w:rsid w:val="00D462AD"/>
    <w:rsid w:val="00D46BEE"/>
    <w:rsid w:val="00D47B56"/>
    <w:rsid w:val="00D50792"/>
    <w:rsid w:val="00D51408"/>
    <w:rsid w:val="00D521FC"/>
    <w:rsid w:val="00D523A0"/>
    <w:rsid w:val="00D5244E"/>
    <w:rsid w:val="00D52923"/>
    <w:rsid w:val="00D529D8"/>
    <w:rsid w:val="00D52DBC"/>
    <w:rsid w:val="00D63103"/>
    <w:rsid w:val="00D653C2"/>
    <w:rsid w:val="00D654F3"/>
    <w:rsid w:val="00D6658C"/>
    <w:rsid w:val="00D66E76"/>
    <w:rsid w:val="00D67B8B"/>
    <w:rsid w:val="00D70AC9"/>
    <w:rsid w:val="00D73717"/>
    <w:rsid w:val="00D75555"/>
    <w:rsid w:val="00D80461"/>
    <w:rsid w:val="00D819E3"/>
    <w:rsid w:val="00D83C17"/>
    <w:rsid w:val="00D840CF"/>
    <w:rsid w:val="00D841B8"/>
    <w:rsid w:val="00D84236"/>
    <w:rsid w:val="00D86754"/>
    <w:rsid w:val="00D86985"/>
    <w:rsid w:val="00D879F9"/>
    <w:rsid w:val="00D87CDF"/>
    <w:rsid w:val="00D90916"/>
    <w:rsid w:val="00D90A62"/>
    <w:rsid w:val="00D91E5B"/>
    <w:rsid w:val="00D93658"/>
    <w:rsid w:val="00D95289"/>
    <w:rsid w:val="00D96941"/>
    <w:rsid w:val="00D96BB7"/>
    <w:rsid w:val="00D9749B"/>
    <w:rsid w:val="00D97B09"/>
    <w:rsid w:val="00DA0465"/>
    <w:rsid w:val="00DA3893"/>
    <w:rsid w:val="00DA4017"/>
    <w:rsid w:val="00DA4281"/>
    <w:rsid w:val="00DA46C4"/>
    <w:rsid w:val="00DA4CE7"/>
    <w:rsid w:val="00DA5B9B"/>
    <w:rsid w:val="00DA738F"/>
    <w:rsid w:val="00DA746E"/>
    <w:rsid w:val="00DB078F"/>
    <w:rsid w:val="00DB4740"/>
    <w:rsid w:val="00DB5276"/>
    <w:rsid w:val="00DB55BD"/>
    <w:rsid w:val="00DB7236"/>
    <w:rsid w:val="00DC0333"/>
    <w:rsid w:val="00DC16E2"/>
    <w:rsid w:val="00DC61A3"/>
    <w:rsid w:val="00DD0BB2"/>
    <w:rsid w:val="00DD1864"/>
    <w:rsid w:val="00DD1909"/>
    <w:rsid w:val="00DD2CD4"/>
    <w:rsid w:val="00DD3A90"/>
    <w:rsid w:val="00DD3DE8"/>
    <w:rsid w:val="00DD4E6B"/>
    <w:rsid w:val="00DD7C6C"/>
    <w:rsid w:val="00DD7F2A"/>
    <w:rsid w:val="00DE0FD6"/>
    <w:rsid w:val="00DE174C"/>
    <w:rsid w:val="00DE2F87"/>
    <w:rsid w:val="00DE3425"/>
    <w:rsid w:val="00DE38EC"/>
    <w:rsid w:val="00DE5647"/>
    <w:rsid w:val="00DE69A6"/>
    <w:rsid w:val="00DE6F8C"/>
    <w:rsid w:val="00DE7DDC"/>
    <w:rsid w:val="00DF012F"/>
    <w:rsid w:val="00DF0AC1"/>
    <w:rsid w:val="00DF12E9"/>
    <w:rsid w:val="00DF2AD5"/>
    <w:rsid w:val="00DF42D5"/>
    <w:rsid w:val="00DF4B0E"/>
    <w:rsid w:val="00DF6BD3"/>
    <w:rsid w:val="00DF7FC2"/>
    <w:rsid w:val="00E01B49"/>
    <w:rsid w:val="00E02679"/>
    <w:rsid w:val="00E03001"/>
    <w:rsid w:val="00E05ECB"/>
    <w:rsid w:val="00E075F9"/>
    <w:rsid w:val="00E11B89"/>
    <w:rsid w:val="00E11E78"/>
    <w:rsid w:val="00E128B5"/>
    <w:rsid w:val="00E142CB"/>
    <w:rsid w:val="00E1503B"/>
    <w:rsid w:val="00E16B73"/>
    <w:rsid w:val="00E2036B"/>
    <w:rsid w:val="00E20E30"/>
    <w:rsid w:val="00E20EE1"/>
    <w:rsid w:val="00E24007"/>
    <w:rsid w:val="00E241C0"/>
    <w:rsid w:val="00E26201"/>
    <w:rsid w:val="00E278AF"/>
    <w:rsid w:val="00E27F76"/>
    <w:rsid w:val="00E30388"/>
    <w:rsid w:val="00E32845"/>
    <w:rsid w:val="00E339D6"/>
    <w:rsid w:val="00E33BFB"/>
    <w:rsid w:val="00E33F3D"/>
    <w:rsid w:val="00E34861"/>
    <w:rsid w:val="00E351C2"/>
    <w:rsid w:val="00E35260"/>
    <w:rsid w:val="00E373E9"/>
    <w:rsid w:val="00E41D4E"/>
    <w:rsid w:val="00E41D7C"/>
    <w:rsid w:val="00E4308E"/>
    <w:rsid w:val="00E43E21"/>
    <w:rsid w:val="00E440AA"/>
    <w:rsid w:val="00E4560F"/>
    <w:rsid w:val="00E50287"/>
    <w:rsid w:val="00E5168C"/>
    <w:rsid w:val="00E520CB"/>
    <w:rsid w:val="00E52638"/>
    <w:rsid w:val="00E53760"/>
    <w:rsid w:val="00E53C6A"/>
    <w:rsid w:val="00E54250"/>
    <w:rsid w:val="00E55274"/>
    <w:rsid w:val="00E569A8"/>
    <w:rsid w:val="00E602BB"/>
    <w:rsid w:val="00E62BC3"/>
    <w:rsid w:val="00E632E5"/>
    <w:rsid w:val="00E66095"/>
    <w:rsid w:val="00E664A0"/>
    <w:rsid w:val="00E665F7"/>
    <w:rsid w:val="00E66DDB"/>
    <w:rsid w:val="00E712DD"/>
    <w:rsid w:val="00E72082"/>
    <w:rsid w:val="00E723C9"/>
    <w:rsid w:val="00E72B8D"/>
    <w:rsid w:val="00E75A54"/>
    <w:rsid w:val="00E76D94"/>
    <w:rsid w:val="00E76F49"/>
    <w:rsid w:val="00E77FCA"/>
    <w:rsid w:val="00E80AA7"/>
    <w:rsid w:val="00E833AE"/>
    <w:rsid w:val="00E834FA"/>
    <w:rsid w:val="00E83C2F"/>
    <w:rsid w:val="00E83F3B"/>
    <w:rsid w:val="00E86538"/>
    <w:rsid w:val="00E86619"/>
    <w:rsid w:val="00E87A8D"/>
    <w:rsid w:val="00E91021"/>
    <w:rsid w:val="00E91A58"/>
    <w:rsid w:val="00E92A68"/>
    <w:rsid w:val="00E93248"/>
    <w:rsid w:val="00E94172"/>
    <w:rsid w:val="00E9433D"/>
    <w:rsid w:val="00E94DDA"/>
    <w:rsid w:val="00E94EAA"/>
    <w:rsid w:val="00E95353"/>
    <w:rsid w:val="00E954C4"/>
    <w:rsid w:val="00E96D7C"/>
    <w:rsid w:val="00EA00B1"/>
    <w:rsid w:val="00EA01BC"/>
    <w:rsid w:val="00EA02C5"/>
    <w:rsid w:val="00EA1982"/>
    <w:rsid w:val="00EA1C3B"/>
    <w:rsid w:val="00EA1F5F"/>
    <w:rsid w:val="00EA2589"/>
    <w:rsid w:val="00EA2ABC"/>
    <w:rsid w:val="00EA2DD7"/>
    <w:rsid w:val="00EA2E6F"/>
    <w:rsid w:val="00EA3176"/>
    <w:rsid w:val="00EA3D85"/>
    <w:rsid w:val="00EA4171"/>
    <w:rsid w:val="00EA4E10"/>
    <w:rsid w:val="00EA5259"/>
    <w:rsid w:val="00EA5C60"/>
    <w:rsid w:val="00EA622C"/>
    <w:rsid w:val="00EB0D06"/>
    <w:rsid w:val="00EB1839"/>
    <w:rsid w:val="00EB184F"/>
    <w:rsid w:val="00EB1FFF"/>
    <w:rsid w:val="00EB282A"/>
    <w:rsid w:val="00EB43F3"/>
    <w:rsid w:val="00EB4466"/>
    <w:rsid w:val="00EB7E64"/>
    <w:rsid w:val="00EC0F59"/>
    <w:rsid w:val="00EC3B33"/>
    <w:rsid w:val="00EC5263"/>
    <w:rsid w:val="00EC5925"/>
    <w:rsid w:val="00EC67CA"/>
    <w:rsid w:val="00ED0067"/>
    <w:rsid w:val="00ED0997"/>
    <w:rsid w:val="00ED1C49"/>
    <w:rsid w:val="00ED20BC"/>
    <w:rsid w:val="00ED2EA4"/>
    <w:rsid w:val="00ED2F1B"/>
    <w:rsid w:val="00ED4752"/>
    <w:rsid w:val="00ED528A"/>
    <w:rsid w:val="00ED5C08"/>
    <w:rsid w:val="00ED6660"/>
    <w:rsid w:val="00ED72D1"/>
    <w:rsid w:val="00EE0B9A"/>
    <w:rsid w:val="00EE184F"/>
    <w:rsid w:val="00EE1882"/>
    <w:rsid w:val="00EE1E88"/>
    <w:rsid w:val="00EE3034"/>
    <w:rsid w:val="00EE409F"/>
    <w:rsid w:val="00EE4558"/>
    <w:rsid w:val="00EE4C35"/>
    <w:rsid w:val="00EF2E4B"/>
    <w:rsid w:val="00EF31A5"/>
    <w:rsid w:val="00EF39CB"/>
    <w:rsid w:val="00EF3B39"/>
    <w:rsid w:val="00EF599D"/>
    <w:rsid w:val="00EF5C38"/>
    <w:rsid w:val="00EF5E3D"/>
    <w:rsid w:val="00EF67DB"/>
    <w:rsid w:val="00EF75E9"/>
    <w:rsid w:val="00F03D1C"/>
    <w:rsid w:val="00F049B0"/>
    <w:rsid w:val="00F0645A"/>
    <w:rsid w:val="00F078AE"/>
    <w:rsid w:val="00F10200"/>
    <w:rsid w:val="00F107CE"/>
    <w:rsid w:val="00F10B84"/>
    <w:rsid w:val="00F11FFB"/>
    <w:rsid w:val="00F123CA"/>
    <w:rsid w:val="00F12CD0"/>
    <w:rsid w:val="00F1301D"/>
    <w:rsid w:val="00F134FE"/>
    <w:rsid w:val="00F13960"/>
    <w:rsid w:val="00F14F34"/>
    <w:rsid w:val="00F1782B"/>
    <w:rsid w:val="00F21372"/>
    <w:rsid w:val="00F2250E"/>
    <w:rsid w:val="00F2295C"/>
    <w:rsid w:val="00F26591"/>
    <w:rsid w:val="00F265FB"/>
    <w:rsid w:val="00F26708"/>
    <w:rsid w:val="00F2680B"/>
    <w:rsid w:val="00F26A9A"/>
    <w:rsid w:val="00F26E8E"/>
    <w:rsid w:val="00F30CB2"/>
    <w:rsid w:val="00F346B6"/>
    <w:rsid w:val="00F3551D"/>
    <w:rsid w:val="00F369AF"/>
    <w:rsid w:val="00F37656"/>
    <w:rsid w:val="00F409A4"/>
    <w:rsid w:val="00F425D4"/>
    <w:rsid w:val="00F441FF"/>
    <w:rsid w:val="00F45CD1"/>
    <w:rsid w:val="00F470BB"/>
    <w:rsid w:val="00F51083"/>
    <w:rsid w:val="00F52C39"/>
    <w:rsid w:val="00F608A5"/>
    <w:rsid w:val="00F61A9F"/>
    <w:rsid w:val="00F624C1"/>
    <w:rsid w:val="00F62D0C"/>
    <w:rsid w:val="00F63386"/>
    <w:rsid w:val="00F63C51"/>
    <w:rsid w:val="00F63F54"/>
    <w:rsid w:val="00F6619B"/>
    <w:rsid w:val="00F668F4"/>
    <w:rsid w:val="00F67841"/>
    <w:rsid w:val="00F67B77"/>
    <w:rsid w:val="00F7068E"/>
    <w:rsid w:val="00F70CBA"/>
    <w:rsid w:val="00F7286F"/>
    <w:rsid w:val="00F75AC4"/>
    <w:rsid w:val="00F7766E"/>
    <w:rsid w:val="00F77CE7"/>
    <w:rsid w:val="00F80220"/>
    <w:rsid w:val="00F807DE"/>
    <w:rsid w:val="00F80CF3"/>
    <w:rsid w:val="00F80FB7"/>
    <w:rsid w:val="00F80FCF"/>
    <w:rsid w:val="00F821F9"/>
    <w:rsid w:val="00F82523"/>
    <w:rsid w:val="00F83F40"/>
    <w:rsid w:val="00F86150"/>
    <w:rsid w:val="00F868D6"/>
    <w:rsid w:val="00F916D7"/>
    <w:rsid w:val="00F919D1"/>
    <w:rsid w:val="00F91D57"/>
    <w:rsid w:val="00F9252C"/>
    <w:rsid w:val="00F92D79"/>
    <w:rsid w:val="00F92F16"/>
    <w:rsid w:val="00F94965"/>
    <w:rsid w:val="00F94F90"/>
    <w:rsid w:val="00F95120"/>
    <w:rsid w:val="00F967F0"/>
    <w:rsid w:val="00FA15B6"/>
    <w:rsid w:val="00FA1C28"/>
    <w:rsid w:val="00FA3555"/>
    <w:rsid w:val="00FA5345"/>
    <w:rsid w:val="00FA597C"/>
    <w:rsid w:val="00FA5E1F"/>
    <w:rsid w:val="00FA62A6"/>
    <w:rsid w:val="00FA6F8F"/>
    <w:rsid w:val="00FA73AB"/>
    <w:rsid w:val="00FB01EC"/>
    <w:rsid w:val="00FB134D"/>
    <w:rsid w:val="00FB3165"/>
    <w:rsid w:val="00FB3F82"/>
    <w:rsid w:val="00FB7E2B"/>
    <w:rsid w:val="00FC2C23"/>
    <w:rsid w:val="00FC444D"/>
    <w:rsid w:val="00FC55DA"/>
    <w:rsid w:val="00FD1E53"/>
    <w:rsid w:val="00FD298A"/>
    <w:rsid w:val="00FD2D44"/>
    <w:rsid w:val="00FD3A7C"/>
    <w:rsid w:val="00FD4551"/>
    <w:rsid w:val="00FD5795"/>
    <w:rsid w:val="00FE1267"/>
    <w:rsid w:val="00FE3FA2"/>
    <w:rsid w:val="00FE417E"/>
    <w:rsid w:val="00FE53AA"/>
    <w:rsid w:val="00FE5645"/>
    <w:rsid w:val="00FE6952"/>
    <w:rsid w:val="00FE7793"/>
    <w:rsid w:val="00FF046E"/>
    <w:rsid w:val="00FF04C6"/>
    <w:rsid w:val="00FF1AA1"/>
    <w:rsid w:val="00FF5877"/>
    <w:rsid w:val="00FF58F3"/>
    <w:rsid w:val="029F34E7"/>
    <w:rsid w:val="02DA6455"/>
    <w:rsid w:val="057C6CDB"/>
    <w:rsid w:val="05AB3BFA"/>
    <w:rsid w:val="05B01190"/>
    <w:rsid w:val="07CF3FC6"/>
    <w:rsid w:val="07D451D8"/>
    <w:rsid w:val="0A31516B"/>
    <w:rsid w:val="0C5122A7"/>
    <w:rsid w:val="0EFF4157"/>
    <w:rsid w:val="0FCD114C"/>
    <w:rsid w:val="103D29B5"/>
    <w:rsid w:val="10E9717C"/>
    <w:rsid w:val="11EF2379"/>
    <w:rsid w:val="14347172"/>
    <w:rsid w:val="144E4536"/>
    <w:rsid w:val="152F261A"/>
    <w:rsid w:val="15455E1E"/>
    <w:rsid w:val="177F44D2"/>
    <w:rsid w:val="1927054B"/>
    <w:rsid w:val="19A91B18"/>
    <w:rsid w:val="1AC6444B"/>
    <w:rsid w:val="1B072DED"/>
    <w:rsid w:val="1BE7774A"/>
    <w:rsid w:val="1F296D6F"/>
    <w:rsid w:val="1F3132CD"/>
    <w:rsid w:val="1FA9036A"/>
    <w:rsid w:val="24C824AB"/>
    <w:rsid w:val="257E5E15"/>
    <w:rsid w:val="260E57EE"/>
    <w:rsid w:val="26B27660"/>
    <w:rsid w:val="27304548"/>
    <w:rsid w:val="27700955"/>
    <w:rsid w:val="27C65230"/>
    <w:rsid w:val="29FC7E86"/>
    <w:rsid w:val="2A924567"/>
    <w:rsid w:val="2AA15F6C"/>
    <w:rsid w:val="2D760C8A"/>
    <w:rsid w:val="2EA769CB"/>
    <w:rsid w:val="30731619"/>
    <w:rsid w:val="33D005E9"/>
    <w:rsid w:val="35F141C8"/>
    <w:rsid w:val="36432A19"/>
    <w:rsid w:val="373B5614"/>
    <w:rsid w:val="373D34D1"/>
    <w:rsid w:val="37481270"/>
    <w:rsid w:val="376D3618"/>
    <w:rsid w:val="378F7E6C"/>
    <w:rsid w:val="39376F18"/>
    <w:rsid w:val="3C2B783E"/>
    <w:rsid w:val="3D475107"/>
    <w:rsid w:val="3FBA19D1"/>
    <w:rsid w:val="44A150FA"/>
    <w:rsid w:val="454C3374"/>
    <w:rsid w:val="457A626D"/>
    <w:rsid w:val="45EF402C"/>
    <w:rsid w:val="46010FAF"/>
    <w:rsid w:val="479F23E0"/>
    <w:rsid w:val="47DF5014"/>
    <w:rsid w:val="49A915EC"/>
    <w:rsid w:val="4A3B127B"/>
    <w:rsid w:val="4BC36D42"/>
    <w:rsid w:val="4C055CDB"/>
    <w:rsid w:val="4C744451"/>
    <w:rsid w:val="4C9C521E"/>
    <w:rsid w:val="4D75306D"/>
    <w:rsid w:val="4D7E6E04"/>
    <w:rsid w:val="4E4625AA"/>
    <w:rsid w:val="4F0B1A05"/>
    <w:rsid w:val="4F8B7944"/>
    <w:rsid w:val="50BC25DF"/>
    <w:rsid w:val="50CC29AB"/>
    <w:rsid w:val="50E93C19"/>
    <w:rsid w:val="5263207E"/>
    <w:rsid w:val="545A4114"/>
    <w:rsid w:val="55C005FB"/>
    <w:rsid w:val="586265BA"/>
    <w:rsid w:val="59264DFC"/>
    <w:rsid w:val="596156EB"/>
    <w:rsid w:val="59B1623C"/>
    <w:rsid w:val="5A5D3470"/>
    <w:rsid w:val="5B7761CC"/>
    <w:rsid w:val="5C910DBE"/>
    <w:rsid w:val="5E597FC5"/>
    <w:rsid w:val="5EAE48AD"/>
    <w:rsid w:val="610A7648"/>
    <w:rsid w:val="618F1684"/>
    <w:rsid w:val="62597BAE"/>
    <w:rsid w:val="62A16FB7"/>
    <w:rsid w:val="632A5414"/>
    <w:rsid w:val="65103A5C"/>
    <w:rsid w:val="656E3556"/>
    <w:rsid w:val="65E50332"/>
    <w:rsid w:val="65FD3687"/>
    <w:rsid w:val="6725235E"/>
    <w:rsid w:val="6728578C"/>
    <w:rsid w:val="67CC7317"/>
    <w:rsid w:val="681B668F"/>
    <w:rsid w:val="68F67B61"/>
    <w:rsid w:val="69003D29"/>
    <w:rsid w:val="6ACF2B79"/>
    <w:rsid w:val="6E94578A"/>
    <w:rsid w:val="6E9A22AA"/>
    <w:rsid w:val="6EE429BB"/>
    <w:rsid w:val="71261EB7"/>
    <w:rsid w:val="71B90088"/>
    <w:rsid w:val="723F69DB"/>
    <w:rsid w:val="73510F80"/>
    <w:rsid w:val="76561B79"/>
    <w:rsid w:val="79C155C0"/>
    <w:rsid w:val="79C269D0"/>
    <w:rsid w:val="7AF03F36"/>
    <w:rsid w:val="7B340AAD"/>
    <w:rsid w:val="7B381954"/>
    <w:rsid w:val="7CB847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99"/>
    <w:pPr>
      <w:keepNext/>
      <w:jc w:val="center"/>
      <w:outlineLvl w:val="0"/>
    </w:pPr>
    <w:rPr>
      <w:b/>
      <w:bCs/>
      <w:kern w:val="44"/>
      <w:sz w:val="44"/>
      <w:szCs w:val="44"/>
    </w:rPr>
  </w:style>
  <w:style w:type="paragraph" w:styleId="4">
    <w:name w:val="heading 2"/>
    <w:basedOn w:val="1"/>
    <w:next w:val="1"/>
    <w:link w:val="33"/>
    <w:qFormat/>
    <w:uiPriority w:val="99"/>
    <w:pPr>
      <w:keepNext/>
      <w:jc w:val="center"/>
      <w:outlineLvl w:val="1"/>
    </w:pPr>
    <w:rPr>
      <w:rFonts w:ascii="Cambria" w:hAnsi="Cambria"/>
      <w:b/>
      <w:bCs/>
      <w:kern w:val="0"/>
      <w:sz w:val="32"/>
      <w:szCs w:val="32"/>
    </w:rPr>
  </w:style>
  <w:style w:type="paragraph" w:styleId="5">
    <w:name w:val="heading 3"/>
    <w:basedOn w:val="1"/>
    <w:next w:val="1"/>
    <w:link w:val="34"/>
    <w:qFormat/>
    <w:uiPriority w:val="99"/>
    <w:pPr>
      <w:keepNext/>
      <w:jc w:val="center"/>
      <w:outlineLvl w:val="2"/>
    </w:pPr>
    <w:rPr>
      <w:b/>
      <w:bCs/>
      <w:kern w:val="0"/>
      <w:sz w:val="32"/>
      <w:szCs w:val="32"/>
    </w:rPr>
  </w:style>
  <w:style w:type="paragraph" w:styleId="6">
    <w:name w:val="heading 4"/>
    <w:basedOn w:val="1"/>
    <w:next w:val="1"/>
    <w:link w:val="35"/>
    <w:qFormat/>
    <w:uiPriority w:val="99"/>
    <w:pPr>
      <w:keepNext/>
      <w:jc w:val="center"/>
      <w:outlineLvl w:val="3"/>
    </w:pPr>
    <w:rPr>
      <w:rFonts w:ascii="Cambria" w:hAnsi="Cambria"/>
      <w:b/>
      <w:bCs/>
      <w:kern w:val="0"/>
      <w:sz w:val="28"/>
      <w:szCs w:val="28"/>
    </w:rPr>
  </w:style>
  <w:style w:type="paragraph" w:styleId="7">
    <w:name w:val="heading 5"/>
    <w:basedOn w:val="1"/>
    <w:next w:val="1"/>
    <w:link w:val="36"/>
    <w:qFormat/>
    <w:uiPriority w:val="99"/>
    <w:pPr>
      <w:keepNext/>
      <w:numPr>
        <w:ilvl w:val="0"/>
        <w:numId w:val="1"/>
      </w:numPr>
      <w:outlineLvl w:val="4"/>
    </w:pPr>
    <w:rPr>
      <w:rFonts w:ascii="楷体_GB2312" w:eastAsia="楷体_GB2312"/>
      <w:bCs/>
      <w:sz w:val="28"/>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39"/>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style>
  <w:style w:type="paragraph" w:styleId="9">
    <w:name w:val="Document Map"/>
    <w:basedOn w:val="1"/>
    <w:link w:val="97"/>
    <w:semiHidden/>
    <w:qFormat/>
    <w:uiPriority w:val="99"/>
    <w:pPr>
      <w:shd w:val="clear" w:color="auto" w:fill="000080"/>
    </w:pPr>
    <w:rPr>
      <w:kern w:val="0"/>
      <w:sz w:val="2"/>
    </w:rPr>
  </w:style>
  <w:style w:type="paragraph" w:styleId="10">
    <w:name w:val="annotation text"/>
    <w:basedOn w:val="1"/>
    <w:link w:val="105"/>
    <w:unhideWhenUsed/>
    <w:qFormat/>
    <w:uiPriority w:val="99"/>
    <w:pPr>
      <w:jc w:val="left"/>
    </w:pPr>
  </w:style>
  <w:style w:type="paragraph" w:styleId="11">
    <w:name w:val="Body Text"/>
    <w:basedOn w:val="1"/>
    <w:next w:val="12"/>
    <w:link w:val="41"/>
    <w:qFormat/>
    <w:uiPriority w:val="99"/>
    <w:rPr>
      <w:kern w:val="0"/>
      <w:sz w:val="20"/>
    </w:rPr>
  </w:style>
  <w:style w:type="paragraph" w:styleId="12">
    <w:name w:val="List"/>
    <w:basedOn w:val="1"/>
    <w:semiHidden/>
    <w:qFormat/>
    <w:uiPriority w:val="99"/>
    <w:pPr>
      <w:ind w:left="200" w:hanging="200" w:hangingChars="200"/>
      <w:contextualSpacing/>
    </w:pPr>
  </w:style>
  <w:style w:type="paragraph" w:styleId="13">
    <w:name w:val="Body Text Indent"/>
    <w:basedOn w:val="1"/>
    <w:link w:val="38"/>
    <w:qFormat/>
    <w:uiPriority w:val="99"/>
    <w:pPr>
      <w:ind w:firstLine="576"/>
    </w:pPr>
    <w:rPr>
      <w:kern w:val="0"/>
      <w:sz w:val="20"/>
    </w:rPr>
  </w:style>
  <w:style w:type="paragraph" w:styleId="14">
    <w:name w:val="Date"/>
    <w:basedOn w:val="1"/>
    <w:next w:val="1"/>
    <w:link w:val="37"/>
    <w:qFormat/>
    <w:uiPriority w:val="99"/>
    <w:rPr>
      <w:kern w:val="0"/>
      <w:sz w:val="20"/>
    </w:rPr>
  </w:style>
  <w:style w:type="paragraph" w:styleId="15">
    <w:name w:val="Body Text Indent 2"/>
    <w:basedOn w:val="1"/>
    <w:link w:val="42"/>
    <w:qFormat/>
    <w:uiPriority w:val="99"/>
    <w:pPr>
      <w:ind w:left="900"/>
    </w:pPr>
    <w:rPr>
      <w:kern w:val="0"/>
      <w:sz w:val="20"/>
    </w:rPr>
  </w:style>
  <w:style w:type="paragraph" w:styleId="16">
    <w:name w:val="Balloon Text"/>
    <w:basedOn w:val="1"/>
    <w:link w:val="104"/>
    <w:semiHidden/>
    <w:unhideWhenUsed/>
    <w:qFormat/>
    <w:uiPriority w:val="99"/>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3"/>
    <w:qFormat/>
    <w:uiPriority w:val="99"/>
    <w:pPr>
      <w:ind w:left="359" w:leftChars="171" w:firstLine="359" w:firstLineChars="171"/>
    </w:pPr>
    <w:rPr>
      <w:kern w:val="0"/>
      <w:sz w:val="16"/>
      <w:szCs w:val="16"/>
    </w:rPr>
  </w:style>
  <w:style w:type="paragraph" w:styleId="19">
    <w:name w:val="Body Text 2"/>
    <w:basedOn w:val="1"/>
    <w:link w:val="98"/>
    <w:qFormat/>
    <w:uiPriority w:val="99"/>
    <w:pPr>
      <w:spacing w:after="120" w:line="480" w:lineRule="auto"/>
    </w:pPr>
    <w:rPr>
      <w:kern w:val="0"/>
      <w:sz w:val="20"/>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10"/>
    <w:next w:val="10"/>
    <w:link w:val="106"/>
    <w:semiHidden/>
    <w:unhideWhenUsed/>
    <w:qFormat/>
    <w:uiPriority w:val="99"/>
    <w:rPr>
      <w:b/>
      <w:bCs/>
    </w:rPr>
  </w:style>
  <w:style w:type="paragraph" w:styleId="22">
    <w:name w:val="Body Text First Indent 2"/>
    <w:basedOn w:val="13"/>
    <w:link w:val="109"/>
    <w:qFormat/>
    <w:uiPriority w:val="99"/>
    <w:pPr>
      <w:spacing w:after="120"/>
      <w:ind w:left="420" w:leftChars="200" w:firstLine="420" w:firstLineChars="200"/>
    </w:pPr>
    <w:rPr>
      <w:kern w:val="2"/>
      <w:sz w:val="21"/>
    </w:r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auto"/>
      <w:u w:val="non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semiHidden/>
    <w:unhideWhenUsed/>
    <w:qFormat/>
    <w:uiPriority w:val="99"/>
    <w:rPr>
      <w:sz w:val="21"/>
      <w:szCs w:val="21"/>
    </w:rPr>
  </w:style>
  <w:style w:type="paragraph" w:customStyle="1" w:styleId="31">
    <w:name w:val="表格文字"/>
    <w:basedOn w:val="1"/>
    <w:next w:val="11"/>
    <w:qFormat/>
    <w:uiPriority w:val="0"/>
    <w:pPr>
      <w:jc w:val="left"/>
    </w:pPr>
    <w:rPr>
      <w:kern w:val="21"/>
    </w:rPr>
  </w:style>
  <w:style w:type="character" w:customStyle="1" w:styleId="32">
    <w:name w:val="标题 1 字符"/>
    <w:link w:val="3"/>
    <w:qFormat/>
    <w:locked/>
    <w:uiPriority w:val="99"/>
    <w:rPr>
      <w:rFonts w:cs="Times New Roman"/>
      <w:b/>
      <w:bCs/>
      <w:kern w:val="44"/>
      <w:sz w:val="44"/>
      <w:szCs w:val="44"/>
    </w:rPr>
  </w:style>
  <w:style w:type="character" w:customStyle="1" w:styleId="33">
    <w:name w:val="标题 2 字符"/>
    <w:link w:val="4"/>
    <w:semiHidden/>
    <w:qFormat/>
    <w:locked/>
    <w:uiPriority w:val="99"/>
    <w:rPr>
      <w:rFonts w:ascii="Cambria" w:hAnsi="Cambria" w:eastAsia="宋体" w:cs="Times New Roman"/>
      <w:b/>
      <w:bCs/>
      <w:sz w:val="32"/>
      <w:szCs w:val="32"/>
    </w:rPr>
  </w:style>
  <w:style w:type="character" w:customStyle="1" w:styleId="34">
    <w:name w:val="标题 3 字符"/>
    <w:link w:val="5"/>
    <w:semiHidden/>
    <w:qFormat/>
    <w:locked/>
    <w:uiPriority w:val="99"/>
    <w:rPr>
      <w:rFonts w:cs="Times New Roman"/>
      <w:b/>
      <w:bCs/>
      <w:sz w:val="32"/>
      <w:szCs w:val="32"/>
    </w:rPr>
  </w:style>
  <w:style w:type="character" w:customStyle="1" w:styleId="35">
    <w:name w:val="标题 4 字符"/>
    <w:link w:val="6"/>
    <w:semiHidden/>
    <w:qFormat/>
    <w:locked/>
    <w:uiPriority w:val="99"/>
    <w:rPr>
      <w:rFonts w:ascii="Cambria" w:hAnsi="Cambria" w:eastAsia="宋体" w:cs="Times New Roman"/>
      <w:b/>
      <w:bCs/>
      <w:sz w:val="28"/>
      <w:szCs w:val="28"/>
    </w:rPr>
  </w:style>
  <w:style w:type="character" w:customStyle="1" w:styleId="36">
    <w:name w:val="标题 5 字符"/>
    <w:link w:val="7"/>
    <w:qFormat/>
    <w:locked/>
    <w:uiPriority w:val="99"/>
    <w:rPr>
      <w:rFonts w:ascii="楷体_GB2312" w:eastAsia="楷体_GB2312"/>
      <w:bCs/>
      <w:kern w:val="2"/>
      <w:sz w:val="28"/>
    </w:rPr>
  </w:style>
  <w:style w:type="character" w:customStyle="1" w:styleId="37">
    <w:name w:val="日期 字符"/>
    <w:link w:val="14"/>
    <w:semiHidden/>
    <w:qFormat/>
    <w:locked/>
    <w:uiPriority w:val="99"/>
    <w:rPr>
      <w:rFonts w:cs="Times New Roman"/>
      <w:sz w:val="20"/>
      <w:szCs w:val="20"/>
    </w:rPr>
  </w:style>
  <w:style w:type="character" w:customStyle="1" w:styleId="38">
    <w:name w:val="正文文本缩进 字符"/>
    <w:link w:val="13"/>
    <w:semiHidden/>
    <w:qFormat/>
    <w:locked/>
    <w:uiPriority w:val="99"/>
    <w:rPr>
      <w:rFonts w:cs="Times New Roman"/>
      <w:sz w:val="20"/>
      <w:szCs w:val="20"/>
    </w:rPr>
  </w:style>
  <w:style w:type="character" w:customStyle="1" w:styleId="39">
    <w:name w:val="页脚 字符"/>
    <w:link w:val="2"/>
    <w:semiHidden/>
    <w:qFormat/>
    <w:locked/>
    <w:uiPriority w:val="99"/>
    <w:rPr>
      <w:rFonts w:cs="Times New Roman"/>
      <w:sz w:val="18"/>
      <w:szCs w:val="18"/>
    </w:rPr>
  </w:style>
  <w:style w:type="character" w:customStyle="1" w:styleId="40">
    <w:name w:val="页眉 字符"/>
    <w:link w:val="17"/>
    <w:qFormat/>
    <w:locked/>
    <w:uiPriority w:val="99"/>
    <w:rPr>
      <w:rFonts w:cs="Times New Roman"/>
      <w:sz w:val="18"/>
      <w:szCs w:val="18"/>
    </w:rPr>
  </w:style>
  <w:style w:type="character" w:customStyle="1" w:styleId="41">
    <w:name w:val="正文文本 字符"/>
    <w:link w:val="11"/>
    <w:semiHidden/>
    <w:qFormat/>
    <w:locked/>
    <w:uiPriority w:val="99"/>
    <w:rPr>
      <w:rFonts w:cs="Times New Roman"/>
      <w:sz w:val="20"/>
      <w:szCs w:val="20"/>
    </w:rPr>
  </w:style>
  <w:style w:type="character" w:customStyle="1" w:styleId="42">
    <w:name w:val="正文文本缩进 2 字符"/>
    <w:link w:val="15"/>
    <w:semiHidden/>
    <w:qFormat/>
    <w:locked/>
    <w:uiPriority w:val="99"/>
    <w:rPr>
      <w:rFonts w:cs="Times New Roman"/>
      <w:sz w:val="20"/>
      <w:szCs w:val="20"/>
    </w:rPr>
  </w:style>
  <w:style w:type="character" w:customStyle="1" w:styleId="43">
    <w:name w:val="正文文本缩进 3 字符"/>
    <w:link w:val="18"/>
    <w:semiHidden/>
    <w:qFormat/>
    <w:locked/>
    <w:uiPriority w:val="99"/>
    <w:rPr>
      <w:rFonts w:cs="Times New Roman"/>
      <w:sz w:val="16"/>
      <w:szCs w:val="16"/>
    </w:rPr>
  </w:style>
  <w:style w:type="paragraph" w:customStyle="1" w:styleId="44">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5">
    <w:name w:val="font6"/>
    <w:basedOn w:val="1"/>
    <w:qFormat/>
    <w:uiPriority w:val="99"/>
    <w:pPr>
      <w:widowControl/>
      <w:spacing w:before="100" w:beforeAutospacing="1" w:after="100" w:afterAutospacing="1"/>
      <w:jc w:val="left"/>
    </w:pPr>
    <w:rPr>
      <w:rFonts w:ascii="宋体" w:hAnsi="宋体"/>
      <w:b/>
      <w:bCs/>
      <w:kern w:val="0"/>
      <w:sz w:val="20"/>
    </w:rPr>
  </w:style>
  <w:style w:type="paragraph" w:customStyle="1" w:styleId="46">
    <w:name w:val="font7"/>
    <w:basedOn w:val="1"/>
    <w:qFormat/>
    <w:uiPriority w:val="99"/>
    <w:pPr>
      <w:widowControl/>
      <w:spacing w:before="100" w:beforeAutospacing="1" w:after="100" w:afterAutospacing="1"/>
      <w:jc w:val="left"/>
    </w:pPr>
    <w:rPr>
      <w:b/>
      <w:bCs/>
      <w:i/>
      <w:iCs/>
      <w:kern w:val="0"/>
      <w:sz w:val="20"/>
    </w:rPr>
  </w:style>
  <w:style w:type="paragraph" w:customStyle="1" w:styleId="47">
    <w:name w:val="font8"/>
    <w:basedOn w:val="1"/>
    <w:qFormat/>
    <w:uiPriority w:val="99"/>
    <w:pPr>
      <w:widowControl/>
      <w:spacing w:before="100" w:beforeAutospacing="1" w:after="100" w:afterAutospacing="1"/>
      <w:jc w:val="left"/>
    </w:pPr>
    <w:rPr>
      <w:rFonts w:ascii="宋体" w:hAnsi="宋体"/>
      <w:b/>
      <w:bCs/>
      <w:i/>
      <w:iCs/>
      <w:kern w:val="0"/>
      <w:sz w:val="20"/>
    </w:rPr>
  </w:style>
  <w:style w:type="paragraph" w:customStyle="1" w:styleId="48">
    <w:name w:val="font9"/>
    <w:basedOn w:val="1"/>
    <w:qFormat/>
    <w:uiPriority w:val="99"/>
    <w:pPr>
      <w:widowControl/>
      <w:spacing w:before="100" w:beforeAutospacing="1" w:after="100" w:afterAutospacing="1"/>
      <w:jc w:val="left"/>
    </w:pPr>
    <w:rPr>
      <w:b/>
      <w:bCs/>
      <w:kern w:val="0"/>
      <w:sz w:val="20"/>
    </w:rPr>
  </w:style>
  <w:style w:type="paragraph" w:customStyle="1" w:styleId="4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5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5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5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5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6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6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6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68">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9">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0">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1">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2">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5">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6">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7">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8">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7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0">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3">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4">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5">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7">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8">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89">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0">
    <w:name w:val="font11"/>
    <w:basedOn w:val="1"/>
    <w:qFormat/>
    <w:uiPriority w:val="99"/>
    <w:pPr>
      <w:widowControl/>
      <w:spacing w:before="100" w:beforeAutospacing="1" w:after="100" w:afterAutospacing="1"/>
      <w:jc w:val="left"/>
    </w:pPr>
    <w:rPr>
      <w:b/>
      <w:bCs/>
      <w:kern w:val="0"/>
      <w:sz w:val="18"/>
      <w:szCs w:val="18"/>
    </w:rPr>
  </w:style>
  <w:style w:type="paragraph" w:customStyle="1" w:styleId="91">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2">
    <w:name w:val="font13"/>
    <w:basedOn w:val="1"/>
    <w:qFormat/>
    <w:uiPriority w:val="99"/>
    <w:pPr>
      <w:widowControl/>
      <w:spacing w:before="100" w:beforeAutospacing="1" w:after="100" w:afterAutospacing="1"/>
      <w:jc w:val="left"/>
    </w:pPr>
    <w:rPr>
      <w:i/>
      <w:iCs/>
      <w:kern w:val="0"/>
      <w:sz w:val="36"/>
      <w:szCs w:val="36"/>
    </w:rPr>
  </w:style>
  <w:style w:type="paragraph" w:customStyle="1" w:styleId="93">
    <w:name w:val="font14"/>
    <w:basedOn w:val="1"/>
    <w:qFormat/>
    <w:uiPriority w:val="99"/>
    <w:pPr>
      <w:widowControl/>
      <w:spacing w:before="100" w:beforeAutospacing="1" w:after="100" w:afterAutospacing="1"/>
      <w:jc w:val="left"/>
    </w:pPr>
    <w:rPr>
      <w:kern w:val="0"/>
      <w:sz w:val="36"/>
      <w:szCs w:val="36"/>
    </w:rPr>
  </w:style>
  <w:style w:type="character" w:customStyle="1" w:styleId="94">
    <w:name w:val="case31"/>
    <w:qFormat/>
    <w:uiPriority w:val="99"/>
    <w:rPr>
      <w:rFonts w:cs="Times New Roman"/>
      <w:spacing w:val="390"/>
      <w:sz w:val="21"/>
      <w:szCs w:val="21"/>
    </w:rPr>
  </w:style>
  <w:style w:type="paragraph" w:customStyle="1" w:styleId="95">
    <w:name w:val="普通文字"/>
    <w:basedOn w:val="1"/>
    <w:next w:val="1"/>
    <w:qFormat/>
    <w:uiPriority w:val="99"/>
    <w:rPr>
      <w:rFonts w:ascii="宋体"/>
      <w:kern w:val="0"/>
      <w:sz w:val="24"/>
      <w:u w:color="000000"/>
    </w:rPr>
  </w:style>
  <w:style w:type="paragraph" w:customStyle="1" w:styleId="96">
    <w:name w:val="默认段落字体 Para Char"/>
    <w:basedOn w:val="1"/>
    <w:qFormat/>
    <w:uiPriority w:val="99"/>
    <w:pPr>
      <w:tabs>
        <w:tab w:val="left" w:pos="552"/>
      </w:tabs>
      <w:ind w:left="552" w:hanging="420"/>
    </w:pPr>
    <w:rPr>
      <w:sz w:val="24"/>
      <w:szCs w:val="24"/>
    </w:rPr>
  </w:style>
  <w:style w:type="character" w:customStyle="1" w:styleId="97">
    <w:name w:val="文档结构图 字符"/>
    <w:link w:val="9"/>
    <w:semiHidden/>
    <w:qFormat/>
    <w:locked/>
    <w:uiPriority w:val="99"/>
    <w:rPr>
      <w:rFonts w:cs="Times New Roman"/>
      <w:sz w:val="2"/>
    </w:rPr>
  </w:style>
  <w:style w:type="character" w:customStyle="1" w:styleId="98">
    <w:name w:val="正文文本 2 字符"/>
    <w:link w:val="19"/>
    <w:semiHidden/>
    <w:qFormat/>
    <w:locked/>
    <w:uiPriority w:val="99"/>
    <w:rPr>
      <w:rFonts w:cs="Times New Roman"/>
      <w:sz w:val="20"/>
      <w:szCs w:val="20"/>
    </w:rPr>
  </w:style>
  <w:style w:type="paragraph" w:customStyle="1" w:styleId="99">
    <w:name w:val="Char Char Char Char"/>
    <w:basedOn w:val="9"/>
    <w:qFormat/>
    <w:uiPriority w:val="99"/>
    <w:pPr>
      <w:adjustRightInd w:val="0"/>
      <w:snapToGrid w:val="0"/>
      <w:spacing w:line="360" w:lineRule="auto"/>
    </w:pPr>
    <w:rPr>
      <w:rFonts w:ascii="Tahoma" w:hAnsi="Tahoma"/>
      <w:sz w:val="24"/>
      <w:szCs w:val="24"/>
    </w:rPr>
  </w:style>
  <w:style w:type="paragraph" w:customStyle="1" w:styleId="100">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styleId="101">
    <w:name w:val="List Paragraph"/>
    <w:basedOn w:val="1"/>
    <w:qFormat/>
    <w:uiPriority w:val="0"/>
    <w:pPr>
      <w:ind w:firstLine="420" w:firstLineChars="200"/>
    </w:pPr>
  </w:style>
  <w:style w:type="character" w:customStyle="1" w:styleId="102">
    <w:name w:val="apple-converted-space"/>
    <w:basedOn w:val="24"/>
    <w:qFormat/>
    <w:uiPriority w:val="0"/>
  </w:style>
  <w:style w:type="character" w:customStyle="1" w:styleId="103">
    <w:name w:val="grame"/>
    <w:basedOn w:val="24"/>
    <w:qFormat/>
    <w:uiPriority w:val="0"/>
  </w:style>
  <w:style w:type="character" w:customStyle="1" w:styleId="104">
    <w:name w:val="批注框文本 字符"/>
    <w:link w:val="16"/>
    <w:semiHidden/>
    <w:qFormat/>
    <w:uiPriority w:val="99"/>
    <w:rPr>
      <w:kern w:val="2"/>
      <w:sz w:val="18"/>
      <w:szCs w:val="18"/>
    </w:rPr>
  </w:style>
  <w:style w:type="character" w:customStyle="1" w:styleId="105">
    <w:name w:val="批注文字 字符"/>
    <w:basedOn w:val="24"/>
    <w:link w:val="10"/>
    <w:qFormat/>
    <w:uiPriority w:val="99"/>
    <w:rPr>
      <w:kern w:val="2"/>
      <w:sz w:val="21"/>
    </w:rPr>
  </w:style>
  <w:style w:type="character" w:customStyle="1" w:styleId="106">
    <w:name w:val="批注主题 字符"/>
    <w:basedOn w:val="105"/>
    <w:link w:val="21"/>
    <w:semiHidden/>
    <w:qFormat/>
    <w:uiPriority w:val="99"/>
    <w:rPr>
      <w:b/>
      <w:bCs/>
      <w:kern w:val="2"/>
      <w:sz w:val="21"/>
    </w:rPr>
  </w:style>
  <w:style w:type="character" w:styleId="107">
    <w:name w:val="Placeholder Text"/>
    <w:basedOn w:val="24"/>
    <w:unhideWhenUsed/>
    <w:qFormat/>
    <w:uiPriority w:val="99"/>
    <w:rPr>
      <w:color w:val="808080"/>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character" w:customStyle="1" w:styleId="109">
    <w:name w:val="正文文本首行缩进 2 字符"/>
    <w:basedOn w:val="38"/>
    <w:link w:val="22"/>
    <w:qFormat/>
    <w:uiPriority w:val="99"/>
    <w:rPr>
      <w:rFonts w:ascii="Times New Roman" w:hAnsi="Times New Roman" w:cs="Times New Roman"/>
      <w:kern w:val="2"/>
      <w:sz w:val="21"/>
      <w:szCs w:val="20"/>
    </w:rPr>
  </w:style>
  <w:style w:type="paragraph" w:customStyle="1" w:styleId="110">
    <w:name w:val="Default"/>
    <w:qFormat/>
    <w:uiPriority w:val="99"/>
    <w:pPr>
      <w:widowControl w:val="0"/>
      <w:autoSpaceDE w:val="0"/>
      <w:autoSpaceDN w:val="0"/>
      <w:adjustRightInd w:val="0"/>
    </w:pPr>
    <w:rPr>
      <w:rFonts w:ascii="Verdana" w:hAnsi="Verdana"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8CDB5-F8F4-4732-B60A-78213F8650D8}">
  <ds:schemaRefs/>
</ds:datastoreItem>
</file>

<file path=docProps/app.xml><?xml version="1.0" encoding="utf-8"?>
<Properties xmlns="http://schemas.openxmlformats.org/officeDocument/2006/extended-properties" xmlns:vt="http://schemas.openxmlformats.org/officeDocument/2006/docPropsVTypes">
  <Template>邀请招标书</Template>
  <Company>LenovoCop</Company>
  <Pages>35</Pages>
  <Words>20840</Words>
  <Characters>22198</Characters>
  <Lines>180</Lines>
  <Paragraphs>50</Paragraphs>
  <TotalTime>7</TotalTime>
  <ScaleCrop>false</ScaleCrop>
  <LinksUpToDate>false</LinksUpToDate>
  <CharactersWithSpaces>23321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2021-07-07T03:14:00Z</dcterms:created>
  <dc:creator>win10</dc:creator>
  <cp:lastModifiedBy>DELL</cp:lastModifiedBy>
  <cp:lastPrinted>2016-12-26T01:31:00Z</cp:lastPrinted>
  <dcterms:modified xsi:type="dcterms:W3CDTF">2022-08-24T01:16:17Z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B01798326D93413590AFCB9CDEEF522B</vt:lpwstr>
  </property>
</Properties>
</file>