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14:textFill>
            <w14:solidFill>
              <w14:schemeClr w14:val="tx1"/>
            </w14:solidFill>
          </w14:textFill>
        </w:rPr>
      </w:pPr>
    </w:p>
    <w:p>
      <w:pPr>
        <w:ind w:left="660"/>
        <w:rPr>
          <w:rFonts w:ascii="楷体_GB2312" w:eastAsia="楷体_GB2312"/>
          <w:bCs/>
          <w:color w:val="000000" w:themeColor="text1"/>
          <w:sz w:val="30"/>
          <w14:textFill>
            <w14:solidFill>
              <w14:schemeClr w14:val="tx1"/>
            </w14:solidFill>
          </w14:textFill>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ind w:firstLine="2700" w:firstLineChars="9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LXZC2022-026</w:t>
      </w:r>
    </w:p>
    <w:p>
      <w:pPr>
        <w:ind w:left="5083" w:leftChars="1278" w:hanging="2400" w:hangingChars="8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梁溪区AI智慧作业系统</w:t>
      </w:r>
    </w:p>
    <w:p>
      <w:pPr>
        <w:ind w:firstLine="2700" w:firstLineChars="900"/>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rPr>
          <w:rFonts w:ascii="华文中宋" w:hAnsi="华文中宋" w:eastAsia="华文中宋"/>
          <w:bCs/>
          <w:color w:val="000000" w:themeColor="text1"/>
          <w:sz w:val="32"/>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highlight w:val="yellow"/>
          <w14:textFill>
            <w14:solidFill>
              <w14:schemeClr w14:val="tx1"/>
            </w14:solidFill>
          </w14:textFill>
        </w:rPr>
      </w:pPr>
    </w:p>
    <w:p>
      <w:pPr>
        <w:jc w:val="center"/>
        <w:rPr>
          <w:rFonts w:ascii="黑体" w:hAnsi="华文中宋" w:eastAsia="黑体"/>
          <w:bCs/>
          <w:color w:val="000000" w:themeColor="text1"/>
          <w:sz w:val="44"/>
          <w:szCs w:val="44"/>
          <w:highlight w:val="none"/>
          <w14:textFill>
            <w14:solidFill>
              <w14:schemeClr w14:val="tx1"/>
            </w14:solidFill>
          </w14:textFill>
        </w:rPr>
      </w:pPr>
      <w:r>
        <w:rPr>
          <w:rFonts w:hint="eastAsia" w:ascii="黑体" w:hAnsi="华文中宋" w:eastAsia="黑体"/>
          <w:bCs/>
          <w:color w:val="000000" w:themeColor="text1"/>
          <w:sz w:val="44"/>
          <w:szCs w:val="44"/>
          <w:highlight w:val="none"/>
          <w14:textFill>
            <w14:solidFill>
              <w14:schemeClr w14:val="tx1"/>
            </w14:solidFill>
          </w14:textFill>
        </w:rPr>
        <w:t>二○二二年</w:t>
      </w:r>
      <w:r>
        <w:rPr>
          <w:rFonts w:hint="eastAsia" w:ascii="黑体" w:hAnsi="华文中宋" w:eastAsia="黑体"/>
          <w:bCs/>
          <w:color w:val="000000" w:themeColor="text1"/>
          <w:sz w:val="44"/>
          <w:szCs w:val="44"/>
          <w:highlight w:val="none"/>
          <w:lang w:val="en-US" w:eastAsia="zh-CN"/>
          <w14:textFill>
            <w14:solidFill>
              <w14:schemeClr w14:val="tx1"/>
            </w14:solidFill>
          </w14:textFill>
        </w:rPr>
        <w:t>九</w:t>
      </w:r>
      <w:r>
        <w:rPr>
          <w:rFonts w:hint="eastAsia" w:ascii="黑体" w:hAnsi="华文中宋" w:eastAsia="黑体"/>
          <w:bCs/>
          <w:color w:val="000000" w:themeColor="text1"/>
          <w:sz w:val="44"/>
          <w:szCs w:val="44"/>
          <w:highlight w:val="none"/>
          <w14:textFill>
            <w14:solidFill>
              <w14:schemeClr w14:val="tx1"/>
            </w14:solidFill>
          </w14:textFill>
        </w:rPr>
        <w:t>月</w:t>
      </w:r>
      <w:r>
        <w:rPr>
          <w:rFonts w:hint="eastAsia" w:ascii="黑体" w:hAnsi="华文中宋" w:eastAsia="黑体"/>
          <w:bCs/>
          <w:color w:val="000000" w:themeColor="text1"/>
          <w:sz w:val="44"/>
          <w:szCs w:val="44"/>
          <w:highlight w:val="none"/>
          <w:lang w:val="en-US" w:eastAsia="zh-CN"/>
          <w14:textFill>
            <w14:solidFill>
              <w14:schemeClr w14:val="tx1"/>
            </w14:solidFill>
          </w14:textFill>
        </w:rPr>
        <w:t>二十</w:t>
      </w:r>
      <w:r>
        <w:rPr>
          <w:rFonts w:hint="eastAsia" w:ascii="黑体" w:hAnsi="华文中宋" w:eastAsia="黑体"/>
          <w:bCs/>
          <w:color w:val="000000" w:themeColor="text1"/>
          <w:sz w:val="44"/>
          <w:szCs w:val="44"/>
          <w:highlight w:val="none"/>
          <w14:textFill>
            <w14:solidFill>
              <w14:schemeClr w14:val="tx1"/>
            </w14:solidFill>
          </w14:textFill>
        </w:rPr>
        <w:t>日</w:t>
      </w:r>
    </w:p>
    <w:p>
      <w:pPr>
        <w:jc w:val="center"/>
        <w:rPr>
          <w:rFonts w:ascii="黑体" w:eastAsia="黑体"/>
          <w:bCs/>
          <w:color w:val="000000" w:themeColor="text1"/>
          <w:sz w:val="44"/>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eastAsia="黑体"/>
          <w:bCs/>
          <w:color w:val="000000" w:themeColor="text1"/>
          <w:sz w:val="48"/>
          <w14:textFill>
            <w14:solidFill>
              <w14:schemeClr w14:val="tx1"/>
            </w14:solidFill>
          </w14:textFill>
        </w:rPr>
        <w:t xml:space="preserve"> </w:t>
      </w: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hint="eastAsia" w:eastAsia="黑体"/>
          <w:bCs/>
          <w:color w:val="000000" w:themeColor="text1"/>
          <w:sz w:val="48"/>
          <w14:textFill>
            <w14:solidFill>
              <w14:schemeClr w14:val="tx1"/>
            </w14:solidFill>
          </w14:textFill>
        </w:rPr>
        <w:t>目</w:t>
      </w:r>
      <w:r>
        <w:rPr>
          <w:rStyle w:val="27"/>
          <w:rFonts w:eastAsia="黑体"/>
          <w:bCs/>
          <w:color w:val="000000" w:themeColor="text1"/>
          <w:sz w:val="48"/>
          <w14:textFill>
            <w14:solidFill>
              <w14:schemeClr w14:val="tx1"/>
            </w14:solidFill>
          </w14:textFill>
        </w:rPr>
        <w:t xml:space="preserve">     </w:t>
      </w:r>
      <w:r>
        <w:rPr>
          <w:rStyle w:val="27"/>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（5）</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19</w:t>
      </w:r>
      <w:r>
        <w:rPr>
          <w:rFonts w:hint="eastAsia" w:ascii="宋体" w:hAnsi="宋体"/>
          <w:bCs/>
          <w:color w:val="000000" w:themeColor="text1"/>
          <w:sz w:val="30"/>
          <w:szCs w:val="30"/>
          <w14:textFill>
            <w14:solidFill>
              <w14:schemeClr w14:val="tx1"/>
            </w14:solidFill>
          </w14:textFill>
        </w:rPr>
        <w:t>）</w:t>
      </w:r>
      <w:bookmarkStart w:id="6" w:name="_GoBack"/>
      <w:bookmarkEnd w:id="6"/>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21</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r>
        <w:rPr>
          <w:rFonts w:hint="eastAsia" w:ascii="宋体" w:hAnsi="宋体"/>
          <w:bCs/>
          <w:color w:val="000000" w:themeColor="text1"/>
          <w:sz w:val="30"/>
          <w:szCs w:val="30"/>
          <w:lang w:val="en-US" w:eastAsia="zh-CN"/>
          <w14:textFill>
            <w14:solidFill>
              <w14:schemeClr w14:val="tx1"/>
            </w14:solidFill>
          </w14:textFill>
        </w:rPr>
        <w:t>4</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bookmarkStart w:id="0" w:name="报价方须知前附表"/>
      <w:bookmarkEnd w:id="0"/>
    </w:p>
    <w:p>
      <w:pPr>
        <w:pStyle w:val="31"/>
      </w:pPr>
      <w:r>
        <w:br w:type="page"/>
      </w:r>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lang w:eastAsia="zh-CN"/>
        </w:rPr>
        <w:t>无锡市梁溪区教育局</w:t>
      </w:r>
      <w:r>
        <w:rPr>
          <w:rFonts w:hint="eastAsia" w:ascii="宋体" w:hAnsi="宋体"/>
          <w:bCs/>
          <w:sz w:val="24"/>
          <w:szCs w:val="24"/>
        </w:rPr>
        <w:t>的委托，对</w:t>
      </w:r>
      <w:r>
        <w:rPr>
          <w:rFonts w:hint="eastAsia" w:ascii="宋体" w:hAnsi="宋体"/>
          <w:bCs/>
          <w:sz w:val="24"/>
          <w:szCs w:val="24"/>
          <w:lang w:eastAsia="zh-CN"/>
        </w:rPr>
        <w:t>梁溪区AI智慧作业系统</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梁溪区AI智慧作业系统</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LXZC2022-026</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w:t>
      </w:r>
      <w:r>
        <w:rPr>
          <w:rFonts w:hint="eastAsia" w:ascii="宋体" w:hAnsi="宋体" w:cs="宋体"/>
          <w:kern w:val="0"/>
          <w:sz w:val="24"/>
          <w:szCs w:val="24"/>
          <w:highlight w:val="none"/>
        </w:rPr>
        <w:t>算：</w:t>
      </w:r>
      <w:r>
        <w:rPr>
          <w:rFonts w:hint="eastAsia" w:ascii="宋体" w:hAnsi="宋体" w:cs="宋体"/>
          <w:kern w:val="0"/>
          <w:sz w:val="24"/>
          <w:szCs w:val="24"/>
          <w:highlight w:val="none"/>
          <w:lang w:val="en-US" w:eastAsia="zh-CN"/>
        </w:rPr>
        <w:t>98</w:t>
      </w:r>
      <w:r>
        <w:rPr>
          <w:rFonts w:hint="eastAsia" w:ascii="宋体" w:hAnsi="宋体" w:cs="宋体"/>
          <w:kern w:val="0"/>
          <w:sz w:val="24"/>
          <w:szCs w:val="24"/>
          <w:highlight w:val="none"/>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hint="eastAsia" w:ascii="宋体" w:hAnsi="宋体" w:eastAsia="宋体"/>
          <w:bCs/>
          <w:sz w:val="24"/>
          <w:szCs w:val="24"/>
          <w:lang w:eastAsia="zh-CN"/>
        </w:rPr>
      </w:pPr>
      <w:r>
        <w:rPr>
          <w:rFonts w:hint="eastAsia" w:ascii="宋体" w:hAnsi="宋体" w:cs="宋体"/>
          <w:kern w:val="0"/>
          <w:sz w:val="24"/>
          <w:szCs w:val="24"/>
        </w:rPr>
        <w:t>5.采购人：</w:t>
      </w:r>
      <w:r>
        <w:rPr>
          <w:rFonts w:hint="eastAsia" w:asciiTheme="minorEastAsia" w:hAnsiTheme="minorEastAsia" w:cstheme="minorEastAsia"/>
          <w:sz w:val="24"/>
          <w:szCs w:val="24"/>
          <w:lang w:eastAsia="zh-CN"/>
        </w:rPr>
        <w:t>无锡市梁溪区教育局</w:t>
      </w:r>
    </w:p>
    <w:p>
      <w:pPr>
        <w:widowControl/>
        <w:shd w:val="clear" w:color="auto" w:fill="FFFFFF"/>
        <w:spacing w:line="360" w:lineRule="auto"/>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kern w:val="0"/>
          <w:sz w:val="24"/>
          <w:szCs w:val="24"/>
          <w:highlight w:val="none"/>
        </w:rPr>
        <w:t>6.本项目</w:t>
      </w:r>
      <w:r>
        <w:rPr>
          <w:rFonts w:hint="eastAsia" w:ascii="宋体" w:hAnsi="宋体" w:cs="宋体"/>
          <w:color w:val="000000" w:themeColor="text1"/>
          <w:kern w:val="0"/>
          <w:sz w:val="24"/>
          <w:szCs w:val="24"/>
          <w:highlight w:val="none"/>
          <w14:textFill>
            <w14:solidFill>
              <w14:schemeClr w14:val="tx1"/>
            </w14:solidFill>
          </w14:textFill>
        </w:rPr>
        <w:t>标的所属行业：</w:t>
      </w:r>
      <w:r>
        <w:rPr>
          <w:rFonts w:hint="eastAsia" w:ascii="宋体" w:hAnsi="宋体" w:cs="宋体"/>
          <w:color w:val="000000" w:themeColor="text1"/>
          <w:kern w:val="0"/>
          <w:sz w:val="24"/>
          <w:szCs w:val="24"/>
          <w:highlight w:val="none"/>
          <w:lang w:val="en-US" w:eastAsia="zh-CN"/>
          <w14:textFill>
            <w14:solidFill>
              <w14:schemeClr w14:val="tx1"/>
            </w14:solidFill>
          </w14:textFill>
        </w:rPr>
        <w:t>软件和信息技术服务业</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7.本项目是否专门面向中小企业：是</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pPr>
      <w:r>
        <w:rPr>
          <w:rFonts w:hint="eastAsia" w:ascii="宋体" w:hAnsi="宋体" w:cs="宋体"/>
          <w:color w:val="000000" w:themeColor="text1"/>
          <w:kern w:val="0"/>
          <w:sz w:val="24"/>
          <w:szCs w:val="24"/>
          <w14:textFill>
            <w14:solidFill>
              <w14:schemeClr w14:val="tx1"/>
            </w14:solidFill>
          </w14:textFill>
        </w:rPr>
        <w:t>（1）不接受联合体投标</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rPr>
      </w:pPr>
      <w:r>
        <w:rPr>
          <w:rFonts w:hint="eastAsia" w:ascii="宋体" w:hAnsi="宋体"/>
          <w:bCs/>
          <w:color w:val="000000"/>
          <w:sz w:val="24"/>
          <w:szCs w:val="24"/>
        </w:rPr>
        <w:t>3.如投标人未按上述要求操作，由此所产生的损失及风险由投标人自行承担。在“供应商信息库”中无法查询的投标人，由评标委员会审</w:t>
      </w:r>
      <w:r>
        <w:rPr>
          <w:rFonts w:hint="eastAsia" w:ascii="宋体" w:hAnsi="宋体" w:cs="宋体"/>
          <w:color w:val="000000"/>
          <w:kern w:val="0"/>
          <w:sz w:val="24"/>
          <w:szCs w:val="24"/>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（四）</w:t>
      </w:r>
      <w:r>
        <w:rPr>
          <w:rFonts w:hint="eastAsia" w:ascii="黑体" w:hAnsi="黑体" w:eastAsia="黑体" w:cs="宋体"/>
          <w:color w:val="000000"/>
          <w:sz w:val="24"/>
          <w:szCs w:val="24"/>
        </w:rPr>
        <w:t>完成项目报名，获取采购文件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采购人、无锡市公共资源交易中心梁溪分中心将于以下时间、地点对投标人针对采购文件书面提出的要求澄清的问题进行公开答疑。投标人如有需要对采购文件要求澄清的问题，请以书面形式提出“</w:t>
      </w:r>
      <w:r>
        <w:rPr>
          <w:rFonts w:hint="eastAsia" w:ascii="宋体" w:hAnsi="宋体"/>
          <w:bCs/>
          <w:sz w:val="24"/>
          <w:szCs w:val="24"/>
          <w:lang w:eastAsia="zh-CN"/>
        </w:rPr>
        <w:t>LXZC2022-026</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ascii="宋体"/>
          <w:bCs/>
          <w:sz w:val="24"/>
          <w:szCs w:val="24"/>
          <w:highlight w:val="none"/>
        </w:rPr>
      </w:pPr>
      <w:r>
        <w:rPr>
          <w:rFonts w:hint="eastAsia" w:ascii="宋体" w:hAnsi="宋体"/>
          <w:bCs/>
          <w:sz w:val="24"/>
          <w:szCs w:val="24"/>
        </w:rPr>
        <w:t>公开答疑会时</w:t>
      </w:r>
      <w:r>
        <w:rPr>
          <w:rFonts w:hint="eastAsia" w:ascii="宋体" w:hAnsi="宋体"/>
          <w:bCs/>
          <w:sz w:val="24"/>
          <w:szCs w:val="24"/>
          <w:highlight w:val="none"/>
        </w:rPr>
        <w:t>间：</w:t>
      </w:r>
      <w:r>
        <w:rPr>
          <w:rFonts w:ascii="宋体" w:hAnsi="宋体"/>
          <w:bCs/>
          <w:sz w:val="24"/>
          <w:szCs w:val="24"/>
          <w:highlight w:val="none"/>
        </w:rPr>
        <w:t>202</w:t>
      </w:r>
      <w:r>
        <w:rPr>
          <w:rFonts w:hint="eastAsia" w:ascii="宋体" w:hAnsi="宋体"/>
          <w:bCs/>
          <w:sz w:val="24"/>
          <w:szCs w:val="24"/>
          <w:highlight w:val="none"/>
        </w:rPr>
        <w:t>2年</w:t>
      </w:r>
      <w:r>
        <w:rPr>
          <w:rFonts w:hint="eastAsia" w:ascii="宋体" w:hAnsi="宋体"/>
          <w:bCs/>
          <w:sz w:val="24"/>
          <w:szCs w:val="24"/>
          <w:highlight w:val="none"/>
          <w:lang w:val="en-US" w:eastAsia="zh-CN"/>
        </w:rPr>
        <w:t>9</w:t>
      </w:r>
      <w:r>
        <w:rPr>
          <w:rFonts w:hint="eastAsia" w:ascii="宋体" w:hAnsi="宋体"/>
          <w:bCs/>
          <w:sz w:val="24"/>
          <w:szCs w:val="24"/>
          <w:highlight w:val="none"/>
        </w:rPr>
        <w:t>月</w:t>
      </w:r>
      <w:r>
        <w:rPr>
          <w:rFonts w:hint="eastAsia" w:ascii="宋体" w:hAnsi="宋体"/>
          <w:bCs/>
          <w:sz w:val="24"/>
          <w:szCs w:val="24"/>
          <w:highlight w:val="none"/>
          <w:lang w:val="en-US" w:eastAsia="zh-CN"/>
        </w:rPr>
        <w:t>28</w:t>
      </w:r>
      <w:r>
        <w:rPr>
          <w:rFonts w:hint="eastAsia" w:ascii="宋体" w:hAnsi="宋体"/>
          <w:bCs/>
          <w:sz w:val="24"/>
          <w:szCs w:val="24"/>
          <w:highlight w:val="none"/>
        </w:rPr>
        <w:t>日14</w:t>
      </w:r>
      <w:r>
        <w:rPr>
          <w:rFonts w:ascii="宋体" w:hAnsi="宋体"/>
          <w:bCs/>
          <w:sz w:val="24"/>
          <w:szCs w:val="24"/>
          <w:highlight w:val="none"/>
        </w:rPr>
        <w:t xml:space="preserve">: </w:t>
      </w:r>
      <w:r>
        <w:rPr>
          <w:rFonts w:hint="eastAsia" w:ascii="宋体" w:hAnsi="宋体"/>
          <w:bCs/>
          <w:sz w:val="24"/>
          <w:szCs w:val="24"/>
          <w:highlight w:val="none"/>
          <w:lang w:val="en-US" w:eastAsia="zh-CN"/>
        </w:rPr>
        <w:t>3</w:t>
      </w:r>
      <w:r>
        <w:rPr>
          <w:rFonts w:ascii="宋体" w:hAnsi="宋体"/>
          <w:bCs/>
          <w:sz w:val="24"/>
          <w:szCs w:val="24"/>
          <w:highlight w:val="none"/>
        </w:rPr>
        <w:t>0</w:t>
      </w:r>
    </w:p>
    <w:p>
      <w:pPr>
        <w:widowControl/>
        <w:shd w:val="clear" w:color="auto" w:fill="FFFFFF"/>
        <w:spacing w:line="360" w:lineRule="auto"/>
        <w:ind w:firstLine="480" w:firstLineChars="200"/>
        <w:jc w:val="left"/>
        <w:rPr>
          <w:rFonts w:ascii="黑体" w:hAnsi="黑体" w:eastAsia="黑体" w:cs="宋体"/>
          <w:kern w:val="0"/>
          <w:sz w:val="24"/>
          <w:szCs w:val="24"/>
          <w:highlight w:val="none"/>
        </w:rPr>
      </w:pPr>
      <w:r>
        <w:rPr>
          <w:rFonts w:hint="eastAsia" w:ascii="宋体" w:hAnsi="宋体"/>
          <w:bCs/>
          <w:sz w:val="24"/>
          <w:szCs w:val="24"/>
          <w:highlight w:val="none"/>
        </w:rPr>
        <w:t>公开答疑会地点：无锡市公共资源交易中心梁溪分中心开标一室（清名路</w:t>
      </w:r>
      <w:r>
        <w:rPr>
          <w:rFonts w:ascii="宋体" w:hAnsi="宋体"/>
          <w:bCs/>
          <w:sz w:val="24"/>
          <w:szCs w:val="24"/>
          <w:highlight w:val="none"/>
        </w:rPr>
        <w:t>380</w:t>
      </w:r>
      <w:r>
        <w:rPr>
          <w:rFonts w:hint="eastAsia" w:ascii="宋体" w:hAnsi="宋体"/>
          <w:bCs/>
          <w:sz w:val="24"/>
          <w:szCs w:val="24"/>
          <w:highlight w:val="none"/>
        </w:rPr>
        <w:t>号</w:t>
      </w:r>
      <w:r>
        <w:rPr>
          <w:rFonts w:ascii="宋体" w:hAnsi="宋体"/>
          <w:bCs/>
          <w:sz w:val="24"/>
          <w:szCs w:val="24"/>
          <w:highlight w:val="none"/>
        </w:rPr>
        <w:t>6</w:t>
      </w:r>
      <w:r>
        <w:rPr>
          <w:rFonts w:hint="eastAsia" w:ascii="宋体" w:hAnsi="宋体"/>
          <w:bCs/>
          <w:sz w:val="24"/>
          <w:szCs w:val="24"/>
          <w:highlight w:val="none"/>
        </w:rPr>
        <w:t>楼）</w:t>
      </w:r>
    </w:p>
    <w:p>
      <w:pPr>
        <w:widowControl/>
        <w:shd w:val="clear" w:color="auto" w:fill="FFFFFF"/>
        <w:spacing w:line="360" w:lineRule="auto"/>
        <w:ind w:firstLine="480" w:firstLineChars="200"/>
        <w:jc w:val="left"/>
        <w:rPr>
          <w:rFonts w:ascii="黑体" w:hAnsi="黑体" w:eastAsia="黑体" w:cs="宋体"/>
          <w:kern w:val="0"/>
          <w:sz w:val="24"/>
          <w:szCs w:val="24"/>
          <w:highlight w:val="none"/>
        </w:rPr>
      </w:pPr>
      <w:r>
        <w:rPr>
          <w:rFonts w:hint="eastAsia" w:ascii="黑体" w:hAnsi="黑体" w:eastAsia="黑体" w:cs="宋体"/>
          <w:kern w:val="0"/>
          <w:sz w:val="24"/>
          <w:szCs w:val="24"/>
          <w:highlight w:val="none"/>
        </w:rPr>
        <w:t>（六）</w:t>
      </w:r>
      <w:r>
        <w:rPr>
          <w:rFonts w:hint="eastAsia" w:ascii="黑体" w:hAnsi="黑体" w:eastAsia="黑体" w:cs="宋体"/>
          <w:color w:val="000000"/>
          <w:kern w:val="0"/>
          <w:sz w:val="24"/>
          <w:szCs w:val="24"/>
          <w:highlight w:val="none"/>
        </w:rPr>
        <w:t>投标及开标、定标时间、地点</w:t>
      </w:r>
      <w:r>
        <w:rPr>
          <w:rFonts w:hint="eastAsia" w:ascii="宋体" w:hAnsi="宋体" w:eastAsia="黑体" w:cs="宋体"/>
          <w:kern w:val="0"/>
          <w:sz w:val="24"/>
          <w:szCs w:val="24"/>
          <w:highlight w:val="none"/>
        </w:rPr>
        <w:t>   </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网上投标截止时间：2022年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日 14：00，投标截止时间后的投标文件恕不接受</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网上解密时间：2022年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日</w:t>
      </w:r>
      <w:r>
        <w:rPr>
          <w:rFonts w:hint="eastAsia" w:ascii="宋体" w:hAnsi="宋体" w:cs="宋体"/>
          <w:color w:val="000000" w:themeColor="text1"/>
          <w:kern w:val="0"/>
          <w:sz w:val="24"/>
          <w:szCs w:val="24"/>
          <w:highlight w:val="none"/>
          <w14:textFill>
            <w14:solidFill>
              <w14:schemeClr w14:val="tx1"/>
            </w14:solidFill>
          </w14:textFill>
        </w:rPr>
        <w:t>开启解密后半小时</w:t>
      </w:r>
    </w:p>
    <w:p>
      <w:pPr>
        <w:spacing w:line="360" w:lineRule="auto"/>
        <w:ind w:firstLine="480" w:firstLineChars="200"/>
        <w:rPr>
          <w:rFonts w:ascii="宋体"/>
          <w:bCs/>
          <w:sz w:val="24"/>
          <w:szCs w:val="24"/>
          <w:highlight w:val="none"/>
        </w:rPr>
      </w:pPr>
      <w:r>
        <w:rPr>
          <w:rFonts w:hint="eastAsia" w:ascii="宋体" w:hAnsi="宋体"/>
          <w:bCs/>
          <w:sz w:val="24"/>
          <w:szCs w:val="24"/>
          <w:highlight w:val="none"/>
        </w:rPr>
        <w:t>确定中标单位时间：评审结束</w:t>
      </w:r>
    </w:p>
    <w:p>
      <w:pPr>
        <w:spacing w:line="360" w:lineRule="auto"/>
        <w:ind w:firstLine="480" w:firstLineChars="200"/>
        <w:rPr>
          <w:rFonts w:ascii="宋体" w:hAnsi="宋体"/>
          <w:bCs/>
          <w:sz w:val="24"/>
          <w:szCs w:val="24"/>
        </w:rPr>
      </w:pPr>
      <w:r>
        <w:rPr>
          <w:rFonts w:hint="eastAsia" w:ascii="宋体" w:hAnsi="宋体"/>
          <w:bCs/>
          <w:sz w:val="24"/>
          <w:szCs w:val="24"/>
        </w:rPr>
        <w:t>确定中标单位地点：无锡市公共资源交易中心梁溪分中心</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（七）</w:t>
      </w:r>
      <w:r>
        <w:rPr>
          <w:rFonts w:hint="eastAsia" w:ascii="黑体" w:hAnsi="黑体" w:eastAsia="黑体"/>
          <w:bCs/>
          <w:color w:val="000000"/>
          <w:sz w:val="24"/>
          <w:szCs w:val="24"/>
        </w:rPr>
        <w:t>投标有效期：</w:t>
      </w:r>
      <w:r>
        <w:rPr>
          <w:rFonts w:hint="eastAsia" w:ascii="宋体" w:hAnsi="宋体"/>
          <w:bCs/>
          <w:color w:val="000000"/>
          <w:sz w:val="24"/>
          <w:szCs w:val="24"/>
        </w:rPr>
        <w:t>开标之日起</w:t>
      </w:r>
      <w:r>
        <w:rPr>
          <w:rFonts w:ascii="宋体" w:hAnsi="宋体"/>
          <w:bCs/>
          <w:color w:val="000000"/>
          <w:sz w:val="24"/>
          <w:szCs w:val="24"/>
        </w:rPr>
        <w:t>90</w:t>
      </w:r>
      <w:r>
        <w:rPr>
          <w:rFonts w:hint="eastAsia" w:ascii="宋体" w:hAnsi="宋体"/>
          <w:bCs/>
          <w:color w:val="000000"/>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themeColor="text1"/>
          <w:sz w:val="24"/>
          <w:szCs w:val="24"/>
          <w14:textFill>
            <w14:solidFill>
              <w14:schemeClr w14:val="tx1"/>
            </w14:solidFill>
          </w14:textFill>
        </w:rPr>
        <w:t>（八）</w:t>
      </w:r>
      <w:r>
        <w:rPr>
          <w:rFonts w:hint="eastAsia" w:ascii="黑体" w:hAnsi="黑体" w:eastAsia="黑体"/>
          <w:bCs/>
          <w:color w:val="000000"/>
          <w:sz w:val="24"/>
          <w:szCs w:val="24"/>
        </w:rPr>
        <w:t>采购方法：</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sz w:val="24"/>
          <w:szCs w:val="24"/>
        </w:rPr>
        <w:t>（九）</w:t>
      </w:r>
      <w:r>
        <w:rPr>
          <w:rFonts w:hint="eastAsia" w:ascii="黑体" w:hAnsi="黑体" w:eastAsia="黑体"/>
          <w:bCs/>
          <w:color w:val="000000" w:themeColor="text1"/>
          <w:sz w:val="24"/>
          <w:szCs w:val="24"/>
          <w14:textFill>
            <w14:solidFill>
              <w14:schemeClr w14:val="tx1"/>
            </w14:solidFill>
          </w14:textFill>
        </w:rPr>
        <w:t>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刘智</w:t>
      </w:r>
      <w:r>
        <w:rPr>
          <w:rFonts w:hint="eastAsia" w:ascii="宋体" w:hAnsi="宋体" w:cs="宋体"/>
          <w:color w:val="000000" w:themeColor="text1"/>
          <w:kern w:val="0"/>
          <w:sz w:val="24"/>
          <w:szCs w:val="24"/>
          <w14:textFill>
            <w14:solidFill>
              <w14:schemeClr w14:val="tx1"/>
            </w14:solidFill>
          </w14:textFill>
        </w:rPr>
        <w:t>；</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w:t>
      </w:r>
      <w:r>
        <w:rPr>
          <w:rFonts w:hint="eastAsia" w:ascii="宋体" w:hAnsi="宋体" w:cs="宋体"/>
          <w:color w:val="000000" w:themeColor="text1"/>
          <w:kern w:val="0"/>
          <w:sz w:val="24"/>
          <w:szCs w:val="24"/>
          <w:lang w:val="en-US" w:eastAsia="zh-CN"/>
          <w14:textFill>
            <w14:solidFill>
              <w14:schemeClr w14:val="tx1"/>
            </w14:solidFill>
          </w14:textFill>
        </w:rPr>
        <w:t>8802</w:t>
      </w:r>
      <w:r>
        <w:rPr>
          <w:rFonts w:hint="eastAsia" w:ascii="宋体" w:hAnsi="宋体" w:cs="宋体"/>
          <w:color w:val="000000" w:themeColor="text1"/>
          <w:kern w:val="0"/>
          <w:sz w:val="24"/>
          <w:szCs w:val="24"/>
          <w14:textFill>
            <w14:solidFill>
              <w14:schemeClr w14:val="tx1"/>
            </w14:solidFill>
          </w14:textFill>
        </w:rPr>
        <w:t>；传真：0510-85059295</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widowControl/>
        <w:jc w:val="left"/>
        <w:rPr>
          <w:rFonts w:ascii="黑体" w:eastAsia="黑体"/>
          <w:bCs/>
          <w:color w:val="000000" w:themeColor="text1"/>
          <w:sz w:val="24"/>
          <w:szCs w:val="24"/>
          <w14:textFill>
            <w14:solidFill>
              <w14:schemeClr w14:val="tx1"/>
            </w14:solidFill>
          </w14:textFill>
        </w:rPr>
      </w:pPr>
      <w:r>
        <w:rPr>
          <w:rFonts w:ascii="黑体" w:eastAsia="黑体"/>
          <w:bCs/>
          <w:color w:val="000000" w:themeColor="text1"/>
          <w:sz w:val="24"/>
          <w:szCs w:val="24"/>
          <w14:textFill>
            <w14:solidFill>
              <w14:schemeClr w14:val="tx1"/>
            </w14:solidFill>
          </w14:textFill>
        </w:rPr>
        <w:br w:type="page"/>
      </w: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投标人应在无锡市政府采购交易管理系统（http://58.215.18.247:9003/zfcg_supplier_wx/login?bs=5）下载招标文件及有关资料，按要求制作、上传投标文件，对招标文件各项内容做出实质性响应，否则投标无效。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1"/>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1"/>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宋体"/>
          <w:bCs/>
          <w:color w:val="000000"/>
          <w:sz w:val="24"/>
          <w:szCs w:val="24"/>
        </w:rPr>
      </w:pPr>
      <w:r>
        <w:rPr>
          <w:rFonts w:hint="eastAsia" w:ascii="宋体" w:hAnsi="宋体"/>
          <w:bCs/>
          <w:color w:val="000000"/>
          <w:sz w:val="24"/>
          <w:szCs w:val="24"/>
        </w:rPr>
        <w:t>投标人连续六个月(至少包含近六个月中任意一个月份(不含投标当月))为其法定代表人授权代表缴纳社保的证明（由相关主管部门出具，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中小企业声明函（</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s>
        <w:spacing w:line="360" w:lineRule="auto"/>
        <w:ind w:left="0" w:firstLine="523" w:firstLineChars="218"/>
        <w:rPr>
          <w:rFonts w:ascii="宋体" w:hAnsi="宋体"/>
          <w:b/>
          <w:color w:val="000000"/>
          <w:sz w:val="24"/>
          <w:szCs w:val="24"/>
        </w:rPr>
      </w:pPr>
      <w:r>
        <w:rPr>
          <w:rFonts w:hint="eastAsia" w:ascii="宋体" w:hAnsi="宋体"/>
          <w:bCs/>
          <w:color w:val="000000"/>
          <w:sz w:val="24"/>
          <w:szCs w:val="24"/>
        </w:rPr>
        <w:t>采购人要求的特定资质证明</w:t>
      </w:r>
      <w:r>
        <w:rPr>
          <w:rFonts w:hint="eastAsia" w:ascii="宋体" w:hAnsi="宋体"/>
          <w:b/>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项目人员配置表（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上述1-5项投标人必须按要求全部提供，否则投标文件无效。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29"/>
          <w:rFonts w:hint="eastAsia" w:ascii="宋体" w:hAnsi="宋体"/>
          <w:color w:val="000000"/>
          <w:sz w:val="24"/>
          <w:szCs w:val="24"/>
        </w:rPr>
        <w:t>www.creditchina.gov.cn</w:t>
      </w:r>
      <w:r>
        <w:rPr>
          <w:rStyle w:val="29"/>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29"/>
          <w:rFonts w:hint="eastAsia" w:ascii="宋体" w:hAnsi="宋体"/>
          <w:bCs/>
          <w:color w:val="000000"/>
          <w:sz w:val="24"/>
          <w:szCs w:val="24"/>
        </w:rPr>
        <w:t>政府采购供应商质疑函范本</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numPr>
          <w:ilvl w:val="0"/>
          <w:numId w:val="15"/>
        </w:numPr>
        <w:tabs>
          <w:tab w:val="left" w:pos="525"/>
          <w:tab w:val="left" w:pos="945"/>
          <w:tab w:val="left" w:pos="1050"/>
          <w:tab w:val="clear" w:pos="552"/>
        </w:tabs>
        <w:spacing w:line="360" w:lineRule="auto"/>
        <w:ind w:left="0" w:firstLine="52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中标供应商向采购人缴纳的履约保证金不超过政府采购合同金额的10%。</w:t>
      </w:r>
      <w:r>
        <w:rPr>
          <w:rFonts w:hint="eastAsia" w:ascii="宋体" w:hAnsi="宋体"/>
          <w:bCs/>
          <w:color w:val="000000" w:themeColor="text1"/>
          <w:sz w:val="24"/>
          <w14:textFill>
            <w14:solidFill>
              <w14:schemeClr w14:val="tx1"/>
            </w14:solidFill>
          </w14:textFill>
        </w:rPr>
        <w:t>收取履约保证金的，采购人应当</w:t>
      </w:r>
      <w:r>
        <w:rPr>
          <w:rFonts w:hint="eastAsia" w:ascii="宋体"/>
          <w:bCs/>
          <w:color w:val="000000" w:themeColor="text1"/>
          <w:sz w:val="24"/>
          <w14:textFill>
            <w14:solidFill>
              <w14:schemeClr w14:val="tx1"/>
            </w14:solidFill>
          </w14:textFill>
        </w:rPr>
        <w:t>允许</w:t>
      </w:r>
      <w:r>
        <w:rPr>
          <w:rFonts w:ascii="宋体"/>
          <w:bCs/>
          <w:color w:val="000000" w:themeColor="text1"/>
          <w:sz w:val="24"/>
          <w:szCs w:val="24"/>
          <w14:textFill>
            <w14:solidFill>
              <w14:schemeClr w14:val="tx1"/>
            </w14:solidFill>
          </w14:textFill>
        </w:rPr>
        <w:t>供应商自主选择以支票、 汇票、 本票、 保函等非现金形式缴纳或提交，</w:t>
      </w:r>
      <w:r>
        <w:rPr>
          <w:rFonts w:hint="eastAsia" w:ascii="宋体"/>
          <w:bCs/>
          <w:color w:val="000000" w:themeColor="text1"/>
          <w:sz w:val="24"/>
          <w:szCs w:val="24"/>
          <w14:textFill>
            <w14:solidFill>
              <w14:schemeClr w14:val="tx1"/>
            </w14:solidFill>
          </w14:textFill>
        </w:rPr>
        <w:t>并</w:t>
      </w:r>
      <w:r>
        <w:rPr>
          <w:rFonts w:hint="eastAsia" w:ascii="宋体" w:hAnsi="宋体"/>
          <w:bCs/>
          <w:color w:val="000000" w:themeColor="text1"/>
          <w:sz w:val="24"/>
          <w14:textFill>
            <w14:solidFill>
              <w14:schemeClr w14:val="tx1"/>
            </w14:solidFill>
          </w14:textFill>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ascii="黑体" w:eastAsia="黑体"/>
          <w:bCs/>
          <w:color w:val="000000" w:themeColor="text1"/>
          <w:sz w:val="30"/>
          <w:szCs w:val="30"/>
          <w14:textFill>
            <w14:solidFill>
              <w14:schemeClr w14:val="tx1"/>
            </w14:solidFill>
          </w14:textFill>
        </w:rPr>
      </w:pPr>
      <w:r>
        <w:rPr>
          <w:rFonts w:hint="eastAsia" w:ascii="黑体" w:eastAsia="黑体"/>
          <w:bCs/>
          <w:color w:val="000000" w:themeColor="text1"/>
          <w:sz w:val="30"/>
          <w:szCs w:val="30"/>
          <w14:textFill>
            <w14:solidFill>
              <w14:schemeClr w14:val="tx1"/>
            </w14:solidFill>
          </w14:textFill>
        </w:rPr>
        <w:t>三．</w:t>
      </w:r>
      <w:r>
        <w:rPr>
          <w:rFonts w:hint="eastAsia" w:ascii="黑体" w:eastAsia="黑体"/>
          <w:b/>
          <w:color w:val="000000" w:themeColor="text1"/>
          <w:sz w:val="30"/>
          <w:szCs w:val="30"/>
          <w14:textFill>
            <w14:solidFill>
              <w14:schemeClr w14:val="tx1"/>
            </w14:solidFill>
          </w14:textFill>
        </w:rPr>
        <w:t>项目技术要求和有关说明</w:t>
      </w:r>
    </w:p>
    <w:p>
      <w:pPr>
        <w:pStyle w:val="2"/>
        <w:spacing w:line="360" w:lineRule="auto"/>
        <w:ind w:firstLine="480" w:firstLineChars="200"/>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梁溪区AI智慧作业系统</w:t>
      </w:r>
      <w:r>
        <w:rPr>
          <w:rFonts w:hint="eastAsia" w:ascii="宋体" w:hAnsi="宋体"/>
          <w:sz w:val="24"/>
          <w:szCs w:val="24"/>
        </w:rPr>
        <w:t>。项目具体要求如下，投标人所投内容必须满足以下要求，不得有负偏离。</w:t>
      </w:r>
    </w:p>
    <w:p>
      <w:pPr>
        <w:pStyle w:val="2"/>
        <w:spacing w:line="360" w:lineRule="auto"/>
        <w:rPr>
          <w:rFonts w:hint="eastAsia" w:ascii="宋体" w:hAnsi="宋体" w:eastAsia="宋体"/>
          <w:b/>
          <w:kern w:val="1"/>
          <w:sz w:val="24"/>
          <w:szCs w:val="24"/>
        </w:rPr>
      </w:pPr>
      <w:r>
        <w:rPr>
          <w:rFonts w:hint="eastAsia" w:ascii="黑体" w:eastAsia="黑体"/>
          <w:color w:val="000000"/>
          <w:sz w:val="24"/>
          <w:szCs w:val="24"/>
        </w:rPr>
        <w:t>（一）项目技术要求：</w:t>
      </w:r>
    </w:p>
    <w:p>
      <w:pPr>
        <w:spacing w:after="5" w:line="360" w:lineRule="auto"/>
        <w:ind w:firstLine="480" w:firstLineChars="200"/>
        <w:rPr>
          <w:rFonts w:ascii="宋体" w:hAnsi="宋体"/>
          <w:sz w:val="28"/>
          <w:szCs w:val="28"/>
        </w:rPr>
      </w:pPr>
      <w:r>
        <w:rPr>
          <w:rFonts w:hint="eastAsia" w:ascii="黑体" w:hAnsi="黑体" w:eastAsia="黑体"/>
          <w:color w:val="auto"/>
          <w:kern w:val="0"/>
          <w:sz w:val="24"/>
          <w:highlight w:val="none"/>
        </w:rPr>
        <w:t>服务期：2年</w:t>
      </w:r>
    </w:p>
    <w:p>
      <w:pPr>
        <w:pStyle w:val="2"/>
        <w:spacing w:line="360" w:lineRule="auto"/>
        <w:rPr>
          <w:rFonts w:ascii="黑体" w:hAnsi="黑体" w:eastAsia="黑体"/>
          <w:color w:val="auto"/>
          <w:kern w:val="0"/>
          <w:sz w:val="24"/>
          <w:highlight w:val="none"/>
        </w:rPr>
      </w:pPr>
      <w:r>
        <w:rPr>
          <w:rFonts w:hint="eastAsia" w:ascii="黑体" w:hAnsi="黑体" w:eastAsia="黑体"/>
          <w:color w:val="auto"/>
          <w:kern w:val="0"/>
          <w:sz w:val="24"/>
          <w:highlight w:val="none"/>
        </w:rPr>
        <w:t>1、采购清单</w:t>
      </w:r>
    </w:p>
    <w:tbl>
      <w:tblPr>
        <w:tblStyle w:val="23"/>
        <w:tblW w:w="0" w:type="auto"/>
        <w:tblInd w:w="0" w:type="dxa"/>
        <w:tblLayout w:type="fixed"/>
        <w:tblCellMar>
          <w:top w:w="0" w:type="dxa"/>
          <w:left w:w="108" w:type="dxa"/>
          <w:bottom w:w="0" w:type="dxa"/>
          <w:right w:w="108" w:type="dxa"/>
        </w:tblCellMar>
      </w:tblPr>
      <w:tblGrid>
        <w:gridCol w:w="1884"/>
        <w:gridCol w:w="3242"/>
        <w:gridCol w:w="2335"/>
        <w:gridCol w:w="2100"/>
      </w:tblGrid>
      <w:tr>
        <w:tblPrEx>
          <w:tblCellMar>
            <w:top w:w="0" w:type="dxa"/>
            <w:left w:w="108" w:type="dxa"/>
            <w:bottom w:w="0" w:type="dxa"/>
            <w:right w:w="108" w:type="dxa"/>
          </w:tblCellMar>
        </w:tblPrEx>
        <w:trPr>
          <w:trHeight w:val="382" w:hRule="atLeast"/>
        </w:trPr>
        <w:tc>
          <w:tcPr>
            <w:tcW w:w="18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24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产品名称</w:t>
            </w:r>
          </w:p>
        </w:tc>
        <w:tc>
          <w:tcPr>
            <w:tcW w:w="2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tblPrEx>
          <w:tblCellMar>
            <w:top w:w="0" w:type="dxa"/>
            <w:left w:w="108" w:type="dxa"/>
            <w:bottom w:w="0" w:type="dxa"/>
            <w:right w:w="108" w:type="dxa"/>
          </w:tblCellMar>
        </w:tblPrEx>
        <w:trPr>
          <w:trHeight w:val="382" w:hRule="atLeast"/>
        </w:trPr>
        <w:tc>
          <w:tcPr>
            <w:tcW w:w="18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24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学业大数据平台</w:t>
            </w:r>
          </w:p>
        </w:tc>
        <w:tc>
          <w:tcPr>
            <w:tcW w:w="2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套/年</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r>
      <w:tr>
        <w:tblPrEx>
          <w:tblCellMar>
            <w:top w:w="0" w:type="dxa"/>
            <w:left w:w="108" w:type="dxa"/>
            <w:bottom w:w="0" w:type="dxa"/>
            <w:right w:w="108" w:type="dxa"/>
          </w:tblCellMar>
        </w:tblPrEx>
        <w:trPr>
          <w:trHeight w:val="382" w:hRule="atLeast"/>
        </w:trPr>
        <w:tc>
          <w:tcPr>
            <w:tcW w:w="18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24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区域/校本系统</w:t>
            </w:r>
          </w:p>
        </w:tc>
        <w:tc>
          <w:tcPr>
            <w:tcW w:w="2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套/年</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r>
      <w:tr>
        <w:tblPrEx>
          <w:tblCellMar>
            <w:top w:w="0" w:type="dxa"/>
            <w:left w:w="108" w:type="dxa"/>
            <w:bottom w:w="0" w:type="dxa"/>
            <w:right w:w="108" w:type="dxa"/>
          </w:tblCellMar>
        </w:tblPrEx>
        <w:trPr>
          <w:trHeight w:val="382" w:hRule="atLeast"/>
        </w:trPr>
        <w:tc>
          <w:tcPr>
            <w:tcW w:w="18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24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高质量作业系统</w:t>
            </w:r>
          </w:p>
        </w:tc>
        <w:tc>
          <w:tcPr>
            <w:tcW w:w="2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套/校/年</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r>
      <w:tr>
        <w:tblPrEx>
          <w:tblCellMar>
            <w:top w:w="0" w:type="dxa"/>
            <w:left w:w="108" w:type="dxa"/>
            <w:bottom w:w="0" w:type="dxa"/>
            <w:right w:w="108" w:type="dxa"/>
          </w:tblCellMar>
        </w:tblPrEx>
        <w:trPr>
          <w:trHeight w:val="382" w:hRule="atLeast"/>
        </w:trPr>
        <w:tc>
          <w:tcPr>
            <w:tcW w:w="18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324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教辅电子化服务</w:t>
            </w:r>
          </w:p>
        </w:tc>
        <w:tc>
          <w:tcPr>
            <w:tcW w:w="2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册</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24</w:t>
            </w:r>
          </w:p>
        </w:tc>
      </w:tr>
      <w:tr>
        <w:tblPrEx>
          <w:tblCellMar>
            <w:top w:w="0" w:type="dxa"/>
            <w:left w:w="108" w:type="dxa"/>
            <w:bottom w:w="0" w:type="dxa"/>
            <w:right w:w="108" w:type="dxa"/>
          </w:tblCellMar>
        </w:tblPrEx>
        <w:trPr>
          <w:trHeight w:val="382" w:hRule="atLeast"/>
        </w:trPr>
        <w:tc>
          <w:tcPr>
            <w:tcW w:w="18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324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初三个性化学习服务</w:t>
            </w:r>
          </w:p>
        </w:tc>
        <w:tc>
          <w:tcPr>
            <w:tcW w:w="2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套/校/年</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CellMar>
            <w:top w:w="0" w:type="dxa"/>
            <w:left w:w="108" w:type="dxa"/>
            <w:bottom w:w="0" w:type="dxa"/>
            <w:right w:w="108" w:type="dxa"/>
          </w:tblCellMar>
        </w:tblPrEx>
        <w:trPr>
          <w:trHeight w:val="382" w:hRule="atLeast"/>
        </w:trPr>
        <w:tc>
          <w:tcPr>
            <w:tcW w:w="18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3242"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AI智能全批服务</w:t>
            </w:r>
          </w:p>
        </w:tc>
        <w:tc>
          <w:tcPr>
            <w:tcW w:w="2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项/年</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r>
    </w:tbl>
    <w:p>
      <w:pPr>
        <w:pStyle w:val="2"/>
        <w:spacing w:line="360" w:lineRule="auto"/>
        <w:rPr>
          <w:rFonts w:ascii="黑体" w:hAnsi="黑体" w:eastAsia="黑体"/>
          <w:color w:val="auto"/>
          <w:kern w:val="0"/>
          <w:sz w:val="24"/>
          <w:highlight w:val="none"/>
        </w:rPr>
      </w:pPr>
      <w:r>
        <w:rPr>
          <w:rFonts w:hint="eastAsia" w:ascii="黑体" w:hAnsi="黑体" w:eastAsia="黑体"/>
          <w:color w:val="auto"/>
          <w:kern w:val="0"/>
          <w:sz w:val="24"/>
          <w:highlight w:val="none"/>
        </w:rPr>
        <w:t>2、技术要求</w:t>
      </w:r>
    </w:p>
    <w:tbl>
      <w:tblPr>
        <w:tblStyle w:val="23"/>
        <w:tblW w:w="9302" w:type="dxa"/>
        <w:tblInd w:w="0" w:type="dxa"/>
        <w:tblLayout w:type="fixed"/>
        <w:tblCellMar>
          <w:top w:w="0" w:type="dxa"/>
          <w:left w:w="108" w:type="dxa"/>
          <w:bottom w:w="0" w:type="dxa"/>
          <w:right w:w="108" w:type="dxa"/>
        </w:tblCellMar>
      </w:tblPr>
      <w:tblGrid>
        <w:gridCol w:w="1384"/>
        <w:gridCol w:w="1418"/>
        <w:gridCol w:w="4394"/>
        <w:gridCol w:w="850"/>
        <w:gridCol w:w="1256"/>
      </w:tblGrid>
      <w:tr>
        <w:tblPrEx>
          <w:tblCellMar>
            <w:top w:w="0" w:type="dxa"/>
            <w:left w:w="108" w:type="dxa"/>
            <w:bottom w:w="0" w:type="dxa"/>
            <w:right w:w="108" w:type="dxa"/>
          </w:tblCellMar>
        </w:tblPrEx>
        <w:trPr>
          <w:trHeight w:val="420" w:hRule="atLeast"/>
        </w:trPr>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系统</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模块</w:t>
            </w:r>
          </w:p>
        </w:tc>
        <w:tc>
          <w:tcPr>
            <w:tcW w:w="43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r>
      <w:tr>
        <w:tblPrEx>
          <w:tblCellMar>
            <w:top w:w="0" w:type="dxa"/>
            <w:left w:w="108" w:type="dxa"/>
            <w:bottom w:w="0" w:type="dxa"/>
            <w:right w:w="108" w:type="dxa"/>
          </w:tblCellMar>
        </w:tblPrEx>
        <w:trPr>
          <w:trHeight w:val="2100"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学业大数据平台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作业监督管理</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一、校端高质量作业使用管理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1、支持查看各年级使用的科目数，教师人数、累计使用次数，覆盖学生人次。</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2、支持按月查看教师使用次数和学生使用人次曲线图。</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二、局端高质量作业过程管理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1、支持查看本区入住学校数、班级数、老师数和学生数。</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2、支持查看本区每个学校教师人数、作业总布置数、批改率、讲评率。</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3、支持查看本区每个学生学生人数、作业提交率、争取率、订正率。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套/年</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r>
      <w:tr>
        <w:tblPrEx>
          <w:tblCellMar>
            <w:top w:w="0" w:type="dxa"/>
            <w:left w:w="108" w:type="dxa"/>
            <w:bottom w:w="0" w:type="dxa"/>
            <w:right w:w="108" w:type="dxa"/>
          </w:tblCellMar>
        </w:tblPrEx>
        <w:trPr>
          <w:trHeight w:val="278"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学情分析监控</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0"/>
                <w:numId w:val="17"/>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校端学情监控</w:t>
            </w:r>
          </w:p>
          <w:p>
            <w:pPr>
              <w:widowControl/>
              <w:numPr>
                <w:ilvl w:val="0"/>
                <w:numId w:val="17"/>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1、支持查看全校作业提交率、批改率、正确率、讲评率和订正率统计。</w:t>
            </w:r>
          </w:p>
          <w:p>
            <w:pPr>
              <w:widowControl/>
              <w:numPr>
                <w:ilvl w:val="0"/>
                <w:numId w:val="17"/>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2、支持按年级查看作业提交率、批改率、正确率、讲评率和订正率对比分析。</w:t>
            </w:r>
          </w:p>
          <w:p>
            <w:pPr>
              <w:widowControl/>
              <w:numPr>
                <w:ilvl w:val="0"/>
                <w:numId w:val="17"/>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3、支持按年级查看学生题量及正确率分析对比。</w:t>
            </w:r>
          </w:p>
          <w:p>
            <w:pPr>
              <w:widowControl/>
              <w:numPr>
                <w:ilvl w:val="0"/>
                <w:numId w:val="17"/>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4、▲支持查看每个班级的教学进度及已经完成的练习册章节答题正确率，对异常数据给出预警提示。</w:t>
            </w:r>
          </w:p>
          <w:p>
            <w:pPr>
              <w:widowControl/>
              <w:numPr>
                <w:ilvl w:val="0"/>
                <w:numId w:val="17"/>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二、局端学情监控</w:t>
            </w:r>
          </w:p>
          <w:p>
            <w:pPr>
              <w:widowControl/>
              <w:numPr>
                <w:ilvl w:val="0"/>
                <w:numId w:val="17"/>
              </w:num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1、▲支持按章节和知识点两个维度查看每个学校的教学进度，以不同的颜色显示不同章节或知识点的教学状态，状态包括不限于已掌握、待强化、未掌握、未讲解等。</w:t>
            </w:r>
          </w:p>
          <w:p>
            <w:pPr>
              <w:widowControl/>
              <w:numPr>
                <w:ilvl w:val="0"/>
                <w:numId w:val="0"/>
              </w:numPr>
              <w:jc w:val="left"/>
              <w:rPr>
                <w:rFonts w:ascii="宋体" w:hAnsi="宋体" w:cs="宋体"/>
                <w:color w:val="auto"/>
                <w:kern w:val="0"/>
                <w:szCs w:val="21"/>
                <w:highlight w:val="none"/>
              </w:rPr>
            </w:pPr>
            <w:r>
              <w:rPr>
                <w:rFonts w:hint="eastAsia" w:ascii="宋体" w:hAnsi="宋体" w:cs="宋体"/>
                <w:color w:val="auto"/>
                <w:kern w:val="0"/>
                <w:szCs w:val="21"/>
                <w:highlight w:val="none"/>
              </w:rPr>
              <w:t>2、支持按章节和知识点两个维度查看不同每个章节或知识点的正确率对比，对异常数据给出预警提示。</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200"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区域/校本系统</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题库资源</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1、需支持按照同步教学章节和知识点多维度查找试题。试题标签包括不限于学段、学科、版本、章节、题型、难度、知识点、学科素养、能力、年份、来源、省份、真题次数、更新时间等标签。</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2、题库的难度程度包括不限于全部、容易、较易、一般、较难、困难等；题类标签包括不限于全部、典型题、创新题、易错题、压轴题。</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3、▲</w:t>
            </w:r>
            <w:r>
              <w:rPr>
                <w:rFonts w:hint="eastAsia" w:ascii="宋体" w:hAnsi="宋体" w:cs="宋体"/>
                <w:color w:val="auto"/>
                <w:kern w:val="0"/>
                <w:szCs w:val="21"/>
                <w:highlight w:val="none"/>
              </w:rPr>
              <w:t>试题的能力、学科素养、思想方法标签根据不同的学科不同。如小学数学的能力标签包括不限于全部、运算能力、几何直观能力、空间思维能力、逻辑推理能力、数据分析能力；学科素养标签包括不限于全部、数感、量感、空间意识、数据意识、推理意识、运算能力、符号意识、几何直观、模型意识。</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4、试题来源包括不限于小学-期中、期末、月考、自主招生、竞赛试题、会考、单元测试、小升初真题、同步练习、小升初模拟、假期作业、开学考试、联考、周测、其它；初中-中考真题、中考模拟、期中、期末、月考、自主招生、竞赛试题、会考、单元测试、同步练习、假期作业、学业考试、开学考试、联考、周测、其它；高中-期中、期末、月考、自主招生、竞赛试题、会考、单元测试、同步练习、高考真题、高考模拟、假期作业、学业考试、开学考试、联考、周测、其它。</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需提供覆盖小学语数英、初中语数英理化、高中语数英理化的典型试题讲解微课，数量不少于50万</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支持通过OCR技术智能识别教师通过手机拍照的纸质试题或手写试题，识别后需转变成结构化的电子试题而非图片。</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套/年</w:t>
            </w:r>
          </w:p>
        </w:tc>
        <w:tc>
          <w:tcPr>
            <w:tcW w:w="125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r>
      <w:tr>
        <w:tblPrEx>
          <w:tblCellMar>
            <w:top w:w="0" w:type="dxa"/>
            <w:left w:w="108" w:type="dxa"/>
            <w:bottom w:w="0" w:type="dxa"/>
            <w:right w:w="108" w:type="dxa"/>
          </w:tblCellMar>
        </w:tblPrEx>
        <w:trPr>
          <w:trHeight w:val="150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区本/校本资源沉淀</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一、校本资源沉淀</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1、支持查看校本教辅、 校本卷库、校本题库的建设总量；</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2、支持按月查看被使用次数、错题数和总题量。</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二、区域资源沉淀</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1、支持查看区本题库总数、区本教辅总数、区本卷库总数、视频微课总数，以及每月新增百分百；</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2、支持查看全区top3的学校列表，查看每所学校的资源总数和本新增数。</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39"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高质量作业系统</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作业布置</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1、支持教师基于校本练习、精品题库、错题库等布置作业；</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2、▲支持老师通过手机快速发布体育、美术、音乐等五育作业；支持设置作业发布频次，包括不限于一次、每天、每周周一至周五、每周周六日；学生完成体育作业需支持1分钟跳绳智能计数功能。</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3、支持系统根据教师从题库中所选的题目题型自动生成答题卡模板。</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4、支持教师在线编辑答题卡，设置答题卡上主观题的答题区域大小，调整答题卡中图形的位置和大小；支持设置作答方式是填涂还是手写作答；支持设置批改框是显示还是不显示；生成答题卡时支持显示题干和不显示题干两种方式；支持设置二维码/填涂学号/手写学号版式等模式。</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5、支持在答题卡中自定义其他内容，包括不限于评语、评级、日期、家长签字、作业用时、订正标签等。</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6、▲支持分层作业的布置，针对不同层级的学生群体布置不同的作业练习。支持系统根据学生历次成绩自动对学生进行分层，但老师可以手动调整层数和每层的学生名单。</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7、▲老师选择试题后，支持系统对作业内容进行自动评估，评估维度包括不限于目标一致性、科目科学性、结果合理性、时长合理性、难点合理性、题目多样性等，评估结果需支持以雷达图和柱状图等形态进行直观反馈，针对异常维度进行提示，并给出精准调整建议并推荐合适的题目。</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套/校/年</w:t>
            </w:r>
          </w:p>
        </w:tc>
        <w:tc>
          <w:tcPr>
            <w:tcW w:w="125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r>
      <w:tr>
        <w:tblPrEx>
          <w:tblCellMar>
            <w:top w:w="0" w:type="dxa"/>
            <w:left w:w="108" w:type="dxa"/>
            <w:bottom w:w="0" w:type="dxa"/>
            <w:right w:w="108" w:type="dxa"/>
          </w:tblCellMar>
        </w:tblPrEx>
        <w:trPr>
          <w:trHeight w:val="924"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作业采集</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需同时支持高速扫描仪快速扫描答题卡，高拍仪直接拍照教辅原册和手机整页拍照学生作业三种方式采集学生作答数据和老师批阅数据，且数据需汇聚到同一个平台，如三种方式采集的学生错题需统一汇聚到该学生的错题本，学情能统一汇聚到班级学情和学生个体学情中。</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高速扫描仪扫描后需支持自动识别答题卡上手写的学号、作业用时和订正状态等，并进行采集与统计分析。</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支持学生普通作业纸上作业通过高速扫仪进行数据采集 ，支持先扫后阅，也支持先阅后扫。</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ascii="宋体" w:hAnsi="宋体" w:cs="宋体"/>
                <w:color w:val="auto"/>
                <w:kern w:val="0"/>
                <w:szCs w:val="21"/>
                <w:highlight w:val="none"/>
              </w:rPr>
              <w:t>、高扫仪支持答题卡作答数据的上传，同时支持针对答题卡折损，二维码无法识别、学生作答痕迹太浅，填涂学号重复、未填涂学号等异常情况处理，同时在高扫仪模式下支持通过扫描自动创建作业，提高教师操作效率。</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高拍仪拍照采集数据时，需支持二维码和RFID两种方式智能识别学生信息；需支持系统自动拍照教辅，并根据教辅内容特征，智能识别当前章节和页码。</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1462"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作业批改</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1、▲先扫后阅模式下，支持系统自动批改或老师在线批改后，能直接在原答题卡答题对应位置上打印批阅结果和痕迹，批阅结果包括不限于对钩、差、半对、划线、圈选等；打印留痕结果时支持系统自动根据整份作业的正确率/得分率评判作业等级，也支持老师自定义印章图形和评语，能连同批阅结果一起打印在原作业上；支持留痕时展示批改日期，支持针对赋分的作业留痕分数，针对错题的作答设置订正区域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支持系统对小学数学的主观题实现智能批改，包括不限于判断对错、自动圈画错误步骤和错误答案，并能智能分析和显示学生的错误原因。支持基于学生的原教辅练习册、系统生成打印的试卷或答题卡，通过手机整页拍照答题数据，OCR智能识别并自动批阅，自动呈现学情报告。</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xml:space="preserve">3、支持学生使用纸笔作答、教师纸笔批阅，客观题部分系统自动批改；主观题不改变教师原有的批阅习惯，可以选择手写分数、勾叉、在分值栏上打分等多种赋分方式；客观题由系统自动识别分数，答题卡留有教师批阅痕迹。 </w:t>
            </w:r>
          </w:p>
          <w:p>
            <w:pPr>
              <w:widowControl/>
              <w:jc w:val="left"/>
              <w:rPr>
                <w:rFonts w:hint="eastAsia"/>
                <w:color w:val="auto"/>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、支持对学生做答内容问题，如模糊、涂改、干扰、变形等笔迹问题进行智能识别处理。</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84"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作业讲评</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1、▲支持老师通过教室大屏客户端直接调取作业结果在全屏模式下讲解，讲评时支持按题的正确率升序和降序进行筛选，讲解时支持画笔批注讲解。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2、支持查看每道题正确、错误、半对人数及名单。</w:t>
            </w:r>
          </w:p>
          <w:p>
            <w:pPr>
              <w:pStyle w:val="2"/>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3、▲支持教师通过手机微信扫码上传图片，大屏端无需安装微信，也不需要安装任何插件、投屏软件等。支持一次上传一张或多种图片，并进行对比批注讲解；支持对上传的图片进行优化处理，对上传的任意试题类图片进行智能批改，并自动匹配答案和解析</w:t>
            </w:r>
            <w:r>
              <w:rPr>
                <w:rFonts w:hint="eastAsia" w:ascii="宋体" w:hAnsi="宋体" w:eastAsia="宋体" w:cs="宋体"/>
                <w:bCs/>
                <w:color w:val="auto"/>
                <w:kern w:val="0"/>
                <w:sz w:val="21"/>
                <w:szCs w:val="21"/>
                <w:highlight w:val="none"/>
              </w:rPr>
              <w:t>。</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875"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学情分析</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1、任务概览</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（1）支持按班级查看单次作业的平均分、最高分、最低分、平均正确率、提交及批改进度、订正进度等。</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（2）支持查看学生等级分布，包括不限于各等级人数、占比及详情，老师可随时关注学生分布及分层。</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（3）支持查看各模块等级分布对比，包括不限于作业选择题、填空题的学员作答对比，便于老师发现找出班级薄弱题型。</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（4）支持查看单题班级作答正确率及年级正确率，此外还可以查看作答详情及学生作答截图，老师可快速找出班级共性错题。</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（5）支持查看学科老师任教的班级间的正确率及等级分布对比，了解班级的学业水平。</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（6）支持查看每个学生的题组或题型作答情况，便于老师更精准的辅导学生。</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（7）支持查看每个学生每个题目的作答情况，为老师面批提供数据支持。                                                                                                                        </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2、班级学情                                                                                                                                                                                                                                   </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（1）支持按时段查看作业任务总数，班级完成率、班级正确率/得分率、人均题量。</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（2）支持查看所选阶段内多次任务的学生等级分布，包括人数、占比及详情，同时可下钻查看学生各次作业任务结果及趋势，老师可随时关注学生发展。</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（3）支持查看所选时段内多次作业任务的正确率及趋势，支持老师阶段性定位班级薄弱章节及知识点。</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（4）支持按校本练习册章节维度展示班级各章节人均题量、正确率与年级数据对比，便于老师定位本班问题。</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（5）支持查看各段分布人数分布，如班级正确率90%—100%的人有多少，老师可以更针对性进行班级及个人进行辅导。</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（6）支持查看每个学生多次任务的平均等级，题目的作答情况、数量及错题量。                                                                                                               </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3、年级学情                                                                                                                                                                                                                                      </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（1）支持教学管理者查看所选时段的各班各学科发布作业任务总数，方便作业监管。</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（2）支持查看各校本练习册各班使用进度，间接可了解各班教学进度，支持下钻查看各章节作答情况。</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（3）支持教学管理者查看各学科各班各周发布任务的趋势，方便作业监管。</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（4）支持教学管理者查看各学科各班在所选时段的综合表现，如发布作业情况、作业完成率、正确率、人均题量，通过多班对比快速定位需要关注班级。</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（5）支持查看所选时段内各学科各班多次任务的正确率趋势对比，可快速发现年级需关注班级及年级表现薄弱的章节。</w:t>
            </w:r>
          </w:p>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（6）支持查看各章节多班各等级对比，可快速发现学生等级分布不均衡的班级。</w:t>
            </w:r>
          </w:p>
          <w:p>
            <w:pPr>
              <w:widowControl/>
              <w:jc w:val="left"/>
              <w:rPr>
                <w:rFonts w:ascii="宋体" w:hAnsi="宋体" w:cs="宋体"/>
                <w:color w:val="auto"/>
                <w:kern w:val="0"/>
                <w:szCs w:val="21"/>
                <w:highlight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841"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个性化复习</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1、学生作业、周测后的学生错题自动汇总到错题本。</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2、支持错题的重新组卷，支持为每位学生定制个性化错题本。</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3、错题支持按照班级、时间（固定周期/自定义周期）、正确率（固定区间、自定义区间）、得分率（固定区间、自定义区间）、题型进行错题筛选。</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4、错题支持按照校本练习册、校本试卷、个人试卷进行分类筛选</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5、每道错题支持查看历史的答错次数、班级正确率以及年级正确率</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6、提供家长端错题应用APP，可支持查看学生作业学情分析，支持查看学生线上错题本。</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7、▲支持为每个学生的个性化作业生成答题卡，学生</w:t>
            </w:r>
            <w:r>
              <w:rPr>
                <w:rFonts w:hint="eastAsia" w:ascii="宋体" w:hAnsi="宋体" w:cs="宋体"/>
                <w:color w:val="auto"/>
                <w:kern w:val="0"/>
                <w:szCs w:val="21"/>
                <w:highlight w:val="none"/>
              </w:rPr>
              <w:t>纸笔作答</w:t>
            </w:r>
            <w:r>
              <w:rPr>
                <w:rFonts w:ascii="宋体" w:hAnsi="宋体" w:cs="宋体"/>
                <w:color w:val="auto"/>
                <w:kern w:val="0"/>
                <w:szCs w:val="21"/>
                <w:highlight w:val="none"/>
              </w:rPr>
              <w:t>后可以通过手机</w:t>
            </w:r>
            <w:r>
              <w:rPr>
                <w:rFonts w:hint="eastAsia" w:ascii="宋体" w:hAnsi="宋体" w:cs="宋体"/>
                <w:color w:val="auto"/>
                <w:kern w:val="0"/>
                <w:szCs w:val="21"/>
                <w:highlight w:val="none"/>
              </w:rPr>
              <w:t>整页</w:t>
            </w:r>
            <w:r>
              <w:rPr>
                <w:rFonts w:ascii="宋体" w:hAnsi="宋体" w:cs="宋体"/>
                <w:color w:val="auto"/>
                <w:kern w:val="0"/>
                <w:szCs w:val="21"/>
                <w:highlight w:val="none"/>
              </w:rPr>
              <w:t>拍照或扫描仪扫描两种方式提交作答结果，提交后须支持云端智能批改，并自动呈现学情报告。</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984"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基础信息管理</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1、支持对用户信息快捷管理：支持学生、教师信息的一键导入，导入的信息包括：学生姓名、学号、学生班级、教师姓名、所教学科、所教班级信息，系统自动生成账号；支持按角色进行权限管理和设置。</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2、支持设置学校管理员、子管理员、校长、年级主任、学科组长、班主任、学科教师、学生等用户角色，支持对角色进行增加、删除、修改、管理与控制，且不同角色的权限不同。</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8"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服务</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资源服务</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将现用的学生教辅书电子化、标签化到校本和区本题库中，每年2</w:t>
            </w:r>
            <w:r>
              <w:rPr>
                <w:rFonts w:ascii="宋体" w:hAnsi="宋体" w:cs="宋体"/>
                <w:color w:val="auto"/>
                <w:kern w:val="0"/>
                <w:szCs w:val="21"/>
                <w:highlight w:val="none"/>
              </w:rPr>
              <w:t>4</w:t>
            </w:r>
            <w:r>
              <w:rPr>
                <w:rFonts w:hint="eastAsia" w:ascii="宋体" w:hAnsi="宋体" w:cs="宋体"/>
                <w:color w:val="auto"/>
                <w:kern w:val="0"/>
                <w:szCs w:val="21"/>
                <w:highlight w:val="none"/>
              </w:rPr>
              <w:t>册。</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册</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24</w:t>
            </w:r>
          </w:p>
        </w:tc>
      </w:tr>
      <w:tr>
        <w:tblPrEx>
          <w:tblCellMar>
            <w:top w:w="0" w:type="dxa"/>
            <w:left w:w="108" w:type="dxa"/>
            <w:bottom w:w="0" w:type="dxa"/>
            <w:right w:w="108" w:type="dxa"/>
          </w:tblCellMar>
        </w:tblPrEx>
        <w:trPr>
          <w:trHeight w:val="612"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初三个性化学习</w:t>
            </w:r>
          </w:p>
        </w:tc>
        <w:tc>
          <w:tcPr>
            <w:tcW w:w="4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所初中学校的初三提供精准分层作业，基于无锡市历年中考真题&amp;模拟题，结合学校初三学生的日常作业、考试数据，遴选出“提优” 和 “补差” 两类学生，给他们提供每周2-3份的提优作业/补差作业。</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校/年</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r>
      <w:tr>
        <w:tblPrEx>
          <w:tblCellMar>
            <w:top w:w="0" w:type="dxa"/>
            <w:left w:w="108" w:type="dxa"/>
            <w:bottom w:w="0" w:type="dxa"/>
            <w:right w:w="108" w:type="dxa"/>
          </w:tblCellMar>
        </w:tblPrEx>
        <w:trPr>
          <w:trHeight w:val="552" w:hRule="atLeast"/>
        </w:trPr>
        <w:tc>
          <w:tcPr>
            <w:tcW w:w="13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AI智能全批改服务</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▲通过OCR识别技术，实现对</w:t>
            </w:r>
            <w:r>
              <w:rPr>
                <w:rFonts w:ascii="宋体" w:hAnsi="宋体" w:cs="宋体"/>
                <w:color w:val="auto"/>
                <w:kern w:val="0"/>
                <w:szCs w:val="21"/>
                <w:highlight w:val="none"/>
              </w:rPr>
              <w:t>3</w:t>
            </w:r>
            <w:r>
              <w:rPr>
                <w:rFonts w:hint="eastAsia" w:ascii="宋体" w:hAnsi="宋体" w:cs="宋体"/>
                <w:color w:val="auto"/>
                <w:kern w:val="0"/>
                <w:szCs w:val="21"/>
                <w:highlight w:val="none"/>
              </w:rPr>
              <w:t>所小学使用班级的小学数学学科所有试题，包括客观题和主观题全部自动批改，无需老师批阅作业，结果自动识别采集分析，覆盖学生不少于2</w:t>
            </w:r>
            <w:r>
              <w:rPr>
                <w:rFonts w:ascii="宋体" w:hAnsi="宋体" w:cs="宋体"/>
                <w:color w:val="auto"/>
                <w:kern w:val="0"/>
                <w:szCs w:val="21"/>
                <w:highlight w:val="none"/>
              </w:rPr>
              <w:t>000</w:t>
            </w:r>
            <w:r>
              <w:rPr>
                <w:rFonts w:hint="eastAsia" w:ascii="宋体" w:hAnsi="宋体" w:cs="宋体"/>
                <w:color w:val="auto"/>
                <w:kern w:val="0"/>
                <w:szCs w:val="21"/>
                <w:highlight w:val="none"/>
              </w:rPr>
              <w:t>人。</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项/年</w:t>
            </w:r>
          </w:p>
        </w:tc>
        <w:tc>
          <w:tcPr>
            <w:tcW w:w="1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r>
    </w:tbl>
    <w:p>
      <w:pPr>
        <w:spacing w:after="5" w:line="360" w:lineRule="auto"/>
        <w:rPr>
          <w:rFonts w:ascii="宋体" w:hAns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、售后服务</w:t>
      </w:r>
    </w:p>
    <w:p>
      <w:pPr>
        <w:spacing w:after="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3.1合同签订生效后一个月内安装调试完毕；完成功能操作及部署应用培训不少于2天；提交技术报告、用户操作说明等验收材料。</w:t>
      </w:r>
    </w:p>
    <w:p>
      <w:pPr>
        <w:spacing w:after="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3.2产品验收合格以技术验收合格签字为准，硬件产品质保期一年，软件产品免费升级服务三年。</w:t>
      </w:r>
    </w:p>
    <w:p>
      <w:pPr>
        <w:spacing w:after="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3.3免费质保期内接保修申请后需在4小时内到达现场提供服务，在24小时内修复。超过24小时不能修复，需提供备用机。</w:t>
      </w:r>
    </w:p>
    <w:p>
      <w:pPr>
        <w:spacing w:line="360" w:lineRule="auto"/>
        <w:outlineLvl w:val="1"/>
        <w:rPr>
          <w:rFonts w:ascii="黑体" w:hAnsi="宋体" w:eastAsia="黑体"/>
          <w:bCs/>
          <w:sz w:val="24"/>
          <w:szCs w:val="24"/>
        </w:rPr>
      </w:pPr>
      <w:r>
        <w:rPr>
          <w:rFonts w:hint="eastAsia" w:ascii="黑体" w:hAnsi="宋体" w:eastAsia="黑体"/>
          <w:bCs/>
          <w:sz w:val="24"/>
          <w:szCs w:val="24"/>
        </w:rPr>
        <w:t>（二）有关说明：</w:t>
      </w:r>
      <w:r>
        <w:rPr>
          <w:rFonts w:ascii="黑体" w:hAnsi="宋体" w:eastAsia="黑体"/>
          <w:bCs/>
          <w:sz w:val="24"/>
          <w:szCs w:val="24"/>
        </w:rPr>
        <w:t xml:space="preserve"> </w:t>
      </w:r>
    </w:p>
    <w:p>
      <w:pPr>
        <w:numPr>
          <w:ilvl w:val="1"/>
          <w:numId w:val="18"/>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18"/>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通过中国海关报关验放进入中国境内且产自关境外的产品不在本项目的报价范围。</w:t>
      </w:r>
    </w:p>
    <w:p>
      <w:pPr>
        <w:numPr>
          <w:ilvl w:val="1"/>
          <w:numId w:val="18"/>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本项目中有信息安全产品的，必须选择经国家认证的信息安全产品，并提供由中国信息安全认证中心颁发的有效认证证书复印件。</w:t>
      </w:r>
    </w:p>
    <w:p>
      <w:pPr>
        <w:numPr>
          <w:ilvl w:val="1"/>
          <w:numId w:val="18"/>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依据财政部、发展改革委发布的《节能产品政府采购品目清单》，本项目中有政府强制采购节能产品的</w:t>
      </w:r>
      <w:r>
        <w:rPr>
          <w:rFonts w:ascii="宋体" w:hAnsi="宋体" w:cs="宋体"/>
          <w:sz w:val="24"/>
          <w:szCs w:val="24"/>
        </w:rPr>
        <w:t>，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18"/>
        </w:numPr>
        <w:tabs>
          <w:tab w:val="left" w:pos="525"/>
          <w:tab w:val="left" w:pos="945"/>
        </w:tabs>
        <w:spacing w:line="460" w:lineRule="exact"/>
        <w:ind w:left="0" w:firstLine="527"/>
        <w:rPr>
          <w:rFonts w:ascii="宋体" w:hAnsi="宋体" w:cs="宋体"/>
          <w:color w:val="auto"/>
          <w:sz w:val="24"/>
          <w:highlight w:val="none"/>
        </w:rPr>
      </w:pPr>
      <w:r>
        <w:rPr>
          <w:rFonts w:hint="eastAsia" w:ascii="宋体" w:hAnsi="宋体"/>
          <w:bCs/>
          <w:sz w:val="24"/>
          <w:szCs w:val="24"/>
        </w:rPr>
        <w:t>投标人必须在满足招标文件要求的基础上进行报价，如有技术偏离请于投标偏离表中说明。</w:t>
      </w:r>
    </w:p>
    <w:p>
      <w:pPr>
        <w:numPr>
          <w:ilvl w:val="1"/>
          <w:numId w:val="18"/>
        </w:numPr>
        <w:tabs>
          <w:tab w:val="left" w:pos="525"/>
          <w:tab w:val="left" w:pos="945"/>
        </w:tabs>
        <w:spacing w:line="460" w:lineRule="exact"/>
        <w:ind w:left="0" w:firstLine="527"/>
        <w:rPr>
          <w:rFonts w:ascii="宋体" w:hAnsi="宋体" w:cs="宋体"/>
          <w:color w:val="auto"/>
          <w:sz w:val="24"/>
          <w:highlight w:val="none"/>
        </w:rPr>
      </w:pPr>
      <w:r>
        <w:rPr>
          <w:rFonts w:hint="eastAsia" w:ascii="宋体" w:hAnsi="宋体"/>
          <w:bCs/>
          <w:sz w:val="24"/>
          <w:szCs w:val="24"/>
        </w:rPr>
        <w:t>完工期：</w:t>
      </w:r>
      <w:r>
        <w:rPr>
          <w:rFonts w:hint="eastAsia" w:ascii="宋体" w:hAnsi="宋体" w:cs="宋体"/>
          <w:bCs/>
          <w:color w:val="auto"/>
          <w:sz w:val="24"/>
          <w:highlight w:val="none"/>
        </w:rPr>
        <w:t>合同签订后30日历天。</w:t>
      </w:r>
    </w:p>
    <w:p>
      <w:pPr>
        <w:numPr>
          <w:ilvl w:val="1"/>
          <w:numId w:val="18"/>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本项目合同履行地点为</w:t>
      </w:r>
      <w:r>
        <w:rPr>
          <w:rFonts w:hint="eastAsia"/>
          <w:color w:val="000000"/>
          <w:sz w:val="24"/>
          <w:szCs w:val="24"/>
          <w:lang w:val="en-US" w:eastAsia="zh-CN"/>
        </w:rPr>
        <w:t>无锡市梁溪区</w:t>
      </w:r>
      <w:r>
        <w:rPr>
          <w:rFonts w:hint="eastAsia"/>
          <w:color w:val="000000"/>
          <w:sz w:val="24"/>
          <w:szCs w:val="24"/>
          <w:lang w:eastAsia="zh-Hans"/>
        </w:rPr>
        <w:t>，具体地点以合同书约定为准</w:t>
      </w:r>
      <w:r>
        <w:rPr>
          <w:rFonts w:hint="eastAsia"/>
          <w:color w:val="000000"/>
          <w:sz w:val="24"/>
          <w:szCs w:val="24"/>
        </w:rPr>
        <w:t>。</w:t>
      </w:r>
    </w:p>
    <w:p>
      <w:pPr>
        <w:numPr>
          <w:ilvl w:val="1"/>
          <w:numId w:val="18"/>
        </w:numPr>
        <w:tabs>
          <w:tab w:val="left" w:pos="525"/>
          <w:tab w:val="left" w:pos="735"/>
          <w:tab w:val="left" w:pos="945"/>
        </w:tabs>
        <w:spacing w:line="460" w:lineRule="exact"/>
        <w:ind w:left="0" w:firstLine="527"/>
        <w:rPr>
          <w:rFonts w:ascii="宋体" w:hAnsi="宋体"/>
          <w:bCs/>
          <w:color w:val="auto"/>
          <w:sz w:val="24"/>
          <w:highlight w:val="none"/>
        </w:rPr>
      </w:pPr>
      <w:r>
        <w:rPr>
          <w:rFonts w:hint="eastAsia" w:hAnsi="宋体"/>
          <w:bCs/>
          <w:sz w:val="24"/>
          <w:szCs w:val="24"/>
          <w:highlight w:val="none"/>
        </w:rPr>
        <w:t>付款方式：</w:t>
      </w:r>
      <w:r>
        <w:rPr>
          <w:rFonts w:hint="eastAsia" w:ascii="宋体" w:hAnsi="宋体"/>
          <w:bCs/>
          <w:color w:val="auto"/>
          <w:sz w:val="24"/>
          <w:highlight w:val="none"/>
        </w:rPr>
        <w:t>中标签订合同后10天内预付合同金额的</w:t>
      </w:r>
      <w:r>
        <w:rPr>
          <w:rFonts w:ascii="宋体" w:hAnsi="宋体"/>
          <w:bCs/>
          <w:color w:val="auto"/>
          <w:sz w:val="24"/>
          <w:highlight w:val="none"/>
        </w:rPr>
        <w:t>3</w:t>
      </w:r>
      <w:r>
        <w:rPr>
          <w:rFonts w:hint="eastAsia" w:ascii="宋体" w:hAnsi="宋体"/>
          <w:bCs/>
          <w:color w:val="auto"/>
          <w:sz w:val="24"/>
          <w:highlight w:val="none"/>
        </w:rPr>
        <w:t>0%，安装结束验收合格后付至合同价的</w:t>
      </w:r>
      <w:r>
        <w:rPr>
          <w:rFonts w:hint="eastAsia" w:ascii="宋体" w:hAnsi="宋体"/>
          <w:bCs/>
          <w:color w:val="auto"/>
          <w:sz w:val="24"/>
          <w:highlight w:val="none"/>
          <w:lang w:val="en-US" w:eastAsia="zh-CN"/>
        </w:rPr>
        <w:t>100</w:t>
      </w:r>
      <w:r>
        <w:rPr>
          <w:rFonts w:hint="eastAsia" w:ascii="宋体" w:hAnsi="宋体"/>
          <w:bCs/>
          <w:color w:val="auto"/>
          <w:sz w:val="24"/>
          <w:highlight w:val="none"/>
        </w:rPr>
        <w:t xml:space="preserve">%。 </w:t>
      </w:r>
    </w:p>
    <w:p>
      <w:pPr>
        <w:numPr>
          <w:ilvl w:val="1"/>
          <w:numId w:val="18"/>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18"/>
        </w:numPr>
        <w:tabs>
          <w:tab w:val="left" w:pos="525"/>
          <w:tab w:val="left" w:pos="630"/>
          <w:tab w:val="left" w:pos="735"/>
          <w:tab w:val="left" w:pos="945"/>
        </w:tabs>
        <w:spacing w:line="360" w:lineRule="auto"/>
        <w:ind w:left="0" w:firstLine="525"/>
        <w:rPr>
          <w:rFonts w:ascii="宋体" w:hAns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中标、成交供应商可根据自身情况，自行决定是否选择采用合同融资形式，在无锡政府采购网——政采贷专栏提供的银行名录内自主选择合作银行。</w:t>
      </w:r>
    </w:p>
    <w:p>
      <w:pPr>
        <w:numPr>
          <w:ilvl w:val="1"/>
          <w:numId w:val="18"/>
        </w:numPr>
        <w:tabs>
          <w:tab w:val="left" w:pos="525"/>
          <w:tab w:val="left" w:pos="630"/>
          <w:tab w:val="left" w:pos="735"/>
          <w:tab w:val="left" w:pos="945"/>
        </w:tabs>
        <w:spacing w:line="360" w:lineRule="auto"/>
        <w:ind w:left="0" w:firstLine="525"/>
        <w:rPr>
          <w:rFonts w:ascii="宋体" w:hAnsi="宋体"/>
          <w:bCs/>
          <w:sz w:val="24"/>
          <w:szCs w:val="22"/>
        </w:rPr>
      </w:pPr>
      <w:r>
        <w:rPr>
          <w:rFonts w:hint="eastAsia" w:ascii="宋体" w:hAnsi="宋体"/>
          <w:bCs/>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18"/>
        </w:numPr>
        <w:tabs>
          <w:tab w:val="left" w:pos="525"/>
          <w:tab w:val="left" w:pos="945"/>
        </w:tabs>
        <w:spacing w:line="460" w:lineRule="exact"/>
        <w:ind w:left="0" w:firstLine="527"/>
        <w:rPr>
          <w:rFonts w:ascii="宋体"/>
          <w:color w:val="000000" w:themeColor="text1"/>
          <w:kern w:val="0"/>
          <w:sz w:val="24"/>
          <w:szCs w:val="24"/>
          <w:u w:color="000000"/>
          <w14:textFill>
            <w14:solidFill>
              <w14:schemeClr w14:val="tx1"/>
            </w14:solidFill>
          </w14:textFill>
        </w:rPr>
      </w:pPr>
      <w:r>
        <w:rPr>
          <w:rFonts w:hint="eastAsia" w:ascii="宋体" w:hAns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18"/>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依据《政府采购促进中小企业发展管理办法》规定享受扶持政策获得政府采购合同的，小微企业不得将合同分包给大中型企业，中型企业不得将合同分包给大型企业。</w:t>
      </w:r>
    </w:p>
    <w:p>
      <w:pPr>
        <w:numPr>
          <w:ilvl w:val="1"/>
          <w:numId w:val="18"/>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16"/>
        <w:rPr>
          <w:rFonts w:hint="eastAsia" w:ascii="宋体" w:hAnsi="宋体"/>
          <w:bCs/>
          <w:sz w:val="24"/>
        </w:rPr>
      </w:pPr>
    </w:p>
    <w:p>
      <w:pPr>
        <w:pStyle w:val="16"/>
        <w:rPr>
          <w:rFonts w:hint="eastAsia" w:ascii="宋体" w:hAnsi="宋体"/>
          <w:bCs/>
          <w:sz w:val="24"/>
        </w:rPr>
      </w:pPr>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ascii="黑体" w:hAnsi="宋体" w:eastAsia="黑体"/>
          <w:b/>
          <w:color w:val="000000"/>
          <w:sz w:val="28"/>
          <w:szCs w:val="28"/>
        </w:rPr>
      </w:pP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pStyle w:val="2"/>
      </w:pPr>
    </w:p>
    <w:p>
      <w:pPr>
        <w:pStyle w:val="2"/>
      </w:pPr>
    </w:p>
    <w:p>
      <w:pPr>
        <w:pStyle w:val="2"/>
      </w:pPr>
    </w:p>
    <w:p>
      <w:pPr>
        <w:pStyle w:val="2"/>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ascii="宋体" w:hAnsi="宋体"/>
          <w:bCs/>
          <w:color w:val="000000"/>
          <w:sz w:val="24"/>
          <w:szCs w:val="24"/>
        </w:rPr>
      </w:pPr>
      <w:r>
        <w:rPr>
          <w:rFonts w:hint="eastAsia" w:ascii="宋体" w:hAnsi="宋体"/>
          <w:bCs/>
          <w:color w:val="000000"/>
          <w:sz w:val="24"/>
          <w:szCs w:val="24"/>
        </w:rPr>
        <w:t>（根据相关法律规定以及采购文件确定事项订立）</w:t>
      </w:r>
    </w:p>
    <w:p>
      <w:pPr>
        <w:snapToGrid w:val="0"/>
        <w:spacing w:line="336" w:lineRule="auto"/>
        <w:ind w:firstLine="525"/>
        <w:rPr>
          <w:rFonts w:ascii="宋体" w:hAnsi="Calibri"/>
          <w:bCs/>
          <w:color w:val="000000"/>
          <w:sz w:val="24"/>
          <w:szCs w:val="24"/>
        </w:rPr>
      </w:pPr>
      <w:r>
        <w:rPr>
          <w:rFonts w:hint="eastAsia" w:ascii="宋体" w:hAnsi="宋体"/>
          <w:bCs/>
          <w:color w:val="000000"/>
          <w:sz w:val="24"/>
          <w:szCs w:val="24"/>
        </w:rPr>
        <w:t>（一）合同内容：需方向供方购买。</w:t>
      </w:r>
    </w:p>
    <w:p>
      <w:pPr>
        <w:snapToGrid w:val="0"/>
        <w:spacing w:line="336" w:lineRule="auto"/>
        <w:ind w:firstLine="525"/>
        <w:rPr>
          <w:rFonts w:ascii="宋体"/>
          <w:bCs/>
          <w:color w:val="000000"/>
          <w:sz w:val="24"/>
          <w:szCs w:val="24"/>
        </w:rPr>
      </w:pPr>
      <w:r>
        <w:rPr>
          <w:rFonts w:hint="eastAsia" w:ascii="宋体" w:hAnsi="宋体"/>
          <w:bCs/>
          <w:color w:val="000000"/>
          <w:sz w:val="24"/>
          <w:szCs w:val="24"/>
        </w:rPr>
        <w:t>（二）价格及支付：</w:t>
      </w:r>
    </w:p>
    <w:p>
      <w:pPr>
        <w:tabs>
          <w:tab w:val="left" w:pos="525"/>
          <w:tab w:val="left" w:pos="1050"/>
          <w:tab w:val="left" w:pos="1155"/>
        </w:tabs>
        <w:snapToGrid w:val="0"/>
        <w:spacing w:line="336" w:lineRule="auto"/>
        <w:ind w:firstLine="523" w:firstLineChars="218"/>
        <w:rPr>
          <w:rFonts w:ascii="宋体"/>
          <w:bCs/>
          <w:color w:val="000000"/>
          <w:sz w:val="24"/>
          <w:szCs w:val="24"/>
        </w:rPr>
      </w:pPr>
      <w:r>
        <w:rPr>
          <w:rFonts w:hint="eastAsia" w:ascii="宋体" w:hAnsi="宋体"/>
          <w:bCs/>
          <w:color w:val="000000"/>
          <w:sz w:val="24"/>
          <w:szCs w:val="24"/>
        </w:rPr>
        <w:t>1. 按此次中标价格执行，合同总标的额为</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numPr>
          <w:ilvl w:val="1"/>
          <w:numId w:val="19"/>
        </w:numPr>
        <w:tabs>
          <w:tab w:val="left" w:pos="945"/>
          <w:tab w:val="left" w:pos="1770"/>
          <w:tab w:val="left" w:pos="2100"/>
        </w:tabs>
        <w:snapToGrid w:val="0"/>
        <w:spacing w:line="336" w:lineRule="auto"/>
        <w:ind w:left="0" w:firstLine="525"/>
        <w:rPr>
          <w:rFonts w:ascii="宋体"/>
          <w:bCs/>
          <w:color w:val="000000"/>
          <w:sz w:val="24"/>
          <w:szCs w:val="24"/>
        </w:rPr>
      </w:pPr>
      <w:r>
        <w:rPr>
          <w:rFonts w:hint="eastAsia" w:ascii="宋体" w:hAnsi="宋体"/>
          <w:bCs/>
          <w:color w:val="000000"/>
          <w:sz w:val="24"/>
          <w:szCs w:val="24"/>
        </w:rPr>
        <w:t>付款方式：</w:t>
      </w:r>
    </w:p>
    <w:p>
      <w:pPr>
        <w:numPr>
          <w:ilvl w:val="1"/>
          <w:numId w:val="19"/>
        </w:numPr>
        <w:tabs>
          <w:tab w:val="left" w:pos="945"/>
          <w:tab w:val="left" w:pos="1770"/>
          <w:tab w:val="left" w:pos="2100"/>
        </w:tabs>
        <w:snapToGrid w:val="0"/>
        <w:spacing w:line="336" w:lineRule="auto"/>
        <w:ind w:left="0" w:firstLine="525"/>
        <w:rPr>
          <w:rFonts w:ascii="宋体"/>
          <w:bCs/>
          <w:color w:val="000000"/>
          <w:sz w:val="24"/>
          <w:szCs w:val="24"/>
        </w:rPr>
      </w:pPr>
      <w:r>
        <w:rPr>
          <w:rFonts w:hint="eastAsia" w:ascii="宋体" w:hAnsi="宋体"/>
          <w:bCs/>
          <w:color w:val="000000"/>
          <w:sz w:val="24"/>
          <w:szCs w:val="24"/>
        </w:rPr>
        <w:t>履约保证金的缴纳和退付：</w:t>
      </w:r>
    </w:p>
    <w:p>
      <w:pPr>
        <w:tabs>
          <w:tab w:val="left" w:pos="945"/>
          <w:tab w:val="left" w:pos="2100"/>
        </w:tabs>
        <w:snapToGrid w:val="0"/>
        <w:spacing w:line="336" w:lineRule="auto"/>
        <w:ind w:firstLine="480" w:firstLineChars="200"/>
        <w:rPr>
          <w:rFonts w:ascii="宋体" w:hAnsi="宋体"/>
          <w:bCs/>
          <w:color w:val="000000"/>
          <w:sz w:val="24"/>
          <w:szCs w:val="24"/>
        </w:rPr>
      </w:pPr>
      <w:r>
        <w:rPr>
          <w:rFonts w:hint="eastAsia" w:ascii="宋体" w:hAnsi="宋体"/>
          <w:bCs/>
          <w:color w:val="000000"/>
          <w:sz w:val="24"/>
          <w:szCs w:val="24"/>
        </w:rPr>
        <w:t>本项目是/否向采购人缴纳履约保证金：</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tabs>
          <w:tab w:val="left" w:pos="945"/>
          <w:tab w:val="left" w:pos="2100"/>
        </w:tabs>
        <w:snapToGrid w:val="0"/>
        <w:spacing w:line="336" w:lineRule="auto"/>
        <w:ind w:firstLine="480" w:firstLineChars="200"/>
        <w:rPr>
          <w:rFonts w:ascii="宋体" w:hAnsi="宋体"/>
          <w:bCs/>
          <w:color w:val="000000"/>
          <w:sz w:val="24"/>
          <w:szCs w:val="24"/>
        </w:rPr>
      </w:pPr>
      <w:r>
        <w:rPr>
          <w:rFonts w:hint="eastAsia" w:ascii="宋体" w:hAnsi="宋体"/>
          <w:bCs/>
          <w:color w:val="000000"/>
          <w:sz w:val="24"/>
          <w:szCs w:val="24"/>
        </w:rPr>
        <w:t>履约保证金缴纳金额：</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tabs>
          <w:tab w:val="left" w:pos="945"/>
          <w:tab w:val="left" w:pos="2100"/>
        </w:tabs>
        <w:snapToGrid w:val="0"/>
        <w:spacing w:line="336" w:lineRule="auto"/>
        <w:ind w:firstLine="480" w:firstLineChars="200"/>
        <w:rPr>
          <w:rFonts w:ascii="宋体" w:hAnsi="宋体"/>
          <w:bCs/>
          <w:color w:val="000000"/>
          <w:sz w:val="24"/>
          <w:szCs w:val="22"/>
        </w:rPr>
      </w:pPr>
      <w:r>
        <w:rPr>
          <w:rFonts w:hint="eastAsia" w:ascii="宋体" w:hAnsi="宋体"/>
          <w:bCs/>
          <w:color w:val="000000"/>
          <w:sz w:val="24"/>
          <w:szCs w:val="24"/>
        </w:rPr>
        <w:t>履约保证金的缴纳时间：</w:t>
      </w:r>
      <w:r>
        <w:rPr>
          <w:rFonts w:hint="eastAsia" w:ascii="宋体" w:hAnsi="宋体"/>
          <w:bCs/>
          <w:color w:val="000000"/>
          <w:sz w:val="24"/>
          <w:szCs w:val="24"/>
          <w:u w:val="single"/>
        </w:rPr>
        <w:t xml:space="preserve">       </w:t>
      </w:r>
      <w:r>
        <w:rPr>
          <w:rFonts w:hint="eastAsia" w:ascii="宋体" w:hAnsi="宋体"/>
          <w:bCs/>
          <w:color w:val="000000"/>
          <w:sz w:val="24"/>
          <w:szCs w:val="24"/>
        </w:rPr>
        <w:t>，缴纳形式：</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ascii="宋体" w:hAnsi="宋体"/>
          <w:bCs/>
          <w:color w:val="000000"/>
          <w:sz w:val="24"/>
        </w:rPr>
      </w:pPr>
      <w:r>
        <w:rPr>
          <w:rFonts w:hint="eastAsia" w:ascii="宋体" w:hAnsi="宋体"/>
          <w:bCs/>
          <w:color w:val="000000"/>
          <w:sz w:val="24"/>
          <w:szCs w:val="24"/>
        </w:rPr>
        <w:t>履约保证金的退付时间：</w:t>
      </w:r>
      <w:r>
        <w:rPr>
          <w:rFonts w:hint="eastAsia" w:ascii="宋体" w:hAnsi="宋体"/>
          <w:bCs/>
          <w:color w:val="000000"/>
          <w:sz w:val="24"/>
          <w:szCs w:val="24"/>
          <w:u w:val="single"/>
        </w:rPr>
        <w:t xml:space="preserve">       </w:t>
      </w:r>
      <w:r>
        <w:rPr>
          <w:rFonts w:hint="eastAsia" w:ascii="宋体" w:hAnsi="宋体"/>
          <w:bCs/>
          <w:color w:val="000000"/>
          <w:sz w:val="24"/>
          <w:szCs w:val="24"/>
        </w:rPr>
        <w:t>，退付办法：</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ascii="宋体" w:hAnsi="宋体"/>
          <w:bCs/>
          <w:color w:val="000000"/>
          <w:sz w:val="24"/>
        </w:rPr>
      </w:pPr>
      <w:r>
        <w:rPr>
          <w:rFonts w:hint="eastAsia" w:ascii="宋体" w:hAnsi="宋体"/>
          <w:bCs/>
          <w:color w:val="000000"/>
          <w:sz w:val="24"/>
        </w:rPr>
        <w:t>履约保证金不予退还的情形：</w:t>
      </w:r>
      <w:r>
        <w:rPr>
          <w:rFonts w:hint="eastAsia" w:ascii="宋体" w:hAnsi="宋体"/>
          <w:bCs/>
          <w:color w:val="000000"/>
          <w:sz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ascii="宋体" w:hAnsi="Calibri"/>
          <w:bCs/>
          <w:color w:val="000000"/>
          <w:sz w:val="24"/>
          <w:szCs w:val="24"/>
        </w:rPr>
      </w:pPr>
      <w:r>
        <w:rPr>
          <w:rFonts w:hint="eastAsia" w:ascii="宋体" w:hAnsi="宋体"/>
          <w:bCs/>
          <w:color w:val="000000"/>
          <w:sz w:val="24"/>
        </w:rPr>
        <w:t>逾期退还履约保证金的违约责任：</w:t>
      </w:r>
      <w:r>
        <w:rPr>
          <w:rFonts w:hint="eastAsia" w:ascii="宋体" w:hAnsi="宋体"/>
          <w:bCs/>
          <w:color w:val="000000"/>
          <w:sz w:val="24"/>
          <w:u w:val="single"/>
        </w:rPr>
        <w:t xml:space="preserve">                 </w:t>
      </w:r>
      <w:r>
        <w:rPr>
          <w:rFonts w:hint="eastAsia" w:ascii="宋体" w:hAnsi="宋体"/>
          <w:bCs/>
          <w:color w:val="000000"/>
          <w:sz w:val="24"/>
        </w:rPr>
        <w:t>。</w:t>
      </w:r>
    </w:p>
    <w:p>
      <w:pPr>
        <w:tabs>
          <w:tab w:val="left" w:pos="0"/>
          <w:tab w:val="left" w:pos="136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（三）知识产权</w:t>
      </w:r>
    </w:p>
    <w:p>
      <w:pPr>
        <w:tabs>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（四）质量要求与检验：</w:t>
      </w:r>
    </w:p>
    <w:p>
      <w:pPr>
        <w:tabs>
          <w:tab w:val="left" w:pos="525"/>
          <w:tab w:val="left" w:pos="105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ascii="宋体" w:hAnsi="宋体"/>
          <w:bCs/>
          <w:color w:val="000000"/>
          <w:sz w:val="24"/>
          <w:szCs w:val="24"/>
        </w:rPr>
      </w:pPr>
      <w:r>
        <w:rPr>
          <w:rFonts w:hint="eastAsia" w:ascii="宋体" w:hAnsi="宋体"/>
          <w:bCs/>
          <w:color w:val="000000"/>
          <w:sz w:val="24"/>
          <w:szCs w:val="24"/>
        </w:rPr>
        <w:t>4.货物和系统调试验收标准：</w:t>
      </w:r>
    </w:p>
    <w:p>
      <w:pPr>
        <w:tabs>
          <w:tab w:val="left" w:pos="105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（五）交货条件：</w:t>
      </w:r>
    </w:p>
    <w:p>
      <w:pPr>
        <w:tabs>
          <w:tab w:val="left" w:pos="420"/>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1.交货日期（或完工期）：</w:t>
      </w:r>
    </w:p>
    <w:p>
      <w:pPr>
        <w:tabs>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2.供方在验收时应先用信函、传真、电子邮件等书面方式通知需方。</w:t>
      </w:r>
    </w:p>
    <w:p>
      <w:pPr>
        <w:tabs>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ascii="宋体"/>
          <w:bCs/>
          <w:color w:val="000000"/>
          <w:sz w:val="24"/>
          <w:szCs w:val="24"/>
        </w:rPr>
      </w:pPr>
      <w:r>
        <w:rPr>
          <w:rFonts w:hint="eastAsia" w:ascii="宋体" w:hAnsi="宋体"/>
          <w:bCs/>
          <w:color w:val="000000"/>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5.需方如要求供方提供招标文件及供方投标文件以外的其它服务，其费用另定。</w:t>
      </w:r>
    </w:p>
    <w:p>
      <w:pPr>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（七）违约责任：</w:t>
      </w:r>
    </w:p>
    <w:p>
      <w:pPr>
        <w:tabs>
          <w:tab w:val="left" w:pos="0"/>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8.招标文件及合同中所述之“不可抗力”系指不可预见、不可避免、不可克服的事件，包括但不限于：战争、洪水、台风、地震及其他法律、法规规定的事件。</w:t>
      </w:r>
    </w:p>
    <w:p>
      <w:pPr>
        <w:pStyle w:val="101"/>
        <w:numPr>
          <w:ilvl w:val="0"/>
          <w:numId w:val="20"/>
        </w:numPr>
        <w:snapToGrid w:val="0"/>
        <w:spacing w:line="336" w:lineRule="auto"/>
        <w:ind w:firstLineChars="0"/>
        <w:rPr>
          <w:rFonts w:ascii="宋体"/>
          <w:bCs/>
          <w:color w:val="000000"/>
          <w:sz w:val="24"/>
          <w:szCs w:val="24"/>
        </w:rPr>
      </w:pPr>
      <w:r>
        <w:rPr>
          <w:rFonts w:hint="eastAsia" w:ascii="宋体" w:hAnsi="宋体"/>
          <w:bCs/>
          <w:color w:val="000000"/>
          <w:sz w:val="24"/>
          <w:szCs w:val="24"/>
        </w:rPr>
        <w:t>合同生效及其它：</w:t>
      </w:r>
    </w:p>
    <w:p>
      <w:pPr>
        <w:tabs>
          <w:tab w:val="left" w:pos="0"/>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1.合同经供需双方代表签字并盖章，且在无锡市公共资源交易中心梁溪分中心见证后即生效。</w:t>
      </w:r>
    </w:p>
    <w:p>
      <w:pPr>
        <w:tabs>
          <w:tab w:val="left" w:pos="0"/>
          <w:tab w:val="left" w:pos="315"/>
          <w:tab w:val="left" w:pos="525"/>
          <w:tab w:val="left" w:pos="945"/>
        </w:tabs>
        <w:snapToGrid w:val="0"/>
        <w:spacing w:line="336" w:lineRule="auto"/>
        <w:ind w:firstLine="480" w:firstLineChars="200"/>
        <w:rPr>
          <w:rFonts w:ascii="宋体" w:hAnsi="宋体"/>
          <w:bCs/>
          <w:color w:val="000000"/>
          <w:sz w:val="24"/>
          <w:szCs w:val="24"/>
        </w:rPr>
      </w:pPr>
      <w:r>
        <w:rPr>
          <w:rFonts w:hint="eastAsia" w:ascii="宋体" w:hAnsi="宋体"/>
          <w:bCs/>
          <w:color w:val="000000"/>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color w:val="000000"/>
          <w:sz w:val="24"/>
          <w:szCs w:val="24"/>
        </w:rPr>
        <w:t>由供需双方协商处理，若协商不成，</w:t>
      </w:r>
      <w:r>
        <w:rPr>
          <w:rFonts w:hint="eastAsia" w:ascii="宋体" w:hAnsi="宋体"/>
          <w:bCs/>
          <w:color w:val="000000"/>
          <w:sz w:val="24"/>
          <w:szCs w:val="24"/>
        </w:rPr>
        <w:t>可选择以下方式处理：</w:t>
      </w:r>
    </w:p>
    <w:p>
      <w:pPr>
        <w:tabs>
          <w:tab w:val="left" w:pos="0"/>
          <w:tab w:val="left" w:pos="315"/>
          <w:tab w:val="left" w:pos="525"/>
          <w:tab w:val="left" w:pos="945"/>
        </w:tabs>
        <w:snapToGrid w:val="0"/>
        <w:spacing w:line="336" w:lineRule="auto"/>
        <w:ind w:firstLine="480" w:firstLineChars="200"/>
        <w:rPr>
          <w:rFonts w:ascii="宋体" w:hAnsi="宋体"/>
          <w:color w:val="000000"/>
          <w:sz w:val="24"/>
          <w:szCs w:val="24"/>
        </w:rPr>
      </w:pPr>
      <w:r>
        <w:rPr>
          <w:rFonts w:hint="eastAsia" w:ascii="宋体" w:hAnsi="宋体"/>
          <w:color w:val="000000"/>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ascii="宋体" w:hAnsi="Calibri"/>
          <w:color w:val="000000"/>
          <w:sz w:val="24"/>
          <w:szCs w:val="24"/>
        </w:rPr>
      </w:pPr>
      <w:r>
        <w:rPr>
          <w:rFonts w:hint="eastAsia" w:ascii="宋体" w:hAnsi="宋体"/>
          <w:color w:val="000000"/>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ascii="宋体"/>
          <w:bCs/>
          <w:color w:val="000000"/>
          <w:sz w:val="24"/>
          <w:szCs w:val="24"/>
        </w:rPr>
      </w:pPr>
      <w:r>
        <w:rPr>
          <w:rFonts w:hint="eastAsia" w:ascii="宋体" w:hAnsi="宋体"/>
          <w:bCs/>
          <w:color w:val="000000"/>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ascii="宋体" w:hAnsi="宋体"/>
          <w:color w:val="000000"/>
          <w:sz w:val="24"/>
          <w:szCs w:val="24"/>
        </w:rPr>
      </w:pPr>
      <w:r>
        <w:rPr>
          <w:rFonts w:hint="eastAsia" w:ascii="宋体" w:hAnsi="宋体"/>
          <w:color w:val="000000"/>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ascii="宋体" w:hAnsi="宋体"/>
          <w:bCs/>
          <w:color w:val="000000"/>
          <w:sz w:val="24"/>
          <w:szCs w:val="24"/>
        </w:rPr>
      </w:pPr>
      <w:r>
        <w:rPr>
          <w:rFonts w:hint="eastAsia" w:ascii="宋体" w:hAnsi="宋体"/>
          <w:bCs/>
          <w:color w:val="000000"/>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ind w:firstLine="480" w:firstLineChars="200"/>
        <w:jc w:val="center"/>
        <w:rPr>
          <w:rFonts w:ascii="宋体" w:hAnsi="宋体"/>
          <w:bCs/>
          <w:color w:val="000000"/>
          <w:sz w:val="24"/>
          <w:szCs w:val="24"/>
        </w:rPr>
      </w:pPr>
    </w:p>
    <w:p>
      <w:pPr>
        <w:snapToGrid w:val="0"/>
        <w:spacing w:line="336" w:lineRule="auto"/>
        <w:rPr>
          <w:rFonts w:ascii="宋体" w:hAnsi="Calibri"/>
          <w:bCs/>
          <w:color w:val="000000"/>
          <w:sz w:val="24"/>
          <w:szCs w:val="24"/>
          <w:u w:val="single"/>
        </w:rPr>
      </w:pPr>
      <w:r>
        <w:rPr>
          <w:rFonts w:hint="eastAsia" w:ascii="宋体" w:hAnsi="宋体"/>
          <w:bCs/>
          <w:color w:val="000000"/>
          <w:sz w:val="24"/>
          <w:szCs w:val="24"/>
        </w:rPr>
        <w:t>需方（采购人）：（签章）                   供方（中标方）：（签章）</w:t>
      </w:r>
    </w:p>
    <w:p>
      <w:pPr>
        <w:snapToGrid w:val="0"/>
        <w:spacing w:line="336" w:lineRule="auto"/>
        <w:rPr>
          <w:rFonts w:ascii="宋体" w:hAnsi="宋体"/>
          <w:bCs/>
          <w:color w:val="000000"/>
          <w:sz w:val="24"/>
          <w:szCs w:val="24"/>
        </w:rPr>
      </w:pPr>
      <w:r>
        <w:rPr>
          <w:rFonts w:hint="eastAsia" w:ascii="宋体" w:hAnsi="宋体"/>
          <w:bCs/>
          <w:color w:val="000000"/>
          <w:sz w:val="24"/>
          <w:szCs w:val="24"/>
        </w:rPr>
        <w:t>法定（授权）代表人：                     法定（授权）代表人：</w:t>
      </w:r>
    </w:p>
    <w:p>
      <w:pPr>
        <w:snapToGrid w:val="0"/>
        <w:spacing w:line="336" w:lineRule="auto"/>
        <w:rPr>
          <w:rFonts w:ascii="宋体" w:hAnsi="宋体"/>
          <w:bCs/>
          <w:color w:val="000000"/>
          <w:sz w:val="24"/>
          <w:szCs w:val="24"/>
          <w:u w:val="single"/>
        </w:rPr>
      </w:pPr>
      <w:r>
        <w:rPr>
          <w:rFonts w:hint="eastAsia" w:ascii="宋体" w:hAnsi="宋体"/>
          <w:bCs/>
          <w:color w:val="000000"/>
          <w:sz w:val="24"/>
          <w:szCs w:val="24"/>
        </w:rPr>
        <w:t>地址：                                   地址：</w:t>
      </w:r>
    </w:p>
    <w:p>
      <w:pPr>
        <w:snapToGrid w:val="0"/>
        <w:spacing w:line="336" w:lineRule="auto"/>
        <w:ind w:firstLine="480" w:firstLineChars="200"/>
        <w:rPr>
          <w:rFonts w:ascii="宋体" w:hAnsi="Calibri"/>
          <w:bCs/>
          <w:color w:val="000000"/>
          <w:sz w:val="24"/>
          <w:szCs w:val="24"/>
          <w:u w:val="single"/>
        </w:rPr>
      </w:pPr>
      <w:r>
        <w:rPr>
          <w:rFonts w:hint="eastAsia" w:ascii="宋体" w:hAnsi="宋体"/>
          <w:bCs/>
          <w:color w:val="000000"/>
          <w:sz w:val="24"/>
          <w:szCs w:val="24"/>
        </w:rPr>
        <w:t>年    月    日                           年      月       日</w:t>
      </w:r>
    </w:p>
    <w:p>
      <w:pPr>
        <w:snapToGrid w:val="0"/>
        <w:spacing w:line="336" w:lineRule="auto"/>
        <w:ind w:firstLine="480" w:firstLineChars="200"/>
        <w:rPr>
          <w:rFonts w:ascii="宋体" w:hAnsi="宋体"/>
          <w:bCs/>
          <w:color w:val="000000"/>
          <w:sz w:val="24"/>
          <w:szCs w:val="24"/>
          <w:u w:val="single"/>
        </w:rPr>
      </w:pPr>
      <w:r>
        <w:rPr>
          <w:rFonts w:hint="eastAsia" w:ascii="宋体" w:hAnsi="宋体"/>
          <w:bCs/>
          <w:color w:val="000000"/>
          <w:sz w:val="24"/>
          <w:szCs w:val="24"/>
        </w:rPr>
        <w:t xml:space="preserve">                                     供方户名：</w:t>
      </w:r>
    </w:p>
    <w:p>
      <w:pPr>
        <w:snapToGrid w:val="0"/>
        <w:spacing w:line="336" w:lineRule="auto"/>
        <w:rPr>
          <w:rFonts w:ascii="宋体" w:hAnsi="宋体"/>
          <w:bCs/>
          <w:color w:val="000000"/>
          <w:sz w:val="24"/>
          <w:szCs w:val="24"/>
          <w:u w:val="single"/>
        </w:rPr>
      </w:pPr>
      <w:r>
        <w:rPr>
          <w:rFonts w:hint="eastAsia" w:ascii="宋体" w:hAnsi="宋体"/>
          <w:bCs/>
          <w:color w:val="000000"/>
          <w:sz w:val="24"/>
          <w:szCs w:val="24"/>
        </w:rPr>
        <w:t xml:space="preserve">                                         供方开户银行：</w:t>
      </w:r>
    </w:p>
    <w:p>
      <w:pPr>
        <w:snapToGrid w:val="0"/>
        <w:spacing w:line="336" w:lineRule="auto"/>
        <w:ind w:firstLine="480" w:firstLineChars="200"/>
        <w:rPr>
          <w:rFonts w:ascii="宋体" w:hAnsi="宋体"/>
          <w:bCs/>
          <w:color w:val="000000"/>
          <w:sz w:val="24"/>
          <w:szCs w:val="24"/>
        </w:rPr>
      </w:pPr>
      <w:r>
        <w:rPr>
          <w:rFonts w:hint="eastAsia" w:ascii="宋体" w:hAnsi="宋体"/>
          <w:bCs/>
          <w:color w:val="000000"/>
          <w:sz w:val="24"/>
          <w:szCs w:val="24"/>
        </w:rPr>
        <w:t xml:space="preserve">                                     供方帐号：</w:t>
      </w: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w:t>
      </w:r>
      <w:r>
        <w:rPr>
          <w:rFonts w:hint="eastAsia" w:ascii="宋体" w:hAnsi="宋体"/>
          <w:b/>
          <w:bCs/>
          <w:color w:val="000000" w:themeColor="text1"/>
          <w:sz w:val="24"/>
          <w:szCs w:val="24"/>
          <w:lang w:val="en-US" w:eastAsia="zh-CN"/>
          <w14:textFill>
            <w14:solidFill>
              <w14:schemeClr w14:val="tx1"/>
            </w14:solidFill>
          </w14:textFill>
        </w:rPr>
        <w:t>30</w:t>
      </w:r>
      <w:r>
        <w:rPr>
          <w:rFonts w:hint="eastAsia" w:ascii="宋体" w:hAnsi="宋体"/>
          <w:b/>
          <w:bCs/>
          <w:color w:val="000000" w:themeColor="text1"/>
          <w:sz w:val="24"/>
          <w:szCs w:val="24"/>
          <w14:textFill>
            <w14:solidFill>
              <w14:schemeClr w14:val="tx1"/>
            </w14:solidFill>
          </w14:textFill>
        </w:rPr>
        <w:t>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bCs/>
          <w:color w:val="FF0000"/>
          <w:sz w:val="24"/>
          <w:szCs w:val="24"/>
        </w:rPr>
      </w:pPr>
      <w:r>
        <w:rPr>
          <w:rFonts w:hint="eastAsia" w:ascii="宋体" w:hAnsi="宋体"/>
          <w:bCs/>
          <w:color w:val="000000" w:themeColor="text1"/>
          <w:sz w:val="24"/>
          <w:szCs w:val="24"/>
          <w14:textFill>
            <w14:solidFill>
              <w14:schemeClr w14:val="tx1"/>
            </w14:solidFill>
          </w14:textFill>
        </w:rPr>
        <w:t>价格扣除：</w:t>
      </w:r>
      <w:r>
        <w:rPr>
          <w:rFonts w:ascii="宋体" w:hAnsi="宋体"/>
          <w:bCs/>
          <w:sz w:val="24"/>
          <w:szCs w:val="24"/>
        </w:rPr>
        <w:t>专门面向中小/小微企业的项目不予价格扣除。</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2</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投标人综合情况（</w:t>
      </w:r>
      <w:r>
        <w:rPr>
          <w:rFonts w:hint="eastAsia" w:ascii="宋体" w:hAnsi="宋体" w:eastAsia="宋体" w:cs="Times New Roman"/>
          <w:b/>
          <w:bCs/>
          <w:sz w:val="24"/>
          <w:szCs w:val="24"/>
          <w:lang w:val="en-US" w:eastAsia="zh-CN"/>
        </w:rPr>
        <w:t>2</w:t>
      </w:r>
      <w:r>
        <w:rPr>
          <w:rFonts w:hint="eastAsia" w:ascii="宋体" w:hAnsi="宋体" w:cs="Times New Roman"/>
          <w:b/>
          <w:bCs/>
          <w:sz w:val="24"/>
          <w:szCs w:val="24"/>
          <w:lang w:val="en-US" w:eastAsia="zh-CN"/>
        </w:rPr>
        <w:t>0</w:t>
      </w:r>
      <w:r>
        <w:rPr>
          <w:rFonts w:hint="eastAsia" w:ascii="宋体" w:hAnsi="宋体" w:eastAsia="宋体" w:cs="Times New Roman"/>
          <w:b/>
          <w:bCs/>
          <w:sz w:val="24"/>
          <w:szCs w:val="24"/>
        </w:rPr>
        <w:t>分）：相关证书及合同原件上传至投标系统中</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相关证书信息</w:t>
      </w:r>
      <w:r>
        <w:rPr>
          <w:rFonts w:hint="eastAsia" w:ascii="宋体" w:hAnsi="宋体"/>
          <w:b/>
          <w:bCs w:val="0"/>
          <w:color w:val="000000" w:themeColor="text1"/>
          <w:sz w:val="24"/>
          <w:szCs w:val="24"/>
          <w14:textFill>
            <w14:solidFill>
              <w14:schemeClr w14:val="tx1"/>
            </w14:solidFill>
          </w14:textFill>
        </w:rPr>
        <w:t>及有效性须可在国家认监委官方网站（www.cnca.gov.cn）上查询，否则不得分。</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①</w:t>
      </w:r>
      <w:r>
        <w:rPr>
          <w:rFonts w:hint="eastAsia" w:ascii="宋体" w:hAnsi="宋体"/>
          <w:bCs/>
          <w:color w:val="000000" w:themeColor="text1"/>
          <w:sz w:val="24"/>
          <w:szCs w:val="24"/>
          <w:lang w:val="en-US" w:eastAsia="zh-CN"/>
          <w14:textFill>
            <w14:solidFill>
              <w14:schemeClr w14:val="tx1"/>
            </w14:solidFill>
          </w14:textFill>
        </w:rPr>
        <w:t>证书</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分）：</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a.</w:t>
      </w:r>
      <w:r>
        <w:rPr>
          <w:rFonts w:hint="eastAsia" w:ascii="宋体" w:hAnsi="宋体"/>
          <w:bCs/>
          <w:color w:val="000000" w:themeColor="text1"/>
          <w:sz w:val="24"/>
          <w:szCs w:val="24"/>
          <w14:textFill>
            <w14:solidFill>
              <w14:schemeClr w14:val="tx1"/>
            </w14:solidFill>
          </w14:textFill>
        </w:rPr>
        <w:t>投标人具有有效期内的信息技术服务运行维护体系符合性证书，一级的得2分，二级的得1分，其他等级不得分。</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b.</w:t>
      </w:r>
      <w:r>
        <w:rPr>
          <w:rFonts w:hint="eastAsia" w:ascii="宋体" w:hAnsi="宋体"/>
          <w:bCs/>
          <w:color w:val="000000" w:themeColor="text1"/>
          <w:sz w:val="24"/>
          <w:szCs w:val="24"/>
          <w14:textFill>
            <w14:solidFill>
              <w14:schemeClr w14:val="tx1"/>
            </w14:solidFill>
          </w14:textFill>
        </w:rPr>
        <w:t>投标人具有有效期内的信息化工程与技术服务能力评价证书，一级证书的得2分，二级的得1分，其他等级不得分。</w:t>
      </w:r>
    </w:p>
    <w:p>
      <w:pPr>
        <w:tabs>
          <w:tab w:val="left" w:pos="945"/>
          <w:tab w:val="left" w:pos="1155"/>
        </w:tabs>
        <w:spacing w:line="360" w:lineRule="auto"/>
        <w:ind w:firstLine="566" w:firstLineChars="236"/>
        <w:rPr>
          <w:rFonts w:hint="eastAsia" w:ascii="宋体" w:hAnsi="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c.</w:t>
      </w:r>
      <w:r>
        <w:rPr>
          <w:rFonts w:hint="eastAsia" w:ascii="宋体" w:hAnsi="宋体"/>
          <w:bCs/>
          <w:color w:val="000000" w:themeColor="text1"/>
          <w:sz w:val="24"/>
          <w:szCs w:val="24"/>
          <w14:textFill>
            <w14:solidFill>
              <w14:schemeClr w14:val="tx1"/>
            </w14:solidFill>
          </w14:textFill>
        </w:rPr>
        <w:t>投标人具有有效期内的信息系统建设和服务能力评估四级证书的得2分，三级证书的得1分，其他等级不得分。</w:t>
      </w:r>
    </w:p>
    <w:p>
      <w:pPr>
        <w:pStyle w:val="2"/>
        <w:snapToGrid w:val="0"/>
        <w:spacing w:line="360" w:lineRule="auto"/>
        <w:ind w:firstLine="420"/>
        <w:rPr>
          <w:rFonts w:hint="eastAsia" w:ascii="宋体" w:hAnsi="宋体" w:eastAsia="宋体" w:cs="Times New Roman"/>
          <w:b w:val="0"/>
          <w:bCs/>
          <w:sz w:val="24"/>
          <w:szCs w:val="24"/>
        </w:rPr>
      </w:pPr>
      <w:r>
        <w:rPr>
          <w:rFonts w:hint="eastAsia" w:ascii="宋体" w:hAnsi="宋体" w:eastAsia="宋体" w:cs="Times New Roman"/>
          <w:bCs/>
          <w:sz w:val="24"/>
          <w:szCs w:val="24"/>
        </w:rPr>
        <w:t>②业绩（</w:t>
      </w:r>
      <w:r>
        <w:rPr>
          <w:rFonts w:hint="eastAsia" w:ascii="宋体" w:hAnsi="宋体" w:cs="Times New Roman"/>
          <w:bCs/>
          <w:sz w:val="24"/>
          <w:szCs w:val="24"/>
          <w:lang w:val="en-US" w:eastAsia="zh-CN"/>
        </w:rPr>
        <w:t>4</w:t>
      </w:r>
      <w:r>
        <w:rPr>
          <w:rFonts w:hint="eastAsia" w:ascii="宋体" w:hAnsi="宋体" w:eastAsia="宋体" w:cs="Times New Roman"/>
          <w:bCs/>
          <w:sz w:val="24"/>
          <w:szCs w:val="24"/>
        </w:rPr>
        <w:t>分）：</w:t>
      </w:r>
      <w:r>
        <w:rPr>
          <w:rFonts w:hint="eastAsia" w:ascii="宋体" w:hAnsi="宋体" w:eastAsia="宋体" w:cs="宋体"/>
          <w:sz w:val="24"/>
          <w:szCs w:val="24"/>
        </w:rPr>
        <w:t>投标人自2019年1月1日以来（以合同签订日期为准），承担过同类项目业绩的，有一个得2分，最高得4分</w:t>
      </w:r>
      <w:r>
        <w:rPr>
          <w:rFonts w:hint="eastAsia" w:ascii="宋体" w:hAnsi="宋体" w:eastAsia="宋体" w:cs="宋体"/>
          <w:b w:val="0"/>
          <w:bCs/>
          <w:sz w:val="24"/>
          <w:szCs w:val="24"/>
        </w:rPr>
        <w:t>（提供业绩合同扫描件</w:t>
      </w:r>
      <w:r>
        <w:rPr>
          <w:rFonts w:hint="eastAsia" w:ascii="宋体" w:hAnsi="宋体" w:eastAsia="宋体" w:cs="宋体"/>
          <w:b w:val="0"/>
          <w:bCs/>
          <w:sz w:val="24"/>
          <w:szCs w:val="24"/>
          <w:lang w:val="en-US" w:eastAsia="zh-CN"/>
        </w:rPr>
        <w:t>须</w:t>
      </w:r>
      <w:r>
        <w:rPr>
          <w:rFonts w:hint="eastAsia" w:ascii="宋体" w:hAnsi="宋体" w:eastAsia="宋体" w:cs="宋体"/>
          <w:b w:val="0"/>
          <w:bCs/>
          <w:sz w:val="24"/>
          <w:szCs w:val="24"/>
        </w:rPr>
        <w:t>加盖公章，不提供不得分）</w:t>
      </w:r>
    </w:p>
    <w:p>
      <w:pPr>
        <w:tabs>
          <w:tab w:val="left" w:pos="945"/>
          <w:tab w:val="left" w:pos="1155"/>
        </w:tabs>
        <w:spacing w:line="360" w:lineRule="auto"/>
        <w:ind w:firstLine="480" w:firstLineChars="200"/>
        <w:rPr>
          <w:rFonts w:hint="eastAsia" w:ascii="宋体" w:hAnsi="宋体" w:eastAsia="宋体"/>
          <w:bCs/>
          <w:sz w:val="24"/>
          <w:szCs w:val="24"/>
          <w:lang w:eastAsia="zh-CN"/>
        </w:rPr>
      </w:pPr>
      <w:r>
        <w:rPr>
          <w:rFonts w:hint="eastAsia" w:ascii="宋体" w:hAnsi="宋体"/>
          <w:sz w:val="24"/>
          <w:szCs w:val="24"/>
        </w:rPr>
        <w:t>③</w:t>
      </w:r>
      <w:r>
        <w:rPr>
          <w:rFonts w:hint="eastAsia" w:ascii="宋体" w:hAnsi="宋体"/>
          <w:bCs/>
          <w:sz w:val="24"/>
          <w:szCs w:val="24"/>
        </w:rPr>
        <w:t>项目人员配置（</w:t>
      </w:r>
      <w:r>
        <w:rPr>
          <w:rFonts w:hint="eastAsia" w:ascii="宋体" w:hAnsi="宋体"/>
          <w:bCs/>
          <w:sz w:val="24"/>
          <w:szCs w:val="24"/>
          <w:lang w:val="en-US" w:eastAsia="zh-CN"/>
        </w:rPr>
        <w:t>10</w:t>
      </w:r>
      <w:r>
        <w:rPr>
          <w:rFonts w:hint="eastAsia" w:ascii="宋体" w:hAnsi="宋体"/>
          <w:bCs/>
          <w:sz w:val="24"/>
          <w:szCs w:val="24"/>
        </w:rPr>
        <w:t>分）：以投标人填列的《项目人员配置清单》及按要求提供的证明材料为准。</w:t>
      </w:r>
      <w:r>
        <w:rPr>
          <w:rFonts w:hint="eastAsia" w:ascii="宋体" w:hAnsi="宋体" w:eastAsia="宋体" w:cs="宋体"/>
          <w:b/>
          <w:bCs w:val="0"/>
          <w:sz w:val="24"/>
          <w:szCs w:val="24"/>
        </w:rPr>
        <w:t>人员一人多证不重复得分</w:t>
      </w:r>
      <w:r>
        <w:rPr>
          <w:rFonts w:hint="eastAsia" w:ascii="宋体" w:hAnsi="宋体" w:eastAsia="宋体" w:cs="宋体"/>
          <w:b/>
          <w:bCs w:val="0"/>
          <w:sz w:val="24"/>
          <w:szCs w:val="24"/>
          <w:lang w:eastAsia="zh-CN"/>
        </w:rPr>
        <w:t>。</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a.项目负责人（3分）：</w:t>
      </w:r>
      <w:r>
        <w:rPr>
          <w:rFonts w:hint="eastAsia" w:ascii="宋体" w:hAnsi="宋体"/>
          <w:bCs/>
          <w:color w:val="000000" w:themeColor="text1"/>
          <w:sz w:val="24"/>
          <w:szCs w:val="24"/>
          <w14:textFill>
            <w14:solidFill>
              <w14:schemeClr w14:val="tx1"/>
            </w14:solidFill>
          </w14:textFill>
        </w:rPr>
        <w:t>项具有信息系统项目管理师证书的得1分,具有二级（或以上）建造师（机电工程或通信与广电工程专业）认证证书的得1分，具有网络与信息安全应急人员（技术Ⅰ级）认证证书的得1分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（提供人员连续六个月(至少包含近六个月中任意一个月份(不含投标当月))的社保缴纳证明材料）</w:t>
      </w:r>
    </w:p>
    <w:p>
      <w:pPr>
        <w:tabs>
          <w:tab w:val="left" w:pos="945"/>
          <w:tab w:val="left" w:pos="1155"/>
        </w:tabs>
        <w:spacing w:line="360" w:lineRule="auto"/>
        <w:ind w:firstLine="566" w:firstLineChars="236"/>
        <w:rPr>
          <w:rFonts w:hint="default" w:ascii="宋体" w:hAnsi="宋体"/>
          <w:bCs/>
          <w:color w:val="000000" w:themeColor="text1"/>
          <w:sz w:val="24"/>
          <w:szCs w:val="24"/>
          <w:lang w:val="en-US"/>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b.项目经理（3分）:具有信息系统项目管理师证书的得1分，具有ITSS IT服务工程师证书的得1分，具有ITSS 信息技术应用创新服务工程师证书的得1分。</w:t>
      </w:r>
      <w:r>
        <w:rPr>
          <w:rFonts w:hint="eastAsia" w:ascii="宋体" w:hAnsi="宋体"/>
          <w:bCs/>
          <w:color w:val="000000" w:themeColor="text1"/>
          <w:sz w:val="24"/>
          <w:szCs w:val="24"/>
          <w14:textFill>
            <w14:solidFill>
              <w14:schemeClr w14:val="tx1"/>
            </w14:solidFill>
          </w14:textFill>
        </w:rPr>
        <w:t>（提供人员连续六个月(至少包含近六个月中任意一个月份(不含投标当月))的社保缴纳证明材料）</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c.</w:t>
      </w:r>
      <w:r>
        <w:rPr>
          <w:rFonts w:hint="eastAsia" w:ascii="宋体" w:hAnsi="宋体" w:eastAsia="宋体" w:cs="宋体"/>
          <w:sz w:val="24"/>
          <w:szCs w:val="24"/>
        </w:rPr>
        <w:t>项目成员（4分）</w:t>
      </w:r>
      <w:r>
        <w:rPr>
          <w:rFonts w:hint="eastAsia" w:ascii="宋体" w:hAnsi="宋体" w:eastAsia="宋体" w:cs="宋体"/>
          <w:sz w:val="24"/>
          <w:szCs w:val="24"/>
          <w:lang w:eastAsia="zh-CN"/>
        </w:rPr>
        <w:t>：</w:t>
      </w:r>
      <w:r>
        <w:rPr>
          <w:rFonts w:hint="eastAsia" w:ascii="宋体" w:hAnsi="宋体"/>
          <w:bCs/>
          <w:color w:val="000000" w:themeColor="text1"/>
          <w:sz w:val="24"/>
          <w:szCs w:val="24"/>
          <w14:textFill>
            <w14:solidFill>
              <w14:schemeClr w14:val="tx1"/>
            </w14:solidFill>
          </w14:textFill>
        </w:rPr>
        <w:t>项目成员具有系统集成项目管理工程师的得1分、具有系统架构设计师证书的得1分、具有注册信息安全工程师资质证书的得1分、具有ITSS IT服务工程师证书的得1分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（提供人员连续三个月(至少包含近三个月中任意一个月份(不含投标当月))的社保缴纳证明材料）</w:t>
      </w:r>
    </w:p>
    <w:p>
      <w:pPr>
        <w:pStyle w:val="2"/>
        <w:snapToGrid w:val="0"/>
        <w:spacing w:line="360" w:lineRule="auto"/>
        <w:ind w:firstLine="480" w:firstLineChars="200"/>
        <w:rPr>
          <w:rFonts w:hint="eastAsia"/>
          <w:lang w:eastAsia="zh-CN"/>
        </w:rPr>
      </w:pPr>
      <w:r>
        <w:rPr>
          <w:rFonts w:hint="eastAsia" w:ascii="宋体" w:hAnsi="宋体"/>
          <w:b/>
          <w:bCs/>
          <w:sz w:val="24"/>
          <w:szCs w:val="24"/>
          <w:lang w:val="en-US" w:eastAsia="zh-CN"/>
        </w:rPr>
        <w:t>（3）产品技术</w:t>
      </w:r>
      <w:r>
        <w:rPr>
          <w:rFonts w:hint="eastAsia" w:ascii="宋体" w:hAnsi="宋体"/>
          <w:b/>
          <w:bCs/>
          <w:sz w:val="24"/>
          <w:szCs w:val="24"/>
        </w:rPr>
        <w:t>（</w:t>
      </w:r>
      <w:r>
        <w:rPr>
          <w:rFonts w:hint="eastAsia" w:ascii="宋体" w:hAnsi="宋体"/>
          <w:b/>
          <w:bCs/>
          <w:sz w:val="24"/>
          <w:szCs w:val="24"/>
          <w:lang w:val="en-US" w:eastAsia="zh-CN"/>
        </w:rPr>
        <w:t>20</w:t>
      </w:r>
      <w:r>
        <w:rPr>
          <w:rFonts w:hint="eastAsia" w:ascii="宋体" w:hAnsi="宋体"/>
          <w:b/>
          <w:bCs/>
          <w:sz w:val="24"/>
          <w:szCs w:val="24"/>
        </w:rPr>
        <w:t>分）</w:t>
      </w:r>
      <w:r>
        <w:rPr>
          <w:rFonts w:hint="eastAsia" w:ascii="宋体" w:hAnsi="宋体"/>
          <w:b/>
          <w:bCs/>
          <w:sz w:val="24"/>
          <w:szCs w:val="24"/>
          <w:lang w:eastAsia="zh-CN"/>
        </w:rPr>
        <w:t>：</w:t>
      </w:r>
      <w:r>
        <w:rPr>
          <w:rFonts w:hint="eastAsia" w:ascii="宋体" w:hAnsi="宋体"/>
          <w:b w:val="0"/>
          <w:bCs w:val="0"/>
          <w:sz w:val="24"/>
          <w:szCs w:val="24"/>
          <w:lang w:val="en-US" w:eastAsia="zh-CN"/>
        </w:rPr>
        <w:t>须</w:t>
      </w:r>
      <w:r>
        <w:rPr>
          <w:rFonts w:hint="eastAsia" w:ascii="宋体" w:hAnsi="宋体" w:eastAsia="宋体" w:cs="宋体"/>
          <w:b w:val="0"/>
          <w:bCs w:val="0"/>
          <w:sz w:val="24"/>
          <w:szCs w:val="24"/>
          <w:highlight w:val="none"/>
        </w:rPr>
        <w:t>提供相</w:t>
      </w:r>
      <w:r>
        <w:rPr>
          <w:rFonts w:hint="eastAsia" w:ascii="宋体" w:hAnsi="宋体" w:eastAsia="宋体" w:cs="宋体"/>
          <w:sz w:val="24"/>
          <w:szCs w:val="24"/>
          <w:highlight w:val="none"/>
        </w:rPr>
        <w:t>关证明材料(如功能截图、承诺书、测试报告等)原件扫描件加盖公章放入投标文件内，不提供不得分。</w:t>
      </w:r>
    </w:p>
    <w:p>
      <w:pPr>
        <w:pStyle w:val="3"/>
        <w:snapToGrid w:val="0"/>
        <w:spacing w:line="360" w:lineRule="auto"/>
        <w:ind w:left="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①学业大数据平台——学情分析监控：</w:t>
      </w:r>
      <w:r>
        <w:rPr>
          <w:rFonts w:hint="eastAsia" w:ascii="宋体" w:hAnsi="宋体" w:cs="宋体"/>
          <w:kern w:val="0"/>
          <w:sz w:val="24"/>
          <w:szCs w:val="24"/>
          <w:lang w:eastAsia="zh-CN"/>
        </w:rPr>
        <w:t>（</w:t>
      </w:r>
      <w:r>
        <w:rPr>
          <w:rFonts w:hint="eastAsia" w:ascii="宋体" w:hAnsi="宋体" w:cs="宋体"/>
          <w:kern w:val="0"/>
          <w:sz w:val="24"/>
          <w:szCs w:val="24"/>
          <w:lang w:val="en-US" w:eastAsia="zh-CN"/>
        </w:rPr>
        <w:t>2分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a.支持查看每个班级的教学进度及已经完成的练习册章节答题正确率，对异常数据给出预警提示。提供功能截图原件扫描件加盖公章放入投标文件内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cs="宋体"/>
          <w:kern w:val="0"/>
          <w:sz w:val="24"/>
          <w:szCs w:val="24"/>
          <w:lang w:eastAsia="zh-CN"/>
        </w:rPr>
      </w:pPr>
      <w:r>
        <w:rPr>
          <w:rFonts w:hint="eastAsia" w:ascii="宋体" w:hAnsi="宋体" w:cs="宋体"/>
          <w:kern w:val="0"/>
          <w:sz w:val="24"/>
          <w:szCs w:val="24"/>
        </w:rPr>
        <w:t>b.支持按章节和知识点两个维度查看每个学校的教学进度，以不同的颜色显示不同章节或知识点的教学状态，状态包括不限于已掌握、待强化、未掌握、未讲解等。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②区域/校本系统——题库资源：</w:t>
      </w:r>
      <w:r>
        <w:rPr>
          <w:rFonts w:hint="eastAsia" w:ascii="宋体" w:hAnsi="宋体" w:cs="宋体"/>
          <w:kern w:val="0"/>
          <w:sz w:val="24"/>
          <w:szCs w:val="24"/>
          <w:lang w:eastAsia="zh-CN"/>
        </w:rPr>
        <w:t>（</w:t>
      </w:r>
      <w:r>
        <w:rPr>
          <w:rFonts w:hint="eastAsia" w:ascii="宋体" w:hAnsi="宋体" w:cs="宋体"/>
          <w:kern w:val="0"/>
          <w:sz w:val="24"/>
          <w:szCs w:val="24"/>
          <w:lang w:val="en-US" w:eastAsia="zh-CN"/>
        </w:rPr>
        <w:t>4分</w:t>
      </w:r>
      <w:r>
        <w:rPr>
          <w:rFonts w:hint="eastAsia" w:ascii="宋体" w:hAnsi="宋体" w:cs="宋体"/>
          <w:kern w:val="0"/>
          <w:sz w:val="24"/>
          <w:szCs w:val="24"/>
          <w:lang w:eastAsia="zh-CN"/>
        </w:rPr>
        <w:t>）</w:t>
      </w:r>
    </w:p>
    <w:p>
      <w:pPr>
        <w:pStyle w:val="3"/>
        <w:numPr>
          <w:ilvl w:val="0"/>
          <w:numId w:val="21"/>
        </w:numPr>
        <w:snapToGrid w:val="0"/>
        <w:spacing w:line="360" w:lineRule="auto"/>
        <w:ind w:left="0" w:firstLine="480" w:firstLineChars="200"/>
        <w:rPr>
          <w:rFonts w:hint="eastAsia" w:ascii="宋体" w:hAnsi="宋体" w:cs="宋体"/>
          <w:kern w:val="0"/>
          <w:sz w:val="24"/>
          <w:szCs w:val="24"/>
          <w:lang w:eastAsia="zh-CN"/>
        </w:rPr>
      </w:pPr>
      <w:r>
        <w:rPr>
          <w:rFonts w:hint="eastAsia" w:ascii="宋体" w:hAnsi="宋体" w:cs="宋体"/>
          <w:kern w:val="0"/>
          <w:sz w:val="24"/>
          <w:szCs w:val="24"/>
        </w:rPr>
        <w:t>试题的能力、学科素养、思想方法标签根据不同的学科不同。如小学数学的能力标签包括不限于全部、运算能力、几何直观能力、空间思维能力、逻辑推理能力、数据分析能力；学科素养标签包括不限于全部、数感、量感、空间意识、数据意识、推理意识、运算能力、符号意识、几何直观、模型意识。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numPr>
          <w:ilvl w:val="0"/>
          <w:numId w:val="0"/>
        </w:num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b.需提供覆盖小学语数英、初中语数英理化、高中语数英理化的典型试题讲解微课，数量不少于50万</w:t>
      </w:r>
      <w:r>
        <w:rPr>
          <w:rFonts w:hint="eastAsia" w:ascii="宋体" w:hAnsi="宋体" w:cs="宋体"/>
          <w:kern w:val="0"/>
          <w:sz w:val="24"/>
          <w:szCs w:val="24"/>
          <w:lang w:eastAsia="zh-CN"/>
        </w:rPr>
        <w:t>。</w:t>
      </w:r>
      <w:r>
        <w:rPr>
          <w:rFonts w:hint="eastAsia" w:ascii="宋体" w:hAnsi="宋体" w:cs="宋体"/>
          <w:kern w:val="0"/>
          <w:sz w:val="24"/>
          <w:szCs w:val="24"/>
        </w:rPr>
        <w:t>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cs="宋体"/>
          <w:kern w:val="0"/>
          <w:sz w:val="24"/>
          <w:szCs w:val="24"/>
          <w:lang w:eastAsia="zh-CN"/>
        </w:rPr>
      </w:pPr>
      <w:r>
        <w:rPr>
          <w:rFonts w:hint="eastAsia" w:ascii="宋体" w:hAnsi="宋体" w:cs="宋体"/>
          <w:kern w:val="0"/>
          <w:sz w:val="24"/>
          <w:szCs w:val="24"/>
        </w:rPr>
        <w:t>c.支持通过OCR技术智能识别教师通过手机拍照的纸质试题或手写试题，识别后需转变成结构化的电子试题而非图片。提供功能截图原件扫描件加盖公章放入投标文件内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cs="宋体"/>
          <w:kern w:val="0"/>
          <w:sz w:val="24"/>
          <w:szCs w:val="24"/>
          <w:lang w:eastAsia="zh-CN"/>
        </w:rPr>
      </w:pPr>
      <w:r>
        <w:rPr>
          <w:rFonts w:hint="eastAsia" w:ascii="宋体" w:hAnsi="宋体" w:cs="宋体"/>
          <w:kern w:val="0"/>
          <w:sz w:val="24"/>
          <w:szCs w:val="24"/>
        </w:rPr>
        <w:t>d.需提供高质量题库相关测试报告</w:t>
      </w:r>
      <w:r>
        <w:rPr>
          <w:rFonts w:hint="eastAsia" w:ascii="宋体" w:hAnsi="宋体" w:cs="宋体"/>
          <w:kern w:val="0"/>
          <w:sz w:val="24"/>
          <w:szCs w:val="24"/>
          <w:lang w:eastAsia="zh-CN"/>
        </w:rPr>
        <w:t>，</w:t>
      </w:r>
      <w:r>
        <w:rPr>
          <w:rFonts w:hint="eastAsia" w:ascii="宋体" w:hAnsi="宋体" w:cs="宋体"/>
          <w:kern w:val="0"/>
          <w:sz w:val="24"/>
          <w:szCs w:val="24"/>
        </w:rPr>
        <w:t>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③高质量作业系统——作业布置</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3分</w:t>
      </w:r>
      <w:r>
        <w:rPr>
          <w:rFonts w:hint="eastAsia" w:ascii="宋体" w:hAnsi="宋体" w:cs="宋体"/>
          <w:kern w:val="0"/>
          <w:sz w:val="24"/>
          <w:szCs w:val="24"/>
          <w:lang w:eastAsia="zh-CN"/>
        </w:rPr>
        <w:t>）</w:t>
      </w:r>
    </w:p>
    <w:p>
      <w:pPr>
        <w:pStyle w:val="3"/>
        <w:numPr>
          <w:ilvl w:val="0"/>
          <w:numId w:val="22"/>
        </w:numPr>
        <w:snapToGrid w:val="0"/>
        <w:spacing w:line="360" w:lineRule="auto"/>
        <w:ind w:left="0"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需支持老师通过手机设置不同频次快速发布不同周期的体育、音乐、美术等五育作业，其中体育作业需要支持1分钟跳绳智能计数。提供五育作业的功能截图</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为避免不兼容的情况发生，还</w:t>
      </w:r>
      <w:r>
        <w:rPr>
          <w:rFonts w:hint="eastAsia" w:ascii="宋体" w:hAnsi="宋体" w:cs="宋体"/>
          <w:kern w:val="0"/>
          <w:sz w:val="24"/>
          <w:szCs w:val="24"/>
          <w:highlight w:val="none"/>
          <w:lang w:val="en-US" w:eastAsia="zh-CN"/>
        </w:rPr>
        <w:t>须</w:t>
      </w:r>
      <w:r>
        <w:rPr>
          <w:rFonts w:hint="eastAsia" w:ascii="宋体" w:hAnsi="宋体" w:cs="宋体"/>
          <w:kern w:val="0"/>
          <w:sz w:val="24"/>
          <w:szCs w:val="24"/>
          <w:highlight w:val="none"/>
        </w:rPr>
        <w:t>提供五育作业与学科作业为同一厂商的证明材料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同时提供得1分，提供不全或不提供不得分。</w:t>
      </w:r>
    </w:p>
    <w:p>
      <w:pPr>
        <w:pStyle w:val="3"/>
        <w:numPr>
          <w:ilvl w:val="0"/>
          <w:numId w:val="0"/>
        </w:numPr>
        <w:snapToGrid w:val="0"/>
        <w:spacing w:line="360" w:lineRule="auto"/>
        <w:ind w:firstLine="480" w:firstLineChars="200"/>
        <w:rPr>
          <w:rFonts w:hint="eastAsia" w:ascii="宋体" w:hAnsi="宋体" w:cs="宋体"/>
          <w:kern w:val="0"/>
          <w:sz w:val="24"/>
          <w:szCs w:val="24"/>
          <w:lang w:eastAsia="zh-CN"/>
        </w:rPr>
      </w:pPr>
      <w:r>
        <w:rPr>
          <w:rFonts w:hint="eastAsia" w:ascii="宋体" w:hAnsi="宋体" w:cs="宋体"/>
          <w:kern w:val="0"/>
          <w:sz w:val="24"/>
          <w:szCs w:val="24"/>
        </w:rPr>
        <w:t>b.支持分层作业的布置，针对不同层级的学生群体布置不同的作业练习。支持系统根据学生历次成绩自动对学生进行分层，但老师可以手动调整层数和每层的学生名单。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c.老师选择试题后，支持系统对作业内容进行自动评估，评估维度包括不限于目标一致性、科目科学性、结果合理性、时长合理性、难点合理性、题目多样性等，评估结果需支持以雷达图和柱状图等形态进行直观反馈，针对异常维度进行提示，并给出精准调整建议并推荐合适的题目。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④高质量作业系统——作业采集</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rPr>
        <w:t>a.需同时支持高速扫描仪快速扫描答题卡，高拍仪直接拍照教辅原册和手机整页拍照学生作业三种方式采集学生作答数据和老师批阅数据，且数据需汇聚到同一个平台，如三种方式采集的学生错题需统一汇聚到该学生的错题本，学情能统一汇聚到班级学情和学生个体学情中。</w:t>
      </w:r>
      <w:r>
        <w:rPr>
          <w:rFonts w:hint="eastAsia" w:ascii="宋体" w:hAnsi="宋体" w:cs="宋体"/>
          <w:kern w:val="0"/>
          <w:sz w:val="24"/>
          <w:szCs w:val="24"/>
          <w:lang w:val="en-US" w:eastAsia="zh-CN"/>
        </w:rPr>
        <w:t>须</w:t>
      </w:r>
      <w:r>
        <w:rPr>
          <w:rFonts w:hint="eastAsia" w:ascii="宋体" w:hAnsi="宋体" w:cs="宋体"/>
          <w:kern w:val="0"/>
          <w:sz w:val="24"/>
          <w:szCs w:val="24"/>
        </w:rPr>
        <w:t>提供各种采集模式的功能截图和兼容三种采集方式的承诺函</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得1分。</w:t>
      </w:r>
    </w:p>
    <w:p>
      <w:pPr>
        <w:pStyle w:val="3"/>
        <w:snapToGrid w:val="0"/>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b.高速扫描仪扫描后需支持自动识别答题卡上手写的学号、作业用时和订正状态等，并进行采集与统计分析。提供功能截图原件扫描件加盖公章放入投标文件内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cs="宋体"/>
          <w:kern w:val="0"/>
          <w:sz w:val="24"/>
          <w:szCs w:val="24"/>
          <w:lang w:eastAsia="zh-CN"/>
        </w:rPr>
      </w:pPr>
      <w:r>
        <w:rPr>
          <w:rFonts w:hint="eastAsia" w:ascii="宋体" w:hAnsi="宋体" w:cs="宋体"/>
          <w:kern w:val="0"/>
          <w:sz w:val="24"/>
          <w:szCs w:val="24"/>
        </w:rPr>
        <w:t>c.高拍仪拍照采集数据时，需支持二维码和RFID两种方式智能识别学生信息；需支持系统自动拍照教辅，并根据教辅内容特征，智能识别当前章节和页码。提供功能截图原件扫描件加盖公章放入投标文件内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⑤高质量作业系统——作业批改</w:t>
      </w:r>
      <w:r>
        <w:rPr>
          <w:rFonts w:hint="eastAsia" w:ascii="宋体" w:hAnsi="宋体" w:cs="宋体"/>
          <w:kern w:val="0"/>
          <w:sz w:val="24"/>
          <w:szCs w:val="24"/>
          <w:lang w:eastAsia="zh-CN"/>
        </w:rPr>
        <w:t>（</w:t>
      </w:r>
      <w:r>
        <w:rPr>
          <w:rFonts w:hint="eastAsia" w:ascii="宋体" w:hAnsi="宋体" w:cs="宋体"/>
          <w:kern w:val="0"/>
          <w:sz w:val="24"/>
          <w:szCs w:val="24"/>
          <w:lang w:val="en-US" w:eastAsia="zh-CN"/>
        </w:rPr>
        <w:t>2分</w:t>
      </w:r>
      <w:r>
        <w:rPr>
          <w:rFonts w:hint="eastAsia" w:ascii="宋体" w:hAnsi="宋体" w:cs="宋体"/>
          <w:kern w:val="0"/>
          <w:sz w:val="24"/>
          <w:szCs w:val="24"/>
          <w:lang w:eastAsia="zh-CN"/>
        </w:rPr>
        <w:t>）</w:t>
      </w:r>
    </w:p>
    <w:p>
      <w:pPr>
        <w:pStyle w:val="3"/>
        <w:numPr>
          <w:ilvl w:val="0"/>
          <w:numId w:val="23"/>
        </w:numPr>
        <w:snapToGrid w:val="0"/>
        <w:spacing w:line="360" w:lineRule="auto"/>
        <w:ind w:left="0" w:firstLine="480" w:firstLineChars="200"/>
        <w:rPr>
          <w:rFonts w:hint="eastAsia" w:ascii="宋体" w:hAnsi="宋体" w:cs="宋体"/>
          <w:kern w:val="0"/>
          <w:sz w:val="24"/>
          <w:szCs w:val="24"/>
          <w:lang w:eastAsia="zh-CN"/>
        </w:rPr>
      </w:pPr>
      <w:r>
        <w:rPr>
          <w:rFonts w:hint="eastAsia" w:ascii="宋体" w:hAnsi="宋体" w:cs="宋体"/>
          <w:kern w:val="0"/>
          <w:sz w:val="24"/>
          <w:szCs w:val="24"/>
        </w:rPr>
        <w:t>先扫后阅模式下，支持系统自动批改或老师在线批改后，能直接在原答题卡答题对应位置上打印批阅结果和痕迹，批阅结果包括不限于对钩、差、半对、划线、圈选等；打印留痕结果时支持系统自动根据整份作业的正确率/得分率评判作业等级，也支持老师自定义印章图形和评语，能连同批阅结果一起打印在原作业上；支持留痕时展示批改日期，支持针对赋分的作业留痕分数，针对错题的作答设置订正区域等。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numPr>
          <w:ilvl w:val="0"/>
          <w:numId w:val="23"/>
        </w:numPr>
        <w:snapToGrid w:val="0"/>
        <w:spacing w:line="360" w:lineRule="auto"/>
        <w:ind w:left="0" w:leftChars="0" w:firstLine="480" w:firstLineChars="200"/>
        <w:rPr>
          <w:rFonts w:hint="eastAsia" w:ascii="宋体" w:hAnsi="宋体" w:cs="宋体"/>
          <w:kern w:val="0"/>
          <w:sz w:val="24"/>
          <w:szCs w:val="24"/>
          <w:lang w:eastAsia="zh-CN"/>
        </w:rPr>
      </w:pPr>
      <w:r>
        <w:rPr>
          <w:rFonts w:hint="eastAsia" w:ascii="宋体" w:hAnsi="宋体" w:cs="宋体"/>
          <w:kern w:val="0"/>
          <w:sz w:val="24"/>
          <w:szCs w:val="24"/>
        </w:rPr>
        <w:t>支持系统对小学数学的主观题实现智能批改，包括不限于判断对错、自动圈画错误步骤和错误答案，并能智能分析和显示学生的错误原因。支持基于学生的原教辅练习册、系统生成打印的试卷或答题卡，通过手机整页拍照答题数据，OCR智能识别并自动批阅，自动呈现学情报告。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numPr>
          <w:ilvl w:val="0"/>
          <w:numId w:val="0"/>
        </w:numPr>
        <w:snapToGrid w:val="0"/>
        <w:spacing w:line="360" w:lineRule="auto"/>
        <w:ind w:leftChars="200"/>
        <w:rPr>
          <w:rFonts w:hint="eastAsia" w:ascii="宋体" w:hAnsi="宋体" w:eastAsia="宋体" w:cs="宋体"/>
          <w:kern w:val="0"/>
          <w:sz w:val="24"/>
          <w:szCs w:val="24"/>
          <w:lang w:eastAsia="zh-CN"/>
        </w:rPr>
      </w:pPr>
      <w:r>
        <w:rPr>
          <w:rFonts w:hint="eastAsia" w:ascii="宋体" w:hAnsi="宋体" w:cs="宋体"/>
          <w:kern w:val="0"/>
          <w:sz w:val="24"/>
          <w:szCs w:val="24"/>
        </w:rPr>
        <w:t>⑥高质量作业系统——作业讲评</w:t>
      </w:r>
      <w:r>
        <w:rPr>
          <w:rFonts w:hint="eastAsia" w:ascii="宋体" w:hAnsi="宋体" w:cs="宋体"/>
          <w:kern w:val="0"/>
          <w:sz w:val="24"/>
          <w:szCs w:val="24"/>
          <w:lang w:eastAsia="zh-CN"/>
        </w:rPr>
        <w:t>（</w:t>
      </w:r>
      <w:r>
        <w:rPr>
          <w:rFonts w:hint="eastAsia" w:ascii="宋体" w:hAnsi="宋体" w:cs="宋体"/>
          <w:kern w:val="0"/>
          <w:sz w:val="24"/>
          <w:szCs w:val="24"/>
          <w:lang w:val="en-US" w:eastAsia="zh-CN"/>
        </w:rPr>
        <w:t>2分</w:t>
      </w:r>
      <w:r>
        <w:rPr>
          <w:rFonts w:hint="eastAsia" w:ascii="宋体" w:hAnsi="宋体" w:cs="宋体"/>
          <w:kern w:val="0"/>
          <w:sz w:val="24"/>
          <w:szCs w:val="24"/>
          <w:lang w:eastAsia="zh-CN"/>
        </w:rPr>
        <w:t>）</w:t>
      </w:r>
    </w:p>
    <w:p>
      <w:pPr>
        <w:pStyle w:val="3"/>
        <w:numPr>
          <w:ilvl w:val="0"/>
          <w:numId w:val="24"/>
        </w:numPr>
        <w:snapToGrid w:val="0"/>
        <w:spacing w:line="360" w:lineRule="auto"/>
        <w:ind w:left="0" w:firstLine="480" w:firstLineChars="200"/>
        <w:rPr>
          <w:rFonts w:hint="eastAsia" w:ascii="宋体" w:hAnsi="宋体" w:cs="宋体"/>
          <w:kern w:val="0"/>
          <w:sz w:val="24"/>
          <w:szCs w:val="24"/>
          <w:lang w:eastAsia="zh-CN"/>
        </w:rPr>
      </w:pPr>
      <w:r>
        <w:rPr>
          <w:rFonts w:hint="eastAsia" w:ascii="宋体" w:hAnsi="宋体" w:cs="宋体"/>
          <w:kern w:val="0"/>
          <w:sz w:val="24"/>
          <w:szCs w:val="24"/>
        </w:rPr>
        <w:t>支持老师通过教室大屏客户端直接调取作业结果在全屏模式下讲解，讲评时支持按题的正确率升序和降序进行筛选，讲解时支持画笔批注讲解。提供功能截图原件扫描件加盖公章放入投标文件内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numPr>
          <w:ilvl w:val="0"/>
          <w:numId w:val="24"/>
        </w:numPr>
        <w:snapToGrid w:val="0"/>
        <w:spacing w:line="360" w:lineRule="auto"/>
        <w:ind w:left="0" w:leftChars="0" w:firstLine="480" w:firstLineChars="200"/>
        <w:rPr>
          <w:rFonts w:hint="eastAsia" w:ascii="宋体" w:hAnsi="宋体" w:cs="宋体"/>
          <w:kern w:val="0"/>
          <w:sz w:val="24"/>
          <w:szCs w:val="24"/>
          <w:lang w:eastAsia="zh-CN"/>
        </w:rPr>
      </w:pPr>
      <w:r>
        <w:rPr>
          <w:rFonts w:hint="eastAsia" w:ascii="宋体" w:hAnsi="宋体" w:cs="宋体"/>
          <w:kern w:val="0"/>
          <w:sz w:val="24"/>
          <w:szCs w:val="24"/>
        </w:rPr>
        <w:t>支持教师通过手机微信扫码上传图片，大屏端无需安装微信，也不需要安装任何插件、投屏软件等。支持一次上传一张或多种图片，并进行对比批注讲解；支持对上传的图片进行优化处理，对上传的任意试题类图片进行智能批改，并自动匹配答案和解析。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numPr>
          <w:ilvl w:val="0"/>
          <w:numId w:val="0"/>
        </w:numPr>
        <w:snapToGrid w:val="0"/>
        <w:spacing w:line="360" w:lineRule="auto"/>
        <w:ind w:leftChars="200"/>
        <w:rPr>
          <w:rFonts w:hint="eastAsia" w:ascii="宋体" w:hAnsi="宋体" w:eastAsia="宋体" w:cs="宋体"/>
          <w:kern w:val="0"/>
          <w:sz w:val="24"/>
          <w:szCs w:val="24"/>
          <w:lang w:eastAsia="zh-CN"/>
        </w:rPr>
      </w:pPr>
      <w:r>
        <w:rPr>
          <w:rFonts w:hint="eastAsia" w:ascii="宋体" w:hAnsi="宋体" w:cs="宋体"/>
          <w:kern w:val="0"/>
          <w:sz w:val="24"/>
          <w:szCs w:val="24"/>
        </w:rPr>
        <w:t>⑦高质量作业系统——学情分析</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1分</w:t>
      </w:r>
      <w:r>
        <w:rPr>
          <w:rFonts w:hint="eastAsia" w:ascii="宋体" w:hAnsi="宋体" w:cs="宋体"/>
          <w:kern w:val="0"/>
          <w:sz w:val="24"/>
          <w:szCs w:val="24"/>
          <w:lang w:eastAsia="zh-CN"/>
        </w:rPr>
        <w:t>）</w:t>
      </w:r>
    </w:p>
    <w:p>
      <w:pPr>
        <w:pStyle w:val="3"/>
        <w:numPr>
          <w:ilvl w:val="0"/>
          <w:numId w:val="0"/>
        </w:numPr>
        <w:snapToGrid w:val="0"/>
        <w:spacing w:line="360" w:lineRule="auto"/>
        <w:ind w:firstLine="480" w:firstLineChars="200"/>
        <w:rPr>
          <w:rFonts w:hint="eastAsia" w:ascii="宋体" w:hAnsi="宋体" w:cs="宋体"/>
          <w:kern w:val="0"/>
          <w:sz w:val="24"/>
          <w:szCs w:val="24"/>
          <w:lang w:eastAsia="zh-CN"/>
        </w:rPr>
      </w:pPr>
      <w:r>
        <w:rPr>
          <w:rFonts w:hint="eastAsia" w:ascii="宋体" w:hAnsi="宋体" w:cs="宋体"/>
          <w:kern w:val="0"/>
          <w:sz w:val="24"/>
          <w:szCs w:val="24"/>
        </w:rPr>
        <w:t>需提供学情分析系统和精准教学测试报告</w:t>
      </w:r>
      <w:r>
        <w:rPr>
          <w:rFonts w:hint="eastAsia" w:ascii="宋体" w:hAnsi="宋体" w:cs="宋体"/>
          <w:kern w:val="0"/>
          <w:sz w:val="24"/>
          <w:szCs w:val="24"/>
          <w:lang w:eastAsia="zh-CN"/>
        </w:rPr>
        <w:t>，</w:t>
      </w:r>
      <w:r>
        <w:rPr>
          <w:rFonts w:hint="eastAsia" w:ascii="宋体" w:hAnsi="宋体" w:cs="宋体"/>
          <w:kern w:val="0"/>
          <w:sz w:val="24"/>
          <w:szCs w:val="24"/>
        </w:rPr>
        <w:t>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numPr>
          <w:ilvl w:val="0"/>
          <w:numId w:val="0"/>
        </w:numPr>
        <w:snapToGrid w:val="0"/>
        <w:spacing w:line="360" w:lineRule="auto"/>
        <w:ind w:leftChars="200"/>
        <w:rPr>
          <w:rFonts w:hint="eastAsia" w:ascii="宋体" w:hAnsi="宋体" w:eastAsia="宋体" w:cs="宋体"/>
          <w:kern w:val="0"/>
          <w:sz w:val="24"/>
          <w:szCs w:val="24"/>
          <w:lang w:eastAsia="zh-CN"/>
        </w:rPr>
      </w:pPr>
      <w:r>
        <w:rPr>
          <w:rFonts w:hint="eastAsia" w:ascii="宋体" w:hAnsi="宋体" w:cs="宋体"/>
          <w:kern w:val="0"/>
          <w:sz w:val="24"/>
          <w:szCs w:val="24"/>
        </w:rPr>
        <w:t>⑧高质量作业系统——个性化复习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1分</w:t>
      </w:r>
      <w:r>
        <w:rPr>
          <w:rFonts w:hint="eastAsia" w:ascii="宋体" w:hAnsi="宋体" w:cs="宋体"/>
          <w:kern w:val="0"/>
          <w:sz w:val="24"/>
          <w:szCs w:val="24"/>
          <w:lang w:eastAsia="zh-CN"/>
        </w:rPr>
        <w:t>）</w:t>
      </w:r>
    </w:p>
    <w:p>
      <w:pPr>
        <w:pStyle w:val="3"/>
        <w:numPr>
          <w:ilvl w:val="0"/>
          <w:numId w:val="0"/>
        </w:numPr>
        <w:snapToGrid w:val="0"/>
        <w:spacing w:line="360" w:lineRule="auto"/>
        <w:ind w:firstLine="480" w:firstLineChars="200"/>
        <w:rPr>
          <w:rFonts w:hint="eastAsia" w:ascii="宋体" w:hAnsi="宋体" w:cs="宋体"/>
          <w:kern w:val="0"/>
          <w:sz w:val="24"/>
          <w:szCs w:val="24"/>
          <w:lang w:eastAsia="zh-CN"/>
        </w:rPr>
      </w:pPr>
      <w:r>
        <w:rPr>
          <w:rFonts w:hint="eastAsia" w:ascii="宋体" w:hAnsi="宋体" w:cs="宋体"/>
          <w:kern w:val="0"/>
          <w:sz w:val="24"/>
          <w:szCs w:val="24"/>
        </w:rPr>
        <w:t>支持为每个学生的个性化作业生成答题卡，学生纸笔作答后可以通过手机整页拍照或扫描仪扫描两种方式提交作答结果，提交后须支持云端智能批改，并自动呈现学情报告。提供功能截图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numPr>
          <w:ilvl w:val="0"/>
          <w:numId w:val="0"/>
        </w:numPr>
        <w:snapToGrid w:val="0"/>
        <w:spacing w:line="360" w:lineRule="auto"/>
        <w:ind w:leftChars="200"/>
        <w:rPr>
          <w:rFonts w:hint="eastAsia" w:ascii="宋体" w:hAnsi="宋体" w:eastAsia="宋体" w:cs="宋体"/>
          <w:kern w:val="0"/>
          <w:sz w:val="24"/>
          <w:szCs w:val="24"/>
          <w:lang w:eastAsia="zh-CN"/>
        </w:rPr>
      </w:pPr>
      <w:r>
        <w:rPr>
          <w:rFonts w:hint="eastAsia" w:ascii="宋体" w:hAnsi="宋体" w:cs="宋体"/>
          <w:kern w:val="0"/>
          <w:sz w:val="24"/>
          <w:szCs w:val="24"/>
        </w:rPr>
        <w:t>⑨服务——初三个性化学习</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1分</w:t>
      </w:r>
      <w:r>
        <w:rPr>
          <w:rFonts w:hint="eastAsia" w:ascii="宋体" w:hAnsi="宋体" w:cs="宋体"/>
          <w:kern w:val="0"/>
          <w:sz w:val="24"/>
          <w:szCs w:val="24"/>
          <w:lang w:eastAsia="zh-CN"/>
        </w:rPr>
        <w:t>）</w:t>
      </w:r>
    </w:p>
    <w:p>
      <w:pPr>
        <w:pStyle w:val="3"/>
        <w:snapToGrid w:val="0"/>
        <w:spacing w:line="360" w:lineRule="auto"/>
        <w:ind w:left="0" w:leftChars="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对1所初中学校的初三提供精准分层作业，基于无锡市历年中考真题&amp;模拟题，结合学校初三学生的日常作业、考试数据，遴选出“提优” 和 “补差” 两类学生，给他们提供每周2-3份的提优作业/补差作业。提供对应方案和服务承诺书扫描件加盖公章放入投标文件内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pStyle w:val="3"/>
        <w:snapToGrid w:val="0"/>
        <w:spacing w:line="360" w:lineRule="auto"/>
        <w:ind w:left="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⑩服务——AI智能全批改服务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1分</w:t>
      </w:r>
      <w:r>
        <w:rPr>
          <w:rFonts w:hint="eastAsia" w:ascii="宋体" w:hAnsi="宋体" w:cs="宋体"/>
          <w:kern w:val="0"/>
          <w:sz w:val="24"/>
          <w:szCs w:val="24"/>
          <w:lang w:eastAsia="zh-CN"/>
        </w:rPr>
        <w:t>）</w:t>
      </w:r>
    </w:p>
    <w:p>
      <w:pPr>
        <w:pStyle w:val="3"/>
        <w:snapToGrid w:val="0"/>
        <w:spacing w:line="360" w:lineRule="auto"/>
        <w:ind w:left="0" w:leftChars="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通过OCR识别技术，实现对3所小学使用班级的小学数学学科所有试题，包括客观题和主观题全部自动批改，无需老师批阅作业，结果自动识别采集分析，覆盖学生不少于2000人(提供服务承诺书原件扫描件加盖公章放入投标文件内</w:t>
      </w:r>
      <w:r>
        <w:rPr>
          <w:rFonts w:hint="eastAsia" w:ascii="宋体" w:hAnsi="宋体" w:cs="宋体"/>
          <w:kern w:val="0"/>
          <w:sz w:val="24"/>
          <w:szCs w:val="24"/>
          <w:lang w:val="en-US" w:eastAsia="zh-CN"/>
        </w:rPr>
        <w:t>得1分</w:t>
      </w:r>
      <w:r>
        <w:rPr>
          <w:rFonts w:hint="eastAsia" w:ascii="宋体" w:hAnsi="宋体" w:cs="宋体"/>
          <w:kern w:val="0"/>
          <w:sz w:val="24"/>
          <w:szCs w:val="24"/>
        </w:rPr>
        <w:t>，不提供不得分</w:t>
      </w:r>
      <w:r>
        <w:rPr>
          <w:rFonts w:hint="eastAsia" w:ascii="宋体" w:hAnsi="宋体" w:cs="宋体"/>
          <w:kern w:val="0"/>
          <w:sz w:val="24"/>
          <w:szCs w:val="24"/>
          <w:lang w:eastAsia="zh-CN"/>
        </w:rPr>
        <w:t>。</w:t>
      </w:r>
    </w:p>
    <w:p>
      <w:pPr>
        <w:tabs>
          <w:tab w:val="left" w:pos="945"/>
          <w:tab w:val="left" w:pos="1155"/>
        </w:tabs>
        <w:spacing w:line="360" w:lineRule="auto"/>
        <w:ind w:firstLine="480" w:firstLineChars="200"/>
        <w:rPr>
          <w:rFonts w:ascii="宋体" w:hAnsi="宋体"/>
          <w:bCs/>
          <w:sz w:val="24"/>
          <w:szCs w:val="24"/>
        </w:rPr>
      </w:pPr>
      <w:r>
        <w:rPr>
          <w:rFonts w:ascii="宋体" w:hAnsi="宋体"/>
          <w:b/>
          <w:bCs/>
          <w:sz w:val="24"/>
          <w:szCs w:val="24"/>
        </w:rPr>
        <w:t>（</w:t>
      </w:r>
      <w:r>
        <w:rPr>
          <w:rFonts w:hint="eastAsia" w:ascii="宋体" w:hAnsi="宋体"/>
          <w:b/>
          <w:bCs/>
          <w:sz w:val="24"/>
          <w:szCs w:val="24"/>
          <w:lang w:val="en-US" w:eastAsia="zh-CN"/>
        </w:rPr>
        <w:t>4</w:t>
      </w:r>
      <w:r>
        <w:rPr>
          <w:rFonts w:ascii="宋体" w:hAnsi="宋体"/>
          <w:b/>
          <w:bCs/>
          <w:sz w:val="24"/>
          <w:szCs w:val="24"/>
        </w:rPr>
        <w:t>）</w:t>
      </w:r>
      <w:r>
        <w:rPr>
          <w:rFonts w:hint="eastAsia" w:ascii="宋体" w:hAnsi="宋体"/>
          <w:b/>
          <w:bCs/>
          <w:sz w:val="24"/>
          <w:szCs w:val="24"/>
        </w:rPr>
        <w:t xml:space="preserve"> </w:t>
      </w:r>
      <w:r>
        <w:rPr>
          <w:rFonts w:hint="eastAsia" w:ascii="宋体" w:hAnsi="宋体"/>
          <w:b/>
          <w:bCs/>
          <w:sz w:val="24"/>
          <w:szCs w:val="24"/>
          <w:lang w:val="en-US" w:eastAsia="zh-CN"/>
        </w:rPr>
        <w:t>项目</w:t>
      </w:r>
      <w:r>
        <w:rPr>
          <w:rFonts w:hint="eastAsia" w:ascii="宋体" w:hAnsi="宋体"/>
          <w:b/>
          <w:bCs/>
          <w:sz w:val="24"/>
          <w:szCs w:val="24"/>
        </w:rPr>
        <w:t>方案（</w:t>
      </w:r>
      <w:r>
        <w:rPr>
          <w:rFonts w:hint="eastAsia" w:ascii="宋体" w:hAnsi="宋体"/>
          <w:b/>
          <w:bCs/>
          <w:sz w:val="24"/>
          <w:szCs w:val="24"/>
          <w:lang w:val="en-US" w:eastAsia="zh-CN"/>
        </w:rPr>
        <w:t>30</w:t>
      </w:r>
      <w:r>
        <w:rPr>
          <w:rFonts w:hint="eastAsia" w:ascii="宋体" w:hAnsi="宋体"/>
          <w:b/>
          <w:bCs/>
          <w:sz w:val="24"/>
          <w:szCs w:val="24"/>
        </w:rPr>
        <w:t>分）</w:t>
      </w:r>
      <w:r>
        <w:rPr>
          <w:rFonts w:hint="eastAsia" w:ascii="宋体" w:hAnsi="宋体"/>
          <w:bCs/>
          <w:sz w:val="24"/>
          <w:szCs w:val="24"/>
        </w:rPr>
        <w:t>：</w:t>
      </w:r>
      <w:r>
        <w:rPr>
          <w:rFonts w:hint="eastAsia" w:ascii="宋体" w:hAnsi="宋体"/>
          <w:b/>
          <w:bCs/>
          <w:color w:val="000000" w:themeColor="text1"/>
          <w:sz w:val="24"/>
          <w:szCs w:val="24"/>
          <w14:textFill>
            <w14:solidFill>
              <w14:schemeClr w14:val="tx1"/>
            </w14:solidFill>
          </w14:textFill>
        </w:rPr>
        <w:t>无方案不得分</w:t>
      </w:r>
      <w:r>
        <w:rPr>
          <w:rFonts w:hint="eastAsia" w:ascii="宋体" w:hAnsi="宋体"/>
          <w:b/>
          <w:bCs/>
          <w:color w:val="000000" w:themeColor="text1"/>
          <w:sz w:val="24"/>
          <w:szCs w:val="24"/>
          <w:lang w:eastAsia="zh-CN"/>
          <w14:textFill>
            <w14:solidFill>
              <w14:schemeClr w14:val="tx1"/>
            </w14:solidFill>
          </w14:textFill>
        </w:rPr>
        <w:t>，</w:t>
      </w:r>
      <w:r>
        <w:rPr>
          <w:rFonts w:hint="eastAsia" w:ascii="宋体" w:hAnsi="宋体"/>
          <w:b/>
          <w:bCs/>
          <w:color w:val="000000" w:themeColor="text1"/>
          <w:sz w:val="24"/>
          <w:szCs w:val="24"/>
          <w:lang w:val="en-US" w:eastAsia="zh-CN"/>
          <w14:textFill>
            <w14:solidFill>
              <w14:schemeClr w14:val="tx1"/>
            </w14:solidFill>
          </w14:textFill>
        </w:rPr>
        <w:t>评委根据横向比较综合打分</w:t>
      </w:r>
      <w:r>
        <w:rPr>
          <w:rFonts w:hint="eastAsia" w:ascii="宋体" w:hAnsi="宋体"/>
          <w:b/>
          <w:bCs/>
          <w:color w:val="000000" w:themeColor="text1"/>
          <w:sz w:val="24"/>
          <w:szCs w:val="24"/>
          <w14:textFill>
            <w14:solidFill>
              <w14:schemeClr w14:val="tx1"/>
            </w14:solidFill>
          </w14:textFill>
        </w:rPr>
        <w:t>。</w:t>
      </w:r>
    </w:p>
    <w:p>
      <w:pPr>
        <w:tabs>
          <w:tab w:val="left" w:pos="945"/>
          <w:tab w:val="left" w:pos="1155"/>
        </w:tabs>
        <w:spacing w:line="360" w:lineRule="auto"/>
        <w:ind w:firstLine="566" w:firstLineChars="236"/>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①</w:t>
      </w:r>
      <w:r>
        <w:rPr>
          <w:rFonts w:hint="eastAsia" w:ascii="宋体" w:hAnsi="宋体"/>
          <w:bCs/>
          <w:color w:val="000000" w:themeColor="text1"/>
          <w:sz w:val="24"/>
          <w:szCs w:val="24"/>
          <w:lang w:val="zh-CN"/>
          <w14:textFill>
            <w14:solidFill>
              <w14:schemeClr w14:val="tx1"/>
            </w14:solidFill>
          </w14:textFill>
        </w:rPr>
        <w:t>安装调试方案（</w:t>
      </w:r>
      <w:r>
        <w:rPr>
          <w:rFonts w:hint="eastAsia" w:ascii="宋体" w:hAnsi="宋体"/>
          <w:bCs/>
          <w:color w:val="000000" w:themeColor="text1"/>
          <w:sz w:val="24"/>
          <w:szCs w:val="24"/>
          <w14:textFill>
            <w14:solidFill>
              <w14:schemeClr w14:val="tx1"/>
            </w14:solidFill>
          </w14:textFill>
        </w:rPr>
        <w:t>6分</w:t>
      </w:r>
      <w:r>
        <w:rPr>
          <w:rFonts w:hint="eastAsia" w:ascii="宋体" w:hAnsi="宋体"/>
          <w:bCs/>
          <w:color w:val="000000" w:themeColor="text1"/>
          <w:sz w:val="24"/>
          <w:szCs w:val="24"/>
          <w:lang w:val="zh-CN"/>
          <w14:textFill>
            <w14:solidFill>
              <w14:schemeClr w14:val="tx1"/>
            </w14:solidFill>
          </w14:textFill>
        </w:rPr>
        <w:t>）：根据供应商提供的安装调试方案综合评价，方案科学合理且承诺能全部解决现场问题的得</w:t>
      </w:r>
      <w:r>
        <w:rPr>
          <w:rFonts w:hint="eastAsia"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lang w:val="zh-CN"/>
          <w14:textFill>
            <w14:solidFill>
              <w14:schemeClr w14:val="tx1"/>
            </w14:solidFill>
          </w14:textFill>
        </w:rPr>
        <w:t>分；方案基本合理具有可实施性的得</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val="zh-CN"/>
          <w14:textFill>
            <w14:solidFill>
              <w14:schemeClr w14:val="tx1"/>
            </w14:solidFill>
          </w14:textFill>
        </w:rPr>
        <w:t>分；提供方案但有瑕疵不具有操作性的得</w:t>
      </w: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zh-CN"/>
          <w14:textFill>
            <w14:solidFill>
              <w14:schemeClr w14:val="tx1"/>
            </w14:solidFill>
          </w14:textFill>
        </w:rPr>
        <w:t>分；不提供方案或方案不合理不能满足现场需要的不得分。</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②</w:t>
      </w:r>
      <w:r>
        <w:rPr>
          <w:rFonts w:hint="eastAsia" w:ascii="宋体" w:hAnsi="宋体"/>
          <w:bCs/>
          <w:color w:val="000000" w:themeColor="text1"/>
          <w:sz w:val="24"/>
          <w:szCs w:val="24"/>
          <w:lang w:val="zh-CN"/>
          <w14:textFill>
            <w14:solidFill>
              <w14:schemeClr w14:val="tx1"/>
            </w14:solidFill>
          </w14:textFill>
        </w:rPr>
        <w:t>项目进度方案（</w:t>
      </w:r>
      <w:r>
        <w:rPr>
          <w:rFonts w:hint="eastAsia" w:ascii="宋体" w:hAnsi="宋体"/>
          <w:bCs/>
          <w:color w:val="000000" w:themeColor="text1"/>
          <w:sz w:val="24"/>
          <w:szCs w:val="24"/>
          <w14:textFill>
            <w14:solidFill>
              <w14:schemeClr w14:val="tx1"/>
            </w14:solidFill>
          </w14:textFill>
        </w:rPr>
        <w:t>6分</w:t>
      </w:r>
      <w:r>
        <w:rPr>
          <w:rFonts w:hint="eastAsia" w:ascii="宋体" w:hAnsi="宋体"/>
          <w:bCs/>
          <w:color w:val="000000" w:themeColor="text1"/>
          <w:sz w:val="24"/>
          <w:szCs w:val="24"/>
          <w:lang w:val="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投标人根据项目要求及自身情况编制进度计划，要求体现进度的全面、清晰、合理、可行，方案清晰、合理、详细、全面、可行性强的得6分，方案清晰、合理、详细、全面的得3分，略有瑕疵的得1分，不提供或进度方案不满足基本要求的，不得分</w:t>
      </w:r>
    </w:p>
    <w:p>
      <w:pPr>
        <w:tabs>
          <w:tab w:val="left" w:pos="945"/>
          <w:tab w:val="left" w:pos="1155"/>
        </w:tabs>
        <w:spacing w:line="360" w:lineRule="auto"/>
        <w:ind w:firstLine="566" w:firstLineChars="236"/>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③</w:t>
      </w:r>
      <w:r>
        <w:rPr>
          <w:rFonts w:hint="eastAsia" w:ascii="宋体" w:hAnsi="宋体"/>
          <w:bCs/>
          <w:color w:val="000000" w:themeColor="text1"/>
          <w:sz w:val="24"/>
          <w:szCs w:val="24"/>
          <w:lang w:val="zh-CN"/>
          <w14:textFill>
            <w14:solidFill>
              <w14:schemeClr w14:val="tx1"/>
            </w14:solidFill>
          </w14:textFill>
        </w:rPr>
        <w:t>验收方案（</w:t>
      </w:r>
      <w:r>
        <w:rPr>
          <w:rFonts w:hint="eastAsia" w:ascii="宋体" w:hAnsi="宋体"/>
          <w:bCs/>
          <w:color w:val="000000" w:themeColor="text1"/>
          <w:sz w:val="24"/>
          <w:szCs w:val="24"/>
          <w14:textFill>
            <w14:solidFill>
              <w14:schemeClr w14:val="tx1"/>
            </w14:solidFill>
          </w14:textFill>
        </w:rPr>
        <w:t>6分）：</w:t>
      </w:r>
      <w:r>
        <w:rPr>
          <w:rFonts w:hint="eastAsia" w:ascii="宋体" w:hAnsi="宋体"/>
          <w:bCs/>
          <w:color w:val="000000" w:themeColor="text1"/>
          <w:sz w:val="24"/>
          <w:szCs w:val="24"/>
          <w:lang w:val="zh-CN"/>
          <w14:textFill>
            <w14:solidFill>
              <w14:schemeClr w14:val="tx1"/>
            </w14:solidFill>
          </w14:textFill>
        </w:rPr>
        <w:t>验收方案完善且满足要求得</w:t>
      </w:r>
      <w:r>
        <w:rPr>
          <w:rFonts w:hint="eastAsia"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lang w:val="zh-CN"/>
          <w14:textFill>
            <w14:solidFill>
              <w14:schemeClr w14:val="tx1"/>
            </w14:solidFill>
          </w14:textFill>
        </w:rPr>
        <w:t>分；基本满足要求的得</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val="zh-CN"/>
          <w14:textFill>
            <w14:solidFill>
              <w14:schemeClr w14:val="tx1"/>
            </w14:solidFill>
          </w14:textFill>
        </w:rPr>
        <w:t>分；略有瑕疵得1分；不能提供验收方案或验收方案不能满足要求的不得分。</w:t>
      </w:r>
    </w:p>
    <w:p>
      <w:pPr>
        <w:tabs>
          <w:tab w:val="left" w:pos="945"/>
          <w:tab w:val="left" w:pos="1155"/>
        </w:tabs>
        <w:spacing w:line="360" w:lineRule="auto"/>
        <w:ind w:firstLine="566" w:firstLineChars="236"/>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fldChar w:fldCharType="begin"/>
      </w:r>
      <w:r>
        <w:rPr>
          <w:rFonts w:hint="eastAsia" w:ascii="宋体" w:hAnsi="宋体"/>
          <w:bCs/>
          <w:color w:val="000000" w:themeColor="text1"/>
          <w:sz w:val="24"/>
          <w:szCs w:val="24"/>
          <w:lang w:val="zh-CN"/>
          <w14:textFill>
            <w14:solidFill>
              <w14:schemeClr w14:val="tx1"/>
            </w14:solidFill>
          </w14:textFill>
        </w:rPr>
        <w:instrText xml:space="preserve"> = 4 \* GB3 \* MERGEFORMAT </w:instrText>
      </w:r>
      <w:r>
        <w:rPr>
          <w:rFonts w:hint="eastAsia" w:ascii="宋体" w:hAnsi="宋体"/>
          <w:bCs/>
          <w:color w:val="000000" w:themeColor="text1"/>
          <w:sz w:val="24"/>
          <w:szCs w:val="24"/>
          <w:lang w:val="zh-CN"/>
          <w14:textFill>
            <w14:solidFill>
              <w14:schemeClr w14:val="tx1"/>
            </w14:solidFill>
          </w14:textFill>
        </w:rPr>
        <w:fldChar w:fldCharType="separate"/>
      </w:r>
      <w:r>
        <w:rPr>
          <w:rFonts w:hint="eastAsia" w:ascii="宋体" w:hAnsi="宋体"/>
          <w:bCs/>
          <w:color w:val="000000" w:themeColor="text1"/>
          <w:sz w:val="24"/>
          <w:szCs w:val="24"/>
          <w14:textFill>
            <w14:solidFill>
              <w14:schemeClr w14:val="tx1"/>
            </w14:solidFill>
          </w14:textFill>
        </w:rPr>
        <w:t>④</w:t>
      </w:r>
      <w:r>
        <w:rPr>
          <w:rFonts w:hint="eastAsia" w:ascii="宋体" w:hAnsi="宋体"/>
          <w:bCs/>
          <w:color w:val="000000" w:themeColor="text1"/>
          <w:sz w:val="24"/>
          <w:szCs w:val="24"/>
          <w:lang w:val="zh-CN"/>
          <w14:textFill>
            <w14:solidFill>
              <w14:schemeClr w14:val="tx1"/>
            </w14:solidFill>
          </w14:textFill>
        </w:rPr>
        <w:fldChar w:fldCharType="end"/>
      </w:r>
      <w:r>
        <w:rPr>
          <w:rFonts w:hint="eastAsia" w:ascii="宋体" w:hAnsi="宋体"/>
          <w:bCs/>
          <w:color w:val="000000" w:themeColor="text1"/>
          <w:sz w:val="24"/>
          <w:szCs w:val="24"/>
          <w:lang w:val="zh-CN"/>
          <w14:textFill>
            <w14:solidFill>
              <w14:schemeClr w14:val="tx1"/>
            </w14:solidFill>
          </w14:textFill>
        </w:rPr>
        <w:t>质量保证措施方案（</w:t>
      </w:r>
      <w:r>
        <w:rPr>
          <w:rFonts w:hint="eastAsia" w:ascii="宋体" w:hAnsi="宋体"/>
          <w:bCs/>
          <w:color w:val="000000" w:themeColor="text1"/>
          <w:sz w:val="24"/>
          <w:szCs w:val="24"/>
          <w14:textFill>
            <w14:solidFill>
              <w14:schemeClr w14:val="tx1"/>
            </w14:solidFill>
          </w14:textFill>
        </w:rPr>
        <w:t>6分</w:t>
      </w:r>
      <w:r>
        <w:rPr>
          <w:rFonts w:hint="eastAsia" w:ascii="宋体" w:hAnsi="宋体"/>
          <w:bCs/>
          <w:color w:val="000000" w:themeColor="text1"/>
          <w:sz w:val="24"/>
          <w:szCs w:val="24"/>
          <w:lang w:val="zh-CN"/>
          <w14:textFill>
            <w14:solidFill>
              <w14:schemeClr w14:val="tx1"/>
            </w14:solidFill>
          </w14:textFill>
        </w:rPr>
        <w:t>）：投标人能提供具体质量保证措施方案，包括每年进行例行免费维护保养措施等，方案科学合理得</w:t>
      </w:r>
      <w:r>
        <w:rPr>
          <w:rFonts w:hint="eastAsia"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lang w:val="zh-CN"/>
          <w14:textFill>
            <w14:solidFill>
              <w14:schemeClr w14:val="tx1"/>
            </w14:solidFill>
          </w14:textFill>
        </w:rPr>
        <w:t>分，基本合理略有瑕疵得</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val="zh-CN"/>
          <w14:textFill>
            <w14:solidFill>
              <w14:schemeClr w14:val="tx1"/>
            </w14:solidFill>
          </w14:textFill>
        </w:rPr>
        <w:t>分，缺项或不合理的得1分，不提供不得分。</w:t>
      </w:r>
    </w:p>
    <w:p>
      <w:pPr>
        <w:tabs>
          <w:tab w:val="left" w:pos="945"/>
          <w:tab w:val="left" w:pos="1155"/>
        </w:tabs>
        <w:spacing w:line="360" w:lineRule="auto"/>
        <w:ind w:firstLine="566" w:firstLineChars="236"/>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fldChar w:fldCharType="begin"/>
      </w:r>
      <w:r>
        <w:rPr>
          <w:rFonts w:hint="eastAsia" w:ascii="宋体" w:hAnsi="宋体"/>
          <w:bCs/>
          <w:color w:val="000000" w:themeColor="text1"/>
          <w:sz w:val="24"/>
          <w:szCs w:val="24"/>
          <w:lang w:val="zh-CN"/>
          <w14:textFill>
            <w14:solidFill>
              <w14:schemeClr w14:val="tx1"/>
            </w14:solidFill>
          </w14:textFill>
        </w:rPr>
        <w:instrText xml:space="preserve"> = 5 \* GB3 \* MERGEFORMAT </w:instrText>
      </w:r>
      <w:r>
        <w:rPr>
          <w:rFonts w:hint="eastAsia" w:ascii="宋体" w:hAnsi="宋体"/>
          <w:bCs/>
          <w:color w:val="000000" w:themeColor="text1"/>
          <w:sz w:val="24"/>
          <w:szCs w:val="24"/>
          <w:lang w:val="zh-CN"/>
          <w14:textFill>
            <w14:solidFill>
              <w14:schemeClr w14:val="tx1"/>
            </w14:solidFill>
          </w14:textFill>
        </w:rPr>
        <w:fldChar w:fldCharType="separate"/>
      </w:r>
      <w:r>
        <w:rPr>
          <w:rFonts w:hint="eastAsia" w:ascii="宋体" w:hAnsi="宋体"/>
          <w:bCs/>
          <w:color w:val="000000" w:themeColor="text1"/>
          <w:sz w:val="24"/>
          <w:szCs w:val="24"/>
          <w14:textFill>
            <w14:solidFill>
              <w14:schemeClr w14:val="tx1"/>
            </w14:solidFill>
          </w14:textFill>
        </w:rPr>
        <w:t>⑤</w:t>
      </w:r>
      <w:r>
        <w:rPr>
          <w:rFonts w:hint="eastAsia" w:ascii="宋体" w:hAnsi="宋体"/>
          <w:bCs/>
          <w:color w:val="000000" w:themeColor="text1"/>
          <w:sz w:val="24"/>
          <w:szCs w:val="24"/>
          <w:lang w:val="zh-CN"/>
          <w14:textFill>
            <w14:solidFill>
              <w14:schemeClr w14:val="tx1"/>
            </w14:solidFill>
          </w14:textFill>
        </w:rPr>
        <w:fldChar w:fldCharType="end"/>
      </w:r>
      <w:r>
        <w:rPr>
          <w:rFonts w:hint="eastAsia" w:ascii="宋体" w:hAnsi="宋体"/>
          <w:bCs/>
          <w:color w:val="000000" w:themeColor="text1"/>
          <w:sz w:val="24"/>
          <w:szCs w:val="24"/>
          <w:lang w:val="zh-CN"/>
          <w14:textFill>
            <w14:solidFill>
              <w14:schemeClr w14:val="tx1"/>
            </w14:solidFill>
          </w14:textFill>
        </w:rPr>
        <w:t>售后服务（</w:t>
      </w:r>
      <w:r>
        <w:rPr>
          <w:rFonts w:hint="eastAsia" w:ascii="宋体" w:hAnsi="宋体"/>
          <w:bCs/>
          <w:color w:val="000000" w:themeColor="text1"/>
          <w:sz w:val="24"/>
          <w:szCs w:val="24"/>
          <w14:textFill>
            <w14:solidFill>
              <w14:schemeClr w14:val="tx1"/>
            </w14:solidFill>
          </w14:textFill>
        </w:rPr>
        <w:t>6分</w:t>
      </w:r>
      <w:r>
        <w:rPr>
          <w:rFonts w:hint="eastAsia" w:ascii="宋体" w:hAnsi="宋体"/>
          <w:bCs/>
          <w:color w:val="000000" w:themeColor="text1"/>
          <w:sz w:val="24"/>
          <w:szCs w:val="24"/>
          <w:lang w:val="zh-CN"/>
          <w14:textFill>
            <w14:solidFill>
              <w14:schemeClr w14:val="tx1"/>
            </w14:solidFill>
          </w14:textFill>
        </w:rPr>
        <w:t>）：具有完备的售后服务体系，对售后服务机构、故障维修处理时间、定期或不定期巡检等方面充分实施的得</w:t>
      </w:r>
      <w:r>
        <w:rPr>
          <w:rFonts w:hint="eastAsia"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lang w:val="zh-CN"/>
          <w14:textFill>
            <w14:solidFill>
              <w14:schemeClr w14:val="tx1"/>
            </w14:solidFill>
          </w14:textFill>
        </w:rPr>
        <w:t>分；具有对招标人要求的售后服务、故障维修处理时间进行承诺等完全满足但实施性不强的得</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val="zh-CN"/>
          <w14:textFill>
            <w14:solidFill>
              <w14:schemeClr w14:val="tx1"/>
            </w14:solidFill>
          </w14:textFill>
        </w:rPr>
        <w:t>分；具有售后服务方面承诺但不全面不具有操作性的得</w:t>
      </w:r>
      <w:r>
        <w:rPr>
          <w:rFonts w:hint="eastAsia"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zh-CN"/>
          <w14:textFill>
            <w14:solidFill>
              <w14:schemeClr w14:val="tx1"/>
            </w14:solidFill>
          </w14:textFill>
        </w:rPr>
        <w:t>分；有售后服务说明但过分简单的得1分，不提供不得分。（投标人需提供相应的证明材料和承诺书，格式自拟）</w:t>
      </w:r>
    </w:p>
    <w:p>
      <w:pPr>
        <w:tabs>
          <w:tab w:val="left" w:pos="945"/>
          <w:tab w:val="left" w:pos="1155"/>
        </w:tabs>
        <w:spacing w:line="360" w:lineRule="auto"/>
        <w:ind w:firstLine="566" w:firstLineChars="236"/>
        <w:rPr>
          <w:rFonts w:hint="eastAsia" w:ascii="宋体" w:hAnsi="宋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pStyle w:val="2"/>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pStyle w:val="2"/>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pStyle w:val="3"/>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hint="eastAsia"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pStyle w:val="2"/>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LXZC2022-026</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梁溪区AI智慧作业系统</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二○二二年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2" w:name="一．报价函（格式）"/>
      <w:bookmarkEnd w:id="2"/>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31"/>
      </w:pPr>
    </w:p>
    <w:p>
      <w:pPr>
        <w:ind w:firstLine="480" w:firstLineChars="200"/>
        <w:outlineLvl w:val="0"/>
        <w:rPr>
          <w:rFonts w:hint="eastAsia"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LXZC2022-026</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5"/>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我方愿意按照招标文件的一切要求，提供本项目的投标，投标总价见《开标一览表》。</w:t>
      </w:r>
    </w:p>
    <w:p>
      <w:pPr>
        <w:numPr>
          <w:ilvl w:val="0"/>
          <w:numId w:val="25"/>
        </w:numPr>
        <w:tabs>
          <w:tab w:val="left" w:pos="0"/>
          <w:tab w:val="left" w:pos="315"/>
          <w:tab w:val="left" w:pos="525"/>
          <w:tab w:val="left" w:pos="840"/>
          <w:tab w:val="left" w:pos="945"/>
          <w:tab w:val="left" w:pos="1050"/>
          <w:tab w:val="clear" w:pos="552"/>
        </w:tabs>
        <w:spacing w:line="360" w:lineRule="auto"/>
        <w:ind w:left="0" w:firstLine="523" w:firstLineChars="218"/>
        <w:rPr>
          <w:rStyle w:val="28"/>
          <w:rFonts w:hAnsi="Times New Roman" w:cs="Times New Roman"/>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我方愿意提供无锡市公共资源交易中心梁溪分中心在招标文件中要求的文件、资料。</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我方同意按招标文件中的规定，本投标文件投标的有效期限为开标之日起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如果我方的投标文件被接受，我方将履行招标文件中规定的每一项要求，按期、按质、按量，完成交货任务。</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我方认为贵中心有权决定中标者。</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我方愿意遵守《中华人民共和国政府采购法》，并按《中华人民共和国民法典》、财政部《政府采购货物和服务招标投标管理办法》</w:t>
      </w:r>
      <w:r>
        <w:rPr>
          <w:rFonts w:hint="eastAsia" w:ascii="宋体" w:hAnsi="宋体"/>
          <w:color w:val="000000" w:themeColor="text1"/>
          <w:sz w:val="24"/>
          <w:szCs w:val="24"/>
          <w14:textFill>
            <w14:solidFill>
              <w14:schemeClr w14:val="tx1"/>
            </w14:solidFill>
          </w14:textFill>
        </w:rPr>
        <w:t>和</w:t>
      </w:r>
      <w:r>
        <w:rPr>
          <w:rFonts w:hint="eastAsia" w:ascii="宋体" w:hAnsi="宋体"/>
          <w:bCs/>
          <w:color w:val="000000" w:themeColor="text1"/>
          <w:sz w:val="24"/>
          <w:szCs w:val="24"/>
          <w14:textFill>
            <w14:solidFill>
              <w14:schemeClr w14:val="tx1"/>
            </w14:solidFill>
          </w14:textFill>
        </w:rPr>
        <w:t>合同条款履行自己的全部责任。</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我方认可并遵守招标文件的所有规定，放弃对招标文件提出质疑的权利。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我方愿意按招标文件的规定提交《投标（报价）承诺函》。如我方在投标截止期后撤回投标及中标后拒绝遵守投标承诺或拒绝在规定的时间内与采购人签订合同，则接受政府采购监督管理部门的处理。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如果我方被确定为中标供应商，我方愿意</w:t>
      </w:r>
      <w:r>
        <w:rPr>
          <w:rFonts w:hint="eastAsia" w:ascii="宋体" w:hAnsi="宋体"/>
          <w:color w:val="000000" w:themeColor="text1"/>
          <w:sz w:val="24"/>
          <w:szCs w:val="24"/>
          <w14:textFill>
            <w14:solidFill>
              <w14:schemeClr w14:val="tx1"/>
            </w14:solidFill>
          </w14:textFill>
        </w:rPr>
        <w:t>向</w:t>
      </w:r>
      <w:r>
        <w:rPr>
          <w:rFonts w:hint="eastAsia" w:ascii="宋体" w:hAnsi="宋体"/>
          <w:bCs/>
          <w:color w:val="000000" w:themeColor="text1"/>
          <w:sz w:val="24"/>
          <w:szCs w:val="24"/>
          <w14:textFill>
            <w14:solidFill>
              <w14:schemeClr w14:val="tx1"/>
            </w14:solidFill>
          </w14:textFill>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hint="eastAsia"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3" w:name="报价方关于资格的声明函（格式）"/>
      <w:bookmarkEnd w:id="3"/>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LXZC2022-026</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LXZC2022-026</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LXZC2022-026</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2"/>
      </w:pPr>
    </w:p>
    <w:p>
      <w:pPr>
        <w:pStyle w:val="3"/>
        <w:ind w:left="420" w:hanging="420"/>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sz w:val="28"/>
          <w:szCs w:val="28"/>
        </w:rPr>
      </w:pPr>
      <w:r>
        <w:rPr>
          <w:rFonts w:hint="eastAsia" w:ascii="黑体" w:eastAsia="黑体"/>
          <w:bCs/>
          <w:sz w:val="28"/>
          <w:szCs w:val="28"/>
        </w:rPr>
        <w:t>中小企业声明函（服务）</w:t>
      </w:r>
    </w:p>
    <w:p>
      <w:pPr>
        <w:spacing w:line="580" w:lineRule="exact"/>
        <w:ind w:firstLine="480" w:firstLineChars="200"/>
        <w:rPr>
          <w:rFonts w:ascii="宋体" w:hAnsi="宋体"/>
          <w:bCs/>
          <w:sz w:val="24"/>
          <w:szCs w:val="24"/>
        </w:rPr>
      </w:pPr>
      <w:r>
        <w:rPr>
          <w:rFonts w:hint="eastAsia" w:ascii="宋体" w:hAnsi="宋体"/>
          <w:bCs/>
          <w:sz w:val="24"/>
          <w:szCs w:val="24"/>
        </w:rPr>
        <w:t xml:space="preserve">本公司（联合体）郑重声明，根据《政府采购促进中小企业发展管理办法》（财库﹝2020﹞46 号）的规定，本公司 </w:t>
      </w:r>
      <w:r>
        <w:rPr>
          <w:rFonts w:hint="eastAsia" w:ascii="宋体" w:hAnsi="宋体"/>
          <w:bCs/>
          <w:sz w:val="24"/>
          <w:szCs w:val="24"/>
          <w:u w:val="single"/>
        </w:rPr>
        <w:t>（联合体）</w:t>
      </w:r>
      <w:r>
        <w:rPr>
          <w:rFonts w:hint="eastAsia" w:ascii="宋体" w:hAnsi="宋体"/>
          <w:bCs/>
          <w:sz w:val="24"/>
          <w:szCs w:val="24"/>
        </w:rPr>
        <w:t>参加</w:t>
      </w:r>
      <w:r>
        <w:rPr>
          <w:rFonts w:hint="eastAsia" w:ascii="宋体" w:hAnsi="宋体"/>
          <w:bCs/>
          <w:sz w:val="24"/>
          <w:szCs w:val="24"/>
          <w:u w:val="single"/>
        </w:rPr>
        <w:t>（单位名称）</w:t>
      </w:r>
      <w:r>
        <w:rPr>
          <w:rFonts w:hint="eastAsia" w:ascii="宋体" w:hAnsi="宋体"/>
          <w:bCs/>
          <w:sz w:val="24"/>
          <w:szCs w:val="24"/>
        </w:rPr>
        <w:t>的</w:t>
      </w:r>
      <w:r>
        <w:rPr>
          <w:rFonts w:hint="eastAsia" w:ascii="宋体" w:hAnsi="宋体"/>
          <w:bCs/>
          <w:sz w:val="24"/>
          <w:szCs w:val="24"/>
          <w:u w:val="single"/>
        </w:rPr>
        <w:t>（项目名称）</w:t>
      </w:r>
      <w:r>
        <w:rPr>
          <w:rFonts w:hint="eastAsia" w:ascii="宋体" w:hAnsi="宋体"/>
          <w:bCs/>
          <w:sz w:val="24"/>
          <w:szCs w:val="24"/>
        </w:rPr>
        <w:t>采购活动，服务全部由符合政策要求的中小企业承接。相关企业（含联合体中的中小企业、签订分包意向协议的中小企业）的具体情况如下：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 本企业对上述声明内容的真实性负责。如有虚假，将依 法承担相应责任。</w:t>
      </w:r>
    </w:p>
    <w:p>
      <w:pPr>
        <w:outlineLvl w:val="0"/>
        <w:rPr>
          <w:rFonts w:ascii="黑体" w:hAnsi="宋体" w:eastAsia="黑体"/>
          <w:bCs/>
          <w:sz w:val="24"/>
          <w:szCs w:val="24"/>
        </w:rPr>
      </w:pPr>
    </w:p>
    <w:p>
      <w:pPr>
        <w:outlineLvl w:val="0"/>
        <w:rPr>
          <w:rFonts w:ascii="黑体" w:hAnsi="宋体" w:eastAsia="黑体"/>
          <w:bCs/>
          <w:sz w:val="24"/>
          <w:szCs w:val="24"/>
        </w:rPr>
      </w:pPr>
      <w:r>
        <w:rPr>
          <w:rFonts w:hint="eastAsia" w:ascii="黑体" w:hAnsi="宋体" w:eastAsia="黑体"/>
          <w:bCs/>
          <w:sz w:val="24"/>
          <w:szCs w:val="24"/>
        </w:rPr>
        <w:t xml:space="preserve"> </w:t>
      </w:r>
    </w:p>
    <w:p>
      <w:pPr>
        <w:outlineLvl w:val="0"/>
        <w:rPr>
          <w:rFonts w:ascii="黑体" w:hAnsi="宋体" w:eastAsia="黑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ind w:firstLine="420" w:firstLineChars="200"/>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中标供应商的《中小企业声明函》将随中标公告进行公示。供应商按照本办法规定提供声明函内容不实的，属于提供虚假材料谋取中标、成交，依照《中华人民共和国政府采购法》等国家有关规定追究相应责任。</w:t>
      </w:r>
    </w:p>
    <w:p>
      <w:pPr>
        <w:spacing w:line="360" w:lineRule="auto"/>
        <w:rPr>
          <w:color w:val="000000" w:themeColor="text1"/>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4" w:name="OLE_LINK14"/>
      <w:bookmarkStart w:id="5" w:name="OLE_LINK13"/>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4"/>
    <w:bookmarkEnd w:id="5"/>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6"/>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服务保障承诺书</w:t>
      </w:r>
    </w:p>
    <w:p>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（投标人名称）针</w:t>
      </w:r>
      <w:r>
        <w:rPr>
          <w:rFonts w:hint="eastAsia" w:ascii="宋体" w:hAnsi="宋体"/>
          <w:bCs/>
          <w:color w:val="000000" w:themeColor="text1"/>
          <w:sz w:val="24"/>
          <w:szCs w:val="24"/>
          <w14:textFill>
            <w14:solidFill>
              <w14:schemeClr w14:val="tx1"/>
            </w14:solidFill>
          </w14:textFill>
        </w:rPr>
        <w:t>对本项目（</w:t>
      </w:r>
      <w:r>
        <w:rPr>
          <w:rFonts w:hint="eastAsia" w:ascii="宋体" w:hAnsi="宋体"/>
          <w:bCs/>
          <w:color w:val="000000" w:themeColor="text1"/>
          <w:sz w:val="24"/>
          <w:szCs w:val="24"/>
          <w:lang w:eastAsia="zh-CN"/>
          <w14:textFill>
            <w14:solidFill>
              <w14:schemeClr w14:val="tx1"/>
            </w14:solidFill>
          </w14:textFill>
        </w:rPr>
        <w:t>LXZC2022-026</w:t>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在此承诺：</w:t>
      </w:r>
    </w:p>
    <w:p>
      <w:pPr>
        <w:spacing w:line="480" w:lineRule="auto"/>
        <w:rPr>
          <w:rFonts w:ascii="宋体" w:hAnsi="宋体"/>
          <w:color w:val="000000" w:themeColor="text1"/>
          <w:sz w:val="24"/>
          <w:szCs w:val="24"/>
          <w14:textFill>
            <w14:solidFill>
              <w14:schemeClr w14:val="tx1"/>
            </w14:solidFill>
          </w14:textFill>
        </w:rPr>
      </w:pPr>
    </w:p>
    <w:p>
      <w:pPr>
        <w:tabs>
          <w:tab w:val="left" w:pos="945"/>
        </w:tabs>
        <w:spacing w:line="360" w:lineRule="auto"/>
        <w:ind w:firstLine="465"/>
        <w:rPr>
          <w:rFonts w:ascii="宋体" w:hAnsi="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本公司（单位）</w:t>
      </w:r>
      <w:r>
        <w:rPr>
          <w:rFonts w:hint="eastAsia" w:ascii="宋体" w:hAnsi="宋体"/>
          <w:bCs/>
          <w:color w:val="000000" w:themeColor="text1"/>
          <w:sz w:val="24"/>
          <w:szCs w:val="24"/>
          <w14:textFill>
            <w14:solidFill>
              <w14:schemeClr w14:val="tx1"/>
            </w14:solidFill>
          </w14:textFill>
        </w:rPr>
        <w:t>具备履行合同所必需的设备和专业技术能力；</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本公司未被“</w:t>
      </w:r>
      <w:r>
        <w:rPr>
          <w:rFonts w:hint="eastAsia" w:ascii="宋体" w:hAnsi="宋体"/>
          <w:bCs/>
          <w:color w:val="000000" w:themeColor="text1"/>
          <w:sz w:val="24"/>
          <w:szCs w:val="24"/>
          <w14:textFill>
            <w14:solidFill>
              <w14:schemeClr w14:val="tx1"/>
            </w14:solidFill>
          </w14:textFill>
        </w:rPr>
        <w:t>信用中国</w:t>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网站（</w:t>
      </w:r>
      <w:r>
        <w:fldChar w:fldCharType="begin"/>
      </w:r>
      <w:r>
        <w:instrText xml:space="preserve"> HYPERLINK "http://www.creditchina.gov.cn" </w:instrText>
      </w:r>
      <w:r>
        <w:fldChar w:fldCharType="separate"/>
      </w:r>
      <w:r>
        <w:rPr>
          <w:rStyle w:val="29"/>
          <w:rFonts w:hint="eastAsia" w:ascii="宋体" w:hAnsi="宋体"/>
          <w:bCs/>
          <w:color w:val="000000" w:themeColor="text1"/>
          <w:sz w:val="24"/>
          <w:szCs w:val="24"/>
          <w14:textFill>
            <w14:solidFill>
              <w14:schemeClr w14:val="tx1"/>
            </w14:solidFill>
          </w14:textFill>
        </w:rPr>
        <w:t>www.creditchina.gov.cn</w:t>
      </w:r>
      <w:r>
        <w:rPr>
          <w:rStyle w:val="29"/>
          <w:rFonts w:hint="eastAsia" w:ascii="宋体" w:hAnsi="宋体"/>
          <w:bCs/>
          <w:color w:val="000000" w:themeColor="text1"/>
          <w:sz w:val="24"/>
          <w:szCs w:val="24"/>
          <w14:textFill>
            <w14:solidFill>
              <w14:schemeClr w14:val="tx1"/>
            </w14:solidFill>
          </w14:textFill>
        </w:rPr>
        <w:fldChar w:fldCharType="end"/>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列入失信被执行人、重大税收违法案件当事人名单、政府采购严重违法失信行为记录名单。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p>
      <w:pPr>
        <w:tabs>
          <w:tab w:val="left" w:pos="945"/>
        </w:tabs>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p>
      <w:pPr>
        <w:tabs>
          <w:tab w:val="left" w:pos="945"/>
        </w:tabs>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p>
      <w:pPr>
        <w:spacing w:line="480" w:lineRule="auto"/>
        <w:ind w:firstLine="960" w:firstLineChars="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p>
    <w:p>
      <w:pPr>
        <w:spacing w:line="480" w:lineRule="auto"/>
        <w:ind w:firstLine="960" w:firstLineChars="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如违背上述承诺，本公司</w:t>
      </w:r>
      <w:r>
        <w:rPr>
          <w:rFonts w:hint="eastAsia" w:ascii="宋体" w:hAnsi="宋体"/>
          <w:color w:val="000000" w:themeColor="text1"/>
          <w:sz w:val="24"/>
          <w:szCs w:val="24"/>
          <w14:textFill>
            <w14:solidFill>
              <w14:schemeClr w14:val="tx1"/>
            </w14:solidFill>
          </w14:textFill>
        </w:rPr>
        <w:t>（单位）</w:t>
      </w:r>
      <w:r>
        <w:rPr>
          <w:rFonts w:hint="eastAsia" w:ascii="宋体" w:hAnsi="宋体"/>
          <w:bCs/>
          <w:color w:val="000000" w:themeColor="text1"/>
          <w:sz w:val="24"/>
          <w:szCs w:val="24"/>
          <w14:textFill>
            <w14:solidFill>
              <w14:schemeClr w14:val="tx1"/>
            </w14:solidFill>
          </w14:textFill>
        </w:rPr>
        <w:t>将承担一切法律责任。</w:t>
      </w:r>
    </w:p>
    <w:p>
      <w:pPr>
        <w:spacing w:line="480" w:lineRule="auto"/>
        <w:rPr>
          <w:rFonts w:ascii="宋体" w:hAnsi="宋体"/>
          <w:bCs/>
          <w:color w:val="000000" w:themeColor="text1"/>
          <w:sz w:val="24"/>
          <w:szCs w:val="24"/>
          <w14:textFill>
            <w14:solidFill>
              <w14:schemeClr w14:val="tx1"/>
            </w14:solidFill>
          </w14:textFill>
        </w:rPr>
      </w:pPr>
    </w:p>
    <w:p>
      <w:pPr>
        <w:spacing w:line="480" w:lineRule="auto"/>
        <w:ind w:firstLine="3720" w:firstLineChars="155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w:t>
      </w:r>
      <w:r>
        <w:rPr>
          <w:rFonts w:hint="eastAsia" w:ascii="宋体" w:hAnsi="宋体"/>
          <w:bCs/>
          <w:color w:val="000000" w:themeColor="text1"/>
          <w:sz w:val="24"/>
          <w:szCs w:val="24"/>
          <w14:textFill>
            <w14:solidFill>
              <w14:schemeClr w14:val="tx1"/>
            </w14:solidFill>
          </w14:textFill>
        </w:rPr>
        <w:t>（盖章）：</w:t>
      </w:r>
    </w:p>
    <w:p>
      <w:pPr>
        <w:spacing w:line="48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ind w:firstLine="480" w:firstLineChars="200"/>
        <w:rPr>
          <w:rFonts w:ascii="宋体" w:hAnsi="宋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Cs w:val="21"/>
          <w14:textFill>
            <w14:solidFill>
              <w14:schemeClr w14:val="tx1"/>
            </w14:solidFill>
          </w14:textFill>
        </w:rPr>
        <w:t>注：以上内容由投标单位根据采购要求自行完善。</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16"/>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LXZC2022-026</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5"/>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梁溪区AI智慧作业系统</w:t>
            </w:r>
          </w:p>
        </w:tc>
        <w:tc>
          <w:tcPr>
            <w:tcW w:w="4515" w:type="dxa"/>
            <w:vAlign w:val="center"/>
          </w:tcPr>
          <w:p>
            <w:pPr>
              <w:pStyle w:val="95"/>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1"/>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spacing w:line="400" w:lineRule="exact"/>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明细报价表</w:t>
      </w:r>
    </w:p>
    <w:p>
      <w:pPr>
        <w:spacing w:line="400" w:lineRule="exact"/>
        <w:rPr>
          <w:rFonts w:hint="default" w:ascii="黑体" w:eastAsia="黑体"/>
          <w:bCs/>
          <w:color w:val="000000" w:themeColor="text1"/>
          <w:sz w:val="24"/>
          <w:szCs w:val="24"/>
          <w:lang w:val="en-US"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                                  采购项目编号：LXZC</w:t>
      </w:r>
      <w:r>
        <w:rPr>
          <w:rFonts w:ascii="黑体" w:eastAsia="黑体"/>
          <w:bCs/>
          <w:color w:val="000000" w:themeColor="text1"/>
          <w:sz w:val="24"/>
          <w:szCs w:val="24"/>
          <w14:textFill>
            <w14:solidFill>
              <w14:schemeClr w14:val="tx1"/>
            </w14:solidFill>
          </w14:textFill>
        </w:rPr>
        <w:t>2022-0</w:t>
      </w:r>
      <w:r>
        <w:rPr>
          <w:rFonts w:hint="eastAsia" w:ascii="黑体" w:eastAsia="黑体"/>
          <w:bCs/>
          <w:color w:val="000000" w:themeColor="text1"/>
          <w:sz w:val="24"/>
          <w:szCs w:val="24"/>
          <w:lang w:val="en-US" w:eastAsia="zh-CN"/>
          <w14:textFill>
            <w14:solidFill>
              <w14:schemeClr w14:val="tx1"/>
            </w14:solidFill>
          </w14:textFill>
        </w:rPr>
        <w:t>26</w:t>
      </w:r>
    </w:p>
    <w:tbl>
      <w:tblPr>
        <w:tblStyle w:val="23"/>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3045"/>
        <w:gridCol w:w="599"/>
        <w:gridCol w:w="1276"/>
        <w:gridCol w:w="992"/>
        <w:gridCol w:w="70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050" w:type="dxa"/>
            <w:gridSpan w:val="2"/>
            <w:noWrap/>
            <w:tcMar>
              <w:top w:w="15" w:type="dxa"/>
              <w:left w:w="15" w:type="dxa"/>
              <w:bottom w:w="0" w:type="dxa"/>
              <w:right w:w="15" w:type="dxa"/>
            </w:tcMar>
            <w:vAlign w:val="center"/>
          </w:tcPr>
          <w:p>
            <w:pPr>
              <w:spacing w:before="5"/>
              <w:jc w:val="center"/>
              <w:rPr>
                <w:color w:val="000000" w:themeColor="text1"/>
                <w:sz w:val="18"/>
                <w:u w:color="FF0000"/>
                <w14:textFill>
                  <w14:solidFill>
                    <w14:schemeClr w14:val="tx1"/>
                  </w14:solidFill>
                </w14:textFill>
              </w:rPr>
            </w:pPr>
            <w:r>
              <w:rPr>
                <w:rFonts w:hint="eastAsia"/>
                <w:color w:val="000000" w:themeColor="text1"/>
                <w:sz w:val="18"/>
                <w14:textFill>
                  <w14:solidFill>
                    <w14:schemeClr w14:val="tx1"/>
                  </w14:solidFill>
                </w14:textFill>
              </w:rPr>
              <w:t>名称</w:t>
            </w:r>
          </w:p>
        </w:tc>
        <w:tc>
          <w:tcPr>
            <w:tcW w:w="945" w:type="dxa"/>
            <w:noWrap/>
            <w:tcMar>
              <w:top w:w="15" w:type="dxa"/>
              <w:left w:w="15" w:type="dxa"/>
              <w:bottom w:w="0" w:type="dxa"/>
              <w:right w:w="15" w:type="dxa"/>
            </w:tcMar>
            <w:vAlign w:val="center"/>
          </w:tcPr>
          <w:p>
            <w:pPr>
              <w:spacing w:before="5"/>
              <w:jc w:val="center"/>
              <w:rPr>
                <w:color w:val="000000" w:themeColor="text1"/>
                <w:sz w:val="18"/>
                <w:u w:color="FF0000"/>
                <w14:textFill>
                  <w14:solidFill>
                    <w14:schemeClr w14:val="tx1"/>
                  </w14:solidFill>
                </w14:textFill>
              </w:rPr>
            </w:pPr>
            <w:r>
              <w:rPr>
                <w:rFonts w:hint="eastAsia"/>
                <w:color w:val="000000" w:themeColor="text1"/>
                <w:sz w:val="18"/>
                <w:u w:color="FF0000"/>
                <w14:textFill>
                  <w14:solidFill>
                    <w14:schemeClr w14:val="tx1"/>
                  </w14:solidFill>
                </w14:textFill>
              </w:rPr>
              <w:t>品牌型号</w:t>
            </w:r>
          </w:p>
        </w:tc>
        <w:tc>
          <w:tcPr>
            <w:tcW w:w="3045" w:type="dxa"/>
            <w:noWrap/>
            <w:tcMar>
              <w:top w:w="15" w:type="dxa"/>
              <w:left w:w="15" w:type="dxa"/>
              <w:bottom w:w="0" w:type="dxa"/>
              <w:right w:w="15" w:type="dxa"/>
            </w:tcMar>
            <w:vAlign w:val="center"/>
          </w:tcPr>
          <w:p>
            <w:pPr>
              <w:spacing w:before="5"/>
              <w:jc w:val="center"/>
              <w:rPr>
                <w:color w:val="000000" w:themeColor="text1"/>
                <w:sz w:val="18"/>
                <w14:textFill>
                  <w14:solidFill>
                    <w14:schemeClr w14:val="tx1"/>
                  </w14:solidFill>
                </w14:textFill>
              </w:rPr>
            </w:pPr>
            <w:r>
              <w:rPr>
                <w:rFonts w:hint="eastAsia"/>
                <w:color w:val="000000" w:themeColor="text1"/>
                <w:sz w:val="18"/>
                <w:u w:color="FF0000"/>
                <w14:textFill>
                  <w14:solidFill>
                    <w14:schemeClr w14:val="tx1"/>
                  </w14:solidFill>
                </w14:textFill>
              </w:rPr>
              <w:t>性能指标</w:t>
            </w:r>
          </w:p>
        </w:tc>
        <w:tc>
          <w:tcPr>
            <w:tcW w:w="599" w:type="dxa"/>
            <w:tcMar>
              <w:top w:w="15" w:type="dxa"/>
              <w:left w:w="15" w:type="dxa"/>
              <w:bottom w:w="0" w:type="dxa"/>
              <w:right w:w="15" w:type="dxa"/>
            </w:tcMar>
            <w:vAlign w:val="center"/>
          </w:tcPr>
          <w:p>
            <w:pPr>
              <w:spacing w:before="5"/>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数量</w:t>
            </w:r>
          </w:p>
        </w:tc>
        <w:tc>
          <w:tcPr>
            <w:tcW w:w="1276" w:type="dxa"/>
            <w:vAlign w:val="center"/>
          </w:tcPr>
          <w:p>
            <w:pPr>
              <w:spacing w:before="5"/>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产地</w:t>
            </w:r>
          </w:p>
        </w:tc>
        <w:tc>
          <w:tcPr>
            <w:tcW w:w="992" w:type="dxa"/>
            <w:noWrap/>
            <w:tcMar>
              <w:top w:w="15" w:type="dxa"/>
              <w:left w:w="15" w:type="dxa"/>
              <w:bottom w:w="0" w:type="dxa"/>
              <w:right w:w="15" w:type="dxa"/>
            </w:tcMar>
            <w:vAlign w:val="center"/>
          </w:tcPr>
          <w:p>
            <w:pPr>
              <w:spacing w:before="5"/>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质保期</w:t>
            </w:r>
          </w:p>
        </w:tc>
        <w:tc>
          <w:tcPr>
            <w:tcW w:w="709" w:type="dxa"/>
            <w:vAlign w:val="center"/>
          </w:tcPr>
          <w:p>
            <w:pPr>
              <w:spacing w:before="5"/>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单报价</w:t>
            </w:r>
          </w:p>
        </w:tc>
        <w:tc>
          <w:tcPr>
            <w:tcW w:w="939" w:type="dxa"/>
            <w:vAlign w:val="center"/>
          </w:tcPr>
          <w:p>
            <w:pPr>
              <w:spacing w:before="5"/>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trPr>
        <w:tc>
          <w:tcPr>
            <w:tcW w:w="420" w:type="dxa"/>
            <w:noWrap/>
            <w:tcMar>
              <w:top w:w="15" w:type="dxa"/>
              <w:left w:w="15" w:type="dxa"/>
              <w:bottom w:w="0" w:type="dxa"/>
              <w:right w:w="15" w:type="dxa"/>
            </w:tcMar>
            <w:vAlign w:val="center"/>
          </w:tcPr>
          <w:p>
            <w:pPr>
              <w:spacing w:before="5"/>
              <w:jc w:val="center"/>
              <w:rPr>
                <w:rFonts w:ascii="宋体"/>
                <w:color w:val="000000" w:themeColor="text1"/>
                <w:sz w:val="18"/>
                <w:szCs w:val="18"/>
                <w14:textFill>
                  <w14:solidFill>
                    <w14:schemeClr w14:val="tx1"/>
                  </w14:solidFill>
                </w14:textFill>
              </w:rPr>
            </w:pPr>
          </w:p>
        </w:tc>
        <w:tc>
          <w:tcPr>
            <w:tcW w:w="1050" w:type="dxa"/>
            <w:gridSpan w:val="2"/>
            <w:noWrap/>
            <w:tcMar>
              <w:top w:w="15" w:type="dxa"/>
              <w:left w:w="15" w:type="dxa"/>
              <w:bottom w:w="0" w:type="dxa"/>
              <w:right w:w="15" w:type="dxa"/>
            </w:tcMar>
            <w:vAlign w:val="center"/>
          </w:tcPr>
          <w:p>
            <w:pPr>
              <w:jc w:val="center"/>
              <w:rPr>
                <w:rFonts w:ascii="宋体"/>
                <w:bCs/>
                <w:color w:val="000000" w:themeColor="text1"/>
                <w:sz w:val="18"/>
                <w:szCs w:val="18"/>
                <w14:textFill>
                  <w14:solidFill>
                    <w14:schemeClr w14:val="tx1"/>
                  </w14:solidFill>
                </w14:textFill>
              </w:rPr>
            </w:pPr>
          </w:p>
        </w:tc>
        <w:tc>
          <w:tcPr>
            <w:tcW w:w="945" w:type="dxa"/>
            <w:tcMar>
              <w:top w:w="15" w:type="dxa"/>
              <w:left w:w="15" w:type="dxa"/>
              <w:bottom w:w="0" w:type="dxa"/>
              <w:right w:w="15" w:type="dxa"/>
            </w:tcMar>
            <w:vAlign w:val="center"/>
          </w:tcPr>
          <w:p>
            <w:pPr>
              <w:jc w:val="center"/>
              <w:rPr>
                <w:rFonts w:ascii="宋体"/>
                <w:bCs/>
                <w:color w:val="000000" w:themeColor="text1"/>
                <w:sz w:val="18"/>
                <w:szCs w:val="18"/>
                <w14:textFill>
                  <w14:solidFill>
                    <w14:schemeClr w14:val="tx1"/>
                  </w14:solidFill>
                </w14:textFill>
              </w:rPr>
            </w:pPr>
          </w:p>
        </w:tc>
        <w:tc>
          <w:tcPr>
            <w:tcW w:w="3045" w:type="dxa"/>
            <w:tcMar>
              <w:top w:w="15" w:type="dxa"/>
              <w:left w:w="15" w:type="dxa"/>
              <w:bottom w:w="0" w:type="dxa"/>
              <w:right w:w="15" w:type="dxa"/>
            </w:tcMar>
          </w:tcPr>
          <w:p>
            <w:pPr>
              <w:jc w:val="center"/>
              <w:rPr>
                <w:rFonts w:ascii="宋体"/>
                <w:bCs/>
                <w:color w:val="000000" w:themeColor="text1"/>
                <w:sz w:val="18"/>
                <w14:textFill>
                  <w14:solidFill>
                    <w14:schemeClr w14:val="tx1"/>
                  </w14:solidFill>
                </w14:textFill>
              </w:rPr>
            </w:pPr>
          </w:p>
        </w:tc>
        <w:tc>
          <w:tcPr>
            <w:tcW w:w="599" w:type="dxa"/>
            <w:tcMar>
              <w:top w:w="15" w:type="dxa"/>
              <w:left w:w="15" w:type="dxa"/>
              <w:bottom w:w="0" w:type="dxa"/>
              <w:right w:w="15" w:type="dxa"/>
            </w:tcMar>
            <w:vAlign w:val="center"/>
          </w:tcPr>
          <w:p>
            <w:pPr>
              <w:jc w:val="center"/>
              <w:rPr>
                <w:rFonts w:ascii="黑体" w:hAnsi="宋体" w:eastAsia="黑体"/>
                <w:b/>
                <w:bCs/>
                <w:color w:val="000000" w:themeColor="text1"/>
                <w:sz w:val="24"/>
                <w:szCs w:val="24"/>
                <w14:textFill>
                  <w14:solidFill>
                    <w14:schemeClr w14:val="tx1"/>
                  </w14:solidFill>
                </w14:textFill>
              </w:rPr>
            </w:pPr>
            <w:r>
              <w:rPr>
                <w:rFonts w:hint="eastAsia" w:ascii="黑体" w:eastAsia="黑体"/>
                <w:b/>
                <w:bCs/>
                <w:color w:val="000000" w:themeColor="text1"/>
                <w14:textFill>
                  <w14:solidFill>
                    <w14:schemeClr w14:val="tx1"/>
                  </w14:solidFill>
                </w14:textFill>
              </w:rPr>
              <w:t>　</w:t>
            </w:r>
          </w:p>
        </w:tc>
        <w:tc>
          <w:tcPr>
            <w:tcW w:w="1276" w:type="dxa"/>
            <w:vAlign w:val="center"/>
          </w:tcPr>
          <w:p>
            <w:pPr>
              <w:jc w:val="center"/>
              <w:rPr>
                <w:rFonts w:ascii="黑体" w:hAnsi="宋体" w:eastAsia="黑体"/>
                <w:b/>
                <w:bCs/>
                <w:color w:val="000000" w:themeColor="text1"/>
                <w:sz w:val="24"/>
                <w:szCs w:val="24"/>
                <w14:textFill>
                  <w14:solidFill>
                    <w14:schemeClr w14:val="tx1"/>
                  </w14:solidFill>
                </w14:textFill>
              </w:rPr>
            </w:pPr>
          </w:p>
        </w:tc>
        <w:tc>
          <w:tcPr>
            <w:tcW w:w="992" w:type="dxa"/>
            <w:noWrap/>
            <w:tcMar>
              <w:top w:w="15" w:type="dxa"/>
              <w:left w:w="15" w:type="dxa"/>
              <w:bottom w:w="0" w:type="dxa"/>
              <w:right w:w="15" w:type="dxa"/>
            </w:tcMar>
            <w:vAlign w:val="center"/>
          </w:tcPr>
          <w:p>
            <w:pPr>
              <w:jc w:val="center"/>
              <w:rPr>
                <w:rFonts w:ascii="黑体" w:hAnsi="宋体" w:eastAsia="黑体"/>
                <w:b/>
                <w:bCs/>
                <w:color w:val="000000" w:themeColor="text1"/>
                <w:sz w:val="24"/>
                <w:szCs w:val="24"/>
                <w14:textFill>
                  <w14:solidFill>
                    <w14:schemeClr w14:val="tx1"/>
                  </w14:solidFill>
                </w14:textFill>
              </w:rPr>
            </w:pPr>
            <w:r>
              <w:rPr>
                <w:rFonts w:hint="eastAsia" w:ascii="黑体" w:eastAsia="黑体"/>
                <w:b/>
                <w:bCs/>
                <w:color w:val="000000" w:themeColor="text1"/>
                <w14:textFill>
                  <w14:solidFill>
                    <w14:schemeClr w14:val="tx1"/>
                  </w14:solidFill>
                </w14:textFill>
              </w:rPr>
              <w:t>　</w:t>
            </w:r>
          </w:p>
        </w:tc>
        <w:tc>
          <w:tcPr>
            <w:tcW w:w="709" w:type="dxa"/>
            <w:vAlign w:val="center"/>
          </w:tcPr>
          <w:p>
            <w:pPr>
              <w:jc w:val="center"/>
              <w:rPr>
                <w:rFonts w:ascii="黑体" w:hAnsi="宋体" w:eastAsia="黑体"/>
                <w:b/>
                <w:bCs/>
                <w:color w:val="000000" w:themeColor="text1"/>
                <w:sz w:val="24"/>
                <w:szCs w:val="24"/>
                <w14:textFill>
                  <w14:solidFill>
                    <w14:schemeClr w14:val="tx1"/>
                  </w14:solidFill>
                </w14:textFill>
              </w:rPr>
            </w:pPr>
          </w:p>
        </w:tc>
        <w:tc>
          <w:tcPr>
            <w:tcW w:w="939" w:type="dxa"/>
            <w:vAlign w:val="center"/>
          </w:tcPr>
          <w:p>
            <w:pPr>
              <w:jc w:val="center"/>
              <w:rPr>
                <w:rFonts w:ascii="黑体" w:hAnsi="宋体" w:eastAsia="黑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trPr>
        <w:tc>
          <w:tcPr>
            <w:tcW w:w="420" w:type="dxa"/>
            <w:noWrap/>
            <w:tcMar>
              <w:top w:w="15" w:type="dxa"/>
              <w:left w:w="15" w:type="dxa"/>
              <w:bottom w:w="0" w:type="dxa"/>
              <w:right w:w="15" w:type="dxa"/>
            </w:tcMar>
            <w:vAlign w:val="center"/>
          </w:tcPr>
          <w:p>
            <w:pPr>
              <w:jc w:val="center"/>
              <w:rPr>
                <w:rFonts w:ascii="宋体"/>
                <w:color w:val="000000" w:themeColor="text1"/>
                <w:sz w:val="18"/>
                <w14:textFill>
                  <w14:solidFill>
                    <w14:schemeClr w14:val="tx1"/>
                  </w14:solidFill>
                </w14:textFill>
              </w:rPr>
            </w:pPr>
          </w:p>
        </w:tc>
        <w:tc>
          <w:tcPr>
            <w:tcW w:w="1050" w:type="dxa"/>
            <w:gridSpan w:val="2"/>
            <w:noWrap/>
            <w:tcMar>
              <w:top w:w="15" w:type="dxa"/>
              <w:left w:w="15" w:type="dxa"/>
              <w:bottom w:w="0" w:type="dxa"/>
              <w:right w:w="15" w:type="dxa"/>
            </w:tcMar>
            <w:vAlign w:val="center"/>
          </w:tcPr>
          <w:p>
            <w:pPr>
              <w:jc w:val="center"/>
              <w:rPr>
                <w:rFonts w:ascii="宋体"/>
                <w:color w:val="000000" w:themeColor="text1"/>
                <w14:textFill>
                  <w14:solidFill>
                    <w14:schemeClr w14:val="tx1"/>
                  </w14:solidFill>
                </w14:textFill>
              </w:rPr>
            </w:pPr>
          </w:p>
        </w:tc>
        <w:tc>
          <w:tcPr>
            <w:tcW w:w="945" w:type="dxa"/>
            <w:tcMar>
              <w:top w:w="15" w:type="dxa"/>
              <w:left w:w="15" w:type="dxa"/>
              <w:bottom w:w="0" w:type="dxa"/>
              <w:right w:w="15" w:type="dxa"/>
            </w:tcMar>
            <w:vAlign w:val="center"/>
          </w:tcPr>
          <w:p>
            <w:pPr>
              <w:jc w:val="center"/>
              <w:rPr>
                <w:rFonts w:ascii="宋体"/>
                <w:bCs/>
                <w:color w:val="000000" w:themeColor="text1"/>
                <w:sz w:val="18"/>
                <w:szCs w:val="18"/>
                <w14:textFill>
                  <w14:solidFill>
                    <w14:schemeClr w14:val="tx1"/>
                  </w14:solidFill>
                </w14:textFill>
              </w:rPr>
            </w:pPr>
          </w:p>
        </w:tc>
        <w:tc>
          <w:tcPr>
            <w:tcW w:w="3045" w:type="dxa"/>
            <w:tcMar>
              <w:top w:w="15" w:type="dxa"/>
              <w:left w:w="15" w:type="dxa"/>
              <w:bottom w:w="0" w:type="dxa"/>
              <w:right w:w="15" w:type="dxa"/>
            </w:tcMar>
            <w:vAlign w:val="center"/>
          </w:tcPr>
          <w:p>
            <w:pPr>
              <w:jc w:val="center"/>
              <w:rPr>
                <w:rFonts w:ascii="宋体"/>
                <w:bCs/>
                <w:color w:val="000000" w:themeColor="text1"/>
                <w:sz w:val="18"/>
                <w14:textFill>
                  <w14:solidFill>
                    <w14:schemeClr w14:val="tx1"/>
                  </w14:solidFill>
                </w14:textFill>
              </w:rPr>
            </w:pPr>
          </w:p>
        </w:tc>
        <w:tc>
          <w:tcPr>
            <w:tcW w:w="599" w:type="dxa"/>
            <w:tcMar>
              <w:top w:w="15" w:type="dxa"/>
              <w:left w:w="15" w:type="dxa"/>
              <w:bottom w:w="0" w:type="dxa"/>
              <w:right w:w="15" w:type="dxa"/>
            </w:tcMar>
            <w:vAlign w:val="center"/>
          </w:tcPr>
          <w:p>
            <w:pPr>
              <w:jc w:val="center"/>
              <w:rPr>
                <w:rFonts w:ascii="黑体" w:hAnsi="宋体" w:eastAsia="黑体"/>
                <w:b/>
                <w:bCs/>
                <w:color w:val="000000" w:themeColor="text1"/>
                <w:sz w:val="24"/>
                <w:szCs w:val="24"/>
                <w14:textFill>
                  <w14:solidFill>
                    <w14:schemeClr w14:val="tx1"/>
                  </w14:solidFill>
                </w14:textFill>
              </w:rPr>
            </w:pPr>
            <w:r>
              <w:rPr>
                <w:rFonts w:hint="eastAsia" w:ascii="黑体" w:eastAsia="黑体"/>
                <w:b/>
                <w:bCs/>
                <w:color w:val="000000" w:themeColor="text1"/>
                <w14:textFill>
                  <w14:solidFill>
                    <w14:schemeClr w14:val="tx1"/>
                  </w14:solidFill>
                </w14:textFill>
              </w:rPr>
              <w:t>　</w:t>
            </w:r>
          </w:p>
        </w:tc>
        <w:tc>
          <w:tcPr>
            <w:tcW w:w="1276" w:type="dxa"/>
            <w:vAlign w:val="center"/>
          </w:tcPr>
          <w:p>
            <w:pPr>
              <w:jc w:val="center"/>
              <w:rPr>
                <w:rFonts w:ascii="黑体" w:hAnsi="宋体" w:eastAsia="黑体"/>
                <w:b/>
                <w:bCs/>
                <w:color w:val="000000" w:themeColor="text1"/>
                <w:sz w:val="24"/>
                <w:szCs w:val="24"/>
                <w14:textFill>
                  <w14:solidFill>
                    <w14:schemeClr w14:val="tx1"/>
                  </w14:solidFill>
                </w14:textFill>
              </w:rPr>
            </w:pPr>
          </w:p>
        </w:tc>
        <w:tc>
          <w:tcPr>
            <w:tcW w:w="992" w:type="dxa"/>
            <w:noWrap/>
            <w:tcMar>
              <w:top w:w="15" w:type="dxa"/>
              <w:left w:w="15" w:type="dxa"/>
              <w:bottom w:w="0" w:type="dxa"/>
              <w:right w:w="15" w:type="dxa"/>
            </w:tcMar>
            <w:vAlign w:val="center"/>
          </w:tcPr>
          <w:p>
            <w:pPr>
              <w:jc w:val="center"/>
              <w:rPr>
                <w:rFonts w:ascii="黑体" w:hAnsi="宋体" w:eastAsia="黑体"/>
                <w:b/>
                <w:bCs/>
                <w:color w:val="000000" w:themeColor="text1"/>
                <w:sz w:val="24"/>
                <w:szCs w:val="24"/>
                <w14:textFill>
                  <w14:solidFill>
                    <w14:schemeClr w14:val="tx1"/>
                  </w14:solidFill>
                </w14:textFill>
              </w:rPr>
            </w:pPr>
            <w:r>
              <w:rPr>
                <w:rFonts w:hint="eastAsia" w:ascii="黑体" w:eastAsia="黑体"/>
                <w:b/>
                <w:bCs/>
                <w:color w:val="000000" w:themeColor="text1"/>
                <w14:textFill>
                  <w14:solidFill>
                    <w14:schemeClr w14:val="tx1"/>
                  </w14:solidFill>
                </w14:textFill>
              </w:rPr>
              <w:t>　</w:t>
            </w:r>
          </w:p>
        </w:tc>
        <w:tc>
          <w:tcPr>
            <w:tcW w:w="709" w:type="dxa"/>
            <w:vAlign w:val="center"/>
          </w:tcPr>
          <w:p>
            <w:pPr>
              <w:jc w:val="center"/>
              <w:rPr>
                <w:rFonts w:ascii="黑体" w:hAnsi="宋体" w:eastAsia="黑体"/>
                <w:b/>
                <w:bCs/>
                <w:color w:val="000000" w:themeColor="text1"/>
                <w:sz w:val="24"/>
                <w:szCs w:val="24"/>
                <w14:textFill>
                  <w14:solidFill>
                    <w14:schemeClr w14:val="tx1"/>
                  </w14:solidFill>
                </w14:textFill>
              </w:rPr>
            </w:pPr>
          </w:p>
        </w:tc>
        <w:tc>
          <w:tcPr>
            <w:tcW w:w="939" w:type="dxa"/>
            <w:vAlign w:val="center"/>
          </w:tcPr>
          <w:p>
            <w:pPr>
              <w:jc w:val="center"/>
              <w:rPr>
                <w:rFonts w:ascii="黑体" w:hAnsi="宋体" w:eastAsia="黑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jc w:val="center"/>
              <w:rPr>
                <w:rFonts w:ascii="宋体"/>
                <w:b/>
                <w:bCs/>
                <w:color w:val="000000" w:themeColor="text1"/>
                <w:sz w:val="24"/>
                <w:szCs w:val="18"/>
                <w14:textFill>
                  <w14:solidFill>
                    <w14:schemeClr w14:val="tx1"/>
                  </w14:solidFill>
                </w14:textFill>
              </w:rPr>
            </w:pPr>
            <w:r>
              <w:rPr>
                <w:rFonts w:hint="eastAsia" w:ascii="宋体"/>
                <w:b/>
                <w:bCs/>
                <w:color w:val="000000" w:themeColor="text1"/>
                <w:kern w:val="0"/>
                <w:sz w:val="24"/>
                <w:szCs w:val="18"/>
                <w14:textFill>
                  <w14:solidFill>
                    <w14:schemeClr w14:val="tx1"/>
                  </w14:solidFill>
                </w14:textFill>
              </w:rPr>
              <w:t>完工期</w:t>
            </w:r>
          </w:p>
        </w:tc>
        <w:tc>
          <w:tcPr>
            <w:tcW w:w="7560" w:type="dxa"/>
            <w:gridSpan w:val="6"/>
            <w:tcMar>
              <w:top w:w="15" w:type="dxa"/>
              <w:left w:w="15" w:type="dxa"/>
              <w:bottom w:w="0" w:type="dxa"/>
              <w:right w:w="15" w:type="dxa"/>
            </w:tcMar>
            <w:vAlign w:val="center"/>
          </w:tcPr>
          <w:p>
            <w:pPr>
              <w:jc w:val="center"/>
              <w:rPr>
                <w:rFonts w:ascii="黑体" w:hAnsi="宋体" w:eastAsia="黑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jc w:val="center"/>
              <w:rPr>
                <w:rFonts w:ascii="宋体"/>
                <w:b/>
                <w:bCs/>
                <w:color w:val="000000" w:themeColor="text1"/>
                <w:sz w:val="24"/>
                <w:szCs w:val="18"/>
                <w14:textFill>
                  <w14:solidFill>
                    <w14:schemeClr w14:val="tx1"/>
                  </w14:solidFill>
                </w14:textFill>
              </w:rPr>
            </w:pPr>
            <w:r>
              <w:rPr>
                <w:rFonts w:hint="eastAsia" w:ascii="宋体"/>
                <w:b/>
                <w:bCs/>
                <w:color w:val="000000" w:themeColor="text1"/>
                <w:kern w:val="0"/>
                <w:sz w:val="24"/>
                <w:szCs w:val="18"/>
                <w14:textFill>
                  <w14:solidFill>
                    <w14:schemeClr w14:val="tx1"/>
                  </w14:solidFill>
                </w14:textFill>
              </w:rPr>
              <w:t>项目整体质保期</w:t>
            </w:r>
          </w:p>
        </w:tc>
        <w:tc>
          <w:tcPr>
            <w:tcW w:w="7560" w:type="dxa"/>
            <w:gridSpan w:val="6"/>
            <w:tcMar>
              <w:top w:w="15" w:type="dxa"/>
              <w:left w:w="15" w:type="dxa"/>
              <w:bottom w:w="0" w:type="dxa"/>
              <w:right w:w="15" w:type="dxa"/>
            </w:tcMar>
            <w:vAlign w:val="center"/>
          </w:tcPr>
          <w:p>
            <w:pPr>
              <w:jc w:val="center"/>
              <w:rPr>
                <w:rFonts w:ascii="黑体" w:hAnsi="宋体" w:eastAsia="黑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vAlign w:val="center"/>
          </w:tcPr>
          <w:p>
            <w:pPr>
              <w:spacing w:after="120" w:line="400" w:lineRule="exact"/>
              <w:ind w:firstLine="120" w:firstLineChars="5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服</w:t>
            </w:r>
          </w:p>
          <w:p>
            <w:pPr>
              <w:spacing w:after="120" w:line="400" w:lineRule="exact"/>
              <w:rPr>
                <w:rFonts w:ascii="宋体"/>
                <w:b/>
                <w:bCs/>
                <w:color w:val="000000" w:themeColor="text1"/>
                <w:sz w:val="24"/>
                <w:szCs w:val="24"/>
                <w14:textFill>
                  <w14:solidFill>
                    <w14:schemeClr w14:val="tx1"/>
                  </w14:solidFill>
                </w14:textFill>
              </w:rPr>
            </w:pPr>
          </w:p>
          <w:p>
            <w:pPr>
              <w:spacing w:after="120" w:line="400" w:lineRule="exact"/>
              <w:ind w:firstLine="120" w:firstLineChars="5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务</w:t>
            </w:r>
          </w:p>
          <w:p>
            <w:pPr>
              <w:spacing w:after="120" w:line="400" w:lineRule="exact"/>
              <w:rPr>
                <w:rFonts w:ascii="宋体"/>
                <w:b/>
                <w:bCs/>
                <w:color w:val="000000" w:themeColor="text1"/>
                <w:sz w:val="24"/>
                <w:szCs w:val="24"/>
                <w14:textFill>
                  <w14:solidFill>
                    <w14:schemeClr w14:val="tx1"/>
                  </w14:solidFill>
                </w14:textFill>
              </w:rPr>
            </w:pPr>
          </w:p>
          <w:p>
            <w:pPr>
              <w:spacing w:after="120" w:line="400" w:lineRule="exact"/>
              <w:ind w:firstLine="120" w:firstLineChars="5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承</w:t>
            </w:r>
          </w:p>
          <w:p>
            <w:pPr>
              <w:spacing w:after="120" w:line="400" w:lineRule="exact"/>
              <w:rPr>
                <w:rFonts w:ascii="宋体"/>
                <w:b/>
                <w:bCs/>
                <w:color w:val="000000" w:themeColor="text1"/>
                <w:sz w:val="24"/>
                <w:szCs w:val="24"/>
                <w14:textFill>
                  <w14:solidFill>
                    <w14:schemeClr w14:val="tx1"/>
                  </w14:solidFill>
                </w14:textFill>
              </w:rPr>
            </w:pPr>
          </w:p>
          <w:p>
            <w:pPr>
              <w:spacing w:after="120" w:line="400" w:lineRule="exact"/>
              <w:ind w:firstLine="120" w:firstLineChars="50"/>
              <w:rPr>
                <w:rFonts w:ascii="宋体"/>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诺</w:t>
            </w:r>
          </w:p>
        </w:tc>
        <w:tc>
          <w:tcPr>
            <w:tcW w:w="9345" w:type="dxa"/>
            <w:gridSpan w:val="8"/>
            <w:vAlign w:val="center"/>
          </w:tcPr>
          <w:p>
            <w:pPr>
              <w:numPr>
                <w:ilvl w:val="0"/>
                <w:numId w:val="26"/>
              </w:numPr>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质量</w:t>
            </w:r>
            <w:r>
              <w:rPr>
                <w:rFonts w:ascii="宋体" w:hAnsi="宋体"/>
                <w:bCs/>
                <w:color w:val="000000" w:themeColor="text1"/>
                <w:sz w:val="24"/>
                <w:szCs w:val="24"/>
                <w14:textFill>
                  <w14:solidFill>
                    <w14:schemeClr w14:val="tx1"/>
                  </w14:solidFill>
                </w14:textFill>
              </w:rPr>
              <w:t xml:space="preserve"> 2.</w:t>
            </w:r>
            <w:r>
              <w:rPr>
                <w:rFonts w:hint="eastAsia" w:ascii="宋体" w:hAnsi="宋体"/>
                <w:bCs/>
                <w:color w:val="000000" w:themeColor="text1"/>
                <w:sz w:val="24"/>
                <w:szCs w:val="24"/>
                <w14:textFill>
                  <w14:solidFill>
                    <w14:schemeClr w14:val="tx1"/>
                  </w14:solidFill>
                </w14:textFill>
              </w:rPr>
              <w:t>安装</w:t>
            </w:r>
            <w:r>
              <w:rPr>
                <w:rFonts w:ascii="宋体" w:hAnsi="宋体"/>
                <w:bCs/>
                <w:color w:val="000000" w:themeColor="text1"/>
                <w:sz w:val="24"/>
                <w:szCs w:val="24"/>
                <w14:textFill>
                  <w14:solidFill>
                    <w14:schemeClr w14:val="tx1"/>
                  </w14:solidFill>
                </w14:textFill>
              </w:rPr>
              <w:t xml:space="preserve"> 3."</w:t>
            </w:r>
            <w:r>
              <w:rPr>
                <w:rFonts w:hint="eastAsia" w:ascii="宋体" w:hAnsi="宋体"/>
                <w:bCs/>
                <w:color w:val="000000" w:themeColor="text1"/>
                <w:sz w:val="24"/>
                <w:szCs w:val="24"/>
                <w14:textFill>
                  <w14:solidFill>
                    <w14:schemeClr w14:val="tx1"/>
                  </w14:solidFill>
                </w14:textFill>
              </w:rPr>
              <w:t>三包</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包修、包退、包换</w:t>
            </w:r>
            <w:r>
              <w:rPr>
                <w:rFonts w:ascii="宋体" w:hAnsi="宋体"/>
                <w:bCs/>
                <w:color w:val="000000" w:themeColor="text1"/>
                <w:sz w:val="24"/>
                <w:szCs w:val="24"/>
                <w14:textFill>
                  <w14:solidFill>
                    <w14:schemeClr w14:val="tx1"/>
                  </w14:solidFill>
                </w14:textFill>
              </w:rPr>
              <w:t>)4</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其他承诺</w:t>
            </w:r>
          </w:p>
          <w:p>
            <w:pPr>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trPr>
        <w:tc>
          <w:tcPr>
            <w:tcW w:w="630" w:type="dxa"/>
            <w:gridSpan w:val="2"/>
            <w:vMerge w:val="continue"/>
            <w:vAlign w:val="center"/>
          </w:tcPr>
          <w:p>
            <w:pPr>
              <w:spacing w:after="120" w:line="400" w:lineRule="exact"/>
              <w:rPr>
                <w:rFonts w:ascii="宋体"/>
                <w:bCs/>
                <w:color w:val="000000" w:themeColor="text1"/>
                <w:sz w:val="24"/>
                <w:szCs w:val="24"/>
                <w14:textFill>
                  <w14:solidFill>
                    <w14:schemeClr w14:val="tx1"/>
                  </w14:solidFill>
                </w14:textFill>
              </w:rPr>
            </w:pPr>
          </w:p>
        </w:tc>
        <w:tc>
          <w:tcPr>
            <w:tcW w:w="9345" w:type="dxa"/>
            <w:gridSpan w:val="8"/>
            <w:vAlign w:val="center"/>
          </w:tcPr>
          <w:p>
            <w:pPr>
              <w:rPr>
                <w:rFonts w:ascii="宋体"/>
                <w:bCs/>
                <w:color w:val="000000" w:themeColor="text1"/>
                <w:sz w:val="24"/>
                <w:szCs w:val="24"/>
                <w14:textFill>
                  <w14:solidFill>
                    <w14:schemeClr w14:val="tx1"/>
                  </w14:solidFill>
                </w14:textFill>
              </w:rPr>
            </w:pPr>
          </w:p>
        </w:tc>
      </w:tr>
    </w:tbl>
    <w:p>
      <w:pPr>
        <w:spacing w:before="5" w:line="560" w:lineRule="atLeast"/>
        <w:rPr>
          <w:b/>
          <w:bCs/>
          <w:sz w:val="24"/>
          <w:szCs w:val="24"/>
        </w:rPr>
      </w:pPr>
      <w:r>
        <w:rPr>
          <w:rFonts w:hint="eastAsia"/>
          <w:b/>
          <w:bCs/>
          <w:sz w:val="24"/>
          <w:szCs w:val="24"/>
        </w:rPr>
        <w:t>法定代表人或法定代表人授权代表签字或盖章：</w:t>
      </w:r>
    </w:p>
    <w:p>
      <w:pPr>
        <w:spacing w:line="400" w:lineRule="exact"/>
        <w:outlineLvl w:val="0"/>
        <w:rPr>
          <w:rFonts w:ascii="宋体"/>
          <w:bCs/>
          <w:color w:val="000000" w:themeColor="text1"/>
          <w:szCs w:val="21"/>
          <w14:textFill>
            <w14:solidFill>
              <w14:schemeClr w14:val="tx1"/>
            </w14:solidFill>
          </w14:textFill>
        </w:rPr>
      </w:pPr>
      <w:r>
        <w:rPr>
          <w:rFonts w:hint="eastAsia" w:ascii="宋体" w:hAnsi="宋体"/>
          <w:b/>
          <w:szCs w:val="21"/>
        </w:rPr>
        <w:t>注：</w:t>
      </w:r>
      <w:r>
        <w:rPr>
          <w:rFonts w:hint="eastAsia" w:ascii="宋体" w:hAnsi="宋体"/>
          <w:bCs/>
          <w:szCs w:val="21"/>
        </w:rPr>
        <w:t>（</w:t>
      </w:r>
      <w:r>
        <w:rPr>
          <w:rFonts w:ascii="宋体" w:hAnsi="宋体"/>
          <w:bCs/>
          <w:szCs w:val="21"/>
        </w:rPr>
        <w:t>1</w:t>
      </w:r>
      <w:r>
        <w:rPr>
          <w:rFonts w:hint="eastAsia" w:ascii="宋体" w:hAnsi="宋体"/>
          <w:bCs/>
          <w:szCs w:val="21"/>
        </w:rPr>
        <w:t>）</w:t>
      </w:r>
      <w:r>
        <w:rPr>
          <w:rFonts w:hint="eastAsia" w:ascii="宋体"/>
          <w:bCs/>
          <w:szCs w:val="21"/>
        </w:rPr>
        <w:t>投标人本项目提供的货物全部由符合政策要求的中小企业制造的，须提供按格式填写的《中小企业声明函》（货物）（《中小企业声明函》（货物）相应内容须与上表填列内容保持一致）；投标人本项目提供的服务全部由符合政策要求的中小企业承接的，须提供按格式填写的《中小企业声明函》（服务）；或提供由省级以上监狱管理局、戒毒管理局(含新疆生产建设兵团)出具</w:t>
      </w:r>
      <w:r>
        <w:rPr>
          <w:rFonts w:hint="eastAsia" w:ascii="宋体"/>
          <w:bCs/>
          <w:color w:val="000000" w:themeColor="text1"/>
          <w:szCs w:val="21"/>
          <w14:textFill>
            <w14:solidFill>
              <w14:schemeClr w14:val="tx1"/>
            </w14:solidFill>
          </w14:textFill>
        </w:rPr>
        <w:t>的投标人属于监狱企业的证明文件复印件；或提供投标人《残疾人福利性单位声明函》。如未按要求填写和提供有效证明或相关内容表述不清的，不得享受价格扣除。投标人对所报相关数据的真实性负责，无锡市政府采购中心有权将相关内容进行公示；</w:t>
      </w:r>
    </w:p>
    <w:p>
      <w:pPr>
        <w:spacing w:line="400" w:lineRule="exact"/>
        <w:ind w:firstLine="315" w:firstLineChars="150"/>
        <w:outlineLvl w:val="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）投标人应当根据“项目技术要求和有关说明”的内容在上表中详细填写；</w:t>
      </w:r>
    </w:p>
    <w:p>
      <w:pPr>
        <w:spacing w:line="400" w:lineRule="exact"/>
        <w:ind w:firstLine="315" w:firstLineChars="150"/>
        <w:outlineLvl w:val="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）表格不够可自行延长。</w:t>
      </w:r>
    </w:p>
    <w:p>
      <w:pPr>
        <w:spacing w:line="400" w:lineRule="exact"/>
        <w:outlineLvl w:val="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ind w:firstLine="420" w:firstLineChars="175"/>
        <w:outlineLvl w:val="0"/>
        <w:rPr>
          <w:rFonts w:ascii="黑体" w:hAnsi="宋体" w:eastAsia="黑体"/>
          <w:bCs/>
          <w:color w:val="000000" w:themeColor="text1"/>
          <w:sz w:val="24"/>
          <w:szCs w:val="24"/>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LXZC2022-026</w:t>
      </w:r>
    </w:p>
    <w:p>
      <w:pPr>
        <w:spacing w:line="400" w:lineRule="exact"/>
        <w:rPr>
          <w:rFonts w:ascii="黑体" w:eastAsia="黑体"/>
          <w:bCs/>
          <w:color w:val="000000" w:themeColor="text1"/>
          <w:sz w:val="24"/>
          <w:szCs w:val="24"/>
          <w14:textFill>
            <w14:solidFill>
              <w14:schemeClr w14:val="tx1"/>
            </w14:solidFill>
          </w14:textFill>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6"/>
        <w:rPr>
          <w:rFonts w:ascii="黑体" w:hAnsi="宋体" w:eastAsia="黑体"/>
          <w:bCs/>
          <w:color w:val="000000" w:themeColor="text1"/>
          <w:sz w:val="24"/>
          <w:szCs w:val="24"/>
          <w14:textFill>
            <w14:solidFill>
              <w14:schemeClr w14:val="tx1"/>
            </w14:solidFill>
          </w14:textFill>
        </w:rPr>
      </w:pPr>
    </w:p>
    <w:p/>
    <w:p>
      <w:pPr>
        <w:spacing w:after="312" w:afterLines="100"/>
        <w:jc w:val="left"/>
        <w:outlineLvl w:val="1"/>
        <w:rPr>
          <w:rFonts w:ascii="黑体" w:hAnsi="Calibri" w:eastAsia="黑体"/>
          <w:bCs/>
          <w:sz w:val="24"/>
          <w:szCs w:val="24"/>
        </w:rPr>
      </w:pPr>
    </w:p>
    <w:p>
      <w:pPr>
        <w:outlineLvl w:val="2"/>
        <w:rPr>
          <w:rFonts w:ascii="黑体" w:hAnsi="宋体"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580" w:lineRule="exact"/>
        <w:rPr>
          <w:rFonts w:hint="eastAsia" w:ascii="黑体" w:eastAsia="黑体"/>
          <w:bCs/>
          <w:sz w:val="24"/>
          <w:szCs w:val="24"/>
          <w:highlight w:val="yellow"/>
          <w:lang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LXZC2022-026</w:t>
      </w:r>
    </w:p>
    <w:tbl>
      <w:tblPr>
        <w:tblStyle w:val="2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26"/>
        <w:gridCol w:w="793"/>
        <w:gridCol w:w="2585"/>
        <w:gridCol w:w="145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76" w:type="dxa"/>
            <w:vAlign w:val="center"/>
          </w:tcPr>
          <w:p>
            <w:pPr>
              <w:rPr>
                <w:b/>
                <w:bCs/>
                <w:sz w:val="24"/>
                <w:szCs w:val="24"/>
              </w:rPr>
            </w:pPr>
            <w:r>
              <w:rPr>
                <w:rFonts w:hint="eastAsia"/>
                <w:b/>
                <w:bCs/>
                <w:sz w:val="24"/>
                <w:szCs w:val="24"/>
              </w:rPr>
              <w:t>序号</w:t>
            </w:r>
          </w:p>
        </w:tc>
        <w:tc>
          <w:tcPr>
            <w:tcW w:w="1626" w:type="dxa"/>
            <w:vAlign w:val="center"/>
          </w:tcPr>
          <w:p>
            <w:pPr>
              <w:rPr>
                <w:b/>
                <w:bCs/>
                <w:sz w:val="24"/>
                <w:szCs w:val="24"/>
              </w:rPr>
            </w:pPr>
            <w:r>
              <w:rPr>
                <w:rFonts w:hint="eastAsia"/>
                <w:b/>
                <w:bCs/>
                <w:sz w:val="24"/>
                <w:szCs w:val="24"/>
              </w:rPr>
              <w:t>姓名</w:t>
            </w:r>
          </w:p>
        </w:tc>
        <w:tc>
          <w:tcPr>
            <w:tcW w:w="793" w:type="dxa"/>
            <w:vAlign w:val="center"/>
          </w:tcPr>
          <w:p>
            <w:pPr>
              <w:rPr>
                <w:b/>
                <w:bCs/>
                <w:sz w:val="24"/>
                <w:szCs w:val="24"/>
              </w:rPr>
            </w:pPr>
            <w:r>
              <w:rPr>
                <w:rFonts w:hint="eastAsia"/>
                <w:b/>
                <w:bCs/>
                <w:sz w:val="24"/>
                <w:szCs w:val="24"/>
              </w:rPr>
              <w:t>年龄</w:t>
            </w:r>
          </w:p>
        </w:tc>
        <w:tc>
          <w:tcPr>
            <w:tcW w:w="2585" w:type="dxa"/>
            <w:vAlign w:val="center"/>
          </w:tcPr>
          <w:p>
            <w:pPr>
              <w:rPr>
                <w:b/>
                <w:bCs/>
                <w:sz w:val="24"/>
                <w:szCs w:val="24"/>
              </w:rPr>
            </w:pPr>
            <w:r>
              <w:rPr>
                <w:rFonts w:hint="eastAsia"/>
                <w:b/>
                <w:bCs/>
                <w:sz w:val="24"/>
                <w:szCs w:val="24"/>
              </w:rPr>
              <w:t>本项目职责</w:t>
            </w:r>
          </w:p>
        </w:tc>
        <w:tc>
          <w:tcPr>
            <w:tcW w:w="1459" w:type="dxa"/>
            <w:vAlign w:val="center"/>
          </w:tcPr>
          <w:p>
            <w:pPr>
              <w:rPr>
                <w:b/>
                <w:bCs/>
                <w:sz w:val="24"/>
                <w:szCs w:val="24"/>
              </w:rPr>
            </w:pPr>
            <w:r>
              <w:rPr>
                <w:rFonts w:hint="eastAsia"/>
                <w:b/>
                <w:bCs/>
                <w:sz w:val="24"/>
                <w:szCs w:val="24"/>
              </w:rPr>
              <w:t>个人经验</w:t>
            </w:r>
          </w:p>
        </w:tc>
        <w:tc>
          <w:tcPr>
            <w:tcW w:w="1977" w:type="dxa"/>
            <w:vAlign w:val="center"/>
          </w:tcPr>
          <w:p>
            <w:pPr>
              <w:rPr>
                <w:b/>
                <w:bCs/>
                <w:sz w:val="24"/>
                <w:szCs w:val="24"/>
              </w:rPr>
            </w:pPr>
            <w:r>
              <w:rPr>
                <w:rFonts w:hint="eastAsia"/>
                <w:b/>
                <w:bCs/>
                <w:sz w:val="24"/>
                <w:szCs w:val="24"/>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bl>
    <w:p>
      <w:pPr>
        <w:rPr>
          <w:rFonts w:ascii="Calibri" w:hAnsi="Calibri"/>
          <w:b/>
          <w:bCs/>
          <w:sz w:val="24"/>
          <w:szCs w:val="24"/>
        </w:rPr>
      </w:pPr>
      <w:r>
        <w:rPr>
          <w:rFonts w:hint="eastAsia"/>
          <w:b/>
          <w:bCs/>
          <w:sz w:val="24"/>
          <w:szCs w:val="24"/>
        </w:rPr>
        <w:t>法定代表人或法定代表人授权代表签字或盖章：</w:t>
      </w:r>
    </w:p>
    <w:p>
      <w:pPr>
        <w:rPr>
          <w:rFonts w:ascii="宋体" w:hAnsi="宋体"/>
          <w:bCs/>
          <w:szCs w:val="21"/>
        </w:rPr>
      </w:pPr>
    </w:p>
    <w:p>
      <w:pPr>
        <w:rPr>
          <w:rFonts w:ascii="宋体" w:hAnsi="宋体"/>
          <w:bCs/>
          <w:szCs w:val="21"/>
        </w:rPr>
      </w:pPr>
      <w:r>
        <w:rPr>
          <w:rFonts w:hint="eastAsia" w:ascii="宋体" w:hAnsi="宋体"/>
          <w:bCs/>
          <w:szCs w:val="21"/>
        </w:rPr>
        <w:t>注：1. 表格不够可自行延长。</w:t>
      </w:r>
    </w:p>
    <w:p>
      <w:pPr>
        <w:spacing w:after="312" w:afterLines="100"/>
        <w:jc w:val="left"/>
        <w:outlineLvl w:val="1"/>
        <w:rPr>
          <w:rFonts w:ascii="宋体" w:hAnsi="宋体"/>
          <w:bCs/>
          <w:szCs w:val="21"/>
        </w:rPr>
      </w:pPr>
      <w:r>
        <w:rPr>
          <w:rFonts w:hint="eastAsia" w:ascii="宋体" w:hAnsi="宋体"/>
          <w:bCs/>
          <w:szCs w:val="21"/>
        </w:rPr>
        <w:t>2. 人员相关证明材料应按招标文件要求提供，并附在本表之后。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80" w:lineRule="auto"/>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4"/>
        <w:szCs w:val="24"/>
      </w:rPr>
    </w:pPr>
    <w:r>
      <w:rPr>
        <w:rFonts w:hint="eastAsia" w:ascii="华文新魏" w:hAnsi="华文中宋" w:eastAsia="华文新魏"/>
        <w:sz w:val="24"/>
        <w:szCs w:val="24"/>
        <w:lang w:eastAsia="zh-CN"/>
      </w:rPr>
      <w:t>LXZC2022-026</w:t>
    </w:r>
    <w:r>
      <w:rPr>
        <w:rFonts w:hint="eastAsia" w:ascii="华文新魏" w:hAnsi="华文中宋" w:eastAsia="华文新魏"/>
        <w:sz w:val="24"/>
        <w:szCs w:val="24"/>
        <w:lang w:val="en-US" w:eastAsia="zh-CN"/>
      </w:rPr>
      <w:t xml:space="preserve">        </w:t>
    </w:r>
    <w:r>
      <w:rPr>
        <w:rFonts w:hint="eastAsia" w:eastAsia="华文新魏"/>
        <w:sz w:val="24"/>
        <w:szCs w:val="24"/>
        <w:lang w:eastAsia="zh-CN"/>
      </w:rPr>
      <w:t>梁溪区AI智慧作业系统</w:t>
    </w:r>
    <w:r>
      <w:rPr>
        <w:rFonts w:hint="eastAsia" w:eastAsia="华文新魏"/>
        <w:sz w:val="24"/>
        <w:szCs w:val="24"/>
      </w:rPr>
      <w:t xml:space="preserve">    </w:t>
    </w:r>
    <w:r>
      <w:rPr>
        <w:rFonts w:hint="eastAsia" w:eastAsia="华文新魏"/>
        <w:sz w:val="24"/>
        <w:szCs w:val="24"/>
        <w:lang w:val="en-US" w:eastAsia="zh-CN"/>
      </w:rPr>
      <w:t xml:space="preserve">    </w:t>
    </w:r>
    <w:r>
      <w:rPr>
        <w:rFonts w:hint="eastAsia" w:eastAsia="华文新魏"/>
        <w:sz w:val="24"/>
        <w:szCs w:val="24"/>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C3AED"/>
    <w:multiLevelType w:val="singleLevel"/>
    <w:tmpl w:val="A62C3AED"/>
    <w:lvl w:ilvl="0" w:tentative="0">
      <w:start w:val="1"/>
      <w:numFmt w:val="chineseCounting"/>
      <w:suff w:val="nothing"/>
      <w:lvlText w:val="%1、"/>
      <w:lvlJc w:val="left"/>
      <w:rPr>
        <w:rFonts w:hint="eastAsia"/>
      </w:r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hint="default" w:ascii="宋体" w:hAnsi="宋体" w:eastAsia="宋体" w:cs="Times New Roman"/>
        <w:b w:val="0"/>
        <w:bCs w:val="0"/>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asciiTheme="minorEastAsia" w:hAnsiTheme="minorEastAsia" w:eastAsiaTheme="minorEastAsia"/>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B6112BF"/>
    <w:multiLevelType w:val="singleLevel"/>
    <w:tmpl w:val="1B6112BF"/>
    <w:lvl w:ilvl="0" w:tentative="0">
      <w:start w:val="1"/>
      <w:numFmt w:val="lowerLetter"/>
      <w:lvlText w:val="%1."/>
      <w:lvlJc w:val="left"/>
      <w:pPr>
        <w:tabs>
          <w:tab w:val="left" w:pos="312"/>
        </w:tabs>
      </w:pPr>
    </w:lvl>
  </w:abstractNum>
  <w:abstractNum w:abstractNumId="4">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5">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7">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8">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9">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10">
    <w:nsid w:val="3EC72376"/>
    <w:multiLevelType w:val="multilevel"/>
    <w:tmpl w:val="3EC72376"/>
    <w:lvl w:ilvl="0" w:tentative="0">
      <w:start w:val="8"/>
      <w:numFmt w:val="japaneseCounting"/>
      <w:lvlText w:val="（%1）"/>
      <w:lvlJc w:val="left"/>
      <w:pPr>
        <w:ind w:left="1239" w:hanging="720"/>
      </w:pPr>
      <w:rPr>
        <w:rFonts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11">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2">
    <w:nsid w:val="4365B020"/>
    <w:multiLevelType w:val="singleLevel"/>
    <w:tmpl w:val="4365B020"/>
    <w:lvl w:ilvl="0" w:tentative="0">
      <w:start w:val="1"/>
      <w:numFmt w:val="lowerLetter"/>
      <w:lvlText w:val="%1."/>
      <w:lvlJc w:val="left"/>
      <w:pPr>
        <w:tabs>
          <w:tab w:val="left" w:pos="312"/>
        </w:tabs>
      </w:pPr>
    </w:lvl>
  </w:abstractNum>
  <w:abstractNum w:abstractNumId="13">
    <w:nsid w:val="4B9C13F3"/>
    <w:multiLevelType w:val="singleLevel"/>
    <w:tmpl w:val="4B9C13F3"/>
    <w:lvl w:ilvl="0" w:tentative="0">
      <w:start w:val="1"/>
      <w:numFmt w:val="lowerLetter"/>
      <w:lvlText w:val="%1."/>
      <w:lvlJc w:val="left"/>
      <w:pPr>
        <w:tabs>
          <w:tab w:val="left" w:pos="312"/>
        </w:tabs>
      </w:pPr>
    </w:lvl>
  </w:abstractNum>
  <w:abstractNum w:abstractNumId="14">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5">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7">
    <w:nsid w:val="6341C2B9"/>
    <w:multiLevelType w:val="singleLevel"/>
    <w:tmpl w:val="6341C2B9"/>
    <w:lvl w:ilvl="0" w:tentative="0">
      <w:start w:val="1"/>
      <w:numFmt w:val="lowerLetter"/>
      <w:lvlText w:val="%1."/>
      <w:lvlJc w:val="left"/>
      <w:pPr>
        <w:tabs>
          <w:tab w:val="left" w:pos="312"/>
        </w:tabs>
      </w:pPr>
    </w:lvl>
  </w:abstractNum>
  <w:abstractNum w:abstractNumId="18">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20">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1">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22">
    <w:nsid w:val="71D54D18"/>
    <w:multiLevelType w:val="multilevel"/>
    <w:tmpl w:val="71D54D18"/>
    <w:lvl w:ilvl="0" w:tentative="0">
      <w:start w:val="1"/>
      <w:numFmt w:val="upperLetter"/>
      <w:pStyle w:val="8"/>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22"/>
  </w:num>
  <w:num w:numId="2">
    <w:abstractNumId w:val="20"/>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3"/>
    <w:lvlOverride w:ilvl="0">
      <w:startOverride w:val="1"/>
    </w:lvlOverride>
  </w:num>
  <w:num w:numId="7">
    <w:abstractNumId w:val="9"/>
    <w:lvlOverride w:ilvl="0">
      <w:startOverride w:val="1"/>
    </w:lvlOverride>
  </w:num>
  <w:num w:numId="8">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21"/>
  </w:num>
  <w:num w:numId="14">
    <w:abstractNumId w:val="19"/>
  </w:num>
  <w:num w:numId="15">
    <w:abstractNumId w:val="8"/>
  </w:num>
  <w:num w:numId="16">
    <w:abstractNumId w:val="16"/>
  </w:num>
  <w:num w:numId="17">
    <w:abstractNumId w:val="0"/>
  </w:num>
  <w:num w:numId="18">
    <w:abstractNumId w:val="2"/>
  </w:num>
  <w:num w:numId="1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3"/>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TJkNjExMzJhNDUxNWJkNTkxZjkzM2Y1MjBkMmMifQ=="/>
  </w:docVars>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8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364"/>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2D9"/>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0CB2"/>
    <w:rsid w:val="001516CA"/>
    <w:rsid w:val="00152DF6"/>
    <w:rsid w:val="00154F32"/>
    <w:rsid w:val="00155484"/>
    <w:rsid w:val="001560CD"/>
    <w:rsid w:val="0015678F"/>
    <w:rsid w:val="00156D8F"/>
    <w:rsid w:val="00156F98"/>
    <w:rsid w:val="00157FA7"/>
    <w:rsid w:val="0016033E"/>
    <w:rsid w:val="00161C78"/>
    <w:rsid w:val="0016340B"/>
    <w:rsid w:val="0016356D"/>
    <w:rsid w:val="0016461F"/>
    <w:rsid w:val="0016484D"/>
    <w:rsid w:val="00165BA1"/>
    <w:rsid w:val="0016602F"/>
    <w:rsid w:val="00166298"/>
    <w:rsid w:val="00170996"/>
    <w:rsid w:val="001713BF"/>
    <w:rsid w:val="0017312D"/>
    <w:rsid w:val="00174FDC"/>
    <w:rsid w:val="00175753"/>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14C3"/>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28C"/>
    <w:rsid w:val="00255CD8"/>
    <w:rsid w:val="0025660D"/>
    <w:rsid w:val="0025745D"/>
    <w:rsid w:val="00257F56"/>
    <w:rsid w:val="00261791"/>
    <w:rsid w:val="002631F1"/>
    <w:rsid w:val="00264143"/>
    <w:rsid w:val="002648B7"/>
    <w:rsid w:val="0026615E"/>
    <w:rsid w:val="002662DF"/>
    <w:rsid w:val="00266E9A"/>
    <w:rsid w:val="00267ADA"/>
    <w:rsid w:val="00267BA6"/>
    <w:rsid w:val="00270D2F"/>
    <w:rsid w:val="0027229D"/>
    <w:rsid w:val="002729FF"/>
    <w:rsid w:val="00273B24"/>
    <w:rsid w:val="002746EF"/>
    <w:rsid w:val="00274FAC"/>
    <w:rsid w:val="00275160"/>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1BD"/>
    <w:rsid w:val="0034780A"/>
    <w:rsid w:val="00351605"/>
    <w:rsid w:val="00354D54"/>
    <w:rsid w:val="00354F1D"/>
    <w:rsid w:val="00356153"/>
    <w:rsid w:val="00356350"/>
    <w:rsid w:val="003576D5"/>
    <w:rsid w:val="00357AF3"/>
    <w:rsid w:val="0036070F"/>
    <w:rsid w:val="00361D10"/>
    <w:rsid w:val="00365474"/>
    <w:rsid w:val="00366DD7"/>
    <w:rsid w:val="00370036"/>
    <w:rsid w:val="00370357"/>
    <w:rsid w:val="00372E89"/>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841"/>
    <w:rsid w:val="0039098E"/>
    <w:rsid w:val="003913ED"/>
    <w:rsid w:val="0039162F"/>
    <w:rsid w:val="00392160"/>
    <w:rsid w:val="00394CB7"/>
    <w:rsid w:val="0039567B"/>
    <w:rsid w:val="003967B0"/>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36E"/>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131E"/>
    <w:rsid w:val="0049285A"/>
    <w:rsid w:val="004934D2"/>
    <w:rsid w:val="00493991"/>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031"/>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193E"/>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5C0"/>
    <w:rsid w:val="00621C62"/>
    <w:rsid w:val="006233B7"/>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6CE8"/>
    <w:rsid w:val="00657D5D"/>
    <w:rsid w:val="00661105"/>
    <w:rsid w:val="00662F89"/>
    <w:rsid w:val="00663348"/>
    <w:rsid w:val="0066429F"/>
    <w:rsid w:val="00665036"/>
    <w:rsid w:val="00665BEC"/>
    <w:rsid w:val="00665E70"/>
    <w:rsid w:val="00666F26"/>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03E"/>
    <w:rsid w:val="00693C97"/>
    <w:rsid w:val="0069470F"/>
    <w:rsid w:val="006947E1"/>
    <w:rsid w:val="006957F7"/>
    <w:rsid w:val="00695DF2"/>
    <w:rsid w:val="00696FE7"/>
    <w:rsid w:val="0069725F"/>
    <w:rsid w:val="006A1417"/>
    <w:rsid w:val="006A14A6"/>
    <w:rsid w:val="006A18FB"/>
    <w:rsid w:val="006A1A0D"/>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237"/>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9E5"/>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3C0"/>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3D43"/>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3C92"/>
    <w:rsid w:val="0099436C"/>
    <w:rsid w:val="00995284"/>
    <w:rsid w:val="00996463"/>
    <w:rsid w:val="00997BC2"/>
    <w:rsid w:val="009A0469"/>
    <w:rsid w:val="009A1364"/>
    <w:rsid w:val="009A1F99"/>
    <w:rsid w:val="009A2607"/>
    <w:rsid w:val="009A2BB0"/>
    <w:rsid w:val="009A4836"/>
    <w:rsid w:val="009A4BE9"/>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3F63"/>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63F8"/>
    <w:rsid w:val="00A973F4"/>
    <w:rsid w:val="00AA002C"/>
    <w:rsid w:val="00AA0574"/>
    <w:rsid w:val="00AA0F44"/>
    <w:rsid w:val="00AA1C32"/>
    <w:rsid w:val="00AA1E93"/>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03B5"/>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07E30"/>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0FC"/>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1A5"/>
    <w:rsid w:val="00B54A57"/>
    <w:rsid w:val="00B54BD2"/>
    <w:rsid w:val="00B55A91"/>
    <w:rsid w:val="00B56432"/>
    <w:rsid w:val="00B579DE"/>
    <w:rsid w:val="00B57D3D"/>
    <w:rsid w:val="00B60AAA"/>
    <w:rsid w:val="00B6131D"/>
    <w:rsid w:val="00B61769"/>
    <w:rsid w:val="00B63BCC"/>
    <w:rsid w:val="00B63EE0"/>
    <w:rsid w:val="00B64FB8"/>
    <w:rsid w:val="00B655BC"/>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2E85"/>
    <w:rsid w:val="00C23A83"/>
    <w:rsid w:val="00C23F49"/>
    <w:rsid w:val="00C2430F"/>
    <w:rsid w:val="00C2492F"/>
    <w:rsid w:val="00C267D1"/>
    <w:rsid w:val="00C26B8E"/>
    <w:rsid w:val="00C2778A"/>
    <w:rsid w:val="00C2780A"/>
    <w:rsid w:val="00C31C3D"/>
    <w:rsid w:val="00C341B5"/>
    <w:rsid w:val="00C3441A"/>
    <w:rsid w:val="00C34B0E"/>
    <w:rsid w:val="00C34F36"/>
    <w:rsid w:val="00C3541F"/>
    <w:rsid w:val="00C35A15"/>
    <w:rsid w:val="00C35DA2"/>
    <w:rsid w:val="00C36BD9"/>
    <w:rsid w:val="00C373A3"/>
    <w:rsid w:val="00C3745C"/>
    <w:rsid w:val="00C43A56"/>
    <w:rsid w:val="00C4534C"/>
    <w:rsid w:val="00C45F44"/>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00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3AB"/>
    <w:rsid w:val="00C845F9"/>
    <w:rsid w:val="00C84C68"/>
    <w:rsid w:val="00C86F5E"/>
    <w:rsid w:val="00C87EFD"/>
    <w:rsid w:val="00C90245"/>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2B2A"/>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34E5B"/>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A622C"/>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4752"/>
    <w:rsid w:val="00ED528A"/>
    <w:rsid w:val="00ED5C08"/>
    <w:rsid w:val="00ED6660"/>
    <w:rsid w:val="00ED72D1"/>
    <w:rsid w:val="00EE0B9A"/>
    <w:rsid w:val="00EE184F"/>
    <w:rsid w:val="00EE1882"/>
    <w:rsid w:val="00EE1E88"/>
    <w:rsid w:val="00EE3034"/>
    <w:rsid w:val="00EE409F"/>
    <w:rsid w:val="00EE4558"/>
    <w:rsid w:val="00EE4C35"/>
    <w:rsid w:val="00EF2E4B"/>
    <w:rsid w:val="00EF31A5"/>
    <w:rsid w:val="00EF39CB"/>
    <w:rsid w:val="00EF3B39"/>
    <w:rsid w:val="00EF599D"/>
    <w:rsid w:val="00EF5C38"/>
    <w:rsid w:val="00EF5E3D"/>
    <w:rsid w:val="00EF67DB"/>
    <w:rsid w:val="00EF75E9"/>
    <w:rsid w:val="00F03D1C"/>
    <w:rsid w:val="00F049B0"/>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50E"/>
    <w:rsid w:val="00F2295C"/>
    <w:rsid w:val="00F26591"/>
    <w:rsid w:val="00F265FB"/>
    <w:rsid w:val="00F26708"/>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67B77"/>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C55DA"/>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9F34E7"/>
    <w:rsid w:val="02DA6455"/>
    <w:rsid w:val="057C6CDB"/>
    <w:rsid w:val="05AB3BFA"/>
    <w:rsid w:val="05B01190"/>
    <w:rsid w:val="07CF3FC6"/>
    <w:rsid w:val="07D451D8"/>
    <w:rsid w:val="0A31516B"/>
    <w:rsid w:val="0C5122A7"/>
    <w:rsid w:val="0E470DFE"/>
    <w:rsid w:val="0EF71522"/>
    <w:rsid w:val="0EFF4157"/>
    <w:rsid w:val="0FCD114C"/>
    <w:rsid w:val="103D29B5"/>
    <w:rsid w:val="10E9717C"/>
    <w:rsid w:val="11BD5A0A"/>
    <w:rsid w:val="11EF2379"/>
    <w:rsid w:val="13576DA7"/>
    <w:rsid w:val="14347172"/>
    <w:rsid w:val="144E4536"/>
    <w:rsid w:val="152F261A"/>
    <w:rsid w:val="15455E1E"/>
    <w:rsid w:val="154E5145"/>
    <w:rsid w:val="16E34018"/>
    <w:rsid w:val="177F44D2"/>
    <w:rsid w:val="1927054B"/>
    <w:rsid w:val="19A91B18"/>
    <w:rsid w:val="1AC6444B"/>
    <w:rsid w:val="1B072DED"/>
    <w:rsid w:val="1BE7774A"/>
    <w:rsid w:val="1F296D6F"/>
    <w:rsid w:val="1F3132CD"/>
    <w:rsid w:val="1FA9036A"/>
    <w:rsid w:val="20DE5B44"/>
    <w:rsid w:val="242E6E6F"/>
    <w:rsid w:val="24C0148F"/>
    <w:rsid w:val="24C824AB"/>
    <w:rsid w:val="257E5E15"/>
    <w:rsid w:val="260E57EE"/>
    <w:rsid w:val="26B27660"/>
    <w:rsid w:val="27304548"/>
    <w:rsid w:val="27700955"/>
    <w:rsid w:val="27C65230"/>
    <w:rsid w:val="29FC7E86"/>
    <w:rsid w:val="2A924567"/>
    <w:rsid w:val="2AA15F6C"/>
    <w:rsid w:val="2D760C8A"/>
    <w:rsid w:val="2EA769CB"/>
    <w:rsid w:val="30731619"/>
    <w:rsid w:val="32016F71"/>
    <w:rsid w:val="33D005E9"/>
    <w:rsid w:val="35F141C8"/>
    <w:rsid w:val="36432A19"/>
    <w:rsid w:val="373B5614"/>
    <w:rsid w:val="373D34D1"/>
    <w:rsid w:val="37481270"/>
    <w:rsid w:val="376D3618"/>
    <w:rsid w:val="378F7E6C"/>
    <w:rsid w:val="39376F18"/>
    <w:rsid w:val="3C2B783E"/>
    <w:rsid w:val="3D475107"/>
    <w:rsid w:val="3FBA19D1"/>
    <w:rsid w:val="44A150FA"/>
    <w:rsid w:val="454C3374"/>
    <w:rsid w:val="457A626D"/>
    <w:rsid w:val="45EF402C"/>
    <w:rsid w:val="46010FAF"/>
    <w:rsid w:val="466F02C9"/>
    <w:rsid w:val="47164984"/>
    <w:rsid w:val="479F23E0"/>
    <w:rsid w:val="47DF5014"/>
    <w:rsid w:val="49A915EC"/>
    <w:rsid w:val="4A3B127B"/>
    <w:rsid w:val="4BC36D42"/>
    <w:rsid w:val="4C055CDB"/>
    <w:rsid w:val="4C744451"/>
    <w:rsid w:val="4C9C521E"/>
    <w:rsid w:val="4D75306D"/>
    <w:rsid w:val="4D7E6E04"/>
    <w:rsid w:val="4E4625AA"/>
    <w:rsid w:val="4F0B1A05"/>
    <w:rsid w:val="4F8B7944"/>
    <w:rsid w:val="50BC25DF"/>
    <w:rsid w:val="50CC29AB"/>
    <w:rsid w:val="50E93C19"/>
    <w:rsid w:val="5263207E"/>
    <w:rsid w:val="545A4114"/>
    <w:rsid w:val="55C005FB"/>
    <w:rsid w:val="57C22011"/>
    <w:rsid w:val="586265BA"/>
    <w:rsid w:val="59264DFC"/>
    <w:rsid w:val="596156EB"/>
    <w:rsid w:val="59B1623C"/>
    <w:rsid w:val="5A5D3470"/>
    <w:rsid w:val="5B7761CC"/>
    <w:rsid w:val="5C910DBE"/>
    <w:rsid w:val="5E597FC5"/>
    <w:rsid w:val="5EAE48AD"/>
    <w:rsid w:val="5F713620"/>
    <w:rsid w:val="610A7648"/>
    <w:rsid w:val="618F1684"/>
    <w:rsid w:val="62597BAE"/>
    <w:rsid w:val="62A16FB7"/>
    <w:rsid w:val="632A5414"/>
    <w:rsid w:val="64854F55"/>
    <w:rsid w:val="65103A5C"/>
    <w:rsid w:val="656E3556"/>
    <w:rsid w:val="65E50332"/>
    <w:rsid w:val="65FD3687"/>
    <w:rsid w:val="66B82635"/>
    <w:rsid w:val="6725235E"/>
    <w:rsid w:val="6728578C"/>
    <w:rsid w:val="67CC7317"/>
    <w:rsid w:val="681B668F"/>
    <w:rsid w:val="68F67B61"/>
    <w:rsid w:val="69003D29"/>
    <w:rsid w:val="6ACF2B79"/>
    <w:rsid w:val="6E94578A"/>
    <w:rsid w:val="6E9A22AA"/>
    <w:rsid w:val="6EE429BB"/>
    <w:rsid w:val="6EFE7D43"/>
    <w:rsid w:val="71261EB7"/>
    <w:rsid w:val="71B90088"/>
    <w:rsid w:val="723F69DB"/>
    <w:rsid w:val="73510F80"/>
    <w:rsid w:val="76561B79"/>
    <w:rsid w:val="770B7F48"/>
    <w:rsid w:val="77531725"/>
    <w:rsid w:val="79563B95"/>
    <w:rsid w:val="79C155C0"/>
    <w:rsid w:val="79C269D0"/>
    <w:rsid w:val="7AF03F36"/>
    <w:rsid w:val="7B340AAD"/>
    <w:rsid w:val="7B381954"/>
    <w:rsid w:val="7C1A51BA"/>
    <w:rsid w:val="7CB847FA"/>
    <w:rsid w:val="7E7749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2"/>
    <w:qFormat/>
    <w:uiPriority w:val="99"/>
    <w:pPr>
      <w:keepNext/>
      <w:jc w:val="center"/>
      <w:outlineLvl w:val="0"/>
    </w:pPr>
    <w:rPr>
      <w:b/>
      <w:bCs/>
      <w:kern w:val="44"/>
      <w:sz w:val="44"/>
      <w:szCs w:val="44"/>
    </w:rPr>
  </w:style>
  <w:style w:type="paragraph" w:styleId="5">
    <w:name w:val="heading 2"/>
    <w:basedOn w:val="1"/>
    <w:next w:val="1"/>
    <w:link w:val="33"/>
    <w:qFormat/>
    <w:uiPriority w:val="99"/>
    <w:pPr>
      <w:keepNext/>
      <w:jc w:val="center"/>
      <w:outlineLvl w:val="1"/>
    </w:pPr>
    <w:rPr>
      <w:rFonts w:ascii="Cambria" w:hAnsi="Cambria"/>
      <w:b/>
      <w:bCs/>
      <w:kern w:val="0"/>
      <w:sz w:val="32"/>
      <w:szCs w:val="32"/>
    </w:rPr>
  </w:style>
  <w:style w:type="paragraph" w:styleId="6">
    <w:name w:val="heading 3"/>
    <w:basedOn w:val="1"/>
    <w:next w:val="1"/>
    <w:link w:val="34"/>
    <w:qFormat/>
    <w:uiPriority w:val="99"/>
    <w:pPr>
      <w:keepNext/>
      <w:jc w:val="center"/>
      <w:outlineLvl w:val="2"/>
    </w:pPr>
    <w:rPr>
      <w:b/>
      <w:bCs/>
      <w:kern w:val="0"/>
      <w:sz w:val="32"/>
      <w:szCs w:val="32"/>
    </w:rPr>
  </w:style>
  <w:style w:type="paragraph" w:styleId="7">
    <w:name w:val="heading 4"/>
    <w:basedOn w:val="1"/>
    <w:next w:val="1"/>
    <w:link w:val="35"/>
    <w:qFormat/>
    <w:uiPriority w:val="99"/>
    <w:pPr>
      <w:keepNext/>
      <w:jc w:val="center"/>
      <w:outlineLvl w:val="3"/>
    </w:pPr>
    <w:rPr>
      <w:rFonts w:ascii="Cambria" w:hAnsi="Cambria"/>
      <w:b/>
      <w:bCs/>
      <w:kern w:val="0"/>
      <w:sz w:val="28"/>
      <w:szCs w:val="28"/>
    </w:rPr>
  </w:style>
  <w:style w:type="paragraph" w:styleId="8">
    <w:name w:val="heading 5"/>
    <w:basedOn w:val="1"/>
    <w:next w:val="1"/>
    <w:link w:val="36"/>
    <w:qFormat/>
    <w:uiPriority w:val="99"/>
    <w:pPr>
      <w:keepNext/>
      <w:numPr>
        <w:ilvl w:val="0"/>
        <w:numId w:val="1"/>
      </w:numPr>
      <w:outlineLvl w:val="4"/>
    </w:pPr>
    <w:rPr>
      <w:rFonts w:ascii="楷体_GB2312" w:eastAsia="楷体_GB2312"/>
      <w:bCs/>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qFormat/>
    <w:uiPriority w:val="99"/>
    <w:rPr>
      <w:kern w:val="0"/>
      <w:sz w:val="20"/>
    </w:rPr>
  </w:style>
  <w:style w:type="paragraph" w:styleId="3">
    <w:name w:val="List"/>
    <w:basedOn w:val="1"/>
    <w:semiHidden/>
    <w:qFormat/>
    <w:uiPriority w:val="99"/>
    <w:pPr>
      <w:ind w:left="200" w:hanging="200" w:hangingChars="200"/>
      <w:contextualSpacing/>
    </w:pPr>
  </w:style>
  <w:style w:type="paragraph" w:styleId="9">
    <w:name w:val="Normal Indent"/>
    <w:basedOn w:val="1"/>
    <w:qFormat/>
    <w:uiPriority w:val="99"/>
    <w:pPr>
      <w:ind w:firstLine="420"/>
    </w:pPr>
  </w:style>
  <w:style w:type="paragraph" w:styleId="10">
    <w:name w:val="Document Map"/>
    <w:basedOn w:val="1"/>
    <w:link w:val="97"/>
    <w:semiHidden/>
    <w:qFormat/>
    <w:uiPriority w:val="99"/>
    <w:pPr>
      <w:shd w:val="clear" w:color="auto" w:fill="000080"/>
    </w:pPr>
    <w:rPr>
      <w:kern w:val="0"/>
      <w:sz w:val="2"/>
    </w:rPr>
  </w:style>
  <w:style w:type="paragraph" w:styleId="11">
    <w:name w:val="annotation text"/>
    <w:basedOn w:val="1"/>
    <w:link w:val="105"/>
    <w:unhideWhenUsed/>
    <w:qFormat/>
    <w:uiPriority w:val="99"/>
    <w:pPr>
      <w:jc w:val="left"/>
    </w:pPr>
  </w:style>
  <w:style w:type="paragraph" w:styleId="12">
    <w:name w:val="Body Text Indent"/>
    <w:basedOn w:val="1"/>
    <w:link w:val="38"/>
    <w:qFormat/>
    <w:uiPriority w:val="99"/>
    <w:pPr>
      <w:ind w:firstLine="576"/>
    </w:pPr>
    <w:rPr>
      <w:kern w:val="0"/>
      <w:sz w:val="20"/>
    </w:rPr>
  </w:style>
  <w:style w:type="paragraph" w:styleId="13">
    <w:name w:val="Date"/>
    <w:basedOn w:val="1"/>
    <w:next w:val="1"/>
    <w:link w:val="37"/>
    <w:qFormat/>
    <w:uiPriority w:val="99"/>
    <w:rPr>
      <w:kern w:val="0"/>
      <w:sz w:val="20"/>
    </w:rPr>
  </w:style>
  <w:style w:type="paragraph" w:styleId="14">
    <w:name w:val="Body Text Indent 2"/>
    <w:basedOn w:val="1"/>
    <w:link w:val="42"/>
    <w:qFormat/>
    <w:uiPriority w:val="99"/>
    <w:pPr>
      <w:ind w:left="900"/>
    </w:pPr>
    <w:rPr>
      <w:kern w:val="0"/>
      <w:sz w:val="20"/>
    </w:rPr>
  </w:style>
  <w:style w:type="paragraph" w:styleId="15">
    <w:name w:val="Balloon Text"/>
    <w:basedOn w:val="1"/>
    <w:link w:val="104"/>
    <w:semiHidden/>
    <w:unhideWhenUsed/>
    <w:qFormat/>
    <w:uiPriority w:val="99"/>
    <w:rPr>
      <w:sz w:val="18"/>
      <w:szCs w:val="18"/>
    </w:rPr>
  </w:style>
  <w:style w:type="paragraph" w:styleId="16">
    <w:name w:val="footer"/>
    <w:basedOn w:val="1"/>
    <w:next w:val="1"/>
    <w:link w:val="39"/>
    <w:qFormat/>
    <w:uiPriority w:val="99"/>
    <w:pPr>
      <w:tabs>
        <w:tab w:val="center" w:pos="4153"/>
        <w:tab w:val="right" w:pos="8306"/>
      </w:tabs>
      <w:snapToGrid w:val="0"/>
      <w:jc w:val="left"/>
    </w:pPr>
    <w:rPr>
      <w:kern w:val="0"/>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link w:val="43"/>
    <w:qFormat/>
    <w:uiPriority w:val="99"/>
    <w:pPr>
      <w:ind w:left="359" w:leftChars="171" w:firstLine="359" w:firstLineChars="171"/>
    </w:pPr>
    <w:rPr>
      <w:kern w:val="0"/>
      <w:sz w:val="16"/>
      <w:szCs w:val="16"/>
    </w:rPr>
  </w:style>
  <w:style w:type="paragraph" w:styleId="19">
    <w:name w:val="Body Text 2"/>
    <w:basedOn w:val="1"/>
    <w:link w:val="98"/>
    <w:qFormat/>
    <w:uiPriority w:val="99"/>
    <w:pPr>
      <w:spacing w:after="120" w:line="480" w:lineRule="auto"/>
    </w:pPr>
    <w:rPr>
      <w:kern w:val="0"/>
      <w:sz w:val="20"/>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11"/>
    <w:next w:val="11"/>
    <w:link w:val="106"/>
    <w:semiHidden/>
    <w:unhideWhenUsed/>
    <w:qFormat/>
    <w:uiPriority w:val="99"/>
    <w:rPr>
      <w:b/>
      <w:bCs/>
    </w:rPr>
  </w:style>
  <w:style w:type="paragraph" w:styleId="22">
    <w:name w:val="Body Text First Indent 2"/>
    <w:basedOn w:val="12"/>
    <w:link w:val="109"/>
    <w:qFormat/>
    <w:uiPriority w:val="99"/>
    <w:pPr>
      <w:spacing w:after="120"/>
      <w:ind w:left="420" w:leftChars="200" w:firstLine="420" w:firstLineChars="200"/>
    </w:pPr>
    <w:rPr>
      <w:kern w:val="2"/>
      <w:sz w:val="21"/>
    </w:rPr>
  </w:style>
  <w:style w:type="character" w:styleId="25">
    <w:name w:val="Strong"/>
    <w:qFormat/>
    <w:uiPriority w:val="99"/>
    <w:rPr>
      <w:rFonts w:cs="Times New Roman"/>
      <w:b/>
      <w:bCs/>
    </w:rPr>
  </w:style>
  <w:style w:type="character" w:styleId="26">
    <w:name w:val="page number"/>
    <w:qFormat/>
    <w:uiPriority w:val="99"/>
    <w:rPr>
      <w:rFonts w:cs="Times New Roman"/>
    </w:rPr>
  </w:style>
  <w:style w:type="character" w:styleId="27">
    <w:name w:val="FollowedHyperlink"/>
    <w:qFormat/>
    <w:uiPriority w:val="99"/>
    <w:rPr>
      <w:rFonts w:cs="Times New Roman"/>
      <w:color w:val="auto"/>
      <w:u w:val="none"/>
    </w:rPr>
  </w:style>
  <w:style w:type="character" w:styleId="28">
    <w:name w:val="HTML Typewriter"/>
    <w:qFormat/>
    <w:uiPriority w:val="99"/>
    <w:rPr>
      <w:rFonts w:ascii="宋体" w:hAnsi="宋体" w:eastAsia="宋体" w:cs="宋体"/>
      <w:sz w:val="24"/>
      <w:szCs w:val="24"/>
    </w:rPr>
  </w:style>
  <w:style w:type="character" w:styleId="29">
    <w:name w:val="Hyperlink"/>
    <w:qFormat/>
    <w:uiPriority w:val="99"/>
    <w:rPr>
      <w:rFonts w:cs="Times New Roman"/>
      <w:color w:val="auto"/>
      <w:u w:val="none"/>
    </w:rPr>
  </w:style>
  <w:style w:type="character" w:styleId="30">
    <w:name w:val="annotation reference"/>
    <w:basedOn w:val="24"/>
    <w:semiHidden/>
    <w:unhideWhenUsed/>
    <w:qFormat/>
    <w:uiPriority w:val="99"/>
    <w:rPr>
      <w:sz w:val="21"/>
      <w:szCs w:val="21"/>
    </w:rPr>
  </w:style>
  <w:style w:type="paragraph" w:customStyle="1" w:styleId="31">
    <w:name w:val="表格文字"/>
    <w:basedOn w:val="1"/>
    <w:next w:val="2"/>
    <w:qFormat/>
    <w:uiPriority w:val="0"/>
    <w:pPr>
      <w:jc w:val="left"/>
    </w:pPr>
    <w:rPr>
      <w:kern w:val="21"/>
    </w:rPr>
  </w:style>
  <w:style w:type="character" w:customStyle="1" w:styleId="32">
    <w:name w:val="标题 1 字符"/>
    <w:link w:val="4"/>
    <w:qFormat/>
    <w:locked/>
    <w:uiPriority w:val="99"/>
    <w:rPr>
      <w:rFonts w:cs="Times New Roman"/>
      <w:b/>
      <w:bCs/>
      <w:kern w:val="44"/>
      <w:sz w:val="44"/>
      <w:szCs w:val="44"/>
    </w:rPr>
  </w:style>
  <w:style w:type="character" w:customStyle="1" w:styleId="33">
    <w:name w:val="标题 2 字符"/>
    <w:link w:val="5"/>
    <w:semiHidden/>
    <w:qFormat/>
    <w:locked/>
    <w:uiPriority w:val="99"/>
    <w:rPr>
      <w:rFonts w:ascii="Cambria" w:hAnsi="Cambria" w:eastAsia="宋体" w:cs="Times New Roman"/>
      <w:b/>
      <w:bCs/>
      <w:sz w:val="32"/>
      <w:szCs w:val="32"/>
    </w:rPr>
  </w:style>
  <w:style w:type="character" w:customStyle="1" w:styleId="34">
    <w:name w:val="标题 3 字符"/>
    <w:link w:val="6"/>
    <w:semiHidden/>
    <w:qFormat/>
    <w:locked/>
    <w:uiPriority w:val="99"/>
    <w:rPr>
      <w:rFonts w:cs="Times New Roman"/>
      <w:b/>
      <w:bCs/>
      <w:sz w:val="32"/>
      <w:szCs w:val="32"/>
    </w:rPr>
  </w:style>
  <w:style w:type="character" w:customStyle="1" w:styleId="35">
    <w:name w:val="标题 4 字符"/>
    <w:link w:val="7"/>
    <w:semiHidden/>
    <w:qFormat/>
    <w:locked/>
    <w:uiPriority w:val="99"/>
    <w:rPr>
      <w:rFonts w:ascii="Cambria" w:hAnsi="Cambria" w:eastAsia="宋体" w:cs="Times New Roman"/>
      <w:b/>
      <w:bCs/>
      <w:sz w:val="28"/>
      <w:szCs w:val="28"/>
    </w:rPr>
  </w:style>
  <w:style w:type="character" w:customStyle="1" w:styleId="36">
    <w:name w:val="标题 5 字符"/>
    <w:link w:val="8"/>
    <w:qFormat/>
    <w:locked/>
    <w:uiPriority w:val="99"/>
    <w:rPr>
      <w:rFonts w:ascii="楷体_GB2312" w:eastAsia="楷体_GB2312"/>
      <w:bCs/>
      <w:kern w:val="2"/>
      <w:sz w:val="28"/>
    </w:rPr>
  </w:style>
  <w:style w:type="character" w:customStyle="1" w:styleId="37">
    <w:name w:val="日期 字符"/>
    <w:link w:val="13"/>
    <w:semiHidden/>
    <w:qFormat/>
    <w:locked/>
    <w:uiPriority w:val="99"/>
    <w:rPr>
      <w:rFonts w:cs="Times New Roman"/>
      <w:sz w:val="20"/>
      <w:szCs w:val="20"/>
    </w:rPr>
  </w:style>
  <w:style w:type="character" w:customStyle="1" w:styleId="38">
    <w:name w:val="正文文本缩进 字符"/>
    <w:link w:val="12"/>
    <w:semiHidden/>
    <w:qFormat/>
    <w:locked/>
    <w:uiPriority w:val="99"/>
    <w:rPr>
      <w:rFonts w:cs="Times New Roman"/>
      <w:sz w:val="20"/>
      <w:szCs w:val="20"/>
    </w:rPr>
  </w:style>
  <w:style w:type="character" w:customStyle="1" w:styleId="39">
    <w:name w:val="页脚 字符"/>
    <w:link w:val="16"/>
    <w:semiHidden/>
    <w:qFormat/>
    <w:locked/>
    <w:uiPriority w:val="99"/>
    <w:rPr>
      <w:rFonts w:cs="Times New Roman"/>
      <w:sz w:val="18"/>
      <w:szCs w:val="18"/>
    </w:rPr>
  </w:style>
  <w:style w:type="character" w:customStyle="1" w:styleId="40">
    <w:name w:val="页眉 字符"/>
    <w:link w:val="17"/>
    <w:qFormat/>
    <w:locked/>
    <w:uiPriority w:val="99"/>
    <w:rPr>
      <w:rFonts w:cs="Times New Roman"/>
      <w:sz w:val="18"/>
      <w:szCs w:val="18"/>
    </w:rPr>
  </w:style>
  <w:style w:type="character" w:customStyle="1" w:styleId="41">
    <w:name w:val="正文文本 字符"/>
    <w:link w:val="2"/>
    <w:semiHidden/>
    <w:qFormat/>
    <w:locked/>
    <w:uiPriority w:val="99"/>
    <w:rPr>
      <w:rFonts w:cs="Times New Roman"/>
      <w:sz w:val="20"/>
      <w:szCs w:val="20"/>
    </w:rPr>
  </w:style>
  <w:style w:type="character" w:customStyle="1" w:styleId="42">
    <w:name w:val="正文文本缩进 2 字符"/>
    <w:link w:val="14"/>
    <w:semiHidden/>
    <w:qFormat/>
    <w:locked/>
    <w:uiPriority w:val="99"/>
    <w:rPr>
      <w:rFonts w:cs="Times New Roman"/>
      <w:sz w:val="20"/>
      <w:szCs w:val="20"/>
    </w:rPr>
  </w:style>
  <w:style w:type="character" w:customStyle="1" w:styleId="43">
    <w:name w:val="正文文本缩进 3 字符"/>
    <w:link w:val="18"/>
    <w:semiHidden/>
    <w:qFormat/>
    <w:locked/>
    <w:uiPriority w:val="99"/>
    <w:rPr>
      <w:rFonts w:cs="Times New Roman"/>
      <w:sz w:val="16"/>
      <w:szCs w:val="16"/>
    </w:rPr>
  </w:style>
  <w:style w:type="paragraph" w:customStyle="1" w:styleId="44">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5">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6">
    <w:name w:val="font7"/>
    <w:basedOn w:val="1"/>
    <w:qFormat/>
    <w:uiPriority w:val="99"/>
    <w:pPr>
      <w:widowControl/>
      <w:spacing w:before="100" w:beforeAutospacing="1" w:after="100" w:afterAutospacing="1"/>
      <w:jc w:val="left"/>
    </w:pPr>
    <w:rPr>
      <w:b/>
      <w:bCs/>
      <w:i/>
      <w:iCs/>
      <w:kern w:val="0"/>
      <w:sz w:val="20"/>
    </w:rPr>
  </w:style>
  <w:style w:type="paragraph" w:customStyle="1" w:styleId="47">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48">
    <w:name w:val="font9"/>
    <w:basedOn w:val="1"/>
    <w:qFormat/>
    <w:uiPriority w:val="99"/>
    <w:pPr>
      <w:widowControl/>
      <w:spacing w:before="100" w:beforeAutospacing="1" w:after="100" w:afterAutospacing="1"/>
      <w:jc w:val="left"/>
    </w:pPr>
    <w:rPr>
      <w:b/>
      <w:bCs/>
      <w:kern w:val="0"/>
      <w:sz w:val="20"/>
    </w:rPr>
  </w:style>
  <w:style w:type="paragraph" w:customStyle="1" w:styleId="4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4">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6">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0">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1">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2">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3">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6">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7">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8">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9">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0">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1">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2">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3">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5">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6">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7">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8">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9">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80">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1">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2">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4">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5">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6">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7">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8">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9">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90">
    <w:name w:val="font11"/>
    <w:basedOn w:val="1"/>
    <w:qFormat/>
    <w:uiPriority w:val="99"/>
    <w:pPr>
      <w:widowControl/>
      <w:spacing w:before="100" w:beforeAutospacing="1" w:after="100" w:afterAutospacing="1"/>
      <w:jc w:val="left"/>
    </w:pPr>
    <w:rPr>
      <w:b/>
      <w:bCs/>
      <w:kern w:val="0"/>
      <w:sz w:val="18"/>
      <w:szCs w:val="18"/>
    </w:rPr>
  </w:style>
  <w:style w:type="paragraph" w:customStyle="1" w:styleId="91">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2">
    <w:name w:val="font13"/>
    <w:basedOn w:val="1"/>
    <w:qFormat/>
    <w:uiPriority w:val="99"/>
    <w:pPr>
      <w:widowControl/>
      <w:spacing w:before="100" w:beforeAutospacing="1" w:after="100" w:afterAutospacing="1"/>
      <w:jc w:val="left"/>
    </w:pPr>
    <w:rPr>
      <w:i/>
      <w:iCs/>
      <w:kern w:val="0"/>
      <w:sz w:val="36"/>
      <w:szCs w:val="36"/>
    </w:rPr>
  </w:style>
  <w:style w:type="paragraph" w:customStyle="1" w:styleId="93">
    <w:name w:val="font14"/>
    <w:basedOn w:val="1"/>
    <w:qFormat/>
    <w:uiPriority w:val="99"/>
    <w:pPr>
      <w:widowControl/>
      <w:spacing w:before="100" w:beforeAutospacing="1" w:after="100" w:afterAutospacing="1"/>
      <w:jc w:val="left"/>
    </w:pPr>
    <w:rPr>
      <w:kern w:val="0"/>
      <w:sz w:val="36"/>
      <w:szCs w:val="36"/>
    </w:rPr>
  </w:style>
  <w:style w:type="character" w:customStyle="1" w:styleId="94">
    <w:name w:val="case31"/>
    <w:qFormat/>
    <w:uiPriority w:val="99"/>
    <w:rPr>
      <w:rFonts w:cs="Times New Roman"/>
      <w:spacing w:val="390"/>
      <w:sz w:val="21"/>
      <w:szCs w:val="21"/>
    </w:rPr>
  </w:style>
  <w:style w:type="paragraph" w:customStyle="1" w:styleId="95">
    <w:name w:val="普通文字"/>
    <w:basedOn w:val="1"/>
    <w:next w:val="1"/>
    <w:qFormat/>
    <w:uiPriority w:val="99"/>
    <w:rPr>
      <w:rFonts w:ascii="宋体"/>
      <w:kern w:val="0"/>
      <w:sz w:val="24"/>
      <w:u w:color="000000"/>
    </w:rPr>
  </w:style>
  <w:style w:type="paragraph" w:customStyle="1" w:styleId="96">
    <w:name w:val="默认段落字体 Para Char"/>
    <w:basedOn w:val="1"/>
    <w:qFormat/>
    <w:uiPriority w:val="99"/>
    <w:pPr>
      <w:tabs>
        <w:tab w:val="left" w:pos="552"/>
      </w:tabs>
      <w:ind w:left="552" w:hanging="420"/>
    </w:pPr>
    <w:rPr>
      <w:sz w:val="24"/>
      <w:szCs w:val="24"/>
    </w:rPr>
  </w:style>
  <w:style w:type="character" w:customStyle="1" w:styleId="97">
    <w:name w:val="文档结构图 字符"/>
    <w:link w:val="10"/>
    <w:semiHidden/>
    <w:qFormat/>
    <w:locked/>
    <w:uiPriority w:val="99"/>
    <w:rPr>
      <w:rFonts w:cs="Times New Roman"/>
      <w:sz w:val="2"/>
    </w:rPr>
  </w:style>
  <w:style w:type="character" w:customStyle="1" w:styleId="98">
    <w:name w:val="正文文本 2 字符"/>
    <w:link w:val="19"/>
    <w:semiHidden/>
    <w:qFormat/>
    <w:locked/>
    <w:uiPriority w:val="99"/>
    <w:rPr>
      <w:rFonts w:cs="Times New Roman"/>
      <w:sz w:val="20"/>
      <w:szCs w:val="20"/>
    </w:rPr>
  </w:style>
  <w:style w:type="paragraph" w:customStyle="1" w:styleId="99">
    <w:name w:val="Char Char Char Char"/>
    <w:basedOn w:val="10"/>
    <w:qFormat/>
    <w:uiPriority w:val="99"/>
    <w:pPr>
      <w:adjustRightInd w:val="0"/>
      <w:snapToGrid w:val="0"/>
      <w:spacing w:line="360" w:lineRule="auto"/>
    </w:pPr>
    <w:rPr>
      <w:rFonts w:ascii="Tahoma" w:hAnsi="Tahoma"/>
      <w:sz w:val="24"/>
      <w:szCs w:val="24"/>
    </w:rPr>
  </w:style>
  <w:style w:type="paragraph" w:customStyle="1" w:styleId="100">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1">
    <w:name w:val="List Paragraph"/>
    <w:basedOn w:val="1"/>
    <w:qFormat/>
    <w:uiPriority w:val="0"/>
    <w:pPr>
      <w:ind w:firstLine="420" w:firstLineChars="200"/>
    </w:pPr>
  </w:style>
  <w:style w:type="character" w:customStyle="1" w:styleId="102">
    <w:name w:val="apple-converted-space"/>
    <w:basedOn w:val="24"/>
    <w:qFormat/>
    <w:uiPriority w:val="0"/>
  </w:style>
  <w:style w:type="character" w:customStyle="1" w:styleId="103">
    <w:name w:val="grame"/>
    <w:basedOn w:val="24"/>
    <w:qFormat/>
    <w:uiPriority w:val="0"/>
  </w:style>
  <w:style w:type="character" w:customStyle="1" w:styleId="104">
    <w:name w:val="批注框文本 字符"/>
    <w:link w:val="15"/>
    <w:semiHidden/>
    <w:qFormat/>
    <w:uiPriority w:val="99"/>
    <w:rPr>
      <w:kern w:val="2"/>
      <w:sz w:val="18"/>
      <w:szCs w:val="18"/>
    </w:rPr>
  </w:style>
  <w:style w:type="character" w:customStyle="1" w:styleId="105">
    <w:name w:val="批注文字 字符"/>
    <w:basedOn w:val="24"/>
    <w:link w:val="11"/>
    <w:qFormat/>
    <w:uiPriority w:val="99"/>
    <w:rPr>
      <w:kern w:val="2"/>
      <w:sz w:val="21"/>
    </w:rPr>
  </w:style>
  <w:style w:type="character" w:customStyle="1" w:styleId="106">
    <w:name w:val="批注主题 字符"/>
    <w:basedOn w:val="105"/>
    <w:link w:val="21"/>
    <w:semiHidden/>
    <w:qFormat/>
    <w:uiPriority w:val="99"/>
    <w:rPr>
      <w:b/>
      <w:bCs/>
      <w:kern w:val="2"/>
      <w:sz w:val="21"/>
    </w:rPr>
  </w:style>
  <w:style w:type="character" w:styleId="107">
    <w:name w:val="Placeholder Text"/>
    <w:basedOn w:val="24"/>
    <w:unhideWhenUsed/>
    <w:qFormat/>
    <w:uiPriority w:val="99"/>
    <w:rPr>
      <w:color w:val="808080"/>
    </w:rPr>
  </w:style>
  <w:style w:type="paragraph" w:customStyle="1" w:styleId="108">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09">
    <w:name w:val="正文文本首行缩进 2 字符"/>
    <w:basedOn w:val="38"/>
    <w:link w:val="22"/>
    <w:qFormat/>
    <w:uiPriority w:val="99"/>
    <w:rPr>
      <w:rFonts w:ascii="Times New Roman" w:hAnsi="Times New Roman" w:cs="Times New Roman"/>
      <w:kern w:val="2"/>
      <w:sz w:val="21"/>
      <w:szCs w:val="20"/>
    </w:rPr>
  </w:style>
  <w:style w:type="paragraph" w:customStyle="1" w:styleId="110">
    <w:name w:val="Default"/>
    <w:qFormat/>
    <w:uiPriority w:val="99"/>
    <w:pPr>
      <w:widowControl w:val="0"/>
      <w:autoSpaceDE w:val="0"/>
      <w:autoSpaceDN w:val="0"/>
      <w:adjustRightInd w:val="0"/>
    </w:pPr>
    <w:rPr>
      <w:rFonts w:ascii="Verdana" w:hAnsi="Verdana"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28CDB5-F8F4-4732-B60A-78213F8650D8}">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40</Pages>
  <Words>25389</Words>
  <Characters>26681</Characters>
  <Lines>180</Lines>
  <Paragraphs>50</Paragraphs>
  <TotalTime>2465</TotalTime>
  <ScaleCrop>false</ScaleCrop>
  <LinksUpToDate>false</LinksUpToDate>
  <CharactersWithSpaces>28536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2021-07-07T03:14:00Z</dcterms:created>
  <dc:creator>win10</dc:creator>
  <cp:lastModifiedBy>DELL</cp:lastModifiedBy>
  <cp:lastPrinted>2016-12-26T01:31:00Z</cp:lastPrinted>
  <dcterms:modified xsi:type="dcterms:W3CDTF">2022-09-20T01:32:43Z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A687975E07A4490EBBF99906DA92B0B9</vt:lpwstr>
  </property>
</Properties>
</file>