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sz w:val="30"/>
        </w:rPr>
      </w:pPr>
    </w:p>
    <w:p>
      <w:pPr>
        <w:ind w:left="660"/>
        <w:rPr>
          <w:rFonts w:ascii="楷体_GB2312" w:eastAsia="楷体_GB2312"/>
          <w:bCs/>
          <w:sz w:val="30"/>
        </w:rPr>
      </w:pPr>
    </w:p>
    <w:p>
      <w:pPr>
        <w:jc w:val="center"/>
        <w:rPr>
          <w:rFonts w:ascii="黑体" w:hAnsi="华文中宋" w:eastAsia="黑体"/>
          <w:bCs/>
          <w:spacing w:val="20"/>
          <w:sz w:val="72"/>
          <w:szCs w:val="72"/>
        </w:rPr>
      </w:pPr>
      <w:r>
        <w:rPr>
          <w:rFonts w:hint="eastAsia" w:ascii="黑体" w:hAnsi="华文中宋" w:eastAsia="黑体"/>
          <w:bCs/>
          <w:spacing w:val="20"/>
          <w:sz w:val="72"/>
          <w:szCs w:val="72"/>
        </w:rPr>
        <w:t>无锡市新吴区政府采购</w:t>
      </w: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公   开</w:t>
      </w:r>
    </w:p>
    <w:p>
      <w:pPr>
        <w:jc w:val="center"/>
        <w:rPr>
          <w:rFonts w:ascii="黑体" w:hAnsi="华文中宋" w:eastAsia="黑体"/>
          <w:bCs/>
          <w:spacing w:val="20"/>
          <w:sz w:val="52"/>
          <w:szCs w:val="52"/>
        </w:rPr>
      </w:pP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C/f+tcAAAAJAQAADwAAAAAA&#10;AAABACAAAAAiAAAAZHJzL2Rvd25yZXYueG1sUEsBAhQAFAAAAAgAh07iQCImKgbbAQAAywMAAA4A&#10;AAAAAAAAAQAgAAAAJgEAAGRycy9lMm9Eb2MueG1sUEsFBgAAAAAGAAYAWQEAAHMFA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招  标  文  件</w:t>
      </w:r>
    </w:p>
    <w:p>
      <w:pPr>
        <w:rPr>
          <w:rFonts w:ascii="华文中宋" w:hAnsi="华文中宋" w:eastAsia="华文中宋"/>
          <w:bCs/>
          <w:sz w:val="30"/>
        </w:rPr>
      </w:pPr>
    </w:p>
    <w:p>
      <w:pPr>
        <w:tabs>
          <w:tab w:val="left" w:pos="9921"/>
        </w:tabs>
        <w:jc w:val="center"/>
        <w:rPr>
          <w:rFonts w:ascii="华文中宋" w:hAnsi="华文中宋" w:eastAsia="华文中宋"/>
          <w:bCs/>
          <w:sz w:val="30"/>
        </w:rPr>
      </w:pPr>
      <w:r>
        <w:rPr>
          <w:rFonts w:hint="eastAsia" w:ascii="华文中宋" w:hAnsi="华文中宋" w:eastAsia="华文中宋"/>
          <w:bCs/>
          <w:sz w:val="30"/>
        </w:rPr>
        <w:t>（全流程电子化）</w:t>
      </w:r>
    </w:p>
    <w:p>
      <w:pPr>
        <w:jc w:val="left"/>
        <w:rPr>
          <w:rFonts w:ascii="华文中宋" w:hAnsi="华文中宋" w:eastAsia="华文中宋"/>
          <w:bCs/>
          <w:sz w:val="30"/>
        </w:rPr>
      </w:pPr>
    </w:p>
    <w:p>
      <w:pPr>
        <w:ind w:firstLine="3000" w:firstLineChars="1000"/>
        <w:rPr>
          <w:rFonts w:hint="default" w:ascii="黑体" w:hAnsi="华文中宋" w:eastAsia="黑体"/>
          <w:bCs/>
          <w:sz w:val="30"/>
          <w:szCs w:val="30"/>
          <w:lang w:val="en-US" w:eastAsia="zh-CN"/>
        </w:rPr>
      </w:pPr>
      <w:r>
        <w:rPr>
          <w:rFonts w:hint="eastAsia" w:ascii="黑体" w:hAnsi="华文中宋" w:eastAsia="黑体"/>
          <w:bCs/>
          <w:sz w:val="30"/>
          <w:szCs w:val="30"/>
        </w:rPr>
        <w:t>采购项目编号：WXXWQJC2023-10</w:t>
      </w:r>
      <w:r>
        <w:rPr>
          <w:rFonts w:hint="eastAsia" w:ascii="黑体" w:hAnsi="华文中宋" w:eastAsia="黑体"/>
          <w:bCs/>
          <w:sz w:val="30"/>
          <w:szCs w:val="30"/>
          <w:lang w:val="en-US" w:eastAsia="zh-CN"/>
        </w:rPr>
        <w:t>9（2）</w:t>
      </w:r>
    </w:p>
    <w:p>
      <w:pPr>
        <w:ind w:left="5082" w:leftChars="1420" w:hanging="2100" w:hangingChars="700"/>
        <w:jc w:val="both"/>
        <w:rPr>
          <w:rFonts w:hint="eastAsia" w:ascii="黑体" w:hAnsi="华文中宋" w:eastAsia="黑体"/>
          <w:bCs/>
          <w:sz w:val="30"/>
          <w:szCs w:val="30"/>
        </w:rPr>
      </w:pPr>
      <w:r>
        <w:rPr>
          <w:rFonts w:hint="eastAsia" w:ascii="黑体" w:hAnsi="华文中宋" w:eastAsia="黑体"/>
          <w:bCs/>
          <w:sz w:val="30"/>
          <w:szCs w:val="30"/>
        </w:rPr>
        <w:t>采购项目名称：基础管控中心大屏及数字督察中心</w:t>
      </w:r>
    </w:p>
    <w:p>
      <w:pPr>
        <w:ind w:left="5069" w:leftChars="2414" w:firstLine="0" w:firstLineChars="0"/>
        <w:jc w:val="both"/>
        <w:rPr>
          <w:rFonts w:ascii="黑体" w:hAnsi="华文中宋" w:eastAsia="黑体"/>
          <w:bCs/>
          <w:sz w:val="30"/>
          <w:szCs w:val="30"/>
        </w:rPr>
      </w:pPr>
      <w:r>
        <w:rPr>
          <w:rFonts w:hint="eastAsia" w:ascii="黑体" w:hAnsi="华文中宋" w:eastAsia="黑体"/>
          <w:bCs/>
          <w:sz w:val="30"/>
          <w:szCs w:val="30"/>
        </w:rPr>
        <w:t>大屏采购项目</w:t>
      </w:r>
    </w:p>
    <w:p>
      <w:pPr>
        <w:ind w:firstLine="3000" w:firstLineChars="1000"/>
        <w:jc w:val="left"/>
        <w:rPr>
          <w:rFonts w:ascii="黑体" w:hAnsi="华文中宋" w:eastAsia="黑体"/>
          <w:bCs/>
          <w:sz w:val="30"/>
          <w:szCs w:val="30"/>
        </w:rPr>
      </w:pPr>
      <w:r>
        <w:rPr>
          <w:rFonts w:hint="eastAsia" w:ascii="黑体" w:hAnsi="华文中宋" w:eastAsia="黑体"/>
          <w:bCs/>
          <w:sz w:val="30"/>
          <w:szCs w:val="30"/>
        </w:rPr>
        <w:t>集中采购机构：无锡市公共资源交易中心新吴分中心</w:t>
      </w:r>
    </w:p>
    <w:p>
      <w:pPr>
        <w:rPr>
          <w:rFonts w:ascii="华文中宋" w:hAnsi="华文中宋" w:eastAsia="华文中宋"/>
          <w:bCs/>
          <w:sz w:val="32"/>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z w:val="44"/>
          <w:szCs w:val="44"/>
        </w:rPr>
      </w:pPr>
      <w:r>
        <w:rPr>
          <w:rFonts w:hint="eastAsia" w:ascii="黑体" w:hAnsi="华文中宋" w:eastAsia="黑体"/>
          <w:bCs/>
          <w:sz w:val="44"/>
          <w:szCs w:val="44"/>
        </w:rPr>
        <w:t>二○二三年</w:t>
      </w:r>
      <w:r>
        <w:rPr>
          <w:rFonts w:hint="eastAsia" w:ascii="黑体" w:hAnsi="华文中宋" w:eastAsia="黑体"/>
          <w:bCs/>
          <w:sz w:val="44"/>
          <w:szCs w:val="44"/>
          <w:highlight w:val="none"/>
          <w:lang w:val="en-US" w:eastAsia="zh-CN"/>
        </w:rPr>
        <w:t>十一</w:t>
      </w:r>
      <w:r>
        <w:rPr>
          <w:rFonts w:hint="eastAsia" w:ascii="黑体" w:hAnsi="华文中宋" w:eastAsia="黑体"/>
          <w:bCs/>
          <w:sz w:val="44"/>
          <w:szCs w:val="44"/>
          <w:highlight w:val="none"/>
        </w:rPr>
        <w:t>月</w:t>
      </w:r>
      <w:r>
        <w:rPr>
          <w:rFonts w:hint="eastAsia" w:ascii="黑体" w:hAnsi="华文中宋" w:eastAsia="黑体"/>
          <w:bCs/>
          <w:sz w:val="44"/>
          <w:szCs w:val="44"/>
          <w:highlight w:val="none"/>
          <w:lang w:val="en-US" w:eastAsia="zh-CN"/>
        </w:rPr>
        <w:t>十三</w:t>
      </w:r>
      <w:r>
        <w:rPr>
          <w:rFonts w:hint="eastAsia" w:ascii="黑体" w:hAnsi="华文中宋" w:eastAsia="黑体"/>
          <w:bCs/>
          <w:sz w:val="44"/>
          <w:szCs w:val="44"/>
          <w:highlight w:val="none"/>
        </w:rPr>
        <w:t>日</w:t>
      </w:r>
    </w:p>
    <w:p>
      <w:pPr>
        <w:jc w:val="center"/>
        <w:rPr>
          <w:rFonts w:ascii="黑体" w:eastAsia="黑体"/>
          <w:bCs/>
          <w:sz w:val="44"/>
        </w:rPr>
      </w:pPr>
    </w:p>
    <w:p>
      <w:pPr>
        <w:rPr>
          <w:rFonts w:eastAsia="黑体"/>
          <w:bCs/>
          <w:sz w:val="48"/>
        </w:rPr>
      </w:pPr>
    </w:p>
    <w:p>
      <w:pPr>
        <w:jc w:val="center"/>
        <w:rPr>
          <w:rFonts w:eastAsia="黑体"/>
          <w:bCs/>
          <w:sz w:val="48"/>
        </w:rPr>
      </w:pPr>
      <w:r>
        <w:rPr>
          <w:rFonts w:hint="eastAsia" w:eastAsia="黑体"/>
          <w:bCs/>
          <w:sz w:val="48"/>
        </w:rPr>
        <w:t>目     录</w:t>
      </w:r>
    </w:p>
    <w:p>
      <w:pPr>
        <w:jc w:val="center"/>
        <w:rPr>
          <w:rFonts w:ascii="黑体" w:eastAsia="黑体"/>
          <w:bCs/>
          <w:sz w:val="30"/>
        </w:rPr>
      </w:pPr>
    </w:p>
    <w:p>
      <w:pPr>
        <w:jc w:val="center"/>
        <w:rPr>
          <w:rFonts w:ascii="黑体" w:eastAsia="黑体"/>
          <w:bCs/>
          <w:sz w:val="30"/>
        </w:rPr>
      </w:pPr>
    </w:p>
    <w:p>
      <w:pPr>
        <w:spacing w:line="720" w:lineRule="auto"/>
        <w:ind w:firstLine="450" w:firstLineChars="150"/>
        <w:rPr>
          <w:rFonts w:ascii="宋体"/>
          <w:bCs/>
          <w:sz w:val="30"/>
          <w:szCs w:val="30"/>
        </w:rPr>
      </w:pPr>
      <w:r>
        <w:rPr>
          <w:rFonts w:hint="eastAsia" w:ascii="宋体" w:hAnsi="宋体"/>
          <w:bCs/>
          <w:sz w:val="30"/>
          <w:szCs w:val="30"/>
        </w:rPr>
        <w:t>一．投标邀请函</w:t>
      </w:r>
      <w:r>
        <w:rPr>
          <w:rFonts w:ascii="宋体"/>
          <w:bCs/>
          <w:sz w:val="30"/>
          <w:szCs w:val="30"/>
        </w:rPr>
        <w:t>------------------------------------------</w:t>
      </w:r>
      <w:r>
        <w:rPr>
          <w:rFonts w:hint="eastAsia" w:ascii="宋体" w:hAnsi="宋体"/>
          <w:bCs/>
          <w:sz w:val="30"/>
          <w:szCs w:val="30"/>
        </w:rPr>
        <w:t>（2）</w:t>
      </w:r>
    </w:p>
    <w:p>
      <w:pPr>
        <w:spacing w:line="720" w:lineRule="auto"/>
        <w:ind w:firstLine="450" w:firstLineChars="150"/>
        <w:rPr>
          <w:rFonts w:ascii="宋体"/>
          <w:bCs/>
          <w:sz w:val="30"/>
          <w:szCs w:val="30"/>
        </w:rPr>
      </w:pPr>
      <w:r>
        <w:rPr>
          <w:rFonts w:hint="eastAsia" w:ascii="宋体" w:hAnsi="宋体"/>
          <w:bCs/>
          <w:sz w:val="30"/>
          <w:szCs w:val="30"/>
        </w:rPr>
        <w:t>二．投标人须知</w:t>
      </w:r>
      <w:r>
        <w:rPr>
          <w:rFonts w:ascii="宋体"/>
          <w:bCs/>
          <w:sz w:val="30"/>
          <w:szCs w:val="30"/>
        </w:rPr>
        <w:t>------------------------------------------</w:t>
      </w:r>
      <w:r>
        <w:rPr>
          <w:rFonts w:hint="eastAsia" w:ascii="宋体" w:hAnsi="宋体"/>
          <w:bCs/>
          <w:sz w:val="30"/>
          <w:szCs w:val="30"/>
        </w:rPr>
        <w:t>（5）</w:t>
      </w:r>
    </w:p>
    <w:p>
      <w:pPr>
        <w:spacing w:line="720" w:lineRule="auto"/>
        <w:ind w:firstLine="450" w:firstLineChars="150"/>
        <w:rPr>
          <w:rFonts w:ascii="宋体"/>
          <w:bCs/>
          <w:sz w:val="30"/>
          <w:szCs w:val="30"/>
        </w:rPr>
      </w:pPr>
      <w:r>
        <w:rPr>
          <w:rFonts w:hint="eastAsia" w:ascii="宋体" w:hAnsi="宋体"/>
          <w:bCs/>
          <w:sz w:val="30"/>
          <w:szCs w:val="30"/>
        </w:rPr>
        <w:t>三．项目技术要求和有关说明</w:t>
      </w:r>
      <w:r>
        <w:rPr>
          <w:rFonts w:ascii="宋体"/>
          <w:bCs/>
          <w:sz w:val="30"/>
          <w:szCs w:val="30"/>
        </w:rPr>
        <w:t>------------------------------</w:t>
      </w:r>
      <w:r>
        <w:rPr>
          <w:rFonts w:hint="eastAsia" w:ascii="宋体" w:hAnsi="宋体"/>
          <w:bCs/>
          <w:sz w:val="30"/>
          <w:szCs w:val="30"/>
        </w:rPr>
        <w:t>（13）</w:t>
      </w:r>
    </w:p>
    <w:p>
      <w:pPr>
        <w:spacing w:line="720" w:lineRule="auto"/>
        <w:ind w:firstLine="450" w:firstLineChars="150"/>
        <w:rPr>
          <w:rFonts w:ascii="宋体"/>
          <w:bCs/>
          <w:sz w:val="30"/>
          <w:szCs w:val="30"/>
        </w:rPr>
      </w:pPr>
      <w:r>
        <w:rPr>
          <w:rFonts w:hint="eastAsia" w:ascii="宋体" w:hAnsi="宋体"/>
          <w:bCs/>
          <w:sz w:val="30"/>
          <w:szCs w:val="30"/>
        </w:rPr>
        <w:t>四</w:t>
      </w:r>
      <w:r>
        <w:rPr>
          <w:rFonts w:ascii="宋体" w:hAnsi="宋体"/>
          <w:bCs/>
          <w:sz w:val="30"/>
          <w:szCs w:val="30"/>
        </w:rPr>
        <w:t xml:space="preserve">. </w:t>
      </w:r>
      <w:r>
        <w:rPr>
          <w:rFonts w:hint="eastAsia" w:ascii="宋体" w:hAnsi="宋体"/>
          <w:bCs/>
          <w:sz w:val="30"/>
          <w:szCs w:val="30"/>
        </w:rPr>
        <w:t>合同书（格式文本）</w:t>
      </w:r>
      <w:r>
        <w:rPr>
          <w:rFonts w:ascii="宋体"/>
          <w:bCs/>
          <w:sz w:val="30"/>
          <w:szCs w:val="30"/>
        </w:rPr>
        <w:t>----------------------------------</w:t>
      </w:r>
      <w:r>
        <w:rPr>
          <w:rFonts w:hint="eastAsia" w:ascii="宋体" w:hAnsi="宋体"/>
          <w:bCs/>
          <w:sz w:val="30"/>
          <w:szCs w:val="30"/>
        </w:rPr>
        <w:t>（</w:t>
      </w:r>
      <w:r>
        <w:rPr>
          <w:rFonts w:ascii="宋体" w:hAnsi="宋体"/>
          <w:bCs/>
          <w:sz w:val="30"/>
          <w:szCs w:val="30"/>
        </w:rPr>
        <w:t>68</w:t>
      </w:r>
      <w:r>
        <w:rPr>
          <w:rFonts w:hint="eastAsia" w:ascii="宋体" w:hAnsi="宋体"/>
          <w:bCs/>
          <w:sz w:val="30"/>
          <w:szCs w:val="30"/>
        </w:rPr>
        <w:t>）</w:t>
      </w:r>
    </w:p>
    <w:p>
      <w:pPr>
        <w:spacing w:line="720" w:lineRule="auto"/>
        <w:ind w:firstLine="450" w:firstLineChars="150"/>
        <w:rPr>
          <w:rFonts w:ascii="宋体" w:hAnsi="宋体"/>
          <w:bCs/>
          <w:sz w:val="30"/>
          <w:szCs w:val="30"/>
        </w:rPr>
      </w:pPr>
      <w:r>
        <w:rPr>
          <w:rFonts w:hint="eastAsia" w:ascii="宋体" w:hAnsi="宋体"/>
          <w:bCs/>
          <w:sz w:val="30"/>
          <w:szCs w:val="30"/>
        </w:rPr>
        <w:t>五．合同条款（格式）</w:t>
      </w:r>
      <w:r>
        <w:rPr>
          <w:rFonts w:ascii="宋体"/>
          <w:bCs/>
          <w:sz w:val="30"/>
          <w:szCs w:val="30"/>
        </w:rPr>
        <w:t>---------------------</w:t>
      </w:r>
      <w:r>
        <w:rPr>
          <w:rFonts w:hint="eastAsia" w:ascii="宋体"/>
          <w:bCs/>
          <w:sz w:val="30"/>
          <w:szCs w:val="30"/>
        </w:rPr>
        <w:t>-----</w:t>
      </w:r>
      <w:r>
        <w:rPr>
          <w:rFonts w:ascii="宋体"/>
          <w:bCs/>
          <w:sz w:val="30"/>
          <w:szCs w:val="30"/>
        </w:rPr>
        <w:t>----------</w:t>
      </w:r>
      <w:r>
        <w:rPr>
          <w:rFonts w:hint="eastAsia" w:ascii="宋体" w:hAnsi="宋体"/>
          <w:bCs/>
          <w:sz w:val="30"/>
          <w:szCs w:val="30"/>
        </w:rPr>
        <w:t>（</w:t>
      </w:r>
      <w:r>
        <w:rPr>
          <w:rFonts w:ascii="宋体" w:hAnsi="宋体"/>
          <w:bCs/>
          <w:sz w:val="30"/>
          <w:szCs w:val="30"/>
        </w:rPr>
        <w:t>69</w:t>
      </w:r>
      <w:r>
        <w:rPr>
          <w:rFonts w:hint="eastAsia" w:ascii="宋体" w:hAnsi="宋体"/>
          <w:bCs/>
          <w:sz w:val="30"/>
          <w:szCs w:val="30"/>
        </w:rPr>
        <w:t>）</w:t>
      </w:r>
    </w:p>
    <w:p>
      <w:pPr>
        <w:spacing w:line="720" w:lineRule="auto"/>
        <w:ind w:firstLine="450" w:firstLineChars="150"/>
        <w:rPr>
          <w:rFonts w:ascii="宋体" w:hAnsi="宋体"/>
          <w:bCs/>
          <w:color w:val="FF0000"/>
          <w:sz w:val="30"/>
          <w:szCs w:val="30"/>
        </w:rPr>
      </w:pPr>
      <w:r>
        <w:rPr>
          <w:rFonts w:ascii="宋体" w:hAnsi="宋体"/>
          <w:bCs/>
          <w:sz w:val="30"/>
          <w:szCs w:val="30"/>
        </w:rPr>
        <w:t xml:space="preserve">六. </w:t>
      </w:r>
      <w:r>
        <w:rPr>
          <w:rFonts w:hint="eastAsia" w:ascii="宋体" w:hAnsi="宋体"/>
          <w:bCs/>
          <w:sz w:val="30"/>
          <w:szCs w:val="30"/>
        </w:rPr>
        <w:t>附件</w:t>
      </w:r>
      <w:r>
        <w:rPr>
          <w:rFonts w:ascii="宋体"/>
          <w:bCs/>
          <w:sz w:val="30"/>
          <w:szCs w:val="30"/>
        </w:rPr>
        <w:t>------------------------------------------------</w:t>
      </w:r>
      <w:r>
        <w:rPr>
          <w:rFonts w:hint="eastAsia" w:ascii="宋体" w:hAnsi="宋体"/>
          <w:bCs/>
          <w:sz w:val="30"/>
          <w:szCs w:val="30"/>
        </w:rPr>
        <w:t>（</w:t>
      </w:r>
      <w:r>
        <w:rPr>
          <w:rFonts w:ascii="宋体" w:hAnsi="宋体"/>
          <w:bCs/>
          <w:sz w:val="30"/>
          <w:szCs w:val="30"/>
        </w:rPr>
        <w:t>72</w:t>
      </w:r>
      <w:r>
        <w:rPr>
          <w:rFonts w:hint="eastAsia" w:ascii="宋体" w:hAnsi="宋体"/>
          <w:bCs/>
          <w:sz w:val="30"/>
          <w:szCs w:val="30"/>
        </w:rPr>
        <w:t>）</w:t>
      </w:r>
    </w:p>
    <w:p>
      <w:pPr>
        <w:spacing w:line="720" w:lineRule="auto"/>
        <w:rPr>
          <w:rFonts w:ascii="宋体"/>
          <w:bCs/>
          <w:sz w:val="30"/>
        </w:rPr>
      </w:pPr>
    </w:p>
    <w:p>
      <w:pPr>
        <w:spacing w:line="720" w:lineRule="auto"/>
        <w:rPr>
          <w:rFonts w:ascii="宋体"/>
          <w:bCs/>
          <w:sz w:val="30"/>
        </w:rPr>
      </w:pPr>
    </w:p>
    <w:p>
      <w:pPr>
        <w:spacing w:line="480" w:lineRule="auto"/>
        <w:rPr>
          <w:rFonts w:ascii="宋体"/>
          <w:bCs/>
          <w:sz w:val="30"/>
        </w:rPr>
      </w:pPr>
    </w:p>
    <w:p>
      <w:pPr>
        <w:rPr>
          <w:rFonts w:ascii="宋体"/>
          <w:bCs/>
          <w:sz w:val="32"/>
        </w:rPr>
      </w:pPr>
    </w:p>
    <w:p>
      <w:pPr>
        <w:rPr>
          <w:rFonts w:ascii="宋体"/>
          <w:bCs/>
          <w:sz w:val="32"/>
        </w:rPr>
      </w:pPr>
    </w:p>
    <w:p>
      <w:pPr>
        <w:rPr>
          <w:rFonts w:ascii="宋体"/>
          <w:bCs/>
          <w:sz w:val="32"/>
        </w:rPr>
      </w:pPr>
    </w:p>
    <w:p>
      <w:pPr>
        <w:rPr>
          <w:rFonts w:ascii="宋体"/>
          <w:bCs/>
          <w:sz w:val="32"/>
        </w:rPr>
      </w:pPr>
    </w:p>
    <w:p>
      <w:pPr>
        <w:pStyle w:val="5"/>
        <w:rPr>
          <w:rFonts w:ascii="宋体"/>
          <w:sz w:val="32"/>
        </w:rPr>
      </w:pPr>
    </w:p>
    <w:p>
      <w:pPr>
        <w:rPr>
          <w:rFonts w:ascii="宋体"/>
          <w:bCs/>
          <w:sz w:val="32"/>
        </w:rPr>
      </w:pPr>
    </w:p>
    <w:p>
      <w:pPr>
        <w:spacing w:line="360" w:lineRule="auto"/>
        <w:jc w:val="center"/>
        <w:rPr>
          <w:rFonts w:ascii="黑体" w:eastAsia="黑体"/>
          <w:bCs/>
          <w:sz w:val="28"/>
          <w:szCs w:val="28"/>
        </w:rPr>
      </w:pPr>
      <w:bookmarkStart w:id="0" w:name="报价方须知前附表"/>
      <w:bookmarkEnd w:id="0"/>
      <w:r>
        <w:rPr>
          <w:rFonts w:hint="eastAsia" w:ascii="黑体" w:eastAsia="黑体"/>
          <w:bCs/>
          <w:sz w:val="28"/>
          <w:szCs w:val="28"/>
        </w:rPr>
        <w:t>一．投标邀请函</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我中心受无锡市公安局新吴分局的委托，对基础管控中心大屏及数字督察中心大屏采购项目进行公开招标采购，欢迎符合相关条件的供应商参加投标并提请注意下列相关事项：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1.项目名称：基础管控中心大屏及数字督察中心大屏采购项目</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2.项目编号：WXXWQJC2023-10</w:t>
      </w:r>
      <w:r>
        <w:rPr>
          <w:rFonts w:hint="eastAsia" w:ascii="宋体" w:hAnsi="宋体" w:cs="宋体"/>
          <w:kern w:val="0"/>
          <w:sz w:val="24"/>
          <w:szCs w:val="24"/>
          <w:lang w:val="en-US" w:eastAsia="zh-CN"/>
        </w:rPr>
        <w:t>9</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95</w:t>
      </w:r>
      <w:r>
        <w:rPr>
          <w:rFonts w:hint="eastAsia" w:ascii="宋体" w:hAnsi="宋体" w:cs="宋体"/>
          <w:kern w:val="0"/>
          <w:sz w:val="24"/>
          <w:szCs w:val="24"/>
        </w:rPr>
        <w:t>万元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.采购方式：公开招标</w:t>
      </w:r>
    </w:p>
    <w:p>
      <w:pPr>
        <w:widowControl/>
        <w:shd w:val="clear" w:color="auto" w:fill="FFFFFF"/>
        <w:spacing w:line="360" w:lineRule="auto"/>
        <w:ind w:firstLine="480" w:firstLineChars="200"/>
        <w:jc w:val="left"/>
        <w:rPr>
          <w:rFonts w:ascii="宋体" w:hAnsi="宋体"/>
          <w:bCs/>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.采购人：无锡市公安局新吴分局</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.本项目标的所属行业：工业</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.本项目是否专门面向中小企业：否</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（二）投标人资格要求</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2.未被“信用中国”网站（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bCs/>
          <w:sz w:val="24"/>
          <w:szCs w:val="24"/>
        </w:rPr>
        <w:t>3.</w:t>
      </w:r>
      <w:r>
        <w:rPr>
          <w:rFonts w:hint="eastAsia" w:ascii="宋体" w:hAnsi="宋体"/>
          <w:sz w:val="24"/>
          <w:szCs w:val="24"/>
        </w:rPr>
        <w:t>具备</w:t>
      </w:r>
      <w:r>
        <w:rPr>
          <w:rFonts w:hint="eastAsia" w:ascii="宋体" w:hAnsi="宋体" w:cs="宋体"/>
          <w:kern w:val="0"/>
          <w:sz w:val="24"/>
          <w:szCs w:val="24"/>
        </w:rPr>
        <w:t>采购人根据招标项目的特殊要求规定的</w:t>
      </w:r>
      <w:r>
        <w:rPr>
          <w:rFonts w:hint="eastAsia" w:ascii="宋体" w:hAnsi="宋体"/>
          <w:sz w:val="24"/>
          <w:szCs w:val="24"/>
        </w:rPr>
        <w:t>以下</w:t>
      </w:r>
      <w:r>
        <w:rPr>
          <w:rFonts w:hint="eastAsia" w:ascii="宋体" w:hAnsi="宋体" w:cs="宋体"/>
          <w:kern w:val="0"/>
          <w:sz w:val="24"/>
          <w:szCs w:val="24"/>
        </w:rPr>
        <w:t>特定资质：</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（1）不接受联合体投标</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（三）供应商主体信息库注册</w:t>
      </w:r>
    </w:p>
    <w:p>
      <w:pPr>
        <w:spacing w:line="360" w:lineRule="auto"/>
        <w:ind w:firstLine="480" w:firstLineChars="200"/>
        <w:rPr>
          <w:rFonts w:ascii="宋体" w:hAnsi="宋体"/>
          <w:bCs/>
          <w:sz w:val="24"/>
          <w:szCs w:val="24"/>
        </w:rPr>
      </w:pPr>
      <w:r>
        <w:rPr>
          <w:rFonts w:hint="eastAsia" w:ascii="宋体" w:hAnsi="宋体"/>
          <w:bCs/>
          <w:sz w:val="24"/>
          <w:szCs w:val="24"/>
        </w:rPr>
        <w:t>1.请有意参加本项目投标的供应商按以下流程进行操作：</w:t>
      </w:r>
    </w:p>
    <w:p>
      <w:pPr>
        <w:spacing w:line="360" w:lineRule="auto"/>
        <w:ind w:firstLine="480" w:firstLineChars="200"/>
        <w:rPr>
          <w:rFonts w:ascii="宋体" w:hAnsi="宋体"/>
          <w:bCs/>
          <w:sz w:val="24"/>
          <w:szCs w:val="24"/>
        </w:rPr>
      </w:pPr>
      <w:r>
        <w:rPr>
          <w:rFonts w:hint="eastAsia" w:ascii="宋体" w:hAnsi="宋体"/>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sz w:val="24"/>
          <w:szCs w:val="24"/>
        </w:rPr>
      </w:pPr>
      <w:r>
        <w:rPr>
          <w:rFonts w:hint="eastAsia" w:ascii="宋体" w:hAnsi="宋体"/>
          <w:bCs/>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sz w:val="24"/>
          <w:szCs w:val="24"/>
        </w:rPr>
      </w:pPr>
      <w:r>
        <w:rPr>
          <w:rFonts w:hint="eastAsia" w:ascii="宋体" w:hAnsi="宋体"/>
          <w:bCs/>
          <w:sz w:val="24"/>
          <w:szCs w:val="24"/>
        </w:rPr>
        <w:t>（3）投标客户端下载链接：</w:t>
      </w:r>
    </w:p>
    <w:p>
      <w:pPr>
        <w:spacing w:line="360" w:lineRule="auto"/>
        <w:ind w:firstLine="480" w:firstLineChars="200"/>
        <w:rPr>
          <w:rFonts w:ascii="宋体" w:hAnsi="宋体"/>
          <w:bCs/>
          <w:sz w:val="24"/>
          <w:szCs w:val="24"/>
        </w:rPr>
      </w:pPr>
      <w:r>
        <w:rPr>
          <w:rFonts w:hint="eastAsia" w:ascii="宋体" w:hAnsi="宋体"/>
          <w:bCs/>
          <w:sz w:val="24"/>
          <w:szCs w:val="24"/>
        </w:rPr>
        <w:t xml:space="preserve">https://zcy-cdn.oss-cn-shanghai.aliyuncs.com/zcy-client/bidding-client/wuxi/ZhengCaiYunStep.3.11.7.exe </w:t>
      </w:r>
    </w:p>
    <w:p>
      <w:pPr>
        <w:spacing w:line="360" w:lineRule="auto"/>
        <w:ind w:firstLine="480" w:firstLineChars="200"/>
        <w:rPr>
          <w:rFonts w:ascii="宋体" w:hAnsi="宋体"/>
          <w:bCs/>
          <w:sz w:val="24"/>
          <w:szCs w:val="24"/>
        </w:rPr>
      </w:pPr>
      <w:r>
        <w:rPr>
          <w:rFonts w:hint="eastAsia" w:ascii="宋体" w:hAnsi="宋体"/>
          <w:bCs/>
          <w:sz w:val="24"/>
          <w:szCs w:val="24"/>
        </w:rPr>
        <w:t>（4）CA驱动下载链接（江苏省-国信CA驱动）：</w:t>
      </w:r>
    </w:p>
    <w:p>
      <w:pPr>
        <w:spacing w:line="360" w:lineRule="auto"/>
        <w:ind w:firstLine="480" w:firstLineChars="200"/>
        <w:rPr>
          <w:rFonts w:ascii="宋体" w:hAnsi="宋体"/>
          <w:bCs/>
          <w:sz w:val="24"/>
          <w:szCs w:val="24"/>
        </w:rPr>
      </w:pPr>
      <w:r>
        <w:rPr>
          <w:rFonts w:hint="eastAsia" w:ascii="宋体" w:hAnsi="宋体"/>
          <w:bCs/>
          <w:sz w:val="24"/>
          <w:szCs w:val="24"/>
        </w:rPr>
        <w:t xml:space="preserve">https://customer.zcygov.cn/CA-driver-download?utm=web-login-front.509b3709.0.0.004ab15096ee11ebbc33f5d151e70834 </w:t>
      </w:r>
    </w:p>
    <w:p>
      <w:pPr>
        <w:spacing w:line="360" w:lineRule="auto"/>
        <w:ind w:firstLine="480" w:firstLineChars="200"/>
        <w:rPr>
          <w:rFonts w:ascii="宋体" w:hAnsi="宋体"/>
          <w:bCs/>
          <w:sz w:val="24"/>
          <w:szCs w:val="24"/>
        </w:rPr>
      </w:pPr>
      <w:r>
        <w:rPr>
          <w:rFonts w:hint="eastAsia" w:ascii="宋体" w:hAnsi="宋体"/>
          <w:bCs/>
          <w:sz w:val="24"/>
          <w:szCs w:val="24"/>
        </w:rPr>
        <w:t>技术服务电话：4008817190（服务时间：工作日8:00-20:00）</w:t>
      </w:r>
    </w:p>
    <w:p>
      <w:pPr>
        <w:spacing w:line="360" w:lineRule="auto"/>
        <w:ind w:firstLine="480" w:firstLineChars="200"/>
        <w:rPr>
          <w:rFonts w:ascii="宋体" w:hAnsi="宋体"/>
          <w:bCs/>
          <w:sz w:val="24"/>
          <w:szCs w:val="24"/>
        </w:rPr>
      </w:pPr>
      <w:r>
        <w:rPr>
          <w:rFonts w:hint="eastAsia" w:ascii="宋体" w:hAnsi="宋体"/>
          <w:bCs/>
          <w:sz w:val="24"/>
          <w:szCs w:val="24"/>
        </w:rPr>
        <w:t>2.投标人在领取CA和办理电子签章前务必前往“无锡政府采购网”“供应商信息库”（网址：</w:t>
      </w:r>
    </w:p>
    <w:p>
      <w:pPr>
        <w:spacing w:line="360" w:lineRule="auto"/>
        <w:ind w:firstLine="480" w:firstLineChars="200"/>
        <w:rPr>
          <w:rFonts w:ascii="宋体" w:hAnsi="宋体"/>
          <w:bCs/>
          <w:sz w:val="24"/>
          <w:szCs w:val="24"/>
        </w:rPr>
      </w:pPr>
      <w:r>
        <w:rPr>
          <w:rFonts w:ascii="宋体" w:hAnsi="宋体"/>
          <w:bCs/>
          <w:sz w:val="24"/>
          <w:szCs w:val="24"/>
        </w:rPr>
        <w:t>https://cz.wuxi.zcygov.cn/wxCategory19/wxCategory125/index.html?utm=sites_group_front.5b1ba037.0.0.959ae250ca6711ebb0349920799faebc</w:t>
      </w:r>
      <w:r>
        <w:rPr>
          <w:rFonts w:hint="eastAsia" w:ascii="宋体" w:hAnsi="宋体"/>
          <w:bCs/>
          <w:sz w:val="24"/>
          <w:szCs w:val="24"/>
        </w:rPr>
        <w:t>）查询是否完成注册登记。</w:t>
      </w:r>
    </w:p>
    <w:p>
      <w:pPr>
        <w:spacing w:line="360" w:lineRule="auto"/>
        <w:ind w:firstLine="480" w:firstLineChars="200"/>
        <w:rPr>
          <w:rFonts w:ascii="宋体" w:hAnsi="宋体"/>
          <w:bCs/>
          <w:sz w:val="24"/>
          <w:szCs w:val="24"/>
        </w:rPr>
      </w:pPr>
      <w:r>
        <w:rPr>
          <w:rFonts w:hint="eastAsia" w:ascii="宋体" w:hAnsi="宋体"/>
          <w:bCs/>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kern w:val="0"/>
          <w:sz w:val="24"/>
          <w:szCs w:val="24"/>
        </w:rPr>
      </w:pPr>
      <w:r>
        <w:rPr>
          <w:rFonts w:hint="eastAsia" w:ascii="宋体" w:hAnsi="宋体"/>
          <w:bCs/>
          <w:sz w:val="24"/>
          <w:szCs w:val="24"/>
        </w:rPr>
        <w:t>3.如投标人未按上述要求操作，由此所产生的损失及风险由投标人自行承担。在“供应商信息库”中无法查询的投标人，由评标委员会审</w:t>
      </w:r>
      <w:r>
        <w:rPr>
          <w:rFonts w:hint="eastAsia" w:ascii="宋体" w:hAnsi="宋体" w:cs="宋体"/>
          <w:kern w:val="0"/>
          <w:sz w:val="24"/>
          <w:szCs w:val="24"/>
        </w:rPr>
        <w:t>查其投标截止时间前提交的未审核资料。</w:t>
      </w:r>
    </w:p>
    <w:p>
      <w:pPr>
        <w:pStyle w:val="11"/>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（四）完成项目报名，获取采购文件</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招标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kern w:val="0"/>
          <w:sz w:val="24"/>
          <w:szCs w:val="24"/>
        </w:rPr>
      </w:pPr>
      <w:r>
        <w:rPr>
          <w:rFonts w:hint="eastAsia" w:ascii="黑体" w:hAnsi="黑体" w:eastAsia="黑体" w:cs="宋体"/>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采购人、无锡市公共资源交易中心新吴分中心将于以下时间、地点对投标人针对招标文件书面提出的要求澄清的问题进行公开答疑。投标人如有需要对招标文件要求澄清的问题，请以书面形式提出“WXXWQJC2023-10</w:t>
      </w:r>
      <w:r>
        <w:rPr>
          <w:rFonts w:hint="eastAsia" w:ascii="宋体" w:hAnsi="宋体"/>
          <w:bCs/>
          <w:sz w:val="24"/>
          <w:szCs w:val="24"/>
          <w:lang w:val="en-US" w:eastAsia="zh-CN"/>
        </w:rPr>
        <w:t>9</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hAnsi="宋体"/>
          <w:bCs/>
          <w:sz w:val="24"/>
          <w:szCs w:val="24"/>
          <w:highlight w:val="none"/>
        </w:rPr>
      </w:pPr>
      <w:r>
        <w:rPr>
          <w:rFonts w:hint="eastAsia" w:ascii="宋体" w:hAnsi="宋体"/>
          <w:bCs/>
          <w:sz w:val="24"/>
          <w:szCs w:val="24"/>
        </w:rPr>
        <w:t>公开答疑会地点：腾讯会议在线答疑（本次答疑会通过腾讯会议的方式在线召开（会议房间号</w:t>
      </w:r>
      <w:r>
        <w:rPr>
          <w:rFonts w:hint="eastAsia" w:ascii="宋体" w:hAnsi="宋体"/>
          <w:bCs/>
          <w:sz w:val="24"/>
          <w:szCs w:val="24"/>
          <w:highlight w:val="none"/>
          <w:lang w:val="en-US" w:eastAsia="zh-CN"/>
        </w:rPr>
        <w:t>346</w:t>
      </w:r>
      <w:r>
        <w:rPr>
          <w:rFonts w:hint="eastAsia" w:ascii="宋体" w:hAnsi="宋体"/>
          <w:bCs/>
          <w:sz w:val="24"/>
          <w:szCs w:val="24"/>
          <w:highlight w:val="none"/>
        </w:rPr>
        <w:t>-</w:t>
      </w:r>
      <w:r>
        <w:rPr>
          <w:rFonts w:hint="eastAsia" w:ascii="宋体" w:hAnsi="宋体"/>
          <w:bCs/>
          <w:sz w:val="24"/>
          <w:szCs w:val="24"/>
          <w:highlight w:val="none"/>
          <w:lang w:val="en-US" w:eastAsia="zh-CN"/>
        </w:rPr>
        <w:t>893</w:t>
      </w:r>
      <w:r>
        <w:rPr>
          <w:rFonts w:hint="eastAsia" w:ascii="宋体" w:hAnsi="宋体"/>
          <w:bCs/>
          <w:sz w:val="24"/>
          <w:szCs w:val="24"/>
          <w:highlight w:val="none"/>
        </w:rPr>
        <w:t>-</w:t>
      </w:r>
      <w:r>
        <w:rPr>
          <w:rFonts w:hint="eastAsia" w:ascii="宋体" w:hAnsi="宋体"/>
          <w:bCs/>
          <w:sz w:val="24"/>
          <w:szCs w:val="24"/>
          <w:highlight w:val="none"/>
          <w:lang w:val="en-US" w:eastAsia="zh-CN"/>
        </w:rPr>
        <w:t>964</w:t>
      </w:r>
      <w:bookmarkStart w:id="17" w:name="_GoBack"/>
      <w:bookmarkEnd w:id="17"/>
      <w:r>
        <w:rPr>
          <w:rFonts w:ascii="宋体" w:hAnsi="宋体"/>
          <w:bCs/>
          <w:sz w:val="24"/>
          <w:szCs w:val="24"/>
          <w:highlight w:val="none"/>
        </w:rPr>
        <w:t xml:space="preserve"> </w:t>
      </w:r>
      <w:r>
        <w:rPr>
          <w:rFonts w:hint="eastAsia" w:ascii="宋体" w:hAnsi="宋体"/>
          <w:bCs/>
          <w:sz w:val="24"/>
          <w:szCs w:val="24"/>
          <w:highlight w:val="none"/>
        </w:rPr>
        <w:t>，各投标人如需参加答疑会，请准点加入腾讯会议，无需到达中心现场参会。）</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公开答疑会时间：2023年</w:t>
      </w:r>
      <w:r>
        <w:rPr>
          <w:rFonts w:hint="eastAsia" w:ascii="宋体" w:hAnsi="宋体"/>
          <w:bCs/>
          <w:sz w:val="24"/>
          <w:szCs w:val="24"/>
          <w:highlight w:val="none"/>
          <w:lang w:val="en-US" w:eastAsia="zh-CN"/>
        </w:rPr>
        <w:t>11</w:t>
      </w:r>
      <w:r>
        <w:rPr>
          <w:rFonts w:hint="eastAsia" w:ascii="宋体" w:hAnsi="宋体"/>
          <w:bCs/>
          <w:sz w:val="24"/>
          <w:szCs w:val="24"/>
          <w:highlight w:val="none"/>
        </w:rPr>
        <w:t>月</w:t>
      </w:r>
      <w:r>
        <w:rPr>
          <w:rFonts w:hint="eastAsia" w:ascii="宋体" w:hAnsi="宋体"/>
          <w:bCs/>
          <w:sz w:val="24"/>
          <w:szCs w:val="24"/>
          <w:highlight w:val="none"/>
          <w:lang w:val="en-US" w:eastAsia="zh-CN"/>
        </w:rPr>
        <w:t>20</w:t>
      </w:r>
      <w:r>
        <w:rPr>
          <w:rFonts w:hint="eastAsia" w:ascii="宋体" w:hAnsi="宋体"/>
          <w:bCs/>
          <w:sz w:val="24"/>
          <w:szCs w:val="24"/>
          <w:highlight w:val="none"/>
        </w:rPr>
        <w:t>日</w:t>
      </w:r>
      <w:r>
        <w:rPr>
          <w:rFonts w:hint="eastAsia" w:ascii="宋体" w:hAnsi="宋体"/>
          <w:bCs/>
          <w:sz w:val="24"/>
          <w:szCs w:val="24"/>
          <w:highlight w:val="none"/>
          <w:lang w:val="en-US" w:eastAsia="zh-CN"/>
        </w:rPr>
        <w:t>16</w:t>
      </w:r>
      <w:r>
        <w:rPr>
          <w:rFonts w:hint="eastAsia" w:ascii="宋体" w:hAnsi="宋体"/>
          <w:bCs/>
          <w:sz w:val="24"/>
          <w:szCs w:val="24"/>
          <w:highlight w:val="none"/>
        </w:rPr>
        <w:t>:00</w:t>
      </w:r>
    </w:p>
    <w:p>
      <w:pPr>
        <w:widowControl/>
        <w:shd w:val="clear" w:color="auto" w:fill="FFFFFF"/>
        <w:spacing w:line="360" w:lineRule="auto"/>
        <w:ind w:firstLine="480" w:firstLineChars="200"/>
        <w:jc w:val="left"/>
        <w:rPr>
          <w:rFonts w:ascii="黑体" w:hAnsi="黑体" w:eastAsia="黑体" w:cs="宋体"/>
          <w:kern w:val="0"/>
          <w:sz w:val="24"/>
          <w:szCs w:val="24"/>
          <w:highlight w:val="none"/>
        </w:rPr>
      </w:pPr>
      <w:r>
        <w:rPr>
          <w:rFonts w:hint="eastAsia" w:ascii="黑体" w:hAnsi="黑体" w:eastAsia="黑体" w:cs="宋体"/>
          <w:kern w:val="0"/>
          <w:sz w:val="24"/>
          <w:szCs w:val="24"/>
          <w:highlight w:val="none"/>
        </w:rPr>
        <w:t>（六）投标及开标、定标时间、地点</w:t>
      </w:r>
      <w:r>
        <w:rPr>
          <w:rFonts w:hint="eastAsia" w:ascii="宋体" w:hAnsi="宋体" w:eastAsia="黑体" w:cs="宋体"/>
          <w:kern w:val="0"/>
          <w:sz w:val="24"/>
          <w:szCs w:val="24"/>
          <w:highlight w:val="none"/>
        </w:rPr>
        <w:t>  </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网上投标截止时间：2023年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06</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09</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0（投标</w:t>
      </w:r>
      <w:r>
        <w:rPr>
          <w:rFonts w:hint="eastAsia" w:ascii="宋体" w:hAnsi="宋体"/>
          <w:sz w:val="24"/>
          <w:szCs w:val="24"/>
          <w:highlight w:val="none"/>
        </w:rPr>
        <w:t>截止时间后的投标文件恕不接受</w:t>
      </w:r>
      <w:r>
        <w:rPr>
          <w:rFonts w:hint="eastAsia" w:ascii="宋体" w:hAnsi="宋体" w:cs="宋体"/>
          <w:kern w:val="0"/>
          <w:sz w:val="24"/>
          <w:szCs w:val="24"/>
          <w:highlight w:val="none"/>
        </w:rPr>
        <w:t>）</w:t>
      </w:r>
    </w:p>
    <w:p>
      <w:pPr>
        <w:widowControl/>
        <w:shd w:val="clear" w:color="auto" w:fill="FFFFFF"/>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网上投标解密时间：2023年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06</w:t>
      </w:r>
      <w:r>
        <w:rPr>
          <w:rFonts w:hint="eastAsia" w:ascii="宋体" w:hAnsi="宋体"/>
          <w:sz w:val="24"/>
          <w:szCs w:val="24"/>
          <w:highlight w:val="none"/>
        </w:rPr>
        <w:t>日</w:t>
      </w:r>
      <w:r>
        <w:rPr>
          <w:rFonts w:hint="eastAsia" w:ascii="宋体" w:hAnsi="宋体" w:cs="宋体"/>
          <w:kern w:val="0"/>
          <w:sz w:val="24"/>
          <w:szCs w:val="24"/>
          <w:highlight w:val="none"/>
        </w:rPr>
        <w:t>开启解密后半小时。</w:t>
      </w:r>
    </w:p>
    <w:p>
      <w:pPr>
        <w:spacing w:line="360" w:lineRule="auto"/>
        <w:ind w:firstLine="480" w:firstLineChars="200"/>
        <w:rPr>
          <w:rFonts w:ascii="宋体"/>
          <w:bCs/>
          <w:sz w:val="24"/>
          <w:szCs w:val="24"/>
        </w:rPr>
      </w:pPr>
      <w:r>
        <w:rPr>
          <w:rFonts w:hint="eastAsia" w:ascii="宋体" w:hAnsi="宋体"/>
          <w:bCs/>
          <w:sz w:val="24"/>
          <w:szCs w:val="24"/>
        </w:rPr>
        <w:t>定标时间：评标结束</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bCs/>
          <w:sz w:val="24"/>
          <w:szCs w:val="24"/>
        </w:rPr>
        <w:t>定标地点：</w:t>
      </w:r>
      <w:r>
        <w:rPr>
          <w:rFonts w:hint="eastAsia" w:ascii="宋体" w:hAnsi="宋体"/>
          <w:sz w:val="24"/>
          <w:szCs w:val="24"/>
        </w:rPr>
        <w:t>无锡市公共资源交易中心新吴分中心</w:t>
      </w:r>
    </w:p>
    <w:p>
      <w:pPr>
        <w:spacing w:line="360" w:lineRule="auto"/>
        <w:ind w:firstLine="480" w:firstLineChars="200"/>
        <w:rPr>
          <w:rFonts w:ascii="宋体"/>
          <w:bCs/>
          <w:sz w:val="24"/>
          <w:szCs w:val="24"/>
        </w:rPr>
      </w:pPr>
      <w:r>
        <w:rPr>
          <w:rFonts w:hint="eastAsia" w:ascii="黑体" w:hAnsi="黑体" w:eastAsia="黑体"/>
          <w:bCs/>
          <w:sz w:val="24"/>
          <w:szCs w:val="24"/>
        </w:rPr>
        <w:t>（七）投标有效期：</w:t>
      </w:r>
      <w:r>
        <w:rPr>
          <w:rFonts w:hint="eastAsia" w:ascii="宋体" w:hAnsi="宋体"/>
          <w:bCs/>
          <w:sz w:val="24"/>
          <w:szCs w:val="24"/>
        </w:rPr>
        <w:t>开标之日起</w:t>
      </w:r>
      <w:r>
        <w:rPr>
          <w:rFonts w:ascii="宋体" w:hAnsi="宋体"/>
          <w:bCs/>
          <w:sz w:val="24"/>
          <w:szCs w:val="24"/>
        </w:rPr>
        <w:t>90</w:t>
      </w:r>
      <w:r>
        <w:rPr>
          <w:rFonts w:hint="eastAsia" w:ascii="宋体" w:hAnsi="宋体"/>
          <w:bCs/>
          <w:sz w:val="24"/>
          <w:szCs w:val="24"/>
        </w:rPr>
        <w:t>天</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（八）采购方法：</w:t>
      </w:r>
    </w:p>
    <w:p>
      <w:pPr>
        <w:spacing w:line="360" w:lineRule="auto"/>
        <w:ind w:firstLine="480" w:firstLineChars="200"/>
        <w:rPr>
          <w:rFonts w:ascii="宋体" w:hAnsi="宋体"/>
          <w:sz w:val="24"/>
          <w:szCs w:val="24"/>
        </w:rPr>
      </w:pPr>
      <w:r>
        <w:rPr>
          <w:rFonts w:hint="eastAsia" w:ascii="宋体" w:hAnsi="宋体"/>
          <w:sz w:val="24"/>
          <w:szCs w:val="24"/>
        </w:rPr>
        <w:t>本次采购采用《无锡市政府采购交易管理一体化系统》进行招标投标活动，招标、投标、评标和中标结果发布全程电子化。</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（九）其它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集中采购机构：无锡市公共资源交易中心新吴分中心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地址:  </w:t>
      </w:r>
      <w:r>
        <w:rPr>
          <w:rFonts w:hint="eastAsia" w:ascii="宋体" w:hAnsi="宋体"/>
          <w:sz w:val="24"/>
          <w:szCs w:val="24"/>
        </w:rPr>
        <w:t>无锡市新吴区硅谷大道与清晏路交叉路口往西约80米（清晏路停车场一楼）</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项目联系人：陈辰、方钰；电话：0510-85253025；传真：0510-85227192 </w:t>
      </w:r>
    </w:p>
    <w:p>
      <w:pPr>
        <w:spacing w:line="490" w:lineRule="exact"/>
        <w:jc w:val="center"/>
        <w:rPr>
          <w:rFonts w:ascii="黑体" w:eastAsia="黑体"/>
          <w:bCs/>
          <w:sz w:val="28"/>
          <w:szCs w:val="28"/>
        </w:rPr>
      </w:pPr>
    </w:p>
    <w:p>
      <w:pPr>
        <w:spacing w:line="490" w:lineRule="exact"/>
        <w:jc w:val="center"/>
        <w:rPr>
          <w:rFonts w:ascii="黑体" w:eastAsia="黑体"/>
          <w:bCs/>
          <w:sz w:val="28"/>
          <w:szCs w:val="28"/>
        </w:rPr>
      </w:pPr>
    </w:p>
    <w:p>
      <w:pPr>
        <w:spacing w:line="490" w:lineRule="exact"/>
        <w:jc w:val="center"/>
        <w:rPr>
          <w:rFonts w:ascii="黑体" w:eastAsia="黑体"/>
          <w:bCs/>
          <w:sz w:val="28"/>
          <w:szCs w:val="28"/>
        </w:rPr>
      </w:pPr>
      <w:r>
        <w:rPr>
          <w:rFonts w:ascii="黑体" w:eastAsia="黑体"/>
          <w:bCs/>
          <w:sz w:val="28"/>
          <w:szCs w:val="28"/>
        </w:rPr>
        <w:br w:type="page"/>
      </w:r>
      <w:r>
        <w:rPr>
          <w:rFonts w:hint="eastAsia" w:ascii="黑体" w:eastAsia="黑体"/>
          <w:bCs/>
          <w:sz w:val="28"/>
          <w:szCs w:val="28"/>
        </w:rPr>
        <w:t>二．投标人须知</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（一）遵循原则：</w:t>
      </w:r>
    </w:p>
    <w:p>
      <w:pPr>
        <w:spacing w:line="360" w:lineRule="auto"/>
        <w:ind w:firstLine="480" w:firstLineChars="200"/>
        <w:rPr>
          <w:rFonts w:ascii="黑体" w:hAnsi="宋体" w:eastAsia="黑体"/>
          <w:bCs/>
          <w:sz w:val="24"/>
          <w:szCs w:val="24"/>
        </w:rPr>
      </w:pPr>
      <w:r>
        <w:rPr>
          <w:rFonts w:hint="eastAsia" w:ascii="宋体" w:hAnsi="宋体"/>
          <w:bCs/>
          <w:sz w:val="24"/>
          <w:szCs w:val="24"/>
        </w:rPr>
        <w:t>公开透明原则、公平竞争原则、公正原则和诚实信用原则。</w:t>
      </w:r>
    </w:p>
    <w:p>
      <w:pPr>
        <w:numPr>
          <w:ilvl w:val="0"/>
          <w:numId w:val="2"/>
        </w:numPr>
        <w:spacing w:line="360" w:lineRule="auto"/>
        <w:rPr>
          <w:rFonts w:ascii="黑体" w:hAnsi="宋体" w:eastAsia="黑体"/>
          <w:bCs/>
          <w:sz w:val="24"/>
          <w:szCs w:val="24"/>
        </w:rPr>
      </w:pPr>
      <w:r>
        <w:rPr>
          <w:rFonts w:hint="eastAsia" w:ascii="黑体" w:hAnsi="宋体" w:eastAsia="黑体"/>
          <w:bCs/>
          <w:sz w:val="24"/>
          <w:szCs w:val="24"/>
        </w:rPr>
        <w:t>招标文件：</w:t>
      </w:r>
    </w:p>
    <w:p>
      <w:pPr>
        <w:numPr>
          <w:ilvl w:val="0"/>
          <w:numId w:val="3"/>
        </w:numPr>
        <w:tabs>
          <w:tab w:val="left" w:pos="-126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招标文件中的“法定代表人”是指投标人的营业执照的“法定代表人”或相关部门的登记证明文件中的“负责人”。</w:t>
      </w:r>
    </w:p>
    <w:p>
      <w:pPr>
        <w:numPr>
          <w:ilvl w:val="0"/>
          <w:numId w:val="3"/>
        </w:numPr>
        <w:tabs>
          <w:tab w:val="left" w:pos="0"/>
          <w:tab w:val="left" w:pos="525"/>
          <w:tab w:val="left" w:pos="945"/>
          <w:tab w:val="clear" w:pos="552"/>
        </w:tabs>
        <w:spacing w:line="360" w:lineRule="auto"/>
        <w:ind w:left="0" w:firstLine="480" w:firstLineChars="200"/>
        <w:rPr>
          <w:rFonts w:ascii="宋体" w:hAnsi="宋体"/>
          <w:bCs/>
          <w:sz w:val="24"/>
          <w:szCs w:val="24"/>
        </w:rPr>
      </w:pPr>
      <w:r>
        <w:rPr>
          <w:rFonts w:hint="eastAsia" w:ascii="宋体" w:hAnsi="宋体"/>
          <w:bCs/>
          <w:sz w:val="24"/>
          <w:szCs w:val="24"/>
        </w:rPr>
        <w:t>投标人应在无锡市公共资源交易中心政府采购专栏（</w:t>
      </w:r>
      <w:r>
        <w:rPr>
          <w:rFonts w:ascii="宋体" w:hAnsi="宋体"/>
          <w:bCs/>
          <w:sz w:val="24"/>
          <w:szCs w:val="24"/>
        </w:rPr>
        <w:t>http://ggzyjy.wuxi.gov.cn/wxsggzyjyzxzl/jyxx/zfcg/index.shtml</w:t>
      </w:r>
      <w:r>
        <w:rPr>
          <w:rFonts w:hint="eastAsia" w:ascii="宋体" w:hAnsi="宋体"/>
          <w:bCs/>
          <w:sz w:val="24"/>
          <w:szCs w:val="24"/>
        </w:rPr>
        <w:t>，下同）或登录</w:t>
      </w:r>
      <w:r>
        <w:rPr>
          <w:rFonts w:hint="eastAsia" w:ascii="宋体" w:hAnsi="宋体"/>
          <w:sz w:val="24"/>
          <w:szCs w:val="24"/>
        </w:rPr>
        <w:t>政府采购交易管理一体化系统</w:t>
      </w:r>
      <w:r>
        <w:rPr>
          <w:rFonts w:hint="eastAsia" w:ascii="宋体" w:hAnsi="宋体"/>
          <w:bCs/>
          <w:sz w:val="24"/>
          <w:szCs w:val="24"/>
        </w:rPr>
        <w:t>下载招标文件及有关资料，</w:t>
      </w:r>
      <w:r>
        <w:rPr>
          <w:rFonts w:hint="eastAsia" w:ascii="宋体" w:hAnsi="宋体"/>
          <w:sz w:val="24"/>
          <w:szCs w:val="24"/>
        </w:rPr>
        <w:t>按要求制作、上传投标文件，</w:t>
      </w:r>
      <w:r>
        <w:rPr>
          <w:rFonts w:hint="eastAsia" w:ascii="宋体" w:hAnsi="宋体"/>
          <w:bCs/>
          <w:sz w:val="24"/>
          <w:szCs w:val="24"/>
        </w:rPr>
        <w:t>对招标文件各项内容做出实质性响应，否则投标无效。</w:t>
      </w:r>
    </w:p>
    <w:p>
      <w:pPr>
        <w:numPr>
          <w:ilvl w:val="0"/>
          <w:numId w:val="3"/>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本文件的最终解释权归无锡市公共资源交易中心新吴分中心。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（四）招标文件的补充或修正：</w:t>
      </w:r>
    </w:p>
    <w:p>
      <w:pPr>
        <w:numPr>
          <w:ilvl w:val="0"/>
          <w:numId w:val="4"/>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无锡市公共资源交易中心新吴分中心可在投标截止时间十五日前对招标文件进行必要的澄清或者修改，不足15日的，将顺延提交投标文件的截止时间。</w:t>
      </w:r>
    </w:p>
    <w:p>
      <w:pPr>
        <w:numPr>
          <w:ilvl w:val="0"/>
          <w:numId w:val="4"/>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新吴分中心将在无锡市公共资源交易中心政府采购专栏、无锡政府采购网、江苏政府采购网和中国政府采购网发布更正公告，该澄清或修正的内容为招标文件的组成部分。投标人应在投标截止时间前</w:t>
      </w:r>
      <w:r>
        <w:rPr>
          <w:rFonts w:hint="eastAsia" w:ascii="宋体" w:hAnsi="宋体"/>
          <w:sz w:val="24"/>
          <w:szCs w:val="24"/>
        </w:rPr>
        <w:t>登录</w:t>
      </w:r>
      <w:r>
        <w:rPr>
          <w:rFonts w:hint="eastAsia" w:ascii="宋体" w:hAnsi="宋体"/>
          <w:bCs/>
          <w:sz w:val="24"/>
          <w:szCs w:val="24"/>
        </w:rPr>
        <w:t>投标客户端</w:t>
      </w:r>
      <w:r>
        <w:rPr>
          <w:rFonts w:hint="eastAsia" w:ascii="宋体" w:hAnsi="宋体"/>
          <w:sz w:val="24"/>
          <w:szCs w:val="24"/>
        </w:rPr>
        <w:t>或</w:t>
      </w:r>
      <w:r>
        <w:rPr>
          <w:rFonts w:hint="eastAsia" w:ascii="宋体" w:hAnsi="宋体"/>
          <w:bCs/>
          <w:sz w:val="24"/>
          <w:szCs w:val="24"/>
        </w:rPr>
        <w:t>关注原招标公告媒体上发布的相关更正公告</w:t>
      </w:r>
      <w:r>
        <w:rPr>
          <w:rFonts w:hint="eastAsia" w:ascii="宋体" w:hAnsi="宋体"/>
          <w:sz w:val="24"/>
          <w:szCs w:val="24"/>
        </w:rPr>
        <w:t>。</w:t>
      </w:r>
      <w:r>
        <w:rPr>
          <w:rFonts w:hint="eastAsia" w:ascii="宋体" w:hAnsi="宋体"/>
          <w:bCs/>
          <w:sz w:val="24"/>
          <w:szCs w:val="24"/>
        </w:rPr>
        <w:t>因投标人未尽注意义务，未及时更新上传投标文件</w:t>
      </w:r>
      <w:r>
        <w:rPr>
          <w:rFonts w:hint="eastAsia" w:ascii="宋体" w:hAnsi="宋体"/>
          <w:sz w:val="24"/>
          <w:szCs w:val="24"/>
        </w:rPr>
        <w:t>或</w:t>
      </w:r>
      <w:r>
        <w:rPr>
          <w:rFonts w:hint="eastAsia" w:ascii="宋体" w:hAnsi="宋体"/>
          <w:bCs/>
          <w:sz w:val="24"/>
          <w:szCs w:val="24"/>
        </w:rPr>
        <w:t>全面地关注更正公告导致其提交的投标材料不符合无锡市公共资源交易中心新吴分中心要求，而造成的损失及风险（包括但不限于未中标）由投标人自行承担。</w:t>
      </w:r>
    </w:p>
    <w:p>
      <w:pPr>
        <w:numPr>
          <w:ilvl w:val="0"/>
          <w:numId w:val="4"/>
        </w:numPr>
        <w:tabs>
          <w:tab w:val="left" w:pos="525"/>
          <w:tab w:val="left" w:pos="945"/>
          <w:tab w:val="clear" w:pos="898"/>
        </w:tabs>
        <w:spacing w:line="360" w:lineRule="auto"/>
        <w:ind w:left="1" w:firstLine="523" w:firstLineChars="218"/>
        <w:rPr>
          <w:rFonts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供应商认为招标文件使自己的权益受到损害的，可以自获取招标文件之日或者采购公告期限届满之日（公告期限届满后获取招标文件的，以公告期限届满之日为准）起7个工作日内，以书面形式向采购人、采购代理机构提出质疑。针对同一采购程序环节的质疑，须在法定质疑期内一次性提出。质疑函的质疑事项应具体、明确，并有必要的事实依据和法律依据（格式详见中国政府采购网《政府采购</w:t>
      </w:r>
      <w:r>
        <w:rPr>
          <w:rFonts w:hint="eastAsia" w:ascii="宋体"/>
          <w:bCs/>
          <w:color w:val="000000" w:themeColor="text1"/>
          <w:sz w:val="24"/>
          <w:szCs w:val="24"/>
          <w:highlight w:val="none"/>
          <w14:textFill>
            <w14:solidFill>
              <w14:schemeClr w14:val="tx1"/>
            </w14:solidFill>
          </w14:textFill>
        </w:rPr>
        <w:t>供应商质疑函范本》）。无锡市公共资源交易中心新吴分中心将在收到符合上述要求的书面质疑后七个工作日内，</w:t>
      </w:r>
      <w:r>
        <w:rPr>
          <w:rFonts w:ascii="宋体"/>
          <w:bCs/>
          <w:color w:val="000000" w:themeColor="text1"/>
          <w:sz w:val="24"/>
          <w:szCs w:val="24"/>
          <w:highlight w:val="none"/>
          <w14:textFill>
            <w14:solidFill>
              <w14:schemeClr w14:val="tx1"/>
            </w14:solidFill>
          </w14:textFill>
        </w:rPr>
        <w:t>依法在委托授权范围内作出答复，答复范围限于采购文件 中采购需求</w:t>
      </w:r>
      <w:r>
        <w:rPr>
          <w:rFonts w:hint="eastAsia" w:ascii="宋体"/>
          <w:bCs/>
          <w:color w:val="000000" w:themeColor="text1"/>
          <w:sz w:val="24"/>
          <w:szCs w:val="24"/>
          <w:highlight w:val="none"/>
          <w14:textFill>
            <w14:solidFill>
              <w14:schemeClr w14:val="tx1"/>
            </w14:solidFill>
          </w14:textFill>
        </w:rPr>
        <w:t>的</w:t>
      </w:r>
      <w:r>
        <w:rPr>
          <w:rFonts w:ascii="宋体"/>
          <w:bCs/>
          <w:color w:val="000000" w:themeColor="text1"/>
          <w:sz w:val="24"/>
          <w:szCs w:val="24"/>
          <w:highlight w:val="none"/>
          <w14:textFill>
            <w14:solidFill>
              <w14:schemeClr w14:val="tx1"/>
            </w14:solidFill>
          </w14:textFill>
        </w:rPr>
        <w:t>技术要求、商务要求以外内容。供应商对采购需求</w:t>
      </w:r>
      <w:r>
        <w:rPr>
          <w:rFonts w:hint="eastAsia" w:ascii="宋体"/>
          <w:bCs/>
          <w:color w:val="000000" w:themeColor="text1"/>
          <w:sz w:val="24"/>
          <w:szCs w:val="24"/>
          <w:highlight w:val="none"/>
          <w14:textFill>
            <w14:solidFill>
              <w14:schemeClr w14:val="tx1"/>
            </w14:solidFill>
          </w14:textFill>
        </w:rPr>
        <w:t>中的</w:t>
      </w:r>
      <w:r>
        <w:rPr>
          <w:rFonts w:ascii="宋体"/>
          <w:bCs/>
          <w:color w:val="000000" w:themeColor="text1"/>
          <w:sz w:val="24"/>
          <w:szCs w:val="24"/>
          <w:highlight w:val="none"/>
          <w14:textFill>
            <w14:solidFill>
              <w14:schemeClr w14:val="tx1"/>
            </w14:solidFill>
          </w14:textFill>
        </w:rPr>
        <w:t>技术要求、商务要求（包括采购标的的功能和质量要求，以及取得采购标的的时间、地点、财务和服务要求等）提出质疑的，由采购人负责答复</w:t>
      </w:r>
      <w:r>
        <w:rPr>
          <w:rFonts w:hint="eastAsia" w:ascii="宋体"/>
          <w:bCs/>
          <w:color w:val="000000" w:themeColor="text1"/>
          <w:sz w:val="24"/>
          <w:szCs w:val="24"/>
          <w:highlight w:val="none"/>
          <w14:textFill>
            <w14:solidFill>
              <w14:schemeClr w14:val="tx1"/>
            </w14:solidFill>
          </w14:textFill>
        </w:rPr>
        <w:t>。投标人在法定质疑期限外送达的质疑函或法定质疑期限内送达的质疑函不符合上述要求的均为无效质疑，无锡市公共资源交易中心新吴分中心对无效质疑不予受理。</w:t>
      </w:r>
    </w:p>
    <w:p>
      <w:pPr>
        <w:spacing w:line="360" w:lineRule="auto"/>
        <w:ind w:firstLine="480" w:firstLineChars="200"/>
        <w:rPr>
          <w:rFonts w:ascii="宋体"/>
          <w:bCs/>
          <w:sz w:val="24"/>
          <w:szCs w:val="24"/>
        </w:rPr>
      </w:pPr>
      <w:r>
        <w:rPr>
          <w:rFonts w:hint="eastAsia" w:ascii="黑体" w:hAnsi="宋体" w:eastAsia="黑体"/>
          <w:bCs/>
          <w:sz w:val="24"/>
          <w:szCs w:val="24"/>
        </w:rPr>
        <w:t>（五）投标文件的组成</w:t>
      </w:r>
      <w:r>
        <w:rPr>
          <w:rFonts w:hint="eastAsia" w:ascii="宋体" w:hAnsi="宋体"/>
          <w:bCs/>
          <w:sz w:val="24"/>
          <w:szCs w:val="24"/>
        </w:rPr>
        <w:t>（</w:t>
      </w:r>
      <w:r>
        <w:rPr>
          <w:rFonts w:hint="eastAsia" w:ascii="宋体" w:hAnsi="宋体"/>
          <w:b/>
          <w:bCs/>
          <w:sz w:val="24"/>
          <w:szCs w:val="24"/>
        </w:rPr>
        <w:t>相应内容上传至投标客户端</w:t>
      </w:r>
      <w:r>
        <w:rPr>
          <w:rFonts w:hint="eastAsia" w:ascii="宋体" w:hAnsi="宋体"/>
          <w:bCs/>
          <w:sz w:val="24"/>
          <w:szCs w:val="24"/>
        </w:rPr>
        <w:t>）</w:t>
      </w:r>
      <w:r>
        <w:rPr>
          <w:rFonts w:hint="eastAsia" w:ascii="黑体" w:hAnsi="宋体" w:eastAsia="黑体"/>
          <w:bCs/>
          <w:sz w:val="24"/>
          <w:szCs w:val="24"/>
        </w:rPr>
        <w:t>：</w:t>
      </w:r>
    </w:p>
    <w:p>
      <w:pPr>
        <w:numPr>
          <w:ilvl w:val="0"/>
          <w:numId w:val="5"/>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投标函</w:t>
      </w:r>
      <w:r>
        <w:rPr>
          <w:rFonts w:hint="eastAsia" w:ascii="宋体" w:hAnsi="宋体"/>
          <w:b/>
          <w:bCs/>
          <w:sz w:val="24"/>
          <w:szCs w:val="24"/>
        </w:rPr>
        <w:t>（格式见附件）</w:t>
      </w:r>
    </w:p>
    <w:p>
      <w:pPr>
        <w:numPr>
          <w:ilvl w:val="0"/>
          <w:numId w:val="5"/>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资格、资信证明文件</w:t>
      </w:r>
      <w:r>
        <w:rPr>
          <w:rFonts w:hint="eastAsia" w:ascii="宋体" w:hAnsi="宋体"/>
          <w:b/>
          <w:bCs/>
          <w:sz w:val="24"/>
          <w:szCs w:val="24"/>
        </w:rPr>
        <w:t>（扫描后上传，身份证应为正、反面）：</w:t>
      </w:r>
    </w:p>
    <w:p>
      <w:pPr>
        <w:pStyle w:val="113"/>
        <w:numPr>
          <w:ilvl w:val="1"/>
          <w:numId w:val="5"/>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关于资格的声明函（</w:t>
      </w:r>
      <w:r>
        <w:rPr>
          <w:rFonts w:hint="eastAsia" w:ascii="宋体" w:hAnsi="宋体"/>
          <w:b/>
          <w:bCs/>
          <w:sz w:val="24"/>
          <w:szCs w:val="24"/>
        </w:rPr>
        <w:t>格式见附件</w:t>
      </w:r>
      <w:r>
        <w:rPr>
          <w:rFonts w:hint="eastAsia" w:ascii="宋体" w:hAnsi="宋体"/>
          <w:bCs/>
          <w:sz w:val="24"/>
          <w:szCs w:val="24"/>
        </w:rPr>
        <w:t>）</w:t>
      </w:r>
    </w:p>
    <w:p>
      <w:pPr>
        <w:pStyle w:val="113"/>
        <w:numPr>
          <w:ilvl w:val="1"/>
          <w:numId w:val="5"/>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具有独立承担民事责任能力的投标人营业执照或相关部门的登记证明文件扫描件（投标人如是</w:t>
      </w:r>
      <w:r>
        <w:rPr>
          <w:rFonts w:hint="eastAsia" w:ascii="宋体" w:hAnsi="宋体" w:cs="宋体"/>
          <w:kern w:val="0"/>
          <w:sz w:val="24"/>
          <w:szCs w:val="24"/>
        </w:rPr>
        <w:t>允许以分支机构身份参加投标的，提供投标人分支机构的营业执照扫描件</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投标人法定代表人授权委托书</w:t>
      </w:r>
      <w:r>
        <w:rPr>
          <w:rFonts w:hint="eastAsia" w:ascii="宋体" w:hAnsi="宋体"/>
          <w:sz w:val="24"/>
          <w:szCs w:val="24"/>
        </w:rPr>
        <w:t>（</w:t>
      </w:r>
      <w:r>
        <w:rPr>
          <w:rFonts w:hint="eastAsia" w:ascii="宋体" w:hAnsi="宋体"/>
          <w:b/>
          <w:bCs/>
          <w:sz w:val="24"/>
          <w:szCs w:val="24"/>
        </w:rPr>
        <w:t>格式见附件，法定代表人亲自参加投标的除外</w:t>
      </w:r>
      <w:r>
        <w:rPr>
          <w:rFonts w:hint="eastAsia" w:ascii="宋体" w:hAnsi="宋体"/>
          <w:sz w:val="24"/>
          <w:szCs w:val="24"/>
        </w:rPr>
        <w:t>）（投标人</w:t>
      </w:r>
      <w:r>
        <w:rPr>
          <w:rFonts w:hint="eastAsia" w:ascii="宋体" w:hAnsi="宋体"/>
          <w:bCs/>
          <w:sz w:val="24"/>
          <w:szCs w:val="24"/>
        </w:rPr>
        <w:t>如是</w:t>
      </w:r>
      <w:r>
        <w:rPr>
          <w:rFonts w:hint="eastAsia" w:ascii="宋体" w:hAnsi="宋体" w:cs="宋体"/>
          <w:kern w:val="0"/>
          <w:sz w:val="24"/>
          <w:szCs w:val="24"/>
        </w:rPr>
        <w:t>允许以分支机构身份参加投标的，请自行</w:t>
      </w:r>
      <w:r>
        <w:rPr>
          <w:rFonts w:ascii="宋体" w:hAnsi="宋体" w:cs="宋体"/>
          <w:kern w:val="0"/>
          <w:sz w:val="24"/>
          <w:szCs w:val="24"/>
        </w:rPr>
        <w:t>将“</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更改为</w:t>
      </w:r>
      <w:r>
        <w:rPr>
          <w:rFonts w:ascii="宋体" w:hAnsi="宋体" w:cs="宋体"/>
          <w:kern w:val="0"/>
          <w:sz w:val="24"/>
          <w:szCs w:val="24"/>
        </w:rPr>
        <w:t>“</w:t>
      </w:r>
      <w:r>
        <w:rPr>
          <w:rFonts w:hint="eastAsia" w:ascii="宋体" w:hAnsi="宋体" w:cs="宋体"/>
          <w:kern w:val="0"/>
          <w:sz w:val="24"/>
          <w:szCs w:val="24"/>
        </w:rPr>
        <w:t>负责人</w:t>
      </w:r>
      <w:r>
        <w:rPr>
          <w:rFonts w:ascii="宋体" w:hAnsi="宋体" w:cs="宋体"/>
          <w:kern w:val="0"/>
          <w:sz w:val="24"/>
          <w:szCs w:val="24"/>
        </w:rPr>
        <w:t>”</w:t>
      </w:r>
      <w:r>
        <w:rPr>
          <w:rFonts w:hint="eastAsia" w:ascii="宋体" w:hAnsi="宋体" w:cs="宋体"/>
          <w:kern w:val="0"/>
          <w:sz w:val="24"/>
          <w:szCs w:val="24"/>
        </w:rPr>
        <w:t>，分支机构投标</w:t>
      </w:r>
      <w:r>
        <w:rPr>
          <w:rFonts w:ascii="宋体" w:hAnsi="宋体" w:cs="宋体"/>
          <w:kern w:val="0"/>
          <w:sz w:val="24"/>
          <w:szCs w:val="24"/>
        </w:rPr>
        <w:t>时</w:t>
      </w:r>
      <w:r>
        <w:rPr>
          <w:rFonts w:hint="eastAsia" w:ascii="宋体" w:hAnsi="宋体" w:cs="宋体"/>
          <w:kern w:val="0"/>
          <w:sz w:val="24"/>
          <w:szCs w:val="24"/>
        </w:rPr>
        <w:t>涉及到招标文件</w:t>
      </w:r>
      <w:r>
        <w:rPr>
          <w:rFonts w:ascii="宋体" w:hAnsi="宋体" w:cs="宋体"/>
          <w:kern w:val="0"/>
          <w:sz w:val="24"/>
          <w:szCs w:val="24"/>
        </w:rPr>
        <w:t>“</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要求的部分</w:t>
      </w:r>
      <w:r>
        <w:rPr>
          <w:rFonts w:ascii="宋体" w:hAnsi="宋体" w:cs="宋体"/>
          <w:kern w:val="0"/>
          <w:sz w:val="24"/>
          <w:szCs w:val="24"/>
        </w:rPr>
        <w:t>，其</w:t>
      </w:r>
      <w:r>
        <w:rPr>
          <w:rFonts w:hint="eastAsia" w:ascii="宋体" w:hAnsi="宋体" w:cs="宋体"/>
          <w:kern w:val="0"/>
          <w:sz w:val="24"/>
          <w:szCs w:val="24"/>
        </w:rPr>
        <w:t>具体要求</w:t>
      </w:r>
      <w:r>
        <w:rPr>
          <w:rFonts w:ascii="宋体" w:hAnsi="宋体" w:cs="宋体"/>
          <w:kern w:val="0"/>
          <w:sz w:val="24"/>
          <w:szCs w:val="24"/>
        </w:rPr>
        <w:t>视同本条规定</w:t>
      </w:r>
      <w:r>
        <w:rPr>
          <w:rFonts w:hint="eastAsia" w:ascii="宋体" w:hAnsi="宋体"/>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投标人法定代表人身份证；</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投标人法定代表人授权代表身份证（</w:t>
      </w:r>
      <w:r>
        <w:rPr>
          <w:rFonts w:hint="eastAsia" w:ascii="宋体" w:hAnsi="宋体"/>
          <w:b/>
          <w:bCs/>
          <w:sz w:val="24"/>
          <w:szCs w:val="24"/>
        </w:rPr>
        <w:t>法定代表人亲自参加投标的除外</w:t>
      </w:r>
      <w:r>
        <w:rPr>
          <w:rFonts w:hint="eastAsia" w:ascii="宋体" w:hAnsi="宋体"/>
          <w:bCs/>
          <w:sz w:val="24"/>
          <w:szCs w:val="24"/>
        </w:rPr>
        <w:t>）</w:t>
      </w:r>
      <w:r>
        <w:rPr>
          <w:rFonts w:hint="eastAsia" w:ascii="宋体" w:hAnsi="宋体"/>
          <w:sz w:val="24"/>
          <w:szCs w:val="24"/>
        </w:rPr>
        <w:t>；</w:t>
      </w:r>
    </w:p>
    <w:p>
      <w:pPr>
        <w:numPr>
          <w:ilvl w:val="1"/>
          <w:numId w:val="5"/>
        </w:numPr>
        <w:tabs>
          <w:tab w:val="left" w:pos="945"/>
          <w:tab w:val="left" w:pos="1276"/>
          <w:tab w:val="clear" w:pos="990"/>
        </w:tabs>
        <w:spacing w:line="360" w:lineRule="auto"/>
        <w:ind w:left="0" w:firstLine="523" w:firstLineChars="218"/>
        <w:rPr>
          <w:rFonts w:ascii="宋体" w:hAnsi="宋体"/>
          <w:bCs/>
          <w:sz w:val="24"/>
          <w:szCs w:val="24"/>
        </w:rPr>
      </w:pPr>
      <w:r>
        <w:rPr>
          <w:rFonts w:hint="eastAsia" w:ascii="宋体" w:hAnsi="宋体"/>
          <w:bCs/>
          <w:sz w:val="24"/>
          <w:szCs w:val="24"/>
        </w:rPr>
        <w:t>投标人连续三个月</w:t>
      </w:r>
      <w:r>
        <w:rPr>
          <w:rFonts w:ascii="宋体" w:hAnsi="宋体"/>
          <w:bCs/>
          <w:sz w:val="24"/>
          <w:szCs w:val="24"/>
        </w:rPr>
        <w:t>(</w:t>
      </w:r>
      <w:r>
        <w:rPr>
          <w:rFonts w:hint="eastAsia" w:ascii="宋体" w:hAnsi="宋体"/>
          <w:bCs/>
          <w:sz w:val="24"/>
          <w:szCs w:val="24"/>
        </w:rPr>
        <w:t>至少包含近三个月中任意一个月份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为其法定代表人授权代表缴纳社保的证明（</w:t>
      </w:r>
      <w:r>
        <w:rPr>
          <w:rFonts w:hint="eastAsia" w:ascii="宋体" w:hAnsi="宋体"/>
          <w:b/>
          <w:bCs/>
          <w:sz w:val="24"/>
          <w:szCs w:val="24"/>
        </w:rPr>
        <w:t>由相关主管部门出具，新成立公司除外、法定代表人亲自参加投标的除外</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的财务状况报告（资产负债表和利润表）或由会计师事务所出具的近两年中任意一个年度的审计报告和所附已审财务报告；</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的依法缴纳税收的相关材料（提供相关主管部门证明或银行代扣证明）；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的依法缴纳社会保障资金的相关材料（提供相关主管部门证明或银行代扣证明）；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承诺书（</w:t>
      </w:r>
      <w:r>
        <w:rPr>
          <w:rFonts w:hint="eastAsia" w:ascii="宋体" w:hAnsi="宋体"/>
          <w:b/>
          <w:bCs/>
          <w:sz w:val="24"/>
          <w:szCs w:val="24"/>
        </w:rPr>
        <w:t>格式见附件</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采购人要求的特定资质证明（</w:t>
      </w:r>
      <w:r>
        <w:rPr>
          <w:rFonts w:hint="eastAsia" w:ascii="宋体" w:hAnsi="宋体"/>
          <w:b/>
          <w:bCs/>
          <w:sz w:val="24"/>
          <w:szCs w:val="24"/>
        </w:rPr>
        <w:t>详见“投标邀请函”-“投标人资格要求”之3中要求）</w:t>
      </w:r>
      <w:r>
        <w:rPr>
          <w:rFonts w:hint="eastAsia" w:ascii="宋体" w:hAnsi="宋体"/>
          <w:bCs/>
          <w:sz w:val="24"/>
          <w:szCs w:val="24"/>
        </w:rPr>
        <w:t>。</w:t>
      </w:r>
    </w:p>
    <w:p>
      <w:pPr>
        <w:tabs>
          <w:tab w:val="left" w:pos="630"/>
          <w:tab w:val="left" w:pos="945"/>
          <w:tab w:val="left" w:pos="1276"/>
        </w:tabs>
        <w:spacing w:line="360" w:lineRule="auto"/>
        <w:ind w:firstLine="480" w:firstLineChars="200"/>
        <w:rPr>
          <w:rFonts w:ascii="宋体"/>
          <w:bCs/>
          <w:sz w:val="24"/>
          <w:szCs w:val="24"/>
        </w:rPr>
      </w:pPr>
      <w:r>
        <w:rPr>
          <w:rFonts w:hint="eastAsia" w:ascii="宋体" w:hAnsi="宋体" w:cs="宋体"/>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开标一览表（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明细报价表（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投标偏离表（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项目技术要求中须提供的证明材料（</w:t>
      </w:r>
      <w:r>
        <w:rPr>
          <w:rFonts w:hint="eastAsia" w:ascii="宋体" w:hAnsi="宋体"/>
          <w:b/>
          <w:bCs/>
          <w:sz w:val="24"/>
          <w:szCs w:val="24"/>
        </w:rPr>
        <w:t>如有自行添加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评分标准中对应的其它所需证明材料（</w:t>
      </w:r>
      <w:r>
        <w:rPr>
          <w:rFonts w:hint="eastAsia" w:ascii="宋体" w:hAnsi="宋体"/>
          <w:b/>
          <w:bCs/>
          <w:sz w:val="24"/>
          <w:szCs w:val="24"/>
        </w:rPr>
        <w:t>如有自行添加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要求采购人提供的配合（</w:t>
      </w:r>
      <w:r>
        <w:rPr>
          <w:rFonts w:hint="eastAsia" w:ascii="宋体" w:hAnsi="宋体"/>
          <w:b/>
          <w:bCs/>
          <w:sz w:val="24"/>
          <w:szCs w:val="24"/>
        </w:rPr>
        <w:t>如有自拟并自行添加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其它（</w:t>
      </w:r>
      <w:r>
        <w:rPr>
          <w:rFonts w:hint="eastAsia" w:ascii="宋体" w:hAnsi="宋体"/>
          <w:b/>
          <w:bCs/>
          <w:sz w:val="24"/>
          <w:szCs w:val="24"/>
        </w:rPr>
        <w:t>投标人认为有必要提供的声明和文件，如有自拟并自行添加</w:t>
      </w:r>
      <w:r>
        <w:rPr>
          <w:rFonts w:hint="eastAsia" w:ascii="宋体" w:hAnsi="宋体"/>
          <w:bCs/>
          <w:sz w:val="24"/>
          <w:szCs w:val="24"/>
        </w:rPr>
        <w:t>）</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上述</w:t>
      </w:r>
      <w:r>
        <w:rPr>
          <w:rFonts w:ascii="宋体" w:hAnsi="宋体"/>
          <w:bCs/>
          <w:sz w:val="24"/>
          <w:szCs w:val="24"/>
        </w:rPr>
        <w:t>1-</w:t>
      </w:r>
      <w:r>
        <w:rPr>
          <w:rFonts w:hint="eastAsia" w:ascii="宋体" w:hAnsi="宋体"/>
          <w:bCs/>
          <w:sz w:val="24"/>
          <w:szCs w:val="24"/>
        </w:rPr>
        <w:t>6项投标人必须按要求全部提供，否则投标文件无效。</w:t>
      </w:r>
      <w:r>
        <w:rPr>
          <w:rFonts w:hint="eastAsia" w:ascii="Tahoma" w:hAnsi="Tahoma" w:cs="Tahoma"/>
          <w:sz w:val="24"/>
          <w:szCs w:val="24"/>
        </w:rPr>
        <w:t>如上述资格证明文件遇年检、换证，则必须提供法定年检、换证单位出具的有效证明扫描件。如上述资格证明文件第</w:t>
      </w:r>
      <w:r>
        <w:rPr>
          <w:rFonts w:hint="eastAsia" w:ascii="宋体" w:hAnsi="宋体" w:cs="Tahoma"/>
          <w:sz w:val="24"/>
          <w:szCs w:val="24"/>
        </w:rPr>
        <w:t>（6）（</w:t>
      </w:r>
      <w:r>
        <w:rPr>
          <w:rFonts w:ascii="宋体" w:hAnsi="宋体" w:cs="Tahoma"/>
          <w:sz w:val="24"/>
          <w:szCs w:val="24"/>
        </w:rPr>
        <w:t>7</w:t>
      </w:r>
      <w:r>
        <w:rPr>
          <w:rFonts w:hint="eastAsia" w:ascii="宋体" w:hAnsi="宋体" w:cs="Tahoma"/>
          <w:sz w:val="24"/>
          <w:szCs w:val="24"/>
        </w:rPr>
        <w:t>）（8）（9）</w:t>
      </w:r>
      <w:r>
        <w:rPr>
          <w:rFonts w:hint="eastAsia" w:ascii="Tahoma" w:hAnsi="Tahoma" w:cs="Tahoma"/>
          <w:sz w:val="24"/>
          <w:szCs w:val="24"/>
        </w:rPr>
        <w:t>四项遇有国家相关政策规定可不具备的，必须提供相关政策规定或相关单位出具的有效证明扫描件。</w:t>
      </w:r>
      <w:r>
        <w:rPr>
          <w:rFonts w:hint="eastAsia" w:ascii="宋体" w:hAnsi="宋体"/>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（六）投标文件的制作：</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所有文件、往来函件均应使用简体中文（规格、型号辅助符号例外）。</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投标文件由投标人按要求如实填写，须有投标人（签章）、法定代表人或法定代表人授权代表签章，方为有效，未尽事宜可自行补充。</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sz w:val="24"/>
          <w:szCs w:val="24"/>
          <w:lang w:val="zh-CN"/>
        </w:rPr>
        <w:t>如无特别说明，</w:t>
      </w:r>
      <w:r>
        <w:rPr>
          <w:rFonts w:hint="eastAsia" w:ascii="宋体" w:hAnsi="宋体"/>
          <w:bCs/>
          <w:sz w:val="24"/>
          <w:szCs w:val="24"/>
        </w:rPr>
        <w:t>投标人报价一律以人民币为投标结算货币</w:t>
      </w:r>
      <w:r>
        <w:rPr>
          <w:rFonts w:ascii="宋体"/>
          <w:bCs/>
          <w:sz w:val="24"/>
          <w:szCs w:val="24"/>
        </w:rPr>
        <w:t>,</w:t>
      </w:r>
      <w:r>
        <w:rPr>
          <w:rFonts w:hint="eastAsia" w:ascii="宋体" w:hAnsi="宋体"/>
          <w:bCs/>
          <w:sz w:val="24"/>
          <w:szCs w:val="24"/>
        </w:rPr>
        <w:t>结算单位为“元”。</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投标费用自理。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（七）网上投标</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投标人应由其法定代表人或法定代表人授权代表在规定的网上投标时间内，凭</w:t>
      </w:r>
      <w:r>
        <w:rPr>
          <w:rFonts w:ascii="宋体" w:hAnsi="宋体"/>
          <w:bCs/>
          <w:sz w:val="24"/>
          <w:szCs w:val="24"/>
        </w:rPr>
        <w:t>CA</w:t>
      </w:r>
      <w:r>
        <w:rPr>
          <w:rFonts w:hint="eastAsia" w:ascii="宋体" w:hAnsi="宋体"/>
          <w:bCs/>
          <w:sz w:val="24"/>
          <w:szCs w:val="24"/>
        </w:rPr>
        <w:t>数字证书登陆政府采购交易管理一体化系统获取招标文件，在投标客户端制作投标文件（电子数据），并在投标截止时间之前上传投标文件。</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w:t>
      </w:r>
      <w:r>
        <w:rPr>
          <w:rFonts w:ascii="宋体" w:hAnsi="宋体"/>
          <w:bCs/>
          <w:sz w:val="24"/>
          <w:szCs w:val="24"/>
        </w:rPr>
        <w:t>CA</w:t>
      </w:r>
      <w:r>
        <w:rPr>
          <w:rFonts w:hint="eastAsia" w:ascii="宋体" w:hAnsi="宋体"/>
          <w:bCs/>
          <w:sz w:val="24"/>
          <w:szCs w:val="24"/>
        </w:rPr>
        <w:t>数字证书妥善保管，如被他人盗用投标，后果自负。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投标人按招标文件规定的</w:t>
      </w:r>
      <w:r>
        <w:rPr>
          <w:rFonts w:hint="eastAsia" w:ascii="宋体" w:hAnsi="宋体"/>
          <w:sz w:val="24"/>
          <w:szCs w:val="24"/>
        </w:rPr>
        <w:t>网上解密时间</w:t>
      </w:r>
      <w:r>
        <w:rPr>
          <w:rFonts w:hint="eastAsia" w:ascii="宋体" w:hAnsi="宋体"/>
          <w:bCs/>
          <w:sz w:val="24"/>
          <w:szCs w:val="24"/>
        </w:rPr>
        <w:t>进行解密，如未按时解密后果自负。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投标人应当对招标文件提出的要求和条件作出实质性响应，并在电子投标系统逐条应答。</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投标人应对要求提供的资格证明文件（如资质证书、资格证书）、技术资料（如白皮书、彩页、手册、检测报告等）扫描上传至投标系统。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投标人进行网上</w:t>
      </w:r>
      <w:r>
        <w:rPr>
          <w:rFonts w:hint="eastAsia" w:ascii="宋体" w:hAnsi="宋体"/>
          <w:sz w:val="24"/>
          <w:szCs w:val="24"/>
        </w:rPr>
        <w:t>投标</w:t>
      </w:r>
      <w:r>
        <w:rPr>
          <w:rFonts w:hint="eastAsia" w:ascii="宋体" w:hAnsi="宋体"/>
          <w:bCs/>
          <w:sz w:val="24"/>
          <w:szCs w:val="24"/>
        </w:rPr>
        <w:t>请参照《</w:t>
      </w:r>
      <w:r>
        <w:rPr>
          <w:rFonts w:hint="eastAsia" w:ascii="宋体" w:hAnsi="宋体"/>
          <w:sz w:val="24"/>
          <w:szCs w:val="24"/>
        </w:rPr>
        <w:t>政府采购项目电子交易管理操作指南-供应商》。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（八）无效投标文件的确认：</w:t>
      </w:r>
    </w:p>
    <w:p>
      <w:pPr>
        <w:tabs>
          <w:tab w:val="left" w:pos="945"/>
        </w:tabs>
        <w:spacing w:line="360" w:lineRule="auto"/>
        <w:ind w:firstLine="480" w:firstLineChars="200"/>
        <w:rPr>
          <w:rFonts w:ascii="黑体" w:hAnsi="宋体" w:eastAsia="黑体"/>
          <w:bCs/>
          <w:sz w:val="24"/>
          <w:szCs w:val="24"/>
        </w:rPr>
      </w:pPr>
      <w:r>
        <w:rPr>
          <w:rFonts w:hint="eastAsia" w:ascii="宋体" w:hAnsi="宋体"/>
          <w:bCs/>
          <w:sz w:val="24"/>
          <w:szCs w:val="24"/>
        </w:rPr>
        <w:t>投标人有下列情况之一者，投标文件无效：</w:t>
      </w:r>
    </w:p>
    <w:p>
      <w:pPr>
        <w:numPr>
          <w:ilvl w:val="0"/>
          <w:numId w:val="8"/>
        </w:numPr>
        <w:tabs>
          <w:tab w:val="left" w:pos="945"/>
        </w:tabs>
        <w:spacing w:line="360" w:lineRule="auto"/>
        <w:rPr>
          <w:rFonts w:ascii="宋体"/>
          <w:bCs/>
          <w:sz w:val="24"/>
          <w:szCs w:val="24"/>
        </w:rPr>
      </w:pPr>
      <w:r>
        <w:rPr>
          <w:rFonts w:hint="eastAsia" w:ascii="宋体" w:hAnsi="宋体"/>
          <w:sz w:val="24"/>
          <w:szCs w:val="24"/>
        </w:rPr>
        <w:t>未按规定在无锡市政府采购供应商信息库注册的；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投标文件未按规定期限投标的，纸质投标文件（如有）未按规定的期限、地点送达的；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投标文件未按招标文件要求签章的；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投标人未按招标文件要求解密电子投标文件的；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投标人的法定代表人授权代表，无法定代表人授权委托书的；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不具备招标文件中规定的资格要求或未按招标文件规定的要求提供资格、资信证明文件的；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sz w:val="24"/>
          <w:szCs w:val="24"/>
        </w:rPr>
        <w:t>被“信用中国”网站（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）、中国政府采购网(www.ccgp.gov.cn)列入失信被执行人、重大税收违法案件当事人名单、政府采购严重违法失信行为记录名单的；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投标文件未按招标文件规定的内容和要求填写的；没有在投标系统指定位置上传对应文件、材料的；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投标文件图片、字迹模糊不清、无法辨认的；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投标文件中有招标文件未允许提供的选择性内容；</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color w:val="000000"/>
          <w:sz w:val="24"/>
          <w:szCs w:val="24"/>
        </w:rPr>
        <w:t>不同投标人的投标文件由同一单位或者个人编制的</w:t>
      </w:r>
      <w:r>
        <w:rPr>
          <w:rFonts w:hint="eastAsia" w:ascii="宋体" w:hAnsi="宋体"/>
          <w:bCs/>
          <w:sz w:val="24"/>
          <w:szCs w:val="24"/>
        </w:rPr>
        <w:t>；</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不同投标人委托同一单位或者个人办理投标事宜的；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不同投标人的单位负责人为同一人或者存在直接控股、管理关系的；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不同投标人的投标文件的装订形式、纸张情况、目录序号、排版格式、文字风格等存在明显的相似性或一致性，特征显示由同一单位或者同一个人编制的；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不同投标人投标文件内容存在非正常一致、项目组成员出现同一人、投标文件中错误（或异常）一致或雷同、电子文档信息一致或雷同的、投标报价呈规律性差异的；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项目（标段）投标总价超过本项目（标段）预算或最高限价的；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提供虚假材料的（包括工商营业执照、财务报表、资格证明文件等）；</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投标文件含有采购人不能接受的附加条件的；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除单一来源采购项目外，为采购项目提供整体设计、规范编制或者项目管理、监理、检测等服务的；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投标文件内容不全或不符合招标文件中规定的其它实质性要求的；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（九）开标、评标：</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所有投标单位在招标文件规定的时间内解密各自投标文件；</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投标截止时间后参加投标的供应商或解密投标文件的供应商不足三家的，不开标；开标后，所有投标供应商可在线上开标大厅中看到所有投标人的投标报价；</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开标时，投标文件</w:t>
      </w:r>
      <w:r>
        <w:rPr>
          <w:rFonts w:ascii="宋体" w:hAnsi="宋体"/>
          <w:bCs/>
          <w:sz w:val="24"/>
          <w:szCs w:val="24"/>
        </w:rPr>
        <w:t>报价出现前后不一致的，按照下列规定修正：</w:t>
      </w:r>
    </w:p>
    <w:p>
      <w:pPr>
        <w:numPr>
          <w:ilvl w:val="0"/>
          <w:numId w:val="10"/>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投标文件中开标一览表（报价表）内容与投标文件中相应内容不一致的，以开标一览表（报价表）为准；</w:t>
      </w:r>
    </w:p>
    <w:p>
      <w:pPr>
        <w:numPr>
          <w:ilvl w:val="0"/>
          <w:numId w:val="10"/>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大写金额和小写金额不一致的，以大写金额为准；</w:t>
      </w:r>
    </w:p>
    <w:p>
      <w:pPr>
        <w:numPr>
          <w:ilvl w:val="0"/>
          <w:numId w:val="10"/>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单价金额小数点或者百分比有明显错位的，以开标一览表的总价为准，并修改单价；</w:t>
      </w:r>
    </w:p>
    <w:p>
      <w:pPr>
        <w:numPr>
          <w:ilvl w:val="0"/>
          <w:numId w:val="10"/>
        </w:numPr>
        <w:tabs>
          <w:tab w:val="left" w:pos="510"/>
          <w:tab w:val="left" w:pos="945"/>
        </w:tabs>
        <w:spacing w:line="360" w:lineRule="auto"/>
        <w:ind w:left="0" w:firstLine="480" w:firstLineChars="200"/>
        <w:rPr>
          <w:rFonts w:ascii="宋体"/>
          <w:bCs/>
          <w:sz w:val="24"/>
          <w:szCs w:val="24"/>
        </w:rPr>
      </w:pPr>
      <w:r>
        <w:rPr>
          <w:rFonts w:hint="eastAsia" w:ascii="宋体"/>
          <w:bCs/>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sz w:val="24"/>
          <w:szCs w:val="24"/>
        </w:rPr>
      </w:pPr>
      <w:r>
        <w:rPr>
          <w:rFonts w:hint="eastAsia" w:ascii="宋体"/>
          <w:bCs/>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电子投标文件与纸质投标文件（如有）不符的，以电子投标文件为准。</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投标人未参加开标的，视同认可开标结果。</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评标程序</w:t>
      </w:r>
    </w:p>
    <w:p>
      <w:pPr>
        <w:tabs>
          <w:tab w:val="left" w:pos="945"/>
        </w:tabs>
        <w:spacing w:line="360" w:lineRule="auto"/>
        <w:ind w:firstLine="523" w:firstLineChars="218"/>
        <w:rPr>
          <w:rFonts w:ascii="宋体"/>
          <w:bCs/>
          <w:sz w:val="24"/>
          <w:szCs w:val="24"/>
        </w:rPr>
      </w:pPr>
      <w:r>
        <w:rPr>
          <w:rFonts w:hint="eastAsia" w:ascii="宋体" w:hAnsi="宋体"/>
          <w:bCs/>
          <w:sz w:val="24"/>
          <w:szCs w:val="24"/>
        </w:rPr>
        <w:t>评标工作由无锡市公共资源交易中心新吴分中心负责组织，具体评标事务由依法组建的评标委员会负责。</w:t>
      </w:r>
    </w:p>
    <w:p>
      <w:pPr>
        <w:numPr>
          <w:ilvl w:val="0"/>
          <w:numId w:val="11"/>
        </w:numPr>
        <w:tabs>
          <w:tab w:val="left" w:pos="630"/>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投标文件初审。初审分为资格性检查和符合性检查。</w:t>
      </w:r>
    </w:p>
    <w:p>
      <w:pPr>
        <w:numPr>
          <w:ilvl w:val="0"/>
          <w:numId w:val="12"/>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资格性检查。采购人依据法律法规和招标文件的规定，对投标文件中的资格证明、投标（报价）承诺函等进行审查；</w:t>
      </w:r>
      <w:r>
        <w:rPr>
          <w:rFonts w:hint="eastAsia" w:ascii="宋体" w:hAnsi="宋体"/>
          <w:bCs/>
          <w:sz w:val="24"/>
          <w:szCs w:val="24"/>
        </w:rPr>
        <w:t>通过“信用中国”网站（</w:t>
      </w:r>
      <w:r>
        <w:fldChar w:fldCharType="begin"/>
      </w:r>
      <w:r>
        <w:instrText xml:space="preserve"> HYPERLINK "http://www.creditchina.gov.cn" </w:instrText>
      </w:r>
      <w:r>
        <w:fldChar w:fldCharType="separate"/>
      </w:r>
      <w:r>
        <w:rPr>
          <w:rFonts w:hint="eastAsia" w:ascii="宋体" w:hAnsi="宋体"/>
          <w:bCs/>
          <w:sz w:val="24"/>
          <w:szCs w:val="24"/>
        </w:rPr>
        <w:t>www.creditchina.gov.cn</w:t>
      </w:r>
      <w:r>
        <w:rPr>
          <w:rFonts w:hint="eastAsia" w:ascii="宋体" w:hAnsi="宋体"/>
          <w:bCs/>
          <w:sz w:val="24"/>
          <w:szCs w:val="24"/>
        </w:rPr>
        <w:fldChar w:fldCharType="end"/>
      </w:r>
      <w:r>
        <w:rPr>
          <w:rFonts w:hint="eastAsia" w:ascii="宋体" w:hAnsi="宋体"/>
          <w:bCs/>
          <w:sz w:val="24"/>
          <w:szCs w:val="24"/>
        </w:rPr>
        <w:t>）、</w:t>
      </w:r>
      <w:r>
        <w:rPr>
          <w:rFonts w:hint="eastAsia" w:ascii="宋体" w:hAnsi="宋体"/>
          <w:sz w:val="24"/>
          <w:szCs w:val="24"/>
        </w:rPr>
        <w:t>中国政府采购网(www.ccgp.gov.cn)</w:t>
      </w:r>
      <w:r>
        <w:rPr>
          <w:rFonts w:hint="eastAsia" w:ascii="宋体" w:hAnsi="宋体"/>
          <w:bCs/>
          <w:sz w:val="24"/>
          <w:szCs w:val="24"/>
        </w:rPr>
        <w:t>查询投标供应商在投标截止时间之前，是否被列入</w:t>
      </w:r>
      <w:r>
        <w:rPr>
          <w:rFonts w:hint="eastAsia" w:ascii="宋体" w:hAnsi="宋体"/>
          <w:sz w:val="24"/>
          <w:szCs w:val="24"/>
        </w:rPr>
        <w:t>失信被执行人、重大税收违法案件当事人名单、政府采购严重违法失信行为记录名单，</w:t>
      </w:r>
      <w:r>
        <w:rPr>
          <w:rFonts w:hint="eastAsia" w:ascii="宋体" w:hAnsi="宋体"/>
          <w:bCs/>
          <w:sz w:val="24"/>
        </w:rPr>
        <w:t>以确定投标供应商是否具备投标资格。信用</w:t>
      </w:r>
      <w:r>
        <w:rPr>
          <w:rFonts w:hint="eastAsia" w:ascii="宋体" w:hAnsi="宋体"/>
          <w:sz w:val="24"/>
          <w:szCs w:val="24"/>
        </w:rPr>
        <w:t>查询结果以网页打印的形式留存并归档。</w:t>
      </w:r>
    </w:p>
    <w:p>
      <w:pPr>
        <w:numPr>
          <w:ilvl w:val="0"/>
          <w:numId w:val="12"/>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符合性检查。评标委员会依据招标文件的规定，从投标文件的有效性、完整性和对招标文件的响应程度进行审查，以确定是否对招标文件的实质性要求作出响应。</w:t>
      </w:r>
    </w:p>
    <w:p>
      <w:pPr>
        <w:numPr>
          <w:ilvl w:val="0"/>
          <w:numId w:val="11"/>
        </w:numPr>
        <w:tabs>
          <w:tab w:val="left" w:pos="525"/>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澄清有关问题。对投标文件中含义不明确、同类问题表述不一致或者有明显文字和计算错误的内容，评标委员会可以通过</w:t>
      </w:r>
      <w:r>
        <w:rPr>
          <w:rFonts w:hint="eastAsia" w:ascii="宋体" w:hAnsi="宋体"/>
          <w:bCs/>
          <w:sz w:val="24"/>
          <w:szCs w:val="24"/>
        </w:rPr>
        <w:t>政府采购交易管理一体化系统</w:t>
      </w:r>
      <w:r>
        <w:rPr>
          <w:rFonts w:hint="eastAsia" w:ascii="宋体" w:hAnsi="宋体"/>
          <w:bCs/>
          <w:sz w:val="24"/>
        </w:rPr>
        <w:t>发起询标，要求投标人作出必要的澄清、说明或者纠正。投标人的澄清、说明或者补正应当通过</w:t>
      </w:r>
      <w:r>
        <w:rPr>
          <w:rFonts w:hint="eastAsia" w:ascii="宋体" w:hAnsi="宋体"/>
          <w:bCs/>
          <w:sz w:val="24"/>
          <w:szCs w:val="24"/>
        </w:rPr>
        <w:t>政府采购交易管理一体化系统</w:t>
      </w:r>
      <w:r>
        <w:rPr>
          <w:rFonts w:hint="eastAsia" w:ascii="宋体" w:hAnsi="宋体"/>
          <w:bCs/>
          <w:sz w:val="24"/>
        </w:rPr>
        <w:t>，由其授权的代表应答并加盖电子公章，且不得超出投标文件的范围或者改变投标文件的实质性内容</w:t>
      </w:r>
      <w:r>
        <w:rPr>
          <w:rFonts w:hint="eastAsia" w:ascii="宋体" w:hAnsi="宋体"/>
          <w:bCs/>
          <w:sz w:val="24"/>
          <w:szCs w:val="24"/>
        </w:rPr>
        <w:t>。</w:t>
      </w:r>
    </w:p>
    <w:p>
      <w:pPr>
        <w:numPr>
          <w:ilvl w:val="0"/>
          <w:numId w:val="11"/>
        </w:numPr>
        <w:tabs>
          <w:tab w:val="left" w:pos="945"/>
          <w:tab w:val="left" w:pos="1155"/>
          <w:tab w:val="left" w:pos="1365"/>
          <w:tab w:val="clear" w:pos="1104"/>
        </w:tabs>
        <w:spacing w:line="360" w:lineRule="auto"/>
        <w:ind w:left="0" w:firstLine="523" w:firstLineChars="218"/>
        <w:rPr>
          <w:rFonts w:ascii="宋体"/>
          <w:bCs/>
          <w:sz w:val="24"/>
          <w:szCs w:val="24"/>
        </w:rPr>
      </w:pPr>
      <w:r>
        <w:rPr>
          <w:rFonts w:hint="eastAsia" w:ascii="宋体" w:hAnsi="宋体"/>
          <w:bCs/>
          <w:sz w:val="24"/>
        </w:rPr>
        <w:t>比较与评价。按招标文件中规定的评标方法和标准，对资格性检查和符合性检查合格的投标文件进行商务和技术评估，综合比较与评价</w:t>
      </w:r>
      <w:r>
        <w:rPr>
          <w:rFonts w:hint="eastAsia" w:ascii="宋体" w:hAnsi="宋体"/>
          <w:bCs/>
          <w:sz w:val="24"/>
          <w:szCs w:val="24"/>
        </w:rPr>
        <w:t>。</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评标方法</w:t>
      </w:r>
    </w:p>
    <w:p>
      <w:pPr>
        <w:tabs>
          <w:tab w:val="left" w:pos="945"/>
        </w:tabs>
        <w:spacing w:line="360" w:lineRule="auto"/>
        <w:ind w:firstLine="523" w:firstLineChars="218"/>
        <w:rPr>
          <w:rFonts w:ascii="宋体"/>
          <w:bCs/>
          <w:sz w:val="24"/>
          <w:szCs w:val="24"/>
        </w:rPr>
      </w:pPr>
      <w:r>
        <w:rPr>
          <w:rFonts w:hint="eastAsia" w:ascii="宋体" w:hAnsi="宋体"/>
          <w:bCs/>
          <w:sz w:val="24"/>
          <w:szCs w:val="24"/>
        </w:rPr>
        <w:t>投标人通过初审的，方可进入</w:t>
      </w:r>
      <w:r>
        <w:rPr>
          <w:rFonts w:hint="eastAsia" w:ascii="宋体" w:hAnsi="宋体"/>
          <w:bCs/>
          <w:sz w:val="24"/>
        </w:rPr>
        <w:t>比较与评价程序</w:t>
      </w:r>
      <w:r>
        <w:rPr>
          <w:rFonts w:hint="eastAsia" w:ascii="宋体" w:hAnsi="宋体"/>
          <w:bCs/>
          <w:sz w:val="24"/>
          <w:szCs w:val="24"/>
        </w:rPr>
        <w:t>。</w:t>
      </w:r>
    </w:p>
    <w:p>
      <w:pPr>
        <w:tabs>
          <w:tab w:val="left" w:pos="945"/>
        </w:tabs>
        <w:spacing w:line="360" w:lineRule="auto"/>
        <w:ind w:firstLine="523" w:firstLineChars="218"/>
        <w:rPr>
          <w:rFonts w:ascii="宋体"/>
          <w:bCs/>
          <w:sz w:val="24"/>
          <w:szCs w:val="24"/>
        </w:rPr>
      </w:pPr>
      <w:r>
        <w:rPr>
          <w:rFonts w:hint="eastAsia" w:ascii="宋体" w:hAnsi="宋体"/>
          <w:bCs/>
          <w:sz w:val="24"/>
        </w:rPr>
        <w:t>比较与评价</w:t>
      </w:r>
      <w:r>
        <w:rPr>
          <w:rFonts w:hint="eastAsia" w:ascii="宋体" w:hAnsi="宋体"/>
          <w:bCs/>
          <w:sz w:val="24"/>
          <w:szCs w:val="24"/>
        </w:rPr>
        <w:t>采用综合评分法。</w:t>
      </w:r>
    </w:p>
    <w:p>
      <w:pPr>
        <w:tabs>
          <w:tab w:val="left" w:pos="945"/>
        </w:tabs>
        <w:spacing w:line="360" w:lineRule="auto"/>
        <w:ind w:firstLine="523" w:firstLineChars="218"/>
        <w:rPr>
          <w:rFonts w:ascii="宋体" w:hAnsi="宋体"/>
          <w:bCs/>
          <w:sz w:val="24"/>
          <w:szCs w:val="24"/>
        </w:rPr>
      </w:pPr>
      <w:r>
        <w:rPr>
          <w:rFonts w:hint="eastAsia" w:ascii="宋体" w:hAnsi="宋体"/>
          <w:bCs/>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sz w:val="24"/>
        </w:rPr>
        <w:t>非单一产品采购项目，多家投标人提供的核心产品品牌相同的，同上处理。</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评分标准</w:t>
      </w:r>
    </w:p>
    <w:p>
      <w:pPr>
        <w:tabs>
          <w:tab w:val="left" w:pos="525"/>
          <w:tab w:val="left" w:pos="945"/>
        </w:tabs>
        <w:spacing w:line="360" w:lineRule="auto"/>
        <w:ind w:left="524"/>
        <w:rPr>
          <w:rFonts w:ascii="宋体" w:hAnsi="宋体"/>
          <w:bCs/>
          <w:sz w:val="24"/>
          <w:szCs w:val="24"/>
        </w:rPr>
      </w:pPr>
      <w:r>
        <w:rPr>
          <w:rFonts w:hint="eastAsia" w:ascii="宋体" w:hAnsi="宋体"/>
          <w:bCs/>
          <w:sz w:val="24"/>
          <w:szCs w:val="24"/>
        </w:rPr>
        <w:t>详见附件。</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（十）定标：</w:t>
      </w:r>
    </w:p>
    <w:p>
      <w:pPr>
        <w:numPr>
          <w:ilvl w:val="0"/>
          <w:numId w:val="13"/>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rPr>
        <w:t>评标委员会根据招标文件规定的评标方法和评标标准进行评审，按招标文件的要求依法确定中标供应商。无锡市公共资源交易中心新吴分中心将在无锡市公共资源交易中心政府采购专栏、无锡政府采购网、江苏政府采购网和中国政府采购网发布中标公告。如有质疑，应在法定质疑期限内，即</w:t>
      </w:r>
      <w:r>
        <w:rPr>
          <w:rFonts w:hint="eastAsia" w:ascii="宋体" w:hAnsi="宋体"/>
          <w:sz w:val="24"/>
          <w:szCs w:val="24"/>
        </w:rPr>
        <w:t>中标公告</w:t>
      </w:r>
      <w:r>
        <w:rPr>
          <w:rFonts w:hint="eastAsia" w:ascii="宋体" w:hAnsi="宋体" w:cs="宋体"/>
          <w:bCs/>
          <w:kern w:val="0"/>
          <w:sz w:val="24"/>
        </w:rPr>
        <w:t>期限届满之日</w:t>
      </w:r>
      <w:r>
        <w:rPr>
          <w:rFonts w:hint="eastAsia" w:ascii="宋体" w:hAnsi="宋体"/>
          <w:sz w:val="24"/>
          <w:szCs w:val="24"/>
        </w:rPr>
        <w:t>起</w:t>
      </w:r>
      <w:r>
        <w:rPr>
          <w:rFonts w:ascii="宋体" w:hAnsi="宋体"/>
          <w:sz w:val="24"/>
          <w:szCs w:val="24"/>
        </w:rPr>
        <w:t>7</w:t>
      </w:r>
      <w:r>
        <w:rPr>
          <w:rFonts w:hint="eastAsia" w:ascii="宋体" w:hAnsi="宋体"/>
          <w:sz w:val="24"/>
          <w:szCs w:val="24"/>
        </w:rPr>
        <w:t>个工作日</w:t>
      </w:r>
      <w:r>
        <w:rPr>
          <w:rFonts w:hint="eastAsia" w:ascii="宋体" w:hAnsi="宋体"/>
          <w:bCs/>
          <w:sz w:val="24"/>
          <w:szCs w:val="24"/>
        </w:rPr>
        <w:t>内，以书面形式（原件）送达无锡市公共资源交易中心新吴分中心，并且</w:t>
      </w:r>
      <w:r>
        <w:rPr>
          <w:rFonts w:ascii="宋体" w:hAnsi="宋体"/>
          <w:bCs/>
          <w:sz w:val="24"/>
          <w:szCs w:val="24"/>
        </w:rPr>
        <w:t>针对同一采购程序环节的质疑</w:t>
      </w:r>
      <w:r>
        <w:rPr>
          <w:rFonts w:hint="eastAsia" w:ascii="宋体" w:hAnsi="宋体"/>
          <w:bCs/>
          <w:sz w:val="24"/>
          <w:szCs w:val="24"/>
        </w:rPr>
        <w:t>，须</w:t>
      </w:r>
      <w:r>
        <w:rPr>
          <w:rFonts w:ascii="宋体" w:hAnsi="宋体"/>
          <w:bCs/>
          <w:sz w:val="24"/>
          <w:szCs w:val="24"/>
        </w:rPr>
        <w:t>在法定质疑期内一次性提出</w:t>
      </w:r>
      <w:r>
        <w:rPr>
          <w:rFonts w:hint="eastAsia" w:ascii="宋体" w:hAnsi="宋体"/>
          <w:bCs/>
          <w:sz w:val="24"/>
          <w:szCs w:val="24"/>
        </w:rPr>
        <w:t>。质疑函的质疑事项应具体、明确，并有必要的事实依据和法律依据（格式详见中国政府采购网《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rPr>
        <w:t>政府采购供应商质疑函范本</w:t>
      </w:r>
      <w:r>
        <w:rPr>
          <w:rFonts w:hint="eastAsia" w:ascii="宋体" w:hAnsi="宋体"/>
          <w:bCs/>
          <w:sz w:val="24"/>
          <w:szCs w:val="24"/>
        </w:rPr>
        <w:fldChar w:fldCharType="end"/>
      </w:r>
      <w:r>
        <w:rPr>
          <w:rFonts w:hint="eastAsia" w:ascii="宋体" w:hAnsi="宋体"/>
          <w:bCs/>
          <w:sz w:val="24"/>
          <w:szCs w:val="24"/>
        </w:rPr>
        <w:t>》）。无锡市公共资源交易中心新吴分中心将在收到符合上述要求的书面质疑后七个工作日内，对质疑内容做出答复。投标人在法定质疑期限外送达的质疑函或法定质疑期限内送达的质疑函不符合上述要求的均为无效质疑，无锡市公共资源交易中心新吴分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3"/>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rPr>
        <w:t>无锡市公共资源交易中心新吴分中心向中标供应商发中标通知书。</w:t>
      </w:r>
    </w:p>
    <w:p>
      <w:pPr>
        <w:numPr>
          <w:ilvl w:val="0"/>
          <w:numId w:val="13"/>
        </w:numPr>
        <w:tabs>
          <w:tab w:val="left" w:pos="525"/>
          <w:tab w:val="left" w:pos="945"/>
          <w:tab w:val="left" w:pos="1155"/>
          <w:tab w:val="clear" w:pos="552"/>
        </w:tabs>
        <w:spacing w:line="360" w:lineRule="auto"/>
        <w:ind w:left="0" w:firstLine="523" w:firstLineChars="218"/>
        <w:rPr>
          <w:rFonts w:ascii="宋体" w:hAnsi="宋体"/>
          <w:bCs/>
          <w:sz w:val="24"/>
          <w:szCs w:val="24"/>
        </w:rPr>
      </w:pPr>
      <w:r>
        <w:rPr>
          <w:rFonts w:hint="eastAsia" w:ascii="宋体" w:hAnsi="宋体"/>
          <w:bCs/>
          <w:sz w:val="24"/>
          <w:szCs w:val="24"/>
        </w:rPr>
        <w:t>投标供应商电子投标文件将作为电子档案保存。</w:t>
      </w:r>
    </w:p>
    <w:p>
      <w:pPr>
        <w:tabs>
          <w:tab w:val="left" w:pos="945"/>
          <w:tab w:val="left" w:pos="1155"/>
        </w:tabs>
        <w:spacing w:line="360" w:lineRule="auto"/>
        <w:ind w:left="480"/>
        <w:outlineLvl w:val="0"/>
        <w:rPr>
          <w:rFonts w:ascii="黑体" w:hAnsi="宋体" w:eastAsia="黑体"/>
          <w:bCs/>
          <w:sz w:val="24"/>
          <w:szCs w:val="24"/>
        </w:rPr>
      </w:pPr>
      <w:r>
        <w:rPr>
          <w:rFonts w:hint="eastAsia" w:ascii="黑体" w:hAnsi="宋体" w:eastAsia="黑体"/>
          <w:bCs/>
          <w:sz w:val="24"/>
          <w:szCs w:val="24"/>
        </w:rPr>
        <w:t>（十一）废标的确认：</w:t>
      </w:r>
    </w:p>
    <w:p>
      <w:pPr>
        <w:spacing w:line="360" w:lineRule="auto"/>
        <w:ind w:firstLine="480" w:firstLineChars="200"/>
        <w:rPr>
          <w:rFonts w:ascii="宋体"/>
          <w:bCs/>
          <w:sz w:val="24"/>
          <w:szCs w:val="24"/>
        </w:rPr>
      </w:pPr>
      <w:r>
        <w:rPr>
          <w:rFonts w:hint="eastAsia" w:ascii="宋体" w:hAnsi="宋体"/>
          <w:bCs/>
          <w:sz w:val="24"/>
          <w:szCs w:val="24"/>
        </w:rPr>
        <w:t>在招标采购中，出现下列情况之一的，应予废标：</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符合专业条件的投标人或者对招标文件作出实质性响应的投标人不足三家；</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出现影响采购公正的违法、违规行为；</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投标人的报价均超过采购预算，采购人不能支付的；</w:t>
      </w:r>
    </w:p>
    <w:p>
      <w:pPr>
        <w:numPr>
          <w:ilvl w:val="0"/>
          <w:numId w:val="14"/>
        </w:numPr>
        <w:tabs>
          <w:tab w:val="right" w:pos="180"/>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因重大变故，采购任务取消。</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（十二）中标无效的确认：</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提供虚假材料谋取中标的；</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采取不正当手段诋毁、排挤其他投标人的；</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与招标采购单位、其他投标人恶意串通的；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向招标采购单位行贿或者提供其他不正当利益的；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在招标过程中与招标采购单位进行协商谈判、不按照招标文件和中标供应商的投标文件订立合同，或者与采购人另行订立背离合同实质性内容的协议的；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拒绝有关部门监督检查或者提供虚假情况的。</w:t>
      </w:r>
    </w:p>
    <w:p>
      <w:pPr>
        <w:tabs>
          <w:tab w:val="left" w:pos="945"/>
        </w:tabs>
        <w:spacing w:line="360" w:lineRule="auto"/>
        <w:ind w:firstLine="480" w:firstLineChars="200"/>
        <w:outlineLvl w:val="0"/>
        <w:rPr>
          <w:rFonts w:ascii="宋体" w:hAnsi="宋体"/>
          <w:bCs/>
          <w:sz w:val="24"/>
          <w:szCs w:val="24"/>
        </w:rPr>
      </w:pPr>
      <w:r>
        <w:rPr>
          <w:rFonts w:hint="eastAsia" w:ascii="宋体" w:hAnsi="宋体"/>
          <w:bCs/>
          <w:sz w:val="24"/>
          <w:szCs w:val="24"/>
        </w:rPr>
        <w:t>投标人有上述（</w:t>
      </w:r>
      <w:r>
        <w:rPr>
          <w:rFonts w:ascii="宋体" w:hAnsi="宋体"/>
          <w:bCs/>
          <w:sz w:val="24"/>
          <w:szCs w:val="24"/>
        </w:rPr>
        <w:t>1</w:t>
      </w:r>
      <w:r>
        <w:rPr>
          <w:rFonts w:hint="eastAsia" w:ascii="宋体" w:hAnsi="宋体"/>
          <w:bCs/>
          <w:sz w:val="24"/>
          <w:szCs w:val="24"/>
        </w:rPr>
        <w:t>）至（</w:t>
      </w:r>
      <w:r>
        <w:rPr>
          <w:rFonts w:ascii="宋体" w:hAnsi="宋体"/>
          <w:bCs/>
          <w:sz w:val="24"/>
          <w:szCs w:val="24"/>
        </w:rPr>
        <w:t>5</w:t>
      </w:r>
      <w:r>
        <w:rPr>
          <w:rFonts w:hint="eastAsia" w:ascii="宋体" w:hAnsi="宋体"/>
          <w:bCs/>
          <w:sz w:val="24"/>
          <w:szCs w:val="24"/>
        </w:rPr>
        <w:t>）项情形之一的，中标无效。有上述（</w:t>
      </w:r>
      <w:r>
        <w:rPr>
          <w:rFonts w:ascii="宋体" w:hAnsi="宋体"/>
          <w:bCs/>
          <w:sz w:val="24"/>
          <w:szCs w:val="24"/>
        </w:rPr>
        <w:t>1</w:t>
      </w:r>
      <w:r>
        <w:rPr>
          <w:rFonts w:hint="eastAsia" w:ascii="宋体" w:hAnsi="宋体"/>
          <w:bCs/>
          <w:sz w:val="24"/>
          <w:szCs w:val="24"/>
        </w:rPr>
        <w:t>）至（</w:t>
      </w:r>
      <w:r>
        <w:rPr>
          <w:rFonts w:ascii="宋体" w:hAnsi="宋体"/>
          <w:bCs/>
          <w:sz w:val="24"/>
          <w:szCs w:val="24"/>
        </w:rPr>
        <w:t>6</w:t>
      </w:r>
      <w:r>
        <w:rPr>
          <w:rFonts w:hint="eastAsia" w:ascii="宋体" w:hAnsi="宋体"/>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
          <w:sz w:val="24"/>
          <w:szCs w:val="24"/>
        </w:rPr>
      </w:pPr>
      <w:r>
        <w:rPr>
          <w:rFonts w:hint="eastAsia" w:ascii="黑体" w:hAnsi="宋体" w:eastAsia="黑体"/>
          <w:b/>
          <w:sz w:val="24"/>
          <w:szCs w:val="24"/>
        </w:rPr>
        <w:t>（十三）</w:t>
      </w:r>
      <w:r>
        <w:rPr>
          <w:rFonts w:hint="eastAsia" w:ascii="黑体" w:hAnsi="宋体" w:eastAsia="黑体"/>
          <w:bCs/>
          <w:sz w:val="24"/>
          <w:szCs w:val="24"/>
        </w:rPr>
        <w:t>签订</w:t>
      </w:r>
      <w:r>
        <w:rPr>
          <w:rFonts w:hint="eastAsia" w:ascii="黑体" w:hAnsi="宋体" w:eastAsia="黑体"/>
          <w:b/>
          <w:sz w:val="24"/>
          <w:szCs w:val="24"/>
        </w:rPr>
        <w:t>、履行</w:t>
      </w:r>
      <w:r>
        <w:rPr>
          <w:rFonts w:hint="eastAsia" w:ascii="黑体" w:hAnsi="宋体" w:eastAsia="黑体"/>
          <w:bCs/>
          <w:sz w:val="24"/>
          <w:szCs w:val="24"/>
        </w:rPr>
        <w:t>合同：</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采购人应当自中标通知书发出之日起三十日内（</w:t>
      </w:r>
      <w:r>
        <w:rPr>
          <w:rFonts w:ascii="宋体" w:hAnsi="宋体"/>
          <w:sz w:val="24"/>
          <w:szCs w:val="24"/>
        </w:rPr>
        <w:t>到新冠疫情应急响应解除之日</w:t>
      </w:r>
      <w:r>
        <w:rPr>
          <w:rFonts w:hint="eastAsia" w:ascii="宋体" w:hAnsi="宋体"/>
          <w:sz w:val="24"/>
          <w:szCs w:val="24"/>
        </w:rPr>
        <w:t>前可缩短至十五日内</w:t>
      </w:r>
      <w:r>
        <w:rPr>
          <w:rFonts w:hint="eastAsia" w:ascii="宋体" w:hAnsi="宋体"/>
          <w:bCs/>
          <w:sz w:val="24"/>
          <w:szCs w:val="24"/>
        </w:rPr>
        <w:t>），</w:t>
      </w:r>
      <w:r>
        <w:rPr>
          <w:rFonts w:ascii="宋体" w:hAnsi="宋体"/>
          <w:bCs/>
          <w:sz w:val="24"/>
          <w:szCs w:val="24"/>
        </w:rPr>
        <w:t>按照招标文件和中标供应商投标文件的约定，在</w:t>
      </w:r>
      <w:r>
        <w:rPr>
          <w:rFonts w:hint="eastAsia" w:ascii="宋体" w:hAnsi="宋体"/>
          <w:bCs/>
          <w:sz w:val="24"/>
          <w:szCs w:val="24"/>
        </w:rPr>
        <w:t>无锡市公共资源交易中心新吴分中心</w:t>
      </w:r>
      <w:r>
        <w:rPr>
          <w:rFonts w:ascii="宋体" w:hAnsi="宋体"/>
          <w:bCs/>
          <w:sz w:val="24"/>
          <w:szCs w:val="24"/>
        </w:rPr>
        <w:t>就实质性条款见证后，与中标供应商签订合同</w:t>
      </w:r>
      <w:r>
        <w:rPr>
          <w:rFonts w:hint="eastAsia" w:ascii="宋体" w:hAnsi="宋体"/>
          <w:bCs/>
          <w:sz w:val="24"/>
          <w:szCs w:val="24"/>
        </w:rPr>
        <w:t>。所签订的合同不得对招标文件和中标供应商投标文件作实质性修改。采购人不得向中标供应商提出任何不合理的要求，作为签订合同的条件，不得与中标供应商私下订立背离合同实质性内容的协议。无锡市公共资源交易中心新吴分中心</w:t>
      </w:r>
      <w:r>
        <w:rPr>
          <w:rFonts w:ascii="宋体" w:hAnsi="宋体"/>
          <w:bCs/>
          <w:sz w:val="24"/>
          <w:szCs w:val="24"/>
        </w:rPr>
        <w:t>见证部分详见招标文件合同书（格式</w:t>
      </w:r>
      <w:r>
        <w:rPr>
          <w:rFonts w:hint="eastAsia" w:ascii="宋体" w:hAnsi="宋体"/>
          <w:bCs/>
          <w:sz w:val="24"/>
          <w:szCs w:val="24"/>
        </w:rPr>
        <w:t>条款</w:t>
      </w:r>
      <w:r>
        <w:rPr>
          <w:rFonts w:ascii="宋体" w:hAnsi="宋体"/>
          <w:bCs/>
          <w:sz w:val="24"/>
          <w:szCs w:val="24"/>
        </w:rPr>
        <w:t>），见证后的格式</w:t>
      </w:r>
      <w:r>
        <w:rPr>
          <w:rFonts w:hint="eastAsia" w:ascii="宋体" w:hAnsi="宋体"/>
          <w:bCs/>
          <w:sz w:val="24"/>
          <w:szCs w:val="24"/>
        </w:rPr>
        <w:t>条款</w:t>
      </w:r>
      <w:r>
        <w:rPr>
          <w:rFonts w:ascii="宋体" w:hAnsi="宋体"/>
          <w:bCs/>
          <w:sz w:val="24"/>
          <w:szCs w:val="24"/>
        </w:rPr>
        <w:t>不得作任何修改。</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中标方非因不可抗力未履行招、投标文件和合同规定的义务，一经查实，无锡市公共资源交易中心新吴分中心将根据具体情况提请政府采购管理部门作出相应处理。</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中标供应商向采购人缴纳的履约保证金不超过政府采购合同金额的10%。</w:t>
      </w:r>
      <w:r>
        <w:rPr>
          <w:rFonts w:hint="eastAsia" w:ascii="宋体" w:hAnsi="宋体"/>
          <w:bCs/>
          <w:sz w:val="24"/>
        </w:rPr>
        <w:t>收取履约保证金的，采购人应当</w:t>
      </w:r>
      <w:r>
        <w:rPr>
          <w:rFonts w:hint="eastAsia" w:ascii="宋体"/>
          <w:bCs/>
          <w:sz w:val="24"/>
        </w:rPr>
        <w:t>允许</w:t>
      </w:r>
      <w:r>
        <w:rPr>
          <w:rFonts w:ascii="宋体"/>
          <w:bCs/>
          <w:sz w:val="24"/>
          <w:szCs w:val="24"/>
        </w:rPr>
        <w:t>供应商自主选择以支票、 汇票、 本票、 保函等非现金形式缴纳或提交，</w:t>
      </w:r>
      <w:r>
        <w:rPr>
          <w:rFonts w:hint="eastAsia" w:ascii="宋体"/>
          <w:bCs/>
          <w:sz w:val="24"/>
          <w:szCs w:val="24"/>
        </w:rPr>
        <w:t>并</w:t>
      </w:r>
      <w:r>
        <w:rPr>
          <w:rFonts w:hint="eastAsia" w:ascii="宋体" w:hAnsi="宋体"/>
          <w:bCs/>
          <w:sz w:val="24"/>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（十四）注意事项：</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中标供应商有下列情形之一的，情节严重的，由财政部门将其列入不良行为记录名单，在一至三年内禁止参加政府采购活动，并予以通报：</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中标后无正当理由不与采购人签订合同的；</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将中标项目转让给他人，或者在投标文件中未说明，且未经过采购人同意，将中标项目分包给他人的；</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拒绝履行合同义务的。</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（十五）中标服务费：</w:t>
      </w:r>
    </w:p>
    <w:p>
      <w:pPr>
        <w:spacing w:line="360" w:lineRule="auto"/>
        <w:ind w:firstLine="480" w:firstLineChars="200"/>
        <w:rPr>
          <w:rFonts w:ascii="宋体"/>
          <w:bCs/>
          <w:sz w:val="24"/>
          <w:szCs w:val="24"/>
        </w:rPr>
      </w:pPr>
      <w:r>
        <w:rPr>
          <w:rFonts w:hint="eastAsia" w:ascii="宋体" w:hAnsi="宋体"/>
          <w:bCs/>
          <w:sz w:val="24"/>
          <w:szCs w:val="24"/>
        </w:rPr>
        <w:t>本次招标，无锡市公共资源交易中心新吴分中心为中标供应商提供免费服务，不收取中标服务费。</w:t>
      </w:r>
    </w:p>
    <w:p>
      <w:pPr>
        <w:spacing w:line="400" w:lineRule="exact"/>
        <w:jc w:val="center"/>
        <w:rPr>
          <w:rFonts w:ascii="黑体" w:eastAsia="黑体"/>
          <w:bCs/>
          <w:sz w:val="30"/>
          <w:szCs w:val="30"/>
        </w:rPr>
      </w:pPr>
    </w:p>
    <w:p>
      <w:pPr>
        <w:spacing w:line="400" w:lineRule="exact"/>
        <w:jc w:val="center"/>
        <w:rPr>
          <w:rFonts w:ascii="黑体" w:eastAsia="黑体"/>
          <w:bCs/>
          <w:sz w:val="30"/>
          <w:szCs w:val="30"/>
        </w:rPr>
      </w:pPr>
    </w:p>
    <w:p>
      <w:pPr>
        <w:spacing w:line="400" w:lineRule="exact"/>
        <w:jc w:val="center"/>
        <w:rPr>
          <w:rFonts w:ascii="黑体" w:eastAsia="黑体"/>
          <w:bCs/>
          <w:sz w:val="30"/>
          <w:szCs w:val="30"/>
        </w:rPr>
      </w:pPr>
    </w:p>
    <w:p>
      <w:pPr>
        <w:spacing w:line="400" w:lineRule="exact"/>
        <w:jc w:val="center"/>
        <w:rPr>
          <w:rFonts w:ascii="黑体" w:eastAsia="黑体"/>
          <w:bCs/>
          <w:sz w:val="30"/>
          <w:szCs w:val="30"/>
        </w:rPr>
      </w:pPr>
    </w:p>
    <w:p>
      <w:pPr>
        <w:spacing w:line="360" w:lineRule="auto"/>
        <w:jc w:val="center"/>
        <w:rPr>
          <w:rFonts w:ascii="黑体" w:eastAsia="黑体"/>
          <w:bCs/>
          <w:sz w:val="30"/>
          <w:szCs w:val="30"/>
        </w:rPr>
      </w:pPr>
      <w:r>
        <w:rPr>
          <w:rFonts w:ascii="黑体" w:eastAsia="黑体"/>
          <w:bCs/>
          <w:sz w:val="30"/>
          <w:szCs w:val="30"/>
        </w:rPr>
        <w:br w:type="page"/>
      </w:r>
      <w:r>
        <w:rPr>
          <w:rFonts w:hint="eastAsia" w:ascii="黑体" w:eastAsia="黑体"/>
          <w:bCs/>
          <w:sz w:val="30"/>
          <w:szCs w:val="30"/>
        </w:rPr>
        <w:t>三．</w:t>
      </w:r>
      <w:r>
        <w:rPr>
          <w:rFonts w:hint="eastAsia" w:ascii="黑体" w:eastAsia="黑体"/>
          <w:sz w:val="30"/>
          <w:szCs w:val="30"/>
        </w:rPr>
        <w:t>项目技术要求和有关说明</w:t>
      </w:r>
    </w:p>
    <w:p>
      <w:pPr>
        <w:spacing w:after="5" w:line="360" w:lineRule="auto"/>
        <w:ind w:firstLine="480" w:firstLineChars="200"/>
        <w:rPr>
          <w:rFonts w:ascii="宋体" w:hAnsi="宋体"/>
          <w:sz w:val="24"/>
          <w:szCs w:val="24"/>
        </w:rPr>
      </w:pPr>
      <w:r>
        <w:rPr>
          <w:rFonts w:hint="eastAsia" w:ascii="宋体" w:hAnsi="宋体"/>
          <w:sz w:val="24"/>
          <w:szCs w:val="24"/>
        </w:rPr>
        <w:t>投标人所投内容必须满足以下要求，不得有负偏离。</w:t>
      </w:r>
    </w:p>
    <w:p>
      <w:pPr>
        <w:spacing w:after="5" w:line="360" w:lineRule="auto"/>
        <w:ind w:firstLine="480" w:firstLineChars="200"/>
        <w:rPr>
          <w:rFonts w:ascii="宋体" w:hAnsi="宋体"/>
          <w:b/>
          <w:bCs/>
          <w:sz w:val="24"/>
          <w:szCs w:val="24"/>
          <w:highlight w:val="none"/>
        </w:rPr>
      </w:pPr>
      <w:r>
        <w:rPr>
          <w:rFonts w:hint="eastAsia" w:ascii="宋体" w:hAnsi="宋体"/>
          <w:b/>
          <w:bCs/>
          <w:sz w:val="24"/>
          <w:szCs w:val="24"/>
          <w:highlight w:val="none"/>
        </w:rPr>
        <w:t>本项目中LED发送卡为核心产品。</w:t>
      </w:r>
    </w:p>
    <w:p>
      <w:pPr>
        <w:spacing w:after="5" w:line="360" w:lineRule="auto"/>
        <w:ind w:firstLine="480" w:firstLineChars="200"/>
        <w:rPr>
          <w:rFonts w:ascii="黑体" w:eastAsia="黑体"/>
          <w:sz w:val="24"/>
          <w:szCs w:val="24"/>
          <w:u w:color="000000"/>
        </w:rPr>
      </w:pPr>
      <w:r>
        <w:rPr>
          <w:rFonts w:hint="eastAsia" w:ascii="黑体" w:eastAsia="黑体"/>
          <w:sz w:val="24"/>
          <w:szCs w:val="24"/>
          <w:u w:color="000000"/>
        </w:rPr>
        <w:t>一、项目技术要求：</w:t>
      </w:r>
    </w:p>
    <w:p>
      <w:pPr>
        <w:spacing w:after="5" w:line="360" w:lineRule="auto"/>
        <w:ind w:firstLine="480" w:firstLineChars="200"/>
        <w:rPr>
          <w:rFonts w:ascii="宋体" w:hAnsi="宋体"/>
          <w:bCs/>
          <w:sz w:val="24"/>
          <w:szCs w:val="24"/>
        </w:rPr>
      </w:pPr>
      <w:r>
        <w:rPr>
          <w:rFonts w:hint="eastAsia" w:ascii="宋体" w:hAnsi="宋体"/>
          <w:sz w:val="24"/>
          <w:szCs w:val="24"/>
        </w:rPr>
        <w:t>为加强分局基础管控中心实时视频监测，包括民警走访质态监测、辅警走访质态监测、校园护学岗质态监测、其余重点单位视频巡查等任务，另外需接待讲解演示等，无锡市公安局新吴分局现需采购LED大屏：24.3平方左右。另分局拟建数字督察中心，需采购LED大屏8平方左右。以上两项包含原液晶屏拆除移位等。</w:t>
      </w:r>
    </w:p>
    <w:tbl>
      <w:tblPr>
        <w:tblStyle w:val="25"/>
        <w:tblW w:w="5000" w:type="pct"/>
        <w:tblInd w:w="0" w:type="dxa"/>
        <w:tblLayout w:type="autofit"/>
        <w:tblCellMar>
          <w:top w:w="0" w:type="dxa"/>
          <w:left w:w="108" w:type="dxa"/>
          <w:bottom w:w="0" w:type="dxa"/>
          <w:right w:w="108" w:type="dxa"/>
        </w:tblCellMar>
      </w:tblPr>
      <w:tblGrid>
        <w:gridCol w:w="717"/>
        <w:gridCol w:w="2012"/>
        <w:gridCol w:w="5834"/>
        <w:gridCol w:w="872"/>
        <w:gridCol w:w="702"/>
      </w:tblGrid>
      <w:tr>
        <w:tblPrEx>
          <w:tblCellMar>
            <w:top w:w="0" w:type="dxa"/>
            <w:left w:w="108" w:type="dxa"/>
            <w:bottom w:w="0" w:type="dxa"/>
            <w:right w:w="108" w:type="dxa"/>
          </w:tblCellMar>
        </w:tblPrEx>
        <w:trPr>
          <w:trHeight w:val="402"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9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28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参数</w:t>
            </w:r>
          </w:p>
        </w:tc>
        <w:tc>
          <w:tcPr>
            <w:tcW w:w="43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r>
      <w:tr>
        <w:tblPrEx>
          <w:tblCellMar>
            <w:top w:w="0" w:type="dxa"/>
            <w:left w:w="108" w:type="dxa"/>
            <w:bottom w:w="0" w:type="dxa"/>
            <w:right w:w="108" w:type="dxa"/>
          </w:tblCellMar>
        </w:tblPrEx>
        <w:trPr>
          <w:trHeight w:val="402"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一、</w:t>
            </w:r>
          </w:p>
        </w:tc>
        <w:tc>
          <w:tcPr>
            <w:tcW w:w="46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基础管控中心</w:t>
            </w:r>
          </w:p>
        </w:tc>
      </w:tr>
      <w:tr>
        <w:tblPrEx>
          <w:tblCellMar>
            <w:top w:w="0" w:type="dxa"/>
            <w:left w:w="108" w:type="dxa"/>
            <w:bottom w:w="0" w:type="dxa"/>
            <w:right w:w="108" w:type="dxa"/>
          </w:tblCellMar>
        </w:tblPrEx>
        <w:trPr>
          <w:trHeight w:val="466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P1.5室内LED显示屏</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1、设备应为室内小间距LED全彩显示屏；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2、显示区域尺寸≥长7.200m×高3.375m；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3、整屏分辨率≥4608*2160；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4、像素间距≤1.5625mm；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5、封装方式：SMD；品牌：国产铜线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6、箱体比例：16:9，全封闭压铸铝材质；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7、像素结构：1R1G1B三合一；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8、像素密度≥409600点/㎡；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9、白平衡亮度：显示屏亮度600 cd/m2，色温：3000K-10000K可调，水平、垂直视角160°，推荐视距：3m，亮度均匀性≥97%，最大对比度≥3000:1；刷新率：3840Hz；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10、电气参数：峰值功耗500W/㎡，平均功耗170W/㎡，供电要求110-220VAC±15%；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11、工作温度范围-10—40℃，存储温度范围-20—60℃，工作湿度范围（RH）无结露10-60%，带包装存储湿度范围（RH）无结露10-70%；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12、功能特性：支持任意方向、任意尺寸、任意造型拼接，画面均匀一致，无黑线，实现真正无缝拼接；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13、维护方式：完全前维护，灯板电源和接收卡均在前面维护；</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24.3</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平米</w:t>
            </w:r>
          </w:p>
        </w:tc>
      </w:tr>
      <w:tr>
        <w:tblPrEx>
          <w:tblCellMar>
            <w:top w:w="0" w:type="dxa"/>
            <w:left w:w="108" w:type="dxa"/>
            <w:bottom w:w="0" w:type="dxa"/>
            <w:right w:w="108" w:type="dxa"/>
          </w:tblCellMar>
        </w:tblPrEx>
        <w:trPr>
          <w:trHeight w:val="138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LED发送卡</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1、LED全彩显示屏控制器，8个千兆网口输出，最高可支持任意连线带载520W分辨率；最大支持3840*1080@60hz信源接入，8网口实现点对点显示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2、3840 Hz 高刷新率，纳秒级响应时间，视频画面更细腻流畅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3、极限带载分辨率：极限宽度（320~4096），极限高度（270~4320）；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r>
      <w:tr>
        <w:tblPrEx>
          <w:tblCellMar>
            <w:top w:w="0" w:type="dxa"/>
            <w:left w:w="108" w:type="dxa"/>
            <w:bottom w:w="0" w:type="dxa"/>
            <w:right w:w="108" w:type="dxa"/>
          </w:tblCellMar>
        </w:tblPrEx>
        <w:trPr>
          <w:trHeight w:val="52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钢结构支架</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配套定制，冷轧板材质，落地安装，屏表面离后墙≤1450mm</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平米</w:t>
            </w:r>
          </w:p>
        </w:tc>
      </w:tr>
      <w:tr>
        <w:tblPrEx>
          <w:tblCellMar>
            <w:top w:w="0" w:type="dxa"/>
            <w:left w:w="108" w:type="dxa"/>
            <w:bottom w:w="0" w:type="dxa"/>
            <w:right w:w="108" w:type="dxa"/>
          </w:tblCellMar>
        </w:tblPrEx>
        <w:trPr>
          <w:trHeight w:val="32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配电柜</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类型：30KW配电柜；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控制： PLC控制器，网络远程控制；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元器件：断路器，接触器；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输入电压：380V；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输出电压：220V；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输出回路：9个单相回路；</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r>
      <w:tr>
        <w:tblPrEx>
          <w:tblCellMar>
            <w:top w:w="0" w:type="dxa"/>
            <w:left w:w="108" w:type="dxa"/>
            <w:bottom w:w="0" w:type="dxa"/>
            <w:right w:w="108" w:type="dxa"/>
          </w:tblCellMar>
        </w:tblPrEx>
        <w:trPr>
          <w:trHeight w:val="160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大屏控制器</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3U机箱+4路HDMI输入+8路HDMI输出+单主控板+单电源;整机支持解码H264/H265/Smart264/Smart265格式：4路3200W/2400W，或8 路1600W，或10路1200W，或16路800W，或20路600W，或32路400W，或64路1080P，128路720P/D1 及以下分辨率实时解码。（每4个输出口一组，共享解码能力），MJPEG格式，支持8路200W解码。</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r>
      <w:tr>
        <w:tblPrEx>
          <w:tblCellMar>
            <w:top w:w="0" w:type="dxa"/>
            <w:left w:w="108" w:type="dxa"/>
            <w:bottom w:w="0" w:type="dxa"/>
            <w:right w:w="108" w:type="dxa"/>
          </w:tblCellMar>
        </w:tblPrEx>
        <w:trPr>
          <w:trHeight w:val="48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机柜</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600*600*1200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r>
      <w:tr>
        <w:tblPrEx>
          <w:tblCellMar>
            <w:top w:w="0" w:type="dxa"/>
            <w:left w:w="108" w:type="dxa"/>
            <w:bottom w:w="0" w:type="dxa"/>
            <w:right w:w="108" w:type="dxa"/>
          </w:tblCellMar>
        </w:tblPrEx>
        <w:trPr>
          <w:trHeight w:val="37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6类网线</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CAT6</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米</w:t>
            </w:r>
          </w:p>
        </w:tc>
      </w:tr>
      <w:tr>
        <w:tblPrEx>
          <w:tblCellMar>
            <w:top w:w="0" w:type="dxa"/>
            <w:left w:w="108" w:type="dxa"/>
            <w:bottom w:w="0" w:type="dxa"/>
            <w:right w:w="108" w:type="dxa"/>
          </w:tblCellMar>
        </w:tblPrEx>
        <w:trPr>
          <w:trHeight w:val="54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高清线缆</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2米</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根</w:t>
            </w:r>
          </w:p>
        </w:tc>
      </w:tr>
      <w:tr>
        <w:tblPrEx>
          <w:tblCellMar>
            <w:top w:w="0" w:type="dxa"/>
            <w:left w:w="108" w:type="dxa"/>
            <w:bottom w:w="0" w:type="dxa"/>
            <w:right w:w="108" w:type="dxa"/>
          </w:tblCellMar>
        </w:tblPrEx>
        <w:trPr>
          <w:trHeight w:val="46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不锈钢包边</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r>
      <w:tr>
        <w:tblPrEx>
          <w:tblCellMar>
            <w:top w:w="0" w:type="dxa"/>
            <w:left w:w="108" w:type="dxa"/>
            <w:bottom w:w="0" w:type="dxa"/>
            <w:right w:w="108" w:type="dxa"/>
          </w:tblCellMar>
        </w:tblPrEx>
        <w:trPr>
          <w:trHeight w:val="402"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二、</w:t>
            </w:r>
          </w:p>
        </w:tc>
        <w:tc>
          <w:tcPr>
            <w:tcW w:w="46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数字督察中心</w:t>
            </w:r>
          </w:p>
        </w:tc>
      </w:tr>
      <w:tr>
        <w:tblPrEx>
          <w:tblCellMar>
            <w:top w:w="0" w:type="dxa"/>
            <w:left w:w="108" w:type="dxa"/>
            <w:bottom w:w="0" w:type="dxa"/>
            <w:right w:w="108" w:type="dxa"/>
          </w:tblCellMar>
        </w:tblPrEx>
        <w:trPr>
          <w:trHeight w:val="141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P1.5室内LED显示屏</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1、设备应为室内小间距LED全彩显示屏；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2、显示区域尺寸≥长4.200m×高2.025m；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3、整屏分辨率≥2688*1296；</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4、像素间距≤1.5625mm；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5、封装方式：SMD；品牌：国产铜线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6、箱体比例：16:9，全封闭压铸铝材质；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7、像素结构：1R1G1B三合一；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8、像素密度≥409600点/㎡；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9、白平衡亮度：显示屏亮度600 cd/m2，色温：3000K-10000K可调，水平、垂直视角160°，推荐视距：3m，亮度均匀性≥97%，最大对比度≥3000:1；刷新率：3840Hz；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10、电气参数：峰值功耗500W/㎡，平均功耗170W/㎡，供电要求110-220VAC±15%；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11、工作温度范围-10—40℃，存储温度范围-20—60℃，工作湿度范围（RH）无结露10-60%，带包装存储湿度范围（RH）无结露10-70%；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12、功能特性：支持任意方向、任意尺寸、任意造型拼接，画面均匀一致，无黑线，实现真正无缝拼接；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13、维护方式：完全前维护，灯板电源和接收卡均在前面维护；</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8.505</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平米</w:t>
            </w:r>
          </w:p>
        </w:tc>
      </w:tr>
      <w:tr>
        <w:tblPrEx>
          <w:tblCellMar>
            <w:top w:w="0" w:type="dxa"/>
            <w:left w:w="108" w:type="dxa"/>
            <w:bottom w:w="0" w:type="dxa"/>
            <w:right w:w="108" w:type="dxa"/>
          </w:tblCellMar>
        </w:tblPrEx>
        <w:trPr>
          <w:trHeight w:val="144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LED发送卡</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1、LED全彩显示屏控制器，8个千兆网口输出，最高可支持任意连线带载520W分辨率；最大支持3840*1080@60hz信源接入，8网口实现点对点显示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2、3840 Hz 高刷新率，纳秒级响应时间，视频画面更细腻流畅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3、极限带载分辨率：极限宽度（320~4096），极限高度（270~4320）；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r>
      <w:tr>
        <w:tblPrEx>
          <w:tblCellMar>
            <w:top w:w="0" w:type="dxa"/>
            <w:left w:w="108" w:type="dxa"/>
            <w:bottom w:w="0" w:type="dxa"/>
            <w:right w:w="108" w:type="dxa"/>
          </w:tblCellMar>
        </w:tblPrEx>
        <w:trPr>
          <w:trHeight w:val="52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钢结构支架</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配套定制，冷轧板材质，落地安装，屏表面离后墙≤1450mm</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平米</w:t>
            </w:r>
          </w:p>
        </w:tc>
      </w:tr>
      <w:tr>
        <w:tblPrEx>
          <w:tblCellMar>
            <w:top w:w="0" w:type="dxa"/>
            <w:left w:w="108" w:type="dxa"/>
            <w:bottom w:w="0" w:type="dxa"/>
            <w:right w:w="108" w:type="dxa"/>
          </w:tblCellMar>
        </w:tblPrEx>
        <w:trPr>
          <w:trHeight w:val="160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配电柜</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类型：20KW配电柜；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控制： PLC控制器，网络远程控制；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元器件：断路器，接触器；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输入电压：380V；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输出电压：220V；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输出回路：6个单相回路；</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r>
      <w:tr>
        <w:tblPrEx>
          <w:tblCellMar>
            <w:top w:w="0" w:type="dxa"/>
            <w:left w:w="108" w:type="dxa"/>
            <w:bottom w:w="0" w:type="dxa"/>
            <w:right w:w="108" w:type="dxa"/>
          </w:tblCellMar>
        </w:tblPrEx>
        <w:trPr>
          <w:trHeight w:val="145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大屏控制器</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3U机箱+4路HDMI输入+8路HDMI输出+单主控板+单电源;整机支持解码H264/H265/Smart264/Smart265格式：4路3200W/2400W，或8 路1600W，或10路1200W，或16路800W，或20路600W，或32路400W，或64路1080P，128路720P/D1 及以下分辨率实时解码。（每4个输出口一组，共享解码能力），MJPEG格式，支持8路200W解码。</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r>
      <w:tr>
        <w:tblPrEx>
          <w:tblCellMar>
            <w:top w:w="0" w:type="dxa"/>
            <w:left w:w="108" w:type="dxa"/>
            <w:bottom w:w="0" w:type="dxa"/>
            <w:right w:w="108" w:type="dxa"/>
          </w:tblCellMar>
        </w:tblPrEx>
        <w:trPr>
          <w:trHeight w:val="48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机柜</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600*600*1200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r>
      <w:tr>
        <w:tblPrEx>
          <w:tblCellMar>
            <w:top w:w="0" w:type="dxa"/>
            <w:left w:w="108" w:type="dxa"/>
            <w:bottom w:w="0" w:type="dxa"/>
            <w:right w:w="108" w:type="dxa"/>
          </w:tblCellMar>
        </w:tblPrEx>
        <w:trPr>
          <w:trHeight w:val="37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6类网线</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CAT6</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150</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米</w:t>
            </w:r>
          </w:p>
        </w:tc>
      </w:tr>
      <w:tr>
        <w:tblPrEx>
          <w:tblCellMar>
            <w:top w:w="0" w:type="dxa"/>
            <w:left w:w="108" w:type="dxa"/>
            <w:bottom w:w="0" w:type="dxa"/>
            <w:right w:w="108" w:type="dxa"/>
          </w:tblCellMar>
        </w:tblPrEx>
        <w:trPr>
          <w:trHeight w:val="54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高清线缆</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2米</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根</w:t>
            </w:r>
          </w:p>
        </w:tc>
      </w:tr>
      <w:tr>
        <w:tblPrEx>
          <w:tblCellMar>
            <w:top w:w="0" w:type="dxa"/>
            <w:left w:w="108" w:type="dxa"/>
            <w:bottom w:w="0" w:type="dxa"/>
            <w:right w:w="108" w:type="dxa"/>
          </w:tblCellMar>
        </w:tblPrEx>
        <w:trPr>
          <w:trHeight w:val="46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不锈钢包边</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r>
      <w:tr>
        <w:tblPrEx>
          <w:tblCellMar>
            <w:top w:w="0" w:type="dxa"/>
            <w:left w:w="108" w:type="dxa"/>
            <w:bottom w:w="0" w:type="dxa"/>
            <w:right w:w="108" w:type="dxa"/>
          </w:tblCellMar>
        </w:tblPrEx>
        <w:trPr>
          <w:trHeight w:val="88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智能大屏管理平台 </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集成了大屏显控、信息发布、语音等能力，提供基于大屏的智能渲染和显控、数据可视化、信息发布管理，配合语音分析服务器可实现大屏智能语音调度。</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r>
      <w:tr>
        <w:tblPrEx>
          <w:tblCellMar>
            <w:top w:w="0" w:type="dxa"/>
            <w:left w:w="108" w:type="dxa"/>
            <w:bottom w:w="0" w:type="dxa"/>
            <w:right w:w="108" w:type="dxa"/>
          </w:tblCellMar>
        </w:tblPrEx>
        <w:trPr>
          <w:trHeight w:val="402"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二、</w:t>
            </w:r>
          </w:p>
        </w:tc>
        <w:tc>
          <w:tcPr>
            <w:tcW w:w="46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原基础管控中心LCD屏体拆移重新安装</w:t>
            </w:r>
          </w:p>
        </w:tc>
      </w:tr>
      <w:tr>
        <w:tblPrEx>
          <w:tblCellMar>
            <w:top w:w="0" w:type="dxa"/>
            <w:left w:w="108" w:type="dxa"/>
            <w:bottom w:w="0" w:type="dxa"/>
            <w:right w:w="108" w:type="dxa"/>
          </w:tblCellMar>
        </w:tblPrEx>
        <w:trPr>
          <w:trHeight w:val="108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原55寸LCD拼接屏拆装服务</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原海康威视55寸液晶拼接LCD</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包含拆除、搬运大屏安装支架及拼接屏通电点亮，原厂认证工程师安装人员含搬运。</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r>
      <w:tr>
        <w:tblPrEx>
          <w:tblCellMar>
            <w:top w:w="0" w:type="dxa"/>
            <w:left w:w="108" w:type="dxa"/>
            <w:bottom w:w="0" w:type="dxa"/>
            <w:right w:w="108" w:type="dxa"/>
          </w:tblCellMar>
        </w:tblPrEx>
        <w:trPr>
          <w:trHeight w:val="615"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重新钢结构支架</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配套定制，冷轧板材质，落地安装，屏表面离后墙≤1450mm</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平米</w:t>
            </w:r>
          </w:p>
        </w:tc>
      </w:tr>
      <w:tr>
        <w:tblPrEx>
          <w:tblCellMar>
            <w:top w:w="0" w:type="dxa"/>
            <w:left w:w="108" w:type="dxa"/>
            <w:bottom w:w="0" w:type="dxa"/>
            <w:right w:w="108" w:type="dxa"/>
          </w:tblCellMar>
        </w:tblPrEx>
        <w:trPr>
          <w:trHeight w:val="57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9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不锈钢包边</w:t>
            </w:r>
          </w:p>
        </w:tc>
        <w:tc>
          <w:tcPr>
            <w:tcW w:w="28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新地点支架重新定制，冷轧板材质，落地安装，屏表面离后墙≤1450mm，</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r>
    </w:tbl>
    <w:p>
      <w:pPr>
        <w:rPr>
          <w:rFonts w:ascii="宋体" w:hAnsi="宋体"/>
          <w:bCs/>
          <w:sz w:val="24"/>
          <w:szCs w:val="24"/>
        </w:rPr>
      </w:pPr>
    </w:p>
    <w:p>
      <w:pPr>
        <w:spacing w:before="156" w:beforeLines="50" w:line="360" w:lineRule="auto"/>
        <w:rPr>
          <w:rFonts w:ascii="黑体" w:hAnsi="宋体" w:eastAsia="黑体"/>
          <w:bCs/>
          <w:sz w:val="24"/>
          <w:szCs w:val="24"/>
        </w:rPr>
      </w:pPr>
      <w:r>
        <w:rPr>
          <w:rFonts w:hint="eastAsia" w:ascii="黑体" w:hAnsi="宋体" w:eastAsia="黑体"/>
          <w:bCs/>
          <w:sz w:val="24"/>
          <w:szCs w:val="24"/>
        </w:rPr>
        <w:t>（二）有关说明：</w:t>
      </w:r>
    </w:p>
    <w:p>
      <w:pPr>
        <w:numPr>
          <w:ilvl w:val="1"/>
          <w:numId w:val="17"/>
        </w:numPr>
        <w:tabs>
          <w:tab w:val="left" w:pos="525"/>
          <w:tab w:val="left" w:pos="945"/>
          <w:tab w:val="clear" w:pos="780"/>
        </w:tabs>
        <w:spacing w:line="360" w:lineRule="auto"/>
        <w:ind w:left="0" w:firstLine="525"/>
        <w:rPr>
          <w:rFonts w:ascii="宋体"/>
          <w:bCs/>
          <w:color w:val="FF0000"/>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bCs/>
          <w:sz w:val="24"/>
          <w:szCs w:val="24"/>
        </w:rPr>
        <w:t>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hAnsi="宋体"/>
          <w:bCs/>
          <w:sz w:val="24"/>
          <w:szCs w:val="24"/>
        </w:rPr>
        <w:t>通过中国海关报关验放进入中国境内且产自关境外的产品不在本项目的报价范围。</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bCs/>
          <w:sz w:val="24"/>
          <w:szCs w:val="24"/>
        </w:rPr>
        <w:t>本项目中如有被列入《网络关键设备和网络安全专用产品目录》的网络安全专用产品的，应当按照《信息安全技术 网络安全专用产品安全技术要求》等相关国家标准的强制性要求，由具备资格的机构（指列入《承担网络关键设备和网络安全专用产品安全认证和安全检测任务机构名录》的机构）安全认证合格或者安全检测符合要求后，方可销售或者提供。</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hAnsi="宋体" w:cs="宋体"/>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17"/>
        </w:numPr>
        <w:tabs>
          <w:tab w:val="left" w:pos="525"/>
          <w:tab w:val="left" w:pos="945"/>
          <w:tab w:val="clear" w:pos="780"/>
        </w:tabs>
        <w:spacing w:line="360" w:lineRule="auto"/>
        <w:ind w:left="0" w:firstLine="525"/>
        <w:rPr>
          <w:rFonts w:hint="eastAsia" w:ascii="宋体" w:hAnsi="宋体"/>
          <w:bCs/>
          <w:sz w:val="24"/>
          <w:szCs w:val="24"/>
        </w:rPr>
      </w:pPr>
      <w:r>
        <w:rPr>
          <w:rFonts w:hint="eastAsia" w:ascii="宋体" w:hAnsi="宋体"/>
          <w:bCs/>
          <w:sz w:val="24"/>
          <w:szCs w:val="24"/>
        </w:rPr>
        <w:t>完工期：自合同签订生效之日起30日历天内完成供货。</w:t>
      </w:r>
    </w:p>
    <w:p>
      <w:pPr>
        <w:numPr>
          <w:ilvl w:val="1"/>
          <w:numId w:val="17"/>
        </w:numPr>
        <w:tabs>
          <w:tab w:val="left" w:pos="525"/>
          <w:tab w:val="left" w:pos="945"/>
          <w:tab w:val="clear" w:pos="780"/>
        </w:tabs>
        <w:spacing w:line="360" w:lineRule="auto"/>
        <w:ind w:left="0" w:firstLine="525"/>
        <w:rPr>
          <w:rFonts w:hint="eastAsia" w:ascii="宋体" w:hAnsi="宋体"/>
          <w:bCs/>
          <w:sz w:val="24"/>
          <w:szCs w:val="24"/>
        </w:rPr>
      </w:pPr>
      <w:r>
        <w:rPr>
          <w:rFonts w:hint="eastAsia" w:ascii="宋体" w:hAnsi="宋体"/>
          <w:bCs/>
          <w:sz w:val="24"/>
          <w:szCs w:val="24"/>
        </w:rPr>
        <w:t>项目整体质保期：自项目验收合格之日起三年。</w:t>
      </w:r>
    </w:p>
    <w:p>
      <w:pPr>
        <w:numPr>
          <w:ilvl w:val="1"/>
          <w:numId w:val="17"/>
        </w:numPr>
        <w:tabs>
          <w:tab w:val="left" w:pos="525"/>
          <w:tab w:val="left" w:pos="945"/>
          <w:tab w:val="clear" w:pos="780"/>
        </w:tabs>
        <w:spacing w:line="360" w:lineRule="auto"/>
        <w:ind w:left="0" w:firstLine="525"/>
        <w:rPr>
          <w:rFonts w:hint="eastAsia" w:ascii="宋体" w:hAnsi="宋体"/>
          <w:bCs/>
          <w:sz w:val="24"/>
          <w:szCs w:val="24"/>
        </w:rPr>
      </w:pPr>
      <w:r>
        <w:rPr>
          <w:rFonts w:hint="eastAsia" w:ascii="宋体" w:hAnsi="宋体"/>
          <w:bCs/>
          <w:sz w:val="24"/>
          <w:szCs w:val="24"/>
        </w:rPr>
        <w:t>付款方式：货物安装调试完成，并经采购人验收合格后支付合同价的90%；货物验收合格壹年后结清剩余款项。</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hAnsi="宋体"/>
          <w:bCs/>
          <w:sz w:val="24"/>
          <w:szCs w:val="24"/>
        </w:rPr>
        <w:t>本项目合同履行地点：无锡市公安局新吴分局。具体地点以合同书约定为准。中标方必须按采购人要求将本项目中货物送到指定地点</w:t>
      </w:r>
      <w:r>
        <w:rPr>
          <w:rFonts w:ascii="宋体" w:hAnsi="宋体"/>
          <w:bCs/>
          <w:sz w:val="24"/>
          <w:szCs w:val="24"/>
        </w:rPr>
        <w:t>(</w:t>
      </w:r>
      <w:r>
        <w:rPr>
          <w:rFonts w:hint="eastAsia" w:ascii="宋体" w:hAnsi="宋体"/>
          <w:bCs/>
          <w:sz w:val="24"/>
          <w:szCs w:val="24"/>
        </w:rPr>
        <w:t>包括可能的分布范围</w:t>
      </w:r>
      <w:r>
        <w:rPr>
          <w:rFonts w:ascii="宋体" w:hAnsi="宋体"/>
          <w:bCs/>
          <w:sz w:val="24"/>
          <w:szCs w:val="24"/>
        </w:rPr>
        <w:t>)</w:t>
      </w:r>
      <w:r>
        <w:rPr>
          <w:rFonts w:hint="eastAsia" w:ascii="宋体" w:hAnsi="宋体"/>
          <w:bCs/>
          <w:sz w:val="24"/>
          <w:szCs w:val="24"/>
        </w:rPr>
        <w:t>，并分地实施安装调试。</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政府向社会公众提供的公共服务项目，验收时应当邀请服务对象参与并出具意见，验收结果应当向社会公告。</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中标、成交供应商可根据自身情况，自行决定是否选择采用合同融资形式，在无锡政府采购网——政采贷专栏提供的银行名录内自主选择合作银行。</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bCs/>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bCs/>
          <w:sz w:val="24"/>
          <w:szCs w:val="24"/>
        </w:rPr>
        <w:t>依据《政府采购促进中小企业发展管理办法》规定享受扶持政策获得政府采购合同的，小微企业不得将合同分包给大中型企业，中型企业不得将合同分包给大型企业。</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hAnsi="宋体" w:eastAsia="黑体"/>
          <w:b/>
          <w:sz w:val="28"/>
          <w:szCs w:val="28"/>
        </w:rPr>
      </w:pPr>
      <w:bookmarkStart w:id="1" w:name="五．合同条款"/>
      <w:bookmarkEnd w:id="1"/>
      <w:r>
        <w:rPr>
          <w:rFonts w:ascii="黑体" w:eastAsia="黑体"/>
          <w:bCs/>
          <w:sz w:val="28"/>
          <w:szCs w:val="28"/>
        </w:rPr>
        <w:br w:type="page"/>
      </w:r>
      <w:r>
        <w:rPr>
          <w:rFonts w:hint="eastAsia" w:ascii="黑体" w:eastAsia="黑体"/>
          <w:bCs/>
          <w:sz w:val="28"/>
          <w:szCs w:val="28"/>
        </w:rPr>
        <w:t>四．合同书（格式文本）</w:t>
      </w:r>
    </w:p>
    <w:p>
      <w:pPr>
        <w:snapToGrid w:val="0"/>
        <w:spacing w:line="288" w:lineRule="auto"/>
        <w:jc w:val="center"/>
        <w:rPr>
          <w:rFonts w:ascii="黑体" w:hAnsi="宋体" w:eastAsia="黑体"/>
          <w:sz w:val="28"/>
          <w:szCs w:val="28"/>
        </w:rPr>
      </w:pPr>
      <w:r>
        <w:rPr>
          <w:rFonts w:hint="eastAsia" w:ascii="黑体" w:hAnsi="宋体" w:eastAsia="黑体"/>
          <w:sz w:val="28"/>
          <w:szCs w:val="28"/>
        </w:rPr>
        <w:t>合同书(货物）格式条款</w:t>
      </w:r>
    </w:p>
    <w:p>
      <w:pPr>
        <w:snapToGrid w:val="0"/>
        <w:spacing w:line="288" w:lineRule="auto"/>
        <w:ind w:firstLine="480" w:firstLineChars="200"/>
        <w:jc w:val="left"/>
        <w:rPr>
          <w:rFonts w:ascii="黑体" w:hAnsi="宋体" w:eastAsia="黑体"/>
          <w:sz w:val="28"/>
          <w:szCs w:val="28"/>
        </w:rPr>
      </w:pPr>
      <w:r>
        <w:rPr>
          <w:rFonts w:hint="eastAsia" w:ascii="宋体" w:hAnsi="宋体"/>
          <w:sz w:val="24"/>
          <w:szCs w:val="24"/>
        </w:rPr>
        <w:t>根据《中华人民共和国政府采购法》及相关法规、《中华人民共和国民法典》，遵循平等、自愿、公平和诚实信用的原则，供需双方就项目（项目编号：</w:t>
      </w:r>
      <w:r>
        <w:rPr>
          <w:rFonts w:hint="eastAsia" w:ascii="宋体" w:hAnsi="宋体"/>
          <w:sz w:val="24"/>
          <w:szCs w:val="24"/>
          <w:u w:val="single"/>
        </w:rPr>
        <w:t xml:space="preserve">          </w:t>
      </w:r>
      <w:r>
        <w:rPr>
          <w:rFonts w:hint="eastAsia" w:ascii="宋体" w:hAnsi="宋体"/>
          <w:sz w:val="24"/>
          <w:szCs w:val="24"/>
        </w:rPr>
        <w:t xml:space="preserve"> ）采购及有关事项协商一致，共同达成如下协议：</w:t>
      </w:r>
    </w:p>
    <w:p>
      <w:pPr>
        <w:snapToGrid w:val="0"/>
        <w:spacing w:line="288" w:lineRule="auto"/>
        <w:ind w:firstLine="480" w:firstLineChars="200"/>
        <w:rPr>
          <w:rFonts w:ascii="宋体"/>
          <w:bCs/>
          <w:sz w:val="24"/>
          <w:szCs w:val="24"/>
          <w:u w:val="single"/>
        </w:rPr>
      </w:pPr>
      <w:r>
        <w:rPr>
          <w:rFonts w:hint="eastAsia" w:ascii="宋体" w:hAnsi="宋体"/>
          <w:bCs/>
          <w:sz w:val="24"/>
          <w:szCs w:val="24"/>
        </w:rPr>
        <w:t>需方（采购人）：</w:t>
      </w:r>
    </w:p>
    <w:p>
      <w:pPr>
        <w:snapToGrid w:val="0"/>
        <w:spacing w:line="288" w:lineRule="auto"/>
        <w:ind w:firstLine="480" w:firstLineChars="200"/>
        <w:rPr>
          <w:rFonts w:ascii="宋体"/>
          <w:bCs/>
          <w:sz w:val="24"/>
          <w:szCs w:val="24"/>
          <w:u w:val="single"/>
        </w:rPr>
      </w:pPr>
      <w:r>
        <w:rPr>
          <w:rFonts w:hint="eastAsia" w:ascii="宋体" w:hAnsi="宋体"/>
          <w:bCs/>
          <w:sz w:val="24"/>
          <w:szCs w:val="24"/>
        </w:rPr>
        <w:t>供方（中标方）：</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一、采购项目编号：</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二、采购项目名称：</w:t>
      </w:r>
    </w:p>
    <w:p>
      <w:pPr>
        <w:tabs>
          <w:tab w:val="left" w:pos="210"/>
          <w:tab w:val="left" w:pos="840"/>
          <w:tab w:val="left" w:pos="1260"/>
        </w:tabs>
        <w:snapToGrid w:val="0"/>
        <w:spacing w:line="288" w:lineRule="auto"/>
        <w:ind w:left="420" w:leftChars="200"/>
        <w:rPr>
          <w:rFonts w:ascii="宋体"/>
          <w:bCs/>
          <w:sz w:val="24"/>
          <w:szCs w:val="24"/>
        </w:rPr>
      </w:pPr>
      <w:r>
        <w:rPr>
          <w:rFonts w:hint="eastAsia" w:ascii="宋体" w:hAnsi="宋体"/>
          <w:bCs/>
          <w:sz w:val="24"/>
          <w:szCs w:val="24"/>
        </w:rPr>
        <w:t>三、中标（成交）金额：</w:t>
      </w:r>
      <w:r>
        <w:rPr>
          <w:rFonts w:hint="eastAsia" w:ascii="宋体" w:hAnsi="宋体"/>
          <w:bCs/>
          <w:sz w:val="24"/>
          <w:szCs w:val="24"/>
          <w:u w:val="single"/>
        </w:rPr>
        <w:t xml:space="preserve">                       </w:t>
      </w:r>
      <w:r>
        <w:rPr>
          <w:rFonts w:hint="eastAsia" w:ascii="宋体" w:hAnsi="宋体"/>
          <w:bCs/>
          <w:sz w:val="24"/>
          <w:szCs w:val="24"/>
        </w:rPr>
        <w:t>（大写）；</w:t>
      </w:r>
      <w:r>
        <w:rPr>
          <w:rFonts w:hint="eastAsia" w:ascii="宋体" w:hAnsi="宋体"/>
          <w:bCs/>
          <w:sz w:val="24"/>
          <w:szCs w:val="24"/>
          <w:u w:val="single"/>
        </w:rPr>
        <w:t xml:space="preserve">                  </w:t>
      </w:r>
      <w:r>
        <w:rPr>
          <w:rFonts w:hint="eastAsia" w:ascii="宋体" w:hAnsi="宋体"/>
          <w:bCs/>
          <w:sz w:val="24"/>
          <w:szCs w:val="24"/>
        </w:rPr>
        <w:t>（小写）；</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四、交货期或完工期：</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五、项目整体质保期：</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六、交货地点和方式：</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七、货款支付步骤和办法：</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八、合同书不可分割部分：</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招标（采购）文件、投标（报价）文件、合同条款及中标</w:t>
      </w:r>
      <w:r>
        <w:rPr>
          <w:rFonts w:hint="eastAsia" w:ascii="宋体" w:hAnsi="宋体"/>
          <w:sz w:val="24"/>
          <w:szCs w:val="24"/>
        </w:rPr>
        <w:t>（成交）</w:t>
      </w:r>
      <w:r>
        <w:rPr>
          <w:rFonts w:hint="eastAsia" w:ascii="宋体" w:hAnsi="宋体"/>
          <w:bCs/>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sz w:val="24"/>
          <w:szCs w:val="24"/>
        </w:rPr>
      </w:pPr>
      <w:r>
        <w:rPr>
          <w:rFonts w:hint="eastAsia" w:ascii="宋体" w:hAnsi="宋体"/>
          <w:sz w:val="24"/>
          <w:szCs w:val="24"/>
        </w:rPr>
        <w:t>九、合同书组成：</w:t>
      </w:r>
    </w:p>
    <w:p>
      <w:pPr>
        <w:tabs>
          <w:tab w:val="left" w:pos="210"/>
          <w:tab w:val="left" w:pos="735"/>
          <w:tab w:val="left" w:pos="1155"/>
        </w:tabs>
        <w:snapToGrid w:val="0"/>
        <w:spacing w:line="288" w:lineRule="auto"/>
        <w:ind w:firstLine="480" w:firstLineChars="200"/>
        <w:rPr>
          <w:rFonts w:ascii="宋体" w:hAnsi="宋体"/>
          <w:bCs/>
          <w:sz w:val="24"/>
          <w:szCs w:val="24"/>
        </w:rPr>
      </w:pPr>
      <w:r>
        <w:rPr>
          <w:rFonts w:hint="eastAsia" w:ascii="宋体" w:hAnsi="宋体"/>
          <w:sz w:val="24"/>
          <w:szCs w:val="24"/>
        </w:rPr>
        <w:t>合同书由格式条款</w:t>
      </w:r>
      <w:r>
        <w:rPr>
          <w:rFonts w:hint="eastAsia" w:ascii="宋体" w:hAnsi="宋体"/>
          <w:bCs/>
          <w:sz w:val="24"/>
          <w:szCs w:val="24"/>
        </w:rPr>
        <w:t>和合同条款二部分组成。合同条款应当包含法定必备条款和采购需求的所有内容，并应与“合同书不可分割部分”的内容一致，包括但不限于</w:t>
      </w:r>
      <w:r>
        <w:rPr>
          <w:rFonts w:hint="eastAsia" w:ascii="宋体" w:hAnsi="宋体"/>
          <w:sz w:val="24"/>
          <w:szCs w:val="24"/>
        </w:rPr>
        <w:t>合同类型,</w:t>
      </w:r>
      <w:r>
        <w:rPr>
          <w:rFonts w:hint="eastAsia" w:ascii="宋体" w:hAnsi="宋体"/>
          <w:bCs/>
          <w:sz w:val="24"/>
          <w:szCs w:val="24"/>
        </w:rPr>
        <w:t>标的名称、采购标的质量、数量，履行时间、地点和方式，包装方式，履约保证金要求，价款或报酬、付款进度安排、</w:t>
      </w:r>
      <w:r>
        <w:rPr>
          <w:rFonts w:ascii="宋体" w:hAnsi="宋体" w:cs="宋体"/>
          <w:sz w:val="24"/>
          <w:szCs w:val="24"/>
        </w:rPr>
        <w:t>与履约验收挂钩的资金支付条件及时间</w:t>
      </w:r>
      <w:r>
        <w:rPr>
          <w:rFonts w:hint="eastAsia" w:ascii="宋体" w:hAnsi="宋体"/>
          <w:bCs/>
          <w:sz w:val="24"/>
          <w:szCs w:val="24"/>
        </w:rPr>
        <w:t>，验收、交付标准和方法，质量保修范围和保修期，违约责任与解决争议的方法，供需双方权利与义务，合同分包要求等。</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一、供需双方如有其它要求，可参照招标（采购）文件、投标（报价）文件（采购人不得向供应商提出超出招标文件以外的任何要求作为签订合同的条件，不得与中标供应商订立背离招标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十二、根据《政府采购法》第四十九、五十条规定，供需双方不得擅自变更、中止或终止合同。</w:t>
      </w:r>
    </w:p>
    <w:p>
      <w:pPr>
        <w:snapToGrid w:val="0"/>
        <w:spacing w:line="288" w:lineRule="auto"/>
        <w:jc w:val="right"/>
        <w:rPr>
          <w:rFonts w:ascii="宋体" w:hAnsi="宋体"/>
          <w:bCs/>
          <w:sz w:val="24"/>
          <w:szCs w:val="24"/>
        </w:rPr>
      </w:pPr>
      <w:r>
        <w:rPr>
          <w:rFonts w:hint="eastAsia" w:ascii="宋体" w:hAnsi="宋体"/>
          <w:bCs/>
          <w:sz w:val="24"/>
          <w:szCs w:val="24"/>
        </w:rPr>
        <w:t>见证方：无锡市公共资源交易中心新吴分中心（签章）</w:t>
      </w:r>
    </w:p>
    <w:p>
      <w:pPr>
        <w:wordWrap w:val="0"/>
        <w:snapToGrid w:val="0"/>
        <w:spacing w:line="288" w:lineRule="auto"/>
        <w:jc w:val="right"/>
        <w:rPr>
          <w:rFonts w:ascii="宋体" w:hAnsi="宋体"/>
          <w:bCs/>
          <w:sz w:val="24"/>
          <w:szCs w:val="24"/>
        </w:rPr>
      </w:pPr>
      <w:r>
        <w:rPr>
          <w:rFonts w:hint="eastAsia" w:ascii="宋体" w:hAnsi="宋体"/>
          <w:bCs/>
          <w:sz w:val="24"/>
          <w:szCs w:val="24"/>
        </w:rPr>
        <w:t xml:space="preserve">见证人：                          </w:t>
      </w:r>
    </w:p>
    <w:p>
      <w:pPr>
        <w:snapToGrid w:val="0"/>
        <w:spacing w:line="288" w:lineRule="auto"/>
        <w:jc w:val="right"/>
        <w:rPr>
          <w:rFonts w:ascii="宋体" w:hAnsi="宋体"/>
          <w:bCs/>
          <w:sz w:val="24"/>
          <w:szCs w:val="24"/>
        </w:rPr>
      </w:pPr>
      <w:r>
        <w:rPr>
          <w:rFonts w:hint="eastAsia" w:ascii="宋体" w:hAnsi="宋体"/>
          <w:bCs/>
          <w:sz w:val="24"/>
          <w:szCs w:val="24"/>
        </w:rPr>
        <w:t xml:space="preserve">     年   月   日</w:t>
      </w:r>
    </w:p>
    <w:p>
      <w:pPr>
        <w:spacing w:line="440" w:lineRule="exact"/>
        <w:rPr>
          <w:rFonts w:ascii="宋体" w:hAnsi="宋体"/>
          <w:bCs/>
          <w:sz w:val="24"/>
          <w:szCs w:val="24"/>
        </w:rPr>
      </w:pPr>
    </w:p>
    <w:p>
      <w:pPr>
        <w:spacing w:line="360" w:lineRule="auto"/>
        <w:jc w:val="center"/>
        <w:rPr>
          <w:rFonts w:ascii="黑体" w:eastAsia="黑体"/>
          <w:bCs/>
          <w:sz w:val="28"/>
          <w:szCs w:val="28"/>
        </w:rPr>
      </w:pPr>
      <w:r>
        <w:rPr>
          <w:rFonts w:hint="eastAsia" w:ascii="黑体" w:eastAsia="黑体"/>
          <w:bCs/>
          <w:sz w:val="28"/>
          <w:szCs w:val="28"/>
        </w:rPr>
        <w:t>五．合同条款</w:t>
      </w:r>
    </w:p>
    <w:p>
      <w:pPr>
        <w:snapToGrid w:val="0"/>
        <w:spacing w:line="336" w:lineRule="auto"/>
        <w:ind w:firstLine="480" w:firstLineChars="200"/>
        <w:jc w:val="center"/>
        <w:rPr>
          <w:rFonts w:ascii="宋体" w:hAnsi="宋体"/>
          <w:bCs/>
          <w:sz w:val="24"/>
          <w:szCs w:val="24"/>
        </w:rPr>
      </w:pPr>
      <w:r>
        <w:rPr>
          <w:rFonts w:hint="eastAsia" w:ascii="宋体" w:hAnsi="宋体"/>
          <w:bCs/>
          <w:sz w:val="24"/>
          <w:szCs w:val="24"/>
        </w:rPr>
        <w:t>（根据相关法律规定以及招标文件确定事项订立）</w:t>
      </w:r>
    </w:p>
    <w:p>
      <w:pPr>
        <w:snapToGrid w:val="0"/>
        <w:spacing w:line="336" w:lineRule="auto"/>
        <w:ind w:firstLine="525"/>
        <w:rPr>
          <w:rFonts w:ascii="宋体"/>
          <w:bCs/>
          <w:sz w:val="24"/>
          <w:szCs w:val="24"/>
        </w:rPr>
      </w:pPr>
      <w:r>
        <w:rPr>
          <w:rFonts w:hint="eastAsia" w:ascii="宋体" w:hAnsi="宋体"/>
          <w:bCs/>
          <w:sz w:val="24"/>
          <w:szCs w:val="24"/>
        </w:rPr>
        <w:t>（一）合同内容：需方向供方购买。</w:t>
      </w:r>
    </w:p>
    <w:p>
      <w:pPr>
        <w:snapToGrid w:val="0"/>
        <w:spacing w:line="336" w:lineRule="auto"/>
        <w:ind w:firstLine="525"/>
        <w:rPr>
          <w:rFonts w:ascii="宋体"/>
          <w:bCs/>
          <w:sz w:val="24"/>
          <w:szCs w:val="24"/>
        </w:rPr>
      </w:pPr>
      <w:r>
        <w:rPr>
          <w:rFonts w:hint="eastAsia" w:ascii="宋体" w:hAnsi="宋体"/>
          <w:bCs/>
          <w:sz w:val="24"/>
          <w:szCs w:val="24"/>
        </w:rPr>
        <w:t>（二）价格及支付：</w:t>
      </w:r>
    </w:p>
    <w:p>
      <w:pPr>
        <w:tabs>
          <w:tab w:val="left" w:pos="525"/>
          <w:tab w:val="left" w:pos="1050"/>
          <w:tab w:val="left" w:pos="1155"/>
        </w:tabs>
        <w:snapToGrid w:val="0"/>
        <w:spacing w:line="336" w:lineRule="auto"/>
        <w:ind w:firstLine="523" w:firstLineChars="218"/>
        <w:rPr>
          <w:rFonts w:ascii="宋体"/>
          <w:bCs/>
          <w:sz w:val="24"/>
          <w:szCs w:val="24"/>
        </w:rPr>
      </w:pPr>
      <w:r>
        <w:rPr>
          <w:rFonts w:ascii="宋体" w:hAnsi="宋体"/>
          <w:bCs/>
          <w:sz w:val="24"/>
          <w:szCs w:val="24"/>
        </w:rPr>
        <w:t xml:space="preserve">1. </w:t>
      </w:r>
      <w:r>
        <w:rPr>
          <w:rFonts w:hint="eastAsia" w:ascii="宋体" w:hAnsi="宋体"/>
          <w:bCs/>
          <w:sz w:val="24"/>
          <w:szCs w:val="24"/>
        </w:rPr>
        <w:t>按此次中标价格执行，合同总标的额为</w:t>
      </w:r>
      <w:r>
        <w:rPr>
          <w:rFonts w:hint="eastAsia" w:ascii="宋体" w:hAnsi="宋体"/>
          <w:bCs/>
          <w:sz w:val="24"/>
          <w:szCs w:val="24"/>
          <w:u w:val="single"/>
        </w:rPr>
        <w:t xml:space="preserve">        </w:t>
      </w:r>
      <w:r>
        <w:rPr>
          <w:rFonts w:hint="eastAsia" w:ascii="宋体" w:hAnsi="宋体"/>
          <w:bCs/>
          <w:sz w:val="24"/>
          <w:szCs w:val="24"/>
        </w:rPr>
        <w:t>元。</w:t>
      </w:r>
    </w:p>
    <w:p>
      <w:pPr>
        <w:numPr>
          <w:ilvl w:val="1"/>
          <w:numId w:val="15"/>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付款方式：</w:t>
      </w:r>
    </w:p>
    <w:p>
      <w:pPr>
        <w:numPr>
          <w:ilvl w:val="1"/>
          <w:numId w:val="15"/>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履约保证金的缴纳和退付：</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本项目是</w:t>
      </w:r>
      <w:r>
        <w:rPr>
          <w:rFonts w:ascii="宋体" w:hAnsi="宋体"/>
          <w:bCs/>
          <w:sz w:val="24"/>
          <w:szCs w:val="24"/>
        </w:rPr>
        <w:t>/否向采购人缴纳履约保证金：</w:t>
      </w:r>
      <w:r>
        <w:rPr>
          <w:rFonts w:hint="eastAsia" w:ascii="宋体" w:hAnsi="宋体"/>
          <w:bCs/>
          <w:sz w:val="24"/>
          <w:szCs w:val="24"/>
          <w:u w:val="single"/>
        </w:rPr>
        <w:t xml:space="preserve">           </w:t>
      </w:r>
      <w:r>
        <w:rPr>
          <w:rFonts w:ascii="宋体" w:hAnsi="宋体"/>
          <w:bCs/>
          <w:sz w:val="24"/>
          <w:szCs w:val="24"/>
        </w:rPr>
        <w:t xml:space="preserve"> </w:t>
      </w:r>
      <w:r>
        <w:rPr>
          <w:rFonts w:hint="eastAsia" w:ascii="宋体" w:hAnsi="宋体"/>
          <w:bCs/>
          <w:sz w:val="24"/>
          <w:szCs w:val="24"/>
        </w:rPr>
        <w:t>。</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履约保证金缴纳金额：</w:t>
      </w:r>
      <w:r>
        <w:rPr>
          <w:rFonts w:hint="eastAsia" w:ascii="宋体" w:hAnsi="宋体"/>
          <w:bCs/>
          <w:sz w:val="24"/>
          <w:szCs w:val="24"/>
          <w:u w:val="single"/>
        </w:rPr>
        <w:t xml:space="preserve">                         </w:t>
      </w:r>
      <w:r>
        <w:rPr>
          <w:rFonts w:hint="eastAsia" w:ascii="宋体" w:hAnsi="宋体"/>
          <w:bCs/>
          <w:sz w:val="24"/>
          <w:szCs w:val="24"/>
        </w:rPr>
        <w:t>元。</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履约保证金的缴纳时间：</w:t>
      </w:r>
      <w:r>
        <w:rPr>
          <w:rFonts w:hint="eastAsia" w:ascii="宋体" w:hAnsi="宋体"/>
          <w:bCs/>
          <w:sz w:val="24"/>
          <w:szCs w:val="24"/>
          <w:u w:val="single"/>
        </w:rPr>
        <w:t xml:space="preserve">       </w:t>
      </w:r>
      <w:r>
        <w:rPr>
          <w:rFonts w:hint="eastAsia" w:ascii="宋体" w:hAnsi="宋体"/>
          <w:bCs/>
          <w:sz w:val="24"/>
          <w:szCs w:val="24"/>
        </w:rPr>
        <w:t>，缴纳形式：</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履约保证金的退付时间：</w:t>
      </w:r>
      <w:r>
        <w:rPr>
          <w:rFonts w:hint="eastAsia" w:ascii="宋体" w:hAnsi="宋体"/>
          <w:bCs/>
          <w:sz w:val="24"/>
          <w:szCs w:val="24"/>
          <w:u w:val="single"/>
        </w:rPr>
        <w:t xml:space="preserve">       </w:t>
      </w:r>
      <w:r>
        <w:rPr>
          <w:rFonts w:hint="eastAsia" w:ascii="宋体" w:hAnsi="宋体"/>
          <w:bCs/>
          <w:sz w:val="24"/>
          <w:szCs w:val="24"/>
        </w:rPr>
        <w:t>，退付办法：</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rPr>
        <w:t>履约保证金不予退还的情形：</w:t>
      </w:r>
      <w:r>
        <w:rPr>
          <w:rFonts w:hint="eastAsia" w:ascii="宋体" w:hAnsi="宋体"/>
          <w:bCs/>
          <w:sz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bCs/>
          <w:sz w:val="24"/>
          <w:szCs w:val="24"/>
        </w:rPr>
      </w:pPr>
      <w:r>
        <w:rPr>
          <w:rFonts w:hint="eastAsia" w:ascii="宋体" w:hAnsi="宋体"/>
          <w:bCs/>
          <w:sz w:val="24"/>
        </w:rPr>
        <w:t>逾期退还履约保证金的违约责任：</w:t>
      </w:r>
      <w:r>
        <w:rPr>
          <w:rFonts w:hint="eastAsia" w:ascii="宋体" w:hAnsi="宋体"/>
          <w:bCs/>
          <w:sz w:val="24"/>
          <w:u w:val="single"/>
        </w:rPr>
        <w:t xml:space="preserve">                 </w:t>
      </w:r>
      <w:r>
        <w:rPr>
          <w:rFonts w:hint="eastAsia" w:ascii="宋体" w:hAnsi="宋体"/>
          <w:bCs/>
          <w:sz w:val="24"/>
        </w:rPr>
        <w:t>。</w:t>
      </w:r>
    </w:p>
    <w:p>
      <w:pPr>
        <w:tabs>
          <w:tab w:val="left" w:pos="0"/>
          <w:tab w:val="left" w:pos="1365"/>
        </w:tabs>
        <w:snapToGrid w:val="0"/>
        <w:spacing w:line="336" w:lineRule="auto"/>
        <w:ind w:firstLine="480" w:firstLineChars="200"/>
        <w:rPr>
          <w:rFonts w:ascii="宋体"/>
          <w:bCs/>
          <w:sz w:val="24"/>
          <w:szCs w:val="24"/>
        </w:rPr>
      </w:pPr>
      <w:r>
        <w:rPr>
          <w:rFonts w:hint="eastAsia" w:ascii="宋体" w:hAnsi="宋体"/>
          <w:bCs/>
          <w:sz w:val="24"/>
          <w:szCs w:val="24"/>
        </w:rPr>
        <w:t>（三）知识产权</w:t>
      </w:r>
    </w:p>
    <w:p>
      <w:pPr>
        <w:tabs>
          <w:tab w:val="left" w:pos="945"/>
        </w:tabs>
        <w:snapToGrid w:val="0"/>
        <w:spacing w:line="336" w:lineRule="auto"/>
        <w:ind w:firstLine="480" w:firstLineChars="200"/>
        <w:rPr>
          <w:rFonts w:ascii="宋体"/>
          <w:bCs/>
          <w:sz w:val="24"/>
          <w:szCs w:val="24"/>
        </w:rPr>
      </w:pPr>
      <w:r>
        <w:rPr>
          <w:rFonts w:hint="eastAsia" w:ascii="宋体" w:hAnsi="宋体"/>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ascii="宋体"/>
          <w:bCs/>
          <w:sz w:val="24"/>
          <w:szCs w:val="24"/>
        </w:rPr>
      </w:pPr>
      <w:r>
        <w:rPr>
          <w:rFonts w:hint="eastAsia" w:ascii="宋体" w:hAnsi="宋体"/>
          <w:bCs/>
          <w:sz w:val="24"/>
          <w:szCs w:val="24"/>
        </w:rPr>
        <w:t>（四）质量要求与检验：</w:t>
      </w:r>
    </w:p>
    <w:p>
      <w:pPr>
        <w:tabs>
          <w:tab w:val="left" w:pos="525"/>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ascii="宋体"/>
          <w:bCs/>
          <w:sz w:val="24"/>
          <w:szCs w:val="24"/>
        </w:rPr>
      </w:pPr>
      <w:r>
        <w:rPr>
          <w:rFonts w:hint="eastAsia" w:ascii="宋体" w:hAnsi="宋体"/>
          <w:bCs/>
          <w:sz w:val="24"/>
          <w:szCs w:val="24"/>
        </w:rPr>
        <w:t>（五）交货条件：</w:t>
      </w:r>
    </w:p>
    <w:p>
      <w:pPr>
        <w:tabs>
          <w:tab w:val="left" w:pos="420"/>
          <w:tab w:val="left" w:pos="1155"/>
        </w:tabs>
        <w:snapToGrid w:val="0"/>
        <w:spacing w:line="336" w:lineRule="auto"/>
        <w:ind w:firstLine="480" w:firstLineChars="200"/>
        <w:rPr>
          <w:rFonts w:ascii="宋体"/>
          <w:bCs/>
          <w:sz w:val="24"/>
          <w:szCs w:val="24"/>
        </w:rPr>
      </w:pPr>
      <w:r>
        <w:rPr>
          <w:rFonts w:hint="eastAsia" w:ascii="宋体" w:hAnsi="宋体"/>
          <w:bCs/>
          <w:sz w:val="24"/>
          <w:szCs w:val="24"/>
        </w:rPr>
        <w:t>1.交货日期（或完工期）：</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2.供方在验收时应先用信函、传真、电子邮件等书面方式通知需方。</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ascii="宋体"/>
          <w:bCs/>
          <w:sz w:val="24"/>
          <w:szCs w:val="24"/>
        </w:rPr>
      </w:pPr>
      <w:r>
        <w:rPr>
          <w:rFonts w:hint="eastAsia" w:ascii="宋体" w:hAnsi="宋体"/>
          <w:bCs/>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ascii="宋体"/>
          <w:bCs/>
          <w:sz w:val="24"/>
          <w:szCs w:val="24"/>
        </w:rPr>
      </w:pPr>
      <w:r>
        <w:rPr>
          <w:rFonts w:hint="eastAsia" w:ascii="宋体" w:hAnsi="宋体"/>
          <w:bCs/>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ascii="宋体"/>
          <w:bCs/>
          <w:sz w:val="24"/>
          <w:szCs w:val="24"/>
        </w:rPr>
      </w:pPr>
      <w:r>
        <w:rPr>
          <w:rFonts w:hint="eastAsia" w:ascii="宋体" w:hAnsi="宋体"/>
          <w:bCs/>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5.需方如要求供方提供招标文件及供方投标文件以外的其它服务，其费用另定。</w:t>
      </w:r>
    </w:p>
    <w:p>
      <w:pPr>
        <w:snapToGrid w:val="0"/>
        <w:spacing w:line="336" w:lineRule="auto"/>
        <w:ind w:firstLine="480" w:firstLineChars="200"/>
        <w:rPr>
          <w:rFonts w:ascii="宋体"/>
          <w:bCs/>
          <w:sz w:val="24"/>
          <w:szCs w:val="24"/>
        </w:rPr>
      </w:pPr>
      <w:r>
        <w:rPr>
          <w:rFonts w:hint="eastAsia" w:ascii="宋体" w:hAnsi="宋体"/>
          <w:bCs/>
          <w:sz w:val="24"/>
          <w:szCs w:val="24"/>
        </w:rPr>
        <w:t>（七）违约责任：</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2.如供方逾期交货且未经需方同意延长交货时间，除不可抗力外，每逾期一日，供方应按照逾期交货金额的万分之五的标准累计计算向需方支付违约金。逾期超过</w:t>
      </w:r>
      <w:r>
        <w:rPr>
          <w:rFonts w:ascii="宋体" w:hAnsi="宋体"/>
          <w:bCs/>
          <w:sz w:val="24"/>
          <w:szCs w:val="24"/>
        </w:rPr>
        <w:t>20</w:t>
      </w:r>
      <w:r>
        <w:rPr>
          <w:rFonts w:hint="eastAsia" w:ascii="宋体" w:hAnsi="宋体"/>
          <w:bCs/>
          <w:sz w:val="24"/>
          <w:szCs w:val="24"/>
        </w:rPr>
        <w:t>个工作日的，需方有权依照法律程序解除合同，需方如已支付费用的，供方全部返还，且供方应按照合同总价的</w:t>
      </w:r>
      <w:r>
        <w:rPr>
          <w:rFonts w:ascii="宋体" w:hAnsi="宋体"/>
          <w:bCs/>
          <w:sz w:val="24"/>
          <w:szCs w:val="24"/>
        </w:rPr>
        <w:t>30%</w:t>
      </w:r>
      <w:r>
        <w:rPr>
          <w:rFonts w:hint="eastAsia" w:ascii="宋体" w:hAnsi="宋体"/>
          <w:bCs/>
          <w:sz w:val="24"/>
          <w:szCs w:val="24"/>
        </w:rPr>
        <w:t>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5.供方如无不可抗力，又未履行招标文件、投标文件和合同条款的，一经查实，由供方赔偿由此给需方造成的损失，并按照合同总价的</w:t>
      </w:r>
      <w:r>
        <w:rPr>
          <w:rFonts w:ascii="宋体" w:hAnsi="宋体"/>
          <w:bCs/>
          <w:sz w:val="24"/>
          <w:szCs w:val="24"/>
        </w:rPr>
        <w:t>30%</w:t>
      </w:r>
      <w:r>
        <w:rPr>
          <w:rFonts w:hint="eastAsia" w:ascii="宋体" w:hAnsi="宋体"/>
          <w:bCs/>
          <w:sz w:val="24"/>
          <w:szCs w:val="24"/>
        </w:rPr>
        <w:t>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sz w:val="24"/>
          <w:szCs w:val="24"/>
        </w:rPr>
        <w:t>20%</w:t>
      </w:r>
      <w:r>
        <w:rPr>
          <w:rFonts w:hint="eastAsia" w:ascii="宋体" w:hAnsi="宋体"/>
          <w:bCs/>
          <w:sz w:val="24"/>
          <w:szCs w:val="24"/>
        </w:rPr>
        <w:t>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8.招标文件及合同中所述之“不可抗力”系指不可预见、不可避免、不可克服的事件，包括但不限于：战争、洪水、台风、地震及其他法律、法规规定的事件。</w:t>
      </w:r>
    </w:p>
    <w:p>
      <w:pPr>
        <w:pStyle w:val="113"/>
        <w:numPr>
          <w:ilvl w:val="0"/>
          <w:numId w:val="18"/>
        </w:numPr>
        <w:snapToGrid w:val="0"/>
        <w:spacing w:line="336" w:lineRule="auto"/>
        <w:ind w:firstLineChars="0"/>
        <w:rPr>
          <w:rFonts w:ascii="宋体"/>
          <w:bCs/>
          <w:sz w:val="24"/>
          <w:szCs w:val="24"/>
        </w:rPr>
      </w:pPr>
      <w:r>
        <w:rPr>
          <w:rFonts w:hint="eastAsia" w:ascii="宋体" w:hAnsi="宋体"/>
          <w:bCs/>
          <w:sz w:val="24"/>
          <w:szCs w:val="24"/>
        </w:rPr>
        <w:t>合同生效及其它：</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w:t>
      </w:r>
      <w:r>
        <w:rPr>
          <w:rFonts w:hint="eastAsia"/>
        </w:rPr>
        <w:t xml:space="preserve"> </w:t>
      </w:r>
      <w:r>
        <w:rPr>
          <w:rFonts w:hint="eastAsia" w:ascii="宋体" w:hAnsi="宋体"/>
          <w:bCs/>
          <w:sz w:val="24"/>
          <w:szCs w:val="24"/>
        </w:rPr>
        <w:t>合同经无锡市公共资源交易中心新吴分中心对《合同书（格式条款）》见证后，供需双方代表需签字并盖章后生效。</w:t>
      </w:r>
    </w:p>
    <w:p>
      <w:pPr>
        <w:tabs>
          <w:tab w:val="left" w:pos="0"/>
          <w:tab w:val="left" w:pos="315"/>
          <w:tab w:val="left" w:pos="525"/>
          <w:tab w:val="left" w:pos="945"/>
        </w:tabs>
        <w:snapToGrid w:val="0"/>
        <w:spacing w:line="336" w:lineRule="auto"/>
        <w:ind w:firstLine="480" w:firstLineChars="200"/>
        <w:rPr>
          <w:rFonts w:ascii="宋体" w:hAnsi="宋体"/>
          <w:bCs/>
          <w:sz w:val="24"/>
          <w:szCs w:val="24"/>
        </w:rPr>
      </w:pPr>
      <w:r>
        <w:rPr>
          <w:rFonts w:hint="eastAsia" w:ascii="宋体" w:hAnsi="宋体"/>
          <w:bCs/>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sz w:val="24"/>
          <w:szCs w:val="24"/>
        </w:rPr>
        <w:t>由供需双方协商处理，若协商不成，</w:t>
      </w:r>
      <w:r>
        <w:rPr>
          <w:rFonts w:hint="eastAsia" w:ascii="宋体" w:hAnsi="宋体"/>
          <w:bCs/>
          <w:sz w:val="24"/>
          <w:szCs w:val="24"/>
        </w:rPr>
        <w:t>可选择以下方式处理：</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ascii="宋体"/>
          <w:sz w:val="24"/>
          <w:szCs w:val="24"/>
        </w:rPr>
      </w:pPr>
      <w:r>
        <w:rPr>
          <w:rFonts w:hint="eastAsia" w:ascii="宋体" w:hAnsi="宋体"/>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ascii="宋体" w:hAnsi="宋体"/>
          <w:bCs/>
          <w:sz w:val="24"/>
          <w:szCs w:val="24"/>
        </w:rPr>
      </w:pPr>
    </w:p>
    <w:p>
      <w:pPr>
        <w:snapToGrid w:val="0"/>
        <w:spacing w:line="336" w:lineRule="auto"/>
        <w:ind w:firstLine="480" w:firstLineChars="200"/>
        <w:jc w:val="center"/>
        <w:rPr>
          <w:rFonts w:ascii="宋体" w:hAnsi="宋体"/>
          <w:bCs/>
          <w:sz w:val="24"/>
          <w:szCs w:val="24"/>
        </w:rPr>
      </w:pPr>
    </w:p>
    <w:p>
      <w:pPr>
        <w:snapToGrid w:val="0"/>
        <w:spacing w:line="336" w:lineRule="auto"/>
        <w:ind w:firstLine="480" w:firstLineChars="200"/>
        <w:rPr>
          <w:rFonts w:ascii="宋体"/>
          <w:bCs/>
          <w:sz w:val="24"/>
          <w:szCs w:val="24"/>
          <w:u w:val="single"/>
        </w:rPr>
      </w:pPr>
      <w:r>
        <w:rPr>
          <w:rFonts w:hint="eastAsia" w:ascii="宋体" w:hAnsi="宋体"/>
          <w:bCs/>
          <w:sz w:val="24"/>
          <w:szCs w:val="24"/>
        </w:rPr>
        <w:t>需方（采购人）：（签章）</w:t>
      </w:r>
      <w:r>
        <w:rPr>
          <w:rFonts w:ascii="宋体" w:hAnsi="宋体"/>
          <w:bCs/>
          <w:sz w:val="24"/>
          <w:szCs w:val="24"/>
        </w:rPr>
        <w:t xml:space="preserve">           </w:t>
      </w:r>
      <w:r>
        <w:rPr>
          <w:rFonts w:hint="eastAsia" w:ascii="宋体" w:hAnsi="宋体"/>
          <w:bCs/>
          <w:sz w:val="24"/>
          <w:szCs w:val="24"/>
        </w:rPr>
        <w:t xml:space="preserve">        供方（中标方）：（签章）</w:t>
      </w:r>
    </w:p>
    <w:p>
      <w:pPr>
        <w:snapToGrid w:val="0"/>
        <w:spacing w:line="336" w:lineRule="auto"/>
        <w:ind w:firstLine="480" w:firstLineChars="200"/>
        <w:rPr>
          <w:rFonts w:ascii="宋体" w:hAnsi="宋体"/>
          <w:bCs/>
          <w:sz w:val="24"/>
          <w:szCs w:val="24"/>
        </w:rPr>
      </w:pPr>
      <w:r>
        <w:rPr>
          <w:rFonts w:hint="eastAsia" w:ascii="宋体" w:hAnsi="宋体"/>
          <w:bCs/>
          <w:sz w:val="24"/>
          <w:szCs w:val="24"/>
        </w:rPr>
        <w:t>法定（授权）代表人：</w:t>
      </w:r>
      <w:r>
        <w:rPr>
          <w:rFonts w:ascii="宋体" w:hAnsi="宋体"/>
          <w:bCs/>
          <w:sz w:val="24"/>
          <w:szCs w:val="24"/>
        </w:rPr>
        <w:t xml:space="preserve">            </w:t>
      </w:r>
      <w:r>
        <w:rPr>
          <w:rFonts w:hint="eastAsia" w:ascii="宋体" w:hAnsi="宋体"/>
          <w:bCs/>
          <w:sz w:val="24"/>
          <w:szCs w:val="24"/>
        </w:rPr>
        <w:t xml:space="preserve">         法定（授权）代表人：</w:t>
      </w:r>
    </w:p>
    <w:p>
      <w:pPr>
        <w:snapToGrid w:val="0"/>
        <w:spacing w:line="336" w:lineRule="auto"/>
        <w:ind w:firstLine="480" w:firstLineChars="200"/>
        <w:rPr>
          <w:rFonts w:ascii="宋体" w:hAnsi="宋体"/>
          <w:bCs/>
          <w:sz w:val="24"/>
          <w:szCs w:val="24"/>
          <w:u w:val="single"/>
        </w:rPr>
      </w:pPr>
      <w:r>
        <w:rPr>
          <w:rFonts w:hint="eastAsia" w:ascii="宋体" w:hAnsi="宋体"/>
          <w:bCs/>
          <w:sz w:val="24"/>
          <w:szCs w:val="24"/>
        </w:rPr>
        <w:t>地址：</w:t>
      </w:r>
      <w:r>
        <w:rPr>
          <w:rFonts w:ascii="宋体" w:hAnsi="宋体"/>
          <w:bCs/>
          <w:sz w:val="24"/>
          <w:szCs w:val="24"/>
        </w:rPr>
        <w:t xml:space="preserve">                          </w:t>
      </w:r>
      <w:r>
        <w:rPr>
          <w:rFonts w:hint="eastAsia" w:ascii="宋体" w:hAnsi="宋体"/>
          <w:bCs/>
          <w:sz w:val="24"/>
          <w:szCs w:val="24"/>
        </w:rPr>
        <w:t xml:space="preserve">         地址：</w:t>
      </w:r>
    </w:p>
    <w:p>
      <w:pPr>
        <w:snapToGrid w:val="0"/>
        <w:spacing w:line="336" w:lineRule="auto"/>
        <w:ind w:firstLine="1200" w:firstLineChars="500"/>
        <w:rPr>
          <w:rFonts w:ascii="宋体"/>
          <w:bCs/>
          <w:sz w:val="24"/>
          <w:szCs w:val="24"/>
          <w:u w:val="single"/>
        </w:rPr>
      </w:pPr>
      <w:r>
        <w:rPr>
          <w:rFonts w:hint="eastAsia" w:ascii="宋体" w:hAnsi="宋体"/>
          <w:bCs/>
          <w:sz w:val="24"/>
          <w:szCs w:val="24"/>
        </w:rPr>
        <w:t>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r>
        <w:rPr>
          <w:rFonts w:ascii="宋体" w:hAnsi="宋体"/>
          <w:bCs/>
          <w:sz w:val="24"/>
          <w:szCs w:val="24"/>
        </w:rPr>
        <w:t xml:space="preserve">                 </w:t>
      </w:r>
      <w:r>
        <w:rPr>
          <w:rFonts w:hint="eastAsia" w:ascii="宋体" w:hAnsi="宋体"/>
          <w:bCs/>
          <w:sz w:val="24"/>
          <w:szCs w:val="24"/>
        </w:rPr>
        <w:t xml:space="preserve">          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p>
    <w:p>
      <w:pPr>
        <w:snapToGrid w:val="0"/>
        <w:spacing w:line="336" w:lineRule="auto"/>
        <w:ind w:firstLine="480" w:firstLineChars="200"/>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供方户名：</w:t>
      </w:r>
    </w:p>
    <w:p>
      <w:pPr>
        <w:snapToGrid w:val="0"/>
        <w:spacing w:line="336" w:lineRule="auto"/>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供方开户银行：</w:t>
      </w:r>
    </w:p>
    <w:p>
      <w:pPr>
        <w:snapToGrid w:val="0"/>
        <w:spacing w:line="336" w:lineRule="auto"/>
        <w:ind w:firstLine="480" w:firstLineChars="200"/>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供方帐号：</w:t>
      </w:r>
    </w:p>
    <w:p>
      <w:pPr>
        <w:jc w:val="center"/>
        <w:rPr>
          <w:rFonts w:ascii="黑体" w:eastAsia="黑体"/>
          <w:bCs/>
          <w:sz w:val="28"/>
          <w:szCs w:val="28"/>
        </w:rPr>
      </w:pPr>
      <w:r>
        <w:rPr>
          <w:rFonts w:hint="eastAsia" w:ascii="黑体" w:eastAsia="黑体"/>
          <w:bCs/>
          <w:sz w:val="28"/>
          <w:szCs w:val="28"/>
        </w:rPr>
        <w:t>六.附件</w:t>
      </w:r>
    </w:p>
    <w:p>
      <w:pPr>
        <w:jc w:val="left"/>
        <w:rPr>
          <w:rFonts w:ascii="黑体" w:eastAsia="黑体"/>
          <w:bCs/>
          <w:sz w:val="24"/>
          <w:szCs w:val="24"/>
        </w:rPr>
      </w:pPr>
      <w:r>
        <w:rPr>
          <w:rFonts w:hint="eastAsia" w:ascii="黑体" w:eastAsia="黑体"/>
          <w:bCs/>
          <w:sz w:val="24"/>
          <w:szCs w:val="24"/>
        </w:rPr>
        <w:t>附件一：评分标准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ascii="宋体" w:hAnsi="宋体"/>
          <w:b/>
          <w:bCs/>
          <w:sz w:val="24"/>
          <w:szCs w:val="24"/>
        </w:rPr>
        <w:t>（1）</w:t>
      </w:r>
      <w:r>
        <w:rPr>
          <w:rFonts w:hint="eastAsia" w:ascii="宋体" w:hAnsi="宋体"/>
          <w:b/>
          <w:bCs/>
          <w:sz w:val="24"/>
          <w:szCs w:val="24"/>
        </w:rPr>
        <w:t>价格（30分）：</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投标报价得分</w:t>
      </w:r>
      <w:r>
        <w:rPr>
          <w:rFonts w:ascii="宋体" w:hAnsi="宋体"/>
          <w:bCs/>
          <w:sz w:val="24"/>
          <w:szCs w:val="24"/>
        </w:rPr>
        <w:t>=(</w:t>
      </w:r>
      <w:r>
        <w:rPr>
          <w:rFonts w:hint="eastAsia" w:ascii="宋体" w:hAnsi="宋体"/>
          <w:bCs/>
          <w:sz w:val="24"/>
          <w:szCs w:val="24"/>
        </w:rPr>
        <w:t>评标基准价／投标报价</w:t>
      </w:r>
      <w:r>
        <w:rPr>
          <w:rFonts w:ascii="宋体" w:hAnsi="宋体"/>
          <w:bCs/>
          <w:sz w:val="24"/>
          <w:szCs w:val="24"/>
        </w:rPr>
        <w:t>)</w:t>
      </w:r>
      <w:r>
        <w:rPr>
          <w:rFonts w:hint="eastAsia" w:ascii="宋体" w:hAnsi="宋体"/>
          <w:bCs/>
          <w:sz w:val="24"/>
          <w:szCs w:val="24"/>
        </w:rPr>
        <w:t>×价格权值×</w:t>
      </w:r>
      <w:r>
        <w:rPr>
          <w:rFonts w:ascii="宋体" w:hAnsi="宋体"/>
          <w:bCs/>
          <w:sz w:val="24"/>
          <w:szCs w:val="24"/>
        </w:rPr>
        <w:t>100</w:t>
      </w:r>
      <w:r>
        <w:rPr>
          <w:rFonts w:hint="eastAsia" w:ascii="宋体" w:hAnsi="宋体"/>
          <w:bCs/>
          <w:sz w:val="24"/>
          <w:szCs w:val="24"/>
        </w:rPr>
        <w:t>。</w:t>
      </w:r>
    </w:p>
    <w:p>
      <w:pPr>
        <w:spacing w:line="360" w:lineRule="auto"/>
        <w:ind w:firstLine="480" w:firstLineChars="200"/>
        <w:jc w:val="left"/>
        <w:rPr>
          <w:rFonts w:ascii="宋体" w:hAnsi="宋体"/>
          <w:bCs/>
          <w:sz w:val="24"/>
          <w:szCs w:val="24"/>
        </w:rPr>
      </w:pPr>
      <w:r>
        <w:rPr>
          <w:rFonts w:hint="eastAsia" w:ascii="宋体" w:hAnsi="宋体"/>
          <w:bCs/>
          <w:sz w:val="24"/>
          <w:szCs w:val="24"/>
        </w:rPr>
        <w:t>价格扣除：专门面向中小/小微企业的项目除外。</w:t>
      </w:r>
    </w:p>
    <w:p>
      <w:pPr>
        <w:spacing w:line="360" w:lineRule="auto"/>
        <w:ind w:firstLine="480" w:firstLineChars="200"/>
        <w:jc w:val="left"/>
        <w:rPr>
          <w:rFonts w:ascii="宋体" w:hAnsi="宋体"/>
          <w:bCs/>
          <w:sz w:val="24"/>
          <w:szCs w:val="24"/>
        </w:rPr>
      </w:pPr>
      <w:r>
        <w:rPr>
          <w:rFonts w:hint="eastAsia" w:ascii="宋体" w:hAnsi="宋体"/>
          <w:bCs/>
          <w:sz w:val="24"/>
          <w:szCs w:val="24"/>
        </w:rPr>
        <w:t>①对小型和微型企业产品的价格给予10</w:t>
      </w:r>
      <w:r>
        <w:rPr>
          <w:rFonts w:ascii="宋体" w:hAnsi="宋体"/>
          <w:bCs/>
          <w:sz w:val="24"/>
          <w:szCs w:val="24"/>
        </w:rPr>
        <w:t>%</w:t>
      </w:r>
      <w:r>
        <w:rPr>
          <w:rFonts w:hint="eastAsia" w:ascii="宋体" w:hAnsi="宋体"/>
          <w:bCs/>
          <w:sz w:val="24"/>
          <w:szCs w:val="24"/>
        </w:rPr>
        <w:t>的扣除，用扣除后的价格参与评审。参加投标的中小企业，应当按照《政府采购促进中小企业发展管理办法》</w:t>
      </w:r>
      <w:r>
        <w:rPr>
          <w:rFonts w:ascii="宋体" w:hAnsi="宋体"/>
          <w:bCs/>
          <w:sz w:val="24"/>
          <w:szCs w:val="24"/>
        </w:rPr>
        <w:t>（财库﹝2020﹞46 号）</w:t>
      </w:r>
      <w:r>
        <w:rPr>
          <w:rFonts w:hint="eastAsia" w:ascii="宋体" w:hAnsi="宋体"/>
          <w:bCs/>
          <w:sz w:val="24"/>
          <w:szCs w:val="24"/>
        </w:rPr>
        <w:t>的规定提供《中小企业声明函》（货物/</w:t>
      </w:r>
      <w:r>
        <w:rPr>
          <w:rFonts w:ascii="宋体" w:hAnsi="宋体"/>
          <w:bCs/>
          <w:sz w:val="24"/>
          <w:szCs w:val="24"/>
        </w:rPr>
        <w:t>服务</w:t>
      </w:r>
      <w:r>
        <w:rPr>
          <w:rFonts w:hint="eastAsia" w:ascii="宋体" w:hAnsi="宋体"/>
          <w:bCs/>
          <w:sz w:val="24"/>
          <w:szCs w:val="24"/>
        </w:rPr>
        <w:t>）（中小企业划型标准详见《关于印发中小企业划型标准规定的通知》工信部联企业〔</w:t>
      </w:r>
      <w:r>
        <w:rPr>
          <w:rFonts w:ascii="宋体" w:hAnsi="宋体"/>
          <w:bCs/>
          <w:sz w:val="24"/>
          <w:szCs w:val="24"/>
        </w:rPr>
        <w:t>2011</w:t>
      </w:r>
      <w:r>
        <w:rPr>
          <w:rFonts w:hint="eastAsia" w:ascii="宋体" w:hAnsi="宋体"/>
          <w:bCs/>
          <w:sz w:val="24"/>
          <w:szCs w:val="24"/>
        </w:rPr>
        <w:t>〕</w:t>
      </w:r>
      <w:r>
        <w:rPr>
          <w:rFonts w:ascii="宋体" w:hAnsi="宋体"/>
          <w:bCs/>
          <w:sz w:val="24"/>
          <w:szCs w:val="24"/>
        </w:rPr>
        <w:t>300</w:t>
      </w:r>
      <w:r>
        <w:rPr>
          <w:rFonts w:hint="eastAsia" w:ascii="宋体" w:hAnsi="宋体"/>
          <w:bCs/>
          <w:sz w:val="24"/>
          <w:szCs w:val="24"/>
        </w:rPr>
        <w:t>号）。</w:t>
      </w:r>
    </w:p>
    <w:p>
      <w:pPr>
        <w:spacing w:line="360" w:lineRule="auto"/>
        <w:ind w:firstLine="480" w:firstLineChars="200"/>
        <w:jc w:val="left"/>
        <w:rPr>
          <w:rFonts w:ascii="宋体" w:hAnsi="宋体"/>
          <w:bCs/>
          <w:sz w:val="24"/>
          <w:szCs w:val="24"/>
        </w:rPr>
      </w:pPr>
      <w:r>
        <w:rPr>
          <w:rFonts w:hint="eastAsia" w:ascii="宋体" w:hAnsi="宋体"/>
          <w:bCs/>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扫描件。</w:t>
      </w:r>
    </w:p>
    <w:p>
      <w:pPr>
        <w:spacing w:line="360" w:lineRule="auto"/>
        <w:ind w:firstLine="480" w:firstLineChars="200"/>
        <w:jc w:val="left"/>
        <w:rPr>
          <w:rFonts w:ascii="宋体" w:hAnsi="宋体"/>
          <w:bCs/>
          <w:sz w:val="24"/>
          <w:szCs w:val="24"/>
        </w:rPr>
      </w:pPr>
      <w:r>
        <w:rPr>
          <w:rFonts w:hint="eastAsia" w:ascii="宋体" w:hAnsi="宋体"/>
          <w:bCs/>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480" w:firstLineChars="200"/>
        <w:jc w:val="left"/>
        <w:rPr>
          <w:rFonts w:ascii="宋体" w:hAnsi="宋体"/>
          <w:bCs/>
          <w:sz w:val="24"/>
          <w:szCs w:val="24"/>
        </w:rPr>
      </w:pPr>
      <w:r>
        <w:rPr>
          <w:rFonts w:hint="eastAsia" w:ascii="宋体" w:hAnsi="宋体"/>
          <w:bCs/>
          <w:sz w:val="24"/>
          <w:szCs w:val="24"/>
        </w:rPr>
        <w:t>同一投标人，上述三项价格扣除优惠不得重复享受。</w:t>
      </w:r>
    </w:p>
    <w:p>
      <w:pPr>
        <w:tabs>
          <w:tab w:val="left" w:pos="945"/>
          <w:tab w:val="left" w:pos="1155"/>
        </w:tabs>
        <w:spacing w:line="360" w:lineRule="auto"/>
        <w:ind w:firstLine="480" w:firstLineChars="200"/>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供应商评价</w:t>
      </w:r>
      <w:r>
        <w:rPr>
          <w:rFonts w:ascii="宋体" w:hAnsi="宋体"/>
          <w:b/>
          <w:bCs/>
          <w:sz w:val="24"/>
          <w:szCs w:val="24"/>
        </w:rPr>
        <w:t>（</w:t>
      </w:r>
      <w:r>
        <w:rPr>
          <w:rFonts w:hint="eastAsia" w:ascii="宋体" w:hAnsi="宋体"/>
          <w:b/>
          <w:bCs/>
          <w:sz w:val="24"/>
          <w:szCs w:val="24"/>
          <w:lang w:val="en-US" w:eastAsia="zh-CN"/>
        </w:rPr>
        <w:t>26</w:t>
      </w:r>
      <w:r>
        <w:rPr>
          <w:rFonts w:ascii="宋体" w:hAnsi="宋体"/>
          <w:b/>
          <w:bCs/>
          <w:sz w:val="24"/>
          <w:szCs w:val="24"/>
        </w:rPr>
        <w:t>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①业绩（</w:t>
      </w:r>
      <w:r>
        <w:rPr>
          <w:rFonts w:ascii="宋体" w:hAnsi="宋体"/>
          <w:bCs/>
          <w:sz w:val="24"/>
          <w:szCs w:val="24"/>
        </w:rPr>
        <w:t>2</w:t>
      </w:r>
      <w:r>
        <w:rPr>
          <w:rFonts w:hint="eastAsia" w:ascii="宋体" w:hAnsi="宋体"/>
          <w:bCs/>
          <w:sz w:val="24"/>
          <w:szCs w:val="24"/>
        </w:rPr>
        <w:t>分）：报价供应商自2019年</w:t>
      </w:r>
      <w:r>
        <w:rPr>
          <w:rFonts w:ascii="宋体" w:hAnsi="宋体"/>
          <w:bCs/>
          <w:sz w:val="24"/>
          <w:szCs w:val="24"/>
        </w:rPr>
        <w:t>1</w:t>
      </w:r>
      <w:r>
        <w:rPr>
          <w:rFonts w:hint="eastAsia" w:ascii="宋体" w:hAnsi="宋体"/>
          <w:bCs/>
          <w:sz w:val="24"/>
          <w:szCs w:val="24"/>
        </w:rPr>
        <w:t>月1日以来，承担过类似项目业绩，每提供一个得1分，最多得</w:t>
      </w:r>
      <w:r>
        <w:rPr>
          <w:rFonts w:ascii="宋体" w:hAnsi="宋体"/>
          <w:bCs/>
          <w:sz w:val="24"/>
          <w:szCs w:val="24"/>
        </w:rPr>
        <w:t>2</w:t>
      </w:r>
      <w:r>
        <w:rPr>
          <w:rFonts w:hint="eastAsia" w:ascii="宋体" w:hAnsi="宋体"/>
          <w:bCs/>
          <w:sz w:val="24"/>
          <w:szCs w:val="24"/>
        </w:rPr>
        <w:t>分。</w:t>
      </w:r>
      <w:r>
        <w:rPr>
          <w:rFonts w:hint="eastAsia" w:ascii="宋体" w:hAnsi="宋体"/>
          <w:b/>
          <w:sz w:val="24"/>
          <w:szCs w:val="24"/>
        </w:rPr>
        <w:t>（类似项目业绩要求提供合同协议书原件扫描件；未提供不得分）。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②投标人综合能力证书（</w:t>
      </w:r>
      <w:r>
        <w:rPr>
          <w:rFonts w:hint="eastAsia" w:ascii="宋体" w:hAnsi="宋体"/>
          <w:bCs/>
          <w:sz w:val="24"/>
          <w:szCs w:val="24"/>
          <w:lang w:val="en-US" w:eastAsia="zh-CN"/>
        </w:rPr>
        <w:t>9</w:t>
      </w:r>
      <w:r>
        <w:rPr>
          <w:rFonts w:hint="eastAsia" w:ascii="宋体" w:hAnsi="宋体"/>
          <w:bCs/>
          <w:sz w:val="24"/>
          <w:szCs w:val="24"/>
        </w:rPr>
        <w:t>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2.1、投标人通过质量管理体系认证、环境管理体系认证、职业健康安全管理体系认证，所有证书均须在有效期内，每提供一种证书得</w:t>
      </w:r>
      <w:r>
        <w:rPr>
          <w:rFonts w:ascii="宋体" w:hAnsi="宋体"/>
          <w:bCs/>
          <w:sz w:val="24"/>
          <w:szCs w:val="24"/>
        </w:rPr>
        <w:t>1</w:t>
      </w:r>
      <w:r>
        <w:rPr>
          <w:rFonts w:hint="eastAsia" w:ascii="宋体" w:hAnsi="宋体"/>
          <w:bCs/>
          <w:sz w:val="24"/>
          <w:szCs w:val="24"/>
        </w:rPr>
        <w:t>分，最高得</w:t>
      </w:r>
      <w:r>
        <w:rPr>
          <w:rFonts w:ascii="宋体" w:hAnsi="宋体"/>
          <w:bCs/>
          <w:sz w:val="24"/>
          <w:szCs w:val="24"/>
        </w:rPr>
        <w:t>3</w:t>
      </w:r>
      <w:r>
        <w:rPr>
          <w:rFonts w:hint="eastAsia" w:ascii="宋体" w:hAnsi="宋体"/>
          <w:bCs/>
          <w:sz w:val="24"/>
          <w:szCs w:val="24"/>
        </w:rPr>
        <w:t>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2.2、投标人具有信息技术服务运行维护标准符合性证书（ITSS）三级的得1分，三级以上得2分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2.3、投标人具有信息系统建设和服务能力等级（CS4）或以上等级的得2分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4</w:t>
      </w:r>
      <w:r>
        <w:rPr>
          <w:rFonts w:hint="eastAsia" w:ascii="宋体" w:hAnsi="宋体"/>
          <w:bCs/>
          <w:sz w:val="24"/>
          <w:szCs w:val="24"/>
        </w:rPr>
        <w:t>、投标人具有有效期内的信息安全管理体系认证证书得</w:t>
      </w:r>
      <w:r>
        <w:rPr>
          <w:rFonts w:ascii="宋体" w:hAnsi="宋体"/>
          <w:bCs/>
          <w:sz w:val="24"/>
          <w:szCs w:val="24"/>
        </w:rPr>
        <w:t>1</w:t>
      </w:r>
      <w:r>
        <w:rPr>
          <w:rFonts w:hint="eastAsia" w:ascii="宋体" w:hAnsi="宋体"/>
          <w:bCs/>
          <w:sz w:val="24"/>
          <w:szCs w:val="24"/>
        </w:rPr>
        <w:t>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5</w:t>
      </w:r>
      <w:r>
        <w:rPr>
          <w:rFonts w:hint="eastAsia" w:ascii="宋体" w:hAnsi="宋体"/>
          <w:bCs/>
          <w:sz w:val="24"/>
          <w:szCs w:val="24"/>
        </w:rPr>
        <w:t>、投标人具有有效期内的信息技术服务管理体系认证书得1分</w:t>
      </w:r>
    </w:p>
    <w:p>
      <w:pPr>
        <w:tabs>
          <w:tab w:val="left" w:pos="945"/>
          <w:tab w:val="left" w:pos="1155"/>
        </w:tabs>
        <w:spacing w:line="355" w:lineRule="auto"/>
        <w:ind w:firstLine="1200" w:firstLineChars="500"/>
        <w:rPr>
          <w:rFonts w:ascii="宋体" w:hAnsi="宋体"/>
          <w:b/>
          <w:sz w:val="24"/>
          <w:szCs w:val="24"/>
        </w:rPr>
      </w:pPr>
      <w:r>
        <w:rPr>
          <w:rFonts w:hint="eastAsia" w:ascii="宋体" w:hAnsi="宋体"/>
          <w:b/>
          <w:sz w:val="24"/>
          <w:szCs w:val="24"/>
        </w:rPr>
        <w:t>相关证书需提供证明材料扫描件并加盖公章，未提供不得分。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③项目人员配置（</w:t>
      </w:r>
      <w:r>
        <w:rPr>
          <w:rFonts w:ascii="宋体" w:hAnsi="宋体"/>
          <w:bCs/>
          <w:sz w:val="24"/>
          <w:szCs w:val="24"/>
        </w:rPr>
        <w:t>15</w:t>
      </w:r>
      <w:r>
        <w:rPr>
          <w:rFonts w:hint="eastAsia" w:ascii="宋体" w:hAnsi="宋体"/>
          <w:bCs/>
          <w:sz w:val="24"/>
          <w:szCs w:val="24"/>
        </w:rPr>
        <w:t>分）：</w:t>
      </w:r>
      <w:r>
        <w:rPr>
          <w:rFonts w:hint="eastAsia" w:ascii="宋体" w:hAnsi="宋体"/>
          <w:b/>
          <w:sz w:val="24"/>
          <w:szCs w:val="24"/>
        </w:rPr>
        <w:t>一人多证不可重复得分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3.1针对本项目配备的现场管理人员具备相关行政主管部门颁发的机电工程一级注册建造师证得2分，机电工程二级注册</w:t>
      </w:r>
      <w:bookmarkStart w:id="2" w:name="_Hlk149147270"/>
      <w:r>
        <w:rPr>
          <w:rFonts w:hint="eastAsia" w:ascii="宋体" w:hAnsi="宋体"/>
          <w:bCs/>
          <w:sz w:val="24"/>
          <w:szCs w:val="24"/>
        </w:rPr>
        <w:t>建造师</w:t>
      </w:r>
      <w:bookmarkEnd w:id="2"/>
      <w:r>
        <w:rPr>
          <w:rFonts w:hint="eastAsia" w:ascii="宋体" w:hAnsi="宋体"/>
          <w:bCs/>
          <w:sz w:val="24"/>
          <w:szCs w:val="24"/>
        </w:rPr>
        <w:t>证得1分，本得分点最多得2分；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3.2、拟针对本项目配备一名技术负责人，具备</w:t>
      </w:r>
      <w:bookmarkStart w:id="3" w:name="_Hlk149147556"/>
      <w:r>
        <w:rPr>
          <w:rFonts w:hint="eastAsia" w:ascii="宋体" w:hAnsi="宋体"/>
          <w:bCs/>
          <w:sz w:val="24"/>
          <w:szCs w:val="24"/>
        </w:rPr>
        <w:t>网络工程师</w:t>
      </w:r>
      <w:bookmarkEnd w:id="3"/>
      <w:r>
        <w:rPr>
          <w:rFonts w:hint="eastAsia" w:ascii="宋体" w:hAnsi="宋体"/>
          <w:bCs/>
          <w:sz w:val="24"/>
          <w:szCs w:val="24"/>
        </w:rPr>
        <w:t>、</w:t>
      </w:r>
      <w:bookmarkStart w:id="4" w:name="_Hlk149147572"/>
      <w:r>
        <w:rPr>
          <w:rFonts w:hint="eastAsia" w:ascii="宋体" w:hAnsi="宋体"/>
          <w:bCs/>
          <w:sz w:val="24"/>
          <w:szCs w:val="24"/>
        </w:rPr>
        <w:t>系统分析师</w:t>
      </w:r>
      <w:bookmarkEnd w:id="4"/>
      <w:r>
        <w:rPr>
          <w:rFonts w:hint="eastAsia" w:ascii="宋体" w:hAnsi="宋体"/>
          <w:bCs/>
          <w:sz w:val="24"/>
          <w:szCs w:val="24"/>
        </w:rPr>
        <w:t>和</w:t>
      </w:r>
      <w:bookmarkStart w:id="5" w:name="_Hlk149147591"/>
      <w:r>
        <w:rPr>
          <w:rFonts w:hint="eastAsia" w:ascii="宋体" w:hAnsi="宋体"/>
          <w:bCs/>
          <w:sz w:val="24"/>
          <w:szCs w:val="24"/>
        </w:rPr>
        <w:t>系统集成项目管理工程师</w:t>
      </w:r>
      <w:bookmarkEnd w:id="5"/>
      <w:r>
        <w:rPr>
          <w:rFonts w:hint="eastAsia" w:ascii="宋体" w:hAnsi="宋体"/>
          <w:bCs/>
          <w:sz w:val="24"/>
          <w:szCs w:val="24"/>
        </w:rPr>
        <w:t>的，每有1份证书得</w:t>
      </w:r>
      <w:r>
        <w:rPr>
          <w:rFonts w:ascii="宋体" w:hAnsi="宋体"/>
          <w:bCs/>
          <w:sz w:val="24"/>
          <w:szCs w:val="24"/>
        </w:rPr>
        <w:t>2</w:t>
      </w:r>
      <w:r>
        <w:rPr>
          <w:rFonts w:hint="eastAsia" w:ascii="宋体" w:hAnsi="宋体"/>
          <w:bCs/>
          <w:sz w:val="24"/>
          <w:szCs w:val="24"/>
        </w:rPr>
        <w:t>分，最高得</w:t>
      </w:r>
      <w:r>
        <w:rPr>
          <w:rFonts w:ascii="宋体" w:hAnsi="宋体"/>
          <w:bCs/>
          <w:sz w:val="24"/>
          <w:szCs w:val="24"/>
        </w:rPr>
        <w:t>6</w:t>
      </w:r>
      <w:r>
        <w:rPr>
          <w:rFonts w:hint="eastAsia" w:ascii="宋体" w:hAnsi="宋体"/>
          <w:bCs/>
          <w:sz w:val="24"/>
          <w:szCs w:val="24"/>
        </w:rPr>
        <w:t>分；</w:t>
      </w:r>
    </w:p>
    <w:p>
      <w:pPr>
        <w:pStyle w:val="24"/>
        <w:spacing w:line="360" w:lineRule="auto"/>
        <w:ind w:firstLine="480"/>
        <w:rPr>
          <w:rFonts w:ascii="宋体" w:hAnsi="宋体"/>
          <w:b w:val="0"/>
        </w:rPr>
      </w:pPr>
      <w:r>
        <w:rPr>
          <w:rFonts w:hint="eastAsia" w:ascii="宋体" w:hAnsi="宋体"/>
          <w:b w:val="0"/>
          <w:sz w:val="24"/>
          <w:szCs w:val="24"/>
        </w:rPr>
        <w:t>3.3、项目组成员中具有</w:t>
      </w:r>
      <w:bookmarkStart w:id="6" w:name="_Hlk149147813"/>
      <w:r>
        <w:rPr>
          <w:rFonts w:hint="eastAsia" w:ascii="宋体" w:hAnsi="宋体"/>
          <w:b w:val="0"/>
          <w:sz w:val="24"/>
          <w:szCs w:val="24"/>
        </w:rPr>
        <w:t>数据库系统工程</w:t>
      </w:r>
      <w:bookmarkEnd w:id="6"/>
      <w:r>
        <w:rPr>
          <w:rFonts w:hint="eastAsia" w:ascii="宋体" w:hAnsi="宋体"/>
          <w:b w:val="0"/>
          <w:sz w:val="24"/>
          <w:szCs w:val="24"/>
        </w:rPr>
        <w:t>师证书、</w:t>
      </w:r>
      <w:bookmarkStart w:id="7" w:name="_Hlk149147841"/>
      <w:r>
        <w:rPr>
          <w:rFonts w:ascii="宋体" w:hAnsi="宋体" w:cs="宋体"/>
          <w:b w:val="0"/>
          <w:sz w:val="24"/>
          <w:szCs w:val="24"/>
        </w:rPr>
        <w:t>安防系统工程师</w:t>
      </w:r>
      <w:bookmarkEnd w:id="7"/>
      <w:r>
        <w:rPr>
          <w:rFonts w:ascii="宋体" w:hAnsi="宋体" w:cs="宋体"/>
          <w:b w:val="0"/>
          <w:sz w:val="24"/>
          <w:szCs w:val="24"/>
        </w:rPr>
        <w:t>证书</w:t>
      </w:r>
      <w:r>
        <w:rPr>
          <w:rFonts w:hint="eastAsia" w:ascii="宋体" w:hAnsi="宋体"/>
          <w:b w:val="0"/>
          <w:sz w:val="24"/>
          <w:szCs w:val="24"/>
        </w:rPr>
        <w:t>、电工证书、</w:t>
      </w:r>
      <w:bookmarkStart w:id="8" w:name="_Hlk149147918"/>
      <w:r>
        <w:rPr>
          <w:rFonts w:hint="eastAsia" w:ascii="宋体" w:hAnsi="宋体"/>
          <w:b w:val="0"/>
          <w:sz w:val="24"/>
          <w:szCs w:val="24"/>
        </w:rPr>
        <w:t>网络与信息安全应急人员</w:t>
      </w:r>
      <w:bookmarkEnd w:id="8"/>
      <w:r>
        <w:rPr>
          <w:rFonts w:hint="eastAsia" w:ascii="宋体" w:hAnsi="宋体"/>
          <w:b w:val="0"/>
          <w:sz w:val="24"/>
          <w:szCs w:val="24"/>
        </w:rPr>
        <w:t>证书、</w:t>
      </w:r>
      <w:bookmarkStart w:id="9" w:name="_Hlk149148012"/>
      <w:r>
        <w:rPr>
          <w:rFonts w:hint="eastAsia" w:ascii="宋体" w:hAnsi="宋体"/>
          <w:b w:val="0"/>
          <w:sz w:val="24"/>
          <w:szCs w:val="24"/>
        </w:rPr>
        <w:t>注册信息安全专业人员</w:t>
      </w:r>
      <w:bookmarkEnd w:id="9"/>
      <w:r>
        <w:rPr>
          <w:rFonts w:hint="eastAsia" w:ascii="宋体" w:hAnsi="宋体"/>
          <w:b w:val="0"/>
          <w:sz w:val="24"/>
          <w:szCs w:val="24"/>
        </w:rPr>
        <w:t>（CISP）证书，一个人只计算一份证书，每提供1份有效证书扫描件加盖公章得1分，最高得5分。</w:t>
      </w:r>
    </w:p>
    <w:p>
      <w:pPr>
        <w:tabs>
          <w:tab w:val="left" w:pos="945"/>
          <w:tab w:val="left" w:pos="1155"/>
        </w:tabs>
        <w:spacing w:line="355" w:lineRule="auto"/>
        <w:ind w:firstLine="480" w:firstLineChars="200"/>
        <w:rPr>
          <w:rFonts w:ascii="宋体" w:hAnsi="宋体"/>
          <w:bCs/>
          <w:sz w:val="24"/>
          <w:szCs w:val="24"/>
        </w:rPr>
      </w:pPr>
      <w:bookmarkStart w:id="10" w:name="_Hlk149148264"/>
      <w:r>
        <w:rPr>
          <w:rFonts w:hint="eastAsia" w:ascii="宋体" w:hAnsi="宋体"/>
          <w:bCs/>
          <w:sz w:val="24"/>
          <w:szCs w:val="24"/>
        </w:rPr>
        <w:t>3.</w:t>
      </w:r>
      <w:r>
        <w:rPr>
          <w:rFonts w:ascii="宋体" w:hAnsi="宋体"/>
          <w:bCs/>
          <w:sz w:val="24"/>
          <w:szCs w:val="24"/>
        </w:rPr>
        <w:t>4</w:t>
      </w:r>
      <w:r>
        <w:rPr>
          <w:rFonts w:hint="eastAsia" w:ascii="宋体" w:hAnsi="宋体"/>
          <w:bCs/>
          <w:sz w:val="24"/>
          <w:szCs w:val="24"/>
        </w:rPr>
        <w:t>、</w:t>
      </w:r>
      <w:bookmarkEnd w:id="10"/>
      <w:r>
        <w:rPr>
          <w:rFonts w:hint="eastAsia" w:ascii="宋体" w:hAnsi="宋体"/>
          <w:bCs/>
          <w:sz w:val="24"/>
          <w:szCs w:val="24"/>
        </w:rPr>
        <w:t>投标人项目</w:t>
      </w:r>
      <w:bookmarkStart w:id="11" w:name="_Hlk149148422"/>
      <w:r>
        <w:rPr>
          <w:rFonts w:hint="eastAsia" w:ascii="宋体" w:hAnsi="宋体"/>
          <w:bCs/>
          <w:sz w:val="24"/>
          <w:szCs w:val="24"/>
        </w:rPr>
        <w:t>售后</w:t>
      </w:r>
      <w:bookmarkEnd w:id="11"/>
      <w:r>
        <w:rPr>
          <w:rFonts w:hint="eastAsia" w:ascii="宋体" w:hAnsi="宋体"/>
          <w:bCs/>
          <w:sz w:val="24"/>
          <w:szCs w:val="24"/>
        </w:rPr>
        <w:t>维护人员具有ITSS IT服务项目经理证书，每提供1份有效证书扫描件加盖公章的得1分，最高得1分。</w:t>
      </w:r>
    </w:p>
    <w:p>
      <w:pPr>
        <w:pStyle w:val="24"/>
        <w:spacing w:line="360" w:lineRule="auto"/>
        <w:ind w:firstLine="480"/>
        <w:rPr>
          <w:rFonts w:ascii="宋体" w:hAnsi="宋体"/>
          <w:b w:val="0"/>
        </w:rPr>
      </w:pPr>
      <w:bookmarkStart w:id="12" w:name="_Hlk149148275"/>
      <w:r>
        <w:rPr>
          <w:rFonts w:hint="eastAsia" w:ascii="宋体" w:hAnsi="宋体"/>
          <w:b w:val="0"/>
          <w:sz w:val="24"/>
          <w:szCs w:val="24"/>
        </w:rPr>
        <w:t>3.</w:t>
      </w:r>
      <w:r>
        <w:rPr>
          <w:rFonts w:ascii="宋体" w:hAnsi="宋体"/>
          <w:b w:val="0"/>
          <w:sz w:val="24"/>
          <w:szCs w:val="24"/>
        </w:rPr>
        <w:t>5</w:t>
      </w:r>
      <w:r>
        <w:rPr>
          <w:rFonts w:hint="eastAsia" w:ascii="宋体" w:hAnsi="宋体"/>
          <w:b w:val="0"/>
          <w:sz w:val="24"/>
          <w:szCs w:val="24"/>
        </w:rPr>
        <w:t>、</w:t>
      </w:r>
      <w:bookmarkEnd w:id="12"/>
      <w:r>
        <w:rPr>
          <w:rFonts w:hint="eastAsia" w:ascii="宋体" w:hAnsi="宋体"/>
          <w:b w:val="0"/>
          <w:sz w:val="24"/>
          <w:szCs w:val="24"/>
        </w:rPr>
        <w:t>投标人项目售后维护人员具有ITSS IT服务工程师证书每提供1份有效证书扫描件加盖公章的得1分，最高得1分。</w:t>
      </w:r>
    </w:p>
    <w:p>
      <w:pPr>
        <w:tabs>
          <w:tab w:val="left" w:pos="525"/>
          <w:tab w:val="left" w:pos="1155"/>
        </w:tabs>
        <w:spacing w:line="360" w:lineRule="auto"/>
        <w:ind w:firstLine="480" w:firstLineChars="200"/>
        <w:rPr>
          <w:rFonts w:ascii="宋体" w:hAnsi="宋体"/>
          <w:b/>
          <w:sz w:val="24"/>
          <w:szCs w:val="24"/>
        </w:rPr>
      </w:pPr>
      <w:r>
        <w:rPr>
          <w:rFonts w:hint="eastAsia" w:ascii="宋体" w:hAnsi="宋体"/>
          <w:b/>
          <w:sz w:val="24"/>
          <w:szCs w:val="24"/>
        </w:rPr>
        <w:t>投标人为本项目配备的项目人员情况，以填列的项目人员配置清单为准（格式</w:t>
      </w:r>
      <w:r>
        <w:rPr>
          <w:rFonts w:hint="eastAsia" w:ascii="宋体" w:hAnsi="宋体"/>
          <w:b/>
          <w:sz w:val="24"/>
          <w:szCs w:val="24"/>
          <w:lang w:val="en-US" w:eastAsia="zh-CN"/>
        </w:rPr>
        <w:t>见附件</w:t>
      </w:r>
      <w:r>
        <w:rPr>
          <w:rFonts w:hint="eastAsia" w:ascii="宋体" w:hAnsi="宋体"/>
          <w:b/>
          <w:sz w:val="24"/>
          <w:szCs w:val="24"/>
        </w:rPr>
        <w:t>），投标时提供相关人员资质证书扫描件和投标人连续三个月（至少包含近三个月中任意一个月份（不含投标当月））为其缴纳社保的证明扫描件。相关证书及证明材料需提供扫描件并加盖公章，未提供不得分。</w:t>
      </w:r>
    </w:p>
    <w:p>
      <w:pPr>
        <w:tabs>
          <w:tab w:val="left" w:pos="945"/>
          <w:tab w:val="left" w:pos="1155"/>
        </w:tabs>
        <w:spacing w:line="355" w:lineRule="auto"/>
        <w:ind w:firstLine="480"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技术配置（3</w:t>
      </w:r>
      <w:r>
        <w:rPr>
          <w:rFonts w:ascii="宋体" w:hAnsi="宋体"/>
          <w:b/>
          <w:bCs/>
          <w:sz w:val="24"/>
          <w:szCs w:val="24"/>
        </w:rPr>
        <w:t>3</w:t>
      </w:r>
      <w:r>
        <w:rPr>
          <w:rFonts w:hint="eastAsia" w:ascii="宋体" w:hAnsi="宋体"/>
          <w:b/>
          <w:bCs/>
          <w:sz w:val="24"/>
          <w:szCs w:val="24"/>
        </w:rPr>
        <w:t>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①</w:t>
      </w:r>
      <w:r>
        <w:rPr>
          <w:rFonts w:hint="eastAsia" w:ascii="宋体" w:hAnsi="宋体" w:eastAsia="宋体" w:cs="宋体"/>
          <w:kern w:val="0"/>
          <w:sz w:val="22"/>
        </w:rPr>
        <w:t>P1.5室内LED显示屏</w:t>
      </w:r>
    </w:p>
    <w:p>
      <w:pPr>
        <w:autoSpaceDE w:val="0"/>
        <w:autoSpaceDN w:val="0"/>
        <w:adjustRightInd w:val="0"/>
        <w:spacing w:line="400" w:lineRule="exact"/>
        <w:ind w:firstLine="480"/>
        <w:rPr>
          <w:kern w:val="0"/>
          <w:sz w:val="24"/>
          <w:szCs w:val="24"/>
          <w:lang w:val="zh-CN"/>
        </w:rPr>
      </w:pPr>
      <w:r>
        <w:rPr>
          <w:rFonts w:hint="eastAsia" w:ascii="宋体" w:hAnsi="宋体"/>
          <w:bCs/>
          <w:sz w:val="24"/>
          <w:szCs w:val="24"/>
        </w:rPr>
        <w:t>1.1、</w:t>
      </w:r>
      <w:r>
        <w:rPr>
          <w:rFonts w:hint="eastAsia" w:ascii="宋体" w:hAnsi="宋体" w:cs="宋体"/>
          <w:sz w:val="24"/>
          <w:szCs w:val="24"/>
        </w:rPr>
        <w:t>支持通过实时智能分析算法，提高图像动态范围，低灰部分更深邃，高灰部分更清澈，</w:t>
      </w:r>
      <w:r>
        <w:rPr>
          <w:rFonts w:ascii="宋体" w:hAnsi="宋体" w:cs="宋体"/>
          <w:sz w:val="24"/>
          <w:szCs w:val="24"/>
        </w:rPr>
        <w:t>SDR图像显示HDR效果</w:t>
      </w:r>
      <w:r>
        <w:rPr>
          <w:rFonts w:hint="eastAsia" w:ascii="宋体" w:hAnsi="宋体" w:cs="宋体"/>
          <w:sz w:val="24"/>
          <w:szCs w:val="24"/>
        </w:rPr>
        <w:t>；</w:t>
      </w:r>
      <w:r>
        <w:rPr>
          <w:rFonts w:hint="eastAsia" w:ascii="宋体" w:hAnsi="宋体"/>
          <w:b/>
          <w:sz w:val="24"/>
          <w:szCs w:val="24"/>
        </w:rPr>
        <w:t>（提供具有CMA或CNAS标识的检测报告扫描件并加盖原厂公章证明），满足得3分，不提供不得分。</w:t>
      </w:r>
    </w:p>
    <w:p>
      <w:pPr>
        <w:autoSpaceDE w:val="0"/>
        <w:autoSpaceDN w:val="0"/>
        <w:adjustRightInd w:val="0"/>
        <w:spacing w:line="400" w:lineRule="exact"/>
        <w:ind w:firstLine="480"/>
        <w:rPr>
          <w:kern w:val="0"/>
          <w:sz w:val="24"/>
          <w:szCs w:val="24"/>
          <w:lang w:val="zh-CN"/>
        </w:rPr>
      </w:pPr>
      <w:r>
        <w:rPr>
          <w:rFonts w:hint="eastAsia" w:ascii="宋体" w:hAnsi="宋体"/>
          <w:bCs/>
          <w:sz w:val="24"/>
          <w:szCs w:val="24"/>
        </w:rPr>
        <w:t>1.2、</w:t>
      </w:r>
      <w:r>
        <w:rPr>
          <w:rFonts w:hint="eastAsia" w:ascii="宋体" w:hAnsi="宋体" w:cs="宋体"/>
          <w:sz w:val="24"/>
          <w:szCs w:val="24"/>
        </w:rPr>
        <w:t>支持具备自动关机节能功能，支持自动检测屏幕前是否有人，当有人时屏幕正常点亮；当无人时，一段时间后（可设置）屏幕自动调暗或黑屏；</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1.3、</w:t>
      </w:r>
      <w:r>
        <w:rPr>
          <w:rFonts w:hint="eastAsia" w:ascii="宋体" w:hAnsi="宋体" w:cs="宋体"/>
          <w:sz w:val="24"/>
          <w:szCs w:val="24"/>
        </w:rPr>
        <w:t>支持通过实时智能分析算法，识别高亮画面，自动调整高亮亮度，解决刺眼问题，提高人眼观看舒适度，并实现功耗降低</w:t>
      </w:r>
      <w:r>
        <w:rPr>
          <w:rFonts w:ascii="宋体" w:hAnsi="宋体" w:cs="宋体"/>
          <w:sz w:val="24"/>
          <w:szCs w:val="24"/>
        </w:rPr>
        <w:t>20%。</w:t>
      </w:r>
      <w:r>
        <w:rPr>
          <w:rFonts w:hint="eastAsia" w:ascii="宋体" w:hAnsi="宋体" w:cs="宋体"/>
          <w:sz w:val="24"/>
          <w:szCs w:val="24"/>
        </w:rPr>
        <w:t>；</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②大屏控制器</w:t>
      </w:r>
    </w:p>
    <w:p>
      <w:pPr>
        <w:autoSpaceDE w:val="0"/>
        <w:autoSpaceDN w:val="0"/>
        <w:adjustRightInd w:val="0"/>
        <w:spacing w:line="400" w:lineRule="exact"/>
        <w:ind w:firstLine="480"/>
        <w:rPr>
          <w:kern w:val="0"/>
          <w:sz w:val="24"/>
          <w:szCs w:val="24"/>
          <w:lang w:val="zh-CN"/>
        </w:rPr>
      </w:pPr>
      <w:r>
        <w:rPr>
          <w:rFonts w:hint="eastAsia" w:ascii="宋体" w:hAnsi="宋体"/>
          <w:bCs/>
          <w:sz w:val="24"/>
          <w:szCs w:val="24"/>
        </w:rPr>
        <w:t>2.1、</w:t>
      </w:r>
      <w:r>
        <w:rPr>
          <w:rFonts w:hint="eastAsia" w:ascii="宋体" w:hAnsi="宋体" w:cs="宋体"/>
          <w:sz w:val="24"/>
          <w:szCs w:val="24"/>
        </w:rPr>
        <w:t>所投产品支持采用嵌入式架构，无需要操作系统，支持</w:t>
      </w:r>
      <w:r>
        <w:rPr>
          <w:rFonts w:ascii="宋体" w:hAnsi="宋体" w:cs="宋体"/>
          <w:sz w:val="24"/>
          <w:szCs w:val="24"/>
        </w:rPr>
        <w:t>GB28181-2022标准。</w:t>
      </w:r>
      <w:r>
        <w:rPr>
          <w:rFonts w:hint="eastAsia" w:ascii="宋体" w:hAnsi="宋体" w:cs="宋体"/>
          <w:sz w:val="24"/>
          <w:szCs w:val="24"/>
        </w:rPr>
        <w:t>支持可在客户端软件中进行用户添加、删除、修改、密码设置等操作，可为不同用户设置不同管理权限（资源权限、配置权限、操作权限），最多可设置</w:t>
      </w:r>
      <w:r>
        <w:rPr>
          <w:rFonts w:ascii="宋体" w:hAnsi="宋体" w:cs="宋体"/>
          <w:sz w:val="24"/>
          <w:szCs w:val="24"/>
        </w:rPr>
        <w:t xml:space="preserve"> 64 个用户</w:t>
      </w:r>
      <w:r>
        <w:rPr>
          <w:rFonts w:hint="eastAsia" w:ascii="宋体" w:hAnsi="宋体"/>
          <w:bCs/>
          <w:sz w:val="24"/>
          <w:szCs w:val="24"/>
        </w:rPr>
        <w:t>；</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2.2、</w:t>
      </w:r>
      <w:r>
        <w:rPr>
          <w:rFonts w:hint="eastAsia" w:ascii="宋体" w:hAnsi="宋体" w:cs="宋体"/>
          <w:sz w:val="24"/>
          <w:szCs w:val="24"/>
        </w:rPr>
        <w:t>支持通过抓屏软件可将远程笔记本桌面实时解码上墙显示，实时画面帧率≥</w:t>
      </w:r>
      <w:r>
        <w:rPr>
          <w:rFonts w:ascii="宋体" w:hAnsi="宋体" w:cs="宋体"/>
          <w:sz w:val="24"/>
          <w:szCs w:val="24"/>
        </w:rPr>
        <w:t>30fps；可同时抓取 8 个 4K 信号上墙显示，且上墙前后 CPU 占用率无明显变化；支持在电视墙进行 8 画面分割显示；可对远程笔记本桌面进行整屏、单窗口、自定义区域抓屏上墙</w:t>
      </w:r>
      <w:r>
        <w:rPr>
          <w:rFonts w:hint="eastAsia" w:ascii="宋体" w:hAnsi="宋体"/>
          <w:bCs/>
          <w:sz w:val="24"/>
          <w:szCs w:val="24"/>
        </w:rPr>
        <w:t>；（</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2.3、</w:t>
      </w:r>
      <w:r>
        <w:rPr>
          <w:rFonts w:hint="eastAsia" w:ascii="宋体" w:hAnsi="宋体" w:cs="宋体"/>
          <w:sz w:val="24"/>
          <w:szCs w:val="24"/>
        </w:rPr>
        <w:t>可将一路输入视频图像发送至多个输出接口进行拼接显示</w:t>
      </w:r>
      <w:r>
        <w:rPr>
          <w:rFonts w:ascii="宋体" w:hAnsi="宋体" w:cs="宋体"/>
          <w:sz w:val="24"/>
          <w:szCs w:val="24"/>
        </w:rPr>
        <w:t>;可将多路输入视频图像发送至多个输出接口拼接显示；支持拼接不少于 32 路分辨率为 1920×1080 的视频图像；拼接时不同输出之间画面应同步、无撕裂感、 无错位；支持多块屏幕图像的拼接， 可将显示单元拼接成一个高分辨率的单一逻辑屏；全屏刷新时间≤20ms</w:t>
      </w:r>
      <w:r>
        <w:rPr>
          <w:rFonts w:hint="eastAsia" w:ascii="宋体" w:hAnsi="宋体" w:cs="宋体"/>
          <w:sz w:val="24"/>
          <w:szCs w:val="24"/>
        </w:rPr>
        <w:t>；</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2.</w:t>
      </w:r>
      <w:r>
        <w:rPr>
          <w:rFonts w:ascii="宋体" w:hAnsi="宋体"/>
          <w:bCs/>
          <w:sz w:val="24"/>
          <w:szCs w:val="24"/>
        </w:rPr>
        <w:t>4</w:t>
      </w:r>
      <w:r>
        <w:rPr>
          <w:rFonts w:hint="eastAsia" w:ascii="宋体" w:hAnsi="宋体"/>
          <w:bCs/>
          <w:sz w:val="24"/>
          <w:szCs w:val="24"/>
        </w:rPr>
        <w:t>、单输出接口支持</w:t>
      </w:r>
      <w:r>
        <w:rPr>
          <w:rFonts w:ascii="宋体" w:hAnsi="宋体"/>
          <w:bCs/>
          <w:sz w:val="24"/>
          <w:szCs w:val="24"/>
        </w:rPr>
        <w:t xml:space="preserve"> 16 个分辨率为 4096×2160 图层或 16 个分辨率为 1920×1080 图层；单张输出板卡支持 30 个分辨率为 4096×2160图层或 30 个分辨率为 1920×1080 图层</w:t>
      </w:r>
      <w:r>
        <w:rPr>
          <w:rFonts w:hint="eastAsia" w:ascii="宋体" w:hAnsi="宋体"/>
          <w:bCs/>
          <w:sz w:val="24"/>
          <w:szCs w:val="24"/>
        </w:rPr>
        <w:t>；</w:t>
      </w:r>
      <w:r>
        <w:rPr>
          <w:rFonts w:hint="eastAsia" w:ascii="宋体" w:hAnsi="宋体"/>
          <w:b/>
          <w:sz w:val="24"/>
          <w:szCs w:val="24"/>
        </w:rPr>
        <w:t>（提供具有CMA或CNAS标识的检测报告扫描件并加盖原厂公章证明）满足得3分，不提供不得分。</w:t>
      </w:r>
    </w:p>
    <w:p>
      <w:pPr>
        <w:rPr>
          <w:color w:val="FF0000"/>
          <w:sz w:val="32"/>
          <w:szCs w:val="32"/>
        </w:rPr>
      </w:pPr>
      <w:r>
        <w:rPr>
          <w:rFonts w:hint="eastAsia" w:ascii="宋体" w:hAnsi="宋体"/>
          <w:bCs/>
          <w:sz w:val="24"/>
          <w:szCs w:val="24"/>
        </w:rPr>
        <w:t>③智能大屏管理平台</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3.1、具备</w:t>
      </w:r>
      <w:r>
        <w:rPr>
          <w:rFonts w:ascii="宋体" w:hAnsi="宋体"/>
          <w:bCs/>
          <w:sz w:val="24"/>
          <w:szCs w:val="24"/>
        </w:rPr>
        <w:t xml:space="preserve">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w:t>
      </w:r>
      <w:r>
        <w:rPr>
          <w:rFonts w:hint="eastAsia" w:ascii="宋体" w:hAnsi="宋体"/>
          <w:bCs/>
          <w:sz w:val="24"/>
          <w:szCs w:val="24"/>
        </w:rPr>
        <w:t>；</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3.2、支持拼控器、播控主机、</w:t>
      </w:r>
      <w:r>
        <w:rPr>
          <w:rFonts w:ascii="宋体" w:hAnsi="宋体"/>
          <w:bCs/>
          <w:sz w:val="24"/>
          <w:szCs w:val="24"/>
        </w:rPr>
        <w:t>PC主机、中控主机设备增删改查的统一管理；支持查看播控主机、 PC 主机、中控主机设备的在线/离线状态；支持通过平台远程重启、更新播控主机的程序；支持场景关联播控主机的开关量模式</w:t>
      </w:r>
      <w:r>
        <w:rPr>
          <w:rFonts w:hint="eastAsia" w:ascii="宋体" w:hAnsi="宋体"/>
          <w:bCs/>
          <w:sz w:val="24"/>
          <w:szCs w:val="24"/>
        </w:rPr>
        <w:t>；</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b/>
          <w:sz w:val="24"/>
          <w:szCs w:val="24"/>
        </w:rPr>
      </w:pPr>
      <w:r>
        <w:rPr>
          <w:rFonts w:hint="eastAsia" w:ascii="宋体" w:hAnsi="宋体"/>
          <w:bCs/>
          <w:sz w:val="24"/>
          <w:szCs w:val="24"/>
        </w:rPr>
        <w:t>3.3、支持查看指定屏幕场景的播放状态，可添加、修改、删除、切换场景，并且可将场景关联中控模式，使场景与灯光、空调、投影等设备开关量模式联动；</w:t>
      </w:r>
      <w:r>
        <w:rPr>
          <w:rFonts w:hint="eastAsia" w:ascii="宋体" w:hAnsi="宋体"/>
          <w:b/>
          <w:sz w:val="24"/>
          <w:szCs w:val="24"/>
        </w:rPr>
        <w:t>（提供具有CMA或CNAS标识的检测报告扫描件并加盖原厂公章证明）满足得3分，不提供不得分。</w:t>
      </w:r>
    </w:p>
    <w:p>
      <w:pPr>
        <w:tabs>
          <w:tab w:val="left" w:pos="945"/>
          <w:tab w:val="left" w:pos="1155"/>
        </w:tabs>
        <w:spacing w:line="355" w:lineRule="auto"/>
        <w:ind w:firstLine="480" w:firstLineChars="200"/>
        <w:rPr>
          <w:rFonts w:ascii="宋体" w:hAnsi="宋体" w:cs="宋体"/>
          <w:b/>
          <w:sz w:val="24"/>
          <w:szCs w:val="24"/>
        </w:rPr>
      </w:pPr>
      <w:r>
        <w:rPr>
          <w:rFonts w:hint="eastAsia" w:ascii="宋体" w:hAnsi="宋体"/>
          <w:bCs/>
          <w:sz w:val="24"/>
          <w:szCs w:val="24"/>
        </w:rPr>
        <w:t>3.4、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w:t>
      </w:r>
      <w:r>
        <w:rPr>
          <w:rFonts w:ascii="宋体" w:hAnsi="宋体"/>
          <w:bCs/>
          <w:sz w:val="24"/>
          <w:szCs w:val="24"/>
        </w:rPr>
        <w:t xml:space="preserve"> PPT、Word 文档、 Excel、 PDF、文本等内容窗口拖动到大屏中，每种类型窗口可添加多个文件，可设置内容文件播放时长，内容播放顺序等属性</w:t>
      </w:r>
      <w:r>
        <w:rPr>
          <w:rFonts w:hint="eastAsia" w:ascii="宋体" w:hAnsi="宋体"/>
          <w:bCs/>
          <w:sz w:val="24"/>
          <w:szCs w:val="24"/>
        </w:rPr>
        <w:t>；</w:t>
      </w:r>
      <w:r>
        <w:rPr>
          <w:rFonts w:hint="eastAsia" w:ascii="宋体" w:hAnsi="宋体"/>
          <w:b/>
          <w:sz w:val="24"/>
          <w:szCs w:val="24"/>
        </w:rPr>
        <w:t>（提供具有CMA或CNAS标识的检测报告扫描件并加盖原厂公章证明）满足得3分，不提供不得分。</w:t>
      </w:r>
    </w:p>
    <w:p>
      <w:pPr>
        <w:tabs>
          <w:tab w:val="left" w:pos="525"/>
          <w:tab w:val="left" w:pos="945"/>
          <w:tab w:val="left" w:pos="1155"/>
        </w:tabs>
        <w:spacing w:line="355" w:lineRule="auto"/>
        <w:ind w:left="420" w:leftChars="200"/>
        <w:rPr>
          <w:rFonts w:ascii="宋体" w:hAnsi="宋体"/>
          <w:b/>
          <w:bCs/>
          <w:sz w:val="24"/>
          <w:szCs w:val="24"/>
        </w:rPr>
      </w:pPr>
      <w:r>
        <w:rPr>
          <w:rFonts w:ascii="宋体" w:hAnsi="宋体"/>
          <w:b/>
          <w:bCs/>
          <w:sz w:val="24"/>
          <w:szCs w:val="24"/>
        </w:rPr>
        <w:t>（4）</w:t>
      </w:r>
      <w:r>
        <w:rPr>
          <w:rFonts w:hint="eastAsia" w:ascii="宋体" w:hAnsi="宋体"/>
          <w:b/>
          <w:bCs/>
          <w:sz w:val="24"/>
          <w:szCs w:val="24"/>
        </w:rPr>
        <w:t>项目方案（</w:t>
      </w:r>
      <w:r>
        <w:rPr>
          <w:rFonts w:hint="eastAsia" w:ascii="宋体" w:hAnsi="宋体"/>
          <w:b/>
          <w:bCs/>
          <w:sz w:val="24"/>
          <w:szCs w:val="24"/>
          <w:lang w:val="en-US" w:eastAsia="zh-CN"/>
        </w:rPr>
        <w:t>11</w:t>
      </w:r>
      <w:r>
        <w:rPr>
          <w:rFonts w:hint="eastAsia" w:ascii="宋体" w:hAnsi="宋体"/>
          <w:b/>
          <w:bCs/>
          <w:sz w:val="24"/>
          <w:szCs w:val="24"/>
        </w:rPr>
        <w:t>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①总体概述（</w:t>
      </w:r>
      <w:r>
        <w:rPr>
          <w:rFonts w:hint="eastAsia" w:ascii="宋体" w:hAnsi="宋体"/>
          <w:bCs/>
          <w:sz w:val="24"/>
          <w:szCs w:val="24"/>
          <w:lang w:val="en-US" w:eastAsia="zh-CN"/>
        </w:rPr>
        <w:t>3</w:t>
      </w:r>
      <w:r>
        <w:rPr>
          <w:rFonts w:hint="eastAsia" w:ascii="宋体" w:hAnsi="宋体"/>
          <w:bCs/>
          <w:sz w:val="24"/>
          <w:szCs w:val="24"/>
        </w:rPr>
        <w:t>分）：施工组织总体设想、方案针对性及施工段划分</w:t>
      </w:r>
      <w:r>
        <w:rPr>
          <w:rFonts w:hint="eastAsia" w:ascii="宋体" w:hAnsi="宋体"/>
          <w:bCs/>
          <w:sz w:val="24"/>
          <w:szCs w:val="24"/>
          <w:lang w:eastAsia="zh-CN"/>
        </w:rPr>
        <w:t>，</w:t>
      </w:r>
      <w:r>
        <w:rPr>
          <w:rFonts w:hint="eastAsia" w:ascii="宋体" w:hAnsi="宋体"/>
          <w:bCs/>
          <w:sz w:val="24"/>
          <w:szCs w:val="24"/>
          <w:lang w:val="en-US" w:eastAsia="zh-CN"/>
        </w:rPr>
        <w:t>包括</w:t>
      </w:r>
      <w:r>
        <w:rPr>
          <w:rFonts w:hint="eastAsia" w:ascii="宋体" w:hAnsi="宋体"/>
          <w:bCs/>
          <w:sz w:val="24"/>
          <w:szCs w:val="24"/>
        </w:rPr>
        <w:t>针对大屏系统的总体建设方案的合理性、全面性、可升级性、兼容性及可实施性。</w:t>
      </w:r>
      <w:r>
        <w:rPr>
          <w:rFonts w:hint="eastAsia" w:asciiTheme="minorEastAsia" w:hAnsiTheme="minorEastAsia"/>
          <w:sz w:val="24"/>
        </w:rPr>
        <w:t>内容表述清晰、理解准确、针对性强且符合用户实际需求的得</w:t>
      </w:r>
      <w:r>
        <w:rPr>
          <w:rFonts w:hint="eastAsia" w:asciiTheme="minorEastAsia" w:hAnsiTheme="minorEastAsia"/>
          <w:sz w:val="24"/>
          <w:lang w:val="en-US" w:eastAsia="zh-CN"/>
        </w:rPr>
        <w:t>3</w:t>
      </w:r>
      <w:r>
        <w:rPr>
          <w:rFonts w:hint="eastAsia" w:asciiTheme="minorEastAsia" w:hAnsiTheme="minorEastAsia"/>
          <w:sz w:val="24"/>
        </w:rPr>
        <w:t>分；内容表述较为清晰、理解较为准确、针对性较强的得</w:t>
      </w:r>
      <w:r>
        <w:rPr>
          <w:rFonts w:hint="eastAsia" w:asciiTheme="minorEastAsia" w:hAnsiTheme="minorEastAsia"/>
          <w:sz w:val="24"/>
          <w:lang w:val="en-US" w:eastAsia="zh-CN"/>
        </w:rPr>
        <w:t>2</w:t>
      </w:r>
      <w:r>
        <w:rPr>
          <w:rFonts w:hint="eastAsia" w:asciiTheme="minorEastAsia" w:hAnsiTheme="minorEastAsia"/>
          <w:sz w:val="24"/>
        </w:rPr>
        <w:t>分；内容表述、理解、针对性</w:t>
      </w:r>
      <w:r>
        <w:rPr>
          <w:rFonts w:hint="eastAsia" w:asciiTheme="minorEastAsia" w:hAnsiTheme="minorEastAsia"/>
          <w:sz w:val="24"/>
          <w:lang w:val="en-US" w:eastAsia="zh-CN"/>
        </w:rPr>
        <w:t>不合理</w:t>
      </w:r>
      <w:r>
        <w:rPr>
          <w:rFonts w:hint="eastAsia" w:asciiTheme="minorEastAsia" w:hAnsiTheme="minorEastAsia"/>
          <w:sz w:val="24"/>
        </w:rPr>
        <w:t>的不得分。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②</w:t>
      </w:r>
      <w:r>
        <w:rPr>
          <w:rFonts w:hint="eastAsia" w:ascii="宋体" w:hAnsi="宋体"/>
          <w:b w:val="0"/>
          <w:bCs/>
          <w:sz w:val="24"/>
          <w:szCs w:val="24"/>
        </w:rPr>
        <w:t>项目技术设计方案（</w:t>
      </w:r>
      <w:r>
        <w:rPr>
          <w:rFonts w:hint="eastAsia" w:ascii="宋体" w:hAnsi="宋体"/>
          <w:b w:val="0"/>
          <w:bCs/>
          <w:sz w:val="24"/>
          <w:szCs w:val="24"/>
          <w:lang w:val="en-US" w:eastAsia="zh-CN"/>
        </w:rPr>
        <w:t>2</w:t>
      </w:r>
      <w:r>
        <w:rPr>
          <w:rFonts w:hint="eastAsia" w:ascii="宋体" w:hAnsi="宋体"/>
          <w:b w:val="0"/>
          <w:bCs/>
          <w:sz w:val="24"/>
          <w:szCs w:val="24"/>
        </w:rPr>
        <w:t>分）：</w:t>
      </w:r>
      <w:r>
        <w:rPr>
          <w:rFonts w:hint="eastAsia" w:ascii="宋体" w:hAnsi="宋体"/>
          <w:bCs/>
          <w:sz w:val="24"/>
          <w:szCs w:val="24"/>
          <w:lang w:val="en-US" w:eastAsia="zh-CN"/>
        </w:rPr>
        <w:t>包括</w:t>
      </w:r>
      <w:r>
        <w:rPr>
          <w:rFonts w:hint="eastAsia" w:ascii="宋体" w:hAnsi="宋体"/>
          <w:bCs/>
          <w:sz w:val="24"/>
          <w:szCs w:val="24"/>
        </w:rPr>
        <w:t>基础管控中心、数字督察中心大屏效果图</w:t>
      </w:r>
      <w:r>
        <w:rPr>
          <w:rFonts w:hint="eastAsia" w:ascii="宋体" w:hAnsi="宋体"/>
          <w:bCs/>
          <w:sz w:val="24"/>
          <w:szCs w:val="24"/>
          <w:lang w:val="en-US" w:eastAsia="zh-CN"/>
        </w:rPr>
        <w:t>以及</w:t>
      </w:r>
      <w:r>
        <w:rPr>
          <w:rFonts w:hint="eastAsia" w:ascii="宋体" w:hAnsi="宋体"/>
          <w:bCs/>
          <w:sz w:val="24"/>
          <w:szCs w:val="24"/>
        </w:rPr>
        <w:t>总体平面布置安排。</w:t>
      </w:r>
      <w:r>
        <w:rPr>
          <w:rFonts w:hint="eastAsia" w:asciiTheme="minorEastAsia" w:hAnsiTheme="minorEastAsia"/>
          <w:sz w:val="24"/>
        </w:rPr>
        <w:t>内容表述清晰、理解准确、针对性强且符合用户实际需求且提供详细图纸的得</w:t>
      </w:r>
      <w:r>
        <w:rPr>
          <w:rFonts w:hint="eastAsia" w:asciiTheme="minorEastAsia" w:hAnsiTheme="minorEastAsia"/>
          <w:sz w:val="24"/>
          <w:lang w:val="en-US" w:eastAsia="zh-CN"/>
        </w:rPr>
        <w:t>2</w:t>
      </w:r>
      <w:r>
        <w:rPr>
          <w:rFonts w:hint="eastAsia" w:asciiTheme="minorEastAsia" w:hAnsiTheme="minorEastAsia"/>
          <w:sz w:val="24"/>
        </w:rPr>
        <w:t>分；内容表述较为清晰、理解较为准确、针对性较强的得</w:t>
      </w:r>
      <w:r>
        <w:rPr>
          <w:rFonts w:hint="eastAsia" w:asciiTheme="minorEastAsia" w:hAnsiTheme="minorEastAsia"/>
          <w:sz w:val="24"/>
          <w:lang w:val="en-US" w:eastAsia="zh-CN"/>
        </w:rPr>
        <w:t>1</w:t>
      </w:r>
      <w:r>
        <w:rPr>
          <w:rFonts w:hint="eastAsia" w:asciiTheme="minorEastAsia" w:hAnsiTheme="minorEastAsia"/>
          <w:sz w:val="24"/>
        </w:rPr>
        <w:t>分；内容表述、理解、针对性</w:t>
      </w:r>
      <w:r>
        <w:rPr>
          <w:rFonts w:hint="eastAsia" w:asciiTheme="minorEastAsia" w:hAnsiTheme="minorEastAsia"/>
          <w:sz w:val="24"/>
          <w:lang w:val="en-US" w:eastAsia="zh-CN"/>
        </w:rPr>
        <w:t>不合理</w:t>
      </w:r>
      <w:r>
        <w:rPr>
          <w:rFonts w:hint="eastAsia" w:asciiTheme="minorEastAsia" w:hAnsiTheme="minorEastAsia"/>
          <w:sz w:val="24"/>
        </w:rPr>
        <w:t>的不得分。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③施工进度计划和各阶段进度的保证措施 （</w:t>
      </w:r>
      <w:r>
        <w:rPr>
          <w:rFonts w:ascii="宋体" w:hAnsi="宋体"/>
          <w:bCs/>
          <w:sz w:val="24"/>
          <w:szCs w:val="24"/>
        </w:rPr>
        <w:t>2</w:t>
      </w:r>
      <w:r>
        <w:rPr>
          <w:rFonts w:hint="eastAsia" w:ascii="宋体" w:hAnsi="宋体"/>
          <w:bCs/>
          <w:sz w:val="24"/>
          <w:szCs w:val="24"/>
        </w:rPr>
        <w:t>分）</w:t>
      </w:r>
      <w:r>
        <w:rPr>
          <w:rFonts w:hint="eastAsia" w:ascii="宋体" w:hAnsi="宋体"/>
          <w:bCs/>
          <w:sz w:val="24"/>
          <w:szCs w:val="24"/>
          <w:lang w:eastAsia="zh-CN"/>
        </w:rPr>
        <w:t>：</w:t>
      </w:r>
      <w:r>
        <w:rPr>
          <w:rFonts w:hint="eastAsia" w:asciiTheme="minorEastAsia" w:hAnsiTheme="minorEastAsia"/>
          <w:b/>
          <w:sz w:val="24"/>
        </w:rPr>
        <w:t>包括</w:t>
      </w:r>
      <w:r>
        <w:rPr>
          <w:rFonts w:hint="eastAsia" w:asciiTheme="minorEastAsia" w:hAnsiTheme="minorEastAsia"/>
          <w:b/>
          <w:sz w:val="24"/>
          <w:lang w:val="en-US" w:eastAsia="zh-CN"/>
        </w:rPr>
        <w:t>项目实施计划、项目总体时间及阶段性进度安排</w:t>
      </w:r>
      <w:r>
        <w:rPr>
          <w:rFonts w:hint="eastAsia" w:asciiTheme="minorEastAsia" w:hAnsiTheme="minorEastAsia"/>
          <w:b/>
          <w:sz w:val="24"/>
        </w:rPr>
        <w:t>等。</w:t>
      </w:r>
      <w:r>
        <w:rPr>
          <w:rFonts w:hint="eastAsia" w:asciiTheme="minorEastAsia" w:hAnsiTheme="minorEastAsia"/>
          <w:sz w:val="24"/>
          <w:lang w:val="en-US" w:eastAsia="zh-CN"/>
        </w:rPr>
        <w:t>计划及</w:t>
      </w:r>
      <w:r>
        <w:rPr>
          <w:rFonts w:hint="eastAsia" w:asciiTheme="minorEastAsia" w:hAnsiTheme="minorEastAsia"/>
          <w:sz w:val="24"/>
        </w:rPr>
        <w:t>方案完整、科学、合理、全面的得</w:t>
      </w:r>
      <w:r>
        <w:rPr>
          <w:rFonts w:hint="eastAsia" w:asciiTheme="minorEastAsia" w:hAnsiTheme="minorEastAsia"/>
          <w:sz w:val="24"/>
          <w:lang w:val="en-US" w:eastAsia="zh-CN"/>
        </w:rPr>
        <w:t>2</w:t>
      </w:r>
      <w:r>
        <w:rPr>
          <w:rFonts w:hint="eastAsia" w:asciiTheme="minorEastAsia" w:hAnsiTheme="minorEastAsia"/>
          <w:sz w:val="24"/>
        </w:rPr>
        <w:t>分；</w:t>
      </w:r>
      <w:r>
        <w:rPr>
          <w:rFonts w:hint="eastAsia" w:asciiTheme="minorEastAsia" w:hAnsiTheme="minorEastAsia"/>
          <w:sz w:val="24"/>
          <w:lang w:val="en-US" w:eastAsia="zh-CN"/>
        </w:rPr>
        <w:t>计划及</w:t>
      </w:r>
      <w:r>
        <w:rPr>
          <w:rFonts w:hint="eastAsia" w:asciiTheme="minorEastAsia" w:hAnsiTheme="minorEastAsia"/>
          <w:sz w:val="24"/>
        </w:rPr>
        <w:t>方案较完整、科学、合理、但待完善的得</w:t>
      </w:r>
      <w:r>
        <w:rPr>
          <w:rFonts w:hint="eastAsia" w:asciiTheme="minorEastAsia" w:hAnsiTheme="minorEastAsia"/>
          <w:sz w:val="24"/>
          <w:lang w:val="en-US" w:eastAsia="zh-CN"/>
        </w:rPr>
        <w:t>1</w:t>
      </w:r>
      <w:r>
        <w:rPr>
          <w:rFonts w:hint="eastAsia" w:asciiTheme="minorEastAsia" w:hAnsiTheme="minorEastAsia"/>
          <w:sz w:val="24"/>
        </w:rPr>
        <w:t>分；</w:t>
      </w:r>
      <w:r>
        <w:rPr>
          <w:rFonts w:hint="eastAsia" w:asciiTheme="minorEastAsia" w:hAnsiTheme="minorEastAsia"/>
          <w:sz w:val="24"/>
          <w:lang w:val="en-US" w:eastAsia="zh-CN"/>
        </w:rPr>
        <w:t>计划及</w:t>
      </w:r>
      <w:r>
        <w:rPr>
          <w:rFonts w:hint="eastAsia" w:asciiTheme="minorEastAsia" w:hAnsiTheme="minorEastAsia"/>
          <w:sz w:val="24"/>
        </w:rPr>
        <w:t>方案</w:t>
      </w:r>
      <w:r>
        <w:rPr>
          <w:rFonts w:hint="eastAsia" w:asciiTheme="minorEastAsia" w:hAnsiTheme="minorEastAsia"/>
          <w:sz w:val="24"/>
          <w:lang w:val="en-US" w:eastAsia="zh-CN"/>
        </w:rPr>
        <w:t>不合理</w:t>
      </w:r>
      <w:r>
        <w:rPr>
          <w:rFonts w:hint="eastAsia" w:asciiTheme="minorEastAsia" w:hAnsiTheme="minorEastAsia"/>
          <w:sz w:val="24"/>
        </w:rPr>
        <w:t>的不得分。</w:t>
      </w:r>
    </w:p>
    <w:p>
      <w:pPr>
        <w:tabs>
          <w:tab w:val="left" w:pos="945"/>
          <w:tab w:val="left" w:pos="1155"/>
        </w:tabs>
        <w:spacing w:line="355" w:lineRule="auto"/>
        <w:ind w:firstLine="480" w:firstLineChars="200"/>
        <w:rPr>
          <w:rFonts w:ascii="宋体" w:hAnsi="宋体"/>
          <w:bCs/>
          <w:sz w:val="24"/>
          <w:szCs w:val="24"/>
        </w:rPr>
      </w:pPr>
      <w:r>
        <w:rPr>
          <w:rFonts w:hint="eastAsia" w:ascii="宋体" w:hAnsi="宋体"/>
          <w:bCs/>
          <w:sz w:val="24"/>
          <w:szCs w:val="24"/>
        </w:rPr>
        <w:t>④各分部分项工程的施工方案及质量保证措施（</w:t>
      </w:r>
      <w:r>
        <w:rPr>
          <w:rFonts w:ascii="宋体" w:hAnsi="宋体"/>
          <w:bCs/>
          <w:sz w:val="24"/>
          <w:szCs w:val="24"/>
        </w:rPr>
        <w:t>2</w:t>
      </w:r>
      <w:r>
        <w:rPr>
          <w:rFonts w:hint="eastAsia" w:ascii="宋体" w:hAnsi="宋体"/>
          <w:bCs/>
          <w:sz w:val="24"/>
          <w:szCs w:val="24"/>
        </w:rPr>
        <w:t>分）</w:t>
      </w:r>
      <w:r>
        <w:rPr>
          <w:rFonts w:hint="eastAsia" w:ascii="宋体" w:hAnsi="宋体"/>
          <w:bCs/>
          <w:sz w:val="24"/>
          <w:szCs w:val="24"/>
          <w:lang w:eastAsia="zh-CN"/>
        </w:rPr>
        <w:t>：</w:t>
      </w:r>
      <w:r>
        <w:rPr>
          <w:rFonts w:hint="eastAsia" w:asciiTheme="minorEastAsia" w:hAnsiTheme="minorEastAsia"/>
          <w:b/>
          <w:sz w:val="24"/>
        </w:rPr>
        <w:t>包括详细的质量保障措施及质量保障方法等。</w:t>
      </w:r>
      <w:r>
        <w:rPr>
          <w:rFonts w:hint="eastAsia" w:asciiTheme="minorEastAsia" w:hAnsiTheme="minorEastAsia"/>
          <w:sz w:val="24"/>
        </w:rPr>
        <w:tab/>
      </w:r>
      <w:r>
        <w:rPr>
          <w:rFonts w:hint="eastAsia" w:asciiTheme="minorEastAsia" w:hAnsiTheme="minorEastAsia"/>
          <w:sz w:val="24"/>
        </w:rPr>
        <w:t>措施方案完整、科学、合理、全面的得</w:t>
      </w:r>
      <w:r>
        <w:rPr>
          <w:rFonts w:hint="eastAsia" w:asciiTheme="minorEastAsia" w:hAnsiTheme="minorEastAsia"/>
          <w:sz w:val="24"/>
          <w:lang w:val="en-US" w:eastAsia="zh-CN"/>
        </w:rPr>
        <w:t>2</w:t>
      </w:r>
      <w:r>
        <w:rPr>
          <w:rFonts w:hint="eastAsia" w:asciiTheme="minorEastAsia" w:hAnsiTheme="minorEastAsia"/>
          <w:sz w:val="24"/>
        </w:rPr>
        <w:t>分；措施方案较完整、科学、合理、但待完善的得</w:t>
      </w:r>
      <w:r>
        <w:rPr>
          <w:rFonts w:hint="eastAsia" w:asciiTheme="minorEastAsia" w:hAnsiTheme="minorEastAsia"/>
          <w:sz w:val="24"/>
          <w:lang w:val="en-US" w:eastAsia="zh-CN"/>
        </w:rPr>
        <w:t>1</w:t>
      </w:r>
      <w:r>
        <w:rPr>
          <w:rFonts w:hint="eastAsia" w:asciiTheme="minorEastAsia" w:hAnsiTheme="minorEastAsia"/>
          <w:sz w:val="24"/>
        </w:rPr>
        <w:t>分；措施方案</w:t>
      </w:r>
      <w:r>
        <w:rPr>
          <w:rFonts w:hint="eastAsia" w:asciiTheme="minorEastAsia" w:hAnsiTheme="minorEastAsia"/>
          <w:sz w:val="24"/>
          <w:lang w:val="en-US" w:eastAsia="zh-CN"/>
        </w:rPr>
        <w:t>不合理</w:t>
      </w:r>
      <w:r>
        <w:rPr>
          <w:rFonts w:hint="eastAsia" w:asciiTheme="minorEastAsia" w:hAnsiTheme="minorEastAsia"/>
          <w:sz w:val="24"/>
        </w:rPr>
        <w:t>的不得分。</w:t>
      </w:r>
    </w:p>
    <w:p>
      <w:pPr>
        <w:tabs>
          <w:tab w:val="left" w:pos="945"/>
          <w:tab w:val="left" w:pos="1155"/>
        </w:tabs>
        <w:spacing w:line="355" w:lineRule="auto"/>
        <w:ind w:firstLine="480" w:firstLineChars="200"/>
        <w:rPr>
          <w:rFonts w:ascii="宋体" w:hAnsi="宋体" w:cs="宋体"/>
          <w:b/>
          <w:sz w:val="24"/>
          <w:szCs w:val="24"/>
        </w:rPr>
      </w:pPr>
      <w:r>
        <w:rPr>
          <w:rFonts w:hint="eastAsia" w:asciiTheme="minorEastAsia" w:hAnsiTheme="minorEastAsia"/>
          <w:bCs w:val="0"/>
          <w:sz w:val="24"/>
          <w:szCs w:val="22"/>
        </w:rPr>
        <w:t>⑤项目售后及培训方案（2分）</w:t>
      </w:r>
      <w:r>
        <w:rPr>
          <w:rFonts w:hint="eastAsia" w:asciiTheme="minorEastAsia" w:hAnsiTheme="minorEastAsia"/>
          <w:bCs w:val="0"/>
          <w:sz w:val="24"/>
          <w:szCs w:val="22"/>
          <w:lang w:eastAsia="zh-CN"/>
        </w:rPr>
        <w:t>：</w:t>
      </w:r>
      <w:r>
        <w:rPr>
          <w:rFonts w:hint="eastAsia" w:asciiTheme="minorEastAsia" w:hAnsiTheme="minorEastAsia"/>
          <w:b w:val="0"/>
          <w:sz w:val="24"/>
        </w:rPr>
        <w:t>包括培训的时间、地点、师资的落实等具体方案。</w:t>
      </w:r>
      <w:r>
        <w:rPr>
          <w:rFonts w:hint="eastAsia" w:asciiTheme="minorEastAsia" w:hAnsiTheme="minorEastAsia"/>
          <w:sz w:val="24"/>
        </w:rPr>
        <w:t>培训方案完整、科学、合理、全面的得</w:t>
      </w:r>
      <w:r>
        <w:rPr>
          <w:rFonts w:hint="eastAsia" w:asciiTheme="minorEastAsia" w:hAnsiTheme="minorEastAsia"/>
          <w:sz w:val="24"/>
          <w:lang w:val="en-US" w:eastAsia="zh-CN"/>
        </w:rPr>
        <w:t>2</w:t>
      </w:r>
      <w:r>
        <w:rPr>
          <w:rFonts w:hint="eastAsia" w:asciiTheme="minorEastAsia" w:hAnsiTheme="minorEastAsia"/>
          <w:sz w:val="24"/>
        </w:rPr>
        <w:t>分；培训方案较完整、科学、合理、但待完善的得</w:t>
      </w:r>
      <w:r>
        <w:rPr>
          <w:rFonts w:hint="eastAsia" w:asciiTheme="minorEastAsia" w:hAnsiTheme="minorEastAsia"/>
          <w:sz w:val="24"/>
          <w:lang w:val="en-US" w:eastAsia="zh-CN"/>
        </w:rPr>
        <w:t>1</w:t>
      </w:r>
      <w:r>
        <w:rPr>
          <w:rFonts w:hint="eastAsia" w:asciiTheme="minorEastAsia" w:hAnsiTheme="minorEastAsia"/>
          <w:sz w:val="24"/>
        </w:rPr>
        <w:t>分；培训方案</w:t>
      </w:r>
      <w:r>
        <w:rPr>
          <w:rFonts w:hint="eastAsia" w:asciiTheme="minorEastAsia" w:hAnsiTheme="minorEastAsia"/>
          <w:sz w:val="24"/>
          <w:lang w:val="en-US" w:eastAsia="zh-CN"/>
        </w:rPr>
        <w:t>不合理</w:t>
      </w:r>
      <w:r>
        <w:rPr>
          <w:rFonts w:hint="eastAsia" w:asciiTheme="minorEastAsia" w:hAnsiTheme="minorEastAsia"/>
          <w:sz w:val="24"/>
        </w:rPr>
        <w:t>的不得分。</w:t>
      </w:r>
    </w:p>
    <w:p>
      <w:pPr>
        <w:tabs>
          <w:tab w:val="left" w:pos="510"/>
          <w:tab w:val="left" w:pos="945"/>
          <w:tab w:val="left" w:pos="1155"/>
          <w:tab w:val="left" w:pos="3823"/>
        </w:tabs>
        <w:spacing w:line="360" w:lineRule="auto"/>
        <w:ind w:firstLine="240" w:firstLineChars="100"/>
        <w:rPr>
          <w:rFonts w:ascii="宋体" w:hAnsi="宋体" w:cs="宋体"/>
          <w:b/>
          <w:bCs/>
          <w:sz w:val="24"/>
          <w:szCs w:val="24"/>
        </w:rPr>
      </w:pPr>
      <w:r>
        <w:rPr>
          <w:rFonts w:hint="eastAsia" w:ascii="宋体" w:hAnsi="宋体" w:cs="宋体"/>
          <w:b/>
          <w:bCs/>
          <w:sz w:val="24"/>
          <w:szCs w:val="24"/>
        </w:rPr>
        <w:t>（5）加分因素（3分）：</w:t>
      </w:r>
    </w:p>
    <w:p>
      <w:pPr>
        <w:pStyle w:val="113"/>
        <w:numPr>
          <w:ilvl w:val="0"/>
          <w:numId w:val="19"/>
        </w:numPr>
        <w:tabs>
          <w:tab w:val="left" w:pos="945"/>
          <w:tab w:val="left" w:pos="1155"/>
        </w:tabs>
        <w:spacing w:line="360" w:lineRule="auto"/>
        <w:ind w:left="0" w:firstLine="480"/>
        <w:rPr>
          <w:rFonts w:ascii="宋体" w:hAnsi="宋体" w:cs="宋体"/>
          <w:bCs/>
          <w:sz w:val="24"/>
          <w:szCs w:val="24"/>
        </w:rPr>
      </w:pPr>
      <w:r>
        <w:rPr>
          <w:rFonts w:hint="eastAsia" w:ascii="宋体" w:hAnsi="宋体" w:cs="宋体"/>
          <w:bCs/>
          <w:sz w:val="24"/>
          <w:szCs w:val="24"/>
        </w:rPr>
        <w:t>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扫描件、环境标志产品认证证书扫描件，否则不得分）。</w:t>
      </w:r>
    </w:p>
    <w:p>
      <w:pPr>
        <w:pStyle w:val="113"/>
        <w:numPr>
          <w:ilvl w:val="0"/>
          <w:numId w:val="19"/>
        </w:numPr>
        <w:tabs>
          <w:tab w:val="left" w:pos="945"/>
          <w:tab w:val="left" w:pos="1155"/>
        </w:tabs>
        <w:spacing w:line="360" w:lineRule="auto"/>
        <w:ind w:left="0" w:firstLine="480"/>
        <w:rPr>
          <w:rFonts w:ascii="宋体" w:hAnsi="宋体" w:cs="宋体"/>
          <w:bCs/>
          <w:sz w:val="24"/>
          <w:szCs w:val="24"/>
        </w:rPr>
      </w:pPr>
      <w:r>
        <w:rPr>
          <w:rFonts w:hint="eastAsia" w:ascii="宋体" w:hAnsi="宋体" w:cs="宋体"/>
          <w:bCs/>
          <w:sz w:val="24"/>
          <w:szCs w:val="24"/>
        </w:rPr>
        <w:t>依据《江苏省财政厅关于加强政府绿色采购有关事项的通知》（苏财购〔2023〕65号），本项目中如有涉及涂料、胶黏剂、油墨、清洗剂等挥发性有机物产品的，属于强制性标准的，供应商应当执行国家和我省VOCs含量限制标准。供应商提供符合推荐性标准的涂料、胶黏剂、油墨、清洗剂等挥发性有机物产品的或者在通用类货物、家具、印刷、公务车辆维修等采购项目中，供应商能够优先使用低挥发性原辅材料的加1分（投标时须提供相应使用低VOCs 含量的有效证明材料，否则不得分）。</w:t>
      </w:r>
    </w:p>
    <w:p>
      <w:pPr>
        <w:spacing w:line="360" w:lineRule="auto"/>
        <w:rPr>
          <w:rFonts w:ascii="宋体" w:hAnsi="宋体" w:cs="宋体"/>
          <w:kern w:val="0"/>
          <w:sz w:val="24"/>
          <w:szCs w:val="24"/>
        </w:rPr>
      </w:pPr>
    </w:p>
    <w:p>
      <w:pPr>
        <w:spacing w:line="360" w:lineRule="auto"/>
        <w:jc w:val="left"/>
        <w:rPr>
          <w:rFonts w:ascii="黑体" w:eastAsia="黑体"/>
          <w:bCs/>
          <w:sz w:val="24"/>
          <w:szCs w:val="24"/>
        </w:rPr>
      </w:pPr>
      <w:r>
        <w:rPr>
          <w:rFonts w:hint="eastAsia" w:ascii="宋体" w:hAnsi="宋体" w:cs="宋体"/>
          <w:bCs/>
          <w:sz w:val="24"/>
          <w:szCs w:val="24"/>
        </w:rPr>
        <w:br w:type="page"/>
      </w:r>
      <w:r>
        <w:rPr>
          <w:rFonts w:hint="eastAsia" w:ascii="黑体" w:eastAsia="黑体"/>
          <w:bCs/>
          <w:sz w:val="24"/>
          <w:szCs w:val="24"/>
        </w:rPr>
        <w:t>附件二：投标文件格式</w:t>
      </w:r>
    </w:p>
    <w:p>
      <w:pPr>
        <w:rPr>
          <w:rFonts w:ascii="黑体" w:eastAsia="黑体"/>
          <w:bCs/>
          <w:sz w:val="32"/>
        </w:rPr>
      </w:pPr>
    </w:p>
    <w:p>
      <w:pPr>
        <w:rPr>
          <w:rFonts w:ascii="黑体" w:eastAsia="黑体"/>
          <w:bCs/>
          <w:sz w:val="32"/>
        </w:rPr>
      </w:pPr>
    </w:p>
    <w:p>
      <w:pPr>
        <w:jc w:val="center"/>
        <w:rPr>
          <w:rFonts w:ascii="黑体" w:eastAsia="黑体"/>
          <w:bCs/>
          <w:sz w:val="52"/>
          <w:szCs w:val="52"/>
        </w:rPr>
      </w:pPr>
      <w:r>
        <w:rPr>
          <w:rFonts w:hint="eastAsia" w:ascii="黑体" w:eastAsia="黑体"/>
          <w:bCs/>
          <w:sz w:val="52"/>
          <w:szCs w:val="52"/>
        </w:rPr>
        <w:t>投</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标</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文</w:t>
      </w:r>
    </w:p>
    <w:p>
      <w:pPr>
        <w:jc w:val="center"/>
        <w:rPr>
          <w:rFonts w:ascii="黑体" w:eastAsia="黑体"/>
          <w:bCs/>
          <w:sz w:val="52"/>
          <w:szCs w:val="52"/>
        </w:rPr>
      </w:pPr>
    </w:p>
    <w:p>
      <w:pPr>
        <w:jc w:val="center"/>
        <w:rPr>
          <w:rFonts w:ascii="黑体" w:eastAsia="黑体"/>
          <w:bCs/>
          <w:sz w:val="52"/>
          <w:szCs w:val="52"/>
        </w:rPr>
      </w:pPr>
      <w:r>
        <w:rPr>
          <w:rFonts w:hint="eastAsia" w:ascii="黑体" w:eastAsia="黑体"/>
          <w:bCs/>
          <w:sz w:val="52"/>
          <w:szCs w:val="52"/>
        </w:rPr>
        <w:t>件</w:t>
      </w:r>
    </w:p>
    <w:p>
      <w:pPr>
        <w:rPr>
          <w:rFonts w:ascii="楷体_GB2312" w:eastAsia="楷体_GB2312"/>
          <w:bCs/>
          <w:sz w:val="72"/>
        </w:rPr>
      </w:pPr>
    </w:p>
    <w:p>
      <w:pPr>
        <w:rPr>
          <w:rFonts w:ascii="楷体_GB2312" w:eastAsia="楷体_GB2312"/>
          <w:bCs/>
          <w:sz w:val="28"/>
        </w:rPr>
      </w:pPr>
    </w:p>
    <w:p>
      <w:pPr>
        <w:ind w:firstLine="2800" w:firstLineChars="1000"/>
        <w:rPr>
          <w:rFonts w:hint="default" w:ascii="黑体" w:eastAsia="黑体"/>
          <w:bCs/>
          <w:sz w:val="28"/>
          <w:szCs w:val="28"/>
          <w:lang w:val="en-US" w:eastAsia="zh-CN"/>
        </w:rPr>
      </w:pPr>
      <w:r>
        <w:rPr>
          <w:rFonts w:hint="eastAsia" w:ascii="黑体" w:eastAsia="黑体"/>
          <w:bCs/>
          <w:sz w:val="28"/>
          <w:szCs w:val="28"/>
        </w:rPr>
        <w:t>采购项目编号：WXXWQJC2023-</w:t>
      </w:r>
      <w:r>
        <w:rPr>
          <w:rFonts w:hint="eastAsia" w:ascii="黑体" w:eastAsia="黑体"/>
          <w:bCs/>
          <w:sz w:val="28"/>
          <w:szCs w:val="28"/>
          <w:lang w:val="en-US" w:eastAsia="zh-CN"/>
        </w:rPr>
        <w:t>109</w:t>
      </w:r>
    </w:p>
    <w:p>
      <w:pPr>
        <w:ind w:left="4753" w:leftChars="1330" w:hanging="1960" w:hangingChars="700"/>
        <w:rPr>
          <w:rFonts w:hint="eastAsia" w:ascii="黑体" w:eastAsia="黑体"/>
          <w:bCs/>
          <w:sz w:val="28"/>
          <w:szCs w:val="28"/>
        </w:rPr>
      </w:pPr>
      <w:r>
        <w:rPr>
          <w:rFonts w:hint="eastAsia" w:ascii="黑体" w:eastAsia="黑体"/>
          <w:bCs/>
          <w:sz w:val="28"/>
          <w:szCs w:val="28"/>
        </w:rPr>
        <w:t>采购项目名称：基础管控中心大屏及数字督察中心大屏</w:t>
      </w:r>
    </w:p>
    <w:p>
      <w:pPr>
        <w:ind w:left="4748" w:leftChars="2261" w:firstLine="0" w:firstLineChars="0"/>
        <w:rPr>
          <w:rFonts w:ascii="黑体" w:eastAsia="黑体"/>
          <w:bCs/>
          <w:sz w:val="28"/>
          <w:szCs w:val="28"/>
        </w:rPr>
      </w:pPr>
      <w:r>
        <w:rPr>
          <w:rFonts w:hint="eastAsia" w:ascii="黑体" w:eastAsia="黑体"/>
          <w:bCs/>
          <w:sz w:val="28"/>
          <w:szCs w:val="28"/>
        </w:rPr>
        <w:t>采购项目</w:t>
      </w:r>
    </w:p>
    <w:p>
      <w:pPr>
        <w:ind w:firstLine="2800" w:firstLineChars="1000"/>
        <w:rPr>
          <w:rFonts w:ascii="黑体" w:eastAsia="黑体"/>
          <w:bCs/>
          <w:sz w:val="28"/>
          <w:szCs w:val="28"/>
        </w:rPr>
      </w:pPr>
      <w:r>
        <w:rPr>
          <w:rFonts w:hint="eastAsia" w:ascii="黑体" w:eastAsia="黑体"/>
          <w:bCs/>
          <w:sz w:val="28"/>
          <w:szCs w:val="28"/>
        </w:rPr>
        <w:t>投标人：</w:t>
      </w:r>
    </w:p>
    <w:p>
      <w:pPr>
        <w:rPr>
          <w:rFonts w:ascii="黑体" w:eastAsia="黑体"/>
          <w:bCs/>
          <w:sz w:val="32"/>
        </w:rPr>
      </w:pPr>
    </w:p>
    <w:p>
      <w:pPr>
        <w:jc w:val="center"/>
        <w:rPr>
          <w:rFonts w:ascii="黑体" w:eastAsia="黑体"/>
          <w:bCs/>
          <w:sz w:val="36"/>
          <w:szCs w:val="36"/>
        </w:rPr>
      </w:pPr>
      <w:bookmarkStart w:id="13" w:name="一．报价函（格式）"/>
      <w:bookmarkEnd w:id="13"/>
      <w:r>
        <w:rPr>
          <w:rFonts w:hint="eastAsia" w:ascii="黑体" w:eastAsia="黑体"/>
          <w:bCs/>
          <w:sz w:val="36"/>
          <w:szCs w:val="36"/>
        </w:rPr>
        <w:t>二○</w:t>
      </w:r>
      <w:r>
        <w:rPr>
          <w:rFonts w:ascii="黑体" w:eastAsia="黑体"/>
          <w:bCs/>
          <w:sz w:val="36"/>
          <w:szCs w:val="36"/>
        </w:rPr>
        <w:t xml:space="preserve">  </w:t>
      </w:r>
      <w:r>
        <w:rPr>
          <w:rFonts w:hint="eastAsia" w:ascii="黑体" w:eastAsia="黑体"/>
          <w:bCs/>
          <w:sz w:val="36"/>
          <w:szCs w:val="36"/>
        </w:rPr>
        <w:t>年</w:t>
      </w:r>
      <w:r>
        <w:rPr>
          <w:rFonts w:ascii="黑体" w:eastAsia="黑体"/>
          <w:bCs/>
          <w:sz w:val="36"/>
          <w:szCs w:val="36"/>
        </w:rPr>
        <w:t xml:space="preserve">  </w:t>
      </w:r>
      <w:r>
        <w:rPr>
          <w:rFonts w:hint="eastAsia" w:ascii="黑体" w:eastAsia="黑体"/>
          <w:bCs/>
          <w:sz w:val="36"/>
          <w:szCs w:val="36"/>
        </w:rPr>
        <w:t>月</w:t>
      </w:r>
      <w:r>
        <w:rPr>
          <w:rFonts w:ascii="黑体" w:eastAsia="黑体"/>
          <w:bCs/>
          <w:sz w:val="36"/>
          <w:szCs w:val="36"/>
        </w:rPr>
        <w:t xml:space="preserve">  </w:t>
      </w:r>
      <w:r>
        <w:rPr>
          <w:rFonts w:hint="eastAsia" w:ascii="黑体" w:eastAsia="黑体"/>
          <w:bCs/>
          <w:sz w:val="36"/>
          <w:szCs w:val="36"/>
        </w:rPr>
        <w:t>日</w:t>
      </w: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（一）投标函（格式）：</w:t>
      </w:r>
    </w:p>
    <w:p>
      <w:pPr>
        <w:outlineLvl w:val="0"/>
        <w:rPr>
          <w:rFonts w:ascii="宋体"/>
          <w:b/>
          <w:bCs/>
          <w:sz w:val="24"/>
          <w:szCs w:val="24"/>
        </w:rPr>
      </w:pPr>
    </w:p>
    <w:p>
      <w:pPr>
        <w:spacing w:line="360" w:lineRule="auto"/>
        <w:jc w:val="center"/>
        <w:rPr>
          <w:rFonts w:ascii="宋体"/>
          <w:bCs/>
          <w:sz w:val="24"/>
          <w:szCs w:val="24"/>
        </w:rPr>
      </w:pPr>
      <w:r>
        <w:rPr>
          <w:rFonts w:hint="eastAsia" w:ascii="黑体" w:eastAsia="黑体"/>
          <w:bCs/>
          <w:sz w:val="28"/>
          <w:szCs w:val="28"/>
        </w:rPr>
        <w:t>投标函</w:t>
      </w:r>
    </w:p>
    <w:p>
      <w:pPr>
        <w:spacing w:line="360" w:lineRule="auto"/>
        <w:rPr>
          <w:rFonts w:ascii="宋体"/>
          <w:bCs/>
          <w:sz w:val="24"/>
          <w:szCs w:val="24"/>
        </w:rPr>
      </w:pPr>
      <w:r>
        <w:rPr>
          <w:rFonts w:hint="eastAsia" w:ascii="宋体" w:hAnsi="宋体"/>
          <w:bCs/>
          <w:sz w:val="24"/>
          <w:szCs w:val="24"/>
        </w:rPr>
        <w:t>致无锡市公共资源交易中心新吴分中心：</w:t>
      </w:r>
    </w:p>
    <w:p>
      <w:pPr>
        <w:spacing w:line="360" w:lineRule="auto"/>
        <w:ind w:firstLine="480" w:firstLineChars="200"/>
        <w:rPr>
          <w:rFonts w:asci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我方收到贵方编号WXXWQJC2023-</w:t>
      </w:r>
      <w:r>
        <w:rPr>
          <w:rFonts w:hint="eastAsia" w:ascii="宋体" w:hAnsi="宋体"/>
          <w:bCs/>
          <w:sz w:val="24"/>
          <w:szCs w:val="24"/>
          <w:lang w:val="en-US" w:eastAsia="zh-CN"/>
        </w:rPr>
        <w:t>109</w:t>
      </w:r>
      <w:r>
        <w:rPr>
          <w:rFonts w:hint="eastAsia" w:ascii="宋体" w:hAnsi="宋体"/>
          <w:bCs/>
          <w:sz w:val="24"/>
          <w:szCs w:val="24"/>
        </w:rPr>
        <w:t>招标文件，经仔细阅读和研究，我方决定参加此项目的投标。</w:t>
      </w:r>
    </w:p>
    <w:p>
      <w:pPr>
        <w:numPr>
          <w:ilvl w:val="0"/>
          <w:numId w:val="20"/>
        </w:numPr>
        <w:tabs>
          <w:tab w:val="left" w:pos="315"/>
          <w:tab w:val="left" w:pos="840"/>
          <w:tab w:val="left" w:pos="945"/>
          <w:tab w:val="left" w:pos="1050"/>
          <w:tab w:val="left" w:pos="1260"/>
          <w:tab w:val="clear" w:pos="552"/>
        </w:tabs>
        <w:spacing w:line="360" w:lineRule="auto"/>
        <w:ind w:left="0" w:firstLine="525"/>
        <w:rPr>
          <w:rFonts w:ascii="宋体"/>
          <w:bCs/>
          <w:sz w:val="24"/>
          <w:szCs w:val="24"/>
        </w:rPr>
      </w:pPr>
      <w:r>
        <w:rPr>
          <w:rFonts w:hint="eastAsia" w:ascii="宋体" w:hAnsi="宋体"/>
          <w:bCs/>
          <w:sz w:val="24"/>
          <w:szCs w:val="24"/>
        </w:rPr>
        <w:t>我方愿意按照招标文件的一切要求，提供本项目的投标，投标总价见《开标一览表》。</w:t>
      </w:r>
    </w:p>
    <w:p>
      <w:pPr>
        <w:numPr>
          <w:ilvl w:val="0"/>
          <w:numId w:val="20"/>
        </w:numPr>
        <w:tabs>
          <w:tab w:val="left" w:pos="0"/>
          <w:tab w:val="left" w:pos="315"/>
          <w:tab w:val="left" w:pos="525"/>
          <w:tab w:val="left" w:pos="840"/>
          <w:tab w:val="left" w:pos="945"/>
          <w:tab w:val="left" w:pos="1050"/>
          <w:tab w:val="clear" w:pos="552"/>
        </w:tabs>
        <w:spacing w:line="360" w:lineRule="auto"/>
        <w:ind w:left="0" w:firstLine="523" w:firstLineChars="218"/>
        <w:rPr>
          <w:rStyle w:val="33"/>
          <w:rFonts w:hAnsi="Times New Roman" w:cs="Times New Roman"/>
          <w:bCs/>
        </w:rPr>
      </w:pPr>
      <w:r>
        <w:rPr>
          <w:rFonts w:hint="eastAsia" w:ascii="宋体" w:hAnsi="宋体"/>
          <w:bCs/>
          <w:sz w:val="24"/>
          <w:szCs w:val="24"/>
        </w:rPr>
        <w:t>我方愿意提供无锡市公共资源交易中心新吴分中心在招标文件中要求的文件、资料。</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我方同意按招标文件中的规定，本投标文件投标的有效期限为开标之日起</w:t>
      </w:r>
      <w:r>
        <w:rPr>
          <w:rFonts w:ascii="宋体" w:hAnsi="宋体"/>
          <w:bCs/>
          <w:sz w:val="24"/>
          <w:szCs w:val="24"/>
        </w:rPr>
        <w:t>90</w:t>
      </w:r>
      <w:r>
        <w:rPr>
          <w:rFonts w:hint="eastAsia" w:ascii="宋体" w:hAnsi="宋体"/>
          <w:bCs/>
          <w:sz w:val="24"/>
          <w:szCs w:val="24"/>
        </w:rPr>
        <w:t>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如果我方的投标文件被接受，我方将履行招标文件中规定的每一项要求，按期、按质、按量，完成交货任务。</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我方认为贵中心有权决定中标者。</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我方愿意遵守《中华人民共和国政府采购法》，并按《中华人民共和国民法典》、财政部《政府采购货物和服务招标投标管理办法》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我方认可并遵守招标文件的所有规定，放弃对招标文件提出质疑的权利。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如我方在投标截止期后撤回投标及中标后拒绝遵守投标承诺或拒绝在规定的时间内与采购人签订合同，则接受政府采购监督管理部门的处理。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如果我方被确定为中标供应商，我方愿意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sz w:val="24"/>
          <w:szCs w:val="24"/>
        </w:rPr>
      </w:pPr>
    </w:p>
    <w:p>
      <w:pPr>
        <w:spacing w:line="400" w:lineRule="exact"/>
        <w:ind w:firstLine="480" w:firstLineChars="200"/>
        <w:rPr>
          <w:rFonts w:ascii="宋体"/>
          <w:bCs/>
          <w:sz w:val="24"/>
          <w:szCs w:val="24"/>
        </w:rPr>
      </w:pPr>
      <w:r>
        <w:rPr>
          <w:rFonts w:hint="eastAsia" w:ascii="宋体" w:hAnsi="宋体"/>
          <w:bCs/>
          <w:sz w:val="24"/>
          <w:szCs w:val="24"/>
        </w:rPr>
        <w:t>投标人（盖章）：</w:t>
      </w:r>
    </w:p>
    <w:p>
      <w:pPr>
        <w:spacing w:line="400" w:lineRule="exact"/>
        <w:ind w:firstLine="480" w:firstLineChars="200"/>
        <w:rPr>
          <w:rFonts w:ascii="宋体"/>
          <w:bCs/>
          <w:sz w:val="24"/>
          <w:szCs w:val="24"/>
        </w:rPr>
      </w:pPr>
      <w:r>
        <w:rPr>
          <w:rFonts w:hint="eastAsia" w:ascii="宋体" w:hAnsi="宋体"/>
          <w:bCs/>
          <w:sz w:val="24"/>
          <w:szCs w:val="24"/>
        </w:rPr>
        <w:t>法定代表人或法定代表人授权代表签字或盖章：</w:t>
      </w:r>
    </w:p>
    <w:p>
      <w:pPr>
        <w:spacing w:line="400" w:lineRule="exact"/>
        <w:ind w:firstLine="480" w:firstLineChars="200"/>
        <w:rPr>
          <w:rFonts w:ascii="宋体"/>
          <w:bCs/>
          <w:sz w:val="24"/>
          <w:szCs w:val="24"/>
        </w:rPr>
      </w:pPr>
      <w:r>
        <w:rPr>
          <w:rFonts w:hint="eastAsia" w:ascii="宋体" w:hAnsi="宋体"/>
          <w:bCs/>
          <w:sz w:val="24"/>
          <w:szCs w:val="24"/>
        </w:rPr>
        <w:t>电话：                              传真：</w:t>
      </w:r>
    </w:p>
    <w:p>
      <w:pPr>
        <w:spacing w:line="400" w:lineRule="exact"/>
        <w:ind w:firstLine="480" w:firstLineChars="200"/>
        <w:rPr>
          <w:rFonts w:ascii="宋体" w:hAnsi="宋体"/>
          <w:bCs/>
          <w:sz w:val="24"/>
          <w:szCs w:val="24"/>
        </w:rPr>
      </w:pPr>
      <w:r>
        <w:rPr>
          <w:rFonts w:hint="eastAsia" w:ascii="宋体" w:hAnsi="宋体"/>
          <w:bCs/>
          <w:sz w:val="24"/>
          <w:szCs w:val="24"/>
        </w:rPr>
        <w:t>通讯地址：                          邮编：</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（二）（投标人）关于资格的声明函（格式）：</w:t>
      </w:r>
    </w:p>
    <w:p>
      <w:pPr>
        <w:spacing w:line="360" w:lineRule="auto"/>
        <w:rPr>
          <w:rFonts w:ascii="黑体" w:eastAsia="黑体"/>
          <w:bCs/>
          <w:sz w:val="36"/>
        </w:rPr>
      </w:pPr>
    </w:p>
    <w:p>
      <w:pPr>
        <w:jc w:val="center"/>
        <w:outlineLvl w:val="0"/>
        <w:rPr>
          <w:rFonts w:ascii="黑体" w:eastAsia="黑体"/>
          <w:bCs/>
          <w:sz w:val="28"/>
          <w:szCs w:val="28"/>
        </w:rPr>
      </w:pPr>
      <w:bookmarkStart w:id="14" w:name="报价方关于资格的声明函（格式）"/>
      <w:bookmarkEnd w:id="14"/>
      <w:r>
        <w:rPr>
          <w:rFonts w:hint="eastAsia" w:ascii="黑体" w:eastAsia="黑体"/>
          <w:bCs/>
          <w:sz w:val="28"/>
          <w:szCs w:val="28"/>
        </w:rPr>
        <w:t>关于资格的声明函</w:t>
      </w:r>
    </w:p>
    <w:p>
      <w:pPr>
        <w:jc w:val="center"/>
        <w:rPr>
          <w:rFonts w:ascii="黑体" w:eastAsia="黑体"/>
          <w:bCs/>
          <w:sz w:val="32"/>
        </w:rPr>
      </w:pPr>
    </w:p>
    <w:p>
      <w:pPr>
        <w:spacing w:line="480" w:lineRule="auto"/>
        <w:jc w:val="center"/>
        <w:rPr>
          <w:rFonts w:ascii="宋体"/>
          <w:bCs/>
          <w:sz w:val="24"/>
          <w:szCs w:val="24"/>
        </w:rPr>
      </w:pPr>
      <w:r>
        <w:rPr>
          <w:rFonts w:hint="eastAsia" w:ascii="宋体" w:hAnsi="宋体"/>
          <w:bCs/>
          <w:sz w:val="24"/>
          <w:szCs w:val="24"/>
        </w:rPr>
        <w:t>采购项目编号：</w:t>
      </w:r>
    </w:p>
    <w:p>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rPr>
        <w:t>无锡市公共资源交易中心新吴分中心：</w:t>
      </w:r>
    </w:p>
    <w:p>
      <w:pPr>
        <w:spacing w:line="480" w:lineRule="auto"/>
        <w:rPr>
          <w:rFonts w:ascii="宋体"/>
          <w:bCs/>
          <w:sz w:val="24"/>
          <w:szCs w:val="24"/>
        </w:rPr>
      </w:pP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WXXWQJC2023-</w:t>
      </w:r>
      <w:r>
        <w:rPr>
          <w:rFonts w:hint="eastAsia" w:ascii="黑体" w:eastAsia="黑体"/>
          <w:bCs/>
          <w:sz w:val="24"/>
          <w:szCs w:val="24"/>
          <w:lang w:val="en-US" w:eastAsia="zh-CN"/>
        </w:rPr>
        <w:t>109</w:t>
      </w:r>
      <w:r>
        <w:rPr>
          <w:rFonts w:hint="eastAsia" w:ascii="黑体" w:eastAsia="黑体"/>
          <w:bCs/>
          <w:sz w:val="24"/>
          <w:szCs w:val="24"/>
        </w:rPr>
        <w:t>）</w:t>
      </w:r>
      <w:r>
        <w:rPr>
          <w:rFonts w:hint="eastAsia" w:ascii="宋体" w:hAnsi="宋体"/>
          <w:bCs/>
          <w:sz w:val="24"/>
          <w:szCs w:val="24"/>
        </w:rPr>
        <w:t>政府采购活动前三年内，在经营活动中没有重大违法记录，我公司（单位）愿针对本次项目（</w:t>
      </w:r>
      <w:r>
        <w:rPr>
          <w:rFonts w:hint="eastAsia" w:ascii="黑体" w:eastAsia="黑体"/>
          <w:bCs/>
          <w:sz w:val="24"/>
          <w:szCs w:val="24"/>
        </w:rPr>
        <w:t>WXXWQJC2023-</w:t>
      </w:r>
      <w:r>
        <w:rPr>
          <w:rFonts w:hint="eastAsia" w:ascii="黑体" w:eastAsia="黑体"/>
          <w:bCs/>
          <w:sz w:val="24"/>
          <w:szCs w:val="24"/>
          <w:lang w:val="en-US" w:eastAsia="zh-CN"/>
        </w:rPr>
        <w:t>109</w:t>
      </w:r>
      <w:r>
        <w:rPr>
          <w:rFonts w:hint="eastAsia" w:ascii="黑体" w:eastAsia="黑体"/>
          <w:bCs/>
          <w:sz w:val="24"/>
          <w:szCs w:val="24"/>
        </w:rPr>
        <w:t>）</w:t>
      </w:r>
      <w:r>
        <w:rPr>
          <w:rFonts w:hint="eastAsia" w:ascii="宋体" w:hAnsi="宋体"/>
          <w:bCs/>
          <w:sz w:val="24"/>
          <w:szCs w:val="24"/>
        </w:rPr>
        <w:t>进行投标，投标文件中所有关于投标资格的文件、证明、陈述均是真实的、准确的。若有违背，我公司（单位）愿意承担由此而产生的一切后果。</w:t>
      </w:r>
    </w:p>
    <w:p>
      <w:pPr>
        <w:spacing w:line="480" w:lineRule="auto"/>
        <w:rPr>
          <w:rFonts w:ascii="宋体"/>
          <w:bCs/>
          <w:sz w:val="24"/>
          <w:szCs w:val="24"/>
        </w:rPr>
      </w:pPr>
    </w:p>
    <w:p>
      <w:pPr>
        <w:spacing w:line="480" w:lineRule="auto"/>
        <w:ind w:firstLine="3960" w:firstLineChars="1650"/>
        <w:rPr>
          <w:rFonts w:ascii="宋体"/>
          <w:bCs/>
          <w:sz w:val="24"/>
          <w:szCs w:val="24"/>
        </w:rPr>
      </w:pPr>
      <w:r>
        <w:rPr>
          <w:rFonts w:hint="eastAsia" w:ascii="宋体" w:hAnsi="宋体"/>
          <w:bCs/>
          <w:sz w:val="24"/>
          <w:szCs w:val="24"/>
        </w:rPr>
        <w:t>投标人（盖章）：</w:t>
      </w:r>
    </w:p>
    <w:p>
      <w:pPr>
        <w:spacing w:line="480" w:lineRule="auto"/>
        <w:ind w:firstLine="360" w:firstLineChars="150"/>
        <w:rPr>
          <w:rFonts w:ascii="宋体"/>
          <w:bCs/>
          <w:sz w:val="24"/>
          <w:szCs w:val="24"/>
        </w:rPr>
      </w:pPr>
      <w:r>
        <w:rPr>
          <w:rFonts w:hint="eastAsia" w:ascii="宋体" w:hAnsi="宋体"/>
          <w:bCs/>
          <w:sz w:val="24"/>
          <w:szCs w:val="24"/>
        </w:rPr>
        <w:t>法定代表人或法定代表人授权代表（签字或盖章）：</w:t>
      </w:r>
    </w:p>
    <w:p>
      <w:pPr>
        <w:spacing w:line="480" w:lineRule="auto"/>
        <w:rPr>
          <w:rFonts w:ascii="宋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20" w:firstLineChars="200"/>
        <w:outlineLvl w:val="0"/>
        <w:rPr>
          <w:rFonts w:ascii="黑体" w:hAnsi="宋体" w:eastAsia="黑体"/>
          <w:bCs/>
          <w:sz w:val="24"/>
          <w:szCs w:val="24"/>
        </w:rPr>
      </w:pPr>
      <w:r>
        <w:rPr>
          <w:rFonts w:hint="eastAsia"/>
        </w:rPr>
        <w:t>备注：上述所称“重大违法记录”,是指供应商因违法经营受到刑事处罚或者责令停产停业、吊销许可证或者执照、较大数额罚款等行政处罚。</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（三）（投标人）法定代表人授权委托书（格式）：</w:t>
      </w: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法定代表人授权委托书</w:t>
      </w:r>
    </w:p>
    <w:p>
      <w:pPr>
        <w:spacing w:line="360" w:lineRule="auto"/>
        <w:jc w:val="center"/>
        <w:rPr>
          <w:rFonts w:ascii="楷体_GB2312" w:eastAsia="楷体_GB2312"/>
          <w:bCs/>
          <w:sz w:val="36"/>
        </w:rPr>
      </w:pPr>
    </w:p>
    <w:p>
      <w:pPr>
        <w:spacing w:line="480" w:lineRule="auto"/>
        <w:ind w:firstLine="4920" w:firstLineChars="2050"/>
        <w:rPr>
          <w:rFonts w:ascii="宋体"/>
          <w:bCs/>
          <w:sz w:val="24"/>
          <w:szCs w:val="24"/>
        </w:rPr>
      </w:pPr>
      <w:r>
        <w:rPr>
          <w:rFonts w:hint="eastAsia" w:ascii="宋体" w:hAnsi="宋体"/>
          <w:bCs/>
          <w:sz w:val="24"/>
          <w:szCs w:val="24"/>
        </w:rPr>
        <w:t>采购项目编号：</w:t>
      </w:r>
    </w:p>
    <w:p>
      <w:pPr>
        <w:spacing w:line="480" w:lineRule="auto"/>
        <w:ind w:firstLine="5880" w:firstLineChars="2450"/>
        <w:rPr>
          <w:rFonts w:ascii="宋体"/>
          <w:bCs/>
          <w:sz w:val="24"/>
          <w:szCs w:val="24"/>
        </w:rPr>
      </w:pPr>
      <w:r>
        <w:rPr>
          <w:rFonts w:hint="eastAsia" w:ascii="宋体" w:hAnsi="宋体"/>
          <w:bCs/>
          <w:sz w:val="24"/>
          <w:szCs w:val="24"/>
        </w:rPr>
        <w:t>日期：</w:t>
      </w:r>
    </w:p>
    <w:p>
      <w:pPr>
        <w:spacing w:line="600" w:lineRule="exact"/>
        <w:rPr>
          <w:rFonts w:ascii="宋体"/>
          <w:bCs/>
          <w:sz w:val="24"/>
          <w:szCs w:val="24"/>
        </w:rPr>
      </w:pPr>
      <w:r>
        <w:rPr>
          <w:rFonts w:hint="eastAsia" w:ascii="宋体" w:hAnsi="宋体"/>
          <w:bCs/>
          <w:sz w:val="24"/>
          <w:szCs w:val="24"/>
        </w:rPr>
        <w:t>无锡市公共资源交易中心新吴分中心：</w:t>
      </w:r>
    </w:p>
    <w:p>
      <w:pPr>
        <w:spacing w:line="580" w:lineRule="exact"/>
        <w:ind w:firstLine="480" w:firstLineChars="200"/>
        <w:rPr>
          <w:rFonts w:ascii="宋体"/>
          <w:bCs/>
          <w:sz w:val="24"/>
          <w:szCs w:val="24"/>
        </w:rPr>
      </w:pPr>
      <w:r>
        <w:rPr>
          <w:rFonts w:hint="eastAsia" w:ascii="宋体" w:hAnsi="宋体"/>
          <w:bCs/>
          <w:sz w:val="24"/>
          <w:szCs w:val="24"/>
          <w:u w:val="single"/>
        </w:rPr>
        <w:t xml:space="preserve">                          </w:t>
      </w:r>
      <w:r>
        <w:rPr>
          <w:rFonts w:hint="eastAsia" w:ascii="宋体" w:hAnsi="宋体"/>
          <w:bCs/>
          <w:sz w:val="24"/>
          <w:szCs w:val="24"/>
        </w:rPr>
        <w:t>系中华人民共和国合法公司（单位），特授权</w:t>
      </w:r>
      <w:r>
        <w:rPr>
          <w:rFonts w:hint="eastAsia" w:ascii="宋体" w:hAnsi="宋体"/>
          <w:bCs/>
          <w:sz w:val="24"/>
          <w:szCs w:val="24"/>
          <w:u w:val="single"/>
        </w:rPr>
        <w:t xml:space="preserve">        </w:t>
      </w:r>
      <w:r>
        <w:rPr>
          <w:rFonts w:hint="eastAsia" w:ascii="宋体" w:hAnsi="宋体"/>
          <w:bCs/>
          <w:sz w:val="24"/>
          <w:szCs w:val="24"/>
        </w:rPr>
        <w:t>代表我公司（单位）全权办理针对本项目（</w:t>
      </w:r>
      <w:r>
        <w:rPr>
          <w:rFonts w:hint="eastAsia" w:ascii="黑体" w:eastAsia="黑体"/>
          <w:bCs/>
          <w:sz w:val="24"/>
          <w:szCs w:val="24"/>
        </w:rPr>
        <w:t>WXXWQJC2023-</w:t>
      </w:r>
      <w:r>
        <w:rPr>
          <w:rFonts w:hint="eastAsia" w:ascii="黑体" w:eastAsia="黑体"/>
          <w:bCs/>
          <w:sz w:val="24"/>
          <w:szCs w:val="24"/>
          <w:lang w:val="en-US" w:eastAsia="zh-CN"/>
        </w:rPr>
        <w:t>109</w:t>
      </w:r>
      <w:r>
        <w:rPr>
          <w:rFonts w:hint="eastAsia" w:ascii="黑体" w:eastAsia="黑体"/>
          <w:bCs/>
          <w:sz w:val="24"/>
          <w:szCs w:val="24"/>
        </w:rPr>
        <w:t>）</w:t>
      </w:r>
      <w:r>
        <w:rPr>
          <w:rFonts w:hint="eastAsia" w:ascii="宋体" w:hAnsi="宋体"/>
          <w:bCs/>
          <w:sz w:val="24"/>
          <w:szCs w:val="24"/>
        </w:rPr>
        <w:t>的投标、参与开标、评标、签约等具体工作，并签署全部有关的文件、协议及合同。</w:t>
      </w:r>
    </w:p>
    <w:p>
      <w:pPr>
        <w:spacing w:line="580" w:lineRule="exact"/>
        <w:ind w:firstLine="480" w:firstLineChars="200"/>
        <w:rPr>
          <w:rFonts w:ascii="宋体"/>
          <w:bCs/>
          <w:sz w:val="24"/>
          <w:szCs w:val="24"/>
        </w:rPr>
      </w:pPr>
      <w:r>
        <w:rPr>
          <w:rFonts w:hint="eastAsia" w:ascii="宋体" w:hAnsi="宋体"/>
          <w:bCs/>
          <w:sz w:val="24"/>
          <w:szCs w:val="24"/>
        </w:rPr>
        <w:t>我公司（单位）对被授权代表的签名负全部责任。</w:t>
      </w:r>
    </w:p>
    <w:p>
      <w:pPr>
        <w:spacing w:line="580" w:lineRule="exact"/>
        <w:ind w:firstLine="480" w:firstLineChars="200"/>
        <w:rPr>
          <w:rFonts w:asci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sz w:val="24"/>
          <w:szCs w:val="24"/>
        </w:rPr>
      </w:pPr>
      <w:r>
        <w:rPr>
          <w:rFonts w:hint="eastAsia" w:ascii="宋体" w:hAnsi="宋体"/>
          <w:bCs/>
          <w:sz w:val="24"/>
          <w:szCs w:val="24"/>
        </w:rPr>
        <w:t>被授权代表情况：</w:t>
      </w:r>
    </w:p>
    <w:p>
      <w:pPr>
        <w:spacing w:line="580" w:lineRule="exact"/>
        <w:ind w:firstLine="525"/>
        <w:rPr>
          <w:rFonts w:ascii="宋体"/>
          <w:bCs/>
          <w:sz w:val="24"/>
          <w:szCs w:val="24"/>
        </w:rPr>
      </w:pPr>
      <w:r>
        <w:rPr>
          <w:rFonts w:hint="eastAsia" w:ascii="宋体" w:hAnsi="宋体"/>
          <w:bCs/>
          <w:sz w:val="24"/>
          <w:szCs w:val="24"/>
        </w:rPr>
        <w:t>姓名：        性别：       电话：</w:t>
      </w:r>
    </w:p>
    <w:p>
      <w:pPr>
        <w:spacing w:line="580" w:lineRule="exact"/>
        <w:ind w:firstLine="3240" w:firstLineChars="1350"/>
        <w:rPr>
          <w:rFonts w:ascii="宋体"/>
          <w:bCs/>
          <w:sz w:val="24"/>
          <w:szCs w:val="24"/>
        </w:rPr>
      </w:pPr>
    </w:p>
    <w:p>
      <w:pPr>
        <w:spacing w:line="580" w:lineRule="exact"/>
        <w:ind w:firstLine="3240" w:firstLineChars="1350"/>
        <w:rPr>
          <w:rFonts w:ascii="宋体"/>
          <w:bCs/>
          <w:sz w:val="24"/>
          <w:szCs w:val="24"/>
        </w:rPr>
      </w:pPr>
    </w:p>
    <w:p>
      <w:pPr>
        <w:spacing w:line="580" w:lineRule="exact"/>
        <w:ind w:firstLine="5040" w:firstLineChars="2100"/>
        <w:rPr>
          <w:rFonts w:ascii="宋体"/>
          <w:bCs/>
          <w:sz w:val="24"/>
          <w:szCs w:val="24"/>
        </w:rPr>
      </w:pPr>
      <w:r>
        <w:rPr>
          <w:rFonts w:hint="eastAsia" w:ascii="宋体" w:hAnsi="宋体"/>
          <w:bCs/>
          <w:sz w:val="24"/>
          <w:szCs w:val="24"/>
        </w:rPr>
        <w:t>单位名称（盖章）：</w:t>
      </w:r>
    </w:p>
    <w:p>
      <w:pPr>
        <w:spacing w:line="580" w:lineRule="exact"/>
        <w:ind w:firstLine="4080" w:firstLineChars="1700"/>
        <w:rPr>
          <w:rFonts w:ascii="宋体"/>
          <w:bCs/>
          <w:sz w:val="24"/>
          <w:szCs w:val="24"/>
        </w:rPr>
      </w:pPr>
      <w:r>
        <w:rPr>
          <w:rFonts w:hint="eastAsia" w:ascii="宋体" w:hAnsi="宋体"/>
          <w:bCs/>
          <w:sz w:val="24"/>
          <w:szCs w:val="24"/>
        </w:rPr>
        <w:t>法定代表人（签字或盖章）：</w:t>
      </w:r>
    </w:p>
    <w:p>
      <w:pPr>
        <w:spacing w:line="580" w:lineRule="exact"/>
        <w:ind w:firstLine="420"/>
        <w:rPr>
          <w:rFonts w:ascii="宋体"/>
          <w:bCs/>
          <w:sz w:val="24"/>
          <w:szCs w:val="24"/>
        </w:rPr>
      </w:pPr>
    </w:p>
    <w:p>
      <w:pPr>
        <w:spacing w:line="580" w:lineRule="exact"/>
        <w:ind w:firstLine="420"/>
        <w:rPr>
          <w:rFonts w:asci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（四）承诺书（格式）：</w:t>
      </w:r>
    </w:p>
    <w:p>
      <w:pPr>
        <w:outlineLvl w:val="0"/>
        <w:rPr>
          <w:rFonts w:ascii="黑体" w:hAnsi="Times New Roman" w:eastAsia="黑体"/>
          <w:bCs/>
          <w:sz w:val="28"/>
          <w:szCs w:val="28"/>
        </w:rPr>
      </w:pPr>
    </w:p>
    <w:p>
      <w:pPr>
        <w:jc w:val="center"/>
        <w:rPr>
          <w:rFonts w:ascii="黑体" w:eastAsia="黑体"/>
          <w:bCs/>
          <w:sz w:val="28"/>
          <w:szCs w:val="28"/>
        </w:rPr>
      </w:pPr>
      <w:r>
        <w:rPr>
          <w:rFonts w:hint="eastAsia" w:ascii="黑体" w:eastAsia="黑体"/>
          <w:bCs/>
          <w:sz w:val="28"/>
          <w:szCs w:val="28"/>
        </w:rPr>
        <w:t>承诺书</w:t>
      </w:r>
    </w:p>
    <w:p>
      <w:pPr>
        <w:jc w:val="center"/>
        <w:rPr>
          <w:rFonts w:ascii="黑体" w:eastAsia="黑体"/>
          <w:bCs/>
          <w:sz w:val="28"/>
          <w:szCs w:val="28"/>
        </w:rPr>
      </w:pPr>
    </w:p>
    <w:p>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hAnsi="宋体"/>
          <w:sz w:val="24"/>
          <w:szCs w:val="24"/>
        </w:rPr>
      </w:pPr>
    </w:p>
    <w:p>
      <w:pPr>
        <w:spacing w:line="480" w:lineRule="auto"/>
        <w:ind w:firstLine="480" w:firstLineChars="200"/>
        <w:rPr>
          <w:rFonts w:ascii="宋体" w:hAnsi="宋体"/>
          <w:bCs/>
          <w:sz w:val="24"/>
          <w:szCs w:val="24"/>
        </w:rPr>
      </w:pPr>
      <w:r>
        <w:rPr>
          <w:rFonts w:hint="eastAsia" w:ascii="宋体" w:hAnsi="宋体"/>
          <w:sz w:val="24"/>
          <w:szCs w:val="24"/>
        </w:rPr>
        <w:t>1. 本公司（单位）</w:t>
      </w:r>
      <w:r>
        <w:rPr>
          <w:rFonts w:hint="eastAsia" w:ascii="宋体" w:hAnsi="宋体"/>
          <w:bCs/>
          <w:sz w:val="24"/>
          <w:szCs w:val="24"/>
        </w:rPr>
        <w:t>对本项目（WXXWQJC2023-</w:t>
      </w:r>
      <w:r>
        <w:rPr>
          <w:rFonts w:hint="eastAsia" w:ascii="宋体" w:hAnsi="宋体"/>
          <w:bCs/>
          <w:sz w:val="24"/>
          <w:szCs w:val="24"/>
          <w:lang w:val="en-US" w:eastAsia="zh-CN"/>
        </w:rPr>
        <w:t>109</w:t>
      </w:r>
      <w:r>
        <w:rPr>
          <w:rFonts w:hint="eastAsia" w:ascii="宋体" w:hAnsi="宋体"/>
          <w:bCs/>
          <w:sz w:val="24"/>
          <w:szCs w:val="24"/>
        </w:rPr>
        <w:t>）所提供的货物均为原厂全新合格品，提供的服务符合招标文件要求；</w:t>
      </w:r>
    </w:p>
    <w:p>
      <w:pPr>
        <w:spacing w:line="480"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bCs/>
          <w:sz w:val="24"/>
          <w:szCs w:val="24"/>
        </w:rPr>
      </w:pPr>
      <w:r>
        <w:rPr>
          <w:rFonts w:hint="eastAsia" w:ascii="宋体" w:hAnsi="宋体"/>
          <w:bCs/>
          <w:sz w:val="24"/>
          <w:szCs w:val="24"/>
        </w:rPr>
        <w:t>3.</w:t>
      </w:r>
      <w:r>
        <w:rPr>
          <w:rFonts w:hint="eastAsia" w:ascii="宋体"/>
          <w:bCs/>
          <w:szCs w:val="21"/>
        </w:rPr>
        <w:t xml:space="preserve"> </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t>
      </w:r>
      <w:r>
        <w:fldChar w:fldCharType="begin"/>
      </w:r>
      <w:r>
        <w:instrText xml:space="preserve"> HYPERLINK "http://www.creditchina.gov.cn" </w:instrText>
      </w:r>
      <w:r>
        <w:fldChar w:fldCharType="separate"/>
      </w:r>
      <w:r>
        <w:rPr>
          <w:rStyle w:val="35"/>
          <w:rFonts w:hint="eastAsia" w:ascii="宋体" w:hAnsi="宋体"/>
          <w:bCs/>
          <w:sz w:val="24"/>
          <w:szCs w:val="24"/>
        </w:rPr>
        <w:t>www.creditchina.gov.cn</w:t>
      </w:r>
      <w:r>
        <w:rPr>
          <w:rStyle w:val="35"/>
          <w:rFonts w:hint="eastAsia" w:ascii="宋体" w:hAnsi="宋体"/>
          <w:bCs/>
          <w:sz w:val="24"/>
          <w:szCs w:val="24"/>
        </w:rPr>
        <w:fldChar w:fldCharType="end"/>
      </w:r>
      <w:r>
        <w:rPr>
          <w:rFonts w:hint="eastAsia" w:ascii="宋体" w:hAnsi="宋体"/>
          <w:bCs/>
          <w:sz w:val="24"/>
          <w:szCs w:val="24"/>
        </w:rPr>
        <w:t>）、</w:t>
      </w:r>
      <w:r>
        <w:rPr>
          <w:rFonts w:hint="eastAsia" w:ascii="宋体" w:hAnsi="宋体"/>
          <w:sz w:val="24"/>
          <w:szCs w:val="24"/>
        </w:rPr>
        <w:t>中国政府采购网(www.ccgp.gov.cn)列入失信被执行人、重大税收违法案件当事人名单、政府采购严重违法失信行为记录名单。</w:t>
      </w:r>
    </w:p>
    <w:p>
      <w:pPr>
        <w:spacing w:line="480" w:lineRule="auto"/>
        <w:ind w:firstLine="480" w:firstLineChars="200"/>
        <w:rPr>
          <w:rFonts w:ascii="宋体" w:hAns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hAnsi="宋体"/>
          <w:sz w:val="24"/>
          <w:szCs w:val="20"/>
        </w:rPr>
      </w:pPr>
    </w:p>
    <w:p>
      <w:pPr>
        <w:spacing w:line="480" w:lineRule="auto"/>
        <w:ind w:firstLine="5400" w:firstLineChars="2250"/>
        <w:rPr>
          <w:rFonts w:ascii="宋体" w:hAnsi="宋体"/>
          <w:bCs/>
          <w:sz w:val="24"/>
          <w:szCs w:val="24"/>
        </w:rPr>
      </w:pPr>
    </w:p>
    <w:p>
      <w:pPr>
        <w:spacing w:line="480" w:lineRule="auto"/>
        <w:ind w:firstLine="3720" w:firstLineChars="1550"/>
        <w:rPr>
          <w:rFonts w:ascii="宋体" w:hAnsi="宋体"/>
          <w:bCs/>
          <w:sz w:val="24"/>
          <w:szCs w:val="24"/>
        </w:rPr>
      </w:pPr>
      <w:r>
        <w:rPr>
          <w:rFonts w:hint="eastAsia" w:ascii="宋体" w:hAnsi="宋体"/>
          <w:bCs/>
          <w:sz w:val="24"/>
          <w:szCs w:val="24"/>
        </w:rPr>
        <w:t>投标人（盖章）：</w:t>
      </w:r>
    </w:p>
    <w:p>
      <w:pPr>
        <w:ind w:firstLine="480" w:firstLineChars="200"/>
        <w:outlineLvl w:val="0"/>
        <w:rPr>
          <w:rFonts w:ascii="宋体" w:hAnsi="宋体"/>
          <w:bCs/>
          <w:sz w:val="24"/>
          <w:szCs w:val="24"/>
        </w:rPr>
      </w:pPr>
      <w:r>
        <w:rPr>
          <w:rFonts w:hint="eastAsia" w:ascii="宋体" w:hAnsi="宋体"/>
          <w:bCs/>
          <w:sz w:val="24"/>
          <w:szCs w:val="24"/>
        </w:rPr>
        <w:t>法定代表人或法定代表人授权代表签字或盖章：</w:t>
      </w:r>
    </w:p>
    <w:p>
      <w:pPr>
        <w:outlineLvl w:val="0"/>
        <w:rPr>
          <w:rFonts w:ascii="宋体" w:hAnsi="宋体"/>
          <w:bCs/>
          <w:sz w:val="24"/>
          <w:szCs w:val="24"/>
        </w:rPr>
      </w:pPr>
    </w:p>
    <w:p>
      <w:pPr>
        <w:outlineLvl w:val="0"/>
        <w:rPr>
          <w:rFonts w:ascii="宋体" w:hAns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（五）（投标人）中小企业声明函（格式）：</w:t>
      </w:r>
    </w:p>
    <w:p>
      <w:pPr>
        <w:jc w:val="center"/>
        <w:rPr>
          <w:rFonts w:ascii="黑体" w:eastAsia="黑体"/>
          <w:bCs/>
          <w:sz w:val="28"/>
          <w:szCs w:val="28"/>
        </w:rPr>
      </w:pPr>
      <w:r>
        <w:rPr>
          <w:rFonts w:ascii="黑体" w:eastAsia="黑体"/>
          <w:bCs/>
          <w:sz w:val="28"/>
          <w:szCs w:val="28"/>
        </w:rPr>
        <w:t>中小企业声明函（货物）</w:t>
      </w:r>
    </w:p>
    <w:p>
      <w:pPr>
        <w:spacing w:line="580" w:lineRule="exact"/>
        <w:ind w:firstLine="480" w:firstLineChars="200"/>
        <w:rPr>
          <w:rFonts w:ascii="宋体" w:hAnsi="宋体"/>
          <w:bCs/>
          <w:sz w:val="24"/>
          <w:szCs w:val="24"/>
        </w:rPr>
      </w:pPr>
      <w:r>
        <w:rPr>
          <w:rFonts w:ascii="宋体" w:hAnsi="宋体"/>
          <w:bCs/>
          <w:sz w:val="24"/>
          <w:szCs w:val="24"/>
        </w:rPr>
        <w:t>本公司（联合体）郑重声明，根据《政府采购促进中小企业发展管理办法》（财库﹝2020﹞46 号）的规定，本公司 （联合体）参加</w:t>
      </w:r>
      <w:r>
        <w:rPr>
          <w:rFonts w:ascii="宋体" w:hAnsi="宋体"/>
          <w:bCs/>
          <w:sz w:val="24"/>
          <w:szCs w:val="24"/>
          <w:u w:val="single"/>
        </w:rPr>
        <w:t>（单位名称）</w:t>
      </w:r>
      <w:r>
        <w:rPr>
          <w:rFonts w:ascii="宋体" w:hAnsi="宋体"/>
          <w:bCs/>
          <w:sz w:val="24"/>
          <w:szCs w:val="24"/>
        </w:rPr>
        <w:t>的</w:t>
      </w:r>
      <w:r>
        <w:rPr>
          <w:rFonts w:ascii="宋体" w:hAnsi="宋体"/>
          <w:bCs/>
          <w:sz w:val="24"/>
          <w:szCs w:val="24"/>
          <w:u w:val="single"/>
        </w:rPr>
        <w:t>（项目名称）</w:t>
      </w:r>
      <w:r>
        <w:rPr>
          <w:rFonts w:ascii="宋体" w:hAnsi="宋体"/>
          <w:bCs/>
          <w:sz w:val="24"/>
          <w:szCs w:val="24"/>
        </w:rPr>
        <w:t>采购活动，提供的货物全部由符合政策要求的中小企业制造。相关企业 （含联合体中的中小企业、签订分包意向协议的中小企业）的具体情况如下：</w:t>
      </w:r>
    </w:p>
    <w:p>
      <w:pPr>
        <w:spacing w:line="580" w:lineRule="exact"/>
        <w:ind w:firstLine="480" w:firstLineChars="200"/>
        <w:rPr>
          <w:rFonts w:ascii="宋体" w:hAnsi="宋体"/>
          <w:bCs/>
          <w:sz w:val="24"/>
          <w:szCs w:val="24"/>
        </w:rPr>
      </w:pPr>
      <w:r>
        <w:rPr>
          <w:rFonts w:ascii="宋体" w:hAnsi="宋体"/>
          <w:bCs/>
          <w:sz w:val="24"/>
          <w:szCs w:val="24"/>
        </w:rPr>
        <w:t xml:space="preserve">1. </w:t>
      </w:r>
      <w:r>
        <w:rPr>
          <w:rFonts w:ascii="宋体" w:hAnsi="宋体"/>
          <w:bCs/>
          <w:sz w:val="24"/>
          <w:szCs w:val="24"/>
          <w:u w:val="single"/>
        </w:rPr>
        <w:t xml:space="preserve">（标的名称）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 行业</w:t>
      </w:r>
      <w:r>
        <w:rPr>
          <w:rFonts w:ascii="宋体" w:hAnsi="宋体"/>
          <w:bCs/>
          <w:sz w:val="24"/>
          <w:szCs w:val="24"/>
        </w:rPr>
        <w:t>；制造商为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（中型企业、小 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2.</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 行业</w:t>
      </w:r>
      <w:r>
        <w:rPr>
          <w:rFonts w:ascii="宋体" w:hAnsi="宋体"/>
          <w:bCs/>
          <w:sz w:val="24"/>
          <w:szCs w:val="24"/>
        </w:rPr>
        <w:t>；制造商为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（中型企业、小 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pPr>
        <w:spacing w:line="360" w:lineRule="auto"/>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在货物采购项目中，供应商提供的货物既有中小企业制造货物，也有大型企业制造或物的，不享受本办法规定的中小企业扶持政策。</w:t>
      </w:r>
    </w:p>
    <w:p>
      <w:pPr>
        <w:spacing w:line="360" w:lineRule="auto"/>
        <w:ind w:firstLine="420" w:firstLineChars="200"/>
      </w:pPr>
      <w:r>
        <w:rPr>
          <w:rFonts w:hint="eastAsia"/>
        </w:rPr>
        <w:t>3. 中标供应商的《</w:t>
      </w:r>
      <w:r>
        <w:t>中小企业声明函</w:t>
      </w:r>
      <w:r>
        <w:rPr>
          <w:rFonts w:hint="eastAsia"/>
        </w:rPr>
        <w:t>》将随中标公告进行公示。供应商按照本办法规定提供声明函内容不实的，属于提供虚假材料谋取中标、成交，依照《中华人民共和国政府采购法》等国家有关规定追究相应责任。</w:t>
      </w:r>
    </w:p>
    <w:p>
      <w:pPr>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（六）</w:t>
      </w:r>
      <w:bookmarkStart w:id="15" w:name="OLE_LINK14"/>
      <w:bookmarkStart w:id="16" w:name="OLE_LINK13"/>
      <w:r>
        <w:rPr>
          <w:rFonts w:hint="eastAsia" w:ascii="黑体" w:hAnsi="宋体" w:eastAsia="黑体"/>
          <w:bCs/>
          <w:sz w:val="24"/>
          <w:szCs w:val="24"/>
        </w:rPr>
        <w:t>（投标人）残疾人福利性单位声明函（格式）：</w:t>
      </w:r>
    </w:p>
    <w:bookmarkEnd w:id="15"/>
    <w:bookmarkEnd w:id="16"/>
    <w:p>
      <w:pPr>
        <w:spacing w:line="588" w:lineRule="exact"/>
        <w:rPr>
          <w:rFonts w:ascii="仿宋_GB2312" w:eastAsia="仿宋_GB2312"/>
          <w:b/>
          <w:spacing w:val="6"/>
          <w:sz w:val="30"/>
          <w:szCs w:val="30"/>
        </w:rPr>
      </w:pPr>
    </w:p>
    <w:p>
      <w:pPr>
        <w:jc w:val="center"/>
        <w:rPr>
          <w:rFonts w:ascii="黑体" w:eastAsia="黑体"/>
          <w:bCs/>
          <w:sz w:val="28"/>
          <w:szCs w:val="28"/>
        </w:rPr>
      </w:pPr>
      <w:r>
        <w:rPr>
          <w:rFonts w:hint="eastAsia" w:ascii="黑体" w:eastAsia="黑体"/>
          <w:bCs/>
          <w:sz w:val="28"/>
          <w:szCs w:val="28"/>
        </w:rPr>
        <w:t>残疾人福利性单位声明函</w:t>
      </w:r>
    </w:p>
    <w:p>
      <w:pPr>
        <w:jc w:val="center"/>
        <w:rPr>
          <w:rFonts w:ascii="黑体" w:eastAsia="黑体"/>
          <w:bCs/>
          <w:sz w:val="28"/>
          <w:szCs w:val="28"/>
        </w:rPr>
      </w:pPr>
    </w:p>
    <w:p>
      <w:pPr>
        <w:spacing w:line="580" w:lineRule="exact"/>
        <w:ind w:firstLine="480" w:firstLineChars="200"/>
        <w:rPr>
          <w:rFonts w:ascii="宋体" w:hAnsi="宋体"/>
          <w:bCs/>
          <w:sz w:val="24"/>
          <w:szCs w:val="24"/>
        </w:rPr>
      </w:pPr>
      <w:r>
        <w:rPr>
          <w:rFonts w:hint="eastAsia" w:ascii="宋体" w:hAnsi="宋体"/>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sz w:val="24"/>
          <w:szCs w:val="24"/>
        </w:rPr>
      </w:pPr>
      <w:r>
        <w:rPr>
          <w:rFonts w:hint="eastAsia" w:ascii="宋体" w:hAnsi="宋体"/>
          <w:bCs/>
          <w:sz w:val="24"/>
          <w:szCs w:val="24"/>
        </w:rPr>
        <w:t>本单位对上述声明的真实性负责。如有虚假，将依法承担相应责任。</w:t>
      </w: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r>
        <w:rPr>
          <w:rFonts w:hint="eastAsia" w:ascii="宋体" w:hAnsi="宋体"/>
          <w:bCs/>
          <w:sz w:val="24"/>
          <w:szCs w:val="24"/>
        </w:rPr>
        <w:t>单位名称（盖章）：</w:t>
      </w:r>
    </w:p>
    <w:p>
      <w:pPr>
        <w:spacing w:line="580" w:lineRule="exact"/>
        <w:ind w:firstLine="480" w:firstLineChars="200"/>
        <w:rPr>
          <w:rFonts w:ascii="宋体" w:hAnsi="宋体"/>
          <w:bCs/>
          <w:sz w:val="24"/>
          <w:szCs w:val="24"/>
        </w:rPr>
      </w:pPr>
      <w:r>
        <w:rPr>
          <w:rFonts w:hint="eastAsia" w:ascii="宋体" w:hAnsi="宋体"/>
          <w:bCs/>
          <w:sz w:val="24"/>
          <w:szCs w:val="24"/>
        </w:rPr>
        <w:t>日  期：</w:t>
      </w: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（七）开标一览表（格式）：</w:t>
      </w:r>
    </w:p>
    <w:p>
      <w:pPr>
        <w:outlineLvl w:val="0"/>
        <w:rPr>
          <w:rFonts w:ascii="黑体" w:eastAsia="黑体"/>
          <w:bCs/>
          <w:sz w:val="28"/>
          <w:szCs w:val="28"/>
        </w:rPr>
      </w:pP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开标一览表</w:t>
      </w:r>
    </w:p>
    <w:p>
      <w:pPr>
        <w:jc w:val="center"/>
        <w:outlineLvl w:val="0"/>
        <w:rPr>
          <w:rFonts w:ascii="黑体" w:eastAsia="黑体"/>
          <w:bCs/>
          <w:sz w:val="28"/>
          <w:szCs w:val="28"/>
        </w:rPr>
      </w:pPr>
    </w:p>
    <w:p>
      <w:pPr>
        <w:spacing w:line="360" w:lineRule="auto"/>
        <w:rPr>
          <w:rFonts w:hint="default" w:ascii="黑体" w:eastAsia="黑体"/>
          <w:bCs/>
          <w:sz w:val="24"/>
          <w:szCs w:val="24"/>
          <w:lang w:val="en-US" w:eastAsia="zh-CN"/>
        </w:rPr>
      </w:pPr>
      <w:r>
        <w:rPr>
          <w:rFonts w:hint="eastAsia" w:ascii="黑体" w:eastAsia="黑体"/>
          <w:bCs/>
          <w:sz w:val="24"/>
          <w:szCs w:val="24"/>
        </w:rPr>
        <w:t>投标人名称（盖章）                                   采购项目编号：WXXWQJC2023-</w:t>
      </w:r>
      <w:r>
        <w:rPr>
          <w:rFonts w:hint="eastAsia" w:ascii="黑体" w:eastAsia="黑体"/>
          <w:bCs/>
          <w:sz w:val="24"/>
          <w:szCs w:val="24"/>
          <w:lang w:val="en-US" w:eastAsia="zh-CN"/>
        </w:rPr>
        <w:t>109</w:t>
      </w:r>
    </w:p>
    <w:tbl>
      <w:tblPr>
        <w:tblStyle w:val="25"/>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7"/>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307" w:type="dxa"/>
            <w:vAlign w:val="center"/>
          </w:tcPr>
          <w:p>
            <w:pPr>
              <w:autoSpaceDE w:val="0"/>
              <w:autoSpaceDN w:val="0"/>
              <w:adjustRightInd w:val="0"/>
              <w:jc w:val="center"/>
              <w:rPr>
                <w:rFonts w:ascii="宋体"/>
                <w:b/>
                <w:bCs/>
                <w:sz w:val="24"/>
                <w:szCs w:val="24"/>
              </w:rPr>
            </w:pPr>
            <w:r>
              <w:rPr>
                <w:rFonts w:hint="eastAsia" w:ascii="宋体" w:hAnsi="宋体"/>
                <w:b/>
                <w:bCs/>
                <w:sz w:val="24"/>
                <w:szCs w:val="24"/>
              </w:rPr>
              <w:t>项目名称</w:t>
            </w:r>
          </w:p>
        </w:tc>
        <w:tc>
          <w:tcPr>
            <w:tcW w:w="4616" w:type="dxa"/>
            <w:vAlign w:val="center"/>
          </w:tcPr>
          <w:p>
            <w:pPr>
              <w:autoSpaceDE w:val="0"/>
              <w:autoSpaceDN w:val="0"/>
              <w:adjustRightInd w:val="0"/>
              <w:jc w:val="center"/>
              <w:rPr>
                <w:rFonts w:ascii="宋体"/>
                <w:b/>
                <w:bCs/>
                <w:sz w:val="24"/>
                <w:szCs w:val="24"/>
              </w:rPr>
            </w:pPr>
            <w:r>
              <w:rPr>
                <w:rFonts w:hint="eastAsia" w:ascii="宋体" w:hAnsi="宋体"/>
                <w:b/>
                <w:bCs/>
                <w:sz w:val="24"/>
                <w:szCs w:val="24"/>
              </w:rPr>
              <w:t>投标总报价</w:t>
            </w:r>
            <w:r>
              <w:rPr>
                <w:rFonts w:ascii="宋体" w:hAnsi="宋体"/>
                <w:b/>
                <w:bCs/>
                <w:sz w:val="24"/>
                <w:szCs w:val="24"/>
              </w:rPr>
              <w:t>(</w:t>
            </w:r>
            <w:r>
              <w:rPr>
                <w:rFonts w:hint="eastAsia" w:ascii="宋体" w:hAnsi="宋体"/>
                <w:b/>
                <w:bCs/>
                <w:sz w:val="24"/>
                <w:szCs w:val="24"/>
              </w:rPr>
              <w:t>小写</w:t>
            </w:r>
            <w:r>
              <w:rPr>
                <w:rFonts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307" w:type="dxa"/>
            <w:vAlign w:val="center"/>
          </w:tcPr>
          <w:p>
            <w:pPr>
              <w:spacing w:line="360" w:lineRule="auto"/>
              <w:jc w:val="center"/>
              <w:rPr>
                <w:rFonts w:hAnsi="宋体"/>
                <w:bCs/>
                <w:szCs w:val="24"/>
              </w:rPr>
            </w:pPr>
            <w:r>
              <w:rPr>
                <w:rFonts w:hint="eastAsia" w:ascii="宋体" w:hAnsi="宋体" w:cs="宋体"/>
                <w:b/>
                <w:bCs/>
                <w:sz w:val="24"/>
                <w:szCs w:val="24"/>
              </w:rPr>
              <w:t>基础管控中心大屏及数字督察中心大屏采购项目</w:t>
            </w:r>
          </w:p>
        </w:tc>
        <w:tc>
          <w:tcPr>
            <w:tcW w:w="4616" w:type="dxa"/>
            <w:vAlign w:val="center"/>
          </w:tcPr>
          <w:p>
            <w:pPr>
              <w:pStyle w:val="109"/>
              <w:rPr>
                <w:rFonts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923" w:type="dxa"/>
            <w:gridSpan w:val="2"/>
            <w:vAlign w:val="center"/>
          </w:tcPr>
          <w:p>
            <w:pPr>
              <w:rPr>
                <w:rFonts w:ascii="宋体"/>
                <w:bCs/>
                <w:sz w:val="24"/>
                <w:szCs w:val="24"/>
              </w:rPr>
            </w:pPr>
            <w:r>
              <w:rPr>
                <w:rFonts w:hint="eastAsia" w:ascii="黑体" w:eastAsia="黑体"/>
                <w:sz w:val="24"/>
              </w:rPr>
              <w:t>投标总报价（大写）</w:t>
            </w:r>
            <w:r>
              <w:rPr>
                <w:rFonts w:hint="eastAsia" w:ascii="宋体" w:hAnsi="宋体"/>
                <w:bCs/>
                <w:kern w:val="0"/>
                <w:sz w:val="24"/>
                <w:szCs w:val="24"/>
                <w:u w:color="000000"/>
              </w:rPr>
              <w:t>：　　　</w:t>
            </w:r>
          </w:p>
        </w:tc>
      </w:tr>
    </w:tbl>
    <w:p>
      <w:pPr>
        <w:spacing w:before="5"/>
        <w:rPr>
          <w:b/>
          <w:bCs/>
          <w:sz w:val="24"/>
          <w:szCs w:val="24"/>
        </w:rPr>
      </w:pPr>
      <w:r>
        <w:rPr>
          <w:rFonts w:hint="eastAsia"/>
          <w:b/>
          <w:bCs/>
          <w:sz w:val="24"/>
          <w:szCs w:val="24"/>
        </w:rPr>
        <w:t>法定代表人或法定代表人授权代表签字或盖章：</w:t>
      </w:r>
    </w:p>
    <w:p>
      <w:pPr>
        <w:spacing w:line="400" w:lineRule="exact"/>
        <w:rPr>
          <w:rFonts w:ascii="黑体" w:eastAsia="黑体"/>
          <w:bCs/>
          <w:sz w:val="32"/>
        </w:rPr>
      </w:pPr>
    </w:p>
    <w:p>
      <w:pPr>
        <w:spacing w:line="400" w:lineRule="exact"/>
        <w:rPr>
          <w:rFonts w:ascii="黑体" w:eastAsia="黑体"/>
          <w:bCs/>
          <w:sz w:val="32"/>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（八）明细报价表（格式）：</w:t>
      </w:r>
    </w:p>
    <w:p>
      <w:pPr>
        <w:spacing w:line="400" w:lineRule="exact"/>
        <w:jc w:val="center"/>
        <w:outlineLvl w:val="0"/>
        <w:rPr>
          <w:rFonts w:ascii="黑体" w:eastAsia="黑体"/>
          <w:bCs/>
          <w:sz w:val="28"/>
          <w:szCs w:val="28"/>
        </w:rPr>
      </w:pPr>
      <w:r>
        <w:rPr>
          <w:rFonts w:hint="eastAsia" w:ascii="黑体" w:eastAsia="黑体"/>
          <w:bCs/>
          <w:sz w:val="28"/>
          <w:szCs w:val="28"/>
        </w:rPr>
        <w:t>明细报价表【货物类】</w:t>
      </w: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采购项目编号：WXXWQJC2023-</w:t>
      </w:r>
      <w:r>
        <w:rPr>
          <w:rFonts w:hint="eastAsia" w:ascii="黑体" w:eastAsia="黑体"/>
          <w:bCs/>
          <w:sz w:val="24"/>
          <w:szCs w:val="24"/>
          <w:lang w:val="en-US" w:eastAsia="zh-CN"/>
        </w:rPr>
        <w:t>109</w:t>
      </w:r>
    </w:p>
    <w:tbl>
      <w:tblPr>
        <w:tblStyle w:val="25"/>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3045"/>
        <w:gridCol w:w="599"/>
        <w:gridCol w:w="1276"/>
        <w:gridCol w:w="992"/>
        <w:gridCol w:w="70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rPr>
            </w:pPr>
            <w:r>
              <w:rPr>
                <w:rFonts w:hint="eastAsia"/>
                <w:sz w:val="18"/>
              </w:rPr>
              <w:t>序号</w:t>
            </w:r>
          </w:p>
        </w:tc>
        <w:tc>
          <w:tcPr>
            <w:tcW w:w="1050" w:type="dxa"/>
            <w:gridSpan w:val="2"/>
            <w:noWrap/>
            <w:tcMar>
              <w:top w:w="15" w:type="dxa"/>
              <w:left w:w="15" w:type="dxa"/>
              <w:bottom w:w="0" w:type="dxa"/>
              <w:right w:w="15" w:type="dxa"/>
            </w:tcMar>
            <w:vAlign w:val="center"/>
          </w:tcPr>
          <w:p>
            <w:pPr>
              <w:spacing w:before="5"/>
              <w:jc w:val="center"/>
              <w:rPr>
                <w:sz w:val="18"/>
                <w:u w:color="FF0000"/>
              </w:rPr>
            </w:pPr>
            <w:r>
              <w:rPr>
                <w:rFonts w:hint="eastAsia"/>
                <w:sz w:val="18"/>
              </w:rPr>
              <w:t>名称</w:t>
            </w:r>
          </w:p>
        </w:tc>
        <w:tc>
          <w:tcPr>
            <w:tcW w:w="945" w:type="dxa"/>
            <w:noWrap/>
            <w:tcMar>
              <w:top w:w="15" w:type="dxa"/>
              <w:left w:w="15" w:type="dxa"/>
              <w:bottom w:w="0" w:type="dxa"/>
              <w:right w:w="15" w:type="dxa"/>
            </w:tcMar>
            <w:vAlign w:val="center"/>
          </w:tcPr>
          <w:p>
            <w:pPr>
              <w:spacing w:before="5"/>
              <w:jc w:val="center"/>
              <w:rPr>
                <w:sz w:val="18"/>
                <w:u w:color="FF0000"/>
              </w:rPr>
            </w:pPr>
            <w:r>
              <w:rPr>
                <w:rFonts w:hint="eastAsia"/>
                <w:sz w:val="18"/>
                <w:u w:color="FF0000"/>
              </w:rPr>
              <w:t>品牌型号</w:t>
            </w:r>
          </w:p>
        </w:tc>
        <w:tc>
          <w:tcPr>
            <w:tcW w:w="3045" w:type="dxa"/>
            <w:noWrap/>
            <w:tcMar>
              <w:top w:w="15" w:type="dxa"/>
              <w:left w:w="15" w:type="dxa"/>
              <w:bottom w:w="0" w:type="dxa"/>
              <w:right w:w="15" w:type="dxa"/>
            </w:tcMar>
            <w:vAlign w:val="center"/>
          </w:tcPr>
          <w:p>
            <w:pPr>
              <w:spacing w:before="5"/>
              <w:jc w:val="center"/>
              <w:rPr>
                <w:sz w:val="18"/>
              </w:rPr>
            </w:pPr>
            <w:r>
              <w:rPr>
                <w:rFonts w:hint="eastAsia"/>
                <w:sz w:val="18"/>
                <w:u w:color="FF0000"/>
              </w:rPr>
              <w:t>性能指标</w:t>
            </w:r>
          </w:p>
        </w:tc>
        <w:tc>
          <w:tcPr>
            <w:tcW w:w="599" w:type="dxa"/>
            <w:tcMar>
              <w:top w:w="15" w:type="dxa"/>
              <w:left w:w="15" w:type="dxa"/>
              <w:bottom w:w="0" w:type="dxa"/>
              <w:right w:w="15" w:type="dxa"/>
            </w:tcMar>
            <w:vAlign w:val="center"/>
          </w:tcPr>
          <w:p>
            <w:pPr>
              <w:spacing w:before="5"/>
              <w:jc w:val="center"/>
              <w:rPr>
                <w:sz w:val="18"/>
              </w:rPr>
            </w:pPr>
            <w:r>
              <w:rPr>
                <w:rFonts w:hint="eastAsia"/>
                <w:sz w:val="18"/>
              </w:rPr>
              <w:t>数量</w:t>
            </w:r>
          </w:p>
        </w:tc>
        <w:tc>
          <w:tcPr>
            <w:tcW w:w="1276" w:type="dxa"/>
            <w:vAlign w:val="center"/>
          </w:tcPr>
          <w:p>
            <w:pPr>
              <w:spacing w:before="5"/>
              <w:jc w:val="center"/>
              <w:rPr>
                <w:sz w:val="18"/>
              </w:rPr>
            </w:pPr>
            <w:r>
              <w:rPr>
                <w:rFonts w:hint="eastAsia"/>
                <w:sz w:val="18"/>
              </w:rPr>
              <w:t>产地</w:t>
            </w:r>
          </w:p>
        </w:tc>
        <w:tc>
          <w:tcPr>
            <w:tcW w:w="992" w:type="dxa"/>
            <w:noWrap/>
            <w:tcMar>
              <w:top w:w="15" w:type="dxa"/>
              <w:left w:w="15" w:type="dxa"/>
              <w:bottom w:w="0" w:type="dxa"/>
              <w:right w:w="15" w:type="dxa"/>
            </w:tcMar>
            <w:vAlign w:val="center"/>
          </w:tcPr>
          <w:p>
            <w:pPr>
              <w:spacing w:before="5"/>
              <w:jc w:val="center"/>
              <w:rPr>
                <w:sz w:val="18"/>
              </w:rPr>
            </w:pPr>
            <w:r>
              <w:rPr>
                <w:rFonts w:hint="eastAsia"/>
                <w:sz w:val="18"/>
              </w:rPr>
              <w:t>质保期</w:t>
            </w:r>
          </w:p>
        </w:tc>
        <w:tc>
          <w:tcPr>
            <w:tcW w:w="709" w:type="dxa"/>
            <w:vAlign w:val="center"/>
          </w:tcPr>
          <w:p>
            <w:pPr>
              <w:spacing w:before="5"/>
              <w:jc w:val="center"/>
              <w:rPr>
                <w:sz w:val="18"/>
              </w:rPr>
            </w:pPr>
            <w:r>
              <w:rPr>
                <w:rFonts w:hint="eastAsia"/>
                <w:sz w:val="18"/>
              </w:rPr>
              <w:t>单报价</w:t>
            </w:r>
          </w:p>
        </w:tc>
        <w:tc>
          <w:tcPr>
            <w:tcW w:w="939" w:type="dxa"/>
            <w:vAlign w:val="center"/>
          </w:tcPr>
          <w:p>
            <w:pPr>
              <w:spacing w:before="5"/>
              <w:jc w:val="center"/>
              <w:rPr>
                <w:sz w:val="18"/>
              </w:rPr>
            </w:pPr>
            <w:r>
              <w:rPr>
                <w:rFonts w:hint="eastAsia"/>
                <w:sz w:val="18"/>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420" w:type="dxa"/>
            <w:noWrap/>
            <w:tcMar>
              <w:top w:w="15" w:type="dxa"/>
              <w:left w:w="15" w:type="dxa"/>
              <w:bottom w:w="0" w:type="dxa"/>
              <w:right w:w="15" w:type="dxa"/>
            </w:tcMar>
            <w:vAlign w:val="center"/>
          </w:tcPr>
          <w:p>
            <w:pPr>
              <w:pStyle w:val="18"/>
              <w:pBdr>
                <w:bottom w:val="none" w:color="auto" w:sz="0" w:space="0"/>
              </w:pBdr>
              <w:tabs>
                <w:tab w:val="clear" w:pos="4153"/>
                <w:tab w:val="clear" w:pos="8306"/>
              </w:tabs>
              <w:snapToGrid/>
              <w:spacing w:before="5"/>
              <w:rPr>
                <w:rFonts w:ascii="宋体"/>
                <w:kern w:val="2"/>
              </w:rPr>
            </w:pPr>
          </w:p>
        </w:tc>
        <w:tc>
          <w:tcPr>
            <w:tcW w:w="1050" w:type="dxa"/>
            <w:gridSpan w:val="2"/>
            <w:noWrap/>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Cs/>
                <w:kern w:val="2"/>
              </w:rPr>
            </w:pPr>
          </w:p>
        </w:tc>
        <w:tc>
          <w:tcPr>
            <w:tcW w:w="945" w:type="dxa"/>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Cs/>
                <w:kern w:val="2"/>
              </w:rPr>
            </w:pPr>
          </w:p>
        </w:tc>
        <w:tc>
          <w:tcPr>
            <w:tcW w:w="3045" w:type="dxa"/>
            <w:tcMar>
              <w:top w:w="15" w:type="dxa"/>
              <w:left w:w="15" w:type="dxa"/>
              <w:bottom w:w="0" w:type="dxa"/>
              <w:right w:w="15" w:type="dxa"/>
            </w:tcMar>
          </w:tcPr>
          <w:p>
            <w:pPr>
              <w:jc w:val="center"/>
              <w:rPr>
                <w:rFonts w:ascii="宋体"/>
                <w:bCs/>
                <w:sz w:val="18"/>
              </w:rPr>
            </w:pPr>
          </w:p>
        </w:tc>
        <w:tc>
          <w:tcPr>
            <w:tcW w:w="599" w:type="dxa"/>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76" w:type="dxa"/>
            <w:vAlign w:val="center"/>
          </w:tcPr>
          <w:p>
            <w:pPr>
              <w:jc w:val="center"/>
              <w:rPr>
                <w:rFonts w:ascii="黑体" w:hAnsi="宋体" w:eastAsia="黑体"/>
                <w:b/>
                <w:bCs/>
                <w:sz w:val="24"/>
                <w:szCs w:val="24"/>
              </w:rPr>
            </w:pPr>
          </w:p>
        </w:tc>
        <w:tc>
          <w:tcPr>
            <w:tcW w:w="992"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709" w:type="dxa"/>
            <w:vAlign w:val="center"/>
          </w:tcPr>
          <w:p>
            <w:pPr>
              <w:jc w:val="center"/>
              <w:rPr>
                <w:rFonts w:ascii="黑体" w:hAnsi="宋体" w:eastAsia="黑体"/>
                <w:b/>
                <w:bCs/>
                <w:sz w:val="24"/>
                <w:szCs w:val="24"/>
              </w:rPr>
            </w:pPr>
          </w:p>
        </w:tc>
        <w:tc>
          <w:tcPr>
            <w:tcW w:w="939"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420" w:type="dxa"/>
            <w:noWrap/>
            <w:tcMar>
              <w:top w:w="15" w:type="dxa"/>
              <w:left w:w="15" w:type="dxa"/>
              <w:bottom w:w="0" w:type="dxa"/>
              <w:right w:w="15" w:type="dxa"/>
            </w:tcMar>
            <w:vAlign w:val="center"/>
          </w:tcPr>
          <w:p>
            <w:pPr>
              <w:jc w:val="center"/>
              <w:rPr>
                <w:rFonts w:ascii="宋体"/>
                <w:sz w:val="18"/>
              </w:rPr>
            </w:pPr>
          </w:p>
        </w:tc>
        <w:tc>
          <w:tcPr>
            <w:tcW w:w="1050" w:type="dxa"/>
            <w:gridSpan w:val="2"/>
            <w:noWrap/>
            <w:tcMar>
              <w:top w:w="15" w:type="dxa"/>
              <w:left w:w="15" w:type="dxa"/>
              <w:bottom w:w="0" w:type="dxa"/>
              <w:right w:w="15" w:type="dxa"/>
            </w:tcMar>
            <w:vAlign w:val="center"/>
          </w:tcPr>
          <w:p>
            <w:pPr>
              <w:jc w:val="center"/>
              <w:rPr>
                <w:rFonts w:ascii="宋体"/>
              </w:rPr>
            </w:pPr>
          </w:p>
        </w:tc>
        <w:tc>
          <w:tcPr>
            <w:tcW w:w="945" w:type="dxa"/>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Cs/>
                <w:kern w:val="2"/>
              </w:rPr>
            </w:pPr>
          </w:p>
        </w:tc>
        <w:tc>
          <w:tcPr>
            <w:tcW w:w="3045" w:type="dxa"/>
            <w:tcMar>
              <w:top w:w="15" w:type="dxa"/>
              <w:left w:w="15" w:type="dxa"/>
              <w:bottom w:w="0" w:type="dxa"/>
              <w:right w:w="15" w:type="dxa"/>
            </w:tcMar>
            <w:vAlign w:val="center"/>
          </w:tcPr>
          <w:p>
            <w:pPr>
              <w:jc w:val="center"/>
              <w:rPr>
                <w:rFonts w:ascii="宋体"/>
                <w:bCs/>
                <w:sz w:val="18"/>
              </w:rPr>
            </w:pPr>
          </w:p>
        </w:tc>
        <w:tc>
          <w:tcPr>
            <w:tcW w:w="599" w:type="dxa"/>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76" w:type="dxa"/>
            <w:vAlign w:val="center"/>
          </w:tcPr>
          <w:p>
            <w:pPr>
              <w:jc w:val="center"/>
              <w:rPr>
                <w:rFonts w:ascii="黑体" w:hAnsi="宋体" w:eastAsia="黑体"/>
                <w:b/>
                <w:bCs/>
                <w:sz w:val="24"/>
                <w:szCs w:val="24"/>
              </w:rPr>
            </w:pPr>
          </w:p>
        </w:tc>
        <w:tc>
          <w:tcPr>
            <w:tcW w:w="992"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709" w:type="dxa"/>
            <w:vAlign w:val="center"/>
          </w:tcPr>
          <w:p>
            <w:pPr>
              <w:jc w:val="center"/>
              <w:rPr>
                <w:rFonts w:ascii="黑体" w:hAnsi="宋体" w:eastAsia="黑体"/>
                <w:b/>
                <w:bCs/>
                <w:sz w:val="24"/>
                <w:szCs w:val="24"/>
              </w:rPr>
            </w:pPr>
          </w:p>
        </w:tc>
        <w:tc>
          <w:tcPr>
            <w:tcW w:w="939"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
                <w:bCs/>
                <w:kern w:val="2"/>
                <w:sz w:val="24"/>
              </w:rPr>
            </w:pPr>
            <w:r>
              <w:rPr>
                <w:rFonts w:hint="eastAsia" w:ascii="宋体"/>
                <w:b/>
                <w:bCs/>
                <w:sz w:val="24"/>
              </w:rPr>
              <w:t>完工期/交货期</w:t>
            </w:r>
          </w:p>
        </w:tc>
        <w:tc>
          <w:tcPr>
            <w:tcW w:w="7560" w:type="dxa"/>
            <w:gridSpan w:val="6"/>
            <w:tcMar>
              <w:top w:w="15" w:type="dxa"/>
              <w:left w:w="15" w:type="dxa"/>
              <w:bottom w:w="0" w:type="dxa"/>
              <w:right w:w="15" w:type="dxa"/>
            </w:tcMar>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
                <w:bCs/>
                <w:kern w:val="2"/>
                <w:sz w:val="24"/>
              </w:rPr>
            </w:pPr>
            <w:r>
              <w:rPr>
                <w:rFonts w:hint="eastAsia" w:ascii="宋体"/>
                <w:b/>
                <w:bCs/>
                <w:sz w:val="24"/>
              </w:rPr>
              <w:t>项目整体质保期</w:t>
            </w:r>
          </w:p>
        </w:tc>
        <w:tc>
          <w:tcPr>
            <w:tcW w:w="7560" w:type="dxa"/>
            <w:gridSpan w:val="6"/>
            <w:tcMar>
              <w:top w:w="15" w:type="dxa"/>
              <w:left w:w="15" w:type="dxa"/>
              <w:bottom w:w="0" w:type="dxa"/>
              <w:right w:w="15" w:type="dxa"/>
            </w:tcMar>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pStyle w:val="20"/>
              <w:spacing w:line="400" w:lineRule="exact"/>
              <w:ind w:firstLine="120" w:firstLineChars="50"/>
              <w:rPr>
                <w:rFonts w:ascii="宋体"/>
                <w:b/>
                <w:bCs/>
                <w:kern w:val="2"/>
                <w:sz w:val="24"/>
                <w:szCs w:val="24"/>
              </w:rPr>
            </w:pPr>
            <w:r>
              <w:rPr>
                <w:rFonts w:hint="eastAsia" w:ascii="宋体" w:hAnsi="宋体"/>
                <w:b/>
                <w:bCs/>
                <w:kern w:val="2"/>
                <w:sz w:val="24"/>
                <w:szCs w:val="24"/>
              </w:rPr>
              <w:t>服</w:t>
            </w:r>
          </w:p>
          <w:p>
            <w:pPr>
              <w:pStyle w:val="20"/>
              <w:spacing w:line="400" w:lineRule="exact"/>
              <w:rPr>
                <w:rFonts w:ascii="宋体"/>
                <w:b/>
                <w:bCs/>
                <w:kern w:val="2"/>
                <w:sz w:val="24"/>
                <w:szCs w:val="24"/>
              </w:rPr>
            </w:pPr>
          </w:p>
          <w:p>
            <w:pPr>
              <w:pStyle w:val="20"/>
              <w:spacing w:line="400" w:lineRule="exact"/>
              <w:ind w:firstLine="120" w:firstLineChars="50"/>
              <w:rPr>
                <w:rFonts w:ascii="宋体"/>
                <w:b/>
                <w:bCs/>
                <w:kern w:val="2"/>
                <w:sz w:val="24"/>
                <w:szCs w:val="24"/>
              </w:rPr>
            </w:pPr>
            <w:r>
              <w:rPr>
                <w:rFonts w:hint="eastAsia" w:ascii="宋体" w:hAnsi="宋体"/>
                <w:b/>
                <w:bCs/>
                <w:kern w:val="2"/>
                <w:sz w:val="24"/>
                <w:szCs w:val="24"/>
              </w:rPr>
              <w:t>务</w:t>
            </w:r>
          </w:p>
          <w:p>
            <w:pPr>
              <w:pStyle w:val="20"/>
              <w:spacing w:line="400" w:lineRule="exact"/>
              <w:rPr>
                <w:rFonts w:ascii="宋体"/>
                <w:b/>
                <w:bCs/>
                <w:kern w:val="2"/>
                <w:sz w:val="24"/>
                <w:szCs w:val="24"/>
              </w:rPr>
            </w:pPr>
          </w:p>
          <w:p>
            <w:pPr>
              <w:pStyle w:val="20"/>
              <w:spacing w:line="400" w:lineRule="exact"/>
              <w:ind w:firstLine="120" w:firstLineChars="50"/>
              <w:rPr>
                <w:rFonts w:ascii="宋体"/>
                <w:b/>
                <w:bCs/>
                <w:kern w:val="2"/>
                <w:sz w:val="24"/>
                <w:szCs w:val="24"/>
              </w:rPr>
            </w:pPr>
            <w:r>
              <w:rPr>
                <w:rFonts w:hint="eastAsia" w:ascii="宋体" w:hAnsi="宋体"/>
                <w:b/>
                <w:bCs/>
                <w:kern w:val="2"/>
                <w:sz w:val="24"/>
                <w:szCs w:val="24"/>
              </w:rPr>
              <w:t>承</w:t>
            </w:r>
          </w:p>
          <w:p>
            <w:pPr>
              <w:pStyle w:val="20"/>
              <w:spacing w:line="400" w:lineRule="exact"/>
              <w:rPr>
                <w:rFonts w:ascii="宋体"/>
                <w:b/>
                <w:bCs/>
                <w:kern w:val="2"/>
                <w:sz w:val="24"/>
                <w:szCs w:val="24"/>
              </w:rPr>
            </w:pPr>
          </w:p>
          <w:p>
            <w:pPr>
              <w:pStyle w:val="20"/>
              <w:spacing w:line="400" w:lineRule="exact"/>
              <w:ind w:firstLine="120" w:firstLineChars="50"/>
              <w:rPr>
                <w:rFonts w:ascii="宋体"/>
                <w:bCs/>
                <w:kern w:val="2"/>
                <w:sz w:val="24"/>
                <w:szCs w:val="24"/>
              </w:rPr>
            </w:pPr>
            <w:r>
              <w:rPr>
                <w:rFonts w:hint="eastAsia" w:ascii="宋体" w:hAnsi="宋体"/>
                <w:b/>
                <w:bCs/>
                <w:kern w:val="2"/>
                <w:sz w:val="24"/>
                <w:szCs w:val="24"/>
              </w:rPr>
              <w:t>诺</w:t>
            </w:r>
          </w:p>
        </w:tc>
        <w:tc>
          <w:tcPr>
            <w:tcW w:w="9345" w:type="dxa"/>
            <w:gridSpan w:val="8"/>
            <w:vAlign w:val="center"/>
          </w:tcPr>
          <w:p>
            <w:pPr>
              <w:numPr>
                <w:ilvl w:val="0"/>
                <w:numId w:val="21"/>
              </w:numPr>
              <w:rPr>
                <w:rFonts w:asci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3."</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w:t>
            </w:r>
            <w:r>
              <w:rPr>
                <w:rFonts w:ascii="宋体" w:hAnsi="宋体"/>
                <w:bCs/>
                <w:sz w:val="24"/>
                <w:szCs w:val="24"/>
              </w:rPr>
              <w:t>)4</w:t>
            </w:r>
            <w:r>
              <w:rPr>
                <w:rFonts w:ascii="宋体"/>
                <w:bCs/>
                <w:sz w:val="24"/>
                <w:szCs w:val="24"/>
              </w:rPr>
              <w:t>.</w:t>
            </w:r>
            <w:r>
              <w:rPr>
                <w:rFonts w:hint="eastAsia" w:ascii="宋体" w:hAnsi="宋体"/>
                <w:bCs/>
                <w:sz w:val="24"/>
                <w:szCs w:val="24"/>
              </w:rPr>
              <w:t>其他承诺</w:t>
            </w:r>
          </w:p>
          <w:p>
            <w:pPr>
              <w:rPr>
                <w:rFonts w:ascii="宋体"/>
                <w:bCs/>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trPr>
        <w:tc>
          <w:tcPr>
            <w:tcW w:w="630" w:type="dxa"/>
            <w:gridSpan w:val="2"/>
            <w:vMerge w:val="continue"/>
            <w:vAlign w:val="center"/>
          </w:tcPr>
          <w:p>
            <w:pPr>
              <w:pStyle w:val="20"/>
              <w:spacing w:line="400" w:lineRule="exact"/>
              <w:rPr>
                <w:rFonts w:ascii="宋体"/>
                <w:bCs/>
                <w:kern w:val="2"/>
                <w:sz w:val="24"/>
                <w:szCs w:val="24"/>
              </w:rPr>
            </w:pPr>
          </w:p>
        </w:tc>
        <w:tc>
          <w:tcPr>
            <w:tcW w:w="9345" w:type="dxa"/>
            <w:gridSpan w:val="8"/>
            <w:vAlign w:val="center"/>
          </w:tcPr>
          <w:p>
            <w:pPr>
              <w:rPr>
                <w:rFonts w:ascii="宋体"/>
                <w:bCs/>
                <w:sz w:val="24"/>
                <w:szCs w:val="24"/>
              </w:rPr>
            </w:pPr>
          </w:p>
        </w:tc>
      </w:tr>
    </w:tbl>
    <w:p>
      <w:pPr>
        <w:spacing w:before="5" w:line="560" w:lineRule="atLeast"/>
        <w:rPr>
          <w:b/>
          <w:bCs/>
          <w:sz w:val="24"/>
          <w:szCs w:val="24"/>
        </w:rPr>
      </w:pPr>
      <w:r>
        <w:rPr>
          <w:rFonts w:hint="eastAsia"/>
          <w:b/>
          <w:bCs/>
          <w:sz w:val="24"/>
          <w:szCs w:val="24"/>
        </w:rPr>
        <w:t>法定代表人或法定代表人授权代表签字或盖章：</w:t>
      </w:r>
    </w:p>
    <w:p>
      <w:pPr>
        <w:spacing w:line="400" w:lineRule="exact"/>
        <w:outlineLvl w:val="0"/>
        <w:rPr>
          <w:rFonts w:ascii="宋体"/>
          <w:bCs/>
          <w:szCs w:val="21"/>
        </w:rPr>
      </w:pPr>
      <w:r>
        <w:rPr>
          <w:rFonts w:hint="eastAsia" w:ascii="宋体" w:hAnsi="宋体"/>
          <w:b/>
          <w:szCs w:val="21"/>
        </w:rPr>
        <w:t>注：</w:t>
      </w:r>
      <w:r>
        <w:rPr>
          <w:rFonts w:hint="eastAsia" w:ascii="宋体" w:hAnsi="宋体"/>
          <w:bCs/>
          <w:szCs w:val="21"/>
        </w:rPr>
        <w:t>（</w:t>
      </w:r>
      <w:r>
        <w:rPr>
          <w:rFonts w:ascii="宋体" w:hAnsi="宋体"/>
          <w:bCs/>
          <w:szCs w:val="21"/>
        </w:rPr>
        <w:t>1</w:t>
      </w:r>
      <w:r>
        <w:rPr>
          <w:rFonts w:hint="eastAsia" w:ascii="宋体" w:hAnsi="宋体"/>
          <w:bCs/>
          <w:szCs w:val="21"/>
        </w:rPr>
        <w:t>）</w:t>
      </w:r>
      <w:r>
        <w:rPr>
          <w:rFonts w:hint="eastAsia" w:ascii="宋体"/>
          <w:bCs/>
          <w:szCs w:val="21"/>
        </w:rPr>
        <w:t>投标人本项目提供的货物全部由符合政策要求的中小企业制造的，须提供按格式填写的《中小企业声明函》（货物）（《中小企业声明函》（货物）相应内容须与上表填列内容保持一致）；或提供由省级以上监狱管理局、戒毒管理局(含新疆生产建设兵团)出具的投标人属于监狱企业的证明文件扫描件；或提供投标人《残疾人福利性单位声明函》。如未按要求填写和提供有效证明或相关内容表述不清的，不得享受价格扣除。上述证明材料（如有）请附本表之后，投标人对所报相关数据的真实性负责，无锡市公共资源交易中心新吴分中心有权将相关内容进行公示；</w:t>
      </w:r>
    </w:p>
    <w:p>
      <w:pPr>
        <w:spacing w:line="400" w:lineRule="exact"/>
        <w:ind w:firstLine="315" w:firstLineChars="150"/>
        <w:outlineLvl w:val="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）投标人应当根据“项目技术要求和有关说明”的内容在上表中详细填写；</w:t>
      </w:r>
    </w:p>
    <w:p>
      <w:pPr>
        <w:spacing w:line="400" w:lineRule="exact"/>
        <w:ind w:firstLine="315" w:firstLineChars="150"/>
        <w:outlineLvl w:val="0"/>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）表格不够可自行延长。</w:t>
      </w:r>
    </w:p>
    <w:p>
      <w:pPr>
        <w:spacing w:line="400" w:lineRule="exact"/>
        <w:outlineLvl w:val="0"/>
        <w:rPr>
          <w:rFonts w:ascii="宋体" w:hAnsi="宋体"/>
          <w:bCs/>
          <w:szCs w:val="21"/>
        </w:rPr>
      </w:pPr>
    </w:p>
    <w:p>
      <w:pPr>
        <w:ind w:firstLine="490" w:firstLineChars="175"/>
        <w:outlineLvl w:val="0"/>
        <w:rPr>
          <w:rFonts w:ascii="黑体" w:eastAsia="黑体"/>
          <w:bCs/>
          <w:sz w:val="28"/>
          <w:szCs w:val="28"/>
        </w:rPr>
      </w:pPr>
      <w:r>
        <w:rPr>
          <w:rFonts w:ascii="黑体" w:eastAsia="黑体"/>
          <w:bCs/>
          <w:sz w:val="28"/>
          <w:szCs w:val="28"/>
        </w:rPr>
        <w:br w:type="page"/>
      </w:r>
      <w:r>
        <w:rPr>
          <w:rFonts w:hint="eastAsia" w:ascii="黑体" w:hAnsi="宋体" w:eastAsia="黑体"/>
          <w:bCs/>
          <w:sz w:val="24"/>
          <w:szCs w:val="24"/>
        </w:rPr>
        <w:t>（九）投标偏离表（格式）：</w:t>
      </w: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r>
        <w:rPr>
          <w:rFonts w:hint="eastAsia" w:ascii="黑体" w:eastAsia="黑体"/>
          <w:bCs/>
          <w:sz w:val="28"/>
          <w:szCs w:val="28"/>
        </w:rPr>
        <w:t>投标偏离表</w:t>
      </w:r>
    </w:p>
    <w:p>
      <w:pPr>
        <w:spacing w:line="400" w:lineRule="exact"/>
        <w:jc w:val="center"/>
        <w:outlineLvl w:val="0"/>
        <w:rPr>
          <w:rFonts w:ascii="黑体" w:eastAsia="黑体"/>
          <w:bCs/>
          <w:sz w:val="28"/>
          <w:szCs w:val="28"/>
        </w:rPr>
      </w:pPr>
    </w:p>
    <w:p>
      <w:pPr>
        <w:spacing w:line="400" w:lineRule="exact"/>
        <w:jc w:val="center"/>
        <w:outlineLvl w:val="0"/>
        <w:rPr>
          <w:rFonts w:ascii="黑体" w:eastAsia="黑体"/>
          <w:bCs/>
          <w:sz w:val="28"/>
          <w:szCs w:val="28"/>
        </w:rPr>
      </w:pP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采购项目编号：WXXWQJC2023-</w:t>
      </w:r>
      <w:r>
        <w:rPr>
          <w:rFonts w:hint="eastAsia" w:ascii="黑体" w:eastAsia="黑体"/>
          <w:bCs/>
          <w:sz w:val="24"/>
          <w:szCs w:val="24"/>
          <w:lang w:val="en-US" w:eastAsia="zh-CN"/>
        </w:rPr>
        <w:t>109</w:t>
      </w:r>
    </w:p>
    <w:p>
      <w:pPr>
        <w:spacing w:line="400" w:lineRule="exact"/>
        <w:rPr>
          <w:rFonts w:ascii="黑体" w:eastAsia="黑体"/>
          <w:bCs/>
          <w:sz w:val="24"/>
          <w:szCs w:val="24"/>
        </w:rPr>
      </w:pPr>
    </w:p>
    <w:tbl>
      <w:tblPr>
        <w:tblStyle w:val="25"/>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sz w:val="24"/>
                <w:szCs w:val="24"/>
              </w:rPr>
            </w:pPr>
            <w:r>
              <w:rPr>
                <w:rFonts w:hint="eastAsia" w:ascii="宋体" w:hAnsi="宋体"/>
                <w:b/>
                <w:bCs/>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 w:val="24"/>
                <w:szCs w:val="24"/>
              </w:rPr>
            </w:pPr>
            <w:r>
              <w:rPr>
                <w:rFonts w:hint="eastAsia" w:ascii="宋体" w:hAnsi="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 w:val="24"/>
                <w:szCs w:val="24"/>
              </w:rPr>
            </w:pPr>
            <w:r>
              <w:rPr>
                <w:rFonts w:hint="eastAsia" w:ascii="宋体" w:hAnsi="宋体"/>
                <w:b/>
                <w:bCs/>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 w:val="24"/>
                <w:szCs w:val="24"/>
              </w:rPr>
            </w:pPr>
            <w:r>
              <w:rPr>
                <w:rFonts w:hint="eastAsia" w:ascii="宋体" w:hAnsi="宋体"/>
                <w:b/>
                <w:bCs/>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rPr>
            </w:pPr>
          </w:p>
        </w:tc>
      </w:tr>
    </w:tbl>
    <w:p>
      <w:pPr>
        <w:rPr>
          <w:rFonts w:ascii="宋体"/>
          <w:b/>
          <w:sz w:val="24"/>
          <w:szCs w:val="24"/>
        </w:rPr>
      </w:pPr>
    </w:p>
    <w:p>
      <w:pPr>
        <w:rPr>
          <w:b/>
          <w:bCs/>
          <w:sz w:val="24"/>
          <w:szCs w:val="24"/>
        </w:rPr>
      </w:pPr>
      <w:r>
        <w:rPr>
          <w:rFonts w:hint="eastAsia"/>
          <w:b/>
          <w:bCs/>
          <w:sz w:val="24"/>
          <w:szCs w:val="24"/>
        </w:rPr>
        <w:t>法定代表人或法定代表人授权代表签字或盖章：</w:t>
      </w:r>
    </w:p>
    <w:p>
      <w:pPr>
        <w:rPr>
          <w:rFonts w:ascii="宋体"/>
          <w:bCs/>
          <w:sz w:val="30"/>
        </w:rPr>
      </w:pPr>
    </w:p>
    <w:p>
      <w:pPr>
        <w:ind w:firstLine="420" w:firstLineChars="175"/>
        <w:outlineLvl w:val="0"/>
        <w:rPr>
          <w:rFonts w:ascii="宋体" w:hAnsi="宋体"/>
          <w:bCs/>
          <w:sz w:val="24"/>
          <w:szCs w:val="24"/>
        </w:rPr>
      </w:pPr>
      <w:r>
        <w:rPr>
          <w:rFonts w:hint="eastAsia" w:ascii="宋体" w:hAnsi="宋体"/>
          <w:bCs/>
          <w:sz w:val="24"/>
          <w:szCs w:val="24"/>
        </w:rPr>
        <w:t>注：（</w:t>
      </w:r>
      <w:r>
        <w:rPr>
          <w:rFonts w:ascii="宋体" w:hAnsi="宋体"/>
          <w:bCs/>
          <w:sz w:val="24"/>
          <w:szCs w:val="24"/>
        </w:rPr>
        <w:t>1</w:t>
      </w:r>
      <w:r>
        <w:rPr>
          <w:rFonts w:hint="eastAsia" w:ascii="宋体" w:hAnsi="宋体"/>
          <w:bCs/>
          <w:sz w:val="24"/>
          <w:szCs w:val="24"/>
        </w:rPr>
        <w:t>）本表不得删除；</w:t>
      </w:r>
    </w:p>
    <w:p>
      <w:pPr>
        <w:ind w:firstLine="420" w:firstLineChars="175"/>
        <w:outlineLvl w:val="0"/>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）如无任何技术偏离，请于本表 “偏离说明”中注明“无偏离”；</w:t>
      </w:r>
    </w:p>
    <w:p>
      <w:pPr>
        <w:ind w:firstLine="420" w:firstLineChars="175"/>
        <w:outlineLvl w:val="0"/>
        <w:rPr>
          <w:rFonts w:ascii="宋体" w:hAnsi="宋体"/>
          <w:bCs/>
          <w:sz w:val="24"/>
          <w:szCs w:val="24"/>
        </w:rPr>
      </w:pPr>
      <w:r>
        <w:rPr>
          <w:rFonts w:hint="eastAsia" w:ascii="宋体" w:hAnsi="宋体"/>
          <w:bCs/>
          <w:sz w:val="24"/>
          <w:szCs w:val="24"/>
        </w:rPr>
        <w:t xml:space="preserve">   （3）如有技术偏离项，请于本表中列明偏离内容，如需要可自行延长，其余无偏离内容不须赘述。</w:t>
      </w: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spacing w:after="312" w:afterLines="100"/>
        <w:jc w:val="left"/>
        <w:rPr>
          <w:rFonts w:ascii="黑体" w:hAnsi="宋体" w:eastAsia="黑体"/>
          <w:bCs/>
          <w:sz w:val="24"/>
          <w:szCs w:val="24"/>
        </w:rPr>
      </w:pPr>
    </w:p>
    <w:p>
      <w:pPr>
        <w:spacing w:after="312" w:afterLines="100"/>
        <w:jc w:val="left"/>
        <w:rPr>
          <w:rFonts w:ascii="黑体" w:eastAsia="黑体"/>
          <w:bCs/>
          <w:color w:val="000000"/>
          <w:sz w:val="24"/>
        </w:rPr>
      </w:pPr>
      <w:r>
        <w:rPr>
          <w:rFonts w:hint="eastAsia" w:ascii="黑体" w:hAnsi="宋体" w:eastAsia="黑体"/>
          <w:bCs/>
          <w:sz w:val="24"/>
          <w:szCs w:val="24"/>
        </w:rPr>
        <w:t>（十）</w:t>
      </w:r>
      <w:r>
        <w:rPr>
          <w:rFonts w:hint="eastAsia" w:ascii="黑体" w:hAnsi="宋体" w:eastAsia="黑体"/>
          <w:bCs/>
          <w:color w:val="000000"/>
          <w:sz w:val="24"/>
        </w:rPr>
        <w:t>项目人员配置清单（格式）</w:t>
      </w:r>
    </w:p>
    <w:p>
      <w:pPr>
        <w:spacing w:line="400" w:lineRule="exact"/>
        <w:rPr>
          <w:rFonts w:ascii="黑体" w:eastAsia="黑体"/>
          <w:bCs/>
          <w:color w:val="000000"/>
          <w:sz w:val="28"/>
          <w:szCs w:val="28"/>
        </w:rPr>
      </w:pPr>
    </w:p>
    <w:p>
      <w:pPr>
        <w:spacing w:line="400" w:lineRule="exact"/>
        <w:jc w:val="center"/>
        <w:rPr>
          <w:rFonts w:ascii="黑体" w:eastAsia="黑体"/>
          <w:bCs/>
          <w:color w:val="000000"/>
          <w:sz w:val="28"/>
          <w:szCs w:val="28"/>
        </w:rPr>
      </w:pPr>
      <w:r>
        <w:rPr>
          <w:rFonts w:hint="eastAsia" w:ascii="黑体" w:eastAsia="黑体"/>
          <w:bCs/>
          <w:color w:val="000000"/>
          <w:sz w:val="28"/>
          <w:szCs w:val="28"/>
        </w:rPr>
        <w:t>项目人员配置清单</w:t>
      </w:r>
    </w:p>
    <w:p>
      <w:pPr>
        <w:spacing w:line="400" w:lineRule="exact"/>
        <w:jc w:val="center"/>
        <w:rPr>
          <w:rFonts w:ascii="黑体" w:eastAsia="黑体"/>
          <w:bCs/>
          <w:color w:val="000000"/>
          <w:sz w:val="28"/>
          <w:szCs w:val="28"/>
        </w:rPr>
      </w:pPr>
    </w:p>
    <w:p>
      <w:pPr>
        <w:ind w:firstLine="480" w:firstLineChars="200"/>
        <w:rPr>
          <w:rFonts w:hint="eastAsia" w:ascii="黑体" w:eastAsia="黑体"/>
          <w:bCs/>
          <w:sz w:val="24"/>
          <w:szCs w:val="24"/>
          <w:lang w:val="en-US" w:eastAsia="zh-CN"/>
        </w:rPr>
      </w:pPr>
      <w:r>
        <w:rPr>
          <w:rFonts w:hint="eastAsia" w:ascii="黑体" w:eastAsia="黑体"/>
          <w:bCs/>
          <w:color w:val="000000"/>
          <w:sz w:val="24"/>
        </w:rPr>
        <w:t xml:space="preserve">投标人名称（盖章）                   </w:t>
      </w:r>
      <w:r>
        <w:rPr>
          <w:rFonts w:hint="eastAsia" w:ascii="黑体" w:eastAsia="黑体"/>
          <w:bCs/>
          <w:color w:val="000000"/>
          <w:sz w:val="24"/>
          <w:lang w:val="en-US" w:eastAsia="zh-CN"/>
        </w:rPr>
        <w:t xml:space="preserve">    </w:t>
      </w:r>
      <w:r>
        <w:rPr>
          <w:rFonts w:hint="eastAsia" w:ascii="黑体" w:eastAsia="黑体"/>
          <w:bCs/>
          <w:color w:val="000000"/>
          <w:sz w:val="24"/>
        </w:rPr>
        <w:t xml:space="preserve"> 采购项目编号：</w:t>
      </w:r>
      <w:r>
        <w:rPr>
          <w:rFonts w:hint="eastAsia" w:ascii="黑体" w:eastAsia="黑体"/>
          <w:bCs/>
          <w:sz w:val="24"/>
          <w:szCs w:val="24"/>
        </w:rPr>
        <w:t>WXXWQJC2023-</w:t>
      </w:r>
      <w:r>
        <w:rPr>
          <w:rFonts w:hint="eastAsia" w:ascii="黑体" w:eastAsia="黑体"/>
          <w:bCs/>
          <w:sz w:val="24"/>
          <w:szCs w:val="24"/>
          <w:lang w:val="en-US" w:eastAsia="zh-CN"/>
        </w:rPr>
        <w:t>109</w:t>
      </w:r>
    </w:p>
    <w:p>
      <w:pPr>
        <w:ind w:firstLine="480" w:firstLineChars="200"/>
        <w:rPr>
          <w:b/>
          <w:bCs/>
          <w:color w:val="000000"/>
          <w:sz w:val="24"/>
        </w:rPr>
      </w:pPr>
      <w:r>
        <w:rPr>
          <w:rFonts w:hint="eastAsia"/>
          <w:b/>
          <w:bCs/>
          <w:color w:val="000000"/>
          <w:sz w:val="24"/>
        </w:rPr>
        <w:t>法定代表人或法定代表人授权代表签字或盖章：</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04"/>
        <w:gridCol w:w="1057"/>
        <w:gridCol w:w="1348"/>
        <w:gridCol w:w="1729"/>
        <w:gridCol w:w="1417"/>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序号</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姓名</w:t>
            </w:r>
          </w:p>
        </w:tc>
        <w:tc>
          <w:tcPr>
            <w:tcW w:w="1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年龄</w:t>
            </w:r>
          </w:p>
        </w:tc>
        <w:tc>
          <w:tcPr>
            <w:tcW w:w="13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职责</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项目经验</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学历</w:t>
            </w:r>
          </w:p>
        </w:tc>
        <w:tc>
          <w:tcPr>
            <w:tcW w:w="1530" w:type="dxa"/>
            <w:tcBorders>
              <w:top w:val="single" w:color="auto" w:sz="4" w:space="0"/>
              <w:left w:val="single" w:color="auto" w:sz="4" w:space="0"/>
              <w:bottom w:val="single" w:color="auto" w:sz="4" w:space="0"/>
              <w:right w:val="single" w:color="auto" w:sz="4" w:space="0"/>
            </w:tcBorders>
          </w:tcPr>
          <w:p>
            <w:pPr>
              <w:jc w:val="center"/>
              <w:rPr>
                <w:rFonts w:ascii="宋体" w:hAnsi="宋体"/>
                <w:b/>
                <w:color w:val="000000"/>
                <w:sz w:val="24"/>
              </w:rPr>
            </w:pPr>
            <w:r>
              <w:rPr>
                <w:rFonts w:hint="eastAsia" w:ascii="宋体" w:hAnsi="宋体"/>
                <w:b/>
                <w:color w:val="000000"/>
                <w:sz w:val="24"/>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r>
    </w:tbl>
    <w:p>
      <w:pPr>
        <w:rPr>
          <w:b/>
          <w:bCs/>
          <w:color w:val="000000"/>
          <w:sz w:val="24"/>
        </w:rPr>
      </w:pPr>
    </w:p>
    <w:p>
      <w:pPr>
        <w:rPr>
          <w:rFonts w:ascii="宋体" w:hAnsi="宋体"/>
          <w:bCs/>
          <w:color w:val="000000"/>
          <w:szCs w:val="21"/>
        </w:rPr>
      </w:pPr>
      <w:r>
        <w:rPr>
          <w:rFonts w:hint="eastAsia" w:ascii="宋体" w:hAnsi="宋体"/>
          <w:bCs/>
          <w:color w:val="000000"/>
          <w:szCs w:val="21"/>
        </w:rPr>
        <w:t>注：1. 表格不够可自行延长。</w:t>
      </w:r>
    </w:p>
    <w:p>
      <w:pPr>
        <w:rPr>
          <w:rFonts w:ascii="黑体" w:hAnsi="宋体" w:eastAsia="黑体"/>
          <w:bCs/>
          <w:color w:val="000000"/>
          <w:sz w:val="24"/>
          <w:szCs w:val="24"/>
        </w:rPr>
      </w:pPr>
      <w:r>
        <w:rPr>
          <w:rFonts w:hint="eastAsia" w:ascii="宋体" w:hAnsi="宋体"/>
          <w:bCs/>
          <w:color w:val="000000"/>
          <w:szCs w:val="21"/>
        </w:rPr>
        <w:t>2.上述人员需要提交的证明材料，请附在本表之后</w:t>
      </w: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rFonts w:ascii="宋体" w:hAnsi="宋体"/>
          <w:bCs/>
          <w:sz w:val="24"/>
          <w:szCs w:val="24"/>
        </w:rPr>
      </w:pPr>
    </w:p>
    <w:p>
      <w:pPr>
        <w:pStyle w:val="5"/>
        <w:rPr>
          <w:rFonts w:ascii="宋体" w:hAnsi="宋体"/>
          <w:sz w:val="24"/>
          <w:szCs w:val="24"/>
        </w:rPr>
      </w:pPr>
    </w:p>
    <w:p>
      <w:pPr>
        <w:rPr>
          <w:sz w:val="20"/>
          <w:szCs w:val="21"/>
        </w:rPr>
      </w:pPr>
    </w:p>
    <w:sectPr>
      <w:headerReference r:id="rId4" w:type="first"/>
      <w:footerReference r:id="rId7" w:type="first"/>
      <w:headerReference r:id="rId3" w:type="default"/>
      <w:footerReference r:id="rId5" w:type="default"/>
      <w:footerReference r:id="rId6"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serif">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华文新魏" w:eastAsia="华文新魏"/>
        <w:sz w:val="16"/>
        <w:szCs w:val="18"/>
      </w:rPr>
    </w:pPr>
    <w:r>
      <w:rPr>
        <w:rFonts w:hint="eastAsia" w:ascii="华文新魏" w:eastAsia="华文新魏"/>
        <w:sz w:val="20"/>
        <w:szCs w:val="18"/>
      </w:rPr>
      <w:t>WXXWQJC2023-10</w:t>
    </w:r>
    <w:r>
      <w:rPr>
        <w:rFonts w:hint="eastAsia" w:ascii="华文新魏" w:eastAsia="华文新魏"/>
        <w:sz w:val="20"/>
        <w:szCs w:val="18"/>
        <w:lang w:val="en-US" w:eastAsia="zh-CN"/>
      </w:rPr>
      <w:t>9基础管控中心大屏及数字督察中心大屏采购</w:t>
    </w:r>
    <w:r>
      <w:rPr>
        <w:rFonts w:hint="eastAsia" w:ascii="华文新魏" w:eastAsia="华文新魏"/>
        <w:sz w:val="20"/>
        <w:szCs w:val="18"/>
      </w:rPr>
      <w:t>项目      无锡市公共资源交易中心新吴分中心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5">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6">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7">
    <w:nsid w:val="3AE63A52"/>
    <w:multiLevelType w:val="singleLevel"/>
    <w:tmpl w:val="3AE63A52"/>
    <w:lvl w:ilvl="0" w:tentative="0">
      <w:start w:val="1"/>
      <w:numFmt w:val="decimal"/>
      <w:lvlText w:val="%1."/>
      <w:lvlJc w:val="left"/>
      <w:pPr>
        <w:tabs>
          <w:tab w:val="left" w:pos="762"/>
        </w:tabs>
        <w:ind w:left="762" w:hanging="210"/>
      </w:pPr>
      <w:rPr>
        <w:rFonts w:hint="eastAsia" w:cs="Times New Roman"/>
      </w:rPr>
    </w:lvl>
  </w:abstractNum>
  <w:abstractNum w:abstractNumId="8">
    <w:nsid w:val="3EC72376"/>
    <w:multiLevelType w:val="multilevel"/>
    <w:tmpl w:val="3EC72376"/>
    <w:lvl w:ilvl="0" w:tentative="0">
      <w:start w:val="8"/>
      <w:numFmt w:val="japaneseCounting"/>
      <w:lvlText w:val="（%1）"/>
      <w:lvlJc w:val="left"/>
      <w:pPr>
        <w:ind w:left="1239" w:hanging="720"/>
      </w:pPr>
      <w:rPr>
        <w:rFonts w:hint="default"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9">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0">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1">
    <w:nsid w:val="510B6456"/>
    <w:multiLevelType w:val="singleLevel"/>
    <w:tmpl w:val="510B6456"/>
    <w:lvl w:ilvl="0" w:tentative="0">
      <w:start w:val="1"/>
      <w:numFmt w:val="decimal"/>
      <w:lvlText w:val="%1．"/>
      <w:lvlJc w:val="left"/>
      <w:pPr>
        <w:tabs>
          <w:tab w:val="left" w:pos="552"/>
        </w:tabs>
        <w:ind w:left="552" w:hanging="420"/>
      </w:pPr>
      <w:rPr>
        <w:rFonts w:hint="eastAsia" w:cs="Times New Roman"/>
      </w:rPr>
    </w:lvl>
  </w:abstractNum>
  <w:abstractNum w:abstractNumId="12">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6C57FCD"/>
    <w:multiLevelType w:val="multilevel"/>
    <w:tmpl w:val="56C57FCD"/>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b/>
        <w:lang w:val="en-US"/>
      </w:rPr>
    </w:lvl>
    <w:lvl w:ilvl="5" w:tentative="0">
      <w:start w:val="10"/>
      <w:numFmt w:val="japaneseCounting"/>
      <w:lvlText w:val="（%6）"/>
      <w:lvlJc w:val="left"/>
      <w:pPr>
        <w:ind w:left="2970" w:hanging="720"/>
      </w:pPr>
      <w:rPr>
        <w:rFonts w:hint="default" w:cs="Times New Roman"/>
      </w:rPr>
    </w:lvl>
    <w:lvl w:ilvl="6" w:tentative="0">
      <w:start w:val="1"/>
      <w:numFmt w:val="decimalEnclosedCircle"/>
      <w:lvlText w:val="%7"/>
      <w:lvlJc w:val="left"/>
      <w:pPr>
        <w:tabs>
          <w:tab w:val="left" w:pos="3090"/>
        </w:tabs>
        <w:ind w:left="3090" w:hanging="420"/>
      </w:pPr>
      <w:rPr>
        <w:rFonts w:hint="default" w:cs="Times New Roman"/>
        <w:color w:val="auto"/>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5">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7">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9">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19"/>
  </w:num>
  <w:num w:numId="2">
    <w:abstractNumId w:val="17"/>
  </w:num>
  <w:num w:numId="3">
    <w:abstractNumId w:val="11"/>
  </w:num>
  <w:num w:numId="4">
    <w:abstractNumId w:val="9"/>
  </w:num>
  <w:num w:numId="5">
    <w:abstractNumId w:val="0"/>
  </w:num>
  <w:num w:numId="6">
    <w:abstractNumId w:val="3"/>
  </w:num>
  <w:num w:numId="7">
    <w:abstractNumId w:val="20"/>
  </w:num>
  <w:num w:numId="8">
    <w:abstractNumId w:val="7"/>
  </w:num>
  <w:num w:numId="9">
    <w:abstractNumId w:val="14"/>
  </w:num>
  <w:num w:numId="10">
    <w:abstractNumId w:val="12"/>
  </w:num>
  <w:num w:numId="11">
    <w:abstractNumId w:val="2"/>
  </w:num>
  <w:num w:numId="12">
    <w:abstractNumId w:val="10"/>
  </w:num>
  <w:num w:numId="13">
    <w:abstractNumId w:val="4"/>
  </w:num>
  <w:num w:numId="14">
    <w:abstractNumId w:val="18"/>
  </w:num>
  <w:num w:numId="15">
    <w:abstractNumId w:val="16"/>
  </w:num>
  <w:num w:numId="16">
    <w:abstractNumId w:val="6"/>
  </w:num>
  <w:num w:numId="17">
    <w:abstractNumId w:val="1"/>
  </w:num>
  <w:num w:numId="18">
    <w:abstractNumId w:val="8"/>
  </w:num>
  <w:num w:numId="19">
    <w:abstractNumId w:val="13"/>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OWYzMGY4MjIwNGNjNWU2MjUyM2QwNzRmNzQ0YTgifQ=="/>
  </w:docVars>
  <w:rsids>
    <w:rsidRoot w:val="05830742"/>
    <w:rsid w:val="0000053B"/>
    <w:rsid w:val="00005586"/>
    <w:rsid w:val="00023F37"/>
    <w:rsid w:val="00025CDA"/>
    <w:rsid w:val="00027136"/>
    <w:rsid w:val="00032E99"/>
    <w:rsid w:val="00035979"/>
    <w:rsid w:val="0003756D"/>
    <w:rsid w:val="000467D6"/>
    <w:rsid w:val="00055659"/>
    <w:rsid w:val="00057274"/>
    <w:rsid w:val="000578D9"/>
    <w:rsid w:val="00060525"/>
    <w:rsid w:val="0006261F"/>
    <w:rsid w:val="00064F9E"/>
    <w:rsid w:val="00071CFE"/>
    <w:rsid w:val="00072395"/>
    <w:rsid w:val="0007466C"/>
    <w:rsid w:val="00077854"/>
    <w:rsid w:val="0008406E"/>
    <w:rsid w:val="00096B78"/>
    <w:rsid w:val="000A01C4"/>
    <w:rsid w:val="000A45A7"/>
    <w:rsid w:val="000A611A"/>
    <w:rsid w:val="000A7034"/>
    <w:rsid w:val="000B1029"/>
    <w:rsid w:val="000B7845"/>
    <w:rsid w:val="000C044B"/>
    <w:rsid w:val="000C394C"/>
    <w:rsid w:val="000D03DF"/>
    <w:rsid w:val="000D2C40"/>
    <w:rsid w:val="000D7793"/>
    <w:rsid w:val="000E4777"/>
    <w:rsid w:val="000E7562"/>
    <w:rsid w:val="000E792B"/>
    <w:rsid w:val="000F13DD"/>
    <w:rsid w:val="000F18E1"/>
    <w:rsid w:val="000F1F9B"/>
    <w:rsid w:val="000F3F52"/>
    <w:rsid w:val="000F4EF1"/>
    <w:rsid w:val="000F50FD"/>
    <w:rsid w:val="00101B15"/>
    <w:rsid w:val="0010264E"/>
    <w:rsid w:val="0010690C"/>
    <w:rsid w:val="001111BA"/>
    <w:rsid w:val="00112084"/>
    <w:rsid w:val="0012047C"/>
    <w:rsid w:val="00123E77"/>
    <w:rsid w:val="001313B9"/>
    <w:rsid w:val="0013250F"/>
    <w:rsid w:val="00133344"/>
    <w:rsid w:val="00133FEA"/>
    <w:rsid w:val="001370A3"/>
    <w:rsid w:val="0013765A"/>
    <w:rsid w:val="001407D4"/>
    <w:rsid w:val="00140AAC"/>
    <w:rsid w:val="00153F19"/>
    <w:rsid w:val="0016004B"/>
    <w:rsid w:val="001609B9"/>
    <w:rsid w:val="00161F11"/>
    <w:rsid w:val="001638FA"/>
    <w:rsid w:val="001645F2"/>
    <w:rsid w:val="001717CF"/>
    <w:rsid w:val="001746FA"/>
    <w:rsid w:val="00174BAF"/>
    <w:rsid w:val="00175269"/>
    <w:rsid w:val="0018434D"/>
    <w:rsid w:val="00197209"/>
    <w:rsid w:val="001A1478"/>
    <w:rsid w:val="001A181A"/>
    <w:rsid w:val="001A2A42"/>
    <w:rsid w:val="001B32DD"/>
    <w:rsid w:val="001B42EF"/>
    <w:rsid w:val="001B448F"/>
    <w:rsid w:val="001B76D5"/>
    <w:rsid w:val="001C0741"/>
    <w:rsid w:val="001C0A24"/>
    <w:rsid w:val="001C0B47"/>
    <w:rsid w:val="001C0DBC"/>
    <w:rsid w:val="001C274F"/>
    <w:rsid w:val="001C4DBD"/>
    <w:rsid w:val="001D5192"/>
    <w:rsid w:val="001E4668"/>
    <w:rsid w:val="001E4C6A"/>
    <w:rsid w:val="001E7CA2"/>
    <w:rsid w:val="001F75B9"/>
    <w:rsid w:val="00202940"/>
    <w:rsid w:val="0020399D"/>
    <w:rsid w:val="00203A18"/>
    <w:rsid w:val="00204689"/>
    <w:rsid w:val="00207EEF"/>
    <w:rsid w:val="0022234E"/>
    <w:rsid w:val="002229CC"/>
    <w:rsid w:val="002263D0"/>
    <w:rsid w:val="00230D81"/>
    <w:rsid w:val="002356FA"/>
    <w:rsid w:val="00242E47"/>
    <w:rsid w:val="00251E63"/>
    <w:rsid w:val="002520C9"/>
    <w:rsid w:val="00253FC7"/>
    <w:rsid w:val="00255030"/>
    <w:rsid w:val="00255DB0"/>
    <w:rsid w:val="00263EEA"/>
    <w:rsid w:val="00274DB6"/>
    <w:rsid w:val="00275E0E"/>
    <w:rsid w:val="00280BDD"/>
    <w:rsid w:val="00283305"/>
    <w:rsid w:val="00284807"/>
    <w:rsid w:val="002946D4"/>
    <w:rsid w:val="00295798"/>
    <w:rsid w:val="002A7AF7"/>
    <w:rsid w:val="002C400E"/>
    <w:rsid w:val="002C46FD"/>
    <w:rsid w:val="002D03B7"/>
    <w:rsid w:val="002D2751"/>
    <w:rsid w:val="002D3797"/>
    <w:rsid w:val="002D4D0B"/>
    <w:rsid w:val="002D6B2A"/>
    <w:rsid w:val="002E1F11"/>
    <w:rsid w:val="002F0EEE"/>
    <w:rsid w:val="002F2892"/>
    <w:rsid w:val="00301DEA"/>
    <w:rsid w:val="00305056"/>
    <w:rsid w:val="00305E08"/>
    <w:rsid w:val="003111DA"/>
    <w:rsid w:val="00313467"/>
    <w:rsid w:val="0032309C"/>
    <w:rsid w:val="003245E2"/>
    <w:rsid w:val="0033294C"/>
    <w:rsid w:val="003373D3"/>
    <w:rsid w:val="00346850"/>
    <w:rsid w:val="00357C24"/>
    <w:rsid w:val="003608B8"/>
    <w:rsid w:val="00362634"/>
    <w:rsid w:val="00362894"/>
    <w:rsid w:val="003631D4"/>
    <w:rsid w:val="0037196B"/>
    <w:rsid w:val="0037468E"/>
    <w:rsid w:val="003765A2"/>
    <w:rsid w:val="00394D86"/>
    <w:rsid w:val="003960A6"/>
    <w:rsid w:val="003A164E"/>
    <w:rsid w:val="003A2B32"/>
    <w:rsid w:val="003A30AE"/>
    <w:rsid w:val="003B5F7B"/>
    <w:rsid w:val="003C227F"/>
    <w:rsid w:val="003C3EE6"/>
    <w:rsid w:val="003C46E2"/>
    <w:rsid w:val="003C64FC"/>
    <w:rsid w:val="003D33EB"/>
    <w:rsid w:val="003D532E"/>
    <w:rsid w:val="003D6537"/>
    <w:rsid w:val="003E2FFD"/>
    <w:rsid w:val="003F203E"/>
    <w:rsid w:val="003F53C7"/>
    <w:rsid w:val="0040123D"/>
    <w:rsid w:val="00402E79"/>
    <w:rsid w:val="004049FA"/>
    <w:rsid w:val="00410F06"/>
    <w:rsid w:val="004136A0"/>
    <w:rsid w:val="004173ED"/>
    <w:rsid w:val="00420291"/>
    <w:rsid w:val="0042230C"/>
    <w:rsid w:val="00423344"/>
    <w:rsid w:val="00423A2F"/>
    <w:rsid w:val="00423DCF"/>
    <w:rsid w:val="004279B7"/>
    <w:rsid w:val="00433266"/>
    <w:rsid w:val="0043343C"/>
    <w:rsid w:val="004345F2"/>
    <w:rsid w:val="00436E3D"/>
    <w:rsid w:val="00437A48"/>
    <w:rsid w:val="004449B8"/>
    <w:rsid w:val="004466E4"/>
    <w:rsid w:val="00457796"/>
    <w:rsid w:val="004718BF"/>
    <w:rsid w:val="00476318"/>
    <w:rsid w:val="004829BA"/>
    <w:rsid w:val="00483830"/>
    <w:rsid w:val="00490A1F"/>
    <w:rsid w:val="00491052"/>
    <w:rsid w:val="0049174D"/>
    <w:rsid w:val="00492E1F"/>
    <w:rsid w:val="00494555"/>
    <w:rsid w:val="00496AAC"/>
    <w:rsid w:val="004972B1"/>
    <w:rsid w:val="0049762D"/>
    <w:rsid w:val="004A5848"/>
    <w:rsid w:val="004B5D69"/>
    <w:rsid w:val="004C35F3"/>
    <w:rsid w:val="004C571C"/>
    <w:rsid w:val="004D2241"/>
    <w:rsid w:val="004D48F5"/>
    <w:rsid w:val="004D7D32"/>
    <w:rsid w:val="004E3317"/>
    <w:rsid w:val="004E3412"/>
    <w:rsid w:val="004F08E1"/>
    <w:rsid w:val="004F1692"/>
    <w:rsid w:val="0050153E"/>
    <w:rsid w:val="0050247F"/>
    <w:rsid w:val="00513459"/>
    <w:rsid w:val="00513867"/>
    <w:rsid w:val="005154B8"/>
    <w:rsid w:val="005175EA"/>
    <w:rsid w:val="00521C9B"/>
    <w:rsid w:val="0052245F"/>
    <w:rsid w:val="00522535"/>
    <w:rsid w:val="0052438C"/>
    <w:rsid w:val="0052530E"/>
    <w:rsid w:val="0052630E"/>
    <w:rsid w:val="005263C1"/>
    <w:rsid w:val="00526615"/>
    <w:rsid w:val="00526B1D"/>
    <w:rsid w:val="00530AA9"/>
    <w:rsid w:val="0053577E"/>
    <w:rsid w:val="005430CC"/>
    <w:rsid w:val="00543C1B"/>
    <w:rsid w:val="005447F9"/>
    <w:rsid w:val="00545525"/>
    <w:rsid w:val="00551654"/>
    <w:rsid w:val="00551ADC"/>
    <w:rsid w:val="005520FC"/>
    <w:rsid w:val="00553339"/>
    <w:rsid w:val="005549F7"/>
    <w:rsid w:val="00560D22"/>
    <w:rsid w:val="00561A77"/>
    <w:rsid w:val="00562836"/>
    <w:rsid w:val="00567411"/>
    <w:rsid w:val="005718D8"/>
    <w:rsid w:val="005743FD"/>
    <w:rsid w:val="00582153"/>
    <w:rsid w:val="005856CE"/>
    <w:rsid w:val="00586D52"/>
    <w:rsid w:val="005913F0"/>
    <w:rsid w:val="00592696"/>
    <w:rsid w:val="0059393F"/>
    <w:rsid w:val="00597BFE"/>
    <w:rsid w:val="005A00E5"/>
    <w:rsid w:val="005A5D34"/>
    <w:rsid w:val="005B0158"/>
    <w:rsid w:val="005B1C3B"/>
    <w:rsid w:val="005B25A8"/>
    <w:rsid w:val="005C05C5"/>
    <w:rsid w:val="005C1267"/>
    <w:rsid w:val="005C1D5D"/>
    <w:rsid w:val="005C2F0F"/>
    <w:rsid w:val="005C4041"/>
    <w:rsid w:val="005E10BA"/>
    <w:rsid w:val="005E4D9F"/>
    <w:rsid w:val="005E53C9"/>
    <w:rsid w:val="005E5A41"/>
    <w:rsid w:val="005E5BA9"/>
    <w:rsid w:val="005F270A"/>
    <w:rsid w:val="005F3C8D"/>
    <w:rsid w:val="005F5E52"/>
    <w:rsid w:val="005F6732"/>
    <w:rsid w:val="00602B4A"/>
    <w:rsid w:val="00604B3B"/>
    <w:rsid w:val="0061041A"/>
    <w:rsid w:val="0061201B"/>
    <w:rsid w:val="00612E01"/>
    <w:rsid w:val="00613CEF"/>
    <w:rsid w:val="00614E3A"/>
    <w:rsid w:val="00616B3E"/>
    <w:rsid w:val="006172A8"/>
    <w:rsid w:val="00625DB5"/>
    <w:rsid w:val="00634FB9"/>
    <w:rsid w:val="00635596"/>
    <w:rsid w:val="00637D30"/>
    <w:rsid w:val="00640D63"/>
    <w:rsid w:val="00647192"/>
    <w:rsid w:val="00647216"/>
    <w:rsid w:val="006539D6"/>
    <w:rsid w:val="00653A62"/>
    <w:rsid w:val="006604B8"/>
    <w:rsid w:val="006605B2"/>
    <w:rsid w:val="00660C5F"/>
    <w:rsid w:val="0066634E"/>
    <w:rsid w:val="00671394"/>
    <w:rsid w:val="00671BEB"/>
    <w:rsid w:val="00680DF5"/>
    <w:rsid w:val="00681A6B"/>
    <w:rsid w:val="00683309"/>
    <w:rsid w:val="00684228"/>
    <w:rsid w:val="00691240"/>
    <w:rsid w:val="00691BDA"/>
    <w:rsid w:val="00697621"/>
    <w:rsid w:val="006A2F15"/>
    <w:rsid w:val="006B06E5"/>
    <w:rsid w:val="006B2BC3"/>
    <w:rsid w:val="006C3A97"/>
    <w:rsid w:val="006C68A2"/>
    <w:rsid w:val="006D1C29"/>
    <w:rsid w:val="006D29B2"/>
    <w:rsid w:val="006D2A51"/>
    <w:rsid w:val="006D3F61"/>
    <w:rsid w:val="006D66E5"/>
    <w:rsid w:val="006E5AFC"/>
    <w:rsid w:val="006E686E"/>
    <w:rsid w:val="006F545D"/>
    <w:rsid w:val="006F6F4A"/>
    <w:rsid w:val="0070333F"/>
    <w:rsid w:val="00704DB6"/>
    <w:rsid w:val="007061C1"/>
    <w:rsid w:val="00714A3D"/>
    <w:rsid w:val="00716D66"/>
    <w:rsid w:val="00722856"/>
    <w:rsid w:val="00723F71"/>
    <w:rsid w:val="007301CF"/>
    <w:rsid w:val="00731841"/>
    <w:rsid w:val="00733BB2"/>
    <w:rsid w:val="0073514C"/>
    <w:rsid w:val="00736C20"/>
    <w:rsid w:val="007373EE"/>
    <w:rsid w:val="00743825"/>
    <w:rsid w:val="00743D67"/>
    <w:rsid w:val="007461A4"/>
    <w:rsid w:val="0074784E"/>
    <w:rsid w:val="00747BFB"/>
    <w:rsid w:val="00750061"/>
    <w:rsid w:val="007559FF"/>
    <w:rsid w:val="007570D1"/>
    <w:rsid w:val="00757131"/>
    <w:rsid w:val="00761377"/>
    <w:rsid w:val="00762816"/>
    <w:rsid w:val="00763E37"/>
    <w:rsid w:val="00766C58"/>
    <w:rsid w:val="007710F6"/>
    <w:rsid w:val="00771974"/>
    <w:rsid w:val="00772BD7"/>
    <w:rsid w:val="007736C6"/>
    <w:rsid w:val="007756F3"/>
    <w:rsid w:val="00787860"/>
    <w:rsid w:val="00796065"/>
    <w:rsid w:val="007A3804"/>
    <w:rsid w:val="007B273D"/>
    <w:rsid w:val="007C0266"/>
    <w:rsid w:val="007C200A"/>
    <w:rsid w:val="007C222C"/>
    <w:rsid w:val="007D13A4"/>
    <w:rsid w:val="007D1F93"/>
    <w:rsid w:val="007D38F6"/>
    <w:rsid w:val="007D4221"/>
    <w:rsid w:val="007D4FDA"/>
    <w:rsid w:val="007E06C1"/>
    <w:rsid w:val="007F0718"/>
    <w:rsid w:val="007F08D6"/>
    <w:rsid w:val="007F265F"/>
    <w:rsid w:val="007F29CE"/>
    <w:rsid w:val="007F40C6"/>
    <w:rsid w:val="007F69CB"/>
    <w:rsid w:val="00805A17"/>
    <w:rsid w:val="008063CF"/>
    <w:rsid w:val="00807505"/>
    <w:rsid w:val="00812E0E"/>
    <w:rsid w:val="00813408"/>
    <w:rsid w:val="008134AF"/>
    <w:rsid w:val="008214F7"/>
    <w:rsid w:val="00824AC5"/>
    <w:rsid w:val="008333AB"/>
    <w:rsid w:val="00841CF7"/>
    <w:rsid w:val="00845C3C"/>
    <w:rsid w:val="00845F45"/>
    <w:rsid w:val="0084602D"/>
    <w:rsid w:val="00850E0B"/>
    <w:rsid w:val="00851620"/>
    <w:rsid w:val="008534AB"/>
    <w:rsid w:val="00862560"/>
    <w:rsid w:val="00865EF6"/>
    <w:rsid w:val="008712A3"/>
    <w:rsid w:val="008740A6"/>
    <w:rsid w:val="0087411F"/>
    <w:rsid w:val="00876B1C"/>
    <w:rsid w:val="0087730C"/>
    <w:rsid w:val="0088055F"/>
    <w:rsid w:val="0088562E"/>
    <w:rsid w:val="00894E39"/>
    <w:rsid w:val="0089731A"/>
    <w:rsid w:val="008A0825"/>
    <w:rsid w:val="008A15DF"/>
    <w:rsid w:val="008A22E0"/>
    <w:rsid w:val="008A4AAC"/>
    <w:rsid w:val="008A6AEF"/>
    <w:rsid w:val="008B0C6D"/>
    <w:rsid w:val="008B5A58"/>
    <w:rsid w:val="008C2239"/>
    <w:rsid w:val="008C308D"/>
    <w:rsid w:val="008C3E2E"/>
    <w:rsid w:val="008C6D18"/>
    <w:rsid w:val="008C6F75"/>
    <w:rsid w:val="008C70EF"/>
    <w:rsid w:val="008D075F"/>
    <w:rsid w:val="008D1CFF"/>
    <w:rsid w:val="008D480A"/>
    <w:rsid w:val="008D5B1F"/>
    <w:rsid w:val="008F1893"/>
    <w:rsid w:val="0090009F"/>
    <w:rsid w:val="00901172"/>
    <w:rsid w:val="00911EE2"/>
    <w:rsid w:val="009141DF"/>
    <w:rsid w:val="009207E4"/>
    <w:rsid w:val="00924DDB"/>
    <w:rsid w:val="00931C16"/>
    <w:rsid w:val="0093404F"/>
    <w:rsid w:val="009409F6"/>
    <w:rsid w:val="00942491"/>
    <w:rsid w:val="00942E16"/>
    <w:rsid w:val="009434F7"/>
    <w:rsid w:val="009438D9"/>
    <w:rsid w:val="0094394D"/>
    <w:rsid w:val="00945C18"/>
    <w:rsid w:val="00945F39"/>
    <w:rsid w:val="009530F9"/>
    <w:rsid w:val="00956710"/>
    <w:rsid w:val="00973B72"/>
    <w:rsid w:val="009761DC"/>
    <w:rsid w:val="00981606"/>
    <w:rsid w:val="0099412D"/>
    <w:rsid w:val="00994A86"/>
    <w:rsid w:val="00996D2E"/>
    <w:rsid w:val="009A7279"/>
    <w:rsid w:val="009B497E"/>
    <w:rsid w:val="009C7E4A"/>
    <w:rsid w:val="009D7C01"/>
    <w:rsid w:val="009F4E7D"/>
    <w:rsid w:val="00A04361"/>
    <w:rsid w:val="00A044A8"/>
    <w:rsid w:val="00A058AB"/>
    <w:rsid w:val="00A11D6B"/>
    <w:rsid w:val="00A12125"/>
    <w:rsid w:val="00A17C62"/>
    <w:rsid w:val="00A2653F"/>
    <w:rsid w:val="00A33178"/>
    <w:rsid w:val="00A33281"/>
    <w:rsid w:val="00A347FF"/>
    <w:rsid w:val="00A36AB2"/>
    <w:rsid w:val="00A40AB1"/>
    <w:rsid w:val="00A45208"/>
    <w:rsid w:val="00A46F3C"/>
    <w:rsid w:val="00A47566"/>
    <w:rsid w:val="00A5128C"/>
    <w:rsid w:val="00A53ED0"/>
    <w:rsid w:val="00A654DD"/>
    <w:rsid w:val="00A70373"/>
    <w:rsid w:val="00A7070F"/>
    <w:rsid w:val="00A74EB5"/>
    <w:rsid w:val="00A74F2C"/>
    <w:rsid w:val="00A75069"/>
    <w:rsid w:val="00A75610"/>
    <w:rsid w:val="00A76753"/>
    <w:rsid w:val="00A800DA"/>
    <w:rsid w:val="00A81174"/>
    <w:rsid w:val="00A90FEA"/>
    <w:rsid w:val="00A915B3"/>
    <w:rsid w:val="00A95566"/>
    <w:rsid w:val="00A960DD"/>
    <w:rsid w:val="00A97430"/>
    <w:rsid w:val="00AA6217"/>
    <w:rsid w:val="00AA7EB8"/>
    <w:rsid w:val="00AB2031"/>
    <w:rsid w:val="00AB6D8C"/>
    <w:rsid w:val="00AC5887"/>
    <w:rsid w:val="00AC7777"/>
    <w:rsid w:val="00AD1AA5"/>
    <w:rsid w:val="00AD4EDB"/>
    <w:rsid w:val="00AD4F7A"/>
    <w:rsid w:val="00AD5B45"/>
    <w:rsid w:val="00AE0590"/>
    <w:rsid w:val="00AE18A3"/>
    <w:rsid w:val="00AE5A89"/>
    <w:rsid w:val="00B03CF7"/>
    <w:rsid w:val="00B04CA3"/>
    <w:rsid w:val="00B0737E"/>
    <w:rsid w:val="00B1059A"/>
    <w:rsid w:val="00B15B38"/>
    <w:rsid w:val="00B20C8D"/>
    <w:rsid w:val="00B21D6F"/>
    <w:rsid w:val="00B242AF"/>
    <w:rsid w:val="00B25222"/>
    <w:rsid w:val="00B278AB"/>
    <w:rsid w:val="00B310D0"/>
    <w:rsid w:val="00B33BE3"/>
    <w:rsid w:val="00B340F0"/>
    <w:rsid w:val="00B378A6"/>
    <w:rsid w:val="00B40679"/>
    <w:rsid w:val="00B42CD5"/>
    <w:rsid w:val="00B42CFB"/>
    <w:rsid w:val="00B45504"/>
    <w:rsid w:val="00B56849"/>
    <w:rsid w:val="00B64E85"/>
    <w:rsid w:val="00B658F3"/>
    <w:rsid w:val="00B67139"/>
    <w:rsid w:val="00B67BE4"/>
    <w:rsid w:val="00B70A48"/>
    <w:rsid w:val="00B70EA9"/>
    <w:rsid w:val="00B73078"/>
    <w:rsid w:val="00B77CF5"/>
    <w:rsid w:val="00B853C0"/>
    <w:rsid w:val="00B92615"/>
    <w:rsid w:val="00B94FAF"/>
    <w:rsid w:val="00B96226"/>
    <w:rsid w:val="00BA3FC9"/>
    <w:rsid w:val="00BA708B"/>
    <w:rsid w:val="00BB1984"/>
    <w:rsid w:val="00BB4992"/>
    <w:rsid w:val="00BC1F9A"/>
    <w:rsid w:val="00BD3F67"/>
    <w:rsid w:val="00BD4706"/>
    <w:rsid w:val="00BD4E1B"/>
    <w:rsid w:val="00BE0257"/>
    <w:rsid w:val="00BE19AC"/>
    <w:rsid w:val="00BE44B8"/>
    <w:rsid w:val="00BF00D8"/>
    <w:rsid w:val="00BF1524"/>
    <w:rsid w:val="00BF2E28"/>
    <w:rsid w:val="00BF4DA0"/>
    <w:rsid w:val="00BF67D7"/>
    <w:rsid w:val="00C005AF"/>
    <w:rsid w:val="00C10BB5"/>
    <w:rsid w:val="00C112CC"/>
    <w:rsid w:val="00C12842"/>
    <w:rsid w:val="00C16A66"/>
    <w:rsid w:val="00C175E7"/>
    <w:rsid w:val="00C20E61"/>
    <w:rsid w:val="00C23002"/>
    <w:rsid w:val="00C23FAA"/>
    <w:rsid w:val="00C3084B"/>
    <w:rsid w:val="00C32179"/>
    <w:rsid w:val="00C365AA"/>
    <w:rsid w:val="00C365B7"/>
    <w:rsid w:val="00C40ACA"/>
    <w:rsid w:val="00C47772"/>
    <w:rsid w:val="00C50959"/>
    <w:rsid w:val="00C52244"/>
    <w:rsid w:val="00C534FC"/>
    <w:rsid w:val="00C61B6C"/>
    <w:rsid w:val="00C65F6C"/>
    <w:rsid w:val="00C729BC"/>
    <w:rsid w:val="00C72DE7"/>
    <w:rsid w:val="00C738E2"/>
    <w:rsid w:val="00C76A65"/>
    <w:rsid w:val="00C776CD"/>
    <w:rsid w:val="00C82C3C"/>
    <w:rsid w:val="00C83BA7"/>
    <w:rsid w:val="00C84452"/>
    <w:rsid w:val="00C93603"/>
    <w:rsid w:val="00C9443E"/>
    <w:rsid w:val="00C95E7A"/>
    <w:rsid w:val="00C97566"/>
    <w:rsid w:val="00C97BC9"/>
    <w:rsid w:val="00CA001C"/>
    <w:rsid w:val="00CA0619"/>
    <w:rsid w:val="00CA228C"/>
    <w:rsid w:val="00CA2707"/>
    <w:rsid w:val="00CA3223"/>
    <w:rsid w:val="00CA34B4"/>
    <w:rsid w:val="00CA37BC"/>
    <w:rsid w:val="00CA5F95"/>
    <w:rsid w:val="00CB3300"/>
    <w:rsid w:val="00CB454A"/>
    <w:rsid w:val="00CB481B"/>
    <w:rsid w:val="00CC4C52"/>
    <w:rsid w:val="00CD0B46"/>
    <w:rsid w:val="00CD0EAA"/>
    <w:rsid w:val="00CD739A"/>
    <w:rsid w:val="00CD76FA"/>
    <w:rsid w:val="00CE012D"/>
    <w:rsid w:val="00CE0132"/>
    <w:rsid w:val="00CE79DC"/>
    <w:rsid w:val="00CE7B2C"/>
    <w:rsid w:val="00CF0698"/>
    <w:rsid w:val="00CF08AD"/>
    <w:rsid w:val="00CF0AFD"/>
    <w:rsid w:val="00CF4EF4"/>
    <w:rsid w:val="00CF6FBD"/>
    <w:rsid w:val="00D05F26"/>
    <w:rsid w:val="00D219B1"/>
    <w:rsid w:val="00D21C8D"/>
    <w:rsid w:val="00D2693E"/>
    <w:rsid w:val="00D26E15"/>
    <w:rsid w:val="00D30EAE"/>
    <w:rsid w:val="00D3615A"/>
    <w:rsid w:val="00D42742"/>
    <w:rsid w:val="00D44D9B"/>
    <w:rsid w:val="00D459B7"/>
    <w:rsid w:val="00D51698"/>
    <w:rsid w:val="00D54ADF"/>
    <w:rsid w:val="00D56FB3"/>
    <w:rsid w:val="00D57AF9"/>
    <w:rsid w:val="00D64399"/>
    <w:rsid w:val="00D711FC"/>
    <w:rsid w:val="00D7259C"/>
    <w:rsid w:val="00D73609"/>
    <w:rsid w:val="00D758C9"/>
    <w:rsid w:val="00D83146"/>
    <w:rsid w:val="00D838FF"/>
    <w:rsid w:val="00D85A4A"/>
    <w:rsid w:val="00D908E2"/>
    <w:rsid w:val="00D976A2"/>
    <w:rsid w:val="00DA4302"/>
    <w:rsid w:val="00DB0A68"/>
    <w:rsid w:val="00DB23AA"/>
    <w:rsid w:val="00DC0D6D"/>
    <w:rsid w:val="00DC3799"/>
    <w:rsid w:val="00DD0983"/>
    <w:rsid w:val="00DD1D86"/>
    <w:rsid w:val="00DD4FBA"/>
    <w:rsid w:val="00DE0C70"/>
    <w:rsid w:val="00DE4146"/>
    <w:rsid w:val="00DE6763"/>
    <w:rsid w:val="00DF25DE"/>
    <w:rsid w:val="00DF26E9"/>
    <w:rsid w:val="00DF5C70"/>
    <w:rsid w:val="00DF6083"/>
    <w:rsid w:val="00DF62AF"/>
    <w:rsid w:val="00DF7896"/>
    <w:rsid w:val="00DF7A0B"/>
    <w:rsid w:val="00E03BC0"/>
    <w:rsid w:val="00E04524"/>
    <w:rsid w:val="00E0502C"/>
    <w:rsid w:val="00E06AA0"/>
    <w:rsid w:val="00E10501"/>
    <w:rsid w:val="00E2007C"/>
    <w:rsid w:val="00E2091D"/>
    <w:rsid w:val="00E20BAC"/>
    <w:rsid w:val="00E2301A"/>
    <w:rsid w:val="00E2610B"/>
    <w:rsid w:val="00E317AE"/>
    <w:rsid w:val="00E3335C"/>
    <w:rsid w:val="00E33445"/>
    <w:rsid w:val="00E35D3B"/>
    <w:rsid w:val="00E35EC1"/>
    <w:rsid w:val="00E3647A"/>
    <w:rsid w:val="00E37852"/>
    <w:rsid w:val="00E37DCF"/>
    <w:rsid w:val="00E4203F"/>
    <w:rsid w:val="00E42213"/>
    <w:rsid w:val="00E425F8"/>
    <w:rsid w:val="00E43858"/>
    <w:rsid w:val="00E504A6"/>
    <w:rsid w:val="00E5094A"/>
    <w:rsid w:val="00E50CEC"/>
    <w:rsid w:val="00E53251"/>
    <w:rsid w:val="00E534DB"/>
    <w:rsid w:val="00E57E8F"/>
    <w:rsid w:val="00E60042"/>
    <w:rsid w:val="00E62A9E"/>
    <w:rsid w:val="00E7387E"/>
    <w:rsid w:val="00E748C6"/>
    <w:rsid w:val="00E80A61"/>
    <w:rsid w:val="00E82488"/>
    <w:rsid w:val="00E83D0E"/>
    <w:rsid w:val="00E84B8A"/>
    <w:rsid w:val="00E8606B"/>
    <w:rsid w:val="00E926BC"/>
    <w:rsid w:val="00E9764E"/>
    <w:rsid w:val="00EB0BC5"/>
    <w:rsid w:val="00EC4578"/>
    <w:rsid w:val="00ED1BF6"/>
    <w:rsid w:val="00ED297E"/>
    <w:rsid w:val="00ED2D47"/>
    <w:rsid w:val="00ED3C01"/>
    <w:rsid w:val="00ED5D78"/>
    <w:rsid w:val="00EE3926"/>
    <w:rsid w:val="00EF0017"/>
    <w:rsid w:val="00EF048E"/>
    <w:rsid w:val="00EF33C0"/>
    <w:rsid w:val="00EF3D99"/>
    <w:rsid w:val="00EF4C18"/>
    <w:rsid w:val="00EF4C52"/>
    <w:rsid w:val="00EF53AE"/>
    <w:rsid w:val="00EF5AB0"/>
    <w:rsid w:val="00EF5DF2"/>
    <w:rsid w:val="00EF5E3B"/>
    <w:rsid w:val="00EF6F57"/>
    <w:rsid w:val="00EF7CF5"/>
    <w:rsid w:val="00F037C6"/>
    <w:rsid w:val="00F143FB"/>
    <w:rsid w:val="00F20093"/>
    <w:rsid w:val="00F203B6"/>
    <w:rsid w:val="00F204B5"/>
    <w:rsid w:val="00F20CFF"/>
    <w:rsid w:val="00F375C7"/>
    <w:rsid w:val="00F50A8E"/>
    <w:rsid w:val="00F60771"/>
    <w:rsid w:val="00F62BB8"/>
    <w:rsid w:val="00F65F81"/>
    <w:rsid w:val="00F66FD0"/>
    <w:rsid w:val="00F67465"/>
    <w:rsid w:val="00F67DA1"/>
    <w:rsid w:val="00F71B33"/>
    <w:rsid w:val="00F81001"/>
    <w:rsid w:val="00F85478"/>
    <w:rsid w:val="00F862F8"/>
    <w:rsid w:val="00F95B8A"/>
    <w:rsid w:val="00F974A4"/>
    <w:rsid w:val="00FA300B"/>
    <w:rsid w:val="00FA71A7"/>
    <w:rsid w:val="00FA7242"/>
    <w:rsid w:val="00FB1F91"/>
    <w:rsid w:val="00FB24F8"/>
    <w:rsid w:val="00FB4ACC"/>
    <w:rsid w:val="00FB4E2F"/>
    <w:rsid w:val="00FB5B17"/>
    <w:rsid w:val="00FB75CE"/>
    <w:rsid w:val="00FC071E"/>
    <w:rsid w:val="00FD1233"/>
    <w:rsid w:val="00FD2A56"/>
    <w:rsid w:val="00FD3223"/>
    <w:rsid w:val="00FD5962"/>
    <w:rsid w:val="00FE684C"/>
    <w:rsid w:val="00FE719E"/>
    <w:rsid w:val="00FF323F"/>
    <w:rsid w:val="00FF543C"/>
    <w:rsid w:val="019D4210"/>
    <w:rsid w:val="02962B14"/>
    <w:rsid w:val="05830742"/>
    <w:rsid w:val="08000C9D"/>
    <w:rsid w:val="0D38267F"/>
    <w:rsid w:val="1FA7593E"/>
    <w:rsid w:val="23CC490B"/>
    <w:rsid w:val="24661428"/>
    <w:rsid w:val="262B7F1C"/>
    <w:rsid w:val="26316FF1"/>
    <w:rsid w:val="31611710"/>
    <w:rsid w:val="359437BB"/>
    <w:rsid w:val="436010E6"/>
    <w:rsid w:val="45865192"/>
    <w:rsid w:val="46183262"/>
    <w:rsid w:val="466D458C"/>
    <w:rsid w:val="4F7418C5"/>
    <w:rsid w:val="51C34367"/>
    <w:rsid w:val="60C17086"/>
    <w:rsid w:val="60C8325D"/>
    <w:rsid w:val="61B362BB"/>
    <w:rsid w:val="62B95FD9"/>
    <w:rsid w:val="655D4C6C"/>
    <w:rsid w:val="657273BC"/>
    <w:rsid w:val="67BA0E3C"/>
    <w:rsid w:val="689A4E58"/>
    <w:rsid w:val="6B1D610F"/>
    <w:rsid w:val="70C94CBF"/>
    <w:rsid w:val="75754033"/>
    <w:rsid w:val="77FF289B"/>
    <w:rsid w:val="7B945980"/>
    <w:rsid w:val="7CF276B3"/>
    <w:rsid w:val="7ECF52DE"/>
    <w:rsid w:val="7EDB4FB6"/>
    <w:rsid w:val="7F04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nhideWhenUsed="0"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9"/>
    <w:pPr>
      <w:keepNext/>
      <w:jc w:val="center"/>
      <w:outlineLvl w:val="0"/>
    </w:pPr>
    <w:rPr>
      <w:rFonts w:ascii="楷体_GB2312" w:hAnsi="Times New Roman" w:eastAsia="楷体_GB2312"/>
      <w:b/>
      <w:kern w:val="0"/>
      <w:sz w:val="28"/>
      <w:szCs w:val="20"/>
    </w:rPr>
  </w:style>
  <w:style w:type="paragraph" w:styleId="3">
    <w:name w:val="heading 2"/>
    <w:basedOn w:val="1"/>
    <w:next w:val="1"/>
    <w:link w:val="42"/>
    <w:qFormat/>
    <w:uiPriority w:val="99"/>
    <w:pPr>
      <w:keepNext/>
      <w:jc w:val="center"/>
      <w:outlineLvl w:val="1"/>
    </w:pPr>
    <w:rPr>
      <w:rFonts w:ascii="楷体_GB2312" w:hAnsi="Times New Roman" w:eastAsia="楷体_GB2312"/>
      <w:b/>
      <w:bCs/>
      <w:kern w:val="0"/>
      <w:sz w:val="18"/>
      <w:szCs w:val="20"/>
    </w:rPr>
  </w:style>
  <w:style w:type="paragraph" w:styleId="4">
    <w:name w:val="heading 3"/>
    <w:basedOn w:val="1"/>
    <w:next w:val="1"/>
    <w:link w:val="43"/>
    <w:qFormat/>
    <w:uiPriority w:val="99"/>
    <w:pPr>
      <w:keepNext/>
      <w:jc w:val="center"/>
      <w:outlineLvl w:val="2"/>
    </w:pPr>
    <w:rPr>
      <w:rFonts w:ascii="Times New Roman" w:hAnsi="Times New Roman" w:eastAsia="楷体_GB2312"/>
      <w:b/>
      <w:bCs/>
      <w:kern w:val="0"/>
      <w:sz w:val="15"/>
      <w:szCs w:val="20"/>
    </w:rPr>
  </w:style>
  <w:style w:type="paragraph" w:styleId="5">
    <w:name w:val="heading 4"/>
    <w:basedOn w:val="1"/>
    <w:next w:val="1"/>
    <w:link w:val="44"/>
    <w:qFormat/>
    <w:uiPriority w:val="99"/>
    <w:pPr>
      <w:keepNext/>
      <w:jc w:val="center"/>
      <w:outlineLvl w:val="3"/>
    </w:pPr>
    <w:rPr>
      <w:rFonts w:ascii="Times New Roman" w:hAnsi="Times New Roman" w:eastAsia="楷体_GB2312"/>
      <w:b/>
      <w:bCs/>
      <w:kern w:val="0"/>
      <w:sz w:val="13"/>
      <w:szCs w:val="20"/>
    </w:rPr>
  </w:style>
  <w:style w:type="paragraph" w:styleId="6">
    <w:name w:val="heading 5"/>
    <w:basedOn w:val="1"/>
    <w:next w:val="1"/>
    <w:link w:val="45"/>
    <w:qFormat/>
    <w:uiPriority w:val="99"/>
    <w:pPr>
      <w:keepNext/>
      <w:numPr>
        <w:ilvl w:val="0"/>
        <w:numId w:val="1"/>
      </w:numPr>
      <w:outlineLvl w:val="4"/>
    </w:pPr>
    <w:rPr>
      <w:rFonts w:ascii="楷体_GB2312" w:hAnsi="Times New Roman" w:eastAsia="楷体_GB2312"/>
      <w:bCs/>
      <w:kern w:val="0"/>
      <w:sz w:val="28"/>
      <w:szCs w:val="20"/>
    </w:rPr>
  </w:style>
  <w:style w:type="paragraph" w:styleId="7">
    <w:name w:val="heading 6"/>
    <w:basedOn w:val="1"/>
    <w:next w:val="1"/>
    <w:link w:val="119"/>
    <w:unhideWhenUsed/>
    <w:qFormat/>
    <w:uiPriority w:val="9"/>
    <w:pPr>
      <w:keepNext/>
      <w:keepLines/>
      <w:spacing w:before="240" w:after="64" w:line="320" w:lineRule="auto"/>
      <w:outlineLvl w:val="5"/>
    </w:pPr>
    <w:rPr>
      <w:rFonts w:ascii="等线 Light" w:hAnsi="等线 Light" w:eastAsia="等线 Light"/>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99"/>
    <w:pPr>
      <w:ind w:firstLine="420"/>
    </w:pPr>
    <w:rPr>
      <w:rFonts w:ascii="Times New Roman" w:hAnsi="Times New Roman"/>
      <w:szCs w:val="20"/>
    </w:rPr>
  </w:style>
  <w:style w:type="paragraph" w:styleId="9">
    <w:name w:val="Document Map"/>
    <w:basedOn w:val="1"/>
    <w:link w:val="46"/>
    <w:semiHidden/>
    <w:qFormat/>
    <w:uiPriority w:val="99"/>
    <w:pPr>
      <w:shd w:val="clear" w:color="auto" w:fill="000080"/>
    </w:pPr>
    <w:rPr>
      <w:rFonts w:ascii="Times New Roman" w:hAnsi="Times New Roman"/>
      <w:kern w:val="0"/>
      <w:sz w:val="20"/>
      <w:szCs w:val="20"/>
    </w:rPr>
  </w:style>
  <w:style w:type="paragraph" w:styleId="10">
    <w:name w:val="annotation text"/>
    <w:basedOn w:val="1"/>
    <w:link w:val="47"/>
    <w:unhideWhenUsed/>
    <w:qFormat/>
    <w:uiPriority w:val="99"/>
    <w:pPr>
      <w:jc w:val="left"/>
    </w:pPr>
  </w:style>
  <w:style w:type="paragraph" w:styleId="11">
    <w:name w:val="Body Text"/>
    <w:basedOn w:val="1"/>
    <w:next w:val="1"/>
    <w:link w:val="48"/>
    <w:qFormat/>
    <w:uiPriority w:val="99"/>
    <w:rPr>
      <w:rFonts w:ascii="华文中宋" w:hAnsi="Times New Roman" w:eastAsia="华文中宋"/>
      <w:bCs/>
      <w:kern w:val="0"/>
      <w:sz w:val="28"/>
      <w:szCs w:val="20"/>
    </w:rPr>
  </w:style>
  <w:style w:type="paragraph" w:styleId="12">
    <w:name w:val="Body Text Indent"/>
    <w:basedOn w:val="1"/>
    <w:link w:val="49"/>
    <w:qFormat/>
    <w:uiPriority w:val="99"/>
    <w:pPr>
      <w:ind w:firstLine="576"/>
    </w:pPr>
    <w:rPr>
      <w:rFonts w:ascii="Times New Roman" w:hAnsi="Times New Roman"/>
      <w:b/>
      <w:kern w:val="0"/>
      <w:sz w:val="30"/>
      <w:szCs w:val="20"/>
    </w:rPr>
  </w:style>
  <w:style w:type="paragraph" w:styleId="13">
    <w:name w:val="Date"/>
    <w:basedOn w:val="1"/>
    <w:next w:val="1"/>
    <w:link w:val="50"/>
    <w:qFormat/>
    <w:uiPriority w:val="99"/>
    <w:rPr>
      <w:rFonts w:ascii="Times New Roman" w:hAnsi="Times New Roman" w:eastAsia="黑体"/>
      <w:b/>
      <w:kern w:val="0"/>
      <w:sz w:val="36"/>
      <w:szCs w:val="20"/>
    </w:rPr>
  </w:style>
  <w:style w:type="paragraph" w:styleId="14">
    <w:name w:val="Body Text Indent 2"/>
    <w:basedOn w:val="1"/>
    <w:link w:val="51"/>
    <w:qFormat/>
    <w:uiPriority w:val="99"/>
    <w:pPr>
      <w:ind w:left="900"/>
    </w:pPr>
    <w:rPr>
      <w:rFonts w:ascii="楷体_GB2312" w:hAnsi="Times New Roman" w:eastAsia="楷体_GB2312"/>
      <w:b/>
      <w:kern w:val="0"/>
      <w:sz w:val="28"/>
      <w:szCs w:val="20"/>
    </w:rPr>
  </w:style>
  <w:style w:type="paragraph" w:styleId="15">
    <w:name w:val="Balloon Text"/>
    <w:basedOn w:val="1"/>
    <w:link w:val="52"/>
    <w:unhideWhenUsed/>
    <w:qFormat/>
    <w:uiPriority w:val="99"/>
    <w:rPr>
      <w:rFonts w:ascii="Times New Roman" w:hAnsi="Times New Roman"/>
      <w:sz w:val="18"/>
      <w:szCs w:val="18"/>
    </w:rPr>
  </w:style>
  <w:style w:type="paragraph" w:styleId="16">
    <w:name w:val="footer"/>
    <w:basedOn w:val="1"/>
    <w:link w:val="53"/>
    <w:qFormat/>
    <w:uiPriority w:val="99"/>
    <w:pPr>
      <w:tabs>
        <w:tab w:val="center" w:pos="4153"/>
        <w:tab w:val="right" w:pos="8306"/>
      </w:tabs>
      <w:snapToGrid w:val="0"/>
      <w:jc w:val="left"/>
    </w:pPr>
    <w:rPr>
      <w:rFonts w:ascii="Times New Roman" w:hAnsi="Times New Roman"/>
      <w:kern w:val="0"/>
      <w:sz w:val="18"/>
      <w:szCs w:val="20"/>
    </w:rPr>
  </w:style>
  <w:style w:type="paragraph" w:styleId="17">
    <w:name w:val="envelope return"/>
    <w:basedOn w:val="1"/>
    <w:unhideWhenUsed/>
    <w:qFormat/>
    <w:uiPriority w:val="99"/>
    <w:pPr>
      <w:snapToGrid w:val="0"/>
    </w:pPr>
    <w:rPr>
      <w:rFonts w:hint="eastAsia" w:ascii="Arial" w:hAnsi="Arial"/>
      <w:sz w:val="24"/>
    </w:rPr>
  </w:style>
  <w:style w:type="paragraph" w:styleId="18">
    <w:name w:val="header"/>
    <w:basedOn w:val="1"/>
    <w:link w:val="54"/>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19">
    <w:name w:val="Body Text Indent 3"/>
    <w:basedOn w:val="1"/>
    <w:link w:val="55"/>
    <w:qFormat/>
    <w:uiPriority w:val="99"/>
    <w:pPr>
      <w:ind w:left="359" w:leftChars="171" w:firstLine="359" w:firstLineChars="171"/>
    </w:pPr>
    <w:rPr>
      <w:rFonts w:ascii="Times New Roman" w:hAnsi="Times New Roman"/>
      <w:kern w:val="0"/>
      <w:sz w:val="20"/>
      <w:szCs w:val="20"/>
    </w:rPr>
  </w:style>
  <w:style w:type="paragraph" w:styleId="20">
    <w:name w:val="Body Text 2"/>
    <w:basedOn w:val="1"/>
    <w:link w:val="56"/>
    <w:qFormat/>
    <w:uiPriority w:val="99"/>
    <w:pPr>
      <w:spacing w:after="120" w:line="480" w:lineRule="auto"/>
    </w:pPr>
    <w:rPr>
      <w:rFonts w:ascii="Times New Roman" w:hAnsi="Times New Roman"/>
      <w:kern w:val="0"/>
      <w:sz w:val="2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0"/>
    <w:next w:val="10"/>
    <w:link w:val="57"/>
    <w:unhideWhenUsed/>
    <w:qFormat/>
    <w:uiPriority w:val="99"/>
    <w:rPr>
      <w:b/>
      <w:bCs/>
    </w:rPr>
  </w:style>
  <w:style w:type="paragraph" w:styleId="23">
    <w:name w:val="Body Text First Indent"/>
    <w:basedOn w:val="11"/>
    <w:unhideWhenUsed/>
    <w:qFormat/>
    <w:uiPriority w:val="99"/>
    <w:pPr>
      <w:spacing w:after="120"/>
      <w:ind w:firstLine="420" w:firstLineChars="100"/>
    </w:pPr>
    <w:rPr>
      <w:rFonts w:ascii="Times New Roman"/>
      <w:bCs w:val="0"/>
      <w:kern w:val="2"/>
      <w:sz w:val="21"/>
    </w:rPr>
  </w:style>
  <w:style w:type="paragraph" w:styleId="24">
    <w:name w:val="Body Text First Indent 2"/>
    <w:basedOn w:val="12"/>
    <w:link w:val="120"/>
    <w:unhideWhenUsed/>
    <w:qFormat/>
    <w:uiPriority w:val="99"/>
    <w:pPr>
      <w:ind w:firstLine="420" w:firstLineChars="200"/>
    </w:pPr>
    <w:rPr>
      <w:sz w:val="20"/>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99"/>
    <w:rPr>
      <w:rFonts w:cs="Times New Roman"/>
      <w:b/>
      <w:bCs/>
    </w:rPr>
  </w:style>
  <w:style w:type="character" w:styleId="29">
    <w:name w:val="page number"/>
    <w:qFormat/>
    <w:uiPriority w:val="99"/>
    <w:rPr>
      <w:rFonts w:cs="Times New Roman"/>
    </w:rPr>
  </w:style>
  <w:style w:type="character" w:styleId="30">
    <w:name w:val="FollowedHyperlink"/>
    <w:unhideWhenUsed/>
    <w:qFormat/>
    <w:uiPriority w:val="99"/>
    <w:rPr>
      <w:color w:val="800080"/>
      <w:u w:val="single"/>
    </w:rPr>
  </w:style>
  <w:style w:type="character" w:styleId="31">
    <w:name w:val="Emphasis"/>
    <w:qFormat/>
    <w:uiPriority w:val="20"/>
  </w:style>
  <w:style w:type="character" w:styleId="32">
    <w:name w:val="HTML Definition"/>
    <w:unhideWhenUsed/>
    <w:qFormat/>
    <w:uiPriority w:val="99"/>
  </w:style>
  <w:style w:type="character" w:styleId="33">
    <w:name w:val="HTML Typewriter"/>
    <w:qFormat/>
    <w:uiPriority w:val="99"/>
    <w:rPr>
      <w:rFonts w:ascii="宋体" w:hAnsi="宋体" w:eastAsia="宋体" w:cs="宋体"/>
      <w:sz w:val="24"/>
      <w:szCs w:val="24"/>
    </w:rPr>
  </w:style>
  <w:style w:type="character" w:styleId="34">
    <w:name w:val="HTML Variable"/>
    <w:unhideWhenUsed/>
    <w:qFormat/>
    <w:uiPriority w:val="99"/>
  </w:style>
  <w:style w:type="character" w:styleId="35">
    <w:name w:val="Hyperlink"/>
    <w:qFormat/>
    <w:uiPriority w:val="99"/>
    <w:rPr>
      <w:rFonts w:cs="Times New Roman"/>
      <w:color w:val="auto"/>
      <w:u w:val="none"/>
    </w:rPr>
  </w:style>
  <w:style w:type="character" w:styleId="36">
    <w:name w:val="HTML Code"/>
    <w:unhideWhenUsed/>
    <w:qFormat/>
    <w:uiPriority w:val="99"/>
    <w:rPr>
      <w:rFonts w:ascii="serif" w:hAnsi="serif" w:eastAsia="serif" w:cs="serif"/>
      <w:sz w:val="21"/>
      <w:szCs w:val="21"/>
    </w:rPr>
  </w:style>
  <w:style w:type="character" w:styleId="37">
    <w:name w:val="annotation reference"/>
    <w:basedOn w:val="27"/>
    <w:unhideWhenUsed/>
    <w:qFormat/>
    <w:uiPriority w:val="99"/>
    <w:rPr>
      <w:sz w:val="21"/>
      <w:szCs w:val="21"/>
    </w:rPr>
  </w:style>
  <w:style w:type="character" w:styleId="38">
    <w:name w:val="HTML Cite"/>
    <w:unhideWhenUsed/>
    <w:qFormat/>
    <w:uiPriority w:val="99"/>
  </w:style>
  <w:style w:type="character" w:styleId="39">
    <w:name w:val="HTML Keyboard"/>
    <w:unhideWhenUsed/>
    <w:qFormat/>
    <w:uiPriority w:val="99"/>
    <w:rPr>
      <w:rFonts w:hint="default" w:ascii="serif" w:hAnsi="serif" w:eastAsia="serif" w:cs="serif"/>
      <w:sz w:val="21"/>
      <w:szCs w:val="21"/>
    </w:rPr>
  </w:style>
  <w:style w:type="character" w:styleId="40">
    <w:name w:val="HTML Sample"/>
    <w:unhideWhenUsed/>
    <w:qFormat/>
    <w:uiPriority w:val="99"/>
    <w:rPr>
      <w:rFonts w:hint="default" w:ascii="serif" w:hAnsi="serif" w:eastAsia="serif" w:cs="serif"/>
      <w:sz w:val="21"/>
      <w:szCs w:val="21"/>
    </w:rPr>
  </w:style>
  <w:style w:type="character" w:customStyle="1" w:styleId="41">
    <w:name w:val="标题 1 Char"/>
    <w:basedOn w:val="27"/>
    <w:link w:val="2"/>
    <w:qFormat/>
    <w:uiPriority w:val="99"/>
    <w:rPr>
      <w:rFonts w:ascii="楷体_GB2312" w:hAnsi="Times New Roman" w:eastAsia="楷体_GB2312" w:cs="Times New Roman"/>
      <w:b/>
      <w:kern w:val="0"/>
      <w:sz w:val="28"/>
      <w:szCs w:val="20"/>
    </w:rPr>
  </w:style>
  <w:style w:type="character" w:customStyle="1" w:styleId="42">
    <w:name w:val="标题 2 Char"/>
    <w:basedOn w:val="27"/>
    <w:link w:val="3"/>
    <w:qFormat/>
    <w:uiPriority w:val="99"/>
    <w:rPr>
      <w:rFonts w:ascii="楷体_GB2312" w:hAnsi="Times New Roman" w:eastAsia="楷体_GB2312" w:cs="Times New Roman"/>
      <w:b/>
      <w:bCs/>
      <w:kern w:val="0"/>
      <w:sz w:val="18"/>
      <w:szCs w:val="20"/>
    </w:rPr>
  </w:style>
  <w:style w:type="character" w:customStyle="1" w:styleId="43">
    <w:name w:val="标题 3 Char"/>
    <w:basedOn w:val="27"/>
    <w:link w:val="4"/>
    <w:qFormat/>
    <w:uiPriority w:val="99"/>
    <w:rPr>
      <w:rFonts w:ascii="Times New Roman" w:hAnsi="Times New Roman" w:eastAsia="楷体_GB2312" w:cs="Times New Roman"/>
      <w:b/>
      <w:bCs/>
      <w:kern w:val="0"/>
      <w:sz w:val="15"/>
      <w:szCs w:val="20"/>
    </w:rPr>
  </w:style>
  <w:style w:type="character" w:customStyle="1" w:styleId="44">
    <w:name w:val="标题 4 Char"/>
    <w:basedOn w:val="27"/>
    <w:link w:val="5"/>
    <w:qFormat/>
    <w:uiPriority w:val="99"/>
    <w:rPr>
      <w:rFonts w:ascii="Times New Roman" w:hAnsi="Times New Roman" w:eastAsia="楷体_GB2312" w:cs="Times New Roman"/>
      <w:b/>
      <w:bCs/>
      <w:kern w:val="0"/>
      <w:sz w:val="13"/>
      <w:szCs w:val="20"/>
    </w:rPr>
  </w:style>
  <w:style w:type="character" w:customStyle="1" w:styleId="45">
    <w:name w:val="标题 5 Char"/>
    <w:basedOn w:val="27"/>
    <w:link w:val="6"/>
    <w:qFormat/>
    <w:uiPriority w:val="99"/>
    <w:rPr>
      <w:rFonts w:ascii="楷体_GB2312" w:hAnsi="Times New Roman" w:eastAsia="楷体_GB2312" w:cs="Times New Roman"/>
      <w:bCs/>
      <w:kern w:val="0"/>
      <w:sz w:val="28"/>
      <w:szCs w:val="20"/>
    </w:rPr>
  </w:style>
  <w:style w:type="character" w:customStyle="1" w:styleId="46">
    <w:name w:val="文档结构图 Char"/>
    <w:basedOn w:val="27"/>
    <w:link w:val="9"/>
    <w:semiHidden/>
    <w:qFormat/>
    <w:uiPriority w:val="99"/>
    <w:rPr>
      <w:rFonts w:ascii="Times New Roman" w:hAnsi="Times New Roman" w:eastAsia="宋体" w:cs="Times New Roman"/>
      <w:kern w:val="0"/>
      <w:sz w:val="20"/>
      <w:szCs w:val="20"/>
      <w:shd w:val="clear" w:color="auto" w:fill="000080"/>
    </w:rPr>
  </w:style>
  <w:style w:type="character" w:customStyle="1" w:styleId="47">
    <w:name w:val="批注文字 Char"/>
    <w:basedOn w:val="27"/>
    <w:link w:val="10"/>
    <w:qFormat/>
    <w:uiPriority w:val="99"/>
  </w:style>
  <w:style w:type="character" w:customStyle="1" w:styleId="48">
    <w:name w:val="正文文本 Char"/>
    <w:basedOn w:val="27"/>
    <w:link w:val="11"/>
    <w:qFormat/>
    <w:uiPriority w:val="99"/>
    <w:rPr>
      <w:rFonts w:ascii="华文中宋" w:hAnsi="Times New Roman" w:eastAsia="华文中宋" w:cs="Times New Roman"/>
      <w:bCs/>
      <w:kern w:val="0"/>
      <w:sz w:val="28"/>
      <w:szCs w:val="20"/>
    </w:rPr>
  </w:style>
  <w:style w:type="character" w:customStyle="1" w:styleId="49">
    <w:name w:val="正文文本缩进 Char"/>
    <w:basedOn w:val="27"/>
    <w:link w:val="12"/>
    <w:qFormat/>
    <w:uiPriority w:val="99"/>
    <w:rPr>
      <w:rFonts w:ascii="Times New Roman" w:hAnsi="Times New Roman" w:eastAsia="宋体" w:cs="Times New Roman"/>
      <w:b/>
      <w:kern w:val="0"/>
      <w:sz w:val="30"/>
      <w:szCs w:val="20"/>
    </w:rPr>
  </w:style>
  <w:style w:type="character" w:customStyle="1" w:styleId="50">
    <w:name w:val="日期 Char"/>
    <w:basedOn w:val="27"/>
    <w:link w:val="13"/>
    <w:qFormat/>
    <w:uiPriority w:val="99"/>
    <w:rPr>
      <w:rFonts w:ascii="Times New Roman" w:hAnsi="Times New Roman" w:eastAsia="黑体" w:cs="Times New Roman"/>
      <w:b/>
      <w:kern w:val="0"/>
      <w:sz w:val="36"/>
      <w:szCs w:val="20"/>
    </w:rPr>
  </w:style>
  <w:style w:type="character" w:customStyle="1" w:styleId="51">
    <w:name w:val="正文文本缩进 2 Char"/>
    <w:basedOn w:val="27"/>
    <w:link w:val="14"/>
    <w:qFormat/>
    <w:uiPriority w:val="99"/>
    <w:rPr>
      <w:rFonts w:ascii="楷体_GB2312" w:hAnsi="Times New Roman" w:eastAsia="楷体_GB2312" w:cs="Times New Roman"/>
      <w:b/>
      <w:kern w:val="0"/>
      <w:sz w:val="28"/>
      <w:szCs w:val="20"/>
    </w:rPr>
  </w:style>
  <w:style w:type="character" w:customStyle="1" w:styleId="52">
    <w:name w:val="批注框文本 Char"/>
    <w:basedOn w:val="27"/>
    <w:link w:val="15"/>
    <w:semiHidden/>
    <w:qFormat/>
    <w:uiPriority w:val="99"/>
    <w:rPr>
      <w:rFonts w:ascii="Times New Roman" w:hAnsi="Times New Roman" w:eastAsia="宋体" w:cs="Times New Roman"/>
      <w:sz w:val="18"/>
      <w:szCs w:val="18"/>
    </w:rPr>
  </w:style>
  <w:style w:type="character" w:customStyle="1" w:styleId="53">
    <w:name w:val="页脚 Char"/>
    <w:basedOn w:val="27"/>
    <w:link w:val="16"/>
    <w:qFormat/>
    <w:uiPriority w:val="99"/>
    <w:rPr>
      <w:rFonts w:ascii="Times New Roman" w:hAnsi="Times New Roman" w:eastAsia="宋体" w:cs="Times New Roman"/>
      <w:kern w:val="0"/>
      <w:sz w:val="18"/>
      <w:szCs w:val="20"/>
    </w:rPr>
  </w:style>
  <w:style w:type="character" w:customStyle="1" w:styleId="54">
    <w:name w:val="页眉 Char"/>
    <w:basedOn w:val="27"/>
    <w:link w:val="18"/>
    <w:qFormat/>
    <w:uiPriority w:val="99"/>
    <w:rPr>
      <w:rFonts w:ascii="Times New Roman" w:hAnsi="Times New Roman" w:eastAsia="宋体" w:cs="Times New Roman"/>
      <w:kern w:val="0"/>
      <w:sz w:val="18"/>
      <w:szCs w:val="20"/>
    </w:rPr>
  </w:style>
  <w:style w:type="character" w:customStyle="1" w:styleId="55">
    <w:name w:val="正文文本缩进 3 Char"/>
    <w:basedOn w:val="27"/>
    <w:link w:val="19"/>
    <w:qFormat/>
    <w:uiPriority w:val="99"/>
    <w:rPr>
      <w:rFonts w:ascii="Times New Roman" w:hAnsi="Times New Roman" w:eastAsia="宋体" w:cs="Times New Roman"/>
      <w:kern w:val="0"/>
      <w:sz w:val="20"/>
      <w:szCs w:val="20"/>
    </w:rPr>
  </w:style>
  <w:style w:type="character" w:customStyle="1" w:styleId="56">
    <w:name w:val="正文文本 2 Char"/>
    <w:basedOn w:val="27"/>
    <w:link w:val="20"/>
    <w:qFormat/>
    <w:uiPriority w:val="99"/>
    <w:rPr>
      <w:rFonts w:ascii="Times New Roman" w:hAnsi="Times New Roman" w:eastAsia="宋体" w:cs="Times New Roman"/>
      <w:kern w:val="0"/>
      <w:sz w:val="20"/>
      <w:szCs w:val="20"/>
    </w:rPr>
  </w:style>
  <w:style w:type="character" w:customStyle="1" w:styleId="57">
    <w:name w:val="批注主题 Char"/>
    <w:basedOn w:val="47"/>
    <w:link w:val="22"/>
    <w:semiHidden/>
    <w:qFormat/>
    <w:uiPriority w:val="99"/>
    <w:rPr>
      <w:b/>
      <w:bCs/>
    </w:rPr>
  </w:style>
  <w:style w:type="paragraph" w:customStyle="1" w:styleId="5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9">
    <w:name w:val="font6"/>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60">
    <w:name w:val="font7"/>
    <w:basedOn w:val="1"/>
    <w:qFormat/>
    <w:uiPriority w:val="0"/>
    <w:pPr>
      <w:widowControl/>
      <w:spacing w:before="100" w:beforeAutospacing="1" w:after="100" w:afterAutospacing="1"/>
      <w:jc w:val="left"/>
    </w:pPr>
    <w:rPr>
      <w:rFonts w:ascii="Times New Roman" w:hAnsi="Times New Roman"/>
      <w:b/>
      <w:bCs/>
      <w:i/>
      <w:iCs/>
      <w:kern w:val="0"/>
      <w:sz w:val="20"/>
      <w:szCs w:val="20"/>
    </w:rPr>
  </w:style>
  <w:style w:type="paragraph" w:customStyle="1" w:styleId="61">
    <w:name w:val="font8"/>
    <w:basedOn w:val="1"/>
    <w:qFormat/>
    <w:uiPriority w:val="0"/>
    <w:pPr>
      <w:widowControl/>
      <w:spacing w:before="100" w:beforeAutospacing="1" w:after="100" w:afterAutospacing="1"/>
      <w:jc w:val="left"/>
    </w:pPr>
    <w:rPr>
      <w:rFonts w:ascii="宋体" w:hAnsi="宋体"/>
      <w:b/>
      <w:bCs/>
      <w:i/>
      <w:iCs/>
      <w:kern w:val="0"/>
      <w:sz w:val="20"/>
      <w:szCs w:val="20"/>
    </w:rPr>
  </w:style>
  <w:style w:type="paragraph" w:customStyle="1" w:styleId="62">
    <w:name w:val="font9"/>
    <w:basedOn w:val="1"/>
    <w:qFormat/>
    <w:uiPriority w:val="0"/>
    <w:pPr>
      <w:widowControl/>
      <w:spacing w:before="100" w:beforeAutospacing="1" w:after="100" w:afterAutospacing="1"/>
      <w:jc w:val="left"/>
    </w:pPr>
    <w:rPr>
      <w:rFonts w:ascii="Times New Roman" w:hAnsi="Times New Roman"/>
      <w:b/>
      <w:bCs/>
      <w:kern w:val="0"/>
      <w:sz w:val="20"/>
      <w:szCs w:val="20"/>
    </w:rPr>
  </w:style>
  <w:style w:type="paragraph" w:customStyle="1" w:styleId="6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6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i/>
      <w:iCs/>
      <w:kern w:val="0"/>
      <w:sz w:val="20"/>
      <w:szCs w:val="20"/>
    </w:rPr>
  </w:style>
  <w:style w:type="paragraph" w:customStyle="1" w:styleId="6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66">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6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6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69">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0"/>
      <w:szCs w:val="20"/>
    </w:rPr>
  </w:style>
  <w:style w:type="paragraph" w:customStyle="1" w:styleId="7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71">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7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3">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74">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szCs w:val="20"/>
    </w:rPr>
  </w:style>
  <w:style w:type="paragraph" w:customStyle="1" w:styleId="75">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76">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szCs w:val="20"/>
    </w:rPr>
  </w:style>
  <w:style w:type="paragraph" w:customStyle="1" w:styleId="77">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7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79">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0"/>
      <w:szCs w:val="20"/>
    </w:rPr>
  </w:style>
  <w:style w:type="paragraph" w:customStyle="1" w:styleId="80">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81">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2">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83">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84">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85">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6">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7">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88">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89">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90">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91">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92">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93">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94">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95">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96">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97">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98">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99">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100">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101">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102">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103">
    <w:name w:val="font10"/>
    <w:basedOn w:val="1"/>
    <w:qFormat/>
    <w:uiPriority w:val="0"/>
    <w:pPr>
      <w:widowControl/>
      <w:spacing w:before="100" w:beforeAutospacing="1" w:after="100" w:afterAutospacing="1"/>
      <w:jc w:val="left"/>
    </w:pPr>
    <w:rPr>
      <w:rFonts w:ascii="楷体_GB2312" w:hAnsi="宋体" w:eastAsia="楷体_GB2312"/>
      <w:b/>
      <w:bCs/>
      <w:kern w:val="0"/>
      <w:sz w:val="18"/>
      <w:szCs w:val="18"/>
    </w:rPr>
  </w:style>
  <w:style w:type="paragraph" w:customStyle="1" w:styleId="104">
    <w:name w:val="font11"/>
    <w:basedOn w:val="1"/>
    <w:qFormat/>
    <w:uiPriority w:val="0"/>
    <w:pPr>
      <w:widowControl/>
      <w:spacing w:before="100" w:beforeAutospacing="1" w:after="100" w:afterAutospacing="1"/>
      <w:jc w:val="left"/>
    </w:pPr>
    <w:rPr>
      <w:rFonts w:ascii="Times New Roman" w:hAnsi="Times New Roman"/>
      <w:b/>
      <w:bCs/>
      <w:kern w:val="0"/>
      <w:sz w:val="18"/>
      <w:szCs w:val="18"/>
    </w:rPr>
  </w:style>
  <w:style w:type="paragraph" w:customStyle="1" w:styleId="105">
    <w:name w:val="font12"/>
    <w:basedOn w:val="1"/>
    <w:qFormat/>
    <w:uiPriority w:val="0"/>
    <w:pPr>
      <w:widowControl/>
      <w:spacing w:before="100" w:beforeAutospacing="1" w:after="100" w:afterAutospacing="1"/>
      <w:jc w:val="left"/>
    </w:pPr>
    <w:rPr>
      <w:rFonts w:ascii="宋体" w:hAnsi="宋体"/>
      <w:kern w:val="0"/>
      <w:sz w:val="36"/>
      <w:szCs w:val="36"/>
    </w:rPr>
  </w:style>
  <w:style w:type="paragraph" w:customStyle="1" w:styleId="106">
    <w:name w:val="font13"/>
    <w:basedOn w:val="1"/>
    <w:qFormat/>
    <w:uiPriority w:val="0"/>
    <w:pPr>
      <w:widowControl/>
      <w:spacing w:before="100" w:beforeAutospacing="1" w:after="100" w:afterAutospacing="1"/>
      <w:jc w:val="left"/>
    </w:pPr>
    <w:rPr>
      <w:rFonts w:ascii="Times New Roman" w:hAnsi="Times New Roman"/>
      <w:i/>
      <w:iCs/>
      <w:kern w:val="0"/>
      <w:sz w:val="36"/>
      <w:szCs w:val="36"/>
    </w:rPr>
  </w:style>
  <w:style w:type="paragraph" w:customStyle="1" w:styleId="107">
    <w:name w:val="font14"/>
    <w:basedOn w:val="1"/>
    <w:qFormat/>
    <w:uiPriority w:val="0"/>
    <w:pPr>
      <w:widowControl/>
      <w:spacing w:before="100" w:beforeAutospacing="1" w:after="100" w:afterAutospacing="1"/>
      <w:jc w:val="left"/>
    </w:pPr>
    <w:rPr>
      <w:rFonts w:ascii="Times New Roman" w:hAnsi="Times New Roman"/>
      <w:kern w:val="0"/>
      <w:sz w:val="36"/>
      <w:szCs w:val="36"/>
    </w:rPr>
  </w:style>
  <w:style w:type="character" w:customStyle="1" w:styleId="108">
    <w:name w:val="case31"/>
    <w:qFormat/>
    <w:uiPriority w:val="99"/>
    <w:rPr>
      <w:rFonts w:cs="Times New Roman"/>
      <w:spacing w:val="390"/>
      <w:sz w:val="21"/>
      <w:szCs w:val="21"/>
    </w:rPr>
  </w:style>
  <w:style w:type="paragraph" w:customStyle="1" w:styleId="109">
    <w:name w:val="普通文字"/>
    <w:basedOn w:val="1"/>
    <w:next w:val="1"/>
    <w:qFormat/>
    <w:uiPriority w:val="99"/>
    <w:rPr>
      <w:rFonts w:ascii="宋体" w:hAnsi="Times New Roman"/>
      <w:kern w:val="0"/>
      <w:sz w:val="24"/>
      <w:szCs w:val="20"/>
      <w:u w:color="000000"/>
    </w:rPr>
  </w:style>
  <w:style w:type="paragraph" w:customStyle="1" w:styleId="110">
    <w:name w:val="默认段落字体 Para Char"/>
    <w:basedOn w:val="1"/>
    <w:qFormat/>
    <w:uiPriority w:val="99"/>
    <w:pPr>
      <w:tabs>
        <w:tab w:val="left" w:pos="552"/>
      </w:tabs>
      <w:ind w:left="552" w:hanging="420"/>
    </w:pPr>
    <w:rPr>
      <w:rFonts w:ascii="Times New Roman" w:hAnsi="Times New Roman"/>
      <w:sz w:val="24"/>
      <w:szCs w:val="24"/>
    </w:rPr>
  </w:style>
  <w:style w:type="paragraph" w:customStyle="1" w:styleId="111">
    <w:name w:val="Char Char Char Char"/>
    <w:basedOn w:val="9"/>
    <w:qFormat/>
    <w:uiPriority w:val="99"/>
    <w:pPr>
      <w:adjustRightInd w:val="0"/>
      <w:snapToGrid w:val="0"/>
      <w:spacing w:line="360" w:lineRule="auto"/>
    </w:pPr>
    <w:rPr>
      <w:rFonts w:ascii="Tahoma" w:hAnsi="Tahoma"/>
      <w:sz w:val="24"/>
      <w:szCs w:val="24"/>
    </w:rPr>
  </w:style>
  <w:style w:type="paragraph" w:customStyle="1" w:styleId="112">
    <w:name w:val="Char Char1 Char Char Char Char"/>
    <w:basedOn w:val="9"/>
    <w:qFormat/>
    <w:uiPriority w:val="99"/>
    <w:pPr>
      <w:adjustRightInd w:val="0"/>
      <w:spacing w:line="436" w:lineRule="exact"/>
      <w:ind w:left="357"/>
      <w:jc w:val="left"/>
      <w:outlineLvl w:val="3"/>
    </w:pPr>
    <w:rPr>
      <w:rFonts w:ascii="Tahoma" w:hAnsi="Tahoma"/>
      <w:b/>
      <w:sz w:val="24"/>
      <w:szCs w:val="24"/>
    </w:rPr>
  </w:style>
  <w:style w:type="paragraph" w:styleId="113">
    <w:name w:val="List Paragraph"/>
    <w:basedOn w:val="1"/>
    <w:qFormat/>
    <w:uiPriority w:val="99"/>
    <w:pPr>
      <w:ind w:firstLine="420" w:firstLineChars="200"/>
    </w:pPr>
    <w:rPr>
      <w:rFonts w:ascii="Times New Roman" w:hAnsi="Times New Roman"/>
      <w:szCs w:val="20"/>
    </w:rPr>
  </w:style>
  <w:style w:type="paragraph" w:customStyle="1" w:styleId="114">
    <w:name w:val="修订1"/>
    <w:semiHidden/>
    <w:qFormat/>
    <w:uiPriority w:val="99"/>
    <w:rPr>
      <w:rFonts w:ascii="Times New Roman" w:hAnsi="Times New Roman" w:eastAsia="宋体" w:cs="Times New Roman"/>
      <w:kern w:val="2"/>
      <w:sz w:val="21"/>
      <w:lang w:val="en-US" w:eastAsia="zh-CN" w:bidi="ar-SA"/>
    </w:rPr>
  </w:style>
  <w:style w:type="paragraph" w:customStyle="1" w:styleId="115">
    <w:name w:val="_Style 2"/>
    <w:basedOn w:val="1"/>
    <w:qFormat/>
    <w:uiPriority w:val="0"/>
    <w:pPr>
      <w:ind w:firstLine="420" w:firstLineChars="200"/>
    </w:pPr>
    <w:rPr>
      <w:szCs w:val="24"/>
    </w:rPr>
  </w:style>
  <w:style w:type="paragraph" w:customStyle="1" w:styleId="116">
    <w:name w:val="列出段落1"/>
    <w:basedOn w:val="1"/>
    <w:qFormat/>
    <w:uiPriority w:val="34"/>
    <w:pPr>
      <w:ind w:firstLine="420" w:firstLineChars="200"/>
    </w:pPr>
    <w:rPr>
      <w:lang w:val="zh-CN"/>
    </w:rPr>
  </w:style>
  <w:style w:type="character" w:customStyle="1" w:styleId="117">
    <w:name w:val="font61"/>
    <w:qFormat/>
    <w:uiPriority w:val="0"/>
    <w:rPr>
      <w:rFonts w:ascii="Cambria Math" w:hAnsi="Cambria Math" w:eastAsia="Cambria Math" w:cs="Cambria Math"/>
      <w:color w:val="000000"/>
      <w:sz w:val="20"/>
      <w:szCs w:val="20"/>
      <w:u w:val="none"/>
    </w:rPr>
  </w:style>
  <w:style w:type="character" w:customStyle="1" w:styleId="118">
    <w:name w:val="font171"/>
    <w:qFormat/>
    <w:uiPriority w:val="0"/>
    <w:rPr>
      <w:rFonts w:hint="eastAsia" w:ascii="宋体" w:hAnsi="宋体" w:eastAsia="宋体" w:cs="宋体"/>
      <w:b/>
      <w:bCs/>
      <w:color w:val="000000"/>
      <w:sz w:val="20"/>
      <w:szCs w:val="20"/>
      <w:u w:val="none"/>
    </w:rPr>
  </w:style>
  <w:style w:type="character" w:customStyle="1" w:styleId="119">
    <w:name w:val="标题 6 Char"/>
    <w:basedOn w:val="27"/>
    <w:link w:val="7"/>
    <w:qFormat/>
    <w:uiPriority w:val="9"/>
    <w:rPr>
      <w:rFonts w:ascii="等线 Light" w:hAnsi="等线 Light" w:eastAsia="等线 Light"/>
      <w:b/>
      <w:bCs/>
      <w:kern w:val="2"/>
      <w:sz w:val="24"/>
      <w:szCs w:val="24"/>
    </w:rPr>
  </w:style>
  <w:style w:type="character" w:customStyle="1" w:styleId="120">
    <w:name w:val="正文首行缩进 2 Char"/>
    <w:basedOn w:val="49"/>
    <w:link w:val="24"/>
    <w:qFormat/>
    <w:uiPriority w:val="99"/>
    <w:rPr>
      <w:rFonts w:ascii="Times New Roman" w:hAnsi="Times New Roman" w:eastAsia="宋体" w:cs="Times New Roman"/>
      <w:kern w:val="0"/>
      <w:sz w:val="30"/>
      <w:szCs w:val="20"/>
    </w:rPr>
  </w:style>
  <w:style w:type="character" w:customStyle="1" w:styleId="121">
    <w:name w:val="fontstrikethrough"/>
    <w:qFormat/>
    <w:uiPriority w:val="0"/>
    <w:rPr>
      <w:strike/>
    </w:rPr>
  </w:style>
  <w:style w:type="character" w:customStyle="1" w:styleId="122">
    <w:name w:val="fontborder"/>
    <w:qFormat/>
    <w:uiPriority w:val="0"/>
    <w:rPr>
      <w:bdr w:val="single" w:color="000000" w:sz="6" w:space="0"/>
    </w:rPr>
  </w:style>
  <w:style w:type="paragraph" w:customStyle="1" w:styleId="123">
    <w:name w:val="列出段落3"/>
    <w:basedOn w:val="1"/>
    <w:qFormat/>
    <w:uiPriority w:val="0"/>
    <w:pPr>
      <w:ind w:firstLine="420" w:firstLineChars="200"/>
    </w:pPr>
    <w:rPr>
      <w:rFonts w:ascii="Times New Roman" w:hAnsi="Times New Roman"/>
      <w:kern w:val="0"/>
      <w:sz w:val="20"/>
      <w:szCs w:val="20"/>
    </w:rPr>
  </w:style>
  <w:style w:type="character" w:customStyle="1" w:styleId="124">
    <w:name w:val="font91"/>
    <w:qFormat/>
    <w:uiPriority w:val="0"/>
    <w:rPr>
      <w:rFonts w:hint="eastAsia" w:ascii="宋体" w:hAnsi="宋体" w:eastAsia="宋体" w:cs="宋体"/>
      <w:color w:val="ED7D31"/>
      <w:sz w:val="21"/>
      <w:szCs w:val="21"/>
      <w:u w:val="none"/>
    </w:rPr>
  </w:style>
  <w:style w:type="paragraph" w:customStyle="1" w:styleId="125">
    <w:name w:val="我的正文"/>
    <w:basedOn w:val="1"/>
    <w:qFormat/>
    <w:uiPriority w:val="0"/>
    <w:pPr>
      <w:ind w:firstLine="480"/>
    </w:pPr>
    <w:rPr>
      <w:rFonts w:ascii="Times New Roman" w:hAnsi="Times New Roman"/>
    </w:rPr>
  </w:style>
  <w:style w:type="paragraph" w:customStyle="1" w:styleId="12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7">
    <w:name w:val="font1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28">
    <w:name w:val="font16"/>
    <w:basedOn w:val="1"/>
    <w:qFormat/>
    <w:uiPriority w:val="0"/>
    <w:pPr>
      <w:widowControl/>
      <w:spacing w:before="100" w:beforeAutospacing="1" w:after="100" w:afterAutospacing="1"/>
      <w:jc w:val="left"/>
    </w:pPr>
    <w:rPr>
      <w:rFonts w:cs="Calibri"/>
      <w:color w:val="000000"/>
      <w:kern w:val="0"/>
      <w:sz w:val="18"/>
      <w:szCs w:val="18"/>
    </w:rPr>
  </w:style>
  <w:style w:type="paragraph" w:customStyle="1" w:styleId="129">
    <w:name w:val="font17"/>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13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3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3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13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3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3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4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42">
    <w:name w:val="xl10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43">
    <w:name w:val="xl10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44">
    <w:name w:val="xl102"/>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45">
    <w:name w:val="xl103"/>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46">
    <w:name w:val="xl104"/>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47">
    <w:name w:val="xl10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8">
    <w:name w:val="xl10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9">
    <w:name w:val="xl10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0">
    <w:name w:val="xl108"/>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1">
    <w:name w:val="xl109"/>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11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3">
    <w:name w:val="xl11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4">
    <w:name w:val="xl11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55">
    <w:name w:val="xl11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6">
    <w:name w:val="xl11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7">
    <w:name w:val="xl11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8">
    <w:name w:val="xl116"/>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9">
    <w:name w:val="xl117"/>
    <w:basedOn w:val="1"/>
    <w:qFormat/>
    <w:uiPriority w:val="0"/>
    <w:pPr>
      <w:widowControl/>
      <w:pBdr>
        <w:top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60">
    <w:name w:val="xl11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1">
    <w:name w:val="xl11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62">
    <w:name w:val="xl120"/>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3">
    <w:name w:val="xl12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64">
    <w:name w:val="xl12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65">
    <w:name w:val="xl12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6">
    <w:name w:val="xl124"/>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67">
    <w:name w:val="xl125"/>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68">
    <w:name w:val="xl126"/>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69">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0">
    <w:name w:val="xl12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7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7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8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8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8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5">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8">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9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6">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7">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8">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9">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0">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2">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5">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6">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9">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1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1">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12">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21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1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6">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1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1">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2">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3">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4">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5">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6">
    <w:name w:val="xl18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7">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8">
    <w:name w:val="xl186"/>
    <w:basedOn w:val="1"/>
    <w:qFormat/>
    <w:uiPriority w:val="0"/>
    <w:pPr>
      <w:widowControl/>
      <w:pBdr>
        <w:top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9">
    <w:name w:val="xl18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37319;&#36141;\&#25307;&#26631;&#25991;&#20214;\2023&#24180;\WXXWQJC2023-070&#22346;&#21069;&#23454;&#39564;&#23567;&#23398;&#35838;&#26700;&#26885;&#37319;&#36141;&#39033;&#30446;\&#20844;&#24320;&#25307;&#26631;&#25991;&#20214;&#26032;&#27169;&#26495;&#65288;&#26032;&#21556;&#21306;&#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公开招标文件新模板（新吴区）.dot</Template>
  <Company>Organization</Company>
  <Pages>87</Pages>
  <Words>14176</Words>
  <Characters>80804</Characters>
  <Lines>673</Lines>
  <Paragraphs>189</Paragraphs>
  <TotalTime>96</TotalTime>
  <ScaleCrop>false</ScaleCrop>
  <LinksUpToDate>false</LinksUpToDate>
  <CharactersWithSpaces>94791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2023-09-10T15:37:00Z</dcterms:created>
  <dc:creator>Adminster</dc:creator>
  <cp:lastModifiedBy>陈辰</cp:lastModifiedBy>
  <dcterms:modified xsi:type="dcterms:W3CDTF">2023-11-10T08:50:09Z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D101B4A4A32F49C18E46DF691B259351_13</vt:lpwstr>
  </property>
</Properties>
</file>