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w:t>
      </w:r>
      <w:r>
        <w:rPr>
          <w:rFonts w:hint="eastAsia" w:ascii="黑体" w:hAnsi="华文中宋" w:eastAsia="黑体"/>
          <w:bCs/>
          <w:spacing w:val="20"/>
          <w:sz w:val="72"/>
          <w:szCs w:val="72"/>
          <w:lang w:val="en-US" w:eastAsia="zh-CN"/>
        </w:rPr>
        <w:t>新吴区</w:t>
      </w:r>
      <w:r>
        <w:rPr>
          <w:rFonts w:hint="eastAsia" w:ascii="黑体" w:hAnsi="华文中宋" w:eastAsia="黑体"/>
          <w:bCs/>
          <w:spacing w:val="20"/>
          <w:sz w:val="72"/>
          <w:szCs w:val="72"/>
        </w:rPr>
        <w:t>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C/f+tcAAAAJ&#10;AQAADwAAAAAAAAABACAAAAAiAAAAZHJzL2Rvd25yZXYueG1sUEsBAhQAFAAAAAgAh07iQFXeqUfk&#10;AQAA1wMAAA4AAAAAAAAAAQAgAAAAJgEAAGRycy9lMm9Eb2MueG1sUEsFBgAAAAAGAAYAWQEAAHwF&#10;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700" w:firstLineChars="900"/>
        <w:rPr>
          <w:rFonts w:hint="default" w:ascii="黑体" w:hAnsi="华文中宋" w:eastAsia="黑体"/>
          <w:bCs/>
          <w:sz w:val="30"/>
          <w:szCs w:val="30"/>
          <w:lang w:val="en-US" w:eastAsia="zh-CN"/>
        </w:rPr>
      </w:pPr>
      <w:r>
        <w:rPr>
          <w:rFonts w:hint="eastAsia" w:ascii="黑体" w:hAnsi="华文中宋" w:eastAsia="黑体"/>
          <w:bCs/>
          <w:sz w:val="30"/>
          <w:szCs w:val="30"/>
        </w:rPr>
        <w:t>采购项目编号：</w:t>
      </w:r>
      <w:r>
        <w:rPr>
          <w:rFonts w:hint="eastAsia" w:ascii="黑体" w:hAnsi="华文中宋" w:eastAsia="黑体"/>
          <w:bCs/>
          <w:sz w:val="30"/>
          <w:szCs w:val="30"/>
          <w:lang w:eastAsia="zh-CN"/>
        </w:rPr>
        <w:t>WXXWQJC2023-</w:t>
      </w:r>
      <w:r>
        <w:rPr>
          <w:rFonts w:hint="eastAsia" w:ascii="黑体" w:hAnsi="华文中宋" w:eastAsia="黑体"/>
          <w:bCs/>
          <w:sz w:val="30"/>
          <w:szCs w:val="30"/>
          <w:lang w:val="en-US" w:eastAsia="zh-CN"/>
        </w:rPr>
        <w:t>082</w:t>
      </w:r>
    </w:p>
    <w:p>
      <w:pPr>
        <w:ind w:left="4783" w:leftChars="1278" w:hanging="2100" w:hangingChars="700"/>
        <w:jc w:val="left"/>
        <w:rPr>
          <w:rFonts w:hint="eastAsia" w:ascii="黑体" w:hAnsi="华文中宋" w:eastAsia="黑体"/>
          <w:bCs/>
          <w:sz w:val="30"/>
          <w:szCs w:val="30"/>
        </w:rPr>
      </w:pPr>
      <w:r>
        <w:rPr>
          <w:rFonts w:hint="eastAsia" w:ascii="黑体" w:hAnsi="华文中宋" w:eastAsia="黑体"/>
          <w:bCs/>
          <w:sz w:val="30"/>
          <w:szCs w:val="30"/>
        </w:rPr>
        <w:t>采购项目名称：硕放法庭升级改造工程智能化升级改造项目</w:t>
      </w:r>
    </w:p>
    <w:p>
      <w:pPr>
        <w:ind w:firstLine="2700" w:firstLineChars="900"/>
        <w:jc w:val="left"/>
        <w:rPr>
          <w:rFonts w:hint="eastAsia" w:ascii="黑体" w:hAnsi="华文中宋" w:eastAsia="黑体"/>
          <w:bCs/>
          <w:sz w:val="30"/>
          <w:szCs w:val="30"/>
          <w:lang w:eastAsia="zh-CN"/>
        </w:rPr>
      </w:pPr>
      <w:r>
        <w:rPr>
          <w:rFonts w:hint="eastAsia" w:ascii="黑体" w:hAnsi="华文中宋" w:eastAsia="黑体"/>
          <w:bCs/>
          <w:sz w:val="30"/>
          <w:szCs w:val="30"/>
        </w:rPr>
        <w:t>集中采购机构：</w:t>
      </w:r>
      <w:r>
        <w:rPr>
          <w:rFonts w:hint="eastAsia" w:ascii="黑体" w:hAnsi="华文中宋" w:eastAsia="黑体"/>
          <w:bCs/>
          <w:sz w:val="30"/>
          <w:szCs w:val="30"/>
          <w:lang w:eastAsia="zh-CN"/>
        </w:rPr>
        <w:t>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z w:val="44"/>
          <w:szCs w:val="44"/>
        </w:rPr>
      </w:pPr>
      <w:r>
        <w:rPr>
          <w:rFonts w:hint="eastAsia" w:ascii="黑体" w:hAnsi="华文中宋" w:eastAsia="黑体"/>
          <w:bCs/>
          <w:sz w:val="44"/>
          <w:szCs w:val="44"/>
        </w:rPr>
        <w:t>二○二三</w:t>
      </w:r>
      <w:r>
        <w:rPr>
          <w:rFonts w:hint="eastAsia" w:ascii="黑体" w:hAnsi="华文中宋" w:eastAsia="黑体"/>
          <w:bCs/>
          <w:sz w:val="44"/>
          <w:szCs w:val="44"/>
          <w:highlight w:val="none"/>
        </w:rPr>
        <w:t>年</w:t>
      </w:r>
      <w:r>
        <w:rPr>
          <w:rFonts w:hint="eastAsia" w:ascii="黑体" w:hAnsi="华文中宋" w:eastAsia="黑体"/>
          <w:bCs/>
          <w:sz w:val="44"/>
          <w:szCs w:val="44"/>
          <w:highlight w:val="none"/>
          <w:lang w:val="en-US" w:eastAsia="zh-CN"/>
        </w:rPr>
        <w:t>八</w:t>
      </w:r>
      <w:r>
        <w:rPr>
          <w:rFonts w:hint="eastAsia" w:ascii="黑体" w:hAnsi="华文中宋" w:eastAsia="黑体"/>
          <w:bCs/>
          <w:sz w:val="44"/>
          <w:szCs w:val="44"/>
          <w:highlight w:val="none"/>
        </w:rPr>
        <w:t>月</w:t>
      </w:r>
      <w:r>
        <w:rPr>
          <w:rFonts w:hint="eastAsia" w:ascii="黑体" w:hAnsi="华文中宋" w:eastAsia="黑体"/>
          <w:bCs/>
          <w:sz w:val="44"/>
          <w:szCs w:val="44"/>
          <w:highlight w:val="none"/>
          <w:lang w:val="en-US" w:eastAsia="zh-CN"/>
        </w:rPr>
        <w:t>十五</w:t>
      </w:r>
      <w:r>
        <w:rPr>
          <w:rFonts w:hint="eastAsia" w:ascii="黑体" w:hAnsi="华文中宋" w:eastAsia="黑体"/>
          <w:bCs/>
          <w:sz w:val="44"/>
          <w:szCs w:val="44"/>
          <w:highlight w:val="none"/>
        </w:rPr>
        <w:t>日</w:t>
      </w:r>
    </w:p>
    <w:p>
      <w:pPr>
        <w:jc w:val="center"/>
        <w:rPr>
          <w:rFonts w:ascii="黑体" w:eastAsia="黑体"/>
          <w:bCs/>
          <w:sz w:val="44"/>
        </w:rPr>
      </w:pPr>
    </w:p>
    <w:p>
      <w:pPr>
        <w:rPr>
          <w:rFonts w:ascii="华文新魏" w:eastAsia="华文新魏"/>
          <w:bCs/>
          <w:sz w:val="44"/>
        </w:rPr>
      </w:pPr>
    </w:p>
    <w:p>
      <w:pPr>
        <w:jc w:val="center"/>
        <w:rPr>
          <w:rFonts w:eastAsia="黑体"/>
          <w:bCs/>
          <w:sz w:val="48"/>
        </w:rPr>
      </w:pPr>
    </w:p>
    <w:p>
      <w:pPr>
        <w:jc w:val="center"/>
        <w:rPr>
          <w:rFonts w:eastAsia="黑体"/>
          <w:bCs/>
          <w:sz w:val="48"/>
        </w:rPr>
      </w:pPr>
    </w:p>
    <w:p>
      <w:pPr>
        <w:jc w:val="cente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color w:val="auto"/>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53</w:t>
      </w:r>
      <w:r>
        <w:rPr>
          <w:rFonts w:hint="eastAsia" w:ascii="宋体" w:hAnsi="宋体"/>
          <w:bCs/>
          <w:color w:val="auto"/>
          <w:sz w:val="30"/>
          <w:szCs w:val="30"/>
        </w:rPr>
        <w:t>）</w:t>
      </w:r>
    </w:p>
    <w:p>
      <w:pPr>
        <w:spacing w:line="720" w:lineRule="auto"/>
        <w:ind w:firstLine="450" w:firstLineChars="150"/>
        <w:rPr>
          <w:rFonts w:hint="eastAsia" w:ascii="宋体" w:hAnsi="宋体"/>
          <w:bCs/>
          <w:color w:val="auto"/>
          <w:sz w:val="30"/>
          <w:szCs w:val="30"/>
        </w:rPr>
      </w:pPr>
      <w:r>
        <w:rPr>
          <w:rFonts w:hint="eastAsia" w:ascii="宋体" w:hAnsi="宋体"/>
          <w:bCs/>
          <w:color w:val="auto"/>
          <w:sz w:val="30"/>
          <w:szCs w:val="30"/>
        </w:rPr>
        <w:t>五．合同条款（格式）</w:t>
      </w:r>
      <w:r>
        <w:rPr>
          <w:rFonts w:ascii="宋体"/>
          <w:bCs/>
          <w:color w:val="auto"/>
          <w:sz w:val="30"/>
          <w:szCs w:val="30"/>
        </w:rPr>
        <w:t>---------------------</w:t>
      </w:r>
      <w:r>
        <w:rPr>
          <w:rFonts w:hint="eastAsia" w:ascii="宋体"/>
          <w:bCs/>
          <w:color w:val="auto"/>
          <w:sz w:val="30"/>
          <w:szCs w:val="30"/>
        </w:rPr>
        <w:t>-----</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54</w:t>
      </w:r>
      <w:r>
        <w:rPr>
          <w:rFonts w:hint="eastAsia" w:ascii="宋体" w:hAnsi="宋体"/>
          <w:bCs/>
          <w:color w:val="auto"/>
          <w:sz w:val="30"/>
          <w:szCs w:val="30"/>
        </w:rPr>
        <w:t>）</w:t>
      </w:r>
    </w:p>
    <w:p>
      <w:pPr>
        <w:spacing w:line="720" w:lineRule="auto"/>
        <w:ind w:firstLine="450" w:firstLineChars="150"/>
        <w:rPr>
          <w:rFonts w:ascii="宋体" w:hAnsi="宋体"/>
          <w:bCs/>
          <w:color w:val="auto"/>
          <w:sz w:val="30"/>
          <w:szCs w:val="30"/>
        </w:rPr>
      </w:pPr>
      <w:r>
        <w:rPr>
          <w:rFonts w:ascii="宋体" w:hAnsi="宋体"/>
          <w:bCs/>
          <w:color w:val="auto"/>
          <w:sz w:val="30"/>
          <w:szCs w:val="30"/>
        </w:rPr>
        <w:t xml:space="preserve">六. </w:t>
      </w:r>
      <w:r>
        <w:rPr>
          <w:rFonts w:hint="eastAsia" w:ascii="宋体" w:hAnsi="宋体"/>
          <w:bCs/>
          <w:color w:val="auto"/>
          <w:sz w:val="30"/>
          <w:szCs w:val="30"/>
        </w:rPr>
        <w:t>附件</w:t>
      </w:r>
      <w:r>
        <w:rPr>
          <w:rFonts w:ascii="宋体"/>
          <w:bCs/>
          <w:color w:val="auto"/>
          <w:sz w:val="30"/>
          <w:szCs w:val="30"/>
        </w:rPr>
        <w:t>------------------------------------------------</w:t>
      </w:r>
      <w:r>
        <w:rPr>
          <w:rFonts w:hint="eastAsia" w:ascii="宋体" w:hAnsi="宋体"/>
          <w:bCs/>
          <w:color w:val="auto"/>
          <w:sz w:val="30"/>
          <w:szCs w:val="30"/>
        </w:rPr>
        <w:t>（</w:t>
      </w:r>
      <w:r>
        <w:rPr>
          <w:rFonts w:hint="eastAsia" w:ascii="宋体" w:hAnsi="宋体"/>
          <w:bCs/>
          <w:color w:val="auto"/>
          <w:sz w:val="30"/>
          <w:szCs w:val="30"/>
          <w:lang w:val="en-US" w:eastAsia="zh-CN"/>
        </w:rPr>
        <w:t>57</w:t>
      </w:r>
      <w:r>
        <w:rPr>
          <w:rFonts w:hint="eastAsia" w:ascii="宋体" w:hAnsi="宋体"/>
          <w:bCs/>
          <w:color w:val="auto"/>
          <w:sz w:val="30"/>
          <w:szCs w:val="30"/>
        </w:rPr>
        <w:t>）</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hint="eastAsia" w:ascii="宋体"/>
          <w:bCs/>
          <w:sz w:val="32"/>
        </w:rPr>
      </w:pPr>
    </w:p>
    <w:p>
      <w:pPr>
        <w:rPr>
          <w:rFonts w:ascii="宋体"/>
          <w:bCs/>
          <w:sz w:val="32"/>
        </w:rPr>
      </w:pPr>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ascii="宋体" w:hAnsi="宋体"/>
          <w:bCs/>
          <w:sz w:val="24"/>
          <w:szCs w:val="24"/>
        </w:rPr>
      </w:pPr>
      <w:r>
        <w:rPr>
          <w:rFonts w:hint="eastAsia" w:ascii="宋体" w:hAnsi="宋体"/>
          <w:bCs/>
          <w:sz w:val="24"/>
          <w:szCs w:val="24"/>
        </w:rPr>
        <w:t>我中心受</w:t>
      </w:r>
      <w:r>
        <w:rPr>
          <w:rFonts w:hint="eastAsia" w:ascii="宋体" w:hAnsi="宋体" w:eastAsia="宋体" w:cs="Times New Roman"/>
          <w:bCs/>
          <w:sz w:val="24"/>
          <w:szCs w:val="24"/>
        </w:rPr>
        <w:t>无锡市新吴区</w:t>
      </w:r>
      <w:r>
        <w:rPr>
          <w:rFonts w:hint="eastAsia" w:ascii="宋体" w:hAnsi="宋体"/>
          <w:bCs/>
          <w:sz w:val="24"/>
          <w:szCs w:val="24"/>
          <w:lang w:val="en-US" w:eastAsia="zh-CN"/>
        </w:rPr>
        <w:t>人民法院</w:t>
      </w:r>
      <w:r>
        <w:rPr>
          <w:rFonts w:hint="eastAsia" w:ascii="宋体" w:hAnsi="宋体"/>
          <w:bCs/>
          <w:sz w:val="24"/>
          <w:szCs w:val="24"/>
        </w:rPr>
        <w:t>的委托，对硕放法庭升级改造工程智能化升级改造项目进行公开招标采购，欢迎符合相关条件的供应商参加投标并提请注意下列相关事项：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1.项目名称：</w:t>
      </w:r>
      <w:r>
        <w:rPr>
          <w:rFonts w:hint="eastAsia" w:ascii="宋体" w:hAnsi="宋体"/>
          <w:bCs/>
          <w:sz w:val="24"/>
          <w:szCs w:val="24"/>
        </w:rPr>
        <w:t>硕放法庭升级改造工程智能化升级改造项目</w:t>
      </w:r>
    </w:p>
    <w:p>
      <w:pPr>
        <w:widowControl/>
        <w:shd w:val="clear" w:color="auto" w:fill="FFFFFF"/>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cs="宋体"/>
          <w:kern w:val="0"/>
          <w:sz w:val="24"/>
          <w:szCs w:val="24"/>
        </w:rPr>
        <w:t>2.项目编号：</w:t>
      </w:r>
      <w:r>
        <w:rPr>
          <w:rFonts w:hint="eastAsia" w:ascii="宋体" w:hAnsi="宋体" w:cs="宋体"/>
          <w:kern w:val="0"/>
          <w:sz w:val="24"/>
          <w:szCs w:val="24"/>
          <w:lang w:eastAsia="zh-CN"/>
        </w:rPr>
        <w:t>WXXWQJC2023-</w:t>
      </w:r>
      <w:r>
        <w:rPr>
          <w:rFonts w:hint="eastAsia" w:ascii="宋体" w:hAnsi="宋体" w:cs="宋体"/>
          <w:kern w:val="0"/>
          <w:sz w:val="24"/>
          <w:szCs w:val="24"/>
          <w:lang w:val="en-US" w:eastAsia="zh-CN"/>
        </w:rPr>
        <w:t>082</w:t>
      </w:r>
    </w:p>
    <w:p>
      <w:pPr>
        <w:widowControl/>
        <w:shd w:val="clear" w:color="auto" w:fill="FFFFFF"/>
        <w:spacing w:line="360" w:lineRule="auto"/>
        <w:ind w:firstLine="480" w:firstLineChars="200"/>
        <w:jc w:val="left"/>
        <w:rPr>
          <w:rFonts w:hint="eastAsia" w:ascii="宋体" w:hAnsi="宋体" w:eastAsia="宋体" w:cs="Times New Roman"/>
          <w:bCs/>
          <w:sz w:val="24"/>
          <w:szCs w:val="24"/>
          <w:highlight w:val="yellow"/>
          <w:lang w:eastAsia="zh-CN"/>
        </w:rPr>
      </w:pPr>
      <w:r>
        <w:rPr>
          <w:rFonts w:hint="eastAsia" w:ascii="宋体" w:hAnsi="宋体" w:cs="宋体"/>
          <w:kern w:val="0"/>
          <w:sz w:val="24"/>
          <w:szCs w:val="24"/>
        </w:rPr>
        <w:t>3.项目预算</w:t>
      </w:r>
      <w:r>
        <w:rPr>
          <w:rFonts w:hint="eastAsia" w:ascii="宋体" w:hAnsi="宋体" w:eastAsia="宋体" w:cs="Times New Roman"/>
          <w:bCs/>
          <w:sz w:val="24"/>
          <w:szCs w:val="24"/>
        </w:rPr>
        <w:t>：</w:t>
      </w:r>
      <w:r>
        <w:rPr>
          <w:rFonts w:hint="eastAsia" w:ascii="宋体" w:hAnsi="宋体" w:cs="Times New Roman"/>
          <w:bCs/>
          <w:sz w:val="24"/>
          <w:szCs w:val="24"/>
          <w:lang w:val="en-US" w:eastAsia="zh-CN"/>
        </w:rPr>
        <w:t>106.6505</w:t>
      </w:r>
      <w:r>
        <w:rPr>
          <w:rFonts w:hint="eastAsia" w:ascii="宋体" w:hAnsi="宋体" w:eastAsia="宋体" w:cs="Times New Roman"/>
          <w:bCs/>
          <w:sz w:val="24"/>
          <w:szCs w:val="24"/>
        </w:rPr>
        <w:t>万元</w:t>
      </w:r>
      <w:r>
        <w:rPr>
          <w:rFonts w:hint="eastAsia" w:ascii="宋体" w:hAnsi="宋体" w:cs="Times New Roman"/>
          <w:bCs/>
          <w:sz w:val="24"/>
          <w:szCs w:val="24"/>
          <w:lang w:eastAsia="zh-CN"/>
        </w:rPr>
        <w:t>；</w:t>
      </w:r>
      <w:r>
        <w:rPr>
          <w:rFonts w:hint="eastAsia" w:ascii="宋体" w:hAnsi="宋体" w:cs="宋体"/>
          <w:color w:val="000000"/>
          <w:sz w:val="24"/>
          <w:szCs w:val="24"/>
          <w:highlight w:val="none"/>
        </w:rPr>
        <w:t>最高限价：102.2681万元。</w:t>
      </w:r>
    </w:p>
    <w:p>
      <w:pPr>
        <w:widowControl/>
        <w:shd w:val="clear" w:color="auto" w:fill="FFFFFF"/>
        <w:spacing w:line="360" w:lineRule="auto"/>
        <w:ind w:firstLine="480" w:firstLineChars="200"/>
        <w:jc w:val="left"/>
        <w:rPr>
          <w:rFonts w:hint="eastAsia" w:ascii="宋体" w:hAnsi="宋体" w:eastAsia="宋体" w:cs="Times New Roman"/>
          <w:bCs/>
          <w:sz w:val="24"/>
          <w:szCs w:val="24"/>
        </w:rPr>
      </w:pPr>
      <w:r>
        <w:rPr>
          <w:rFonts w:hint="eastAsia" w:ascii="宋体" w:hAnsi="宋体" w:eastAsia="宋体" w:cs="Times New Roman"/>
          <w:bCs/>
          <w:sz w:val="24"/>
          <w:szCs w:val="24"/>
        </w:rPr>
        <w:t>4.采购方式：公开招标</w:t>
      </w:r>
    </w:p>
    <w:p>
      <w:pPr>
        <w:widowControl/>
        <w:shd w:val="clear" w:color="auto" w:fill="FFFFFF"/>
        <w:spacing w:line="360" w:lineRule="auto"/>
        <w:ind w:firstLine="480" w:firstLineChars="200"/>
        <w:jc w:val="left"/>
        <w:rPr>
          <w:rFonts w:hint="eastAsia" w:ascii="宋体" w:hAnsi="宋体" w:eastAsia="宋体" w:cs="Times New Roman"/>
          <w:bCs/>
          <w:sz w:val="24"/>
          <w:szCs w:val="24"/>
        </w:rPr>
      </w:pPr>
      <w:r>
        <w:rPr>
          <w:rFonts w:hint="eastAsia" w:ascii="宋体" w:hAnsi="宋体" w:eastAsia="宋体" w:cs="Times New Roman"/>
          <w:bCs/>
          <w:sz w:val="24"/>
          <w:szCs w:val="24"/>
        </w:rPr>
        <w:t>5.采购人：无锡市新吴区</w:t>
      </w:r>
      <w:r>
        <w:rPr>
          <w:rFonts w:hint="eastAsia" w:ascii="宋体" w:hAnsi="宋体"/>
          <w:bCs/>
          <w:sz w:val="24"/>
          <w:szCs w:val="24"/>
          <w:lang w:val="en-US" w:eastAsia="zh-CN"/>
        </w:rPr>
        <w:t>人民法院</w:t>
      </w:r>
    </w:p>
    <w:p>
      <w:pPr>
        <w:widowControl/>
        <w:shd w:val="clear" w:color="auto" w:fill="FFFFFF"/>
        <w:spacing w:line="360" w:lineRule="auto"/>
        <w:ind w:firstLine="480" w:firstLineChars="200"/>
        <w:jc w:val="left"/>
        <w:rPr>
          <w:rFonts w:hint="eastAsia" w:ascii="宋体" w:hAnsi="宋体" w:eastAsia="宋体" w:cs="Times New Roman"/>
          <w:bCs/>
          <w:sz w:val="24"/>
          <w:szCs w:val="24"/>
        </w:rPr>
      </w:pPr>
      <w:r>
        <w:rPr>
          <w:rFonts w:hint="eastAsia" w:ascii="宋体" w:hAnsi="宋体" w:eastAsia="宋体" w:cs="Times New Roman"/>
          <w:bCs/>
          <w:sz w:val="24"/>
          <w:szCs w:val="24"/>
        </w:rPr>
        <w:t>6.本项目标的所属行业：</w:t>
      </w:r>
      <w:r>
        <w:rPr>
          <w:rFonts w:hint="eastAsia" w:ascii="宋体" w:hAnsi="宋体" w:cs="Times New Roman"/>
          <w:bCs/>
          <w:sz w:val="24"/>
          <w:szCs w:val="24"/>
          <w:lang w:val="en-US" w:eastAsia="zh-CN"/>
        </w:rPr>
        <w:t>工</w:t>
      </w:r>
      <w:r>
        <w:rPr>
          <w:rFonts w:hint="eastAsia" w:ascii="宋体" w:hAnsi="宋体" w:eastAsia="宋体" w:cs="Times New Roman"/>
          <w:bCs/>
          <w:sz w:val="24"/>
          <w:szCs w:val="24"/>
        </w:rPr>
        <w:t>业</w:t>
      </w:r>
    </w:p>
    <w:p>
      <w:pPr>
        <w:widowControl/>
        <w:shd w:val="clear" w:color="auto" w:fill="FFFFFF"/>
        <w:spacing w:line="360" w:lineRule="auto"/>
        <w:ind w:firstLine="480" w:firstLineChars="200"/>
        <w:jc w:val="left"/>
        <w:rPr>
          <w:rFonts w:hint="eastAsia" w:ascii="宋体" w:hAnsi="宋体" w:eastAsia="宋体" w:cs="Times New Roman"/>
          <w:bCs/>
          <w:sz w:val="24"/>
          <w:szCs w:val="24"/>
          <w:lang w:val="en-US" w:eastAsia="zh-CN"/>
        </w:rPr>
      </w:pPr>
      <w:r>
        <w:rPr>
          <w:rFonts w:hint="eastAsia" w:ascii="宋体" w:hAnsi="宋体" w:eastAsia="宋体" w:cs="Times New Roman"/>
          <w:bCs/>
          <w:sz w:val="24"/>
          <w:szCs w:val="24"/>
        </w:rPr>
        <w:t>7.本项目是否专门面向中小企业：</w:t>
      </w:r>
      <w:r>
        <w:rPr>
          <w:rFonts w:hint="eastAsia" w:ascii="宋体" w:hAnsi="宋体" w:eastAsia="宋体" w:cs="Times New Roman"/>
          <w:bCs/>
          <w:sz w:val="24"/>
          <w:szCs w:val="24"/>
          <w:lang w:val="en-US" w:eastAsia="zh-CN"/>
        </w:rPr>
        <w:t>否</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HYPERLINK "http://www.creditchina.gov.cn"</w:instrText>
      </w:r>
      <w:r>
        <w:fldChar w:fldCharType="separate"/>
      </w:r>
      <w:r>
        <w:rPr>
          <w:rFonts w:hint="eastAsia" w:ascii="宋体" w:hAnsi="宋体"/>
          <w:sz w:val="24"/>
          <w:szCs w:val="24"/>
        </w:rPr>
        <w:t>www.creditchina.gov.cn</w:t>
      </w:r>
      <w: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hint="eastAsia"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2"/>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（四）完成项目报名，获取采购文件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w:t>
      </w:r>
      <w:r>
        <w:rPr>
          <w:rFonts w:hint="eastAsia" w:ascii="宋体" w:hAnsi="宋体"/>
          <w:bCs/>
          <w:sz w:val="24"/>
          <w:szCs w:val="24"/>
          <w:lang w:eastAsia="zh-CN"/>
        </w:rPr>
        <w:t>无锡市公共资源交易中心新吴分中心</w:t>
      </w:r>
      <w:r>
        <w:rPr>
          <w:rFonts w:hint="eastAsia" w:ascii="宋体" w:hAnsi="宋体"/>
          <w:bCs/>
          <w:sz w:val="24"/>
          <w:szCs w:val="24"/>
        </w:rPr>
        <w:t>将于以下时间、地点对投标人针对招标文件书面提出的要求澄清的问题进行公开答疑。投标人如有需要对招标文件要求澄清的问题，请以书面形式提出“</w:t>
      </w:r>
      <w:r>
        <w:rPr>
          <w:rFonts w:hint="eastAsia" w:ascii="宋体" w:hAnsi="宋体"/>
          <w:bCs/>
          <w:sz w:val="24"/>
          <w:szCs w:val="24"/>
          <w:lang w:eastAsia="zh-CN"/>
        </w:rPr>
        <w:t>WXXWQJC2023-</w:t>
      </w:r>
      <w:r>
        <w:rPr>
          <w:rFonts w:hint="eastAsia" w:ascii="宋体" w:hAnsi="宋体"/>
          <w:bCs/>
          <w:sz w:val="24"/>
          <w:szCs w:val="24"/>
          <w:lang w:val="en-US" w:eastAsia="zh-CN"/>
        </w:rPr>
        <w:t>082</w:t>
      </w:r>
      <w:r>
        <w:rPr>
          <w:rFonts w:hint="eastAsia" w:ascii="宋体" w:hAnsi="宋体"/>
          <w:bCs/>
          <w:sz w:val="24"/>
          <w:szCs w:val="24"/>
        </w:rPr>
        <w:t>项目需澄清问题”，并于答疑会前传真项目联系人（答疑会时递交盖章原件）。</w:t>
      </w:r>
    </w:p>
    <w:p>
      <w:pPr>
        <w:spacing w:line="360" w:lineRule="auto"/>
        <w:ind w:firstLine="480" w:firstLineChars="200"/>
        <w:rPr>
          <w:rFonts w:hint="eastAsia" w:ascii="宋体" w:hAnsi="宋体"/>
          <w:bCs/>
          <w:sz w:val="24"/>
          <w:szCs w:val="24"/>
          <w:highlight w:val="none"/>
        </w:rPr>
      </w:pPr>
      <w:r>
        <w:rPr>
          <w:rFonts w:hint="eastAsia" w:ascii="宋体" w:hAnsi="宋体"/>
          <w:bCs/>
          <w:sz w:val="24"/>
          <w:szCs w:val="24"/>
        </w:rPr>
        <w:t>公开答疑会地点：腾讯会议在线答疑（为响应疫情防控要求，本次答疑会通过腾讯会议的方式在线召开（会议</w:t>
      </w:r>
      <w:r>
        <w:rPr>
          <w:rFonts w:hint="eastAsia" w:ascii="宋体" w:hAnsi="宋体"/>
          <w:bCs/>
          <w:sz w:val="24"/>
          <w:szCs w:val="24"/>
          <w:highlight w:val="none"/>
        </w:rPr>
        <w:t>房间号</w:t>
      </w:r>
      <w:r>
        <w:rPr>
          <w:rFonts w:hint="eastAsia" w:ascii="宋体" w:hAnsi="宋体"/>
          <w:bCs/>
          <w:sz w:val="24"/>
          <w:szCs w:val="24"/>
          <w:highlight w:val="none"/>
          <w:lang w:val="en-US" w:eastAsia="zh-CN"/>
        </w:rPr>
        <w:t>650</w:t>
      </w:r>
      <w:r>
        <w:rPr>
          <w:rFonts w:hint="eastAsia" w:ascii="宋体" w:hAnsi="宋体"/>
          <w:bCs/>
          <w:sz w:val="24"/>
          <w:szCs w:val="24"/>
          <w:highlight w:val="none"/>
        </w:rPr>
        <w:t>-</w:t>
      </w:r>
      <w:r>
        <w:rPr>
          <w:rFonts w:hint="eastAsia" w:ascii="宋体" w:hAnsi="宋体"/>
          <w:bCs/>
          <w:sz w:val="24"/>
          <w:szCs w:val="24"/>
          <w:highlight w:val="none"/>
          <w:lang w:val="en-US" w:eastAsia="zh-CN"/>
        </w:rPr>
        <w:t>276</w:t>
      </w:r>
      <w:r>
        <w:rPr>
          <w:rFonts w:hint="eastAsia" w:ascii="宋体" w:hAnsi="宋体"/>
          <w:bCs/>
          <w:sz w:val="24"/>
          <w:szCs w:val="24"/>
          <w:highlight w:val="none"/>
        </w:rPr>
        <w:t>-</w:t>
      </w:r>
      <w:r>
        <w:rPr>
          <w:rFonts w:hint="eastAsia" w:ascii="宋体" w:hAnsi="宋体"/>
          <w:bCs/>
          <w:sz w:val="24"/>
          <w:szCs w:val="24"/>
          <w:highlight w:val="none"/>
          <w:lang w:val="en-US" w:eastAsia="zh-CN"/>
        </w:rPr>
        <w:t>071</w:t>
      </w:r>
      <w:r>
        <w:rPr>
          <w:rFonts w:hint="eastAsia" w:ascii="宋体" w:hAnsi="宋体"/>
          <w:bCs/>
          <w:sz w:val="24"/>
          <w:szCs w:val="24"/>
          <w:highlight w:val="none"/>
        </w:rPr>
        <w:t>），各投标人如需参加答疑会，请准点加入腾讯会议，无需到达中心现场参会。）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w:t>
      </w:r>
      <w:r>
        <w:rPr>
          <w:rFonts w:hint="eastAsia" w:ascii="宋体" w:hAnsi="宋体"/>
          <w:bCs/>
          <w:sz w:val="24"/>
          <w:szCs w:val="24"/>
          <w:highlight w:val="none"/>
          <w:lang w:val="en-US" w:eastAsia="zh-CN"/>
        </w:rPr>
        <w:t>08</w:t>
      </w:r>
      <w:r>
        <w:rPr>
          <w:rFonts w:hint="eastAsia" w:ascii="宋体" w:hAnsi="宋体"/>
          <w:bCs/>
          <w:sz w:val="24"/>
          <w:szCs w:val="24"/>
          <w:highlight w:val="none"/>
        </w:rPr>
        <w:t>月</w:t>
      </w:r>
      <w:r>
        <w:rPr>
          <w:rFonts w:hint="eastAsia" w:ascii="宋体" w:hAnsi="宋体"/>
          <w:bCs/>
          <w:sz w:val="24"/>
          <w:szCs w:val="24"/>
          <w:highlight w:val="none"/>
          <w:lang w:val="en-US" w:eastAsia="zh-CN"/>
        </w:rPr>
        <w:t>22</w:t>
      </w:r>
      <w:r>
        <w:rPr>
          <w:rFonts w:hint="eastAsia" w:ascii="宋体" w:hAnsi="宋体"/>
          <w:bCs/>
          <w:sz w:val="24"/>
          <w:szCs w:val="24"/>
          <w:highlight w:val="none"/>
        </w:rPr>
        <w:t>日</w:t>
      </w:r>
      <w:r>
        <w:rPr>
          <w:rFonts w:hint="eastAsia" w:ascii="宋体" w:hAnsi="宋体"/>
          <w:bCs/>
          <w:sz w:val="24"/>
          <w:szCs w:val="24"/>
          <w:highlight w:val="none"/>
          <w:lang w:val="en-US" w:eastAsia="zh-CN"/>
        </w:rPr>
        <w:t>15</w:t>
      </w:r>
      <w:r>
        <w:rPr>
          <w:rFonts w:hint="eastAsia" w:ascii="宋体" w:hAnsi="宋体"/>
          <w:bCs/>
          <w:sz w:val="24"/>
          <w:szCs w:val="24"/>
          <w:highlight w:val="none"/>
        </w:rPr>
        <w:t>:00</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网上投标截止时间：2023年0</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07</w:t>
      </w:r>
      <w:r>
        <w:rPr>
          <w:rFonts w:hint="eastAsia" w:ascii="宋体" w:hAnsi="宋体" w:cs="宋体"/>
          <w:kern w:val="0"/>
          <w:sz w:val="24"/>
          <w:szCs w:val="24"/>
          <w:highlight w:val="none"/>
        </w:rPr>
        <w:t>日9:30（投标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hint="eastAsia" w:ascii="宋体" w:hAnsi="宋体"/>
          <w:sz w:val="24"/>
          <w:szCs w:val="24"/>
        </w:rPr>
      </w:pPr>
      <w:r>
        <w:rPr>
          <w:rFonts w:hint="eastAsia" w:ascii="宋体" w:hAnsi="宋体"/>
          <w:sz w:val="24"/>
          <w:szCs w:val="24"/>
          <w:highlight w:val="none"/>
        </w:rPr>
        <w:t>网上投标解密时间：2023年0</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07</w:t>
      </w:r>
      <w:r>
        <w:rPr>
          <w:rFonts w:hint="eastAsia" w:ascii="宋体" w:hAnsi="宋体"/>
          <w:sz w:val="24"/>
          <w:szCs w:val="24"/>
          <w:highlight w:val="none"/>
        </w:rPr>
        <w:t>日</w:t>
      </w:r>
      <w:r>
        <w:rPr>
          <w:rFonts w:hint="eastAsia" w:ascii="宋体" w:hAnsi="宋体" w:cs="宋体"/>
          <w:kern w:val="0"/>
          <w:sz w:val="24"/>
          <w:szCs w:val="24"/>
          <w:highlight w:val="none"/>
        </w:rPr>
        <w:t>开启解</w:t>
      </w:r>
      <w:r>
        <w:rPr>
          <w:rFonts w:hint="eastAsia" w:ascii="宋体" w:hAnsi="宋体" w:cs="宋体"/>
          <w:kern w:val="0"/>
          <w:sz w:val="24"/>
          <w:szCs w:val="24"/>
        </w:rPr>
        <w:t>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w:t>
      </w:r>
      <w:r>
        <w:rPr>
          <w:rFonts w:hint="eastAsia" w:ascii="宋体" w:hAnsi="宋体"/>
          <w:sz w:val="24"/>
          <w:szCs w:val="24"/>
        </w:rPr>
        <w:t>无锡市公共资源交易中心新吴分中心</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集中采购机构：</w:t>
      </w:r>
      <w:r>
        <w:rPr>
          <w:rFonts w:hint="eastAsia" w:ascii="宋体" w:hAnsi="宋体" w:cs="宋体"/>
          <w:kern w:val="0"/>
          <w:sz w:val="24"/>
          <w:szCs w:val="24"/>
          <w:lang w:eastAsia="zh-CN"/>
        </w:rPr>
        <w:t>无锡市公共资源交易中心新吴分中心</w:t>
      </w:r>
      <w:r>
        <w:rPr>
          <w:rFonts w:hint="eastAsia" w:ascii="宋体" w:hAnsi="宋体" w:cs="宋体"/>
          <w:kern w:val="0"/>
          <w:sz w:val="24"/>
          <w:szCs w:val="24"/>
        </w:rPr>
        <w:t xml:space="preserve">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地址:  </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highlight w:val="none"/>
        </w:rPr>
        <w:t>项目联系人：</w:t>
      </w:r>
      <w:r>
        <w:rPr>
          <w:rFonts w:hint="eastAsia" w:ascii="宋体" w:hAnsi="宋体" w:cs="宋体"/>
          <w:kern w:val="0"/>
          <w:sz w:val="24"/>
          <w:szCs w:val="24"/>
          <w:highlight w:val="none"/>
          <w:lang w:val="en-US" w:eastAsia="zh-CN"/>
        </w:rPr>
        <w:t>陈辰、方钰</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电话：</w:t>
      </w:r>
      <w:r>
        <w:rPr>
          <w:rFonts w:hint="eastAsia" w:ascii="宋体" w:hAnsi="宋体" w:cs="宋体"/>
          <w:kern w:val="0"/>
          <w:sz w:val="24"/>
          <w:szCs w:val="24"/>
          <w:highlight w:val="none"/>
          <w:lang w:val="en-US" w:eastAsia="zh-CN"/>
        </w:rPr>
        <w:t>0510-85253025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传真：</w:t>
      </w:r>
      <w:r>
        <w:rPr>
          <w:rFonts w:hint="eastAsia" w:ascii="宋体" w:hAnsi="宋体" w:cs="宋体"/>
          <w:kern w:val="0"/>
          <w:sz w:val="24"/>
          <w:szCs w:val="24"/>
          <w:highlight w:val="none"/>
          <w:lang w:val="en-US" w:eastAsia="zh-CN"/>
        </w:rPr>
        <w:t>0510-85227192</w:t>
      </w:r>
      <w:r>
        <w:rPr>
          <w:rFonts w:hint="eastAsia" w:ascii="宋体" w:hAnsi="宋体" w:cs="宋体"/>
          <w:kern w:val="0"/>
          <w:sz w:val="24"/>
          <w:szCs w:val="24"/>
        </w:rPr>
        <w:t xml:space="preserve"> </w:t>
      </w:r>
    </w:p>
    <w:p>
      <w:pPr>
        <w:spacing w:line="490" w:lineRule="exact"/>
        <w:jc w:val="center"/>
        <w:rPr>
          <w:rFonts w:hint="eastAsia" w:ascii="黑体" w:eastAsia="黑体"/>
          <w:bCs/>
          <w:sz w:val="28"/>
          <w:szCs w:val="28"/>
        </w:rPr>
      </w:pPr>
    </w:p>
    <w:p>
      <w:pPr>
        <w:spacing w:line="490" w:lineRule="exact"/>
        <w:jc w:val="center"/>
        <w:rPr>
          <w:rFonts w:hint="eastAsia"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2"/>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3"/>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3"/>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w:t>
      </w:r>
      <w:r>
        <w:rPr>
          <w:rFonts w:hint="eastAsia" w:ascii="宋体" w:hAnsi="宋体"/>
          <w:bCs/>
          <w:sz w:val="24"/>
          <w:szCs w:val="24"/>
          <w:lang w:eastAsia="zh-CN"/>
        </w:rPr>
        <w:t>无锡市公共资源交易中心新吴分中心</w:t>
      </w:r>
      <w:r>
        <w:rPr>
          <w:rFonts w:hint="eastAsia" w:ascii="宋体" w:hAnsi="宋体"/>
          <w:bCs/>
          <w:sz w:val="24"/>
          <w:szCs w:val="24"/>
        </w:rPr>
        <w:t>。</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4"/>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可在投标截止时间十五日前对招标文件进行必要的澄清或者修改，不足15日的，将顺延提交投标文件的截止时间。</w:t>
      </w:r>
    </w:p>
    <w:p>
      <w:pPr>
        <w:numPr>
          <w:ilvl w:val="0"/>
          <w:numId w:val="4"/>
        </w:numPr>
        <w:tabs>
          <w:tab w:val="left" w:pos="525"/>
          <w:tab w:val="left" w:pos="945"/>
          <w:tab w:val="clear" w:pos="898"/>
        </w:tabs>
        <w:spacing w:line="360" w:lineRule="auto"/>
        <w:ind w:left="1" w:firstLine="523" w:firstLineChars="218"/>
        <w:rPr>
          <w:rFonts w:hint="eastAsia" w:ascii="宋体"/>
          <w:bCs/>
          <w:sz w:val="24"/>
          <w:szCs w:val="24"/>
        </w:rPr>
      </w:pPr>
      <w:r>
        <w:rPr>
          <w:rFonts w:hint="eastAsia" w:ascii="宋体" w:hAnsi="宋体"/>
          <w:bCs/>
          <w:sz w:val="24"/>
          <w:szCs w:val="24"/>
        </w:rPr>
        <w:t>如需对招标文件进行澄清或修正，</w:t>
      </w:r>
      <w:r>
        <w:rPr>
          <w:rFonts w:hint="eastAsia" w:ascii="宋体" w:hAnsi="宋体"/>
          <w:bCs/>
          <w:sz w:val="24"/>
          <w:szCs w:val="24"/>
          <w:lang w:eastAsia="zh-CN"/>
        </w:rPr>
        <w:t>无锡市公共资源交易中心新吴分中心</w:t>
      </w:r>
      <w:r>
        <w:rPr>
          <w:rFonts w:hint="eastAsia" w:ascii="宋体" w:hAnsi="宋体"/>
          <w:bCs/>
          <w:sz w:val="24"/>
          <w:szCs w:val="24"/>
        </w:rPr>
        <w:t>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w:t>
      </w:r>
      <w:r>
        <w:rPr>
          <w:rFonts w:hint="eastAsia" w:ascii="宋体" w:hAnsi="宋体"/>
          <w:bCs/>
          <w:sz w:val="24"/>
          <w:szCs w:val="24"/>
          <w:lang w:eastAsia="zh-CN"/>
        </w:rPr>
        <w:t>无锡市公共资源交易中心新吴分中心</w:t>
      </w:r>
      <w:r>
        <w:rPr>
          <w:rFonts w:hint="eastAsia" w:ascii="宋体" w:hAnsi="宋体"/>
          <w:bCs/>
          <w:sz w:val="24"/>
          <w:szCs w:val="24"/>
        </w:rPr>
        <w:t>要求，而造成的损失及风险（包括但不限于未中标）由投标人自行承担。</w:t>
      </w:r>
    </w:p>
    <w:p>
      <w:pPr>
        <w:numPr>
          <w:ilvl w:val="0"/>
          <w:numId w:val="4"/>
        </w:numPr>
        <w:tabs>
          <w:tab w:val="left" w:pos="525"/>
          <w:tab w:val="left" w:pos="945"/>
          <w:tab w:val="clear" w:pos="898"/>
        </w:tabs>
        <w:spacing w:line="360" w:lineRule="auto"/>
        <w:ind w:left="1" w:firstLine="523" w:firstLineChars="218"/>
        <w:rPr>
          <w:rFonts w:ascii="宋体"/>
          <w:bCs/>
          <w:sz w:val="24"/>
          <w:szCs w:val="24"/>
        </w:rPr>
      </w:pPr>
      <w:r>
        <w:rPr>
          <w:rFonts w:hint="eastAsia" w:ascii="宋体"/>
          <w:bCs/>
          <w:sz w:val="24"/>
          <w:szCs w:val="24"/>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供应商质疑函范本》）。</w:t>
      </w:r>
      <w:r>
        <w:rPr>
          <w:rFonts w:hint="eastAsia" w:ascii="宋体"/>
          <w:bCs/>
          <w:sz w:val="24"/>
          <w:szCs w:val="24"/>
          <w:lang w:eastAsia="zh-CN"/>
        </w:rPr>
        <w:t>无锡市公共资源交易中心新吴分中心</w:t>
      </w:r>
      <w:r>
        <w:rPr>
          <w:rFonts w:hint="eastAsia" w:ascii="宋体"/>
          <w:bCs/>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bCs/>
          <w:sz w:val="24"/>
          <w:szCs w:val="24"/>
          <w:lang w:eastAsia="zh-CN"/>
        </w:rPr>
        <w:t>无锡市公共资源交易中心新吴分中心</w:t>
      </w:r>
      <w:r>
        <w:rPr>
          <w:rFonts w:hint="eastAsia" w:ascii="宋体"/>
          <w:bCs/>
          <w:sz w:val="24"/>
          <w:szCs w:val="24"/>
        </w:rPr>
        <w:t>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07"/>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07"/>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具有独立承担民事责任能力的投标人营业执照或相关部门的登记证明文件复印件（投标人如是</w:t>
      </w:r>
      <w:r>
        <w:rPr>
          <w:rFonts w:hint="eastAsia" w:ascii="宋体" w:hAnsi="宋体" w:cs="宋体"/>
          <w:kern w:val="0"/>
          <w:sz w:val="24"/>
          <w:szCs w:val="24"/>
        </w:rPr>
        <w:t>允许以分支机构身份参加投标的，提供投标人分支机构的营业执照复印件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hint="eastAsia"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hint="eastAsia"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hint="eastAsia"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如上述资格证明文件遇年检、换证，则必须提供法定年检、换证单位出具的有效证明复印件。如上述资格证明文件第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四项遇有国家相关政策规定可不具备的，必须提供相关政策规定或相关单位出具的有效证明复印件。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8"/>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rPr>
          <w:rFonts w:ascii="宋体" w:hAnsi="宋体"/>
          <w:sz w:val="24"/>
          <w:szCs w:val="24"/>
        </w:rPr>
        <w:fldChar w:fldCharType="begin"/>
      </w:r>
      <w:r>
        <w:rPr>
          <w:rFonts w:ascii="宋体" w:hAnsi="宋体"/>
          <w:sz w:val="24"/>
          <w:szCs w:val="24"/>
        </w:rPr>
        <w:instrText xml:space="preserve"> HYPERLINK "http://www.creditchina.gov.cn" </w:instrText>
      </w:r>
      <w:r>
        <w:rPr>
          <w:rFonts w:ascii="宋体" w:hAnsi="宋体"/>
          <w:sz w:val="24"/>
          <w:szCs w:val="24"/>
        </w:rPr>
        <w:fldChar w:fldCharType="separate"/>
      </w:r>
      <w:r>
        <w:rPr>
          <w:rFonts w:hint="eastAsia" w:ascii="宋体" w:hAnsi="宋体"/>
          <w:sz w:val="24"/>
          <w:szCs w:val="24"/>
        </w:rPr>
        <w:t>www.creditchina.gov.cn</w:t>
      </w:r>
      <w:r>
        <w:rPr>
          <w:rFonts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投标文件未按招标文件规定的内容和要求填写的；没有在投标系统指定位置上传对应文件、材料的；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8"/>
        </w:numPr>
        <w:tabs>
          <w:tab w:val="left" w:pos="945"/>
        </w:tabs>
        <w:spacing w:line="360" w:lineRule="auto"/>
        <w:ind w:left="1" w:firstLine="523" w:firstLineChars="218"/>
        <w:rPr>
          <w:rFonts w:hint="eastAsia" w:ascii="宋体"/>
          <w:bCs/>
          <w:sz w:val="24"/>
          <w:szCs w:val="24"/>
        </w:rPr>
      </w:pPr>
      <w:r>
        <w:rPr>
          <w:rFonts w:hint="eastAsia" w:ascii="宋体" w:hAnsi="宋体"/>
          <w:bCs/>
          <w:sz w:val="24"/>
          <w:szCs w:val="24"/>
        </w:rPr>
        <w:t>投标文件中有招标文件未允许提供的选择性内容；</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9"/>
        </w:numPr>
        <w:tabs>
          <w:tab w:val="left" w:pos="525"/>
          <w:tab w:val="left" w:pos="945"/>
          <w:tab w:val="clear" w:pos="1290"/>
        </w:tabs>
        <w:spacing w:line="360" w:lineRule="auto"/>
        <w:ind w:left="1" w:firstLine="523" w:firstLineChars="218"/>
        <w:rPr>
          <w:rFonts w:hint="eastAsia"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大写金额和小写金额不一致的，以大写金额为准；</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10"/>
        </w:numPr>
        <w:tabs>
          <w:tab w:val="left" w:pos="510"/>
          <w:tab w:val="left" w:pos="945"/>
        </w:tabs>
        <w:spacing w:line="360" w:lineRule="auto"/>
        <w:ind w:left="0" w:firstLine="480" w:firstLineChars="200"/>
        <w:rPr>
          <w:rFonts w:hint="eastAsia"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9"/>
        </w:numPr>
        <w:tabs>
          <w:tab w:val="left" w:pos="525"/>
          <w:tab w:val="left" w:pos="945"/>
          <w:tab w:val="clear" w:pos="1290"/>
        </w:tabs>
        <w:spacing w:line="360" w:lineRule="auto"/>
        <w:ind w:left="1" w:firstLine="523" w:firstLineChars="218"/>
        <w:rPr>
          <w:rFonts w:hint="eastAsia"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w:t>
      </w:r>
      <w:r>
        <w:rPr>
          <w:rFonts w:hint="eastAsia" w:ascii="宋体" w:hAnsi="宋体"/>
          <w:bCs/>
          <w:sz w:val="24"/>
          <w:szCs w:val="24"/>
          <w:lang w:eastAsia="zh-CN"/>
        </w:rPr>
        <w:t>无锡市公共资源交易中心新吴分中心</w:t>
      </w:r>
      <w:r>
        <w:rPr>
          <w:rFonts w:hint="eastAsia" w:ascii="宋体" w:hAnsi="宋体"/>
          <w:bCs/>
          <w:sz w:val="24"/>
          <w:szCs w:val="24"/>
        </w:rPr>
        <w:t>负责组织，具体评标事务由依法组建的评标委员会负责。</w:t>
      </w:r>
    </w:p>
    <w:p>
      <w:pPr>
        <w:numPr>
          <w:ilvl w:val="0"/>
          <w:numId w:val="11"/>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HYPERLINK "http://www.creditchina.gov.cn"</w:instrText>
      </w:r>
      <w:r>
        <w:fldChar w:fldCharType="separate"/>
      </w:r>
      <w:r>
        <w:rPr>
          <w:rFonts w:hint="eastAsia" w:ascii="宋体" w:hAnsi="宋体"/>
          <w:bCs/>
          <w:sz w:val="24"/>
          <w:szCs w:val="24"/>
        </w:rPr>
        <w:t>www.creditchina.gov.cn</w:t>
      </w:r>
      <w: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1"/>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1"/>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w:t>
      </w:r>
      <w:r>
        <w:rPr>
          <w:rFonts w:hint="eastAsia" w:ascii="宋体" w:hAnsi="宋体"/>
          <w:bCs/>
          <w:sz w:val="24"/>
          <w:szCs w:val="24"/>
          <w:lang w:eastAsia="zh-CN"/>
        </w:rPr>
        <w:t>无锡市公共资源交易中心新吴分中心</w:t>
      </w:r>
      <w:r>
        <w:rPr>
          <w:rFonts w:hint="eastAsia" w:ascii="宋体" w:hAnsi="宋体"/>
          <w:bCs/>
          <w:sz w:val="24"/>
          <w:szCs w:val="24"/>
        </w:rPr>
        <w:t>将在无锡市公共资源交易中心政府采购专栏、无锡政府采购网、江苏政府采购网和中国政府采购网发布中标公告。如有质疑，应在法定质疑期限内，即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w:t>
      </w:r>
      <w:r>
        <w:rPr>
          <w:rFonts w:hint="eastAsia" w:ascii="宋体" w:hAnsi="宋体"/>
          <w:bCs/>
          <w:sz w:val="24"/>
          <w:szCs w:val="24"/>
          <w:lang w:eastAsia="zh-CN"/>
        </w:rPr>
        <w:t>无锡市公共资源交易中心新吴分中心</w:t>
      </w:r>
      <w:r>
        <w:rPr>
          <w:rFonts w:hint="eastAsia" w:ascii="宋体" w:hAnsi="宋体"/>
          <w:bCs/>
          <w:sz w:val="24"/>
          <w:szCs w:val="24"/>
        </w:rPr>
        <w:t>，并且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HYPERLINK "http://download.ccgp.gov.cn/2018/zhiyihanfanben.zip" \t "_blank"</w:instrText>
      </w:r>
      <w:r>
        <w:fldChar w:fldCharType="separate"/>
      </w:r>
      <w:r>
        <w:rPr>
          <w:rFonts w:hint="eastAsia" w:ascii="宋体" w:hAnsi="宋体"/>
          <w:bCs/>
          <w:sz w:val="24"/>
          <w:szCs w:val="24"/>
        </w:rPr>
        <w:t>政府采购供应商质疑函范本</w:t>
      </w:r>
      <w:r>
        <w:fldChar w:fldCharType="end"/>
      </w:r>
      <w:r>
        <w:rPr>
          <w:rFonts w:hint="eastAsia" w:ascii="宋体" w:hAnsi="宋体"/>
          <w:bCs/>
          <w:sz w:val="24"/>
          <w:szCs w:val="24"/>
        </w:rPr>
        <w:t>》）。</w:t>
      </w:r>
      <w:r>
        <w:rPr>
          <w:rFonts w:hint="eastAsia" w:ascii="宋体" w:hAnsi="宋体"/>
          <w:bCs/>
          <w:sz w:val="24"/>
          <w:szCs w:val="24"/>
          <w:lang w:eastAsia="zh-CN"/>
        </w:rPr>
        <w:t>无锡市公共资源交易中心新吴分中心</w:t>
      </w:r>
      <w:r>
        <w:rPr>
          <w:rFonts w:hint="eastAsia" w:ascii="宋体" w:hAnsi="宋体"/>
          <w:bCs/>
          <w:sz w:val="24"/>
          <w:szCs w:val="24"/>
        </w:rPr>
        <w:t>将在收到符合上述要求的书面质疑后七个工作日内，对质疑内容做出答复。投标人在法定质疑期限外送达的质疑函或法定质疑期限内送达的质疑函不符合上述要求的均为无效质疑，</w:t>
      </w:r>
      <w:r>
        <w:rPr>
          <w:rFonts w:hint="eastAsia" w:ascii="宋体" w:hAnsi="宋体"/>
          <w:bCs/>
          <w:sz w:val="24"/>
          <w:szCs w:val="24"/>
          <w:lang w:eastAsia="zh-CN"/>
        </w:rPr>
        <w:t>无锡市公共资源交易中心新吴分中心</w:t>
      </w:r>
      <w:r>
        <w:rPr>
          <w:rFonts w:hint="eastAsia" w:ascii="宋体" w:hAnsi="宋体"/>
          <w:bCs/>
          <w:sz w:val="24"/>
          <w:szCs w:val="24"/>
        </w:rPr>
        <w:t>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向中标供应商发中标通知书。</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4"/>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lang w:eastAsia="zh-CN"/>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w:t>
      </w:r>
      <w:r>
        <w:rPr>
          <w:rFonts w:hint="eastAsia" w:ascii="宋体" w:hAnsi="宋体"/>
          <w:bCs/>
          <w:sz w:val="24"/>
          <w:szCs w:val="24"/>
          <w:lang w:eastAsia="zh-CN"/>
        </w:rPr>
        <w:t>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w:t>
      </w:r>
      <w:r>
        <w:rPr>
          <w:rFonts w:hint="eastAsia" w:ascii="宋体" w:hAnsi="宋体"/>
          <w:bCs/>
          <w:sz w:val="24"/>
          <w:szCs w:val="24"/>
          <w:lang w:eastAsia="zh-CN"/>
        </w:rPr>
        <w:t>无锡市公共资源交易中心新吴分中心</w:t>
      </w:r>
      <w:r>
        <w:rPr>
          <w:rFonts w:hint="eastAsia" w:ascii="宋体" w:hAnsi="宋体"/>
          <w:bCs/>
          <w:sz w:val="24"/>
          <w:szCs w:val="24"/>
        </w:rPr>
        <w:t>将根据具体情况提请政府采购管理部门作出相应处理。</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w:t>
      </w:r>
      <w:r>
        <w:rPr>
          <w:rFonts w:hint="eastAsia" w:ascii="宋体" w:hAnsi="宋体"/>
          <w:bCs/>
          <w:sz w:val="24"/>
          <w:szCs w:val="24"/>
          <w:lang w:eastAsia="zh-CN"/>
        </w:rPr>
        <w:t>无锡市公共资源交易中心新吴分中心</w:t>
      </w:r>
      <w:r>
        <w:rPr>
          <w:rFonts w:hint="eastAsia" w:ascii="宋体" w:hAnsi="宋体"/>
          <w:bCs/>
          <w:sz w:val="24"/>
          <w:szCs w:val="24"/>
        </w:rPr>
        <w:t>为中标供应商提供免费服务，不收取中标服务费。</w:t>
      </w:r>
    </w:p>
    <w:p>
      <w:pPr>
        <w:spacing w:line="400" w:lineRule="exact"/>
        <w:jc w:val="center"/>
        <w:rPr>
          <w:rFonts w:ascii="黑体" w:eastAsia="黑体"/>
          <w:bCs/>
          <w:sz w:val="30"/>
          <w:szCs w:val="30"/>
        </w:rPr>
      </w:pPr>
    </w:p>
    <w:p>
      <w:pPr>
        <w:spacing w:line="400" w:lineRule="exact"/>
        <w:jc w:val="center"/>
        <w:rPr>
          <w:rFonts w:hint="eastAsia" w:ascii="黑体" w:eastAsia="黑体"/>
          <w:bCs/>
          <w:sz w:val="30"/>
          <w:szCs w:val="30"/>
        </w:rPr>
      </w:pPr>
    </w:p>
    <w:p>
      <w:pPr>
        <w:spacing w:line="400" w:lineRule="exact"/>
        <w:jc w:val="center"/>
        <w:rPr>
          <w:rFonts w:hint="eastAsia"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spacing w:after="5" w:line="360" w:lineRule="auto"/>
        <w:ind w:firstLine="480" w:firstLineChars="200"/>
        <w:rPr>
          <w:rFonts w:ascii="宋体" w:hAnsi="宋体"/>
          <w:sz w:val="24"/>
          <w:szCs w:val="24"/>
        </w:rPr>
      </w:pPr>
      <w:r>
        <w:rPr>
          <w:rFonts w:hint="eastAsia" w:ascii="宋体" w:hAnsi="宋体"/>
          <w:sz w:val="24"/>
          <w:szCs w:val="24"/>
        </w:rPr>
        <w:t>投标人所投内容必须满足以下要求，不得有负偏离。</w:t>
      </w:r>
    </w:p>
    <w:p>
      <w:pPr>
        <w:spacing w:after="5" w:line="360" w:lineRule="auto"/>
        <w:ind w:firstLine="480" w:firstLineChars="200"/>
        <w:rPr>
          <w:rFonts w:ascii="宋体" w:hAnsi="宋体"/>
          <w:b/>
          <w:bCs/>
          <w:sz w:val="24"/>
          <w:szCs w:val="24"/>
        </w:rPr>
      </w:pPr>
      <w:r>
        <w:rPr>
          <w:rFonts w:hint="eastAsia" w:ascii="宋体" w:hAnsi="宋体"/>
          <w:b/>
          <w:bCs/>
          <w:sz w:val="24"/>
          <w:szCs w:val="24"/>
        </w:rPr>
        <w:t>本项目中的</w:t>
      </w:r>
      <w:r>
        <w:rPr>
          <w:rFonts w:hint="eastAsia" w:ascii="宋体" w:hAnsi="宋体"/>
          <w:b/>
          <w:smallCaps w:val="0"/>
          <w:sz w:val="24"/>
        </w:rPr>
        <w:t>P2.5LED发布大屏</w:t>
      </w:r>
      <w:r>
        <w:rPr>
          <w:rFonts w:hint="eastAsia" w:ascii="宋体" w:hAnsi="宋体" w:eastAsia="宋体" w:cs="Times New Roman"/>
          <w:b/>
          <w:bCs/>
          <w:sz w:val="24"/>
          <w:szCs w:val="24"/>
        </w:rPr>
        <w:t>为</w:t>
      </w:r>
      <w:r>
        <w:rPr>
          <w:rFonts w:hint="eastAsia" w:ascii="宋体" w:hAnsi="宋体"/>
          <w:b/>
          <w:bCs/>
          <w:sz w:val="24"/>
          <w:szCs w:val="24"/>
        </w:rPr>
        <w:t>核心产品。</w:t>
      </w:r>
    </w:p>
    <w:p>
      <w:pPr>
        <w:numPr>
          <w:ilvl w:val="0"/>
          <w:numId w:val="17"/>
        </w:numPr>
        <w:spacing w:after="5" w:line="360" w:lineRule="auto"/>
        <w:ind w:firstLine="480" w:firstLineChars="200"/>
        <w:rPr>
          <w:rFonts w:hint="eastAsia" w:ascii="黑体" w:eastAsia="黑体"/>
          <w:sz w:val="24"/>
          <w:szCs w:val="24"/>
          <w:u w:val="none" w:color="000000"/>
        </w:rPr>
      </w:pPr>
      <w:r>
        <w:rPr>
          <w:rFonts w:hint="eastAsia" w:ascii="黑体" w:eastAsia="黑体"/>
          <w:sz w:val="24"/>
          <w:szCs w:val="24"/>
          <w:u w:val="none" w:color="000000"/>
        </w:rPr>
        <w:t>项目技术要求：</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项目建设是对硕放法庭智能化弱电系统进行升级改造，主要包括综合布线及管路系统、有线电视系统、网络系统、安全防范系统、停车管理系统、科技法庭庭审服务系统、法院信息公开发布及会议室系统建设。各子系统主要建设内容如下：</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（1）综合布线及管路系统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次综合布线系统采用模块化设计。工作区数据采用6类非屏蔽模块，语音采用超5类非屏蔽模块。各管理间采用标准的6类模块化配线架和超5类非屏蔽模块。光纤端接均采用模块化光纤配线架相关管理设备，以LC方式连接，至网络设备的跳线采用LC-LC单模光纤跳线。系统由以下子系统组成：设备间子系统，管理子系统，干线子系统，水平配线子系统、工作区子系统。</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（2）有线电视系统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有线电视系统以城市有线电视网数字节目信号为主，主要分布在会议室、餐厅等，以便根据不同的需要收看各类电视节目。信号源采用城市有线电视网信号，由广电接入。系统网络按1000MHz双向系统设计，系统用户终端电平为68+4db。</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（3）计算机网络系统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网络部分设计了两个网络：内网、外网。  </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a、内网：主要用于承载内部办公、管理、财务等业务应用系统和监控、门禁、报警等安防类系统；内网通过网络运营商接入新吴区法院融入法院网。</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b、外网：主要用于提供办公人员访问INTERNET、浏览WEB页面、收发电子邮件等。</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网络系统采用千兆到桌面来保证网络的高性能。</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（4）安全防范系统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高清监控系统主要为硕放法庭室内外监控点位全覆盖安装，室内采用高清半球、室外采用高清枪机接入拾音器，接入现有监控系统平台，新建高清监控系统必须与法院现有高清监控系统、音视频整合平台平滑互联。</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人员管控系统包含一个当事人通道和一个律师通道，当事人出口和律所通道共用。该系统能够与最高院律师平台及无锡中院安全管控系统无缝对接，实现上下级的管控联动，并且在中院和其他法院登记的律师一年内能够直接在硕放法庭通道闸机进出，无需访客登记，反之亦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报警系统由一键报警和电子围栏组成。在法庭和调解室安装一键报警按钮，室外安装张力式电子围栏，支持与周界监控系统进行报警联动。</w:t>
      </w:r>
    </w:p>
    <w:p>
      <w:pPr>
        <w:adjustRightInd w:val="0"/>
        <w:snapToGrid w:val="0"/>
        <w:spacing w:line="360" w:lineRule="auto"/>
        <w:ind w:firstLine="480" w:firstLineChars="200"/>
        <w:rPr>
          <w:rFonts w:ascii="宋体" w:hAnsi="宋体"/>
          <w:b/>
          <w:sz w:val="24"/>
          <w:szCs w:val="24"/>
        </w:rPr>
      </w:pPr>
      <w:r>
        <w:rPr>
          <w:rFonts w:hint="eastAsia" w:ascii="宋体" w:hAnsi="宋体"/>
          <w:sz w:val="24"/>
          <w:szCs w:val="24"/>
        </w:rPr>
        <w:t>门禁系统主要实现对主要通道进行有效的管制，从而实现人员在办公区域与审判区域的分区管理；并实现与消防、监控、报警系统等进行系统间的联动控制（在发生火灾等紧急情况下，火灾自动报警系统通过联动模块自动将门禁系统断电，所有安全门立即打开)。在通道区域采用感应式读卡（IC卡）方式进行控制。系统采用TCP/IP结构，系统具有防破坏功能并与新吴区法院门禁系统无缝对接。</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（5）停车管理系统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停车场系统主要由栅栏杆道闸、车辆检测器、车牌识别一体机、车牌识别管理软件组成，实现对法庭区域车辆进出的有效管控。</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（6）科技法庭庭审服务系统</w:t>
      </w:r>
    </w:p>
    <w:p>
      <w:pPr>
        <w:adjustRightInd w:val="0"/>
        <w:snapToGrid w:val="0"/>
        <w:spacing w:line="360" w:lineRule="auto"/>
        <w:ind w:firstLine="480" w:firstLineChars="200"/>
        <w:rPr>
          <w:rFonts w:ascii="宋体" w:hAnsi="宋体"/>
          <w:sz w:val="24"/>
          <w:szCs w:val="28"/>
        </w:rPr>
      </w:pPr>
      <w:r>
        <w:rPr>
          <w:rFonts w:hint="eastAsia" w:ascii="宋体" w:hAnsi="宋体"/>
          <w:sz w:val="24"/>
          <w:szCs w:val="28"/>
        </w:rPr>
        <w:t>本次硕放法庭对原有3个法庭进行改造升级，新建一个第四法庭，支持与新吴区法院原有科技法庭系统无缝对接，并与无锡中院、省高院科技法庭系统无缝对接。</w:t>
      </w:r>
    </w:p>
    <w:p>
      <w:pPr>
        <w:adjustRightInd w:val="0"/>
        <w:snapToGrid w:val="0"/>
        <w:spacing w:line="360" w:lineRule="auto"/>
        <w:ind w:firstLine="480" w:firstLineChars="200"/>
        <w:rPr>
          <w:rFonts w:ascii="宋体" w:hAnsi="宋体"/>
          <w:sz w:val="24"/>
          <w:szCs w:val="28"/>
        </w:rPr>
      </w:pPr>
      <w:r>
        <w:rPr>
          <w:rFonts w:hint="eastAsia" w:ascii="宋体" w:hAnsi="宋体"/>
          <w:sz w:val="24"/>
          <w:szCs w:val="28"/>
        </w:rPr>
        <w:t>将原有庭审专用摄像机、音频采集系统、简约型科技法庭多路高清编码主机、庭审直播编码主机搬迁，另外新建三同步显示系统，满足日常开庭所需。</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（7）法院信息公开发布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在安检大厅安装P2.5LED发布大屏（显示尺寸：3200mm*1980mm），用于日常法院政务信息发布等。另外在立案窗口安装</w:t>
      </w:r>
      <w:r>
        <w:rPr>
          <w:rFonts w:ascii="宋体" w:hAnsi="宋体"/>
          <w:sz w:val="24"/>
          <w:szCs w:val="24"/>
        </w:rPr>
        <w:t>4</w:t>
      </w:r>
      <w:r>
        <w:rPr>
          <w:rFonts w:hint="eastAsia" w:ascii="宋体" w:hAnsi="宋体"/>
          <w:sz w:val="24"/>
          <w:szCs w:val="24"/>
        </w:rPr>
        <w:t>块LED显示条屏用于排队叫号显示。信息发布系统软件需与法院法讼系统和执行系统无缝对接。</w:t>
      </w:r>
    </w:p>
    <w:p>
      <w:pPr>
        <w:pStyle w:val="111"/>
        <w:adjustRightInd w:val="0"/>
        <w:snapToGrid w:val="0"/>
        <w:spacing w:line="360" w:lineRule="auto"/>
        <w:ind w:firstLine="482"/>
        <w:outlineLvl w:val="1"/>
        <w:rPr>
          <w:rFonts w:ascii="宋体" w:hAnsi="宋体"/>
          <w:b/>
          <w:sz w:val="24"/>
          <w:szCs w:val="24"/>
        </w:rPr>
      </w:pPr>
      <w:r>
        <w:rPr>
          <w:rFonts w:hint="eastAsia" w:ascii="宋体" w:hAnsi="宋体"/>
          <w:b/>
          <w:sz w:val="24"/>
          <w:szCs w:val="24"/>
        </w:rPr>
        <w:t>（8）会议室系统</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会议室系统将原有大屏幕及音频采集设备搬迁，新建一套四通道无线会议鹅颈话筒用于会议发言。</w:t>
      </w:r>
    </w:p>
    <w:p>
      <w:pPr>
        <w:pStyle w:val="12"/>
      </w:pPr>
      <w:r>
        <w:rPr>
          <w:rFonts w:hint="eastAsia" w:ascii="宋体" w:hAnsi="宋体"/>
          <w:b/>
          <w:color w:val="000000"/>
          <w:szCs w:val="28"/>
          <w:lang w:val="zh-CN"/>
        </w:rPr>
        <w:t>设备清单</w:t>
      </w:r>
    </w:p>
    <w:tbl>
      <w:tblPr>
        <w:tblStyle w:val="27"/>
        <w:tblW w:w="9965" w:type="dxa"/>
        <w:tblInd w:w="118" w:type="dxa"/>
        <w:tblLayout w:type="autofit"/>
        <w:tblCellMar>
          <w:top w:w="0" w:type="dxa"/>
          <w:left w:w="108" w:type="dxa"/>
          <w:bottom w:w="0" w:type="dxa"/>
          <w:right w:w="108" w:type="dxa"/>
        </w:tblCellMar>
      </w:tblPr>
      <w:tblGrid>
        <w:gridCol w:w="457"/>
        <w:gridCol w:w="2551"/>
        <w:gridCol w:w="5256"/>
        <w:gridCol w:w="851"/>
        <w:gridCol w:w="850"/>
      </w:tblGrid>
      <w:tr>
        <w:tblPrEx>
          <w:tblCellMar>
            <w:top w:w="0" w:type="dxa"/>
            <w:left w:w="108" w:type="dxa"/>
            <w:bottom w:w="0" w:type="dxa"/>
            <w:right w:w="108" w:type="dxa"/>
          </w:tblCellMar>
        </w:tblPrEx>
        <w:trPr>
          <w:trHeight w:val="499" w:hRule="atLeast"/>
        </w:trPr>
        <w:tc>
          <w:tcPr>
            <w:tcW w:w="45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255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5256"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xml:space="preserve"> 设备性能指标 </w:t>
            </w:r>
          </w:p>
        </w:tc>
        <w:tc>
          <w:tcPr>
            <w:tcW w:w="851"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850" w:type="dxa"/>
            <w:tcBorders>
              <w:top w:val="single" w:color="auto" w:sz="8"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一、综合布线及管路系统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单孔86型信息面板</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86型，材料符合UL94-V0；90度或者45度安装非屏蔽模块。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12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双孔86型信息面板</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86型，材料符合UL94-V0；90度或者45度安装非屏蔽模块。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90 </w:t>
            </w:r>
          </w:p>
        </w:tc>
      </w:tr>
      <w:tr>
        <w:tblPrEx>
          <w:tblCellMar>
            <w:top w:w="0" w:type="dxa"/>
            <w:left w:w="108" w:type="dxa"/>
            <w:bottom w:w="0" w:type="dxa"/>
            <w:right w:w="108" w:type="dxa"/>
          </w:tblCellMar>
        </w:tblPrEx>
        <w:trPr>
          <w:trHeight w:val="48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平起式地面插座</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150*150、翻盖式、含电源、不含模块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六类非屏蔽信息模块</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1.根据国际标准ANSI/TIA-568设计制造的性能优异的插座模块，工作带宽大于250MHz。</w:t>
            </w:r>
          </w:p>
          <w:p>
            <w:pPr>
              <w:widowControl/>
              <w:jc w:val="left"/>
              <w:rPr>
                <w:rFonts w:ascii="宋体" w:hAnsi="宋体" w:cs="宋体"/>
                <w:kern w:val="0"/>
                <w:sz w:val="24"/>
                <w:szCs w:val="24"/>
              </w:rPr>
            </w:pPr>
            <w:r>
              <w:rPr>
                <w:rFonts w:hint="eastAsia" w:ascii="宋体" w:hAnsi="宋体" w:cs="宋体"/>
                <w:kern w:val="0"/>
                <w:sz w:val="24"/>
                <w:szCs w:val="24"/>
              </w:rPr>
              <w:t>2.除使用传统单根打线工具，也可使用快速压接工具，8芯线一次端接成型，保证施工品质一致性和安装快捷性。</w:t>
            </w:r>
          </w:p>
          <w:p>
            <w:pPr>
              <w:widowControl/>
              <w:jc w:val="left"/>
              <w:rPr>
                <w:rFonts w:ascii="宋体" w:hAnsi="宋体" w:cs="宋体"/>
                <w:kern w:val="0"/>
                <w:sz w:val="24"/>
                <w:szCs w:val="24"/>
              </w:rPr>
            </w:pPr>
            <w:r>
              <w:rPr>
                <w:rFonts w:hint="eastAsia" w:ascii="宋体" w:hAnsi="宋体" w:cs="宋体"/>
                <w:kern w:val="0"/>
                <w:sz w:val="24"/>
                <w:szCs w:val="24"/>
              </w:rPr>
              <w:t>3.具有透明线缆保护盖，防止线缆脱落。</w:t>
            </w:r>
          </w:p>
          <w:p>
            <w:pPr>
              <w:widowControl/>
              <w:jc w:val="left"/>
              <w:rPr>
                <w:rFonts w:ascii="宋体" w:hAnsi="宋体" w:cs="宋体"/>
                <w:kern w:val="0"/>
                <w:sz w:val="24"/>
                <w:szCs w:val="24"/>
              </w:rPr>
            </w:pPr>
            <w:r>
              <w:rPr>
                <w:rFonts w:hint="eastAsia" w:ascii="宋体" w:hAnsi="宋体" w:cs="宋体"/>
                <w:kern w:val="0"/>
                <w:sz w:val="24"/>
                <w:szCs w:val="24"/>
              </w:rPr>
              <w:t>4.通用线序标签支持568A或568B端接线序。</w:t>
            </w:r>
          </w:p>
          <w:p>
            <w:pPr>
              <w:widowControl/>
              <w:jc w:val="left"/>
              <w:rPr>
                <w:rFonts w:ascii="宋体" w:hAnsi="宋体" w:cs="宋体"/>
                <w:kern w:val="0"/>
                <w:sz w:val="24"/>
                <w:szCs w:val="24"/>
              </w:rPr>
            </w:pPr>
            <w:r>
              <w:rPr>
                <w:rFonts w:hint="eastAsia" w:ascii="宋体" w:hAnsi="宋体" w:cs="宋体"/>
                <w:kern w:val="0"/>
                <w:sz w:val="24"/>
                <w:szCs w:val="24"/>
              </w:rPr>
              <w:t>5.接触针部分镀金50μinch，可卡接线径22-24AWG。</w:t>
            </w:r>
          </w:p>
          <w:p>
            <w:pPr>
              <w:widowControl/>
              <w:jc w:val="left"/>
              <w:rPr>
                <w:rFonts w:ascii="宋体" w:hAnsi="宋体" w:cs="宋体"/>
                <w:kern w:val="0"/>
                <w:sz w:val="24"/>
                <w:szCs w:val="24"/>
              </w:rPr>
            </w:pPr>
            <w:r>
              <w:rPr>
                <w:rFonts w:hint="eastAsia" w:ascii="宋体" w:hAnsi="宋体" w:cs="宋体"/>
                <w:kern w:val="0"/>
                <w:sz w:val="24"/>
                <w:szCs w:val="24"/>
              </w:rPr>
              <w:t>6.插拔次数：≥1000次。</w:t>
            </w:r>
          </w:p>
          <w:p>
            <w:pPr>
              <w:widowControl/>
              <w:jc w:val="left"/>
              <w:rPr>
                <w:rFonts w:ascii="宋体" w:hAnsi="宋体" w:cs="宋体"/>
                <w:kern w:val="0"/>
                <w:sz w:val="24"/>
                <w:szCs w:val="24"/>
              </w:rPr>
            </w:pPr>
            <w:r>
              <w:rPr>
                <w:rFonts w:hint="eastAsia" w:ascii="宋体" w:hAnsi="宋体" w:cs="宋体"/>
                <w:kern w:val="0"/>
                <w:sz w:val="24"/>
                <w:szCs w:val="24"/>
              </w:rPr>
              <w:t>7.防火等级：UL94V-0。</w:t>
            </w:r>
          </w:p>
          <w:p>
            <w:pPr>
              <w:widowControl/>
              <w:jc w:val="left"/>
              <w:rPr>
                <w:rFonts w:ascii="宋体" w:hAnsi="宋体" w:cs="宋体"/>
                <w:kern w:val="0"/>
                <w:sz w:val="24"/>
                <w:szCs w:val="24"/>
              </w:rPr>
            </w:pPr>
            <w:r>
              <w:rPr>
                <w:rFonts w:hint="eastAsia" w:ascii="宋体" w:hAnsi="宋体" w:cs="宋体"/>
                <w:kern w:val="0"/>
                <w:sz w:val="24"/>
                <w:szCs w:val="24"/>
              </w:rPr>
              <w:t>8.可提供绿、黄、蓝三种以上颜色，以便区分网络，监控和设备专网等的应用。</w:t>
            </w:r>
          </w:p>
          <w:p>
            <w:pPr>
              <w:widowControl/>
              <w:jc w:val="left"/>
              <w:rPr>
                <w:rFonts w:ascii="宋体" w:hAnsi="宋体" w:cs="宋体"/>
                <w:kern w:val="0"/>
                <w:sz w:val="24"/>
                <w:szCs w:val="24"/>
              </w:rPr>
            </w:pPr>
            <w:r>
              <w:rPr>
                <w:rFonts w:hint="eastAsia" w:ascii="宋体" w:hAnsi="宋体" w:cs="宋体"/>
                <w:kern w:val="0"/>
                <w:sz w:val="24"/>
                <w:szCs w:val="24"/>
              </w:rPr>
              <w:t>9.公共区域或敏感设备空置RJ45端口可加装安全内塞，防止未经授权的跳线和异物插入，也兼容于交换机核心RJ45端口安全保护。提供3种以上颜色用于识别不同应用。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228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超五类非屏蔽信息模块</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1.根据国际标准ANSI/TIA-568设计制造的性能优异的插座模块，工作带宽大于100MHz。</w:t>
            </w:r>
          </w:p>
          <w:p>
            <w:pPr>
              <w:widowControl/>
              <w:rPr>
                <w:rFonts w:ascii="宋体" w:hAnsi="宋体" w:cs="宋体"/>
                <w:kern w:val="0"/>
                <w:sz w:val="24"/>
                <w:szCs w:val="24"/>
              </w:rPr>
            </w:pPr>
            <w:r>
              <w:rPr>
                <w:rFonts w:hint="eastAsia" w:ascii="宋体" w:hAnsi="宋体" w:cs="宋体"/>
                <w:kern w:val="0"/>
                <w:sz w:val="24"/>
                <w:szCs w:val="24"/>
              </w:rPr>
              <w:t>2.除使用传统单根打线工具，也可使用快速压接工具，8芯线一次端接成型，保证施工品质一致性和安装快捷性。</w:t>
            </w:r>
          </w:p>
          <w:p>
            <w:pPr>
              <w:widowControl/>
              <w:rPr>
                <w:rFonts w:ascii="宋体" w:hAnsi="宋体" w:cs="宋体"/>
                <w:kern w:val="0"/>
                <w:sz w:val="24"/>
                <w:szCs w:val="24"/>
              </w:rPr>
            </w:pPr>
            <w:r>
              <w:rPr>
                <w:rFonts w:hint="eastAsia" w:ascii="宋体" w:hAnsi="宋体" w:cs="宋体"/>
                <w:kern w:val="0"/>
                <w:sz w:val="24"/>
                <w:szCs w:val="24"/>
              </w:rPr>
              <w:t>3.具有透明线缆保护盖，防止线缆脱落。</w:t>
            </w:r>
          </w:p>
          <w:p>
            <w:pPr>
              <w:widowControl/>
              <w:rPr>
                <w:rFonts w:ascii="宋体" w:hAnsi="宋体" w:cs="宋体"/>
                <w:kern w:val="0"/>
                <w:sz w:val="24"/>
                <w:szCs w:val="24"/>
              </w:rPr>
            </w:pPr>
            <w:r>
              <w:rPr>
                <w:rFonts w:hint="eastAsia" w:ascii="宋体" w:hAnsi="宋体" w:cs="宋体"/>
                <w:kern w:val="0"/>
                <w:sz w:val="24"/>
                <w:szCs w:val="24"/>
              </w:rPr>
              <w:t>4.通用线序标签支持568A或568B端接线序。</w:t>
            </w:r>
          </w:p>
          <w:p>
            <w:pPr>
              <w:widowControl/>
              <w:rPr>
                <w:rFonts w:ascii="宋体" w:hAnsi="宋体" w:cs="宋体"/>
                <w:kern w:val="0"/>
                <w:sz w:val="24"/>
                <w:szCs w:val="24"/>
              </w:rPr>
            </w:pPr>
            <w:r>
              <w:rPr>
                <w:rFonts w:hint="eastAsia" w:ascii="宋体" w:hAnsi="宋体" w:cs="宋体"/>
                <w:kern w:val="0"/>
                <w:sz w:val="24"/>
                <w:szCs w:val="24"/>
              </w:rPr>
              <w:t>5.接触针部分镀金50μinch，可卡接线径22-24AWG。</w:t>
            </w:r>
          </w:p>
          <w:p>
            <w:pPr>
              <w:widowControl/>
              <w:rPr>
                <w:rFonts w:ascii="宋体" w:hAnsi="宋体" w:cs="宋体"/>
                <w:kern w:val="0"/>
                <w:sz w:val="24"/>
                <w:szCs w:val="24"/>
              </w:rPr>
            </w:pPr>
            <w:r>
              <w:rPr>
                <w:rFonts w:hint="eastAsia" w:ascii="宋体" w:hAnsi="宋体" w:cs="宋体"/>
                <w:kern w:val="0"/>
                <w:sz w:val="24"/>
                <w:szCs w:val="24"/>
              </w:rPr>
              <w:t>6.插拔次数：≥1000次。</w:t>
            </w:r>
          </w:p>
          <w:p>
            <w:pPr>
              <w:widowControl/>
              <w:rPr>
                <w:rFonts w:ascii="宋体" w:hAnsi="宋体" w:cs="宋体"/>
                <w:kern w:val="0"/>
                <w:sz w:val="24"/>
                <w:szCs w:val="24"/>
              </w:rPr>
            </w:pPr>
            <w:r>
              <w:rPr>
                <w:rFonts w:hint="eastAsia" w:ascii="宋体" w:hAnsi="宋体" w:cs="宋体"/>
                <w:kern w:val="0"/>
                <w:sz w:val="24"/>
                <w:szCs w:val="24"/>
              </w:rPr>
              <w:t>7.防火等级：UL94V-0。</w:t>
            </w:r>
          </w:p>
          <w:p>
            <w:pPr>
              <w:widowControl/>
              <w:rPr>
                <w:rFonts w:ascii="宋体" w:hAnsi="宋体" w:cs="宋体"/>
                <w:kern w:val="0"/>
                <w:sz w:val="24"/>
                <w:szCs w:val="24"/>
              </w:rPr>
            </w:pPr>
            <w:r>
              <w:rPr>
                <w:rFonts w:hint="eastAsia" w:ascii="宋体" w:hAnsi="宋体" w:cs="宋体"/>
                <w:kern w:val="0"/>
                <w:sz w:val="24"/>
                <w:szCs w:val="24"/>
              </w:rPr>
              <w:t>8.可提供蓝、橙、黄三种以上颜色，以便区分网络，监控和设备专网等的应用。</w:t>
            </w:r>
          </w:p>
          <w:p>
            <w:pPr>
              <w:widowControl/>
              <w:rPr>
                <w:rFonts w:ascii="宋体" w:hAnsi="宋体" w:cs="宋体"/>
                <w:kern w:val="0"/>
                <w:sz w:val="24"/>
                <w:szCs w:val="24"/>
              </w:rPr>
            </w:pPr>
            <w:r>
              <w:rPr>
                <w:rFonts w:hint="eastAsia" w:ascii="宋体" w:hAnsi="宋体" w:cs="宋体"/>
                <w:kern w:val="0"/>
                <w:sz w:val="24"/>
                <w:szCs w:val="24"/>
              </w:rPr>
              <w:t>9.公共区域或敏感设备空置RJ45端口可加装安全内塞，防止未经授权的跳线和异物插入，也兼容于交换机核心RJ45端口安全保护。提供3种以上颜色用于识别不同应用。</w:t>
            </w:r>
          </w:p>
          <w:p>
            <w:pPr>
              <w:widowControl/>
              <w:rPr>
                <w:rFonts w:ascii="宋体" w:hAnsi="宋体" w:cs="宋体"/>
                <w:kern w:val="0"/>
                <w:sz w:val="24"/>
                <w:szCs w:val="24"/>
              </w:rPr>
            </w:pPr>
            <w:r>
              <w:rPr>
                <w:rFonts w:hint="eastAsia" w:ascii="宋体" w:hAnsi="宋体" w:cs="宋体"/>
                <w:kern w:val="0"/>
                <w:sz w:val="24"/>
                <w:szCs w:val="24"/>
              </w:rPr>
              <w:t>10.产品国际第三方实验室模块单体性能认证。</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45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3M六类非屏蔽RJ45跳线</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网络跳线长度3米，六类RJ45水晶插头，1.六类RJ45非屏蔽原厂跳线，线规24AWG，工作带宽可达250MHZ。</w:t>
            </w:r>
          </w:p>
          <w:p>
            <w:pPr>
              <w:widowControl/>
              <w:rPr>
                <w:rFonts w:ascii="宋体" w:hAnsi="宋体" w:cs="宋体"/>
                <w:kern w:val="0"/>
                <w:sz w:val="24"/>
                <w:szCs w:val="24"/>
              </w:rPr>
            </w:pPr>
            <w:r>
              <w:rPr>
                <w:rFonts w:hint="eastAsia" w:ascii="宋体" w:hAnsi="宋体" w:cs="宋体"/>
                <w:kern w:val="0"/>
                <w:sz w:val="24"/>
                <w:szCs w:val="24"/>
              </w:rPr>
              <w:t>2.通过ANSI/TIA-568和ISO/IEC 11801 Class E性能标准。</w:t>
            </w:r>
          </w:p>
          <w:p>
            <w:pPr>
              <w:widowControl/>
              <w:rPr>
                <w:rFonts w:ascii="宋体" w:hAnsi="宋体" w:cs="宋体"/>
                <w:kern w:val="0"/>
                <w:sz w:val="24"/>
                <w:szCs w:val="24"/>
              </w:rPr>
            </w:pPr>
            <w:r>
              <w:rPr>
                <w:rFonts w:hint="eastAsia" w:ascii="宋体" w:hAnsi="宋体" w:cs="宋体"/>
                <w:kern w:val="0"/>
                <w:sz w:val="24"/>
                <w:szCs w:val="24"/>
              </w:rPr>
              <w:t>3.跳线线缆应采用多股软线，水晶头应采用上下交错式脚位设计，减少串扰。</w:t>
            </w:r>
          </w:p>
          <w:p>
            <w:pPr>
              <w:widowControl/>
              <w:rPr>
                <w:rFonts w:ascii="宋体" w:hAnsi="宋体" w:cs="宋体"/>
                <w:kern w:val="0"/>
                <w:sz w:val="24"/>
                <w:szCs w:val="24"/>
              </w:rPr>
            </w:pPr>
            <w:r>
              <w:rPr>
                <w:rFonts w:hint="eastAsia" w:ascii="宋体" w:hAnsi="宋体" w:cs="宋体"/>
                <w:kern w:val="0"/>
                <w:sz w:val="24"/>
                <w:szCs w:val="24"/>
              </w:rPr>
              <w:t>4.水晶头针采用磷青铜,100um镀镍,50um镀金。</w:t>
            </w:r>
          </w:p>
          <w:p>
            <w:pPr>
              <w:widowControl/>
              <w:rPr>
                <w:rFonts w:ascii="宋体" w:hAnsi="宋体" w:cs="宋体"/>
                <w:kern w:val="0"/>
                <w:sz w:val="24"/>
                <w:szCs w:val="24"/>
              </w:rPr>
            </w:pPr>
            <w:r>
              <w:rPr>
                <w:rFonts w:hint="eastAsia" w:ascii="宋体" w:hAnsi="宋体" w:cs="宋体"/>
                <w:kern w:val="0"/>
                <w:sz w:val="24"/>
                <w:szCs w:val="24"/>
              </w:rPr>
              <w:t>5.柔性卡接设计,拔插次数大于750次。</w:t>
            </w:r>
          </w:p>
          <w:p>
            <w:pPr>
              <w:widowControl/>
              <w:rPr>
                <w:rFonts w:ascii="宋体" w:hAnsi="宋体" w:cs="宋体"/>
                <w:kern w:val="0"/>
                <w:sz w:val="24"/>
                <w:szCs w:val="24"/>
              </w:rPr>
            </w:pPr>
            <w:r>
              <w:rPr>
                <w:rFonts w:hint="eastAsia" w:ascii="宋体" w:hAnsi="宋体" w:cs="宋体"/>
                <w:kern w:val="0"/>
                <w:sz w:val="24"/>
                <w:szCs w:val="24"/>
              </w:rPr>
              <w:t>6.护套材质：PVC，三种以上颜色备选。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100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室外12芯单模光纤</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12芯室外单模光纤光缆是将250μm光纤套入高模量材料制成的松套管中，松套管内填充防水化合物。缆芯的中心是一根金属加强芯.松套管(和填充绳)围绕中心加强芯绞合成紧凑和圆形的缆芯，缆芯内的缝隙充以阻水填充物。涂塑铝带（APL）纵包后挤制聚乙烯护套成缆。每根松套管内最多光纤芯数:12芯、铝带厚度:0.25mm、允许拉伸力:短期1500N长期600N、 衰减: @1310nm ≤0.36 dB/km  @1550nm ≤0.22dB/km,光缆支持传统基于1310nm和1550nm波长的传输应用；支持未来基于扩展E波段1360nm到1460nm的传输应用；支持16信道粗波分复用；零水峰技术，带宽扩展50% 以上；兼容传统单模光纤；支持CWDM粗波分复用。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500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六类非屏蔽4对室内线缆</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rPr>
            </w:pPr>
            <w:r>
              <w:rPr>
                <w:rFonts w:hint="eastAsia" w:ascii="宋体" w:hAnsi="宋体" w:cs="宋体"/>
                <w:kern w:val="0"/>
                <w:sz w:val="24"/>
              </w:rPr>
              <w:t>1、产品类型：六类非屏蔽双绞线；</w:t>
            </w:r>
          </w:p>
          <w:p>
            <w:pPr>
              <w:widowControl/>
              <w:rPr>
                <w:rFonts w:ascii="宋体" w:hAnsi="宋体" w:cs="宋体"/>
                <w:kern w:val="0"/>
                <w:sz w:val="24"/>
              </w:rPr>
            </w:pPr>
            <w:r>
              <w:rPr>
                <w:rFonts w:hint="eastAsia" w:ascii="宋体" w:hAnsi="宋体" w:cs="宋体"/>
                <w:kern w:val="0"/>
                <w:sz w:val="24"/>
              </w:rPr>
              <w:t>2、芯线规格：23AWG实芯裸铜导体，内部采用十字芯分隔结构以减少线对信号干扰和增加物理机械抗拉性；</w:t>
            </w:r>
          </w:p>
          <w:p>
            <w:pPr>
              <w:widowControl/>
              <w:rPr>
                <w:rFonts w:ascii="宋体" w:hAnsi="宋体" w:cs="宋体"/>
                <w:kern w:val="0"/>
                <w:sz w:val="24"/>
              </w:rPr>
            </w:pPr>
            <w:r>
              <w:rPr>
                <w:rFonts w:hint="eastAsia" w:ascii="宋体" w:hAnsi="宋体" w:cs="宋体"/>
                <w:kern w:val="0"/>
                <w:sz w:val="24"/>
              </w:rPr>
              <w:t>3、芯线对数：4对，每芯带有色条区别，便于端接；</w:t>
            </w:r>
          </w:p>
          <w:p>
            <w:pPr>
              <w:widowControl/>
              <w:rPr>
                <w:rFonts w:ascii="宋体" w:hAnsi="宋体" w:cs="宋体"/>
                <w:kern w:val="0"/>
                <w:sz w:val="24"/>
              </w:rPr>
            </w:pPr>
            <w:r>
              <w:rPr>
                <w:rFonts w:hint="eastAsia" w:ascii="宋体" w:hAnsi="宋体" w:cs="宋体"/>
                <w:kern w:val="0"/>
                <w:sz w:val="24"/>
              </w:rPr>
              <w:t>4、护套特征：护套表面有唯一可追溯批次的标识、带有撕裂绳，方便施工；</w:t>
            </w:r>
          </w:p>
          <w:p>
            <w:pPr>
              <w:widowControl/>
              <w:rPr>
                <w:rFonts w:ascii="宋体" w:hAnsi="宋体" w:cs="宋体"/>
                <w:kern w:val="0"/>
                <w:sz w:val="24"/>
              </w:rPr>
            </w:pPr>
            <w:r>
              <w:rPr>
                <w:rFonts w:hint="eastAsia" w:ascii="宋体" w:hAnsi="宋体" w:cs="宋体"/>
                <w:kern w:val="0"/>
                <w:sz w:val="24"/>
              </w:rPr>
              <w:t>5、执行标准：ANSI/TIA568、ISO11801 以及其他国际通用性标准；</w:t>
            </w:r>
          </w:p>
          <w:p>
            <w:pPr>
              <w:widowControl/>
              <w:rPr>
                <w:rFonts w:ascii="宋体" w:hAnsi="宋体" w:cs="宋体"/>
                <w:kern w:val="0"/>
                <w:sz w:val="24"/>
              </w:rPr>
            </w:pPr>
            <w:r>
              <w:rPr>
                <w:rFonts w:ascii="宋体" w:hAnsi="宋体" w:cs="宋体"/>
                <w:kern w:val="0"/>
                <w:sz w:val="24"/>
              </w:rPr>
              <w:t>6</w:t>
            </w:r>
            <w:r>
              <w:rPr>
                <w:rFonts w:hint="eastAsia" w:ascii="宋体" w:hAnsi="宋体" w:cs="宋体"/>
                <w:kern w:val="0"/>
                <w:sz w:val="24"/>
              </w:rPr>
              <w:t>、带宽：≥250MHz；</w:t>
            </w:r>
          </w:p>
          <w:p>
            <w:pPr>
              <w:widowControl/>
              <w:rPr>
                <w:rFonts w:ascii="宋体" w:hAnsi="宋体" w:cs="宋体"/>
                <w:kern w:val="0"/>
                <w:sz w:val="24"/>
                <w:szCs w:val="24"/>
              </w:rPr>
            </w:pPr>
            <w:r>
              <w:rPr>
                <w:rFonts w:ascii="宋体" w:hAnsi="宋体" w:cs="宋体"/>
                <w:kern w:val="0"/>
                <w:sz w:val="24"/>
              </w:rPr>
              <w:t>7</w:t>
            </w:r>
            <w:r>
              <w:rPr>
                <w:rFonts w:hint="eastAsia" w:ascii="宋体" w:hAnsi="宋体" w:cs="宋体"/>
                <w:kern w:val="0"/>
                <w:sz w:val="24"/>
              </w:rPr>
              <w:t>、阻抗：100±15Ω。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箱</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55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超五类非屏蔽4对室内线缆</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rPr>
            </w:pPr>
            <w:r>
              <w:rPr>
                <w:rFonts w:hint="eastAsia" w:ascii="宋体" w:hAnsi="宋体" w:cs="宋体"/>
                <w:kern w:val="0"/>
                <w:sz w:val="24"/>
              </w:rPr>
              <w:t>1、产品类型：超五类非屏蔽双绞线</w:t>
            </w:r>
          </w:p>
          <w:p>
            <w:pPr>
              <w:widowControl/>
              <w:rPr>
                <w:rFonts w:ascii="宋体" w:hAnsi="宋体" w:cs="宋体"/>
                <w:kern w:val="0"/>
                <w:sz w:val="24"/>
              </w:rPr>
            </w:pPr>
            <w:r>
              <w:rPr>
                <w:rFonts w:hint="eastAsia" w:ascii="宋体" w:hAnsi="宋体" w:cs="宋体"/>
                <w:kern w:val="0"/>
                <w:sz w:val="24"/>
              </w:rPr>
              <w:t>2、芯线规格：24AWG实芯裸铜导体，独特的结构以减少线对信号干扰和增加物理机械抗拉性，电缆采用两次退扭工艺。</w:t>
            </w:r>
          </w:p>
          <w:p>
            <w:pPr>
              <w:widowControl/>
              <w:rPr>
                <w:rFonts w:ascii="宋体" w:hAnsi="宋体" w:cs="宋体"/>
                <w:kern w:val="0"/>
                <w:sz w:val="24"/>
              </w:rPr>
            </w:pPr>
            <w:r>
              <w:rPr>
                <w:rFonts w:hint="eastAsia" w:ascii="宋体" w:hAnsi="宋体" w:cs="宋体"/>
                <w:kern w:val="0"/>
                <w:sz w:val="24"/>
              </w:rPr>
              <w:t>3、芯线对数：4对，每芯带有色条区别，便于端接</w:t>
            </w:r>
          </w:p>
          <w:p>
            <w:pPr>
              <w:widowControl/>
              <w:rPr>
                <w:rFonts w:ascii="宋体" w:hAnsi="宋体" w:cs="宋体"/>
                <w:kern w:val="0"/>
                <w:sz w:val="24"/>
              </w:rPr>
            </w:pPr>
            <w:r>
              <w:rPr>
                <w:rFonts w:hint="eastAsia" w:ascii="宋体" w:hAnsi="宋体" w:cs="宋体"/>
                <w:kern w:val="0"/>
                <w:sz w:val="24"/>
              </w:rPr>
              <w:t>4、护套特征：护套表面有唯一可追溯批次的标识、带有撕裂绳，方便施工</w:t>
            </w:r>
          </w:p>
          <w:p>
            <w:pPr>
              <w:widowControl/>
              <w:rPr>
                <w:rFonts w:ascii="宋体" w:hAnsi="宋体" w:cs="宋体"/>
                <w:kern w:val="0"/>
                <w:sz w:val="24"/>
              </w:rPr>
            </w:pPr>
            <w:r>
              <w:rPr>
                <w:rFonts w:hint="eastAsia" w:ascii="宋体" w:hAnsi="宋体" w:cs="宋体"/>
                <w:kern w:val="0"/>
                <w:sz w:val="24"/>
              </w:rPr>
              <w:t>5、执行标准：ANSI/TIA568、ISO11801以及其他国际通用性标准</w:t>
            </w:r>
          </w:p>
          <w:p>
            <w:pPr>
              <w:widowControl/>
              <w:rPr>
                <w:rFonts w:ascii="宋体" w:hAnsi="宋体" w:cs="宋体"/>
                <w:kern w:val="0"/>
                <w:sz w:val="24"/>
                <w:szCs w:val="24"/>
              </w:rPr>
            </w:pPr>
            <w:r>
              <w:rPr>
                <w:rFonts w:hint="eastAsia" w:ascii="宋体" w:hAnsi="宋体" w:cs="宋体"/>
                <w:kern w:val="0"/>
                <w:sz w:val="24"/>
                <w:lang w:val="en-US" w:eastAsia="zh-CN"/>
              </w:rPr>
              <w:t>6</w:t>
            </w:r>
            <w:r>
              <w:rPr>
                <w:rFonts w:hint="eastAsia" w:ascii="宋体" w:hAnsi="宋体" w:cs="宋体"/>
                <w:kern w:val="0"/>
                <w:sz w:val="24"/>
              </w:rPr>
              <w:t>、带宽：≥100MHz</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箱</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六类24口配线架</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1.兼容 Cat6a、Cat6、Cat5e非屏蔽及屏蔽模块使用。</w:t>
            </w:r>
          </w:p>
          <w:p>
            <w:pPr>
              <w:widowControl/>
              <w:rPr>
                <w:rFonts w:ascii="宋体" w:hAnsi="宋体" w:cs="宋体"/>
                <w:kern w:val="0"/>
                <w:sz w:val="24"/>
                <w:szCs w:val="24"/>
              </w:rPr>
            </w:pPr>
            <w:r>
              <w:rPr>
                <w:rFonts w:hint="eastAsia" w:ascii="宋体" w:hAnsi="宋体" w:cs="宋体"/>
                <w:kern w:val="0"/>
                <w:sz w:val="24"/>
                <w:szCs w:val="24"/>
              </w:rPr>
              <w:t>2.模块可前拆式安装，方便线缆的安装及后期维护。</w:t>
            </w:r>
          </w:p>
          <w:p>
            <w:pPr>
              <w:widowControl/>
              <w:rPr>
                <w:rFonts w:ascii="宋体" w:hAnsi="宋体" w:cs="宋体"/>
                <w:kern w:val="0"/>
                <w:sz w:val="24"/>
                <w:szCs w:val="24"/>
              </w:rPr>
            </w:pPr>
            <w:r>
              <w:rPr>
                <w:rFonts w:hint="eastAsia" w:ascii="宋体" w:hAnsi="宋体" w:cs="宋体"/>
                <w:kern w:val="0"/>
                <w:sz w:val="24"/>
                <w:szCs w:val="24"/>
              </w:rPr>
              <w:t>3.模块卡接处采用金属电镀工艺，表层无涂层覆盖，自带接地线，保证良好的电磁兼容性。</w:t>
            </w:r>
          </w:p>
          <w:p>
            <w:pPr>
              <w:widowControl/>
              <w:rPr>
                <w:rFonts w:ascii="宋体" w:hAnsi="宋体" w:cs="宋体"/>
                <w:kern w:val="0"/>
                <w:sz w:val="24"/>
                <w:szCs w:val="24"/>
              </w:rPr>
            </w:pPr>
            <w:r>
              <w:rPr>
                <w:rFonts w:hint="eastAsia" w:ascii="宋体" w:hAnsi="宋体" w:cs="宋体"/>
                <w:kern w:val="0"/>
                <w:sz w:val="24"/>
                <w:szCs w:val="24"/>
              </w:rPr>
              <w:t>4.自由组合模块数量，配置灵活，维护方便</w:t>
            </w:r>
          </w:p>
          <w:p>
            <w:pPr>
              <w:widowControl/>
              <w:rPr>
                <w:rFonts w:ascii="宋体" w:hAnsi="宋体" w:cs="宋体"/>
                <w:kern w:val="0"/>
                <w:sz w:val="24"/>
                <w:szCs w:val="24"/>
              </w:rPr>
            </w:pPr>
            <w:r>
              <w:rPr>
                <w:rFonts w:hint="eastAsia" w:ascii="宋体" w:hAnsi="宋体" w:cs="宋体"/>
                <w:kern w:val="0"/>
                <w:sz w:val="24"/>
                <w:szCs w:val="24"/>
              </w:rPr>
              <w:t>5.配合彩色模块，轻松实现端口功能颜色管理</w:t>
            </w:r>
          </w:p>
          <w:p>
            <w:pPr>
              <w:widowControl/>
              <w:rPr>
                <w:rFonts w:ascii="宋体" w:hAnsi="宋体" w:cs="宋体"/>
                <w:kern w:val="0"/>
                <w:sz w:val="24"/>
                <w:szCs w:val="24"/>
              </w:rPr>
            </w:pPr>
            <w:r>
              <w:rPr>
                <w:rFonts w:hint="eastAsia" w:ascii="宋体" w:hAnsi="宋体" w:cs="宋体"/>
                <w:kern w:val="0"/>
                <w:sz w:val="24"/>
                <w:szCs w:val="24"/>
              </w:rPr>
              <w:t>6.配置可翻转标示条，便于更换取出标签</w:t>
            </w:r>
          </w:p>
          <w:p>
            <w:pPr>
              <w:widowControl/>
              <w:rPr>
                <w:rFonts w:ascii="宋体" w:hAnsi="宋体" w:cs="宋体"/>
                <w:kern w:val="0"/>
                <w:sz w:val="24"/>
                <w:szCs w:val="24"/>
              </w:rPr>
            </w:pPr>
            <w:r>
              <w:rPr>
                <w:rFonts w:hint="eastAsia" w:ascii="宋体" w:hAnsi="宋体" w:cs="宋体"/>
                <w:kern w:val="0"/>
                <w:sz w:val="24"/>
                <w:szCs w:val="24"/>
              </w:rPr>
              <w:t>7.后置式加长型理线架，便于线缆安装维护，增加弯曲半径，保护线缆，延长使用寿命。</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CellMar>
            <w:top w:w="0" w:type="dxa"/>
            <w:left w:w="108" w:type="dxa"/>
            <w:bottom w:w="0" w:type="dxa"/>
            <w:right w:w="108" w:type="dxa"/>
          </w:tblCellMar>
        </w:tblPrEx>
        <w:trPr>
          <w:trHeight w:val="225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超五类24口配线架</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1.兼容 Cat6a、Cat6、Cat5e非屏蔽及屏蔽模块使用。</w:t>
            </w:r>
          </w:p>
          <w:p>
            <w:pPr>
              <w:widowControl/>
              <w:rPr>
                <w:rFonts w:ascii="宋体" w:hAnsi="宋体" w:cs="宋体"/>
                <w:kern w:val="0"/>
                <w:sz w:val="24"/>
                <w:szCs w:val="24"/>
              </w:rPr>
            </w:pPr>
            <w:r>
              <w:rPr>
                <w:rFonts w:hint="eastAsia" w:ascii="宋体" w:hAnsi="宋体" w:cs="宋体"/>
                <w:kern w:val="0"/>
                <w:sz w:val="24"/>
                <w:szCs w:val="24"/>
              </w:rPr>
              <w:t>2.模块可前拆式安装，方便线缆的安装及后期维护。</w:t>
            </w:r>
          </w:p>
          <w:p>
            <w:pPr>
              <w:widowControl/>
              <w:rPr>
                <w:rFonts w:ascii="宋体" w:hAnsi="宋体" w:cs="宋体"/>
                <w:kern w:val="0"/>
                <w:sz w:val="24"/>
                <w:szCs w:val="24"/>
              </w:rPr>
            </w:pPr>
            <w:r>
              <w:rPr>
                <w:rFonts w:hint="eastAsia" w:ascii="宋体" w:hAnsi="宋体" w:cs="宋体"/>
                <w:kern w:val="0"/>
                <w:sz w:val="24"/>
                <w:szCs w:val="24"/>
              </w:rPr>
              <w:t>3.模块卡接处采用金属电镀工艺，表层无涂层覆盖，自带接地线，保证良好的电磁兼容性。</w:t>
            </w:r>
          </w:p>
          <w:p>
            <w:pPr>
              <w:widowControl/>
              <w:rPr>
                <w:rFonts w:ascii="宋体" w:hAnsi="宋体" w:cs="宋体"/>
                <w:kern w:val="0"/>
                <w:sz w:val="24"/>
                <w:szCs w:val="24"/>
              </w:rPr>
            </w:pPr>
            <w:r>
              <w:rPr>
                <w:rFonts w:hint="eastAsia" w:ascii="宋体" w:hAnsi="宋体" w:cs="宋体"/>
                <w:kern w:val="0"/>
                <w:sz w:val="24"/>
                <w:szCs w:val="24"/>
              </w:rPr>
              <w:t>4.自由组合模块数量，配置灵活，维护方便</w:t>
            </w:r>
          </w:p>
          <w:p>
            <w:pPr>
              <w:widowControl/>
              <w:rPr>
                <w:rFonts w:ascii="宋体" w:hAnsi="宋体" w:cs="宋体"/>
                <w:kern w:val="0"/>
                <w:sz w:val="24"/>
                <w:szCs w:val="24"/>
              </w:rPr>
            </w:pPr>
            <w:r>
              <w:rPr>
                <w:rFonts w:hint="eastAsia" w:ascii="宋体" w:hAnsi="宋体" w:cs="宋体"/>
                <w:kern w:val="0"/>
                <w:sz w:val="24"/>
                <w:szCs w:val="24"/>
              </w:rPr>
              <w:t>5.配合彩色模块，轻松实现端口功能颜色管理</w:t>
            </w:r>
          </w:p>
          <w:p>
            <w:pPr>
              <w:widowControl/>
              <w:rPr>
                <w:rFonts w:ascii="宋体" w:hAnsi="宋体" w:cs="宋体"/>
                <w:kern w:val="0"/>
                <w:sz w:val="24"/>
                <w:szCs w:val="24"/>
              </w:rPr>
            </w:pPr>
            <w:r>
              <w:rPr>
                <w:rFonts w:hint="eastAsia" w:ascii="宋体" w:hAnsi="宋体" w:cs="宋体"/>
                <w:kern w:val="0"/>
                <w:sz w:val="24"/>
                <w:szCs w:val="24"/>
              </w:rPr>
              <w:t>6.配置可翻转标示条，便于更换取出标签</w:t>
            </w:r>
          </w:p>
          <w:p>
            <w:pPr>
              <w:widowControl/>
              <w:rPr>
                <w:rFonts w:ascii="宋体" w:hAnsi="宋体" w:cs="宋体"/>
                <w:kern w:val="0"/>
                <w:sz w:val="24"/>
                <w:szCs w:val="24"/>
              </w:rPr>
            </w:pPr>
            <w:r>
              <w:rPr>
                <w:rFonts w:hint="eastAsia" w:ascii="宋体" w:hAnsi="宋体" w:cs="宋体"/>
                <w:kern w:val="0"/>
                <w:sz w:val="24"/>
                <w:szCs w:val="24"/>
              </w:rPr>
              <w:t>7.后置式加长型理线架，便于线缆安装维护，增加弯曲半径，保护线缆，延长使用寿命。</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机架式理线架</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rPr>
            </w:pPr>
            <w:r>
              <w:rPr>
                <w:rFonts w:hint="eastAsia" w:ascii="宋体" w:hAnsi="宋体" w:cs="宋体"/>
                <w:kern w:val="0"/>
                <w:sz w:val="24"/>
              </w:rPr>
              <w:t>1.工程塑料材质，不易割伤电缆。</w:t>
            </w:r>
          </w:p>
          <w:p>
            <w:pPr>
              <w:widowControl/>
              <w:rPr>
                <w:rFonts w:ascii="宋体" w:hAnsi="宋体" w:cs="宋体"/>
                <w:kern w:val="0"/>
                <w:sz w:val="24"/>
              </w:rPr>
            </w:pPr>
            <w:r>
              <w:rPr>
                <w:rFonts w:hint="eastAsia" w:ascii="宋体" w:hAnsi="宋体" w:cs="宋体"/>
                <w:kern w:val="0"/>
                <w:sz w:val="24"/>
              </w:rPr>
              <w:t>2.19”机架安装，1HU高度，深度不小于7CM，有利于线缆弯曲半径。</w:t>
            </w:r>
          </w:p>
          <w:p>
            <w:pPr>
              <w:widowControl/>
              <w:rPr>
                <w:rFonts w:ascii="宋体" w:hAnsi="宋体" w:cs="宋体"/>
                <w:kern w:val="0"/>
                <w:sz w:val="24"/>
              </w:rPr>
            </w:pPr>
            <w:r>
              <w:rPr>
                <w:rFonts w:hint="eastAsia" w:ascii="宋体" w:hAnsi="宋体" w:cs="宋体"/>
                <w:kern w:val="0"/>
                <w:sz w:val="24"/>
              </w:rPr>
              <w:t>3.前端带有可旋转翻开式盖板。</w:t>
            </w:r>
          </w:p>
          <w:p>
            <w:pPr>
              <w:widowControl/>
              <w:rPr>
                <w:rFonts w:ascii="宋体" w:hAnsi="宋体" w:cs="宋体"/>
                <w:kern w:val="0"/>
                <w:sz w:val="24"/>
                <w:szCs w:val="24"/>
              </w:rPr>
            </w:pPr>
            <w:r>
              <w:rPr>
                <w:rFonts w:hint="eastAsia" w:ascii="宋体" w:hAnsi="宋体" w:cs="宋体"/>
                <w:kern w:val="0"/>
                <w:sz w:val="24"/>
              </w:rPr>
              <w:t>4.防火等级：UL94-V0。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2M六类非屏蔽RJ45跳线</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网络跳线长度</w:t>
            </w:r>
            <w:r>
              <w:rPr>
                <w:rFonts w:ascii="宋体" w:hAnsi="宋体" w:cs="宋体"/>
                <w:kern w:val="0"/>
                <w:sz w:val="24"/>
                <w:szCs w:val="24"/>
              </w:rPr>
              <w:t>2</w:t>
            </w:r>
            <w:r>
              <w:rPr>
                <w:rFonts w:hint="eastAsia" w:ascii="宋体" w:hAnsi="宋体" w:cs="宋体"/>
                <w:kern w:val="0"/>
                <w:sz w:val="24"/>
                <w:szCs w:val="24"/>
              </w:rPr>
              <w:t>米，六类RJ45水晶插头，1.六类RJ45非屏蔽原厂跳线，线规24AWG，工作带宽可达250MHZ。</w:t>
            </w:r>
          </w:p>
          <w:p>
            <w:pPr>
              <w:widowControl/>
              <w:rPr>
                <w:rFonts w:ascii="宋体" w:hAnsi="宋体" w:cs="宋体"/>
                <w:kern w:val="0"/>
                <w:sz w:val="24"/>
                <w:szCs w:val="24"/>
              </w:rPr>
            </w:pPr>
            <w:r>
              <w:rPr>
                <w:rFonts w:hint="eastAsia" w:ascii="宋体" w:hAnsi="宋体" w:cs="宋体"/>
                <w:kern w:val="0"/>
                <w:sz w:val="24"/>
                <w:szCs w:val="24"/>
              </w:rPr>
              <w:t>2.通过ANSI/TIA-568和ISO/IEC 11801 Class E性能标准。</w:t>
            </w:r>
          </w:p>
          <w:p>
            <w:pPr>
              <w:widowControl/>
              <w:rPr>
                <w:rFonts w:ascii="宋体" w:hAnsi="宋体" w:cs="宋体"/>
                <w:kern w:val="0"/>
                <w:sz w:val="24"/>
                <w:szCs w:val="24"/>
              </w:rPr>
            </w:pPr>
            <w:r>
              <w:rPr>
                <w:rFonts w:hint="eastAsia" w:ascii="宋体" w:hAnsi="宋体" w:cs="宋体"/>
                <w:kern w:val="0"/>
                <w:sz w:val="24"/>
                <w:szCs w:val="24"/>
              </w:rPr>
              <w:t>3.跳线线缆应采用多股软线，水晶头应采用上下交错式脚位设计，减少串扰。</w:t>
            </w:r>
          </w:p>
          <w:p>
            <w:pPr>
              <w:widowControl/>
              <w:rPr>
                <w:rFonts w:ascii="宋体" w:hAnsi="宋体" w:cs="宋体"/>
                <w:kern w:val="0"/>
                <w:sz w:val="24"/>
                <w:szCs w:val="24"/>
              </w:rPr>
            </w:pPr>
            <w:r>
              <w:rPr>
                <w:rFonts w:hint="eastAsia" w:ascii="宋体" w:hAnsi="宋体" w:cs="宋体"/>
                <w:kern w:val="0"/>
                <w:sz w:val="24"/>
                <w:szCs w:val="24"/>
              </w:rPr>
              <w:t>4.水晶头针采用磷青铜,100um镀镍,50um镀金。</w:t>
            </w:r>
          </w:p>
          <w:p>
            <w:pPr>
              <w:widowControl/>
              <w:rPr>
                <w:rFonts w:ascii="宋体" w:hAnsi="宋体" w:cs="宋体"/>
                <w:kern w:val="0"/>
                <w:sz w:val="24"/>
                <w:szCs w:val="24"/>
              </w:rPr>
            </w:pPr>
            <w:r>
              <w:rPr>
                <w:rFonts w:hint="eastAsia" w:ascii="宋体" w:hAnsi="宋体" w:cs="宋体"/>
                <w:kern w:val="0"/>
                <w:sz w:val="24"/>
                <w:szCs w:val="24"/>
              </w:rPr>
              <w:t>5.柔性卡接设计,拔插次数大于750次。</w:t>
            </w:r>
          </w:p>
          <w:p>
            <w:pPr>
              <w:widowControl/>
              <w:rPr>
                <w:rFonts w:ascii="宋体" w:hAnsi="宋体" w:cs="宋体"/>
                <w:strike/>
                <w:kern w:val="0"/>
                <w:sz w:val="24"/>
                <w:szCs w:val="24"/>
              </w:rPr>
            </w:pPr>
            <w:r>
              <w:rPr>
                <w:rFonts w:hint="eastAsia" w:ascii="宋体" w:hAnsi="宋体" w:cs="宋体"/>
                <w:kern w:val="0"/>
                <w:sz w:val="24"/>
                <w:szCs w:val="24"/>
              </w:rPr>
              <w:t>6.护套材质：PVC，三种以上颜色备选。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100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2MRJ45-RJ11跳线</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1.规格：1对110快接插头至RJ45跳线</w:t>
            </w:r>
          </w:p>
          <w:p>
            <w:pPr>
              <w:widowControl/>
              <w:rPr>
                <w:rFonts w:ascii="宋体" w:hAnsi="宋体" w:cs="宋体"/>
                <w:kern w:val="0"/>
                <w:sz w:val="24"/>
                <w:szCs w:val="24"/>
              </w:rPr>
            </w:pPr>
            <w:r>
              <w:rPr>
                <w:rFonts w:hint="eastAsia" w:ascii="宋体" w:hAnsi="宋体" w:cs="宋体"/>
                <w:kern w:val="0"/>
                <w:sz w:val="24"/>
                <w:szCs w:val="24"/>
              </w:rPr>
              <w:t>2.标准：ANSI/TIA568</w:t>
            </w:r>
          </w:p>
          <w:p>
            <w:pPr>
              <w:widowControl/>
              <w:rPr>
                <w:rFonts w:ascii="宋体" w:hAnsi="宋体" w:cs="宋体"/>
                <w:kern w:val="0"/>
                <w:sz w:val="24"/>
                <w:szCs w:val="24"/>
              </w:rPr>
            </w:pPr>
            <w:r>
              <w:rPr>
                <w:rFonts w:hint="eastAsia" w:ascii="宋体" w:hAnsi="宋体" w:cs="宋体"/>
                <w:kern w:val="0"/>
                <w:sz w:val="24"/>
                <w:szCs w:val="24"/>
              </w:rPr>
              <w:t>3.导体直径26~24AWG，内部多芯软线结构</w:t>
            </w:r>
          </w:p>
          <w:p>
            <w:pPr>
              <w:widowControl/>
              <w:rPr>
                <w:rFonts w:ascii="宋体" w:hAnsi="宋体" w:cs="宋体"/>
                <w:kern w:val="0"/>
                <w:sz w:val="24"/>
                <w:szCs w:val="24"/>
              </w:rPr>
            </w:pPr>
            <w:r>
              <w:rPr>
                <w:rFonts w:hint="eastAsia" w:ascii="宋体" w:hAnsi="宋体" w:cs="宋体"/>
                <w:kern w:val="0"/>
                <w:sz w:val="24"/>
                <w:szCs w:val="24"/>
              </w:rPr>
              <w:t>4.传输带宽：≥100MHz,</w:t>
            </w:r>
          </w:p>
          <w:p>
            <w:pPr>
              <w:widowControl/>
              <w:rPr>
                <w:rFonts w:ascii="宋体" w:hAnsi="宋体" w:cs="宋体"/>
                <w:kern w:val="0"/>
                <w:sz w:val="24"/>
                <w:szCs w:val="24"/>
              </w:rPr>
            </w:pPr>
            <w:r>
              <w:rPr>
                <w:rFonts w:hint="eastAsia" w:ascii="宋体" w:hAnsi="宋体" w:cs="宋体"/>
                <w:kern w:val="0"/>
                <w:sz w:val="24"/>
                <w:szCs w:val="24"/>
              </w:rPr>
              <w:t>5.阻抗: 100 ohms±15%。</w:t>
            </w:r>
          </w:p>
          <w:p>
            <w:pPr>
              <w:widowControl/>
              <w:rPr>
                <w:rFonts w:ascii="宋体" w:hAnsi="宋体" w:cs="宋体"/>
                <w:kern w:val="0"/>
                <w:sz w:val="24"/>
                <w:szCs w:val="24"/>
              </w:rPr>
            </w:pPr>
            <w:r>
              <w:rPr>
                <w:rFonts w:hint="eastAsia" w:ascii="宋体" w:hAnsi="宋体" w:cs="宋体"/>
                <w:kern w:val="0"/>
                <w:sz w:val="24"/>
                <w:szCs w:val="24"/>
              </w:rPr>
              <w:t>6.跳线须100%原装出厂测试</w:t>
            </w:r>
          </w:p>
          <w:p>
            <w:pPr>
              <w:widowControl/>
              <w:rPr>
                <w:rFonts w:ascii="宋体" w:hAnsi="宋体" w:cs="宋体"/>
                <w:kern w:val="0"/>
                <w:sz w:val="24"/>
                <w:szCs w:val="24"/>
              </w:rPr>
            </w:pPr>
            <w:r>
              <w:rPr>
                <w:rFonts w:hint="eastAsia" w:ascii="宋体" w:hAnsi="宋体" w:cs="宋体"/>
                <w:kern w:val="0"/>
                <w:sz w:val="24"/>
                <w:szCs w:val="24"/>
              </w:rPr>
              <w:t>7.跳线RJ45端尾部采用模具注塑的尾套，以保证产品可靠性。</w:t>
            </w:r>
          </w:p>
          <w:p>
            <w:pPr>
              <w:widowControl/>
              <w:rPr>
                <w:rFonts w:ascii="宋体" w:hAnsi="宋体" w:cs="宋体"/>
                <w:kern w:val="0"/>
                <w:sz w:val="24"/>
                <w:szCs w:val="24"/>
              </w:rPr>
            </w:pPr>
            <w:r>
              <w:rPr>
                <w:rFonts w:hint="eastAsia" w:ascii="宋体" w:hAnsi="宋体" w:cs="宋体"/>
                <w:kern w:val="0"/>
                <w:sz w:val="24"/>
                <w:szCs w:val="24"/>
              </w:rPr>
              <w:t>8.跳线RJ 45端尾套上具有永久性厂家标识，防止假货；RJ45跳线弹片采用按压保护盖，防止弹片反向折断。</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24口面板式光配架(1U,固定式,带前理线器)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1.19英寸标准机架式，1U最多可支持48芯LC耦合器。</w:t>
            </w:r>
          </w:p>
          <w:p>
            <w:pPr>
              <w:widowControl/>
              <w:jc w:val="left"/>
              <w:rPr>
                <w:rFonts w:ascii="宋体" w:hAnsi="宋体" w:cs="宋体"/>
                <w:kern w:val="0"/>
                <w:sz w:val="24"/>
                <w:szCs w:val="24"/>
              </w:rPr>
            </w:pPr>
            <w:r>
              <w:rPr>
                <w:rFonts w:hint="eastAsia" w:ascii="宋体" w:hAnsi="宋体" w:cs="宋体"/>
                <w:kern w:val="0"/>
                <w:sz w:val="24"/>
                <w:szCs w:val="24"/>
              </w:rPr>
              <w:t>2.自带水平理线环及跳线管理装置，可提供弯曲半径保护。</w:t>
            </w:r>
          </w:p>
          <w:p>
            <w:pPr>
              <w:widowControl/>
              <w:jc w:val="left"/>
              <w:rPr>
                <w:rFonts w:ascii="宋体" w:hAnsi="宋体" w:cs="宋体"/>
                <w:kern w:val="0"/>
                <w:sz w:val="24"/>
                <w:szCs w:val="24"/>
              </w:rPr>
            </w:pPr>
            <w:r>
              <w:rPr>
                <w:rFonts w:hint="eastAsia" w:ascii="宋体" w:hAnsi="宋体" w:cs="宋体"/>
                <w:kern w:val="0"/>
                <w:sz w:val="24"/>
                <w:szCs w:val="24"/>
              </w:rPr>
              <w:t>3.抽屉式结构，采用不锈钢导轨，确保抽屉推拉顺畅。</w:t>
            </w:r>
          </w:p>
          <w:p>
            <w:pPr>
              <w:widowControl/>
              <w:jc w:val="left"/>
              <w:rPr>
                <w:rFonts w:ascii="宋体" w:hAnsi="宋体" w:cs="宋体"/>
                <w:kern w:val="0"/>
                <w:sz w:val="24"/>
                <w:szCs w:val="24"/>
              </w:rPr>
            </w:pPr>
            <w:r>
              <w:rPr>
                <w:rFonts w:hint="eastAsia" w:ascii="宋体" w:hAnsi="宋体" w:cs="宋体"/>
                <w:kern w:val="0"/>
                <w:sz w:val="24"/>
                <w:szCs w:val="24"/>
              </w:rPr>
              <w:t>4.自带有标签装置，可以对每个端口进行标识与定义。</w:t>
            </w:r>
          </w:p>
          <w:p>
            <w:pPr>
              <w:widowControl/>
              <w:jc w:val="left"/>
              <w:rPr>
                <w:rFonts w:ascii="宋体" w:hAnsi="宋体" w:cs="宋体"/>
                <w:kern w:val="0"/>
                <w:sz w:val="24"/>
                <w:szCs w:val="24"/>
              </w:rPr>
            </w:pPr>
            <w:r>
              <w:rPr>
                <w:rFonts w:hint="eastAsia" w:ascii="宋体" w:hAnsi="宋体" w:cs="宋体"/>
                <w:kern w:val="0"/>
                <w:sz w:val="24"/>
                <w:szCs w:val="24"/>
              </w:rPr>
              <w:t>5.配线架前面板可灵活拆卸替换，满足灵活安装LC、SC、ST、FC等适配器需求。</w:t>
            </w:r>
          </w:p>
          <w:p>
            <w:pPr>
              <w:widowControl/>
              <w:jc w:val="left"/>
              <w:rPr>
                <w:rFonts w:ascii="宋体" w:hAnsi="宋体" w:cs="宋体"/>
                <w:kern w:val="0"/>
                <w:sz w:val="24"/>
                <w:szCs w:val="24"/>
              </w:rPr>
            </w:pPr>
            <w:r>
              <w:rPr>
                <w:rFonts w:hint="eastAsia" w:ascii="宋体" w:hAnsi="宋体" w:cs="宋体"/>
                <w:kern w:val="0"/>
                <w:sz w:val="24"/>
                <w:szCs w:val="24"/>
              </w:rPr>
              <w:t>6.金属材质，配线架表面经防静电喷涂及防盐雾处理，符合GB/T2423.17-2008盐雾测试，通过第三方实验室测试。</w:t>
            </w:r>
          </w:p>
          <w:p>
            <w:pPr>
              <w:widowControl/>
              <w:jc w:val="left"/>
              <w:rPr>
                <w:rFonts w:ascii="宋体" w:hAnsi="宋体" w:cs="宋体"/>
                <w:kern w:val="0"/>
                <w:sz w:val="24"/>
                <w:szCs w:val="24"/>
              </w:rPr>
            </w:pPr>
            <w:r>
              <w:rPr>
                <w:rFonts w:hint="eastAsia" w:ascii="宋体" w:hAnsi="宋体" w:cs="宋体"/>
                <w:kern w:val="0"/>
                <w:sz w:val="24"/>
                <w:szCs w:val="24"/>
              </w:rPr>
              <w:t>7.用于公共区域或敏感设备空置光纤端口的安全保护，防止未经授权的跳线和异物插入，也兼容于交换机核心SPF端口安全保护。</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室外8口光纤熔接盒</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室外8口光纤熔接盒</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LC双工单模耦合器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1.LC双工光纤耦合器，陶瓷套筒。</w:t>
            </w:r>
          </w:p>
          <w:p>
            <w:pPr>
              <w:widowControl/>
              <w:jc w:val="left"/>
              <w:rPr>
                <w:rFonts w:ascii="宋体" w:hAnsi="宋体" w:cs="宋体"/>
                <w:kern w:val="0"/>
                <w:sz w:val="24"/>
                <w:szCs w:val="24"/>
              </w:rPr>
            </w:pPr>
            <w:r>
              <w:rPr>
                <w:rFonts w:hint="eastAsia" w:ascii="宋体" w:hAnsi="宋体" w:cs="宋体"/>
                <w:kern w:val="0"/>
                <w:sz w:val="24"/>
                <w:szCs w:val="24"/>
              </w:rPr>
              <w:t>2.性能符合ISO/IEC 11801和ANSI/TIA-568系列标准中连接件要求。</w:t>
            </w:r>
          </w:p>
          <w:p>
            <w:pPr>
              <w:widowControl/>
              <w:jc w:val="left"/>
              <w:rPr>
                <w:rFonts w:ascii="宋体" w:hAnsi="宋体" w:cs="宋体"/>
                <w:kern w:val="0"/>
                <w:sz w:val="24"/>
                <w:szCs w:val="24"/>
              </w:rPr>
            </w:pPr>
            <w:r>
              <w:rPr>
                <w:rFonts w:hint="eastAsia" w:ascii="宋体" w:hAnsi="宋体" w:cs="宋体"/>
                <w:kern w:val="0"/>
                <w:sz w:val="24"/>
                <w:szCs w:val="24"/>
              </w:rPr>
              <w:t>3.插入损耗&lt;0.3dB。</w:t>
            </w:r>
          </w:p>
          <w:p>
            <w:pPr>
              <w:widowControl/>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.用于公共区域或敏感设备空置光纤端口的安全保护，防止未经授权的跳线和异物插入，也兼容于交换机核心SPF端口安全保护。可提供2种以上颜色用于识别不同应用。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24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LC单芯单模尾纤</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1.性能超过ANSI/TIA-568中关于光纤连接硬件的规范要求。2.提供优良的机械性能，防止弯曲造成损坏。3.护套：LSZH（低烟无卤）。4.单模9/125 纤芯。5.平均插入损耗：&lt;0.3dB。</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48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光纤熔接</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光纤熔接</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芯</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48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LC-LC双芯单模跳线(3米)</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ascii="宋体" w:hAnsi="宋体" w:cs="宋体"/>
                <w:kern w:val="0"/>
                <w:sz w:val="24"/>
                <w:szCs w:val="24"/>
              </w:rPr>
              <w:t>3</w:t>
            </w:r>
            <w:r>
              <w:rPr>
                <w:rFonts w:hint="eastAsia" w:ascii="宋体" w:hAnsi="宋体" w:cs="宋体"/>
                <w:kern w:val="0"/>
                <w:sz w:val="24"/>
                <w:szCs w:val="24"/>
              </w:rPr>
              <w:t>米LC-LC双芯单模跳线；双工LC-双工LC单模光纤跳线，依据标准YD/T1272.3-2005、YD/T1258.3-2009、GB/T12357.1-2004标准；规格：单模；外护套：低烟无卤（LSZH)；连接器采用句型结构及弹性卡子锁紧结构, 防拉设计，防腐蚀主体；单芯，双芯和多芯组件适用于标准及定制构型；插入损耗（dB）：≤0.2（典型值）/≤0.35（最大值）；回波损耗（dB）：＞40（典型值）/＞35（最大值）；互换性（dB）：≤0.5dB；机械耐久性：500次≤0.2dB（插入损耗变化量）/500次＜5dB（回波损耗变化量）；重复性：10次≤0.2dB（插入损耗变化量）/10次＜5dB（回波损耗变化量）；工作温度：-25℃～70℃；插拔力 ≤19.6N；</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18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22U配线机柜（附楼）</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600*600*1200MM,含机柜托板、1块7位机架式PDU、托条等,SPCC优质冷轧钢板；厚度：方孔条1.5mm,其它1.2mm。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42U机柜（监控室）</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600*600*2000MM,含机柜托板、1块7位机架式PDU、托条等,SPCC优质冷轧钢板；厚度：方孔条1.5mm,其它1.2mm。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室外监控箱</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304不锈钢，尺寸：300*400*250mm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r>
      <w:tr>
        <w:tblPrEx>
          <w:tblCellMar>
            <w:top w:w="0" w:type="dxa"/>
            <w:left w:w="108" w:type="dxa"/>
            <w:bottom w:w="0" w:type="dxa"/>
            <w:right w:w="108" w:type="dxa"/>
          </w:tblCellMar>
        </w:tblPrEx>
        <w:trPr>
          <w:trHeight w:val="48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300*100*2垂直防火桥架</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国产防火桥架；型号：300*100*2mm，含安装辅材</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r>
      <w:tr>
        <w:tblPrEx>
          <w:tblCellMar>
            <w:top w:w="0" w:type="dxa"/>
            <w:left w:w="108" w:type="dxa"/>
            <w:bottom w:w="0" w:type="dxa"/>
            <w:right w:w="108" w:type="dxa"/>
          </w:tblCellMar>
        </w:tblPrEx>
        <w:trPr>
          <w:trHeight w:val="48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200*100*1.5水平防火桥架</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国产防火桥架；型号：200*100*1.5mm，含安装辅材</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180</w:t>
            </w:r>
          </w:p>
        </w:tc>
      </w:tr>
      <w:tr>
        <w:tblPrEx>
          <w:tblCellMar>
            <w:top w:w="0" w:type="dxa"/>
            <w:left w:w="108" w:type="dxa"/>
            <w:bottom w:w="0" w:type="dxa"/>
            <w:right w:w="108" w:type="dxa"/>
          </w:tblCellMar>
        </w:tblPrEx>
        <w:trPr>
          <w:trHeight w:val="43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KBGΦ25（国标）</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国产</w:t>
            </w:r>
            <w:r>
              <w:rPr>
                <w:rFonts w:ascii="Calibri" w:hAnsi="Calibri" w:cs="Calibri"/>
                <w:kern w:val="0"/>
                <w:sz w:val="24"/>
                <w:szCs w:val="24"/>
              </w:rPr>
              <w:t>KBG</w:t>
            </w:r>
            <w:r>
              <w:rPr>
                <w:rFonts w:hint="eastAsia" w:ascii="宋体" w:hAnsi="宋体" w:cs="宋体"/>
                <w:kern w:val="0"/>
                <w:sz w:val="24"/>
                <w:szCs w:val="24"/>
              </w:rPr>
              <w:t>Φ</w:t>
            </w:r>
            <w:r>
              <w:rPr>
                <w:rFonts w:ascii="Calibri" w:hAnsi="Calibri" w:cs="Calibri"/>
                <w:kern w:val="0"/>
                <w:sz w:val="24"/>
                <w:szCs w:val="24"/>
              </w:rPr>
              <w:t>25</w:t>
            </w:r>
            <w:r>
              <w:rPr>
                <w:rFonts w:hint="eastAsia" w:ascii="宋体" w:hAnsi="宋体" w:cs="宋体"/>
                <w:kern w:val="0"/>
                <w:sz w:val="24"/>
                <w:szCs w:val="24"/>
              </w:rPr>
              <w:t>，壁厚</w:t>
            </w:r>
            <w:r>
              <w:rPr>
                <w:rFonts w:ascii="Calibri" w:hAnsi="Calibri" w:cs="Calibri"/>
                <w:kern w:val="0"/>
                <w:sz w:val="24"/>
                <w:szCs w:val="24"/>
              </w:rPr>
              <w:t>1.6mm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3500</w:t>
            </w:r>
          </w:p>
        </w:tc>
      </w:tr>
      <w:tr>
        <w:tblPrEx>
          <w:tblCellMar>
            <w:top w:w="0" w:type="dxa"/>
            <w:left w:w="108" w:type="dxa"/>
            <w:bottom w:w="0" w:type="dxa"/>
            <w:right w:w="108" w:type="dxa"/>
          </w:tblCellMar>
        </w:tblPrEx>
        <w:trPr>
          <w:trHeight w:val="43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金属软管</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国产Φ</w:t>
            </w:r>
            <w:r>
              <w:rPr>
                <w:rFonts w:ascii="Calibri" w:hAnsi="Calibri" w:cs="Calibri"/>
                <w:kern w:val="0"/>
                <w:sz w:val="24"/>
                <w:szCs w:val="24"/>
              </w:rPr>
              <w:t>20</w:t>
            </w:r>
            <w:r>
              <w:rPr>
                <w:rFonts w:hint="eastAsia" w:ascii="宋体" w:hAnsi="宋体" w:cs="宋体"/>
                <w:kern w:val="0"/>
                <w:sz w:val="24"/>
                <w:szCs w:val="24"/>
              </w:rPr>
              <w:t>金属软管</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200</w:t>
            </w:r>
          </w:p>
        </w:tc>
      </w:tr>
      <w:tr>
        <w:tblPrEx>
          <w:tblCellMar>
            <w:top w:w="0" w:type="dxa"/>
            <w:left w:w="108" w:type="dxa"/>
            <w:bottom w:w="0" w:type="dxa"/>
            <w:right w:w="108" w:type="dxa"/>
          </w:tblCellMar>
        </w:tblPrEx>
        <w:trPr>
          <w:trHeight w:val="43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PVC50管</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国标，Φ50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600</w:t>
            </w:r>
          </w:p>
        </w:tc>
      </w:tr>
      <w:tr>
        <w:tblPrEx>
          <w:tblCellMar>
            <w:top w:w="0" w:type="dxa"/>
            <w:left w:w="108" w:type="dxa"/>
            <w:bottom w:w="0" w:type="dxa"/>
            <w:right w:w="108" w:type="dxa"/>
          </w:tblCellMar>
        </w:tblPrEx>
        <w:trPr>
          <w:trHeight w:val="43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PE32</w:t>
            </w:r>
          </w:p>
        </w:tc>
        <w:tc>
          <w:tcPr>
            <w:tcW w:w="5256" w:type="dxa"/>
            <w:tcBorders>
              <w:top w:val="nil"/>
              <w:left w:val="nil"/>
              <w:bottom w:val="nil"/>
              <w:right w:val="nil"/>
            </w:tcBorders>
            <w:vAlign w:val="center"/>
          </w:tcPr>
          <w:p>
            <w:pPr>
              <w:widowControl/>
              <w:jc w:val="left"/>
              <w:rPr>
                <w:rFonts w:ascii="宋体" w:hAnsi="宋体" w:cs="宋体"/>
                <w:kern w:val="0"/>
                <w:sz w:val="24"/>
                <w:szCs w:val="24"/>
              </w:rPr>
            </w:pPr>
            <w:r>
              <w:rPr>
                <w:rFonts w:hint="eastAsia" w:ascii="宋体" w:hAnsi="宋体" w:cs="宋体"/>
                <w:kern w:val="0"/>
                <w:sz w:val="24"/>
                <w:szCs w:val="24"/>
              </w:rPr>
              <w:t>Φ32 PE材质</w:t>
            </w:r>
          </w:p>
        </w:tc>
        <w:tc>
          <w:tcPr>
            <w:tcW w:w="85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50</w:t>
            </w:r>
          </w:p>
        </w:tc>
      </w:tr>
      <w:tr>
        <w:tblPrEx>
          <w:tblCellMar>
            <w:top w:w="0" w:type="dxa"/>
            <w:left w:w="108" w:type="dxa"/>
            <w:bottom w:w="0" w:type="dxa"/>
            <w:right w:w="108" w:type="dxa"/>
          </w:tblCellMar>
        </w:tblPrEx>
        <w:trPr>
          <w:trHeight w:val="43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DN50</w:t>
            </w:r>
          </w:p>
        </w:tc>
        <w:tc>
          <w:tcPr>
            <w:tcW w:w="52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国标钢制，Φ50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100</w:t>
            </w:r>
          </w:p>
        </w:tc>
      </w:tr>
      <w:tr>
        <w:tblPrEx>
          <w:tblCellMar>
            <w:top w:w="0" w:type="dxa"/>
            <w:left w:w="108" w:type="dxa"/>
            <w:bottom w:w="0" w:type="dxa"/>
            <w:right w:w="108" w:type="dxa"/>
          </w:tblCellMar>
        </w:tblPrEx>
        <w:trPr>
          <w:trHeight w:val="48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接线盒（国标）（含盖板）</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国标86型镀锌金属接线盒</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200 </w:t>
            </w:r>
          </w:p>
        </w:tc>
      </w:tr>
      <w:tr>
        <w:tblPrEx>
          <w:tblCellMar>
            <w:top w:w="0" w:type="dxa"/>
            <w:left w:w="108" w:type="dxa"/>
            <w:bottom w:w="0" w:type="dxa"/>
            <w:right w:w="108" w:type="dxa"/>
          </w:tblCellMar>
        </w:tblPrEx>
        <w:trPr>
          <w:trHeight w:val="49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开关盒</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国标86型镀锌金属开关盒</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200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手孔井</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含井盖及筑砌</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14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二、有线电视系统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射频电缆SYWV75-7（RG11)含接头</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四屏蔽物理发泡射频电缆，导体采用高纯无氧铜，100% 覆盖铝箔和铝丝或铝镁丝屏蔽层，SYWV75-7（RG11)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150</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射频电缆SYWV75-6(RG6)含接头</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四屏蔽物理发泡射频电缆，导体采用高纯无氧铜，100% 覆盖铝箔和铝丝或铝镁丝屏蔽层，SYWV75-6(RG6)</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200</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有线电视用户终端</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86型，高压隔离电容,能有效防止低频信号干扰，带屏蔽带，IEC插座接口方式</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分支分配器</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四分支器 室内无源四分支器、412、414、416、420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分支分配箱</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塑料材质，350*350*150mm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三、网络系统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97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48口接入交换机（千兆接入，万兆上联）（内网1台设备网2台）</w:t>
            </w:r>
          </w:p>
        </w:tc>
        <w:tc>
          <w:tcPr>
            <w:tcW w:w="5256"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1、交换容量≥432Gbps，包转发速率≥144Mpps；固化48个10/100/1000Base-T自适应以太网端口、4个万兆SFP+端口,支持AC；2、无需额外升级软件，支持Ipv4和Ipv6三层路由功能，支持RIP路由协议；</w:t>
            </w:r>
            <w:r>
              <w:rPr>
                <w:rFonts w:hint="eastAsia" w:ascii="宋体" w:hAnsi="宋体" w:cs="宋体"/>
                <w:kern w:val="0"/>
                <w:sz w:val="24"/>
                <w:szCs w:val="24"/>
              </w:rPr>
              <w:br w:type="textWrapping"/>
            </w:r>
            <w:r>
              <w:rPr>
                <w:rFonts w:hint="eastAsia" w:ascii="宋体" w:hAnsi="宋体" w:cs="宋体"/>
                <w:kern w:val="0"/>
                <w:sz w:val="24"/>
                <w:szCs w:val="24"/>
              </w:rPr>
              <w:t>3、支持将多台物理设备虚拟化为一台逻辑设备，非堆叠模块实现，虚拟组内可以实现一致的转发表项，统一的管理，跨物理设备的链路聚合；4、支持OPENFLOW 1.3标准支持普通模式和Openflow 模式切换；5、支持SDN，实现网络控制层和数据转发层的分离；支持千兆/万兆端口聚合，支持动态聚合、跨设备聚合；6、支持基于端口、MAC、协议的VLAN，支持QinQ、灵活QinQ，支持基于端口、VLAN、全局下发ACL，支持双向ACL、基于时间段的ACL；7、支持STP/RSTP/MSTP生成树协议、支持RRPP；支持G.8032以太网环保护协议ERPS；8、支持802.1X认证；支持Guest VLAN；支持TRUNK端口认证；支持端口隔离、ARP入侵检测功能、IP+MAC+端口+VLAN的绑定；9、支持终端准入控制功能，配合后台系统可以将网络安全措施整合为一个联动的安全体系，提升网络对病毒、蠕虫等安全威胁的整体防御能力；10、支持DHCP server、DHCP client、 DHCP Snooping；支持SNMP V1/V2/V3，SSHv2等管理方式；11、绿色节能 符合IEEE 802.3az（EEE）节能标准，端口定时down功能（Schedule job），支持端口休眠，关闭没有应用的端口，节省能源，支持业界领先的10KV业务端口防雷能力；</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r>
      <w:tr>
        <w:tblPrEx>
          <w:tblCellMar>
            <w:top w:w="0" w:type="dxa"/>
            <w:left w:w="108" w:type="dxa"/>
            <w:bottom w:w="0" w:type="dxa"/>
            <w:right w:w="108" w:type="dxa"/>
          </w:tblCellMar>
        </w:tblPrEx>
        <w:trPr>
          <w:trHeight w:val="97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外网24口接入交换机（千兆接入，万兆上联）</w:t>
            </w:r>
          </w:p>
        </w:tc>
        <w:tc>
          <w:tcPr>
            <w:tcW w:w="5256" w:type="dxa"/>
            <w:tcBorders>
              <w:top w:val="nil"/>
              <w:left w:val="nil"/>
              <w:bottom w:val="single" w:color="auto" w:sz="4" w:space="0"/>
              <w:right w:val="single" w:color="auto" w:sz="4" w:space="0"/>
            </w:tcBorders>
            <w:vAlign w:val="bottom"/>
          </w:tcPr>
          <w:p>
            <w:pPr>
              <w:widowControl/>
              <w:jc w:val="left"/>
              <w:rPr>
                <w:rFonts w:ascii="宋体" w:hAnsi="宋体" w:cs="宋体"/>
                <w:kern w:val="0"/>
                <w:sz w:val="24"/>
                <w:szCs w:val="24"/>
              </w:rPr>
            </w:pPr>
            <w:r>
              <w:rPr>
                <w:rFonts w:hint="eastAsia" w:ascii="宋体" w:hAnsi="宋体" w:cs="宋体"/>
                <w:kern w:val="0"/>
                <w:sz w:val="24"/>
                <w:szCs w:val="24"/>
              </w:rPr>
              <w:t>1、交换容量≥336Gbps，包转发速率≥108Mpps；固化24个10/100/1000Base-T自适应以太网端口、4个万兆SFP+端口,支持AC；2、无需额外升级软件，支持Ipv4和Ipv6三层路由功能，支持RIP路由协议；</w:t>
            </w:r>
            <w:r>
              <w:rPr>
                <w:rFonts w:hint="eastAsia" w:ascii="宋体" w:hAnsi="宋体" w:cs="宋体"/>
                <w:kern w:val="0"/>
                <w:sz w:val="24"/>
                <w:szCs w:val="24"/>
              </w:rPr>
              <w:br w:type="textWrapping"/>
            </w:r>
            <w:r>
              <w:rPr>
                <w:rFonts w:hint="eastAsia" w:ascii="宋体" w:hAnsi="宋体" w:cs="宋体"/>
                <w:kern w:val="0"/>
                <w:sz w:val="24"/>
                <w:szCs w:val="24"/>
              </w:rPr>
              <w:t>3、支持将多台物理设备虚拟化为一台逻辑设备，非堆叠模块实现，虚拟组内可以实现一致的转发表项，统一的管理，跨物理设备的链路聚合；4、支持OPENFLOW 1.3标准支持普通模式和Openflow 模式切换；5、支持SDN，实现网络控制层和数据转发层的分离；支持千兆/万兆端口聚合，支持动态聚合、跨设备聚合；6、支持基于端口、MAC、协议的VLAN，支持QinQ、灵活QinQ，支持基于端口、VLAN、全局下发ACL，支持双向ACL、基于时间段的ACL；7、支持STP/RSTP/MSTP生成树协议、支持RRPP；支持G.8032以太网环保护协议ERPS；8、支持802.1X认证；支持Guest VLAN；支持TRUNK端口认证；支持端口隔离、ARP入侵检测功能、IP+MAC+端口+VLAN的绑定；9、支持终端准入控制功能，配合后台系统可以将网络安全措施整合为一个联动的安全体系，提升网络对病毒、蠕虫等安全威胁的整体防御能力；10、支持DHCP server、DHCP client、 DHCP Snooping；支持SNMP V1/V2/V3，SSHv2等管理方式；11、绿色节能，支持防雷等级≥10KV；</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698"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千兆单模光纤模块</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SFP+ 千兆单模光纤模块(1310nm,10km,LC)</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91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color w:val="000000"/>
                <w:kern w:val="0"/>
                <w:sz w:val="24"/>
                <w:szCs w:val="24"/>
              </w:rPr>
              <w:t>★</w:t>
            </w:r>
            <w:r>
              <w:rPr>
                <w:rFonts w:hint="eastAsia" w:ascii="宋体" w:hAnsi="宋体" w:cs="宋体"/>
                <w:kern w:val="0"/>
                <w:sz w:val="24"/>
                <w:szCs w:val="24"/>
              </w:rPr>
              <w:t>操作终端（大屏控制终端*1、安检*2、停车管理系统*1）</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强制节能产品）</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配置不低于I5-10500/8G/1T+128SSD/集显 23.8液晶显示器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4</w:t>
            </w:r>
          </w:p>
        </w:tc>
      </w:tr>
      <w:tr>
        <w:tblPrEx>
          <w:tblCellMar>
            <w:top w:w="0" w:type="dxa"/>
            <w:left w:w="108" w:type="dxa"/>
            <w:bottom w:w="0" w:type="dxa"/>
            <w:right w:w="108" w:type="dxa"/>
          </w:tblCellMar>
        </w:tblPrEx>
        <w:trPr>
          <w:trHeight w:val="91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color w:val="000000"/>
                <w:kern w:val="0"/>
                <w:sz w:val="24"/>
                <w:szCs w:val="24"/>
              </w:rPr>
              <w:t>★</w:t>
            </w:r>
            <w:r>
              <w:rPr>
                <w:rFonts w:hint="eastAsia" w:ascii="宋体" w:hAnsi="宋体" w:cs="宋体"/>
                <w:kern w:val="0"/>
                <w:sz w:val="24"/>
                <w:szCs w:val="24"/>
              </w:rPr>
              <w:t>操作终端一体机（立案*2、法庭*4）</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强制节能产品）</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一体化终端，配置不低于I5-10500T 8G 512GSSD DVDRW WIN10 23.8液晶显示器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r>
      <w:tr>
        <w:tblPrEx>
          <w:tblCellMar>
            <w:top w:w="0" w:type="dxa"/>
            <w:left w:w="108" w:type="dxa"/>
            <w:bottom w:w="0" w:type="dxa"/>
            <w:right w:w="108" w:type="dxa"/>
          </w:tblCellMar>
        </w:tblPrEx>
        <w:trPr>
          <w:trHeight w:val="72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color w:val="000000"/>
                <w:kern w:val="0"/>
                <w:sz w:val="24"/>
                <w:szCs w:val="24"/>
              </w:rPr>
              <w:t>★</w:t>
            </w:r>
            <w:r>
              <w:rPr>
                <w:rFonts w:hint="eastAsia" w:ascii="宋体" w:hAnsi="宋体" w:cs="宋体"/>
                <w:kern w:val="0"/>
                <w:sz w:val="24"/>
                <w:szCs w:val="24"/>
              </w:rPr>
              <w:t>操作终端一体机（立案*2、调解室*3）</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强制节能产品）</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一体化终端，配置不低于I5-10500T 8G 512GSSD DVDRW WIN10 23.8</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75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高清摄像机</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分辨率/刷新率：1080P/30fps或720P/60fps，支持自动对焦，视野角度：78°，双降噪麦克风</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1418"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color w:val="000000"/>
                <w:kern w:val="0"/>
                <w:sz w:val="24"/>
                <w:szCs w:val="24"/>
              </w:rPr>
              <w:t>★</w:t>
            </w:r>
            <w:r>
              <w:rPr>
                <w:rFonts w:hint="eastAsia" w:ascii="宋体" w:hAnsi="宋体" w:cs="宋体"/>
                <w:kern w:val="0"/>
                <w:sz w:val="24"/>
                <w:szCs w:val="24"/>
              </w:rPr>
              <w:t>激光打印机（黑白）（自助查询*2）</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强制节能产品）</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1. 功能：黑白打印；2. 纸张尺寸：A4 手送纸盘: 宽度：69.8</w:t>
            </w:r>
            <w:r>
              <w:rPr>
                <w:rFonts w:hint="eastAsia" w:ascii="宋体" w:hAnsi="宋体" w:cs="宋体" w:eastAsiaTheme="minorEastAsia"/>
                <w:kern w:val="0"/>
                <w:sz w:val="24"/>
                <w:szCs w:val="24"/>
              </w:rPr>
              <w:t>〜</w:t>
            </w:r>
            <w:r>
              <w:rPr>
                <w:rFonts w:hint="eastAsia" w:ascii="宋体" w:hAnsi="宋体" w:cs="宋体"/>
                <w:kern w:val="0"/>
                <w:sz w:val="24"/>
                <w:szCs w:val="24"/>
              </w:rPr>
              <w:t>216 mm,长度:127</w:t>
            </w:r>
            <w:r>
              <w:rPr>
                <w:rFonts w:hint="eastAsia" w:ascii="宋体" w:hAnsi="宋体" w:cs="宋体" w:eastAsiaTheme="minorEastAsia"/>
                <w:kern w:val="0"/>
                <w:sz w:val="24"/>
                <w:szCs w:val="24"/>
              </w:rPr>
              <w:t>〜</w:t>
            </w:r>
            <w:r>
              <w:rPr>
                <w:rFonts w:hint="eastAsia" w:ascii="宋体" w:hAnsi="宋体" w:cs="宋体"/>
                <w:kern w:val="0"/>
                <w:sz w:val="24"/>
                <w:szCs w:val="24"/>
              </w:rPr>
              <w:t>355.6 mm；3. 支持纸张重量：标准纸盘：60</w:t>
            </w:r>
            <w:r>
              <w:rPr>
                <w:rFonts w:hint="eastAsia" w:ascii="宋体" w:hAnsi="宋体" w:cs="宋体" w:eastAsiaTheme="minorEastAsia"/>
                <w:kern w:val="0"/>
                <w:sz w:val="24"/>
                <w:szCs w:val="24"/>
              </w:rPr>
              <w:t>〜</w:t>
            </w:r>
            <w:r>
              <w:rPr>
                <w:rFonts w:hint="eastAsia" w:ascii="宋体" w:hAnsi="宋体" w:cs="宋体"/>
                <w:kern w:val="0"/>
                <w:sz w:val="24"/>
                <w:szCs w:val="24"/>
              </w:rPr>
              <w:t>120 gsm手送纸盘0</w:t>
            </w:r>
            <w:r>
              <w:rPr>
                <w:rFonts w:hint="eastAsia" w:ascii="宋体" w:hAnsi="宋体" w:cs="宋体" w:eastAsiaTheme="minorEastAsia"/>
                <w:kern w:val="0"/>
                <w:sz w:val="24"/>
                <w:szCs w:val="24"/>
              </w:rPr>
              <w:t>〜</w:t>
            </w:r>
            <w:r>
              <w:rPr>
                <w:rFonts w:hint="eastAsia" w:ascii="宋体" w:hAnsi="宋体" w:cs="宋体"/>
                <w:kern w:val="0"/>
                <w:sz w:val="24"/>
                <w:szCs w:val="24"/>
              </w:rPr>
              <w:t>200 gsm；4. 支持纸张容量：标准纸盘：大于等于250张手送纸盘：大于等于50张 最大1340张；5. 支持接收盘容量：150张（打印面朝下）、支持打印面朝上出纸；6. 打印速度：单面不低于40ppm&lt;黑白&gt;、双面不低于20ppm&lt;黑白&gt; ；7. 预热时间：主电源开启的情况下少于25秒，从休眠模式恢复的 时间少于5秒（室温23°C)；8. 首页复印时间：少于等于7.6秒（A4）；9. 打印功能：分辨率不低1200*1200dpi；10. 内存容量：系统内存大于等于512MB；11. 端口：USB2.0，网络Ethernet 100BAST-TX/10BASE-T；12. 双面功能：标配；13. 支持打印语言：PCL6\PS3仿真、PDF1.7版、XPS（XML Paper Specification)1.0版；14. 支持的操作系统：Windows 10 (32位)、Windows 10 (64位）、Windows 8.1 (32位）、 Windows 8.1 (64位)、Windows 7 (32位）、Windows 7 (64位）、 Windows Server 2019 (64位)、Windows Server 2016 (64位）、 Windows Server 2012 R2 (64位)、Windows Server 2012 (64位）、 Windows Server 2008 R2 (64位）、Windows Server 2008 (32位）、 Windows Server 2008 ( 64位）、 macOS 10.14 / 10.13 / 10.12；15. 耗材：鼓粉分离： 随机4000页墨粉， 5万印硒鼓 有大容量墨粉选购；16. 运行声音：运行时声音不超过6.81B\52.0dB(A)；17. 整机尺寸不超过宽373毫米x深388毫米x高255毫米；18. 运行功率：最大不超过1344W 休眠模式不超过6.5W 电源：AC220～240 V ± 10 %、5.6 A、50/60 Hz共用；19. 不配无线模块及无线功能。</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81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服务器机柜</w:t>
            </w:r>
          </w:p>
        </w:tc>
        <w:tc>
          <w:tcPr>
            <w:tcW w:w="5256" w:type="dxa"/>
            <w:tcBorders>
              <w:top w:val="nil"/>
              <w:left w:val="nil"/>
              <w:bottom w:val="nil"/>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600*1200*2000MM,含机柜托板、1块7位机架式PDU、托条等,SPCC优质冷轧钢板；厚度：方孔条1.5mm,其它1.2mm。带3块托板</w:t>
            </w:r>
          </w:p>
        </w:tc>
        <w:tc>
          <w:tcPr>
            <w:tcW w:w="851" w:type="dxa"/>
            <w:tcBorders>
              <w:top w:val="nil"/>
              <w:left w:val="nil"/>
              <w:bottom w:val="nil"/>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nil"/>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r>
      <w:tr>
        <w:tblPrEx>
          <w:tblCellMar>
            <w:top w:w="0" w:type="dxa"/>
            <w:left w:w="108" w:type="dxa"/>
            <w:bottom w:w="0" w:type="dxa"/>
            <w:right w:w="108" w:type="dxa"/>
          </w:tblCellMar>
        </w:tblPrEx>
        <w:trPr>
          <w:trHeight w:val="14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机柜垂直PDU</w:t>
            </w:r>
          </w:p>
        </w:tc>
        <w:tc>
          <w:tcPr>
            <w:tcW w:w="5256"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16位、带空开、防雷模块，6平方线，输入32A，输出2位16a国标孔，14位10a万用孔，带防雷器，带工业连接器（公母头），带总空开，安装方式：竖装</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8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PDU布线</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RVV3*6㎡电源线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四、安全防范系统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1、高清监控系统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190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500万星光防暴高清红外半球型网络摄像机</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kern w:val="0"/>
                <w:sz w:val="24"/>
                <w:szCs w:val="24"/>
              </w:rPr>
              <w:t>设备须无缝接入新吴法院现有高清监控系统进行统一管理和图像控制，并且能够实现通过法院现有高清监控解码器将摄像机主辅流图像均能解码上墙进行显示。</w:t>
            </w:r>
            <w:r>
              <w:rPr>
                <w:rFonts w:hint="eastAsia" w:ascii="宋体" w:hAnsi="宋体" w:cs="宋体"/>
                <w:b/>
                <w:color w:val="000000"/>
                <w:kern w:val="0"/>
                <w:sz w:val="24"/>
                <w:szCs w:val="24"/>
              </w:rPr>
              <w:t>（投标时</w:t>
            </w:r>
            <w:r>
              <w:rPr>
                <w:rFonts w:hint="eastAsia" w:ascii="宋体" w:hAnsi="宋体" w:cs="宋体"/>
                <w:b/>
                <w:color w:val="000000"/>
                <w:kern w:val="0"/>
                <w:sz w:val="24"/>
                <w:szCs w:val="24"/>
                <w:lang w:val="en-US" w:eastAsia="zh-CN"/>
              </w:rPr>
              <w:t>投标人</w:t>
            </w:r>
            <w:r>
              <w:rPr>
                <w:rFonts w:hint="eastAsia" w:ascii="宋体" w:hAnsi="宋体" w:cs="宋体"/>
                <w:b/>
                <w:color w:val="000000"/>
                <w:kern w:val="0"/>
                <w:sz w:val="24"/>
                <w:szCs w:val="24"/>
              </w:rPr>
              <w:t>须提供无缝接入承诺函并加盖投标人公章）。</w:t>
            </w:r>
            <w:r>
              <w:rPr>
                <w:rFonts w:hint="eastAsia" w:ascii="宋体" w:hAnsi="宋体" w:cs="宋体"/>
                <w:kern w:val="0"/>
                <w:sz w:val="24"/>
                <w:szCs w:val="24"/>
              </w:rPr>
              <w:br w:type="textWrapping"/>
            </w:r>
            <w:r>
              <w:rPr>
                <w:rFonts w:hint="eastAsia" w:ascii="宋体" w:hAnsi="宋体" w:cs="宋体"/>
                <w:kern w:val="0"/>
                <w:sz w:val="24"/>
                <w:szCs w:val="24"/>
              </w:rPr>
              <w:t>500万像素逐行扫描图像传感器H.265（Main Profile）/H.264（Baseline Profile、Main Profile、HighProfile）/MJPEG视频编码，1080P@30fps高清实时图像,符合IK10级防暴设计，符合IP66防护等级, 支持0.0005Lux星光级超低照度成像, 采用高效红外灯，使用寿命长，照射距离可达40米（-IR型号）,支持ICR红外滤片式自动切换，实现真正的日夜监控, 支持120dB宽动态，适合逆光环境监控,支持双向音频及报警接口,支持3D数字降噪，图像清晰细腻,支持竖屏（走廊）模式，有效提升监控区域, 支持强光抑制、背光补偿、自动电子快门功能,支持ROI、编码区域裁剪功能，支持超低码流,支持移动侦测、警戒线、区域入侵等视频分析智能告警功能,支持模拟输出，方便安装调试,支持RS485控制功能,支持128G TF卡本地存储,支持宽温设计，温度范围-40℃~60℃.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r>
      <w:tr>
        <w:tblPrEx>
          <w:tblCellMar>
            <w:top w:w="0" w:type="dxa"/>
            <w:left w:w="108" w:type="dxa"/>
            <w:bottom w:w="0" w:type="dxa"/>
            <w:right w:w="108" w:type="dxa"/>
          </w:tblCellMar>
        </w:tblPrEx>
        <w:trPr>
          <w:trHeight w:val="5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500万星光防暴高清红外枪型网络摄像机</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b/>
                <w:kern w:val="0"/>
                <w:sz w:val="24"/>
                <w:szCs w:val="24"/>
              </w:rPr>
              <w:t>设备须无缝接入新吴法院现有高清监控系统进行统一管理和图像控制，并且能够实现通过法院现有高清监控解码器将摄像机主辅流图像均能解码上墙进行显示。</w:t>
            </w:r>
            <w:r>
              <w:rPr>
                <w:rFonts w:hint="eastAsia" w:ascii="宋体" w:hAnsi="宋体" w:cs="宋体"/>
                <w:b/>
                <w:color w:val="000000"/>
                <w:kern w:val="0"/>
                <w:sz w:val="24"/>
                <w:szCs w:val="24"/>
              </w:rPr>
              <w:t>（投标时</w:t>
            </w:r>
            <w:r>
              <w:rPr>
                <w:rFonts w:hint="eastAsia" w:ascii="宋体" w:hAnsi="宋体" w:cs="宋体"/>
                <w:b/>
                <w:color w:val="000000"/>
                <w:kern w:val="0"/>
                <w:sz w:val="24"/>
                <w:szCs w:val="24"/>
                <w:lang w:val="en-US" w:eastAsia="zh-CN"/>
              </w:rPr>
              <w:t>投标人</w:t>
            </w:r>
            <w:r>
              <w:rPr>
                <w:rFonts w:hint="eastAsia" w:ascii="宋体" w:hAnsi="宋体" w:cs="宋体"/>
                <w:b/>
                <w:color w:val="000000"/>
                <w:kern w:val="0"/>
                <w:sz w:val="24"/>
                <w:szCs w:val="24"/>
              </w:rPr>
              <w:t>须提供无缝接入承诺函并加盖投标人公章）。</w:t>
            </w:r>
            <w:r>
              <w:rPr>
                <w:rFonts w:hint="eastAsia" w:ascii="宋体" w:hAnsi="宋体" w:cs="宋体"/>
                <w:kern w:val="0"/>
                <w:sz w:val="24"/>
                <w:szCs w:val="24"/>
              </w:rPr>
              <w:br w:type="textWrapping"/>
            </w:r>
            <w:r>
              <w:rPr>
                <w:rFonts w:hint="eastAsia" w:ascii="宋体" w:hAnsi="宋体" w:cs="宋体"/>
                <w:kern w:val="0"/>
                <w:sz w:val="24"/>
                <w:szCs w:val="24"/>
              </w:rPr>
              <w:t>图像传感器:500万1/2.8"逐行扫描图像传感器；镜头：3.6mm, 6mm, 2.8-12mm镜头可选；镜头接口：-L系列：M12，-Z系列：&amp;phi;14；光圈：固定光圈；镜头视场角：-L0360:水平83.5°，垂直44.6°；-l0600:水平54.5°，垂直29.7°；-Z2812:水平30.3°(T)~107°(W)，垂直17°(T)~56.1°(W)；最低照度：彩色：0.0005Lux @（AGC ON）；黑白：0.0001Lux @（AGC ON），0Lux with IR；快门：1s～ 1/30000s；日夜转换模式；ICR彩转黑；宽动态：支持；白平衡：手动/自动；增益控制：手动/自动；数字降噪：3D数字降噪；透雾：数字透雾；背光补偿：支持；红外功能；30-50米红外、支持SMART IR功能；视频：编解码格式：H.265（Main Profile）/H.264（Baseline Profile、Main Profile、High，Profile）/MJPEG；最大分辨率：-SIR：3072×1728</w:t>
            </w:r>
            <w:r>
              <w:rPr>
                <w:rFonts w:hint="eastAsia" w:ascii="宋体" w:hAnsi="宋体" w:cs="宋体"/>
                <w:kern w:val="0"/>
                <w:sz w:val="24"/>
                <w:szCs w:val="24"/>
              </w:rPr>
              <w:br w:type="textWrapping"/>
            </w:r>
            <w:r>
              <w:rPr>
                <w:rFonts w:hint="eastAsia" w:ascii="宋体" w:hAnsi="宋体" w:cs="宋体"/>
                <w:kern w:val="0"/>
                <w:sz w:val="24"/>
                <w:szCs w:val="24"/>
              </w:rPr>
              <w:t>-DIR：2880×1620；视频帧率：1～30fps；视频码率：32Kbps～16Mbps；多码流：三码流，最大主流3072×1728+辅流一720P+辅流二D1；码率控制：CBR/VBR；移动侦测：支持；图像翻转：</w:t>
            </w:r>
            <w:r>
              <w:rPr>
                <w:rFonts w:hint="eastAsia" w:ascii="宋体" w:hAnsi="宋体" w:cs="宋体"/>
                <w:kern w:val="0"/>
                <w:sz w:val="24"/>
                <w:szCs w:val="24"/>
              </w:rPr>
              <w:br w:type="textWrapping"/>
            </w:r>
            <w:r>
              <w:rPr>
                <w:rFonts w:hint="eastAsia" w:ascii="宋体" w:hAnsi="宋体" w:cs="宋体"/>
                <w:kern w:val="0"/>
                <w:sz w:val="24"/>
                <w:szCs w:val="24"/>
              </w:rPr>
              <w:t>90°/180°/270°旋转或上下/左右镜像翻转；强光抑制；支持；感兴趣区域；支持ROI区域增强编码；音频；编码格式；ADPCM、PCMU（G.711u）、PCMA（G.711a）、G.722；编码码率：</w:t>
            </w:r>
            <w:r>
              <w:rPr>
                <w:rFonts w:hint="eastAsia" w:ascii="宋体" w:hAnsi="宋体" w:cs="宋体"/>
                <w:kern w:val="0"/>
                <w:sz w:val="24"/>
                <w:szCs w:val="24"/>
              </w:rPr>
              <w:br w:type="textWrapping"/>
            </w:r>
            <w:r>
              <w:rPr>
                <w:rFonts w:hint="eastAsia" w:ascii="宋体" w:hAnsi="宋体" w:cs="宋体"/>
                <w:kern w:val="0"/>
                <w:sz w:val="24"/>
                <w:szCs w:val="24"/>
              </w:rPr>
              <w:t>32Kbps～64Kbps；音频功能：双向语音，回声抵消、哑音、静音、混音录像；网络功能；网络协议：TCP/IP，DHCP，DNS，DDNS，PPPoE，NAT，802.1X，QoS，UPnP，SMTP；互联标准：</w:t>
            </w:r>
            <w:r>
              <w:rPr>
                <w:rFonts w:hint="eastAsia" w:ascii="宋体" w:hAnsi="宋体" w:cs="宋体"/>
                <w:kern w:val="0"/>
                <w:sz w:val="24"/>
                <w:szCs w:val="24"/>
              </w:rPr>
              <w:br w:type="textWrapping"/>
            </w:r>
            <w:r>
              <w:rPr>
                <w:rFonts w:hint="eastAsia" w:ascii="宋体" w:hAnsi="宋体" w:cs="宋体"/>
                <w:kern w:val="0"/>
                <w:sz w:val="24"/>
                <w:szCs w:val="24"/>
              </w:rPr>
              <w:t>ONVIF、国标（GB/T 28181-2016）、CGI；存储功能：支持TF卡存储、支持ANR。</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弱电间温湿度监测摄像机（含温湿度传感器）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温湿度传感器；输出信号：网络输出RS-485，量程：湿度：0%RH～100%RH；温度：0℃～50℃；准确度：湿度：±3%RH（测试环境：5%RH～95%RH，25℃）；温度：±0.5℃（测试环境25℃）；供电：直流24V（12V-24V）；最大功耗：≤0.96W；工作温度：-10℃～60℃</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高保真拾音器（含电源）</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高保真、语音清晰、噪音低,采用两只互补型全指向电容咪头，采音全面、音质好,AGC自动增益，远近语音均衡程度高,特别针对空旷的房间，有效消除强回音导致的浑浊声音,咪头经过防潮处理,灵敏度高,音频监控监听面积可达70㎡米,卡座分离安装方式，便于侧墙或吸顶安装,自动抑制高强度声音，超长线路的拾音头音频传输，采用3芯0.5mm RVVP屏蔽电缆传输3公里不失真,-25℃～ 75℃的超强工作温度范围,拾音头内置雷击保护、电源极性反转保护,符合欧盟CE标准以及最高检同步录音录像系统建设规范。</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设备利旧安装（拆除、保洁、安装、调试）</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包含14台高清红外半球型网络摄像机、5台高清红外枪式网络摄像机、8台高保真拾音器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高清监控系统线缆包</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电源线、超五类非屏蔽双绞线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57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安装辅材</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摄像机电源、水晶头、管道等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58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2、人员管控系统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智能访客终端（标准版、双屏）</w:t>
            </w:r>
          </w:p>
        </w:tc>
        <w:tc>
          <w:tcPr>
            <w:tcW w:w="5256" w:type="dxa"/>
            <w:tcBorders>
              <w:top w:val="nil"/>
              <w:left w:val="nil"/>
              <w:bottom w:val="single" w:color="000000" w:sz="4" w:space="0"/>
              <w:right w:val="single" w:color="000000" w:sz="4" w:space="0"/>
            </w:tcBorders>
          </w:tcPr>
          <w:p>
            <w:pPr>
              <w:widowControl/>
              <w:rPr>
                <w:rFonts w:ascii="宋体" w:hAnsi="宋体" w:cs="宋体"/>
                <w:kern w:val="0"/>
                <w:sz w:val="24"/>
                <w:szCs w:val="24"/>
              </w:rPr>
            </w:pPr>
            <w:r>
              <w:rPr>
                <w:rFonts w:hint="eastAsia" w:ascii="宋体" w:hAnsi="宋体" w:cs="宋体"/>
                <w:b/>
                <w:kern w:val="0"/>
                <w:sz w:val="24"/>
                <w:szCs w:val="24"/>
              </w:rPr>
              <w:t>设备须能够无缝接入新吴区人民法院、无锡中院现有人员管控系统进行统一管理和控制，且能够与最高院律师一码通系统对接。</w:t>
            </w:r>
            <w:r>
              <w:rPr>
                <w:rFonts w:hint="eastAsia" w:ascii="宋体" w:hAnsi="宋体" w:cs="宋体"/>
                <w:b/>
                <w:color w:val="000000"/>
                <w:kern w:val="0"/>
                <w:sz w:val="24"/>
                <w:szCs w:val="24"/>
              </w:rPr>
              <w:t>（投标时</w:t>
            </w:r>
            <w:r>
              <w:rPr>
                <w:rFonts w:hint="eastAsia" w:ascii="宋体" w:hAnsi="宋体" w:cs="宋体"/>
                <w:b/>
                <w:color w:val="000000"/>
                <w:kern w:val="0"/>
                <w:sz w:val="24"/>
                <w:szCs w:val="24"/>
                <w:lang w:val="en-US" w:eastAsia="zh-CN"/>
              </w:rPr>
              <w:t>投标人</w:t>
            </w:r>
            <w:r>
              <w:rPr>
                <w:rFonts w:hint="eastAsia" w:ascii="宋体" w:hAnsi="宋体" w:cs="宋体"/>
                <w:b/>
                <w:color w:val="000000"/>
                <w:kern w:val="0"/>
                <w:sz w:val="24"/>
                <w:szCs w:val="24"/>
              </w:rPr>
              <w:t>须提供无缝接入承诺函并加盖投标人公章）。</w:t>
            </w:r>
            <w:r>
              <w:rPr>
                <w:rFonts w:hint="eastAsia" w:ascii="宋体" w:hAnsi="宋体" w:cs="宋体"/>
                <w:kern w:val="0"/>
                <w:sz w:val="24"/>
                <w:szCs w:val="24"/>
              </w:rPr>
              <w:br w:type="textWrapping"/>
            </w:r>
            <w:r>
              <w:rPr>
                <w:rFonts w:hint="eastAsia" w:ascii="宋体" w:hAnsi="宋体" w:cs="宋体"/>
                <w:kern w:val="0"/>
                <w:sz w:val="24"/>
                <w:szCs w:val="24"/>
              </w:rPr>
              <w:t>硬件参数：主机：CPU： RK3399处理器64位，2.0GHz 双Cortex-A72大核+四Cortex-A53小核 64-bit CPU；存储：16G；触摸屏：屏尺寸：15英寸；最佳分辨率：1024*768@60HZ；摄像头：摄像模式：宽动态；最大分辨率： 1920*1080/30帧/秒；高拍仪：光学最大分辨率(dpi) 2592×1944dpi 扫描镜头；扫描范围 A4；扫描速度约1.1S；身份证阅读器：读卡符合公安部GA450/IGA450标准：读卡时间：＜=1秒，读卡距离，&lt;=50MM，数据通信：RS232或USB，通过计算机的USB接口</w:t>
            </w:r>
            <w:r>
              <w:rPr>
                <w:rFonts w:hint="eastAsia" w:ascii="宋体" w:hAnsi="宋体" w:cs="宋体"/>
                <w:kern w:val="0"/>
                <w:sz w:val="24"/>
                <w:szCs w:val="24"/>
              </w:rPr>
              <w:br w:type="textWrapping"/>
            </w:r>
            <w:r>
              <w:rPr>
                <w:rFonts w:hint="eastAsia" w:ascii="宋体" w:hAnsi="宋体" w:cs="宋体"/>
                <w:kern w:val="0"/>
                <w:sz w:val="24"/>
                <w:szCs w:val="24"/>
              </w:rPr>
              <w:t>2、前端软件标准功能模块：身份证认证；业务预约；线上预约；旁听预约；调解预约；信访预约；业务引流；人员控流；智能分流；预约记录；行政访客预约；人工报道；</w:t>
            </w:r>
            <w:r>
              <w:rPr>
                <w:rFonts w:hint="eastAsia" w:ascii="宋体" w:hAnsi="宋体" w:cs="宋体"/>
                <w:kern w:val="0"/>
                <w:sz w:val="24"/>
                <w:szCs w:val="24"/>
              </w:rPr>
              <w:br w:type="textWrapping"/>
            </w:r>
            <w:r>
              <w:rPr>
                <w:rFonts w:hint="eastAsia" w:ascii="宋体" w:hAnsi="宋体" w:cs="宋体"/>
                <w:kern w:val="0"/>
                <w:sz w:val="24"/>
                <w:szCs w:val="24"/>
              </w:rPr>
              <w:t>3、小程序功能模块：实名认证；旁听预约；调解预约；信访预约；诉讼立案预约；案件查询预约；风险评估预约；文书送达预约；在线调解预约；庭审直播预约；提交材料预约；其他业务预约；案件移交预约；案件执行预约；司法保全预约；人员控流；智能分流；预约记录；现场预约；人工验证；开庭公告</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单机芯闸机系统(左/右）</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1、包含当事人通道一个和律师通道一个，当事人出口和律所通道共用。</w:t>
            </w:r>
            <w:r>
              <w:rPr>
                <w:rFonts w:hint="eastAsia" w:ascii="宋体" w:hAnsi="宋体" w:cs="宋体"/>
                <w:kern w:val="0"/>
                <w:sz w:val="24"/>
                <w:szCs w:val="24"/>
              </w:rPr>
              <w:br w:type="textWrapping"/>
            </w:r>
            <w:r>
              <w:rPr>
                <w:rFonts w:hint="eastAsia" w:ascii="宋体" w:hAnsi="宋体" w:cs="宋体"/>
                <w:kern w:val="0"/>
                <w:sz w:val="24"/>
                <w:szCs w:val="24"/>
              </w:rPr>
              <w:t>2、主处理器：高性能嵌入式处理器；</w:t>
            </w:r>
            <w:r>
              <w:rPr>
                <w:rFonts w:hint="eastAsia" w:ascii="宋体" w:hAnsi="宋体" w:cs="宋体"/>
                <w:kern w:val="0"/>
                <w:sz w:val="24"/>
                <w:szCs w:val="24"/>
              </w:rPr>
              <w:br w:type="textWrapping"/>
            </w:r>
            <w:r>
              <w:rPr>
                <w:rFonts w:hint="eastAsia" w:ascii="宋体" w:hAnsi="宋体" w:cs="宋体"/>
                <w:kern w:val="0"/>
                <w:sz w:val="24"/>
                <w:szCs w:val="24"/>
              </w:rPr>
              <w:t>3、驱动电机：直流有刷电机；</w:t>
            </w:r>
            <w:r>
              <w:rPr>
                <w:rFonts w:hint="eastAsia" w:ascii="宋体" w:hAnsi="宋体" w:cs="宋体"/>
                <w:kern w:val="0"/>
                <w:sz w:val="24"/>
                <w:szCs w:val="24"/>
              </w:rPr>
              <w:br w:type="textWrapping"/>
            </w:r>
            <w:r>
              <w:rPr>
                <w:rFonts w:hint="eastAsia" w:ascii="宋体" w:hAnsi="宋体" w:cs="宋体"/>
                <w:kern w:val="0"/>
                <w:sz w:val="24"/>
                <w:szCs w:val="24"/>
              </w:rPr>
              <w:t>4、外壳材料：SUS304不锈钢 1.5mm；电机</w:t>
            </w:r>
            <w:r>
              <w:rPr>
                <w:rFonts w:hint="eastAsia" w:ascii="宋体" w:hAnsi="宋体" w:cs="宋体"/>
                <w:kern w:val="0"/>
                <w:sz w:val="24"/>
                <w:szCs w:val="24"/>
              </w:rPr>
              <w:br w:type="textWrapping"/>
            </w:r>
            <w:r>
              <w:rPr>
                <w:rFonts w:hint="eastAsia" w:ascii="宋体" w:hAnsi="宋体" w:cs="宋体"/>
                <w:kern w:val="0"/>
                <w:sz w:val="24"/>
                <w:szCs w:val="24"/>
              </w:rPr>
              <w:t>5、使用寿命：300万次；</w:t>
            </w:r>
            <w:r>
              <w:rPr>
                <w:rFonts w:hint="eastAsia" w:ascii="宋体" w:hAnsi="宋体" w:cs="宋体"/>
                <w:kern w:val="0"/>
                <w:sz w:val="24"/>
                <w:szCs w:val="24"/>
              </w:rPr>
              <w:br w:type="textWrapping"/>
            </w:r>
            <w:r>
              <w:rPr>
                <w:rFonts w:hint="eastAsia" w:ascii="宋体" w:hAnsi="宋体" w:cs="宋体"/>
                <w:kern w:val="0"/>
                <w:sz w:val="24"/>
                <w:szCs w:val="24"/>
              </w:rPr>
              <w:t>6、红外对射：标准10对（上10对）可扩展14对（上10对下4对）；</w:t>
            </w:r>
            <w:r>
              <w:rPr>
                <w:rFonts w:hint="eastAsia" w:ascii="宋体" w:hAnsi="宋体" w:cs="宋体"/>
                <w:kern w:val="0"/>
                <w:sz w:val="24"/>
                <w:szCs w:val="24"/>
              </w:rPr>
              <w:br w:type="textWrapping"/>
            </w:r>
            <w:r>
              <w:rPr>
                <w:rFonts w:hint="eastAsia" w:ascii="宋体" w:hAnsi="宋体" w:cs="宋体"/>
                <w:kern w:val="0"/>
                <w:sz w:val="24"/>
                <w:szCs w:val="24"/>
              </w:rPr>
              <w:t>7、电机采用直流有刷电机，运行平稳、可靠；</w:t>
            </w:r>
            <w:r>
              <w:rPr>
                <w:rFonts w:hint="eastAsia" w:ascii="宋体" w:hAnsi="宋体" w:cs="宋体"/>
                <w:kern w:val="0"/>
                <w:sz w:val="24"/>
                <w:szCs w:val="24"/>
              </w:rPr>
              <w:br w:type="textWrapping"/>
            </w:r>
            <w:r>
              <w:rPr>
                <w:rFonts w:hint="eastAsia" w:ascii="宋体" w:hAnsi="宋体" w:cs="宋体"/>
                <w:kern w:val="0"/>
                <w:sz w:val="24"/>
                <w:szCs w:val="24"/>
              </w:rPr>
              <w:t>8、配置10对红外对射，上10，可支持扩展至上10下4；</w:t>
            </w:r>
            <w:r>
              <w:rPr>
                <w:rFonts w:hint="eastAsia" w:ascii="宋体" w:hAnsi="宋体" w:cs="宋体"/>
                <w:kern w:val="0"/>
                <w:sz w:val="24"/>
                <w:szCs w:val="24"/>
              </w:rPr>
              <w:br w:type="textWrapping"/>
            </w:r>
            <w:r>
              <w:rPr>
                <w:rFonts w:hint="eastAsia" w:ascii="宋体" w:hAnsi="宋体" w:cs="宋体"/>
                <w:kern w:val="0"/>
                <w:sz w:val="24"/>
                <w:szCs w:val="24"/>
              </w:rPr>
              <w:t>9、支持红外防夹、机械防夹双重防夹技术；</w:t>
            </w:r>
            <w:r>
              <w:rPr>
                <w:rFonts w:hint="eastAsia" w:ascii="宋体" w:hAnsi="宋体" w:cs="宋体"/>
                <w:kern w:val="0"/>
                <w:sz w:val="24"/>
                <w:szCs w:val="24"/>
              </w:rPr>
              <w:br w:type="textWrapping"/>
            </w:r>
            <w:r>
              <w:rPr>
                <w:rFonts w:hint="eastAsia" w:ascii="宋体" w:hAnsi="宋体" w:cs="宋体"/>
                <w:kern w:val="0"/>
                <w:sz w:val="24"/>
                <w:szCs w:val="24"/>
              </w:rPr>
              <w:t>10、设备集成门禁主机功能，支持权限下发、管理和事件记录存储；</w:t>
            </w:r>
            <w:r>
              <w:rPr>
                <w:rFonts w:hint="eastAsia" w:ascii="宋体" w:hAnsi="宋体" w:cs="宋体"/>
                <w:kern w:val="0"/>
                <w:sz w:val="24"/>
                <w:szCs w:val="24"/>
              </w:rPr>
              <w:br w:type="textWrapping"/>
            </w:r>
            <w:r>
              <w:rPr>
                <w:rFonts w:hint="eastAsia" w:ascii="宋体" w:hAnsi="宋体" w:cs="宋体"/>
                <w:kern w:val="0"/>
                <w:sz w:val="24"/>
                <w:szCs w:val="24"/>
              </w:rPr>
              <w:t>11、支持每天多个时间段的常开/常闭管控，设置某时段通道为常开或常闭；</w:t>
            </w:r>
            <w:r>
              <w:rPr>
                <w:rFonts w:hint="eastAsia" w:ascii="宋体" w:hAnsi="宋体" w:cs="宋体"/>
                <w:kern w:val="0"/>
                <w:sz w:val="24"/>
                <w:szCs w:val="24"/>
              </w:rPr>
              <w:br w:type="textWrapping"/>
            </w:r>
            <w:r>
              <w:rPr>
                <w:rFonts w:hint="eastAsia" w:ascii="宋体" w:hAnsi="宋体" w:cs="宋体"/>
                <w:kern w:val="0"/>
                <w:sz w:val="24"/>
                <w:szCs w:val="24"/>
              </w:rPr>
              <w:t>12、八种工作模式可供选择，即可双向授权通行，也可一向授权通行，另一向禁行或自由通行等；</w:t>
            </w:r>
            <w:r>
              <w:rPr>
                <w:rFonts w:hint="eastAsia" w:ascii="宋体" w:hAnsi="宋体" w:cs="宋体"/>
                <w:kern w:val="0"/>
                <w:sz w:val="24"/>
                <w:szCs w:val="24"/>
              </w:rPr>
              <w:br w:type="textWrapping"/>
            </w:r>
            <w:r>
              <w:rPr>
                <w:rFonts w:hint="eastAsia" w:ascii="宋体" w:hAnsi="宋体" w:cs="宋体"/>
                <w:kern w:val="0"/>
                <w:sz w:val="24"/>
                <w:szCs w:val="24"/>
              </w:rPr>
              <w:t>13、防冲撞功能，在没有接收到开门信号时，门翼自动锁死；</w:t>
            </w:r>
            <w:r>
              <w:rPr>
                <w:rFonts w:hint="eastAsia" w:ascii="宋体" w:hAnsi="宋体" w:cs="宋体"/>
                <w:kern w:val="0"/>
                <w:sz w:val="24"/>
                <w:szCs w:val="24"/>
              </w:rPr>
              <w:br w:type="textWrapping"/>
            </w:r>
            <w:r>
              <w:rPr>
                <w:rFonts w:hint="eastAsia" w:ascii="宋体" w:hAnsi="宋体" w:cs="宋体"/>
                <w:kern w:val="0"/>
                <w:sz w:val="24"/>
                <w:szCs w:val="24"/>
              </w:rPr>
              <w:t>14、支持记忆模式，连续通行功能，多人依次有效授权，门翼在收到第一个开门信号后打开，最后一位有效授权行人通过通道，门翼关闭；</w:t>
            </w:r>
            <w:r>
              <w:rPr>
                <w:rFonts w:hint="eastAsia" w:ascii="宋体" w:hAnsi="宋体" w:cs="宋体"/>
                <w:kern w:val="0"/>
                <w:sz w:val="24"/>
                <w:szCs w:val="24"/>
              </w:rPr>
              <w:br w:type="textWrapping"/>
            </w:r>
            <w:r>
              <w:rPr>
                <w:rFonts w:hint="eastAsia" w:ascii="宋体" w:hAnsi="宋体" w:cs="宋体"/>
                <w:kern w:val="0"/>
                <w:sz w:val="24"/>
                <w:szCs w:val="24"/>
              </w:rPr>
              <w:t>15、支持误闯，翻越、滞留、尾随、开门超时、翻越声光报警；具备自检测、自诊断功能，异常时可报警提示，提醒用户及时采取维护措施；</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闸机伴侣系统（人脸比对）</w:t>
            </w:r>
          </w:p>
        </w:tc>
        <w:tc>
          <w:tcPr>
            <w:tcW w:w="5256" w:type="dxa"/>
            <w:tcBorders>
              <w:top w:val="nil"/>
              <w:left w:val="nil"/>
              <w:bottom w:val="single" w:color="000000" w:sz="4" w:space="0"/>
              <w:right w:val="single" w:color="000000" w:sz="4" w:space="0"/>
            </w:tcBorders>
            <w:vAlign w:val="center"/>
          </w:tcPr>
          <w:p>
            <w:pPr>
              <w:rPr>
                <w:rFonts w:ascii="宋体" w:hAnsi="宋体" w:cs="宋体"/>
                <w:kern w:val="0"/>
                <w:sz w:val="24"/>
                <w:szCs w:val="24"/>
              </w:rPr>
            </w:pPr>
            <w:r>
              <w:rPr>
                <w:rFonts w:hint="eastAsia" w:ascii="宋体" w:hAnsi="宋体" w:cs="宋体"/>
                <w:kern w:val="0"/>
                <w:sz w:val="24"/>
                <w:szCs w:val="24"/>
              </w:rPr>
              <w:t>含人脸识别算法软件，硬件参数：</w:t>
            </w:r>
          </w:p>
          <w:p>
            <w:pPr>
              <w:rPr>
                <w:rFonts w:ascii="宋体" w:hAnsi="宋体" w:cs="宋体"/>
                <w:kern w:val="0"/>
                <w:sz w:val="24"/>
                <w:szCs w:val="24"/>
              </w:rPr>
            </w:pPr>
            <w:r>
              <w:rPr>
                <w:rFonts w:hint="eastAsia" w:ascii="宋体" w:hAnsi="宋体" w:cs="宋体"/>
                <w:kern w:val="0"/>
                <w:sz w:val="24"/>
                <w:szCs w:val="24"/>
              </w:rPr>
              <w:t>1、尺寸：≥8英寸，全视角；</w:t>
            </w:r>
          </w:p>
          <w:p>
            <w:pPr>
              <w:numPr>
                <w:ilvl w:val="0"/>
                <w:numId w:val="18"/>
              </w:numPr>
              <w:rPr>
                <w:rFonts w:ascii="宋体" w:hAnsi="宋体" w:cs="宋体"/>
                <w:kern w:val="0"/>
                <w:sz w:val="24"/>
                <w:szCs w:val="24"/>
              </w:rPr>
            </w:pPr>
            <w:r>
              <w:rPr>
                <w:rFonts w:hint="eastAsia" w:ascii="宋体" w:hAnsi="宋体" w:cs="宋体"/>
                <w:kern w:val="0"/>
                <w:sz w:val="24"/>
                <w:szCs w:val="24"/>
              </w:rPr>
              <w:t>分辨率≥1280×800；</w:t>
            </w:r>
          </w:p>
          <w:p>
            <w:pPr>
              <w:numPr>
                <w:ilvl w:val="0"/>
                <w:numId w:val="18"/>
              </w:numPr>
              <w:rPr>
                <w:rFonts w:ascii="宋体" w:hAnsi="宋体" w:cs="宋体"/>
                <w:kern w:val="0"/>
                <w:sz w:val="24"/>
                <w:szCs w:val="24"/>
              </w:rPr>
            </w:pPr>
            <w:r>
              <w:rPr>
                <w:rFonts w:hint="eastAsia" w:ascii="宋体" w:hAnsi="宋体" w:cs="宋体"/>
                <w:kern w:val="0"/>
                <w:sz w:val="24"/>
                <w:szCs w:val="24"/>
              </w:rPr>
              <w:t>内存≥1G，储存≥8G；安卓系统；</w:t>
            </w:r>
          </w:p>
          <w:p>
            <w:pPr>
              <w:numPr>
                <w:ilvl w:val="0"/>
                <w:numId w:val="18"/>
              </w:numPr>
              <w:rPr>
                <w:rFonts w:ascii="宋体" w:hAnsi="宋体" w:cs="宋体"/>
                <w:kern w:val="0"/>
                <w:sz w:val="24"/>
                <w:szCs w:val="24"/>
              </w:rPr>
            </w:pPr>
            <w:r>
              <w:rPr>
                <w:rFonts w:hint="eastAsia" w:ascii="宋体" w:hAnsi="宋体" w:cs="宋体"/>
                <w:kern w:val="0"/>
                <w:sz w:val="24"/>
                <w:szCs w:val="24"/>
              </w:rPr>
              <w:t>支持无线网络，配GPIO 接口，配网络接口，配电源接口。</w:t>
            </w:r>
          </w:p>
          <w:p>
            <w:pPr>
              <w:rPr>
                <w:rFonts w:ascii="宋体" w:hAnsi="宋体" w:cs="宋体"/>
                <w:kern w:val="0"/>
                <w:sz w:val="24"/>
                <w:szCs w:val="24"/>
              </w:rPr>
            </w:pPr>
            <w:r>
              <w:rPr>
                <w:rFonts w:hint="eastAsia" w:ascii="宋体" w:hAnsi="宋体" w:cs="宋体"/>
                <w:kern w:val="0"/>
                <w:sz w:val="24"/>
                <w:szCs w:val="24"/>
              </w:rPr>
              <w:t>功能描述：</w:t>
            </w:r>
          </w:p>
          <w:p>
            <w:pPr>
              <w:rPr>
                <w:rFonts w:ascii="宋体" w:hAnsi="宋体" w:cs="宋体"/>
                <w:kern w:val="0"/>
                <w:sz w:val="24"/>
                <w:szCs w:val="24"/>
              </w:rPr>
            </w:pPr>
            <w:r>
              <w:rPr>
                <w:rFonts w:hint="eastAsia" w:ascii="宋体" w:hAnsi="宋体" w:cs="宋体"/>
                <w:kern w:val="0"/>
                <w:sz w:val="24"/>
                <w:szCs w:val="24"/>
              </w:rPr>
              <w:t>1、人脸识别：设备须支持对接新吴法院人员管控及智能访客系统，与访客系统下发的人脸数据与活体人脸进行比对开闸。</w:t>
            </w:r>
          </w:p>
          <w:p>
            <w:pPr>
              <w:rPr>
                <w:rFonts w:ascii="宋体" w:hAnsi="宋体" w:cs="宋体"/>
                <w:kern w:val="0"/>
                <w:sz w:val="24"/>
                <w:szCs w:val="24"/>
              </w:rPr>
            </w:pPr>
            <w:r>
              <w:rPr>
                <w:rFonts w:hint="eastAsia" w:ascii="宋体" w:hAnsi="宋体" w:cs="宋体"/>
                <w:kern w:val="0"/>
                <w:sz w:val="24"/>
                <w:szCs w:val="24"/>
              </w:rPr>
              <w:t>2、人证比对：支持扫描身份证，人证比对后直接开闸。</w:t>
            </w:r>
          </w:p>
          <w:p>
            <w:pPr>
              <w:rPr>
                <w:rFonts w:ascii="宋体" w:hAnsi="宋体" w:cs="宋体"/>
                <w:kern w:val="0"/>
                <w:sz w:val="24"/>
                <w:szCs w:val="24"/>
              </w:rPr>
            </w:pPr>
            <w:r>
              <w:rPr>
                <w:rFonts w:hint="eastAsia" w:ascii="宋体" w:hAnsi="宋体" w:cs="宋体"/>
                <w:kern w:val="0"/>
                <w:sz w:val="24"/>
                <w:szCs w:val="24"/>
              </w:rPr>
              <w:t>3、自动签离：经过登记的访客出闸时自动签离.</w:t>
            </w:r>
          </w:p>
          <w:p>
            <w:pPr>
              <w:rPr>
                <w:rFonts w:ascii="宋体" w:hAnsi="宋体" w:cs="宋体"/>
                <w:kern w:val="0"/>
                <w:sz w:val="24"/>
                <w:szCs w:val="24"/>
              </w:rPr>
            </w:pPr>
            <w:r>
              <w:rPr>
                <w:rFonts w:hint="eastAsia" w:ascii="宋体" w:hAnsi="宋体" w:cs="宋体"/>
                <w:kern w:val="0"/>
                <w:sz w:val="24"/>
                <w:szCs w:val="24"/>
              </w:rPr>
              <w:t>4、出入管控：添加白名单标签的人员无需登记，可自由进出闸机。</w:t>
            </w:r>
          </w:p>
          <w:p>
            <w:pPr>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二维码识别：</w:t>
            </w:r>
            <w:r>
              <w:rPr>
                <w:rFonts w:hint="eastAsia" w:ascii="宋体" w:hAnsi="宋体" w:cs="宋体"/>
                <w:kern w:val="0"/>
                <w:sz w:val="24"/>
                <w:szCs w:val="24"/>
              </w:rPr>
              <w:t>设备须</w:t>
            </w:r>
            <w:r>
              <w:rPr>
                <w:rFonts w:ascii="宋体" w:hAnsi="宋体" w:cs="宋体"/>
                <w:kern w:val="0"/>
                <w:sz w:val="24"/>
                <w:szCs w:val="24"/>
              </w:rPr>
              <w:t>支持</w:t>
            </w:r>
            <w:r>
              <w:rPr>
                <w:rFonts w:hint="eastAsia" w:ascii="宋体" w:hAnsi="宋体" w:cs="宋体"/>
                <w:kern w:val="0"/>
                <w:sz w:val="24"/>
                <w:szCs w:val="24"/>
              </w:rPr>
              <w:t>对接</w:t>
            </w:r>
            <w:r>
              <w:rPr>
                <w:rFonts w:ascii="宋体" w:hAnsi="宋体" w:cs="宋体"/>
                <w:kern w:val="0"/>
                <w:sz w:val="24"/>
                <w:szCs w:val="24"/>
              </w:rPr>
              <w:t>最高院律师一码通</w:t>
            </w:r>
            <w:r>
              <w:rPr>
                <w:rFonts w:hint="eastAsia" w:ascii="宋体" w:hAnsi="宋体" w:cs="宋体"/>
                <w:kern w:val="0"/>
                <w:sz w:val="24"/>
                <w:szCs w:val="24"/>
              </w:rPr>
              <w:t>平台，律师通过闸机时，直接出示最高院“律师一码通”进行扫码验证开闸，无需登记；</w:t>
            </w:r>
            <w:r>
              <w:rPr>
                <w:rFonts w:hint="eastAsia" w:ascii="宋体" w:hAnsi="宋体" w:cs="宋体"/>
                <w:b/>
                <w:bCs/>
                <w:kern w:val="0"/>
                <w:sz w:val="24"/>
                <w:szCs w:val="24"/>
              </w:rPr>
              <w:t>（投标时须提供对应的软件功能截图并加盖投标人公章）</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闸机授权管理系统</w:t>
            </w:r>
          </w:p>
        </w:tc>
        <w:tc>
          <w:tcPr>
            <w:tcW w:w="5256" w:type="dxa"/>
            <w:tcBorders>
              <w:top w:val="nil"/>
              <w:left w:val="nil"/>
              <w:bottom w:val="single" w:color="000000" w:sz="4" w:space="0"/>
              <w:right w:val="single" w:color="000000" w:sz="4" w:space="0"/>
            </w:tcBorders>
            <w:vAlign w:val="center"/>
          </w:tcPr>
          <w:p>
            <w:pPr>
              <w:rPr>
                <w:rFonts w:ascii="宋体" w:hAnsi="宋体" w:cs="宋体"/>
                <w:kern w:val="0"/>
                <w:sz w:val="24"/>
                <w:szCs w:val="24"/>
              </w:rPr>
            </w:pPr>
            <w:r>
              <w:rPr>
                <w:rFonts w:hint="eastAsia" w:ascii="宋体" w:hAnsi="宋体" w:cs="宋体"/>
                <w:kern w:val="0"/>
                <w:sz w:val="24"/>
                <w:szCs w:val="24"/>
              </w:rPr>
              <w:t>闸机授权管理系统，功能描述：</w:t>
            </w:r>
          </w:p>
          <w:p>
            <w:pPr>
              <w:rPr>
                <w:rFonts w:ascii="宋体" w:hAnsi="宋体" w:cs="宋体"/>
                <w:kern w:val="0"/>
                <w:sz w:val="24"/>
                <w:szCs w:val="24"/>
              </w:rPr>
            </w:pPr>
            <w:r>
              <w:rPr>
                <w:rFonts w:hint="eastAsia" w:ascii="宋体" w:hAnsi="宋体" w:cs="宋体"/>
                <w:kern w:val="0"/>
                <w:sz w:val="24"/>
                <w:szCs w:val="24"/>
              </w:rPr>
              <w:t>1、身份证识别：支持身份证扫描身份证获取身份信息，比对登记记录开闸。</w:t>
            </w:r>
          </w:p>
          <w:p>
            <w:pPr>
              <w:rPr>
                <w:rFonts w:ascii="宋体" w:hAnsi="宋体" w:cs="宋体"/>
                <w:kern w:val="0"/>
                <w:sz w:val="24"/>
                <w:szCs w:val="24"/>
              </w:rPr>
            </w:pPr>
            <w:r>
              <w:rPr>
                <w:rFonts w:hint="eastAsia" w:ascii="宋体" w:hAnsi="宋体" w:cs="宋体"/>
                <w:kern w:val="0"/>
                <w:sz w:val="24"/>
                <w:szCs w:val="24"/>
              </w:rPr>
              <w:t>2、进出记录：支持对接智能访客终端，可通过智能访客终端查看每日人员进出闸详情。</w:t>
            </w:r>
          </w:p>
          <w:p>
            <w:pPr>
              <w:rPr>
                <w:rFonts w:ascii="宋体" w:hAnsi="宋体" w:cs="宋体"/>
                <w:kern w:val="0"/>
                <w:sz w:val="24"/>
                <w:szCs w:val="24"/>
              </w:rPr>
            </w:pPr>
            <w:r>
              <w:rPr>
                <w:rFonts w:hint="eastAsia" w:ascii="宋体" w:hAnsi="宋体" w:cs="宋体"/>
                <w:kern w:val="0"/>
                <w:sz w:val="24"/>
                <w:szCs w:val="24"/>
              </w:rPr>
              <w:t>3、管理系统：</w:t>
            </w:r>
          </w:p>
          <w:p>
            <w:pPr>
              <w:rPr>
                <w:rFonts w:ascii="宋体" w:hAnsi="宋体" w:cs="宋体"/>
                <w:kern w:val="0"/>
                <w:sz w:val="24"/>
                <w:szCs w:val="24"/>
              </w:rPr>
            </w:pPr>
            <w:r>
              <w:rPr>
                <w:rFonts w:hint="eastAsia" w:ascii="宋体" w:hAnsi="宋体" w:cs="宋体"/>
                <w:kern w:val="0"/>
                <w:sz w:val="24"/>
                <w:szCs w:val="24"/>
              </w:rPr>
              <w:t>（1）数据统计：支持展示选定时间范围内的进出闸人次统计。</w:t>
            </w:r>
          </w:p>
          <w:p>
            <w:pPr>
              <w:rPr>
                <w:rFonts w:ascii="宋体" w:hAnsi="宋体" w:cs="宋体"/>
                <w:kern w:val="0"/>
                <w:sz w:val="24"/>
                <w:szCs w:val="24"/>
              </w:rPr>
            </w:pPr>
            <w:r>
              <w:rPr>
                <w:rFonts w:hint="eastAsia" w:ascii="宋体" w:hAnsi="宋体" w:cs="宋体"/>
                <w:kern w:val="0"/>
                <w:sz w:val="24"/>
                <w:szCs w:val="24"/>
              </w:rPr>
              <w:t>（2）数据分析：支持展示分析某一时间范围内，过闸人次的数量趋势分析；从多个维度比较不同身份、不同时间段的过闸人次。</w:t>
            </w:r>
          </w:p>
          <w:p>
            <w:pPr>
              <w:rPr>
                <w:rFonts w:ascii="宋体" w:hAnsi="宋体" w:cs="宋体"/>
                <w:kern w:val="0"/>
                <w:sz w:val="24"/>
                <w:szCs w:val="24"/>
              </w:rPr>
            </w:pPr>
            <w:r>
              <w:rPr>
                <w:rFonts w:hint="eastAsia" w:ascii="宋体" w:hAnsi="宋体" w:cs="宋体"/>
                <w:kern w:val="0"/>
                <w:sz w:val="24"/>
                <w:szCs w:val="24"/>
              </w:rPr>
              <w:t>（3）人员管理：支持对人员类型和人员标签进行管理；支持黑、白名单管理。</w:t>
            </w:r>
          </w:p>
          <w:p>
            <w:pPr>
              <w:rPr>
                <w:rFonts w:ascii="宋体" w:hAnsi="宋体" w:cs="宋体"/>
                <w:kern w:val="0"/>
                <w:sz w:val="24"/>
                <w:szCs w:val="24"/>
              </w:rPr>
            </w:pPr>
            <w:r>
              <w:rPr>
                <w:rFonts w:hint="eastAsia" w:ascii="宋体" w:hAnsi="宋体" w:cs="宋体"/>
                <w:kern w:val="0"/>
                <w:sz w:val="24"/>
                <w:szCs w:val="24"/>
              </w:rPr>
              <w:t>（4）记录查询：支持查询访客过闸记录。</w:t>
            </w:r>
          </w:p>
          <w:p>
            <w:pPr>
              <w:rPr>
                <w:rFonts w:ascii="宋体" w:hAnsi="宋体" w:cs="宋体"/>
                <w:kern w:val="0"/>
                <w:sz w:val="24"/>
                <w:szCs w:val="24"/>
              </w:rPr>
            </w:pPr>
            <w:r>
              <w:rPr>
                <w:rFonts w:hint="eastAsia" w:ascii="宋体" w:hAnsi="宋体" w:cs="宋体"/>
                <w:kern w:val="0"/>
                <w:sz w:val="24"/>
                <w:szCs w:val="24"/>
              </w:rPr>
              <w:t>（5）设备管理：支持对闸机的认证开闸模式进行统一配置；支持查看与系统关联的闸机的硬件状态，支持针对每台设备进行基本信息和硬件功能配置。</w:t>
            </w:r>
          </w:p>
          <w:p>
            <w:pPr>
              <w:rPr>
                <w:rFonts w:ascii="宋体" w:hAnsi="宋体" w:cs="宋体"/>
                <w:kern w:val="0"/>
                <w:sz w:val="24"/>
                <w:szCs w:val="24"/>
              </w:rPr>
            </w:pPr>
            <w:r>
              <w:rPr>
                <w:rFonts w:hint="eastAsia" w:ascii="宋体" w:hAnsi="宋体" w:cs="宋体"/>
                <w:kern w:val="0"/>
                <w:sz w:val="24"/>
                <w:szCs w:val="24"/>
              </w:rPr>
              <w:t>（6）权限配置：支持配置系统管理账号以及账号权限。</w:t>
            </w:r>
          </w:p>
          <w:p>
            <w:pPr>
              <w:rPr>
                <w:rFonts w:ascii="宋体" w:hAnsi="宋体" w:cs="宋体"/>
                <w:kern w:val="0"/>
                <w:sz w:val="24"/>
                <w:szCs w:val="24"/>
              </w:rPr>
            </w:pPr>
            <w:r>
              <w:rPr>
                <w:rFonts w:hint="eastAsia" w:ascii="宋体" w:hAnsi="宋体" w:cs="宋体"/>
                <w:kern w:val="0"/>
                <w:sz w:val="24"/>
                <w:szCs w:val="24"/>
              </w:rPr>
              <w:t>（7）个人中心：支持个人账号信息配置及账号安全管理。</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938"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智能访客管理系统</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后台系统管理软件基础功能模块-业务管理；旁听预约管理；并发用户数管理；预约明细；数据统计与分析展示；用户与权限管理；法院信息管理；开庭管理；小程序管理；自助设备管理；后台系统管理软件拓展功能模块：数据报表管理；黑白名单后台配置管理，系统支持与无锡中院、省高院、最高院访客系统对接，并支持将访客人员信息实时推送给公安三逃库进行人员数据比对。</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安装辅材</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PVC25管、电源线、超五类非屏蔽双绞线等，满足项目需求</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3、报警系统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a.一键报警系统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总线制报警主机</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键盘总线具备连接实时LED走字屏功能，播报信息与键盘同步，播报内容可自定义修改,一键布撤防功能，支持门禁控制刷卡布撤防,中文键盘可控制单防区输入/输出模块的开启/关闭/报警后复位,支持多个全中文键盘、多个模拟语音电子地图远距离联动，联动距离大于1200米，可通过局域网或光纤方式传输,系统具有最大权限事件联动功能，当系统报警时键盘总线具有最大权限的输出功能语音喇叭及灯光控制，传输到更高一级的监控中心,可扩充到128个总线防区，8个独立子系统独立控制，主板自带2路报警总线接口, 2路RS-485报警总线，2路RS-485键盘总线，两路总线可使用RVV4*1.0线缆传送最大距离可达6000米，根据现场情况选用总线延长器,安防集成平台具有双向通讯功能，可通过串口或局域网通讯，进行系统的布撤防等操作, 主机系统具有可存储报警记录功能，且掉电不丢失。终端管理键盘与主机通讯为RS-485总线,使用RVV1.0线缆传送最大距离可达8000米，可以选用总线延长设备A-1218, 报警管理软件通过计算机的串行接口与系统报警主机相连，接受实时报警信号；通过软件也可对报警主机及报警模块进行参数设置、对A-120主机系统进行编程、控制，事件永久记录备份,可从主板上直连A-120系列打印机或直连PC机，也可通过A-120LAN网络模块、A-1218光纤模块与警卫中心软件接警,8个独立子系统,每个独立子系统对应中文键盘管理,主键盘可对所有子系统进行管理操作,系统故障自动侦测，如交/直流供电监测，断电键盘报警显示，总线故障监测，键盘串口监测，模块运行状态监测，总线故障监测，确保系统正常运行, 断电键盘报警显示，交/直流供电自动切换, 主机供电交直流自动切换，自动对备用电池充电。 主机备用电池低电压报警。</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33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控制键盘</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全中文操作界面,内带蜂鸣器对主机可中文编程,可独立对子系统进行控制键盘与主机通讯为RS-485总线,使用RVV1.0线缆传送最大距离可达8000米，可以选用总线延长设备A-1218。也可通过网络模块局域网连接,一键布撤防功能，支持门禁控制刷卡布撤防,中文键盘可控制单防区输入/输出模块的开启/关闭/报警后复位,,支持多个全中文键盘、多个模拟语音电子地图远距离联动，联动距离大于1200米，可通过局域网或光纤方式传输,系统具有最大权限事件联动功能，当系统报警时键盘总线能够联动现场喇叭播报报警防区及控制灯光，且传输到更高一级的监控中心通讯方式：RS-485总线，单个键盘通讯距离1.2KM拨码开关设置键盘地址，主控键盘具有最高权限</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总线制地址码模块</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DC9-24V宽电压供电可与其它探测器共用电源采用中文键盘编程方式指定防区序号,模块防水。也可通过A-120LAN网络模块局域A-1218光纤模块网与A-120报警主机连接。</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9</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紧急按钮</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86型额定电压：12VDC,额定电流：300Ma,接线方式：COM.NO.NC，常开/常闭通用，有三个接线端子：COM NO NC</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9</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报警集成平台软件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拥有功能：各子系统品牌兼容性、多系统集成、警情微信推送、支持手机APP控制、个性化界面设置、个性化多媒体语音告警功能、报警子系统兼容、监控子系统兼容、门禁子系统兼容、报警系统和视频系统联动、门禁系统和视频系统联动、报警系统和门禁系统联动、门禁系统和报警系统联动、其他可扩充子系统与视频系统联动、其他可扩充子系统与门禁系统联动、电子地图功能、数据板功能、多种警情提示方式、详细的警情处理结果、自动处理、操作个性化、完善的事件记录功能、双数据库处理模式、级联组网能力、邮件通知服务功能、短信/微信通知服务功能、事件转发人员管理功能、多语言版本、时钟同步、计算机监测、个性化界面设置、预案设置功能、布撤防计划、外部应用管理、联动TTS、特殊联动设置、自动处理事件声音提醒设置、联动记录、数据维护功能、查看通讯数据、完善的API、远程加密锁升级、点联动、点控制、主机用户仅当报警时才能对其撤防、虚拟用户、虚拟用户单防区布撤防、防区状态叠加用户布防状态、处理事件后声音自动停止、事件声音文件生成工具、点位导入工具、导入联动设置、联动输出点支持开/关N秒、地图化联动设置、虚拟接收机服务、设备按子系统类型分类。</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报警系统线缆</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管道、RVVP2*1.5平方</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b.张力式围栏</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张力控制器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智能显示：3.5英寸液晶显示屏直观显示围栏的线制、静态拉力值、报警阈值、报警状态等信息。远程控制：支持RS485通讯或网口TCP/IP通信协议，应能通过智能控制终端实现实时查看主机信息、远程布撤防、报警阀值调节等功能。状态指示：应能对前端围栏的各种状态进行准确指示，如运行状态、报警状态（张力索拉紧、松弛、断开、防拆、失电和设备故障）、通信状态等。                  </w:t>
            </w:r>
            <w:r>
              <w:rPr>
                <w:rFonts w:hint="eastAsia" w:ascii="宋体" w:hAnsi="宋体" w:cs="宋体"/>
                <w:kern w:val="0"/>
                <w:sz w:val="24"/>
                <w:szCs w:val="24"/>
              </w:rPr>
              <w:br w:type="textWrapping"/>
            </w:r>
            <w:r>
              <w:rPr>
                <w:rFonts w:hint="eastAsia" w:ascii="宋体" w:hAnsi="宋体" w:cs="宋体"/>
                <w:kern w:val="0"/>
                <w:sz w:val="24"/>
                <w:szCs w:val="24"/>
              </w:rPr>
              <w:t>报警提示：应能实现每根张力索拉紧报警，松弛报警，断开报警，防拆报警，失（断）电报警，故障报警（设备故障、主电源故障、通讯故障等）多种报警提示。功能：支持攀爬报警（标配）；报警警号：报警持续时间1~999秒可调。手机APP功能：手机APP具备设备管理、报警信息推送、防区管理、远程警情处理、一键布撤防、及用户反馈等功能，并可显示张力主机状态和参数、静态张力值。远程升级：智能终端具有USB接口，能通过U盘或管理平台远程升级。可提供4组定时控制功能，可以实现对单个防区或全部防区定时控制。支持RS485和网口TCP/IP通讯协议，具备远程查看主机信息、远程布/撤防、报警阈值调节等功能。可采用AC220V或DC12V~35V或AC16V~25V多种方式供电。视频复合功能：控制器应具有视频复合功能，警戒区域内实时视频应可传至告警中心。自检功能：应具有上电自检和自诊断能力。警戒张力值自动调整功能：应能根据外界环境、气候等变化自动调整警戒张力值。放松紧线器，使得张力索张力值在设定的正常警戒张力值之下，在20S内，张力式电子围栏应能探测到张力锁松弛并自动收紧张力索，使得张力索张力值恢复到该产品设定的正常警戒张力值范围内。监督管理平台对接功能：应能通过智能终端自动启动设备监管服务，并将报警信息及操作记录上传至监督管理平台</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防雨箱(201不锈钢ZM)</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SUS201材质，对主机等附属设备起到防水防尘和防盗，尺寸：500*300*150mm 。 箱体上应安装有防拆开关</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避雷器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高压避雷器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2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四道双防区控制杆（ZM)</w:t>
            </w:r>
          </w:p>
        </w:tc>
        <w:tc>
          <w:tcPr>
            <w:tcW w:w="525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t>1、镁铝合金材质，IP66防护，耐腐蚀，抗氧化，顶部和底部用工程塑料密封，有较好的防水性。2.、张力探测模块和张力控制模块均有外壳保护且张力探测杆具有防拆探测装置</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116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四道单防区控制杆（ZM)</w:t>
            </w:r>
          </w:p>
        </w:tc>
        <w:tc>
          <w:tcPr>
            <w:tcW w:w="525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szCs w:val="24"/>
              </w:rPr>
            </w:pPr>
            <w:r>
              <w:rPr>
                <w:rFonts w:hint="eastAsia" w:ascii="宋体" w:hAnsi="宋体" w:cs="宋体"/>
                <w:kern w:val="0"/>
                <w:sz w:val="24"/>
                <w:szCs w:val="24"/>
              </w:rPr>
              <w:t>1、镁铝合金材质，IP66防护，耐腐蚀，抗氧化，顶部和底部用工程塑料密封，有较好的防水性。2、张力探测模块和张力控制模块均有外壳保护且张力探测杆具有防拆探测装置</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控制杆万向底座</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铝合金材质，多角度安装及防拆设计，结构坚固耐氧化腐蚀。</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四道受力杆</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40*40铝合金材质，特殊异常结构设计，三个面可安装张力线或转向滑轮，张力线高度位置灵活可调，适应高低起伏的周界。在转角处时配合转向滑轮使用即为转向承轴受力杆，起张力线转向作用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不锈钢弹簧</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SUS304材质，安装于金属滑块上承载外界的拉力。抗氧化、耐腐蚀性</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受力杆万向底座</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铝合金材质，多角度安装及防拆设计，结构坚固耐氧化腐蚀。</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受力杆固定件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锌合金材质，用于终端受力杆上承受张力线的固定件，抗氧化、耐腐蚀</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四道受力轴承杆</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40*40铝合金材质，特殊异常结构设计，三个面可安装张力线或转向滑轮，张力线高度位置灵活可调，适应高低起伏的周界。在转角处时配合转向滑轮使用即为转向承轴受力杆，起张力线转向作用</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张力万向滑轮</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SUS304材质，可360°旋转，安装于终端受力杆上起到转向作用，自润滑性和转动阻力较好。配合一线单防区控制杆使用，对围墙落差或较大空隙进行有效的补漏。</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轴承杆万向底座</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铝合金材质，多角度安装及防拆设计，结构坚固耐氧化腐蚀。</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四道支撑杆</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铝合金制作，特殊异形结构设计，固定张力线的固定件可以在滑槽内高低调节，适应高低起伏的周界。支撑杆应安装外部固定件，防止线材磨损以及后期维护。</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支撑杆万向底座</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铝合金材质，多角度安装及防拆设计，结构坚固耐氧化腐蚀。</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55</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张力线固定件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工程塑料材质，用于支撑杆上张力线的固定，抗氧化、耐腐蚀</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220</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警示牌</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黄底黑字，双面为夜光显示，一般尺寸为100*200mm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40</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紧线器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铝合金材质，绝缘子和紧线器功能结合，紧线部分为铝合金材质，抗氧化、耐腐蚀。既能收紧张力线，也带松线按钮，可松驰张力线。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不锈钢钢丝绳</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SUS316材质，多股，直径不小于1.2mm。张力式电子围栏专用张力线，用于感知前端的拉力的变化；抗氧化，耐腐蚀，抗拉600N以上</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1800</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张力控制器24V电源</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AC24V 1A，给张力控制器供电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电子地图</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1*1米电子地图</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地图联动模块</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32路地图联动模块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视频联动模块</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32路视频联动模块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报警管理软件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支持windows 、linux 多平台部署；支持不同业务模块的分屏显示，同时支持电子地图、防区工作状态、警情同画面集中监控和管理；支持图片、矢量、GIS地图，支持各类地图的多级组合；支持防区自由分组，支持防区组的批量布撤防、消警；支持摄像机视角和覆盖区域在地图上的绘制和显示；支持周界在地图上的绘制和显示；支持接入摇杆键盘，实现快捷操作；支持设备状态、防区状态和接警状态统计和图像化展示，当系统安全状态低于设定阈值给出报警预警；支持防区报警频率和地理位置的统计和显示；报警记录包含报警源地理位置、报警处理结果、联动动作的执行结果以及该报警源最近的报警情况；支持多种报警联动策略组合 ：联动预览、球机预置点/巡航调用、录像、广播、邮件、短信、电子地图、告警器联动；支持多于50个并发在线客户端用户；支持多级用户角色和权限管理，支持观察者模式；</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室内警灯</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DC12V 1A,室内安装</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室外警灯含支架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DC12V 1A,报警时发出90分贝声光报警信号以威慑入侵者</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color w:val="000000"/>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12V电源</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DC12V 1A，给警灯供电</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color w:val="000000"/>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接地桩</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1.5米角钢</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接地线</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6mm单芯铜线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36</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安装辅材</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信号线、电源线、PVC管等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4、门禁及消费系统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四门门禁控制器（含控制器铁箱，主板，电源）</w:t>
            </w:r>
          </w:p>
        </w:tc>
        <w:tc>
          <w:tcPr>
            <w:tcW w:w="5256" w:type="dxa"/>
            <w:tcBorders>
              <w:top w:val="nil"/>
              <w:left w:val="nil"/>
              <w:bottom w:val="single" w:color="000000" w:sz="4" w:space="0"/>
              <w:right w:val="single" w:color="000000" w:sz="4" w:space="0"/>
            </w:tcBorders>
            <w:vAlign w:val="center"/>
          </w:tcPr>
          <w:p>
            <w:pPr>
              <w:widowControl/>
              <w:rPr>
                <w:rFonts w:ascii="宋体" w:hAnsi="宋体" w:cs="宋体"/>
                <w:b/>
                <w:kern w:val="0"/>
                <w:sz w:val="24"/>
                <w:szCs w:val="24"/>
              </w:rPr>
            </w:pPr>
            <w:r>
              <w:rPr>
                <w:rFonts w:hint="eastAsia" w:ascii="宋体" w:hAnsi="宋体" w:cs="宋体"/>
                <w:b/>
                <w:kern w:val="0"/>
                <w:sz w:val="24"/>
                <w:szCs w:val="24"/>
              </w:rPr>
              <w:t>设备须无缝接入新吴法院现有门禁管理平台进行统一管理和人员授权。</w:t>
            </w:r>
            <w:r>
              <w:rPr>
                <w:rFonts w:hint="eastAsia" w:ascii="宋体" w:hAnsi="宋体" w:cs="宋体"/>
                <w:b/>
                <w:color w:val="000000"/>
                <w:kern w:val="0"/>
                <w:sz w:val="24"/>
                <w:szCs w:val="24"/>
              </w:rPr>
              <w:t>（投标时</w:t>
            </w:r>
            <w:r>
              <w:rPr>
                <w:rFonts w:hint="eastAsia" w:ascii="宋体" w:hAnsi="宋体" w:cs="宋体"/>
                <w:b/>
                <w:color w:val="000000"/>
                <w:kern w:val="0"/>
                <w:sz w:val="24"/>
                <w:szCs w:val="24"/>
                <w:lang w:val="en-US" w:eastAsia="zh-CN"/>
              </w:rPr>
              <w:t>投标人</w:t>
            </w:r>
            <w:r>
              <w:rPr>
                <w:rFonts w:hint="eastAsia" w:ascii="宋体" w:hAnsi="宋体" w:cs="宋体"/>
                <w:b/>
                <w:color w:val="000000"/>
                <w:kern w:val="0"/>
                <w:sz w:val="24"/>
                <w:szCs w:val="24"/>
              </w:rPr>
              <w:t>须提供无缝接入承诺函并加盖投标人公章）</w:t>
            </w:r>
          </w:p>
          <w:p>
            <w:pPr>
              <w:widowControl/>
              <w:rPr>
                <w:rFonts w:ascii="宋体" w:hAnsi="宋体" w:cs="宋体"/>
                <w:kern w:val="0"/>
                <w:sz w:val="24"/>
                <w:szCs w:val="24"/>
              </w:rPr>
            </w:pPr>
            <w:r>
              <w:rPr>
                <w:rFonts w:hint="eastAsia" w:ascii="宋体" w:hAnsi="宋体" w:cs="宋体"/>
                <w:kern w:val="0"/>
                <w:sz w:val="24"/>
                <w:szCs w:val="24"/>
              </w:rPr>
              <w:t>1、箱体：镀锌板喷塑，主控板安装于双面镀锌接地支架，开箱时软件有相应的报警信号，支持开箱自动照明；</w:t>
            </w:r>
          </w:p>
          <w:p>
            <w:pPr>
              <w:widowControl/>
              <w:rPr>
                <w:rFonts w:ascii="宋体" w:hAnsi="宋体" w:cs="宋体"/>
                <w:kern w:val="0"/>
                <w:sz w:val="24"/>
                <w:szCs w:val="24"/>
              </w:rPr>
            </w:pPr>
            <w:r>
              <w:rPr>
                <w:rFonts w:hint="eastAsia" w:ascii="宋体" w:hAnsi="宋体" w:cs="宋体"/>
                <w:kern w:val="0"/>
                <w:sz w:val="24"/>
                <w:szCs w:val="24"/>
              </w:rPr>
              <w:t>2、电源输入：AC 110V~220V，1A；内置空气开关；</w:t>
            </w:r>
          </w:p>
          <w:p>
            <w:pPr>
              <w:widowControl/>
              <w:rPr>
                <w:rFonts w:ascii="宋体" w:hAnsi="宋体" w:cs="宋体"/>
                <w:kern w:val="0"/>
                <w:sz w:val="24"/>
                <w:szCs w:val="24"/>
              </w:rPr>
            </w:pPr>
            <w:r>
              <w:rPr>
                <w:rFonts w:hint="eastAsia" w:ascii="宋体" w:hAnsi="宋体" w:cs="宋体"/>
                <w:kern w:val="0"/>
                <w:sz w:val="24"/>
                <w:szCs w:val="24"/>
              </w:rPr>
              <w:t>3、电源管理：产品内置两路门禁专用电源，读卡器位于门外易攻击区域，读卡器独立供电，防止受到恶意破坏时不影响门锁及门禁主机供电；支持扩展铅电池备用电源供电；支持读卡器电源短路报警提醒；</w:t>
            </w:r>
          </w:p>
          <w:p>
            <w:pPr>
              <w:widowControl/>
              <w:rPr>
                <w:rFonts w:ascii="宋体" w:hAnsi="宋体" w:cs="宋体"/>
                <w:kern w:val="0"/>
                <w:sz w:val="24"/>
                <w:szCs w:val="24"/>
              </w:rPr>
            </w:pPr>
            <w:r>
              <w:rPr>
                <w:rFonts w:hint="eastAsia" w:ascii="宋体" w:hAnsi="宋体" w:cs="宋体"/>
                <w:kern w:val="0"/>
                <w:sz w:val="24"/>
                <w:szCs w:val="24"/>
              </w:rPr>
              <w:t>4、脱网运行能力：系统采用分布式计算，现场控制模式，在脱网情况下仍可正常工作记录数据；</w:t>
            </w:r>
          </w:p>
          <w:p>
            <w:pPr>
              <w:widowControl/>
              <w:rPr>
                <w:rFonts w:ascii="宋体" w:hAnsi="宋体" w:cs="宋体"/>
                <w:kern w:val="0"/>
                <w:sz w:val="24"/>
                <w:szCs w:val="24"/>
              </w:rPr>
            </w:pPr>
            <w:r>
              <w:rPr>
                <w:rFonts w:hint="eastAsia" w:ascii="宋体" w:hAnsi="宋体" w:cs="宋体"/>
                <w:kern w:val="0"/>
                <w:sz w:val="24"/>
                <w:szCs w:val="24"/>
              </w:rPr>
              <w:t>5、RS485接口：可支持接入8个读卡器，加密方式，支持手拉手布线，通讯距离达500m以上，支持读卡器防撬报警并置于紧急模式；</w:t>
            </w:r>
          </w:p>
          <w:p>
            <w:pPr>
              <w:widowControl/>
              <w:rPr>
                <w:rFonts w:ascii="宋体" w:hAnsi="宋体" w:cs="宋体"/>
                <w:kern w:val="0"/>
                <w:sz w:val="24"/>
                <w:szCs w:val="24"/>
              </w:rPr>
            </w:pPr>
            <w:r>
              <w:rPr>
                <w:rFonts w:hint="eastAsia" w:ascii="宋体" w:hAnsi="宋体" w:cs="宋体"/>
                <w:kern w:val="0"/>
                <w:sz w:val="24"/>
                <w:szCs w:val="24"/>
              </w:rPr>
              <w:t>6、管理能力：4门，可配置用户访问级别（无穷），可配置最大100个访问时间周期，访问时间段，包括星期、小时、分钟，可配置最大100个特定日期(如法定节假日、特殊的工作日和非工作日)，智能门禁控制系统；</w:t>
            </w:r>
          </w:p>
          <w:p>
            <w:pPr>
              <w:widowControl/>
              <w:rPr>
                <w:rFonts w:ascii="宋体" w:hAnsi="宋体" w:cs="宋体"/>
                <w:kern w:val="0"/>
                <w:sz w:val="24"/>
                <w:szCs w:val="24"/>
              </w:rPr>
            </w:pPr>
            <w:r>
              <w:rPr>
                <w:rFonts w:hint="eastAsia" w:ascii="宋体" w:hAnsi="宋体" w:cs="宋体"/>
                <w:kern w:val="0"/>
                <w:sz w:val="24"/>
                <w:szCs w:val="24"/>
              </w:rPr>
              <w:t>7、卡类型：工程卡、系统卡、警卫卡、成员卡、巡检卡、临时访客卡；</w:t>
            </w:r>
          </w:p>
          <w:p>
            <w:pPr>
              <w:widowControl/>
              <w:rPr>
                <w:rFonts w:ascii="宋体" w:hAnsi="宋体" w:cs="宋体"/>
                <w:kern w:val="0"/>
                <w:sz w:val="24"/>
                <w:szCs w:val="24"/>
              </w:rPr>
            </w:pPr>
            <w:r>
              <w:rPr>
                <w:rFonts w:hint="eastAsia" w:ascii="宋体" w:hAnsi="宋体" w:cs="宋体"/>
                <w:kern w:val="0"/>
                <w:sz w:val="24"/>
                <w:szCs w:val="24"/>
              </w:rPr>
              <w:t>8、输入控制信号：共10路，采用光电隔离方式输入通讯信号，避免外部原因对控制器的通讯造成影响。（8路自定义、1路消防、1路取消消防），门状态信号支持接入读卡器输入点；</w:t>
            </w:r>
          </w:p>
          <w:p>
            <w:pPr>
              <w:widowControl/>
              <w:rPr>
                <w:rFonts w:ascii="宋体" w:hAnsi="宋体" w:cs="宋体"/>
                <w:kern w:val="0"/>
                <w:sz w:val="24"/>
                <w:szCs w:val="24"/>
              </w:rPr>
            </w:pPr>
            <w:r>
              <w:rPr>
                <w:rFonts w:hint="eastAsia" w:ascii="宋体" w:hAnsi="宋体" w:cs="宋体"/>
                <w:kern w:val="0"/>
                <w:sz w:val="24"/>
                <w:szCs w:val="24"/>
              </w:rPr>
              <w:t>9、输出控制：4个继电器输出，4个OC输出（支持外接扩展板转4路继电器）；</w:t>
            </w:r>
          </w:p>
          <w:p>
            <w:pPr>
              <w:widowControl/>
              <w:rPr>
                <w:rFonts w:ascii="宋体" w:hAnsi="宋体" w:cs="宋体"/>
                <w:kern w:val="0"/>
                <w:sz w:val="24"/>
                <w:szCs w:val="24"/>
              </w:rPr>
            </w:pPr>
            <w:r>
              <w:rPr>
                <w:rFonts w:hint="eastAsia" w:ascii="宋体" w:hAnsi="宋体" w:cs="宋体"/>
                <w:kern w:val="0"/>
                <w:sz w:val="24"/>
                <w:szCs w:val="24"/>
              </w:rPr>
              <w:t>10、消防接口：1路；</w:t>
            </w:r>
          </w:p>
          <w:p>
            <w:pPr>
              <w:widowControl/>
              <w:rPr>
                <w:rFonts w:ascii="宋体" w:hAnsi="宋体" w:cs="宋体"/>
                <w:kern w:val="0"/>
                <w:sz w:val="24"/>
                <w:szCs w:val="24"/>
              </w:rPr>
            </w:pPr>
            <w:r>
              <w:rPr>
                <w:rFonts w:hint="eastAsia" w:ascii="宋体" w:hAnsi="宋体" w:cs="宋体"/>
                <w:kern w:val="0"/>
                <w:sz w:val="24"/>
                <w:szCs w:val="24"/>
              </w:rPr>
              <w:t>11、上行通讯方式：加密TCP/IP（10M/100M自适应）；</w:t>
            </w:r>
          </w:p>
          <w:p>
            <w:pPr>
              <w:widowControl/>
              <w:rPr>
                <w:rFonts w:ascii="宋体" w:hAnsi="宋体" w:cs="宋体"/>
                <w:kern w:val="0"/>
                <w:sz w:val="24"/>
                <w:szCs w:val="24"/>
              </w:rPr>
            </w:pPr>
            <w:r>
              <w:rPr>
                <w:rFonts w:hint="eastAsia" w:ascii="宋体" w:hAnsi="宋体" w:cs="宋体"/>
                <w:kern w:val="0"/>
                <w:sz w:val="24"/>
                <w:szCs w:val="24"/>
              </w:rPr>
              <w:t>12、人事存储容量：注册卡片*10万张（支持扩展至100万）、注册指纹*3000枚、人脸特征1500组；</w:t>
            </w:r>
          </w:p>
          <w:p>
            <w:pPr>
              <w:widowControl/>
              <w:rPr>
                <w:rFonts w:ascii="宋体" w:hAnsi="宋体" w:cs="宋体"/>
                <w:kern w:val="0"/>
                <w:sz w:val="24"/>
                <w:szCs w:val="24"/>
              </w:rPr>
            </w:pPr>
            <w:r>
              <w:rPr>
                <w:rFonts w:hint="eastAsia" w:ascii="宋体" w:hAnsi="宋体" w:cs="宋体"/>
                <w:kern w:val="0"/>
                <w:sz w:val="24"/>
                <w:szCs w:val="24"/>
              </w:rPr>
              <w:t>13、记录存储容量：10万条；</w:t>
            </w:r>
          </w:p>
          <w:p>
            <w:pPr>
              <w:widowControl/>
              <w:rPr>
                <w:rFonts w:ascii="宋体" w:hAnsi="宋体" w:cs="宋体"/>
                <w:kern w:val="0"/>
                <w:sz w:val="24"/>
                <w:szCs w:val="24"/>
              </w:rPr>
            </w:pPr>
            <w:r>
              <w:rPr>
                <w:rFonts w:hint="eastAsia" w:ascii="宋体" w:hAnsi="宋体" w:cs="宋体"/>
                <w:kern w:val="0"/>
                <w:sz w:val="24"/>
                <w:szCs w:val="24"/>
              </w:rPr>
              <w:t>14、电锁控制模式：支持点动，支持延时设置，支持断电开门型，支持通电开门型；</w:t>
            </w:r>
          </w:p>
          <w:p>
            <w:pPr>
              <w:widowControl/>
              <w:rPr>
                <w:rFonts w:ascii="宋体" w:hAnsi="宋体" w:cs="宋体"/>
                <w:kern w:val="0"/>
                <w:sz w:val="24"/>
                <w:szCs w:val="24"/>
              </w:rPr>
            </w:pPr>
            <w:r>
              <w:rPr>
                <w:rFonts w:hint="eastAsia" w:ascii="宋体" w:hAnsi="宋体" w:cs="宋体"/>
                <w:kern w:val="0"/>
                <w:sz w:val="24"/>
                <w:szCs w:val="24"/>
              </w:rPr>
              <w:t>15、快速调试接口：集成专用调试模块，可以使用APP进行调试维护；</w:t>
            </w:r>
          </w:p>
          <w:p>
            <w:pPr>
              <w:widowControl/>
              <w:rPr>
                <w:rFonts w:ascii="宋体" w:hAnsi="宋体" w:cs="宋体"/>
                <w:kern w:val="0"/>
                <w:sz w:val="24"/>
                <w:szCs w:val="24"/>
              </w:rPr>
            </w:pPr>
            <w:r>
              <w:rPr>
                <w:rFonts w:hint="eastAsia" w:ascii="宋体" w:hAnsi="宋体" w:cs="宋体"/>
                <w:kern w:val="0"/>
                <w:sz w:val="24"/>
                <w:szCs w:val="24"/>
              </w:rPr>
              <w:t>16、须接入新吴法院一卡通系统统一管理、授权</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单门磁力锁</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不受外界强磁干扰,具有延时功能,嗓音低、寿命、吸力强、无剩磁,280KG</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把</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双门磁力锁</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不受外界强磁干扰,具有延时功能,嗓音低、寿命、吸力强、无剩磁,280KG</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把</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读卡器（支持NFC）</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1、电源：DC12V±20％，100mA，额定功率≤1W；</w:t>
            </w:r>
          </w:p>
          <w:p>
            <w:pPr>
              <w:widowControl/>
              <w:rPr>
                <w:rFonts w:ascii="宋体" w:hAnsi="宋体" w:cs="宋体"/>
                <w:kern w:val="0"/>
                <w:sz w:val="24"/>
                <w:szCs w:val="24"/>
              </w:rPr>
            </w:pPr>
            <w:r>
              <w:rPr>
                <w:rFonts w:hint="eastAsia" w:ascii="宋体" w:hAnsi="宋体" w:cs="宋体"/>
                <w:kern w:val="0"/>
                <w:sz w:val="24"/>
                <w:szCs w:val="24"/>
              </w:rPr>
              <w:t>2、产品尺寸：90*90*17mm，86盒安装；</w:t>
            </w:r>
          </w:p>
          <w:p>
            <w:pPr>
              <w:widowControl/>
              <w:rPr>
                <w:rFonts w:ascii="宋体" w:hAnsi="宋体" w:cs="宋体"/>
                <w:kern w:val="0"/>
                <w:sz w:val="24"/>
                <w:szCs w:val="24"/>
              </w:rPr>
            </w:pPr>
            <w:r>
              <w:rPr>
                <w:rFonts w:hint="eastAsia" w:ascii="宋体" w:hAnsi="宋体" w:cs="宋体"/>
                <w:kern w:val="0"/>
                <w:sz w:val="24"/>
                <w:szCs w:val="24"/>
              </w:rPr>
              <w:t>3、材质：精雕工艺铝合金，含疏油涂层的钢化玻璃面板，RGB刷卡指示含光束匀光基板，6P工业接线端子，CPU32位ARM-Cortex，车规级阻容；</w:t>
            </w:r>
          </w:p>
          <w:p>
            <w:pPr>
              <w:widowControl/>
              <w:rPr>
                <w:rFonts w:ascii="宋体" w:hAnsi="宋体" w:cs="宋体"/>
                <w:kern w:val="0"/>
                <w:sz w:val="24"/>
                <w:szCs w:val="24"/>
              </w:rPr>
            </w:pPr>
            <w:r>
              <w:rPr>
                <w:rFonts w:hint="eastAsia" w:ascii="宋体" w:hAnsi="宋体" w:cs="宋体"/>
                <w:kern w:val="0"/>
                <w:sz w:val="24"/>
                <w:szCs w:val="24"/>
              </w:rPr>
              <w:t>4、非接触卡支持：ISO14443A（M1、CPU、NFC、银联Q-Pass），ISO14443B（身份证），ISO15693，支持Psam验证，支持开启卡片加密认证，防止手机NFC复制；</w:t>
            </w:r>
          </w:p>
          <w:p>
            <w:pPr>
              <w:widowControl/>
              <w:rPr>
                <w:rFonts w:ascii="宋体" w:hAnsi="宋体" w:cs="宋体"/>
                <w:kern w:val="0"/>
                <w:sz w:val="24"/>
                <w:szCs w:val="24"/>
              </w:rPr>
            </w:pPr>
            <w:r>
              <w:rPr>
                <w:rFonts w:hint="eastAsia" w:ascii="宋体" w:hAnsi="宋体" w:cs="宋体"/>
                <w:kern w:val="0"/>
                <w:sz w:val="24"/>
                <w:szCs w:val="24"/>
              </w:rPr>
              <w:t>5、先进性：支持Keyfree手机蓝牙开门，支持门铃呼叫至手机端，支持真人语音；</w:t>
            </w:r>
          </w:p>
          <w:p>
            <w:pPr>
              <w:widowControl/>
              <w:rPr>
                <w:rFonts w:ascii="宋体" w:hAnsi="宋体" w:cs="宋体"/>
                <w:kern w:val="0"/>
                <w:sz w:val="24"/>
                <w:szCs w:val="24"/>
              </w:rPr>
            </w:pPr>
            <w:r>
              <w:rPr>
                <w:rFonts w:hint="eastAsia" w:ascii="宋体" w:hAnsi="宋体" w:cs="宋体"/>
                <w:kern w:val="0"/>
                <w:sz w:val="24"/>
                <w:szCs w:val="24"/>
              </w:rPr>
              <w:t>6、扩展性：支持2路开关量输入，用于接入门状态等信息；</w:t>
            </w:r>
          </w:p>
          <w:p>
            <w:pPr>
              <w:widowControl/>
              <w:rPr>
                <w:rFonts w:ascii="宋体" w:hAnsi="宋体" w:cs="宋体"/>
                <w:kern w:val="0"/>
                <w:sz w:val="24"/>
                <w:szCs w:val="24"/>
              </w:rPr>
            </w:pPr>
            <w:r>
              <w:rPr>
                <w:rFonts w:hint="eastAsia" w:ascii="宋体" w:hAnsi="宋体" w:cs="宋体"/>
                <w:kern w:val="0"/>
                <w:sz w:val="24"/>
                <w:szCs w:val="24"/>
              </w:rPr>
              <w:t>7、通讯方式：使用RS485等双向加密通讯，后台可见读卡器工作状态，具备较强的抗干扰能力，支持500m以上的通讯距离；</w:t>
            </w:r>
          </w:p>
          <w:p>
            <w:pPr>
              <w:widowControl/>
              <w:rPr>
                <w:rFonts w:ascii="宋体" w:hAnsi="宋体" w:cs="宋体"/>
                <w:kern w:val="0"/>
                <w:sz w:val="24"/>
                <w:szCs w:val="24"/>
              </w:rPr>
            </w:pPr>
            <w:r>
              <w:rPr>
                <w:rFonts w:hint="eastAsia" w:ascii="宋体" w:hAnsi="宋体" w:cs="宋体"/>
                <w:kern w:val="0"/>
                <w:sz w:val="24"/>
                <w:szCs w:val="24"/>
              </w:rPr>
              <w:t>8、安全性：当读卡器被拆动时，会触发防拆报警，并上传给控制器及平台软件；</w:t>
            </w:r>
          </w:p>
          <w:p>
            <w:pPr>
              <w:widowControl/>
              <w:rPr>
                <w:rFonts w:ascii="宋体" w:hAnsi="宋体" w:cs="宋体"/>
                <w:kern w:val="0"/>
                <w:sz w:val="24"/>
                <w:szCs w:val="24"/>
              </w:rPr>
            </w:pPr>
            <w:r>
              <w:rPr>
                <w:rFonts w:hint="eastAsia" w:ascii="宋体" w:hAnsi="宋体" w:cs="宋体"/>
                <w:kern w:val="0"/>
                <w:sz w:val="24"/>
                <w:szCs w:val="24"/>
              </w:rPr>
              <w:t>9、方便性：支持手机APP调试；</w:t>
            </w:r>
          </w:p>
          <w:p>
            <w:pPr>
              <w:widowControl/>
              <w:rPr>
                <w:rFonts w:ascii="宋体" w:hAnsi="宋体" w:cs="宋体"/>
                <w:kern w:val="0"/>
                <w:sz w:val="24"/>
                <w:szCs w:val="24"/>
              </w:rPr>
            </w:pPr>
            <w:r>
              <w:rPr>
                <w:rFonts w:hint="eastAsia" w:ascii="宋体" w:hAnsi="宋体" w:cs="宋体"/>
                <w:kern w:val="0"/>
                <w:sz w:val="24"/>
                <w:szCs w:val="24"/>
              </w:rPr>
              <w:t>10、工作环境：-20℃~65℃，工作湿度：&lt;=90%（不凝露）；</w:t>
            </w:r>
          </w:p>
          <w:p>
            <w:pPr>
              <w:widowControl/>
              <w:rPr>
                <w:rFonts w:ascii="宋体" w:hAnsi="宋体" w:cs="宋体"/>
                <w:kern w:val="0"/>
                <w:sz w:val="24"/>
                <w:szCs w:val="24"/>
              </w:rPr>
            </w:pPr>
            <w:r>
              <w:rPr>
                <w:rFonts w:hint="eastAsia" w:ascii="宋体" w:hAnsi="宋体" w:cs="宋体"/>
                <w:kern w:val="0"/>
                <w:sz w:val="24"/>
                <w:szCs w:val="24"/>
              </w:rPr>
              <w:t>11、键盘：12个14mm发光按键，每个按键具备独立的RGB指示；</w:t>
            </w:r>
          </w:p>
          <w:p>
            <w:pPr>
              <w:widowControl/>
              <w:rPr>
                <w:rFonts w:ascii="宋体" w:hAnsi="宋体" w:cs="宋体"/>
                <w:kern w:val="0"/>
                <w:sz w:val="24"/>
                <w:szCs w:val="24"/>
              </w:rPr>
            </w:pPr>
            <w:r>
              <w:rPr>
                <w:rFonts w:hint="eastAsia" w:ascii="宋体" w:hAnsi="宋体" w:cs="宋体"/>
                <w:kern w:val="0"/>
                <w:sz w:val="24"/>
                <w:szCs w:val="24"/>
              </w:rPr>
              <w:t>12、支持密码认证开门：可实现刷卡+4位密码或10位密码认证开门，支持胁迫功能：在监控台的胁迫警示应区别于其他警示；输入胁迫凭证的操作不能在胁迫触发的地方产生可视或可听见的信号；监控台接收的胁迫信号包含位置、日期、时间和目标信息，智能门禁控制系统；</w:t>
            </w:r>
          </w:p>
          <w:p>
            <w:pPr>
              <w:widowControl/>
              <w:rPr>
                <w:rFonts w:ascii="宋体" w:hAnsi="宋体" w:cs="宋体"/>
                <w:kern w:val="0"/>
                <w:sz w:val="24"/>
                <w:szCs w:val="24"/>
              </w:rPr>
            </w:pPr>
            <w:r>
              <w:rPr>
                <w:rFonts w:hint="eastAsia" w:ascii="宋体" w:hAnsi="宋体" w:cs="宋体"/>
                <w:kern w:val="0"/>
                <w:sz w:val="24"/>
                <w:szCs w:val="24"/>
              </w:rPr>
              <w:t>13、支持临时密码开门，需要业主Keyfree获取后分享；</w:t>
            </w:r>
          </w:p>
          <w:p>
            <w:pPr>
              <w:widowControl/>
              <w:rPr>
                <w:rFonts w:ascii="宋体" w:hAnsi="宋体" w:cs="宋体"/>
                <w:kern w:val="0"/>
                <w:sz w:val="24"/>
                <w:szCs w:val="24"/>
              </w:rPr>
            </w:pPr>
            <w:r>
              <w:rPr>
                <w:rFonts w:hint="eastAsia" w:ascii="宋体" w:hAnsi="宋体" w:cs="宋体"/>
                <w:kern w:val="0"/>
                <w:sz w:val="24"/>
                <w:szCs w:val="24"/>
              </w:rPr>
              <w:t>14、交互性：具备灯光反馈，红/绿灯提示认证鉴权结果，具备真人语音播报功能，提示认证鉴权结果；</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感应式出门按钮</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86型，工作方式：红外反射式感应距离：2-8cm 材质：不锈钢面板工作温度：-20～+50℃安装方式：国标86盒安装电源：DC12v，max50mA 指示灯：绿色（动作状态）红色（待机状态）输出方式：OC输出，适用于门禁控制器、一体机</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r>
      <w:tr>
        <w:tblPrEx>
          <w:tblCellMar>
            <w:top w:w="0" w:type="dxa"/>
            <w:left w:w="108" w:type="dxa"/>
            <w:bottom w:w="0" w:type="dxa"/>
            <w:right w:w="108" w:type="dxa"/>
          </w:tblCellMar>
        </w:tblPrEx>
        <w:trPr>
          <w:trHeight w:val="90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门禁系统线缆及安装辅材</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RVV2*1.5㎡出门按钮线、RVVP4*0.5㎡读卡器线、RVV4*0.5㎡电锁线，超五类双绞线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17</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五、停车管理系统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栅栏杆道闸</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数字道闸，工作电压：AC220V±10%</w:t>
            </w:r>
          </w:p>
          <w:p>
            <w:pPr>
              <w:widowControl/>
              <w:jc w:val="left"/>
              <w:rPr>
                <w:rFonts w:ascii="宋体" w:hAnsi="宋体" w:cs="宋体"/>
                <w:kern w:val="0"/>
                <w:sz w:val="24"/>
                <w:szCs w:val="24"/>
              </w:rPr>
            </w:pPr>
            <w:r>
              <w:rPr>
                <w:rFonts w:hint="eastAsia" w:ascii="宋体" w:hAnsi="宋体" w:cs="宋体"/>
                <w:kern w:val="0"/>
                <w:sz w:val="24"/>
                <w:szCs w:val="24"/>
              </w:rPr>
              <w:t>额定功率：150W</w:t>
            </w:r>
          </w:p>
          <w:p>
            <w:pPr>
              <w:widowControl/>
              <w:jc w:val="left"/>
              <w:rPr>
                <w:rFonts w:ascii="宋体" w:hAnsi="宋体" w:cs="宋体"/>
                <w:kern w:val="0"/>
                <w:sz w:val="24"/>
                <w:szCs w:val="24"/>
              </w:rPr>
            </w:pPr>
            <w:r>
              <w:rPr>
                <w:rFonts w:hint="eastAsia" w:ascii="宋体" w:hAnsi="宋体" w:cs="宋体"/>
                <w:kern w:val="0"/>
                <w:sz w:val="24"/>
                <w:szCs w:val="24"/>
              </w:rPr>
              <w:t>电机输入电压：DC24V</w:t>
            </w:r>
          </w:p>
          <w:p>
            <w:pPr>
              <w:widowControl/>
              <w:jc w:val="left"/>
              <w:rPr>
                <w:rFonts w:ascii="宋体" w:hAnsi="宋体" w:cs="宋体"/>
                <w:kern w:val="0"/>
                <w:sz w:val="24"/>
                <w:szCs w:val="24"/>
              </w:rPr>
            </w:pPr>
            <w:r>
              <w:rPr>
                <w:rFonts w:hint="eastAsia" w:ascii="宋体" w:hAnsi="宋体" w:cs="宋体"/>
                <w:kern w:val="0"/>
                <w:sz w:val="24"/>
                <w:szCs w:val="24"/>
              </w:rPr>
              <w:t>电机功率：200W</w:t>
            </w:r>
          </w:p>
          <w:p>
            <w:pPr>
              <w:widowControl/>
              <w:jc w:val="left"/>
              <w:rPr>
                <w:rFonts w:ascii="宋体" w:hAnsi="宋体" w:cs="宋体"/>
                <w:kern w:val="0"/>
                <w:sz w:val="24"/>
                <w:szCs w:val="24"/>
              </w:rPr>
            </w:pPr>
            <w:r>
              <w:rPr>
                <w:rFonts w:hint="eastAsia" w:ascii="宋体" w:hAnsi="宋体" w:cs="宋体"/>
                <w:kern w:val="0"/>
                <w:sz w:val="24"/>
                <w:szCs w:val="24"/>
              </w:rPr>
              <w:t>工作温度：25C~70C</w:t>
            </w:r>
          </w:p>
          <w:p>
            <w:pPr>
              <w:widowControl/>
              <w:jc w:val="left"/>
              <w:rPr>
                <w:rFonts w:ascii="宋体" w:hAnsi="宋体" w:cs="宋体"/>
                <w:kern w:val="0"/>
                <w:sz w:val="24"/>
                <w:szCs w:val="24"/>
              </w:rPr>
            </w:pPr>
            <w:r>
              <w:rPr>
                <w:rFonts w:hint="eastAsia" w:ascii="宋体" w:hAnsi="宋体" w:cs="宋体"/>
                <w:kern w:val="0"/>
                <w:sz w:val="24"/>
                <w:szCs w:val="24"/>
              </w:rPr>
              <w:t>储运温度：-35C~75C</w:t>
            </w:r>
          </w:p>
          <w:p>
            <w:pPr>
              <w:widowControl/>
              <w:jc w:val="left"/>
              <w:rPr>
                <w:rFonts w:ascii="宋体" w:hAnsi="宋体" w:cs="宋体"/>
                <w:kern w:val="0"/>
                <w:sz w:val="24"/>
                <w:szCs w:val="24"/>
              </w:rPr>
            </w:pPr>
            <w:r>
              <w:rPr>
                <w:rFonts w:hint="eastAsia" w:ascii="宋体" w:hAnsi="宋体" w:cs="宋体"/>
                <w:kern w:val="0"/>
                <w:sz w:val="24"/>
                <w:szCs w:val="24"/>
              </w:rPr>
              <w:t>工作湿度：≤90%，无凝露（常温下）</w:t>
            </w:r>
          </w:p>
          <w:p>
            <w:pPr>
              <w:widowControl/>
              <w:jc w:val="left"/>
              <w:rPr>
                <w:rFonts w:ascii="宋体" w:hAnsi="宋体" w:cs="宋体"/>
                <w:kern w:val="0"/>
                <w:sz w:val="24"/>
                <w:szCs w:val="24"/>
              </w:rPr>
            </w:pPr>
            <w:r>
              <w:rPr>
                <w:rFonts w:hint="eastAsia" w:ascii="宋体" w:hAnsi="宋体" w:cs="宋体"/>
                <w:kern w:val="0"/>
                <w:sz w:val="24"/>
                <w:szCs w:val="24"/>
              </w:rPr>
              <w:t>噪音要求：≤65分贝</w:t>
            </w:r>
          </w:p>
          <w:p>
            <w:pPr>
              <w:widowControl/>
              <w:jc w:val="left"/>
              <w:rPr>
                <w:rFonts w:ascii="宋体" w:hAnsi="宋体" w:cs="宋体"/>
                <w:kern w:val="0"/>
                <w:sz w:val="24"/>
                <w:szCs w:val="24"/>
              </w:rPr>
            </w:pPr>
            <w:r>
              <w:rPr>
                <w:rFonts w:hint="eastAsia" w:ascii="宋体" w:hAnsi="宋体" w:cs="宋体"/>
                <w:kern w:val="0"/>
                <w:sz w:val="24"/>
                <w:szCs w:val="24"/>
              </w:rPr>
              <w:t>外壳防护等级：IPX4</w:t>
            </w:r>
          </w:p>
          <w:p>
            <w:pPr>
              <w:widowControl/>
              <w:jc w:val="left"/>
              <w:rPr>
                <w:rFonts w:ascii="宋体" w:hAnsi="宋体" w:cs="宋体"/>
                <w:kern w:val="0"/>
                <w:sz w:val="24"/>
                <w:szCs w:val="24"/>
              </w:rPr>
            </w:pPr>
            <w:r>
              <w:rPr>
                <w:rFonts w:hint="eastAsia" w:ascii="宋体" w:hAnsi="宋体" w:cs="宋体"/>
                <w:kern w:val="0"/>
                <w:sz w:val="24"/>
                <w:szCs w:val="24"/>
              </w:rPr>
              <w:t>标准颜色：麒麟金色+乌金灰色</w:t>
            </w:r>
          </w:p>
          <w:p>
            <w:pPr>
              <w:widowControl/>
              <w:jc w:val="left"/>
              <w:rPr>
                <w:rFonts w:ascii="宋体" w:hAnsi="宋体" w:cs="宋体"/>
                <w:kern w:val="0"/>
                <w:sz w:val="24"/>
                <w:szCs w:val="24"/>
              </w:rPr>
            </w:pPr>
            <w:r>
              <w:rPr>
                <w:rFonts w:hint="eastAsia" w:ascii="宋体" w:hAnsi="宋体" w:cs="宋体"/>
                <w:kern w:val="0"/>
                <w:sz w:val="24"/>
                <w:szCs w:val="24"/>
              </w:rPr>
              <w:t>效果灯光：可动态显示道闸状态</w:t>
            </w:r>
          </w:p>
          <w:p>
            <w:pPr>
              <w:widowControl/>
              <w:jc w:val="left"/>
              <w:rPr>
                <w:rFonts w:ascii="宋体" w:hAnsi="宋体" w:cs="宋体"/>
                <w:kern w:val="0"/>
                <w:sz w:val="24"/>
                <w:szCs w:val="24"/>
              </w:rPr>
            </w:pPr>
            <w:r>
              <w:rPr>
                <w:rFonts w:hint="eastAsia" w:ascii="宋体" w:hAnsi="宋体" w:cs="宋体"/>
                <w:kern w:val="0"/>
                <w:sz w:val="24"/>
                <w:szCs w:val="24"/>
              </w:rPr>
              <w:t>通讯接口：TCP/IP、IO</w:t>
            </w:r>
          </w:p>
          <w:p>
            <w:pPr>
              <w:widowControl/>
              <w:jc w:val="left"/>
              <w:rPr>
                <w:rFonts w:ascii="宋体" w:hAnsi="宋体" w:cs="宋体"/>
                <w:kern w:val="0"/>
                <w:sz w:val="24"/>
                <w:szCs w:val="24"/>
              </w:rPr>
            </w:pPr>
            <w:r>
              <w:rPr>
                <w:rFonts w:hint="eastAsia" w:ascii="宋体" w:hAnsi="宋体" w:cs="宋体"/>
                <w:kern w:val="0"/>
                <w:sz w:val="24"/>
                <w:szCs w:val="24"/>
              </w:rPr>
              <w:t>机箱材质：机身主体采用厚度1.5mm的高强度碳钢板材</w:t>
            </w:r>
          </w:p>
          <w:p>
            <w:pPr>
              <w:widowControl/>
              <w:jc w:val="left"/>
              <w:rPr>
                <w:rFonts w:ascii="宋体" w:hAnsi="宋体" w:cs="宋体"/>
                <w:kern w:val="0"/>
                <w:sz w:val="24"/>
                <w:szCs w:val="24"/>
              </w:rPr>
            </w:pPr>
            <w:r>
              <w:rPr>
                <w:rFonts w:hint="eastAsia" w:ascii="宋体" w:hAnsi="宋体" w:cs="宋体"/>
                <w:kern w:val="0"/>
                <w:sz w:val="24"/>
                <w:szCs w:val="24"/>
              </w:rPr>
              <w:t>闸杆中心高度：930mm(闸杆转轴到机箱底部距离)</w:t>
            </w:r>
          </w:p>
          <w:p>
            <w:pPr>
              <w:widowControl/>
              <w:jc w:val="left"/>
              <w:rPr>
                <w:rFonts w:ascii="宋体" w:hAnsi="宋体" w:cs="宋体"/>
                <w:kern w:val="0"/>
                <w:sz w:val="24"/>
                <w:szCs w:val="24"/>
              </w:rPr>
            </w:pPr>
            <w:r>
              <w:rPr>
                <w:rFonts w:hint="eastAsia" w:ascii="宋体" w:hAnsi="宋体" w:cs="宋体"/>
                <w:kern w:val="0"/>
                <w:sz w:val="24"/>
                <w:szCs w:val="24"/>
              </w:rPr>
              <w:t>外形尺寸(mm-5簧：370×300×1080(L×W×H)</w:t>
            </w:r>
          </w:p>
          <w:p>
            <w:pPr>
              <w:widowControl/>
              <w:jc w:val="left"/>
              <w:rPr>
                <w:rFonts w:ascii="宋体" w:hAnsi="宋体" w:cs="宋体"/>
                <w:kern w:val="0"/>
                <w:sz w:val="24"/>
                <w:szCs w:val="24"/>
              </w:rPr>
            </w:pPr>
            <w:r>
              <w:rPr>
                <w:rFonts w:hint="eastAsia" w:ascii="宋体" w:hAnsi="宋体" w:cs="宋体"/>
                <w:kern w:val="0"/>
                <w:sz w:val="24"/>
                <w:szCs w:val="24"/>
              </w:rPr>
              <w:t>外形尺寸(mm)-10簧：400×310×1100(L×W×H)</w:t>
            </w:r>
          </w:p>
          <w:p>
            <w:pPr>
              <w:widowControl/>
              <w:jc w:val="left"/>
              <w:rPr>
                <w:rFonts w:ascii="宋体" w:hAnsi="宋体" w:cs="宋体"/>
                <w:kern w:val="0"/>
                <w:sz w:val="24"/>
                <w:szCs w:val="24"/>
              </w:rPr>
            </w:pPr>
            <w:r>
              <w:rPr>
                <w:rFonts w:hint="eastAsia" w:ascii="宋体" w:hAnsi="宋体" w:cs="宋体"/>
                <w:kern w:val="0"/>
                <w:sz w:val="24"/>
                <w:szCs w:val="24"/>
              </w:rPr>
              <w:t>闸杆规格：栅栏杆（横截面尺寸）：80mm(L)×40mm(W),带胶条</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数字式车辆检测器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防砸车、自动落杆，含特氟龙镀银线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无线编码遥控器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共4个，出入各2个</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169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车牌识别一体机</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含中文显示屏、语音提示、对讲、摄像机、机箱、电源，车牌识别率≥99.8%（全天候）</w:t>
            </w:r>
          </w:p>
          <w:p>
            <w:pPr>
              <w:widowControl/>
              <w:jc w:val="left"/>
              <w:rPr>
                <w:rFonts w:ascii="宋体" w:hAnsi="宋体" w:cs="宋体"/>
                <w:kern w:val="0"/>
                <w:sz w:val="24"/>
                <w:szCs w:val="24"/>
              </w:rPr>
            </w:pPr>
            <w:r>
              <w:rPr>
                <w:rFonts w:hint="eastAsia" w:ascii="宋体" w:hAnsi="宋体" w:cs="宋体"/>
                <w:kern w:val="0"/>
                <w:sz w:val="24"/>
                <w:szCs w:val="24"/>
              </w:rPr>
              <w:t>显示屏：工业级四行两列高亮LED屏</w:t>
            </w:r>
          </w:p>
          <w:p>
            <w:pPr>
              <w:widowControl/>
              <w:jc w:val="left"/>
              <w:rPr>
                <w:rFonts w:ascii="宋体" w:hAnsi="宋体" w:cs="宋体"/>
                <w:kern w:val="0"/>
                <w:sz w:val="24"/>
                <w:szCs w:val="24"/>
              </w:rPr>
            </w:pPr>
            <w:r>
              <w:rPr>
                <w:rFonts w:hint="eastAsia" w:ascii="宋体" w:hAnsi="宋体" w:cs="宋体"/>
                <w:kern w:val="0"/>
                <w:sz w:val="24"/>
                <w:szCs w:val="24"/>
              </w:rPr>
              <w:t>摄像机2.7~13.5mm镜头、300万像素 记录存储容量5万条</w:t>
            </w:r>
          </w:p>
          <w:p>
            <w:pPr>
              <w:widowControl/>
              <w:jc w:val="left"/>
              <w:rPr>
                <w:rFonts w:ascii="宋体" w:hAnsi="宋体" w:cs="宋体"/>
                <w:kern w:val="0"/>
                <w:sz w:val="24"/>
                <w:szCs w:val="24"/>
              </w:rPr>
            </w:pPr>
            <w:r>
              <w:rPr>
                <w:rFonts w:hint="eastAsia" w:ascii="宋体" w:hAnsi="宋体" w:cs="宋体"/>
                <w:kern w:val="0"/>
                <w:sz w:val="24"/>
                <w:szCs w:val="24"/>
              </w:rPr>
              <w:t>语音提示支持智能化、行业化、情景化可自定义语音</w:t>
            </w:r>
          </w:p>
          <w:p>
            <w:pPr>
              <w:widowControl/>
              <w:jc w:val="left"/>
              <w:rPr>
                <w:rFonts w:ascii="宋体" w:hAnsi="宋体" w:cs="宋体"/>
                <w:kern w:val="0"/>
                <w:sz w:val="24"/>
                <w:szCs w:val="24"/>
              </w:rPr>
            </w:pPr>
            <w:r>
              <w:rPr>
                <w:rFonts w:hint="eastAsia" w:ascii="宋体" w:hAnsi="宋体" w:cs="宋体"/>
                <w:kern w:val="0"/>
                <w:sz w:val="24"/>
                <w:szCs w:val="24"/>
              </w:rPr>
              <w:t>通行凭证：支持车牌识别、无牌车扫静态二维码进出</w:t>
            </w:r>
          </w:p>
          <w:p>
            <w:pPr>
              <w:widowControl/>
              <w:jc w:val="left"/>
              <w:rPr>
                <w:rFonts w:ascii="宋体" w:hAnsi="宋体" w:cs="宋体"/>
                <w:kern w:val="0"/>
                <w:sz w:val="24"/>
                <w:szCs w:val="24"/>
              </w:rPr>
            </w:pPr>
            <w:r>
              <w:rPr>
                <w:rFonts w:hint="eastAsia" w:ascii="宋体" w:hAnsi="宋体" w:cs="宋体"/>
                <w:kern w:val="0"/>
                <w:sz w:val="24"/>
                <w:szCs w:val="24"/>
              </w:rPr>
              <w:t>通讯方式：TCP/IP</w:t>
            </w:r>
          </w:p>
          <w:p>
            <w:pPr>
              <w:widowControl/>
              <w:jc w:val="left"/>
              <w:rPr>
                <w:rFonts w:ascii="宋体" w:hAnsi="宋体" w:cs="宋体"/>
                <w:kern w:val="0"/>
                <w:sz w:val="24"/>
                <w:szCs w:val="24"/>
              </w:rPr>
            </w:pPr>
            <w:r>
              <w:rPr>
                <w:rFonts w:hint="eastAsia" w:ascii="宋体" w:hAnsi="宋体" w:cs="宋体"/>
                <w:kern w:val="0"/>
                <w:sz w:val="24"/>
                <w:szCs w:val="24"/>
              </w:rPr>
              <w:t>输入电压：AC220V±10%50/60HZ</w:t>
            </w:r>
          </w:p>
          <w:p>
            <w:pPr>
              <w:widowControl/>
              <w:jc w:val="left"/>
              <w:rPr>
                <w:rFonts w:ascii="宋体" w:hAnsi="宋体" w:cs="宋体"/>
                <w:kern w:val="0"/>
                <w:sz w:val="24"/>
                <w:szCs w:val="24"/>
              </w:rPr>
            </w:pPr>
            <w:r>
              <w:rPr>
                <w:rFonts w:hint="eastAsia" w:ascii="宋体" w:hAnsi="宋体" w:cs="宋体"/>
                <w:kern w:val="0"/>
                <w:sz w:val="24"/>
                <w:szCs w:val="24"/>
              </w:rPr>
              <w:t>工作温度：-25~70°℃</w:t>
            </w:r>
          </w:p>
          <w:p>
            <w:pPr>
              <w:widowControl/>
              <w:jc w:val="left"/>
              <w:rPr>
                <w:rFonts w:ascii="宋体" w:hAnsi="宋体" w:cs="宋体"/>
                <w:kern w:val="0"/>
                <w:sz w:val="24"/>
                <w:szCs w:val="24"/>
              </w:rPr>
            </w:pPr>
            <w:r>
              <w:rPr>
                <w:rFonts w:hint="eastAsia" w:ascii="宋体" w:hAnsi="宋体" w:cs="宋体"/>
                <w:kern w:val="0"/>
                <w:sz w:val="24"/>
                <w:szCs w:val="24"/>
              </w:rPr>
              <w:t>工作湿度：≤90%，常温不凝露</w:t>
            </w:r>
          </w:p>
          <w:p>
            <w:pPr>
              <w:widowControl/>
              <w:jc w:val="left"/>
              <w:rPr>
                <w:rFonts w:ascii="宋体" w:hAnsi="宋体" w:cs="宋体"/>
                <w:kern w:val="0"/>
                <w:sz w:val="24"/>
                <w:szCs w:val="24"/>
              </w:rPr>
            </w:pPr>
            <w:r>
              <w:rPr>
                <w:rFonts w:hint="eastAsia" w:ascii="宋体" w:hAnsi="宋体" w:cs="宋体"/>
                <w:kern w:val="0"/>
                <w:sz w:val="24"/>
                <w:szCs w:val="24"/>
              </w:rPr>
              <w:t>额定功率45W</w:t>
            </w:r>
          </w:p>
          <w:p>
            <w:pPr>
              <w:widowControl/>
              <w:jc w:val="left"/>
              <w:rPr>
                <w:rFonts w:ascii="宋体" w:hAnsi="宋体" w:cs="宋体"/>
                <w:kern w:val="0"/>
                <w:sz w:val="24"/>
                <w:szCs w:val="24"/>
              </w:rPr>
            </w:pPr>
            <w:r>
              <w:rPr>
                <w:rFonts w:hint="eastAsia" w:ascii="宋体" w:hAnsi="宋体" w:cs="宋体"/>
                <w:kern w:val="0"/>
                <w:sz w:val="24"/>
                <w:szCs w:val="24"/>
              </w:rPr>
              <w:t>防护等级1P54</w:t>
            </w:r>
          </w:p>
          <w:p>
            <w:pPr>
              <w:pStyle w:val="25"/>
              <w:ind w:firstLine="0" w:firstLineChars="0"/>
              <w:rPr>
                <w:rFonts w:ascii="宋体" w:hAnsi="宋体" w:eastAsia="宋体"/>
                <w:sz w:val="24"/>
                <w:szCs w:val="24"/>
              </w:rPr>
            </w:pPr>
            <w:r>
              <w:rPr>
                <w:rFonts w:hint="eastAsia" w:ascii="宋体" w:hAnsi="宋体" w:eastAsia="宋体" w:cs="宋体"/>
                <w:sz w:val="24"/>
                <w:szCs w:val="24"/>
              </w:rPr>
              <w:t>设备接入现有法院停车管理系统统一管理、授权</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栅栏杆</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M 栅栏杆，可根据现场情况进行</w:t>
            </w:r>
            <w:r>
              <w:rPr>
                <w:rFonts w:ascii="宋体" w:hAnsi="宋体" w:cs="宋体"/>
                <w:kern w:val="0"/>
                <w:sz w:val="24"/>
                <w:szCs w:val="24"/>
              </w:rPr>
              <w:t>机械改制</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一体式摄像立柱</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内含相机LED补光灯等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车牌识别管理软件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用于设置出入权限管理（客户端），可实时显示停车系统出入车辆信息</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安全岛、不锈钢栏杆</w:t>
            </w:r>
          </w:p>
        </w:tc>
        <w:tc>
          <w:tcPr>
            <w:tcW w:w="5256" w:type="dxa"/>
            <w:tcBorders>
              <w:top w:val="nil"/>
              <w:left w:val="nil"/>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配套混凝土安全岛及不锈钢栏杆围档，根据现场情况定制</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9"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停车管理系统线缆及安装辅材</w:t>
            </w:r>
          </w:p>
        </w:tc>
        <w:tc>
          <w:tcPr>
            <w:tcW w:w="5256" w:type="dxa"/>
            <w:tcBorders>
              <w:top w:val="nil"/>
              <w:left w:val="nil"/>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电源线RVV3*2.5，超五类双绞线，路面开挖及恢复等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六、科技法庭庭审服务系统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2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1、庭审专用摄像机</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210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第四法庭庭审摄像机</w:t>
            </w:r>
          </w:p>
        </w:tc>
        <w:tc>
          <w:tcPr>
            <w:tcW w:w="5256"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ascii="宋体" w:hAnsi="宋体" w:cs="宋体"/>
                <w:b/>
                <w:kern w:val="0"/>
                <w:sz w:val="24"/>
                <w:szCs w:val="24"/>
              </w:rPr>
              <w:t>设备须无缝接入新吴法院现有高清监控系统进行统一管理和图像控制，并且能够实现通过法院现有高清监控解码器将摄像机主辅流图像均能解码上墙进行显示。</w:t>
            </w:r>
            <w:r>
              <w:rPr>
                <w:rFonts w:hint="eastAsia" w:ascii="宋体" w:hAnsi="宋体" w:cs="宋体"/>
                <w:b/>
                <w:color w:val="000000"/>
                <w:kern w:val="0"/>
                <w:sz w:val="24"/>
                <w:szCs w:val="24"/>
              </w:rPr>
              <w:t>（投标时</w:t>
            </w:r>
            <w:r>
              <w:rPr>
                <w:rFonts w:hint="eastAsia" w:ascii="宋体" w:hAnsi="宋体" w:cs="宋体"/>
                <w:b/>
                <w:color w:val="000000"/>
                <w:kern w:val="0"/>
                <w:sz w:val="24"/>
                <w:szCs w:val="24"/>
                <w:lang w:val="en-US" w:eastAsia="zh-CN"/>
              </w:rPr>
              <w:t>投标人</w:t>
            </w:r>
            <w:r>
              <w:rPr>
                <w:rFonts w:hint="eastAsia" w:ascii="宋体" w:hAnsi="宋体" w:cs="宋体"/>
                <w:b/>
                <w:color w:val="000000"/>
                <w:kern w:val="0"/>
                <w:sz w:val="24"/>
                <w:szCs w:val="24"/>
              </w:rPr>
              <w:t>须提供无缝接入承诺函并加盖投标人公章）</w:t>
            </w:r>
            <w:r>
              <w:rPr>
                <w:rFonts w:hint="eastAsia" w:ascii="宋体" w:hAnsi="宋体" w:cs="宋体"/>
                <w:b/>
                <w:kern w:val="0"/>
                <w:sz w:val="24"/>
                <w:szCs w:val="24"/>
              </w:rPr>
              <w:t>。</w:t>
            </w:r>
            <w:r>
              <w:rPr>
                <w:rFonts w:hint="eastAsia" w:ascii="宋体" w:hAnsi="宋体" w:cs="宋体"/>
                <w:kern w:val="0"/>
                <w:sz w:val="24"/>
                <w:szCs w:val="24"/>
              </w:rPr>
              <w:br w:type="textWrapping"/>
            </w:r>
            <w:r>
              <w:rPr>
                <w:rFonts w:hint="eastAsia" w:ascii="宋体" w:hAnsi="宋体" w:cs="宋体"/>
                <w:kern w:val="0"/>
                <w:sz w:val="24"/>
                <w:szCs w:val="24"/>
              </w:rPr>
              <w:t>200万像素 逐行扫描1/2.8”CMOS，带HD-SDI接口、数字SDI输出1080P 25/30、1080P 50/60FPS，25倍光学变倍，焦距为4.8-120mm，最低照度：彩色：0.05Lux @ (F1.6，AGC ON)；黑白：0.01Lux @ (F1.6，AGC ON)，支持ICR红外滤光片式自动切换，宽动态120db，3D-DNR，网络输出、SDI输出，视频压缩:H.265 /H.264）</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 </w:t>
            </w:r>
          </w:p>
        </w:tc>
      </w:tr>
      <w:tr>
        <w:tblPrEx>
          <w:tblCellMar>
            <w:top w:w="0" w:type="dxa"/>
            <w:left w:w="108" w:type="dxa"/>
            <w:bottom w:w="0" w:type="dxa"/>
            <w:right w:w="108" w:type="dxa"/>
          </w:tblCellMar>
        </w:tblPrEx>
        <w:trPr>
          <w:trHeight w:val="51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2、音频采集系统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1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调音台</w:t>
            </w:r>
          </w:p>
        </w:tc>
        <w:tc>
          <w:tcPr>
            <w:tcW w:w="5256"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1）10个话筒 / 16个线路输入 (8个单声道 + 4个立体声)</w:t>
            </w:r>
            <w:r>
              <w:rPr>
                <w:rFonts w:hint="eastAsia" w:ascii="宋体" w:hAnsi="宋体" w:cs="宋体"/>
                <w:kern w:val="0"/>
                <w:sz w:val="24"/>
                <w:szCs w:val="24"/>
              </w:rPr>
              <w:br w:type="page"/>
            </w:r>
            <w:r>
              <w:rPr>
                <w:rFonts w:hint="eastAsia" w:ascii="宋体" w:hAnsi="宋体" w:cs="宋体"/>
                <w:kern w:val="0"/>
                <w:sz w:val="24"/>
                <w:szCs w:val="24"/>
              </w:rPr>
              <w:t>2）4编组母线 + 1立体声母线</w:t>
            </w:r>
            <w:r>
              <w:rPr>
                <w:rFonts w:hint="eastAsia" w:ascii="宋体" w:hAnsi="宋体" w:cs="宋体"/>
                <w:kern w:val="0"/>
                <w:sz w:val="24"/>
                <w:szCs w:val="24"/>
              </w:rPr>
              <w:br w:type="page"/>
            </w:r>
            <w:r>
              <w:rPr>
                <w:rFonts w:hint="eastAsia" w:ascii="宋体" w:hAnsi="宋体" w:cs="宋体"/>
                <w:kern w:val="0"/>
                <w:sz w:val="24"/>
                <w:szCs w:val="24"/>
              </w:rPr>
              <w:t>3）4 AUX,话放，带有倒向晶体管电路</w:t>
            </w:r>
            <w:r>
              <w:rPr>
                <w:rFonts w:hint="eastAsia" w:ascii="宋体" w:hAnsi="宋体" w:cs="宋体"/>
                <w:kern w:val="0"/>
                <w:sz w:val="24"/>
                <w:szCs w:val="24"/>
              </w:rPr>
              <w:br w:type="page"/>
            </w:r>
            <w:r>
              <w:rPr>
                <w:rFonts w:hint="eastAsia" w:ascii="宋体" w:hAnsi="宋体" w:cs="宋体"/>
                <w:kern w:val="0"/>
                <w:sz w:val="24"/>
                <w:szCs w:val="24"/>
              </w:rPr>
              <w:t>4）+48V幻象供电</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510"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壁挂喇叭（含安装支架）</w:t>
            </w:r>
          </w:p>
        </w:tc>
        <w:tc>
          <w:tcPr>
            <w:tcW w:w="5256"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szCs w:val="24"/>
              </w:rPr>
            </w:pPr>
            <w:r>
              <w:rPr>
                <w:rFonts w:hint="eastAsia" w:ascii="宋体" w:hAnsi="宋体" w:cs="宋体"/>
                <w:kern w:val="0"/>
                <w:sz w:val="24"/>
                <w:szCs w:val="24"/>
              </w:rPr>
              <w:t>频响：85HZ-20KHZ，功率：150W，灵敏度（LF/HF）：93dB，阻抗：8OHM，最大声压：113dB，水平覆盖度：120度（水平）*80度（垂直）</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r>
      <w:tr>
        <w:tblPrEx>
          <w:tblCellMar>
            <w:top w:w="0" w:type="dxa"/>
            <w:left w:w="108" w:type="dxa"/>
            <w:bottom w:w="0" w:type="dxa"/>
            <w:right w:w="108" w:type="dxa"/>
          </w:tblCellMar>
        </w:tblPrEx>
        <w:trPr>
          <w:trHeight w:val="51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专业功放</w:t>
            </w:r>
          </w:p>
        </w:tc>
        <w:tc>
          <w:tcPr>
            <w:tcW w:w="5256" w:type="dxa"/>
            <w:tcBorders>
              <w:top w:val="nil"/>
              <w:left w:val="nil"/>
              <w:bottom w:val="single" w:color="auto" w:sz="4" w:space="0"/>
              <w:right w:val="single" w:color="auto" w:sz="4" w:space="0"/>
            </w:tcBorders>
            <w:shd w:val="clear" w:color="000000" w:fill="FFFFFF"/>
          </w:tcPr>
          <w:p>
            <w:pPr>
              <w:widowControl/>
              <w:jc w:val="left"/>
              <w:rPr>
                <w:rFonts w:ascii="宋体" w:hAnsi="宋体" w:cs="宋体"/>
                <w:kern w:val="0"/>
                <w:sz w:val="24"/>
                <w:szCs w:val="24"/>
              </w:rPr>
            </w:pPr>
            <w:r>
              <w:rPr>
                <w:rFonts w:hint="eastAsia" w:ascii="宋体" w:hAnsi="宋体" w:cs="宋体"/>
                <w:kern w:val="0"/>
                <w:sz w:val="24"/>
                <w:szCs w:val="24"/>
              </w:rPr>
              <w:t>功率(2Ω)350W，功率(4Ω) 250W，功率(8Ω) 300W,技术参数:频率响应： ±0.75dB(20Hz-20kHz) ,信噪比: ＞95dB ,串音（1kHz）: -82dB ,串音（20kHz）: -58dB，每通道的额定负载阻抗为2Ω-8Ω，桥接单路输出的额定负载阻抗为4Ω-8Ω。</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510"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法庭专用鹅颈话筒</w:t>
            </w:r>
          </w:p>
        </w:tc>
        <w:tc>
          <w:tcPr>
            <w:tcW w:w="5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技术参数：类型：电容式；指向性：单一指向性（心型）；频率响应：100-18000Hz；灵敏度：-45dB；讯噪比：&gt;65dB(1KHz，1pa)；供电：双供电；指示灯：有；尺寸：直径13mm／全长455mm，重量 150g；最大声压：103dB(1KHz，THD1%)。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8 </w:t>
            </w:r>
          </w:p>
        </w:tc>
      </w:tr>
      <w:tr>
        <w:tblPrEx>
          <w:tblCellMar>
            <w:top w:w="0" w:type="dxa"/>
            <w:left w:w="108" w:type="dxa"/>
            <w:bottom w:w="0" w:type="dxa"/>
            <w:right w:w="108" w:type="dxa"/>
          </w:tblCellMar>
        </w:tblPrEx>
        <w:trPr>
          <w:trHeight w:val="78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网络电源时序器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网络型电源管理器，支持接入法院内网并最终接入法院法庭庭审综合运维管理系统进行统一管理和控制。8路网络型电源时序控制，每路延时1秒，延时10分钟关闭；整机容量不低于50A；采用符合CCC要求不低于24平方RVV软电缆，内部设计保留20%电流余量；支持标准RJ/45和RS232串口控制功能；可设置255个ID地址，最大可支持255台同时使用；支持物联网功能；支持直流电压控制，直流5V-24V电压控制时序开关，兼容电脑USB口跟随电脑开关机控制；支持外部墙开关和中控继电器外部开关控制和级联控制。</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3、三同步显示系统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120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color w:val="000000"/>
                <w:kern w:val="0"/>
                <w:sz w:val="24"/>
                <w:szCs w:val="24"/>
              </w:rPr>
              <w:t>★</w:t>
            </w:r>
            <w:r>
              <w:rPr>
                <w:rFonts w:hint="eastAsia" w:ascii="宋体" w:hAnsi="宋体" w:cs="宋体"/>
                <w:kern w:val="0"/>
                <w:sz w:val="24"/>
                <w:szCs w:val="24"/>
              </w:rPr>
              <w:t>液晶显示器(21.5"高清，含液晶显示器调节支架，法官*3、原被告各*2）</w:t>
            </w:r>
            <w:r>
              <w:rPr>
                <w:rFonts w:hint="eastAsia" w:ascii="宋体" w:hAnsi="宋体" w:cs="宋体"/>
                <w:b/>
                <w:bCs/>
                <w:kern w:val="0"/>
                <w:sz w:val="24"/>
                <w:szCs w:val="24"/>
                <w:lang w:eastAsia="zh-CN"/>
              </w:rPr>
              <w:t>（</w:t>
            </w:r>
            <w:r>
              <w:rPr>
                <w:rFonts w:hint="eastAsia" w:ascii="宋体" w:hAnsi="宋体" w:cs="宋体"/>
                <w:b/>
                <w:bCs/>
                <w:kern w:val="0"/>
                <w:sz w:val="24"/>
                <w:szCs w:val="24"/>
                <w:lang w:val="en-US" w:eastAsia="zh-CN"/>
              </w:rPr>
              <w:t>强制节能产品）</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21.5"显示器，显示比例：16：9，分辨率：1920*1080，亮度：200cd/m²，静态对比度：600：1，接口：HDMI或DVI*1 VGA*1。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7</w:t>
            </w:r>
          </w:p>
        </w:tc>
      </w:tr>
      <w:tr>
        <w:tblPrEx>
          <w:tblCellMar>
            <w:top w:w="0" w:type="dxa"/>
            <w:left w:w="108" w:type="dxa"/>
            <w:bottom w:w="0" w:type="dxa"/>
            <w:right w:w="108" w:type="dxa"/>
          </w:tblCellMar>
        </w:tblPrEx>
        <w:trPr>
          <w:trHeight w:val="1306"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法庭终端（含电子质证软件）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含电子质证客户端软件，电子质证客户端软件须接入新吴区人民法院现有电子质证系统进行统一管理和控制</w:t>
            </w:r>
          </w:p>
          <w:p>
            <w:pPr>
              <w:widowControl/>
              <w:jc w:val="left"/>
              <w:rPr>
                <w:rFonts w:ascii="宋体" w:hAnsi="宋体" w:cs="宋体"/>
                <w:kern w:val="0"/>
                <w:sz w:val="24"/>
                <w:szCs w:val="24"/>
              </w:rPr>
            </w:pPr>
            <w:r>
              <w:rPr>
                <w:rFonts w:hint="eastAsia" w:ascii="宋体" w:hAnsi="宋体" w:cs="宋体"/>
                <w:kern w:val="0"/>
                <w:sz w:val="24"/>
                <w:szCs w:val="24"/>
              </w:rPr>
              <w:t>硬件参数：配置不低于I5-10500/8G/1T+128SSD/集显 23.8液晶显示器</w:t>
            </w:r>
          </w:p>
          <w:p>
            <w:pPr>
              <w:widowControl/>
              <w:jc w:val="left"/>
              <w:rPr>
                <w:rFonts w:ascii="宋体" w:hAnsi="宋体" w:cs="宋体"/>
                <w:kern w:val="0"/>
                <w:sz w:val="24"/>
                <w:szCs w:val="24"/>
              </w:rPr>
            </w:pPr>
            <w:r>
              <w:rPr>
                <w:rFonts w:hint="eastAsia" w:ascii="宋体" w:hAnsi="宋体" w:cs="宋体"/>
                <w:kern w:val="0"/>
                <w:sz w:val="24"/>
                <w:szCs w:val="24"/>
              </w:rPr>
              <w:t>软件功能：1、支持庭审笔录的语音识别自动转录功能（须与法庭语音转写系统对接使用）；</w:t>
            </w:r>
            <w:r>
              <w:rPr>
                <w:rFonts w:hint="eastAsia" w:ascii="宋体" w:hAnsi="宋体" w:cs="宋体"/>
                <w:kern w:val="0"/>
                <w:sz w:val="24"/>
                <w:szCs w:val="24"/>
              </w:rPr>
              <w:br w:type="textWrapping"/>
            </w:r>
            <w:r>
              <w:rPr>
                <w:rFonts w:hint="eastAsia" w:ascii="宋体" w:hAnsi="宋体" w:cs="宋体"/>
                <w:kern w:val="0"/>
                <w:sz w:val="24"/>
                <w:szCs w:val="24"/>
              </w:rPr>
              <w:t>2、电子卷宗中电子证据的自动获取（须与法院通达海法综系统对接使用）；</w:t>
            </w:r>
            <w:r>
              <w:rPr>
                <w:rFonts w:hint="eastAsia" w:ascii="宋体" w:hAnsi="宋体" w:cs="宋体"/>
                <w:kern w:val="0"/>
                <w:sz w:val="24"/>
                <w:szCs w:val="24"/>
              </w:rPr>
              <w:br w:type="textWrapping"/>
            </w:r>
            <w:r>
              <w:rPr>
                <w:rFonts w:hint="eastAsia" w:ascii="宋体" w:hAnsi="宋体" w:cs="宋体"/>
                <w:b/>
                <w:bCs/>
                <w:kern w:val="0"/>
                <w:sz w:val="24"/>
                <w:szCs w:val="24"/>
              </w:rPr>
              <w:t>3、电子卷宗调阅：可以根据案件编号自动获取对应的电子卷宗内容，包括庭审笔录、证据、庭审录像等。主审法官及合议庭成员可根据案件审理需要，进行手工查阅；通过语音识别引擎，支持语音检索。（投标时须提</w:t>
            </w:r>
            <w:r>
              <w:rPr>
                <w:rFonts w:hint="eastAsia" w:ascii="宋体" w:hAnsi="宋体" w:cs="宋体"/>
                <w:b/>
                <w:bCs/>
                <w:kern w:val="0"/>
                <w:sz w:val="24"/>
                <w:szCs w:val="24"/>
                <w:highlight w:val="none"/>
              </w:rPr>
              <w:t>供</w:t>
            </w:r>
            <w:r>
              <w:rPr>
                <w:rFonts w:hint="eastAsia" w:ascii="宋体" w:hAnsi="宋体" w:eastAsia="宋体" w:cs="宋体"/>
                <w:b/>
                <w:bCs/>
                <w:sz w:val="24"/>
                <w:szCs w:val="24"/>
                <w:highlight w:val="none"/>
              </w:rPr>
              <w:t>中国软件评测中心出具的功能测试报告</w:t>
            </w:r>
            <w:r>
              <w:rPr>
                <w:rFonts w:hint="eastAsia" w:ascii="宋体" w:hAnsi="宋体" w:cs="宋体"/>
                <w:b/>
                <w:bCs/>
                <w:kern w:val="0"/>
                <w:sz w:val="24"/>
                <w:szCs w:val="24"/>
                <w:highlight w:val="none"/>
              </w:rPr>
              <w:t>扫描件并加盖投标人公章）</w:t>
            </w:r>
            <w:r>
              <w:rPr>
                <w:rFonts w:ascii="宋体" w:hAnsi="宋体" w:cs="宋体"/>
                <w:b/>
                <w:bCs/>
                <w:kern w:val="0"/>
                <w:sz w:val="24"/>
                <w:szCs w:val="24"/>
              </w:rPr>
              <w:t>。</w:t>
            </w:r>
          </w:p>
          <w:p>
            <w:pPr>
              <w:widowControl/>
              <w:jc w:val="left"/>
              <w:rPr>
                <w:rFonts w:ascii="宋体" w:hAnsi="宋体" w:cs="宋体"/>
                <w:kern w:val="0"/>
                <w:sz w:val="24"/>
                <w:szCs w:val="24"/>
              </w:rPr>
            </w:pPr>
            <w:r>
              <w:rPr>
                <w:rFonts w:ascii="宋体" w:hAnsi="宋体" w:cs="宋体"/>
                <w:b/>
                <w:bCs/>
                <w:kern w:val="0"/>
                <w:sz w:val="24"/>
                <w:szCs w:val="24"/>
                <w:highlight w:val="none"/>
              </w:rPr>
              <w:t>4</w:t>
            </w:r>
            <w:r>
              <w:rPr>
                <w:rFonts w:hint="eastAsia" w:ascii="宋体" w:hAnsi="宋体" w:cs="宋体"/>
                <w:b/>
                <w:bCs/>
                <w:kern w:val="0"/>
                <w:sz w:val="24"/>
                <w:szCs w:val="24"/>
                <w:highlight w:val="none"/>
              </w:rPr>
              <w:t>、笔录与证据同屏展示：可以进行庭审笔录和电子证据的同屏展示，屏幕左侧显示电子证据，法官可根据庭审情况切换需要展示的证据，电子证据可提前预览，屏幕右边显示庭审笔录。</w:t>
            </w:r>
            <w:r>
              <w:rPr>
                <w:rFonts w:hint="eastAsia" w:ascii="宋体" w:hAnsi="宋体" w:eastAsia="宋体" w:cs="宋体"/>
                <w:b/>
                <w:bCs/>
                <w:sz w:val="24"/>
                <w:szCs w:val="24"/>
                <w:highlight w:val="none"/>
              </w:rPr>
              <w:t>（投标时须提供中国软件评测中心出具的功能测试报告扫描件并加盖投标人公章）。</w:t>
            </w:r>
            <w:r>
              <w:rPr>
                <w:rFonts w:hint="eastAsia" w:ascii="宋体" w:hAnsi="宋体" w:cs="宋体"/>
                <w:kern w:val="0"/>
                <w:sz w:val="24"/>
                <w:szCs w:val="24"/>
              </w:rPr>
              <w:br w:type="textWrapping"/>
            </w:r>
            <w:r>
              <w:rPr>
                <w:rFonts w:ascii="宋体" w:hAnsi="宋体" w:cs="宋体"/>
                <w:kern w:val="0"/>
                <w:sz w:val="24"/>
                <w:szCs w:val="24"/>
              </w:rPr>
              <w:t>5</w:t>
            </w:r>
            <w:r>
              <w:rPr>
                <w:rFonts w:hint="eastAsia" w:ascii="宋体" w:hAnsi="宋体" w:cs="宋体"/>
                <w:kern w:val="0"/>
                <w:sz w:val="24"/>
                <w:szCs w:val="24"/>
              </w:rPr>
              <w:t>、电子证据的同屏批注互质功能，同步延时＜2秒；</w:t>
            </w:r>
          </w:p>
          <w:p>
            <w:pPr>
              <w:pStyle w:val="25"/>
              <w:ind w:firstLine="0" w:firstLineChars="0"/>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、电子证据与庭审笔录支持同屏展示。</w:t>
            </w:r>
          </w:p>
          <w:p>
            <w:pPr>
              <w:pStyle w:val="25"/>
              <w:ind w:firstLine="0" w:firstLineChars="0"/>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证据电子化：将实物证据、纸质证据等在庭前就进行扫描处理，随案件卷宗同步电子化，并进行统一的证据目录及文件标签处理。在法庭举证和质证阶段，以电子证据方式展示与质证，无需再由法警拿着实物证据进行现场采集或是给诉讼参与人逐个查看。通过语音识别与电子证据文件的匹配，实现电子证据的自动调阅功能，即语音唤醒证据。（须与法庭语音转写系统对接使用）</w:t>
            </w:r>
            <w:r>
              <w:rPr>
                <w:rFonts w:hint="eastAsia" w:ascii="宋体" w:hAnsi="宋体" w:eastAsia="宋体" w:cs="宋体"/>
                <w:sz w:val="24"/>
                <w:szCs w:val="24"/>
              </w:rPr>
              <w:br w:type="textWrapping"/>
            </w:r>
            <w:r>
              <w:rPr>
                <w:rFonts w:ascii="宋体" w:hAnsi="宋体" w:eastAsia="宋体" w:cs="宋体"/>
                <w:b/>
                <w:bCs/>
                <w:sz w:val="24"/>
                <w:szCs w:val="24"/>
                <w:highlight w:val="none"/>
              </w:rPr>
              <w:t>8</w:t>
            </w:r>
            <w:r>
              <w:rPr>
                <w:rFonts w:hint="eastAsia" w:ascii="宋体" w:hAnsi="宋体" w:eastAsia="宋体" w:cs="宋体"/>
                <w:b/>
                <w:bCs/>
                <w:sz w:val="24"/>
                <w:szCs w:val="24"/>
                <w:highlight w:val="none"/>
              </w:rPr>
              <w:t>、质证批注：可以进行庭审质证环节，各诉讼参与方以不同颜色进行证据批注，批注结果实时同步至其他一体机。法官可进行本地批注，批注结果不同屏显示。（投标时须提供中国软件评测中心出具的功能测试报告扫描件并加盖投标人公章）。</w:t>
            </w:r>
          </w:p>
          <w:p>
            <w:pPr>
              <w:pStyle w:val="25"/>
              <w:ind w:firstLine="0" w:firstLineChars="0"/>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支持庭审笔录和电子证据的同屏展示，笔录跟随语音识别或书记员手工录入自动同步；笔录信息的采集主要有以下三种方式：（1）语音识别（2）手工输入（3）书记员电脑屏显。前两种以文本方式采集和同步，第三种以音视频码流方式采集和传输，文本方式的可以控制是否同步并可浏览历史笔录，音视频方式的兼容性好，但只能被动观看，不能主动浏览历史笔录。</w:t>
            </w:r>
            <w:r>
              <w:rPr>
                <w:rFonts w:hint="eastAsia" w:ascii="宋体" w:hAnsi="宋体" w:eastAsia="宋体" w:cs="宋体"/>
                <w:sz w:val="24"/>
                <w:szCs w:val="24"/>
              </w:rPr>
              <w:br w:type="textWrapping"/>
            </w:r>
            <w:r>
              <w:rPr>
                <w:rFonts w:ascii="宋体" w:hAnsi="宋体" w:eastAsia="宋体" w:cs="宋体"/>
                <w:sz w:val="24"/>
                <w:szCs w:val="24"/>
              </w:rPr>
              <w:t>10</w:t>
            </w:r>
            <w:r>
              <w:rPr>
                <w:rFonts w:hint="eastAsia" w:ascii="宋体" w:hAnsi="宋体" w:eastAsia="宋体" w:cs="宋体"/>
                <w:sz w:val="24"/>
                <w:szCs w:val="24"/>
              </w:rPr>
              <w:t>、与科技法庭深度融合：语音识别系统采用第三方的成熟系统，但要与原有科技法庭系统进行业务接口的深度融合，不能以两套独立系统运行，从而增加书记员的工作负担。通过软件接口调用实现一键启动语音识别，自动获取庭审笔录内容，电子证据语音唤醒等功能。</w:t>
            </w:r>
            <w:r>
              <w:rPr>
                <w:rFonts w:hint="eastAsia" w:ascii="宋体" w:hAnsi="宋体" w:eastAsia="宋体" w:cs="宋体"/>
                <w:sz w:val="24"/>
                <w:szCs w:val="24"/>
              </w:rPr>
              <w:br w:type="textWrapping"/>
            </w:r>
            <w:r>
              <w:rPr>
                <w:rFonts w:hint="eastAsia" w:ascii="宋体" w:hAnsi="宋体" w:eastAsia="宋体" w:cs="宋体"/>
                <w:sz w:val="24"/>
                <w:szCs w:val="24"/>
              </w:rPr>
              <w:t>11、一键开庭：自动开启庭审录像，语音识别，电子示证；</w:t>
            </w:r>
            <w:r>
              <w:rPr>
                <w:rFonts w:hint="eastAsia" w:ascii="宋体" w:hAnsi="宋体" w:eastAsia="宋体" w:cs="宋体"/>
                <w:sz w:val="24"/>
                <w:szCs w:val="24"/>
              </w:rPr>
              <w:br w:type="textWrapping"/>
            </w: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、一键闭庭：自动停止庭审录像，获取语音转写或手工输入的笔录文件（TXT 或 WORD 格式），回传录像及笔录信息至通达海法综系统；</w:t>
            </w:r>
            <w:r>
              <w:rPr>
                <w:rFonts w:hint="eastAsia" w:ascii="宋体" w:hAnsi="宋体" w:eastAsia="宋体" w:cs="宋体"/>
                <w:sz w:val="24"/>
                <w:szCs w:val="24"/>
              </w:rPr>
              <w:br w:type="textWrapping"/>
            </w: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、根据关键字或法律法规编号检索对应的法律法规库，通过语音识别引擎，可支持语音检索，实现法律法规的“随讲随查”功能。</w:t>
            </w:r>
            <w:r>
              <w:rPr>
                <w:rFonts w:hint="eastAsia" w:ascii="宋体" w:hAnsi="宋体" w:eastAsia="宋体" w:cs="宋体"/>
                <w:sz w:val="24"/>
                <w:szCs w:val="24"/>
              </w:rPr>
              <w:br w:type="textWrapping"/>
            </w:r>
            <w:r>
              <w:rPr>
                <w:rFonts w:hint="eastAsia" w:ascii="宋体" w:hAnsi="宋体" w:eastAsia="宋体" w:cs="宋体"/>
                <w:sz w:val="24"/>
                <w:szCs w:val="24"/>
              </w:rPr>
              <w:t>1</w:t>
            </w:r>
            <w:r>
              <w:rPr>
                <w:rFonts w:ascii="宋体" w:hAnsi="宋体" w:eastAsia="宋体" w:cs="宋体"/>
                <w:sz w:val="24"/>
                <w:szCs w:val="24"/>
              </w:rPr>
              <w:t>4</w:t>
            </w:r>
            <w:r>
              <w:rPr>
                <w:rFonts w:hint="eastAsia" w:ascii="宋体" w:hAnsi="宋体" w:eastAsia="宋体" w:cs="宋体"/>
                <w:sz w:val="24"/>
                <w:szCs w:val="24"/>
              </w:rPr>
              <w:t>、根据案件编号、庭审编号自动创建群组，合议庭成员自动加入相关群组。在庭审过程中，可进行文本、图片、页面链接等多种方式的信息交互，实现案情和审判意见的实时交换。</w:t>
            </w:r>
            <w:r>
              <w:rPr>
                <w:rFonts w:hint="eastAsia" w:ascii="宋体" w:hAnsi="宋体" w:eastAsia="宋体" w:cs="宋体"/>
                <w:sz w:val="24"/>
                <w:szCs w:val="24"/>
              </w:rPr>
              <w:br w:type="textWrapping"/>
            </w:r>
            <w:r>
              <w:rPr>
                <w:rFonts w:hint="eastAsia" w:ascii="宋体" w:hAnsi="宋体" w:eastAsia="宋体" w:cs="宋体"/>
                <w:sz w:val="24"/>
                <w:szCs w:val="24"/>
              </w:rPr>
              <w:t>1</w:t>
            </w:r>
            <w:r>
              <w:rPr>
                <w:rFonts w:ascii="宋体" w:hAnsi="宋体" w:eastAsia="宋体" w:cs="宋体"/>
                <w:sz w:val="24"/>
                <w:szCs w:val="24"/>
              </w:rPr>
              <w:t>5</w:t>
            </w:r>
            <w:r>
              <w:rPr>
                <w:rFonts w:hint="eastAsia" w:ascii="宋体" w:hAnsi="宋体" w:eastAsia="宋体" w:cs="宋体"/>
                <w:sz w:val="24"/>
                <w:szCs w:val="24"/>
              </w:rPr>
              <w:t>、支持从法综系统自动获取电子卷宗内的证据信息，可手工切换证据展示。</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1</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原被告电源控制器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定制，原被告电源由书记员控制</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一分八HDMI信号分配器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(书记员/法官电脑HDMI信号分配审判3+原被告2)</w:t>
            </w:r>
            <w:r>
              <w:rPr>
                <w:rFonts w:hint="eastAsia" w:ascii="宋体" w:hAnsi="宋体" w:cs="宋体"/>
                <w:kern w:val="0"/>
                <w:sz w:val="24"/>
                <w:szCs w:val="24"/>
              </w:rPr>
              <w:br w:type="textWrapping"/>
            </w:r>
            <w:r>
              <w:rPr>
                <w:rFonts w:hint="eastAsia" w:ascii="宋体" w:hAnsi="宋体" w:cs="宋体"/>
                <w:kern w:val="0"/>
                <w:sz w:val="24"/>
                <w:szCs w:val="24"/>
              </w:rPr>
              <w:t>1、HDMI分辨率 24/50/60fs/1080P/1080i、720P/576P/576i/480P/480i</w:t>
            </w:r>
            <w:r>
              <w:rPr>
                <w:rFonts w:hint="eastAsia" w:ascii="宋体" w:hAnsi="宋体" w:cs="宋体"/>
                <w:kern w:val="0"/>
                <w:sz w:val="24"/>
                <w:szCs w:val="24"/>
              </w:rPr>
              <w:br w:type="textWrapping"/>
            </w:r>
            <w:r>
              <w:rPr>
                <w:rFonts w:hint="eastAsia" w:ascii="宋体" w:hAnsi="宋体" w:cs="宋体"/>
                <w:kern w:val="0"/>
                <w:sz w:val="24"/>
                <w:szCs w:val="24"/>
              </w:rPr>
              <w:t>2、支持音频色彩模式24位深色/30位/36位，支持音频格式TS/TD/Doiby-trueHo/LPCM7.1、DTS/Doiby-AC3/DSD</w:t>
            </w:r>
            <w:r>
              <w:rPr>
                <w:rFonts w:hint="eastAsia" w:ascii="宋体" w:hAnsi="宋体" w:cs="宋体"/>
                <w:kern w:val="0"/>
                <w:sz w:val="24"/>
                <w:szCs w:val="24"/>
              </w:rPr>
              <w:br w:type="textWrapping"/>
            </w:r>
            <w:r>
              <w:rPr>
                <w:rFonts w:hint="eastAsia" w:ascii="宋体" w:hAnsi="宋体" w:cs="宋体"/>
                <w:kern w:val="0"/>
                <w:sz w:val="24"/>
                <w:szCs w:val="24"/>
              </w:rPr>
              <w:t>3、最大传输速度 10.2Gbps,输入输出TMDS信号 0.5-1.5Vp-p(TTL),输入输出DDC信号 5Vp-p(TTL),输入线缆长度≤15m HDMI AWG26,输出线缆长度≤25m AWG26 HDMI1.3standard cable</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49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一分二HDMI信号分配器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1、HDMI分辨率24/50/60fs/1080P/1080i、720P/576P/576i/480P/480i</w:t>
            </w:r>
            <w:r>
              <w:rPr>
                <w:rFonts w:hint="eastAsia" w:ascii="宋体" w:hAnsi="宋体" w:cs="宋体"/>
                <w:kern w:val="0"/>
                <w:sz w:val="24"/>
                <w:szCs w:val="24"/>
              </w:rPr>
              <w:br w:type="textWrapping"/>
            </w:r>
            <w:r>
              <w:rPr>
                <w:rFonts w:hint="eastAsia" w:ascii="宋体" w:hAnsi="宋体" w:cs="宋体"/>
                <w:kern w:val="0"/>
                <w:sz w:val="24"/>
                <w:szCs w:val="24"/>
              </w:rPr>
              <w:t>2、支持音频色彩模式 24位深色/30位/36位，支持音频格式TS/TD/Doiby-trueHo/LPCM7.1、DTS/Doiby-AC3/DSD</w:t>
            </w:r>
            <w:r>
              <w:rPr>
                <w:rFonts w:hint="eastAsia" w:ascii="宋体" w:hAnsi="宋体" w:cs="宋体"/>
                <w:kern w:val="0"/>
                <w:sz w:val="24"/>
                <w:szCs w:val="24"/>
              </w:rPr>
              <w:br w:type="textWrapping"/>
            </w:r>
            <w:r>
              <w:rPr>
                <w:rFonts w:hint="eastAsia" w:ascii="宋体" w:hAnsi="宋体" w:cs="宋体"/>
                <w:kern w:val="0"/>
                <w:sz w:val="24"/>
                <w:szCs w:val="24"/>
              </w:rPr>
              <w:t>3、最大传输速度 10.2Gbps,输入输出TMDS信号 0.5-1.5Vp-p(TTL),输入输出DDC信号 5Vp-p(TTL),输入线缆长度≤15m HDMI AWG26,输出线缆长度≤25m AWG26 HDMI1.3standard cable</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72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4、科技法庭庭审编码、互联网法庭系统、庭审直播系统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61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第四法庭简约型庭审主机</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b/>
                <w:color w:val="000000"/>
                <w:kern w:val="0"/>
                <w:sz w:val="24"/>
                <w:szCs w:val="24"/>
              </w:rPr>
              <w:t>设备须无缝接入新吴法院、无锡中院、省高院现有高清科技法庭系统进行统一管理和开庭录像控制。（投标时须提供无缝接入承诺函并加盖投标人公章）。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硬件参数：2</w:t>
            </w:r>
            <w:r>
              <w:rPr>
                <w:rFonts w:ascii="宋体" w:hAnsi="宋体" w:cs="宋体"/>
                <w:color w:val="000000"/>
                <w:kern w:val="0"/>
                <w:sz w:val="24"/>
                <w:szCs w:val="24"/>
              </w:rPr>
              <w:t>U</w:t>
            </w:r>
            <w:r>
              <w:rPr>
                <w:rFonts w:hint="eastAsia" w:ascii="宋体" w:hAnsi="宋体" w:cs="宋体"/>
                <w:color w:val="000000"/>
                <w:kern w:val="0"/>
                <w:sz w:val="24"/>
                <w:szCs w:val="24"/>
              </w:rPr>
              <w:t>；系统：嵌入式 linux-3.18.20，双核@1.4GHz，内存：2GB；机箱结构：固定式非插拔结构；音频：音频输入 2路MIC、3路立体声；音频输出： 2路平衡、1路立体声、1路3.5监听；音频处理： DSP音频处理器，支持AEC、AFC、ANS、均衡、分组、变声、语音激励等。视频：视频输入 4路SDI、2路VGA、2路HDMI</w:t>
            </w:r>
          </w:p>
          <w:p>
            <w:pPr>
              <w:rPr>
                <w:rFonts w:ascii="宋体" w:hAnsi="宋体" w:cs="宋体"/>
                <w:color w:val="000000"/>
                <w:kern w:val="0"/>
                <w:sz w:val="24"/>
                <w:szCs w:val="24"/>
              </w:rPr>
            </w:pPr>
            <w:r>
              <w:rPr>
                <w:rFonts w:hint="eastAsia" w:ascii="宋体" w:hAnsi="宋体" w:cs="宋体"/>
                <w:color w:val="000000"/>
                <w:kern w:val="0"/>
                <w:sz w:val="24"/>
                <w:szCs w:val="24"/>
              </w:rPr>
              <w:t>(其中2 VGA和1路HDMI是三选一关系)；视频输出：2路HDMI、1路VGA；控制：RS232 5路RS485 2路，RS422 2路，IR 2路，IO 2路；网络：1路主控RJ45网口，1路音频处理器RJ45网口；USB：4路USB,其中1路USB 3.0；存储：硬盘 1T标准SATA硬盘；光驱：双USB外置光驱刻录</w:t>
            </w:r>
          </w:p>
          <w:p>
            <w:pPr>
              <w:rPr>
                <w:rFonts w:ascii="宋体" w:hAnsi="宋体" w:cs="宋体"/>
                <w:color w:val="000000"/>
                <w:kern w:val="0"/>
                <w:sz w:val="24"/>
                <w:szCs w:val="24"/>
              </w:rPr>
            </w:pPr>
            <w:r>
              <w:rPr>
                <w:rFonts w:hint="eastAsia" w:ascii="宋体" w:hAnsi="宋体" w:cs="宋体"/>
                <w:color w:val="000000"/>
                <w:kern w:val="0"/>
                <w:sz w:val="24"/>
                <w:szCs w:val="24"/>
              </w:rPr>
              <w:t>6.面板： 3个指示灯，1路红外学习；</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软件参数：</w:t>
            </w:r>
          </w:p>
          <w:p>
            <w:pPr>
              <w:rPr>
                <w:rFonts w:ascii="宋体" w:hAnsi="宋体" w:cs="宋体"/>
                <w:color w:val="000000"/>
                <w:kern w:val="0"/>
                <w:sz w:val="24"/>
                <w:szCs w:val="24"/>
              </w:rPr>
            </w:pPr>
            <w:r>
              <w:rPr>
                <w:rFonts w:hint="eastAsia" w:ascii="宋体" w:hAnsi="宋体" w:cs="宋体"/>
                <w:color w:val="000000"/>
                <w:kern w:val="0"/>
                <w:sz w:val="24"/>
                <w:szCs w:val="24"/>
              </w:rPr>
              <w:t>1.视频编码：H.265，H.264(HP/MP/BP)，编码：分辨率 CIF、4CIF（D1）、PAL、NTSC、480P、576P、720P、1080P、1920x1200，1280x800，1440x900，1366x768，1280x1024，1024x768，800x600、3840*2160【4K】，解码：分辨率 CIF、4CIF（D1）、PAL、NTSC、480P、576P、720P、1080P、1920x1200，1280x800，1440x900，1366x768，1280x1024，1024x768，800x600，帧率：5～30帧/秒，码率：32kbps～16Mbps，编解路数：8编4解；</w:t>
            </w:r>
          </w:p>
          <w:p>
            <w:pPr>
              <w:rPr>
                <w:rFonts w:ascii="宋体" w:hAnsi="宋体" w:cs="宋体"/>
                <w:color w:val="000000"/>
                <w:kern w:val="0"/>
                <w:sz w:val="24"/>
                <w:szCs w:val="24"/>
              </w:rPr>
            </w:pPr>
            <w:r>
              <w:rPr>
                <w:rFonts w:hint="eastAsia" w:ascii="宋体" w:hAnsi="宋体" w:cs="宋体"/>
                <w:color w:val="000000"/>
                <w:kern w:val="0"/>
                <w:sz w:val="24"/>
                <w:szCs w:val="24"/>
              </w:rPr>
              <w:t>2.画面合成：多画面2路合成画面，多种合成模式；</w:t>
            </w:r>
          </w:p>
          <w:p>
            <w:pPr>
              <w:rPr>
                <w:rFonts w:ascii="宋体" w:hAnsi="宋体" w:cs="宋体"/>
                <w:color w:val="000000"/>
                <w:kern w:val="0"/>
                <w:sz w:val="24"/>
                <w:szCs w:val="24"/>
              </w:rPr>
            </w:pPr>
            <w:r>
              <w:rPr>
                <w:rFonts w:hint="eastAsia" w:ascii="宋体" w:hAnsi="宋体" w:cs="宋体"/>
                <w:color w:val="000000"/>
                <w:kern w:val="0"/>
                <w:sz w:val="24"/>
                <w:szCs w:val="24"/>
              </w:rPr>
              <w:t>3.音频编解：算法 G.711A、G.711U、AAC-LC，采样率：8~48KHz，码率：8-320kbps，编解路数：2编4解；</w:t>
            </w:r>
          </w:p>
          <w:p>
            <w:pPr>
              <w:rPr>
                <w:rFonts w:ascii="宋体" w:hAnsi="宋体" w:cs="宋体"/>
                <w:color w:val="000000"/>
                <w:kern w:val="0"/>
                <w:sz w:val="24"/>
                <w:szCs w:val="24"/>
              </w:rPr>
            </w:pPr>
            <w:r>
              <w:rPr>
                <w:rFonts w:hint="eastAsia" w:ascii="宋体" w:hAnsi="宋体" w:cs="宋体"/>
                <w:color w:val="000000"/>
                <w:kern w:val="0"/>
                <w:sz w:val="24"/>
                <w:szCs w:val="24"/>
              </w:rPr>
              <w:t>4.网络协议：TCP/IP，流媒体协议： TCP/UDP/RTSP/RTP/RTMP/ONVIF/H.323/SIP/HTTP</w:t>
            </w:r>
          </w:p>
          <w:p>
            <w:pPr>
              <w:jc w:val="left"/>
              <w:rPr>
                <w:rFonts w:ascii="宋体" w:hAnsi="宋体" w:cs="宋体"/>
                <w:color w:val="000000"/>
                <w:kern w:val="0"/>
                <w:sz w:val="24"/>
                <w:szCs w:val="24"/>
              </w:rPr>
            </w:pPr>
            <w:r>
              <w:rPr>
                <w:rFonts w:hint="eastAsia" w:ascii="宋体" w:hAnsi="宋体" w:cs="宋体"/>
                <w:color w:val="000000"/>
                <w:kern w:val="0"/>
                <w:sz w:val="24"/>
                <w:szCs w:val="24"/>
              </w:rPr>
              <w:t>5.录播应用：录制 10路，并发：10点并发，回放：录制文件从输出端口回放，切换特效：12种切换特效，布局： 1/2/3/4/5/6/7/8 共23种，公网直播：支持；</w:t>
            </w:r>
          </w:p>
          <w:p>
            <w:pPr>
              <w:rPr>
                <w:rFonts w:ascii="宋体" w:hAnsi="宋体" w:cs="宋体"/>
                <w:color w:val="000000"/>
                <w:kern w:val="0"/>
                <w:sz w:val="24"/>
                <w:szCs w:val="24"/>
              </w:rPr>
            </w:pPr>
            <w:r>
              <w:rPr>
                <w:rFonts w:hint="eastAsia" w:ascii="宋体" w:hAnsi="宋体" w:cs="宋体"/>
                <w:color w:val="000000"/>
                <w:kern w:val="0"/>
                <w:sz w:val="24"/>
                <w:szCs w:val="24"/>
              </w:rPr>
              <w:t>6.视频会议： 互动协议 RTSP/H.323/SIP/RTMP</w:t>
            </w:r>
          </w:p>
          <w:p>
            <w:pPr>
              <w:rPr>
                <w:rFonts w:ascii="宋体" w:hAnsi="宋体" w:cs="宋体"/>
                <w:color w:val="000000"/>
                <w:kern w:val="0"/>
                <w:sz w:val="24"/>
                <w:szCs w:val="24"/>
              </w:rPr>
            </w:pPr>
            <w:r>
              <w:rPr>
                <w:rFonts w:hint="eastAsia" w:ascii="宋体" w:hAnsi="宋体" w:cs="宋体"/>
                <w:color w:val="000000"/>
                <w:kern w:val="0"/>
                <w:sz w:val="24"/>
                <w:szCs w:val="24"/>
              </w:rPr>
              <w:t>内置MCU： 4点1080P30 MCU；</w:t>
            </w:r>
          </w:p>
          <w:p>
            <w:pPr>
              <w:rPr>
                <w:rFonts w:ascii="宋体" w:hAnsi="宋体" w:cs="宋体"/>
                <w:color w:val="000000"/>
                <w:kern w:val="0"/>
                <w:sz w:val="24"/>
                <w:szCs w:val="24"/>
              </w:rPr>
            </w:pPr>
            <w:r>
              <w:rPr>
                <w:rFonts w:hint="eastAsia" w:ascii="宋体" w:hAnsi="宋体" w:cs="宋体"/>
                <w:color w:val="000000"/>
                <w:kern w:val="0"/>
                <w:sz w:val="24"/>
                <w:szCs w:val="24"/>
              </w:rPr>
              <w:t>7.设备管理 B/S WEB可视化管理</w:t>
            </w:r>
          </w:p>
          <w:p>
            <w:pPr>
              <w:rPr>
                <w:rFonts w:ascii="宋体" w:hAnsi="宋体" w:cs="宋体"/>
                <w:color w:val="000000"/>
                <w:kern w:val="0"/>
                <w:sz w:val="24"/>
                <w:szCs w:val="24"/>
              </w:rPr>
            </w:pPr>
            <w:r>
              <w:rPr>
                <w:rFonts w:ascii="宋体" w:hAnsi="宋体" w:cs="宋体"/>
                <w:color w:val="000000"/>
                <w:kern w:val="0"/>
                <w:sz w:val="24"/>
                <w:szCs w:val="24"/>
              </w:rPr>
              <w:t>8.</w:t>
            </w:r>
            <w:r>
              <w:rPr>
                <w:rFonts w:hint="eastAsia" w:ascii="宋体" w:hAnsi="宋体" w:cs="宋体"/>
                <w:color w:val="000000"/>
                <w:kern w:val="0"/>
                <w:sz w:val="24"/>
                <w:szCs w:val="24"/>
              </w:rPr>
              <w:t>需支持审判法庭庭审活动在系统中视频数据、音频数据等各类数据的采集、直播、录像、点播等各项功能。</w:t>
            </w:r>
          </w:p>
          <w:p>
            <w:pPr>
              <w:rPr>
                <w:rFonts w:ascii="宋体" w:hAnsi="宋体" w:cs="宋体"/>
                <w:color w:val="000000"/>
                <w:kern w:val="0"/>
                <w:sz w:val="24"/>
                <w:szCs w:val="24"/>
              </w:rPr>
            </w:pPr>
            <w:r>
              <w:rPr>
                <w:rFonts w:ascii="宋体" w:hAnsi="宋体" w:cs="宋体"/>
                <w:color w:val="000000"/>
                <w:kern w:val="0"/>
                <w:sz w:val="24"/>
                <w:szCs w:val="24"/>
              </w:rPr>
              <w:t>9.</w:t>
            </w:r>
            <w:r>
              <w:rPr>
                <w:rFonts w:hint="eastAsia" w:ascii="宋体" w:hAnsi="宋体" w:cs="宋体"/>
                <w:color w:val="000000"/>
                <w:kern w:val="0"/>
                <w:sz w:val="24"/>
                <w:szCs w:val="24"/>
              </w:rPr>
              <w:t>信号采集：需支持对接庭审活动中采集的音频数据、视频数据需采用符合最高院规范标准的音视频数据压缩算法，需保证整个庭审过程录像的安全性、同步性、完整性和流畅性。</w:t>
            </w:r>
          </w:p>
          <w:p>
            <w:pPr>
              <w:pStyle w:val="25"/>
              <w:ind w:firstLine="0" w:firstLineChars="0"/>
              <w:rPr>
                <w:rFonts w:ascii="宋体" w:hAnsi="宋体" w:eastAsia="宋体" w:cs="宋体"/>
                <w:color w:val="000000"/>
                <w:sz w:val="24"/>
                <w:szCs w:val="24"/>
              </w:rPr>
            </w:pPr>
            <w:r>
              <w:rPr>
                <w:rFonts w:ascii="Segoe UI Symbol" w:hAnsi="Segoe UI Symbol" w:eastAsia="宋体" w:cs="Segoe UI Symbol"/>
                <w:color w:val="000000"/>
                <w:sz w:val="24"/>
                <w:szCs w:val="24"/>
              </w:rPr>
              <w:t>10.</w:t>
            </w:r>
            <w:r>
              <w:rPr>
                <w:rFonts w:hint="eastAsia" w:ascii="宋体" w:hAnsi="宋体" w:eastAsia="宋体" w:cs="宋体"/>
                <w:color w:val="000000"/>
                <w:sz w:val="24"/>
                <w:szCs w:val="24"/>
              </w:rPr>
              <w:t>庭审录播：需支持系统中任意一路画面均保证全高清录播效果，系统用户可根据自己的需要随时放大某单路画面，需自由选择使用组合画面或者多路独立画面进行观看；能支持多画面同屏浏览人工/自动编辑视窗功能，能保证庭审过程画面的完整性，支持多种画面分割方式。</w:t>
            </w:r>
          </w:p>
          <w:p>
            <w:pPr>
              <w:pStyle w:val="112"/>
              <w:adjustRightInd w:val="0"/>
              <w:snapToGrid w:val="0"/>
              <w:jc w:val="left"/>
              <w:rPr>
                <w:rFonts w:ascii="宋体" w:hAnsi="宋体" w:cs="宋体"/>
                <w:b/>
                <w:bCs/>
                <w:sz w:val="24"/>
                <w:szCs w:val="24"/>
                <w:highlight w:val="none"/>
              </w:rPr>
            </w:pPr>
            <w:r>
              <w:rPr>
                <w:rFonts w:ascii="宋体" w:hAnsi="宋体" w:cs="宋体"/>
                <w:b/>
                <w:bCs/>
                <w:sz w:val="24"/>
                <w:szCs w:val="24"/>
                <w:highlight w:val="none"/>
              </w:rPr>
              <w:t>11.</w:t>
            </w:r>
            <w:r>
              <w:rPr>
                <w:rFonts w:hint="eastAsia" w:ascii="宋体" w:hAnsi="宋体"/>
                <w:b/>
                <w:bCs/>
                <w:sz w:val="24"/>
                <w:szCs w:val="24"/>
                <w:highlight w:val="none"/>
              </w:rPr>
              <w:t>异常修复：系统支持文件上传断电保护，支持断电续传。录制过程意外断电导致录制文件异常时，可通过主机管理页面一键修复</w:t>
            </w:r>
            <w:r>
              <w:rPr>
                <w:rFonts w:hint="eastAsia" w:ascii="宋体" w:hAnsi="宋体" w:cs="宋体"/>
                <w:b/>
                <w:bCs/>
                <w:sz w:val="24"/>
                <w:szCs w:val="24"/>
                <w:highlight w:val="none"/>
              </w:rPr>
              <w:t>。（</w:t>
            </w:r>
            <w:r>
              <w:rPr>
                <w:rFonts w:ascii="宋体" w:hAnsi="宋体"/>
                <w:b/>
                <w:bCs/>
                <w:color w:val="000000"/>
                <w:sz w:val="24"/>
                <w:szCs w:val="24"/>
                <w:highlight w:val="none"/>
              </w:rPr>
              <w:t>投标时</w:t>
            </w:r>
            <w:r>
              <w:rPr>
                <w:rFonts w:hint="eastAsia" w:ascii="宋体" w:hAnsi="宋体"/>
                <w:b/>
                <w:bCs/>
                <w:color w:val="000000"/>
                <w:sz w:val="24"/>
                <w:szCs w:val="24"/>
                <w:highlight w:val="none"/>
              </w:rPr>
              <w:t>须</w:t>
            </w:r>
            <w:r>
              <w:rPr>
                <w:rFonts w:ascii="宋体" w:hAnsi="宋体"/>
                <w:b/>
                <w:bCs/>
                <w:color w:val="000000"/>
                <w:sz w:val="24"/>
                <w:szCs w:val="24"/>
                <w:highlight w:val="none"/>
              </w:rPr>
              <w:t>提供由第三方权威检验机构（具有CMA或CNAS资质）出具的检测报告</w:t>
            </w:r>
            <w:r>
              <w:rPr>
                <w:rFonts w:hint="eastAsia" w:ascii="宋体" w:hAnsi="宋体"/>
                <w:b/>
                <w:bCs/>
                <w:color w:val="000000"/>
                <w:sz w:val="24"/>
                <w:szCs w:val="24"/>
                <w:highlight w:val="none"/>
              </w:rPr>
              <w:t>扫描件</w:t>
            </w:r>
            <w:r>
              <w:rPr>
                <w:rFonts w:ascii="宋体" w:hAnsi="宋体"/>
                <w:b/>
                <w:bCs/>
                <w:color w:val="000000"/>
                <w:sz w:val="24"/>
                <w:szCs w:val="24"/>
                <w:highlight w:val="none"/>
              </w:rPr>
              <w:t>并加盖投标</w:t>
            </w:r>
            <w:r>
              <w:rPr>
                <w:rFonts w:hint="eastAsia" w:ascii="宋体" w:hAnsi="宋体"/>
                <w:b/>
                <w:bCs/>
                <w:color w:val="000000"/>
                <w:sz w:val="24"/>
                <w:szCs w:val="24"/>
                <w:highlight w:val="none"/>
              </w:rPr>
              <w:t>人</w:t>
            </w:r>
            <w:r>
              <w:rPr>
                <w:rFonts w:ascii="宋体" w:hAnsi="宋体"/>
                <w:b/>
                <w:bCs/>
                <w:color w:val="000000"/>
                <w:sz w:val="24"/>
                <w:szCs w:val="24"/>
                <w:highlight w:val="none"/>
              </w:rPr>
              <w:t>公章</w:t>
            </w:r>
            <w:r>
              <w:rPr>
                <w:rFonts w:hint="eastAsia" w:ascii="宋体" w:hAnsi="宋体" w:cs="宋体"/>
                <w:b/>
                <w:bCs/>
                <w:sz w:val="24"/>
                <w:szCs w:val="24"/>
                <w:highlight w:val="none"/>
              </w:rPr>
              <w:t>）</w:t>
            </w:r>
          </w:p>
          <w:p>
            <w:pPr>
              <w:pStyle w:val="112"/>
              <w:adjustRightInd w:val="0"/>
              <w:snapToGrid w:val="0"/>
              <w:jc w:val="left"/>
              <w:rPr>
                <w:rFonts w:ascii="宋体" w:hAnsi="宋体" w:cs="宋体"/>
                <w:b/>
                <w:bCs/>
                <w:sz w:val="24"/>
                <w:szCs w:val="24"/>
                <w:highlight w:val="none"/>
              </w:rPr>
            </w:pPr>
            <w:r>
              <w:rPr>
                <w:rFonts w:ascii="宋体" w:hAnsi="宋体" w:cs="宋体"/>
                <w:b/>
                <w:bCs/>
                <w:sz w:val="24"/>
                <w:szCs w:val="24"/>
                <w:highlight w:val="none"/>
              </w:rPr>
              <w:t>12.</w:t>
            </w:r>
            <w:r>
              <w:rPr>
                <w:rFonts w:hint="eastAsia" w:ascii="宋体" w:hAnsi="宋体" w:cs="宋体"/>
                <w:b/>
                <w:bCs/>
                <w:sz w:val="24"/>
                <w:szCs w:val="24"/>
                <w:highlight w:val="none"/>
              </w:rPr>
              <w:t>远程提审</w:t>
            </w:r>
            <w:r>
              <w:rPr>
                <w:rFonts w:hint="eastAsia" w:ascii="宋体" w:hAnsi="宋体"/>
                <w:b/>
                <w:bCs/>
                <w:sz w:val="24"/>
                <w:szCs w:val="24"/>
                <w:highlight w:val="none"/>
              </w:rPr>
              <w:t>：支持</w:t>
            </w:r>
            <w:r>
              <w:rPr>
                <w:rFonts w:ascii="宋体" w:hAnsi="宋体"/>
                <w:b/>
                <w:bCs/>
                <w:sz w:val="24"/>
                <w:szCs w:val="24"/>
                <w:highlight w:val="none"/>
              </w:rPr>
              <w:t xml:space="preserve"> H.323、SIP 协议。支</w:t>
            </w:r>
            <w:r>
              <w:rPr>
                <w:rFonts w:ascii="宋体" w:hAnsi="宋体" w:cs="宋体"/>
                <w:b/>
                <w:bCs/>
                <w:sz w:val="24"/>
                <w:szCs w:val="24"/>
                <w:highlight w:val="none"/>
              </w:rPr>
              <w:t>持主机与主机、主机与第三</w:t>
            </w:r>
            <w:r>
              <w:rPr>
                <w:rFonts w:hint="eastAsia" w:ascii="宋体" w:hAnsi="宋体" w:cs="宋体"/>
                <w:b/>
                <w:bCs/>
                <w:sz w:val="24"/>
                <w:szCs w:val="24"/>
                <w:highlight w:val="none"/>
              </w:rPr>
              <w:t>方视频会议终端对接、主机与移动通讯终端对接，实现音视频远程提审。（</w:t>
            </w:r>
            <w:r>
              <w:rPr>
                <w:rFonts w:ascii="宋体" w:hAnsi="宋体"/>
                <w:b/>
                <w:bCs/>
                <w:color w:val="000000"/>
                <w:sz w:val="24"/>
                <w:szCs w:val="24"/>
                <w:highlight w:val="none"/>
              </w:rPr>
              <w:t>投标时</w:t>
            </w:r>
            <w:r>
              <w:rPr>
                <w:rFonts w:hint="eastAsia" w:ascii="宋体" w:hAnsi="宋体"/>
                <w:b/>
                <w:bCs/>
                <w:color w:val="000000"/>
                <w:sz w:val="24"/>
                <w:szCs w:val="24"/>
                <w:highlight w:val="none"/>
              </w:rPr>
              <w:t>须</w:t>
            </w:r>
            <w:r>
              <w:rPr>
                <w:rFonts w:ascii="宋体" w:hAnsi="宋体"/>
                <w:b/>
                <w:bCs/>
                <w:color w:val="000000"/>
                <w:sz w:val="24"/>
                <w:szCs w:val="24"/>
                <w:highlight w:val="none"/>
              </w:rPr>
              <w:t>提供由第三方权威检验机构（具有CMA或CNAS资质）出具的检测报告</w:t>
            </w:r>
            <w:r>
              <w:rPr>
                <w:rFonts w:hint="eastAsia" w:ascii="宋体" w:hAnsi="宋体"/>
                <w:b/>
                <w:bCs/>
                <w:color w:val="000000"/>
                <w:sz w:val="24"/>
                <w:szCs w:val="24"/>
                <w:highlight w:val="none"/>
              </w:rPr>
              <w:t>扫描件</w:t>
            </w:r>
            <w:r>
              <w:rPr>
                <w:rFonts w:ascii="宋体" w:hAnsi="宋体"/>
                <w:b/>
                <w:bCs/>
                <w:color w:val="000000"/>
                <w:sz w:val="24"/>
                <w:szCs w:val="24"/>
                <w:highlight w:val="none"/>
              </w:rPr>
              <w:t>并加盖投标</w:t>
            </w:r>
            <w:r>
              <w:rPr>
                <w:rFonts w:hint="eastAsia" w:ascii="宋体" w:hAnsi="宋体"/>
                <w:b/>
                <w:bCs/>
                <w:color w:val="000000"/>
                <w:sz w:val="24"/>
                <w:szCs w:val="24"/>
                <w:highlight w:val="none"/>
              </w:rPr>
              <w:t>人</w:t>
            </w:r>
            <w:r>
              <w:rPr>
                <w:rFonts w:ascii="宋体" w:hAnsi="宋体"/>
                <w:b/>
                <w:bCs/>
                <w:color w:val="000000"/>
                <w:sz w:val="24"/>
                <w:szCs w:val="24"/>
                <w:highlight w:val="none"/>
              </w:rPr>
              <w:t>公章</w:t>
            </w:r>
            <w:r>
              <w:rPr>
                <w:rFonts w:hint="eastAsia" w:ascii="宋体" w:hAnsi="宋体" w:cs="宋体"/>
                <w:b/>
                <w:bCs/>
                <w:sz w:val="24"/>
                <w:szCs w:val="24"/>
                <w:highlight w:val="none"/>
              </w:rPr>
              <w:t>）</w:t>
            </w:r>
          </w:p>
          <w:p>
            <w:pPr>
              <w:pStyle w:val="112"/>
              <w:adjustRightInd w:val="0"/>
              <w:snapToGrid w:val="0"/>
              <w:jc w:val="left"/>
              <w:rPr>
                <w:rFonts w:ascii="宋体" w:hAnsi="宋体" w:cs="宋体"/>
                <w:b/>
                <w:bCs/>
                <w:sz w:val="24"/>
                <w:szCs w:val="24"/>
                <w:highlight w:val="none"/>
              </w:rPr>
            </w:pPr>
            <w:r>
              <w:rPr>
                <w:rFonts w:ascii="宋体" w:hAnsi="宋体" w:cs="宋体"/>
                <w:b/>
                <w:bCs/>
                <w:sz w:val="24"/>
                <w:szCs w:val="24"/>
                <w:highlight w:val="none"/>
              </w:rPr>
              <w:t>13.</w:t>
            </w:r>
            <w:r>
              <w:rPr>
                <w:rFonts w:hint="eastAsia" w:ascii="宋体" w:hAnsi="宋体" w:cs="宋体"/>
                <w:b/>
                <w:bCs/>
                <w:sz w:val="24"/>
                <w:szCs w:val="24"/>
                <w:highlight w:val="none"/>
              </w:rPr>
              <w:t>刻录加密：支持对光盘进行数字加密，生成唯一不可修改加密序列号，需要检验密码才能查看光盘内录像文件，支持防擦写。（</w:t>
            </w:r>
            <w:r>
              <w:rPr>
                <w:rFonts w:ascii="宋体" w:hAnsi="宋体"/>
                <w:b/>
                <w:bCs/>
                <w:color w:val="000000"/>
                <w:sz w:val="24"/>
                <w:szCs w:val="24"/>
                <w:highlight w:val="none"/>
              </w:rPr>
              <w:t>投标时</w:t>
            </w:r>
            <w:r>
              <w:rPr>
                <w:rFonts w:hint="eastAsia" w:ascii="宋体" w:hAnsi="宋体"/>
                <w:b/>
                <w:bCs/>
                <w:color w:val="000000"/>
                <w:sz w:val="24"/>
                <w:szCs w:val="24"/>
                <w:highlight w:val="none"/>
              </w:rPr>
              <w:t>须</w:t>
            </w:r>
            <w:r>
              <w:rPr>
                <w:rFonts w:ascii="宋体" w:hAnsi="宋体"/>
                <w:b/>
                <w:bCs/>
                <w:color w:val="000000"/>
                <w:sz w:val="24"/>
                <w:szCs w:val="24"/>
                <w:highlight w:val="none"/>
              </w:rPr>
              <w:t>提供由第三方权威检验机构（具有CMA或CNAS资质）出具的检测报告</w:t>
            </w:r>
            <w:r>
              <w:rPr>
                <w:rFonts w:hint="eastAsia" w:ascii="宋体" w:hAnsi="宋体"/>
                <w:b/>
                <w:bCs/>
                <w:color w:val="000000"/>
                <w:sz w:val="24"/>
                <w:szCs w:val="24"/>
                <w:highlight w:val="none"/>
              </w:rPr>
              <w:t>扫描件</w:t>
            </w:r>
            <w:r>
              <w:rPr>
                <w:rFonts w:ascii="宋体" w:hAnsi="宋体"/>
                <w:b/>
                <w:bCs/>
                <w:color w:val="000000"/>
                <w:sz w:val="24"/>
                <w:szCs w:val="24"/>
                <w:highlight w:val="none"/>
              </w:rPr>
              <w:t>并加盖投标</w:t>
            </w:r>
            <w:r>
              <w:rPr>
                <w:rFonts w:hint="eastAsia" w:ascii="宋体" w:hAnsi="宋体"/>
                <w:b/>
                <w:bCs/>
                <w:color w:val="000000"/>
                <w:sz w:val="24"/>
                <w:szCs w:val="24"/>
                <w:highlight w:val="none"/>
              </w:rPr>
              <w:t>人</w:t>
            </w:r>
            <w:r>
              <w:rPr>
                <w:rFonts w:ascii="宋体" w:hAnsi="宋体"/>
                <w:b/>
                <w:bCs/>
                <w:color w:val="000000"/>
                <w:sz w:val="24"/>
                <w:szCs w:val="24"/>
                <w:highlight w:val="none"/>
              </w:rPr>
              <w:t>公章</w:t>
            </w:r>
            <w:r>
              <w:rPr>
                <w:rFonts w:hint="eastAsia" w:ascii="宋体" w:hAnsi="宋体" w:cs="宋体"/>
                <w:b/>
                <w:bCs/>
                <w:sz w:val="24"/>
                <w:szCs w:val="24"/>
                <w:highlight w:val="none"/>
              </w:rPr>
              <w:t>）</w:t>
            </w:r>
          </w:p>
          <w:p>
            <w:pPr>
              <w:pStyle w:val="112"/>
              <w:adjustRightInd w:val="0"/>
              <w:snapToGrid w:val="0"/>
              <w:jc w:val="left"/>
              <w:rPr>
                <w:rFonts w:ascii="宋体" w:hAnsi="宋体" w:cs="宋体"/>
                <w:sz w:val="24"/>
                <w:szCs w:val="24"/>
              </w:rPr>
            </w:pPr>
            <w:r>
              <w:rPr>
                <w:rFonts w:ascii="宋体" w:hAnsi="宋体" w:cs="宋体"/>
                <w:b/>
                <w:bCs/>
                <w:sz w:val="24"/>
                <w:szCs w:val="24"/>
                <w:highlight w:val="none"/>
              </w:rPr>
              <w:t>14.</w:t>
            </w:r>
            <w:r>
              <w:rPr>
                <w:rFonts w:hint="eastAsia" w:ascii="宋体" w:hAnsi="宋体" w:cs="宋体"/>
                <w:b/>
                <w:bCs/>
                <w:sz w:val="24"/>
                <w:szCs w:val="24"/>
                <w:highlight w:val="none"/>
              </w:rPr>
              <w:t>马赛克处理：支持单画面不少于</w:t>
            </w:r>
            <w:r>
              <w:rPr>
                <w:rFonts w:ascii="宋体" w:hAnsi="宋体" w:cs="宋体"/>
                <w:b/>
                <w:bCs/>
                <w:sz w:val="24"/>
                <w:szCs w:val="24"/>
                <w:highlight w:val="none"/>
              </w:rPr>
              <w:t xml:space="preserve"> 2 个人脸动态马赛克处理（马赛克</w:t>
            </w:r>
            <w:r>
              <w:rPr>
                <w:rFonts w:hint="eastAsia" w:ascii="宋体" w:hAnsi="宋体" w:cs="宋体"/>
                <w:b/>
                <w:bCs/>
                <w:sz w:val="24"/>
                <w:szCs w:val="24"/>
                <w:highlight w:val="none"/>
              </w:rPr>
              <w:t>随人脸移动</w:t>
            </w:r>
            <w:r>
              <w:rPr>
                <w:rFonts w:ascii="宋体" w:hAnsi="宋体" w:cs="宋体"/>
                <w:b/>
                <w:bCs/>
                <w:sz w:val="24"/>
                <w:szCs w:val="24"/>
                <w:highlight w:val="none"/>
              </w:rPr>
              <w:t>）</w:t>
            </w:r>
            <w:r>
              <w:rPr>
                <w:rFonts w:hint="eastAsia" w:ascii="宋体" w:hAnsi="宋体" w:cs="宋体"/>
                <w:b/>
                <w:bCs/>
                <w:sz w:val="24"/>
                <w:szCs w:val="24"/>
                <w:highlight w:val="none"/>
              </w:rPr>
              <w:t>，</w:t>
            </w:r>
            <w:r>
              <w:rPr>
                <w:rFonts w:ascii="宋体" w:hAnsi="宋体" w:cs="宋体"/>
                <w:b/>
                <w:bCs/>
                <w:sz w:val="24"/>
                <w:szCs w:val="24"/>
                <w:highlight w:val="none"/>
              </w:rPr>
              <w:t>支持自定义设置马赛克等级（薄</w:t>
            </w:r>
            <w:r>
              <w:rPr>
                <w:rFonts w:hint="eastAsia" w:ascii="宋体" w:hAnsi="宋体" w:cs="宋体"/>
                <w:b/>
                <w:bCs/>
                <w:sz w:val="24"/>
                <w:szCs w:val="24"/>
                <w:highlight w:val="none"/>
              </w:rPr>
              <w:t>码</w:t>
            </w:r>
            <w:r>
              <w:rPr>
                <w:rFonts w:ascii="宋体" w:hAnsi="宋体" w:cs="宋体"/>
                <w:b/>
                <w:bCs/>
                <w:sz w:val="24"/>
                <w:szCs w:val="24"/>
                <w:highlight w:val="none"/>
              </w:rPr>
              <w:t xml:space="preserve"> ，中码，厚码）和区域大小。</w:t>
            </w:r>
            <w:r>
              <w:rPr>
                <w:rFonts w:hint="eastAsia" w:ascii="宋体" w:hAnsi="宋体" w:cs="宋体"/>
                <w:b/>
                <w:bCs/>
                <w:sz w:val="24"/>
                <w:szCs w:val="24"/>
                <w:highlight w:val="none"/>
              </w:rPr>
              <w:t>（</w:t>
            </w:r>
            <w:r>
              <w:rPr>
                <w:rFonts w:ascii="宋体" w:hAnsi="宋体"/>
                <w:b/>
                <w:bCs/>
                <w:color w:val="000000"/>
                <w:sz w:val="24"/>
                <w:szCs w:val="24"/>
                <w:highlight w:val="none"/>
              </w:rPr>
              <w:t>投标时</w:t>
            </w:r>
            <w:r>
              <w:rPr>
                <w:rFonts w:hint="eastAsia" w:ascii="宋体" w:hAnsi="宋体"/>
                <w:b/>
                <w:bCs/>
                <w:color w:val="000000"/>
                <w:sz w:val="24"/>
                <w:szCs w:val="24"/>
                <w:highlight w:val="none"/>
              </w:rPr>
              <w:t>须</w:t>
            </w:r>
            <w:r>
              <w:rPr>
                <w:rFonts w:ascii="宋体" w:hAnsi="宋体"/>
                <w:b/>
                <w:bCs/>
                <w:color w:val="000000"/>
                <w:sz w:val="24"/>
                <w:szCs w:val="24"/>
                <w:highlight w:val="none"/>
              </w:rPr>
              <w:t>提供由第三方权威检验机构（具有CMA或CNAS资质）出具的检测报告</w:t>
            </w:r>
            <w:r>
              <w:rPr>
                <w:rFonts w:hint="eastAsia" w:ascii="宋体" w:hAnsi="宋体"/>
                <w:b/>
                <w:bCs/>
                <w:color w:val="000000"/>
                <w:sz w:val="24"/>
                <w:szCs w:val="24"/>
                <w:highlight w:val="none"/>
              </w:rPr>
              <w:t>扫描件</w:t>
            </w:r>
            <w:r>
              <w:rPr>
                <w:rFonts w:ascii="宋体" w:hAnsi="宋体"/>
                <w:b/>
                <w:bCs/>
                <w:color w:val="000000"/>
                <w:sz w:val="24"/>
                <w:szCs w:val="24"/>
                <w:highlight w:val="none"/>
              </w:rPr>
              <w:t>并加盖投标</w:t>
            </w:r>
            <w:r>
              <w:rPr>
                <w:rFonts w:hint="eastAsia" w:ascii="宋体" w:hAnsi="宋体"/>
                <w:b/>
                <w:bCs/>
                <w:color w:val="000000"/>
                <w:sz w:val="24"/>
                <w:szCs w:val="24"/>
                <w:highlight w:val="none"/>
              </w:rPr>
              <w:t>人</w:t>
            </w:r>
            <w:r>
              <w:rPr>
                <w:rFonts w:ascii="宋体" w:hAnsi="宋体"/>
                <w:b/>
                <w:bCs/>
                <w:color w:val="000000"/>
                <w:sz w:val="24"/>
                <w:szCs w:val="24"/>
                <w:highlight w:val="none"/>
              </w:rPr>
              <w:t>公章</w:t>
            </w:r>
            <w:r>
              <w:rPr>
                <w:rFonts w:hint="eastAsia" w:ascii="宋体" w:hAnsi="宋体" w:cs="宋体"/>
                <w:b/>
                <w:bCs/>
                <w:sz w:val="24"/>
                <w:szCs w:val="24"/>
                <w:highlight w:val="none"/>
              </w:rPr>
              <w:t>）</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58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第四法庭庭审直播主机</w:t>
            </w:r>
          </w:p>
        </w:tc>
        <w:tc>
          <w:tcPr>
            <w:tcW w:w="5256" w:type="dxa"/>
            <w:tcBorders>
              <w:top w:val="nil"/>
              <w:left w:val="nil"/>
              <w:bottom w:val="single" w:color="auto" w:sz="4" w:space="0"/>
              <w:right w:val="single" w:color="auto" w:sz="4" w:space="0"/>
            </w:tcBorders>
            <w:shd w:val="clear" w:color="000000" w:fill="FFFFFF"/>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设备须无缝接入法院现有庭审直播系统进行统一管理和直播控制。（投标时</w:t>
            </w:r>
            <w:r>
              <w:rPr>
                <w:rFonts w:hint="eastAsia" w:ascii="宋体" w:hAnsi="宋体" w:cs="宋体"/>
                <w:b/>
                <w:bCs/>
                <w:color w:val="000000"/>
                <w:kern w:val="0"/>
                <w:sz w:val="24"/>
                <w:szCs w:val="24"/>
                <w:lang w:val="en-US" w:eastAsia="zh-CN"/>
              </w:rPr>
              <w:t>投标人</w:t>
            </w:r>
            <w:r>
              <w:rPr>
                <w:rFonts w:hint="eastAsia" w:ascii="宋体" w:hAnsi="宋体" w:cs="宋体"/>
                <w:b/>
                <w:bCs/>
                <w:color w:val="000000"/>
                <w:kern w:val="0"/>
                <w:sz w:val="24"/>
                <w:szCs w:val="24"/>
              </w:rPr>
              <w:t>须提供无缝接入承诺函并加盖投标人公章）。</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硬件：1.视频：输入：1路HDMI输入，1路VGA输入；输出：1路 HDMI输出；输入分辨率：最高支持3840*2160@30Hz；编码标准：H.265/H.264；编码级别：H. 265；HIGH/MAIN/BASELINE PROFILE；H. 264 HIGH/MAIN/BASELINE PROFILE；2.音频：输入：1路HDMI内嵌音频，2路音频输入（左右声道）；输出：1路HDMI输出，1路音频环出；采样率：48000；3.IP输出:接口：10/100/1000M自适应以太网口，TS标准流;4.系统:网络协议：支持HTTP,RTSP,RT MP，TS标准流;配置管理：支持WEB配置，TF卡升级;5.通用:电源：12V~2A;额定电流：1A。</w:t>
            </w:r>
          </w:p>
          <w:p>
            <w:pPr>
              <w:pStyle w:val="25"/>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软件：内置有计算机软件著作权的音视频处理软件，编码处理后的画面符合在“江苏法院庭审直播网”上播出的要求，能够根据直播指令的要求准确进行编码工作，并将处理后的数据流传输到流媒体网关上。</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64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单路高清解码器</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设备采用嵌入式架构，专用Linux系统，使用DSP解码。为了设备稳定可靠运行，不得采用工控机或者PC机的X86架构。</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要求设备具备1个HDMI接口、1个VGA接口、1个语音接口、8路报警输入、8路报警输出、1个RS485接口、1个RS232 接口、1个CVBS模拟视频输出接口和1个RJ45 网线接口。</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具有1个电源指示灯，2个硬盘指示灯。</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可对客户端电脑桌面解码输出显示。</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可通过客户端软件导入和导出设备配置参数。</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可通过客户端软件设置输出分辨率为1024×768（60Hz）、1280×1024（60Hz）、1280×720（60Hz）、1280×720（50Hz）、1920×1080（50Hz）、1920×1080（60Hz）、1600×1200（60Hz）、1680×1050（60Hz）、3840x2160（30Hz）。</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可通过客户端软件将显示窗口在多个显示屏间进行拖动或跨屏显示，并可调节显示窗口大小。</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支持视频轮巡功能，并可在客户端软件设置轮巡计划。</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可分别通过IE浏览器及客户端软件两种方式访问样机。</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支持1、2、4、6、8、9、10、12、16、25、36画面分割显示。</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可通过客户端软件对接入的云台进行控制；可通过RS485接口连接键盘实现键盘对接入的云台进行控制。</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可通过客户端软件对设备进行恢复出厂设置。</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具有NTP校时及客户端软件手动校时两种校时方式。</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可对以下分辨率及编码格式的视频图像进行解码后输出：4路分辨率为1920×1080（30fps）的MJPEG视频图像。</w:t>
            </w:r>
          </w:p>
          <w:p>
            <w:pPr>
              <w:widowControl/>
              <w:jc w:val="left"/>
              <w:rPr>
                <w:rFonts w:ascii="宋体" w:hAnsi="宋体" w:cs="宋体"/>
                <w:color w:val="000000"/>
                <w:kern w:val="0"/>
                <w:sz w:val="24"/>
                <w:szCs w:val="24"/>
              </w:rPr>
            </w:pPr>
            <w:r>
              <w:rPr>
                <w:rFonts w:hint="eastAsia" w:ascii="宋体" w:hAnsi="宋体" w:cs="宋体"/>
                <w:color w:val="000000"/>
                <w:kern w:val="0"/>
                <w:sz w:val="24"/>
                <w:szCs w:val="24"/>
              </w:rPr>
              <w:t>可通过VGA视频输入接口接入分辨率为1024×768（60Hz）、800×600（60Hz）、1280×1024（60Hz）、1280×720（60Hz）、1280×720（50Hz）、1280×960（60Hz）、1600×1200（60Hz）、1920×1080（50Hz）、1920×1080（60Hz）、1680×1050（60Hz）、1366×768（60Hz）、1280×800（60Hz）、1440×900（60Hz）的视频图像并显示。</w:t>
            </w:r>
          </w:p>
          <w:p>
            <w:pPr>
              <w:pStyle w:val="25"/>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支持解码音频格式为G.722、G.711A、G.726、G.711U、MPEG2-L2、AAC的文件。</w:t>
            </w:r>
          </w:p>
          <w:p>
            <w:pPr>
              <w:pStyle w:val="25"/>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可对输入的视频画面进行90°旋转显示。</w:t>
            </w:r>
          </w:p>
          <w:p>
            <w:pPr>
              <w:pStyle w:val="25"/>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可通过客户端软件上传分辨率为1920×1080的JPEG图片，作为墙纸显示在窗口图层底图，可通过客户端软件设置底色，当无解码画面时，设备输出显示该底色。</w:t>
            </w:r>
          </w:p>
          <w:p>
            <w:pPr>
              <w:pStyle w:val="25"/>
              <w:ind w:firstLine="0" w:firstLineChars="0"/>
            </w:pPr>
            <w:r>
              <w:rPr>
                <w:rFonts w:hint="eastAsia" w:ascii="宋体" w:hAnsi="宋体" w:eastAsia="宋体" w:cs="宋体"/>
                <w:color w:val="000000"/>
                <w:sz w:val="24"/>
                <w:szCs w:val="24"/>
              </w:rPr>
              <w:t>可通过APP客户端对设备输出的视频图像进行控制操作。</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9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5、其他系统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9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高清线缆HD-SDI</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数字视频线缆，采用优质高纯度（OFC）无氧单芯铜丝，发泡聚乙烯绝缘，编织加铝箔屏蔽，屏蔽覆盖率95％，黑色聚氯乙烯护套。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400</w:t>
            </w:r>
          </w:p>
        </w:tc>
      </w:tr>
      <w:tr>
        <w:tblPrEx>
          <w:tblCellMar>
            <w:top w:w="0" w:type="dxa"/>
            <w:left w:w="108" w:type="dxa"/>
            <w:bottom w:w="0" w:type="dxa"/>
            <w:right w:w="108" w:type="dxa"/>
          </w:tblCellMar>
        </w:tblPrEx>
        <w:trPr>
          <w:trHeight w:val="49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超五类非屏蔽4对室内线缆</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超五类U/UTP非屏蔽双绞线；导体直径：24AWG；ANSI/TIA类别：5E；特征阻抗：100欧姆；直流电阻，最大值：9.38欧姆/100米；工作频率，最大值：100MHz；传输标准：ANSI/TIA-568.2-D | CENELEC EN 50288-3-1 | ISO/IEC 11801 Class D；护套：PVC；火焰试验方法：CM；</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箱</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 </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话筒线</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RCEVJP1 2×16/0.15</w:t>
            </w:r>
            <w:r>
              <w:rPr>
                <w:rFonts w:hint="eastAsia" w:ascii="宋体" w:hAnsi="宋体" w:cs="宋体"/>
                <w:kern w:val="0"/>
                <w:sz w:val="24"/>
                <w:szCs w:val="24"/>
              </w:rPr>
              <w:br w:type="textWrapping"/>
            </w:r>
            <w:r>
              <w:rPr>
                <w:rFonts w:hint="eastAsia" w:ascii="宋体" w:hAnsi="宋体" w:cs="宋体"/>
                <w:kern w:val="0"/>
                <w:sz w:val="24"/>
                <w:szCs w:val="24"/>
              </w:rPr>
              <w:t>缠绕屏蔽麦克风线缆，采用优质高纯度（OFC）无氧铜丝绞合，特别配方聚氯乙烯绝缘，黑色弹性聚氯乙烯护套。</w:t>
            </w:r>
            <w:r>
              <w:rPr>
                <w:rFonts w:hint="eastAsia" w:ascii="宋体" w:hAnsi="宋体" w:cs="宋体"/>
                <w:kern w:val="0"/>
                <w:sz w:val="24"/>
                <w:szCs w:val="24"/>
              </w:rPr>
              <w:br w:type="textWrapping"/>
            </w:r>
            <w:r>
              <w:rPr>
                <w:rFonts w:hint="eastAsia" w:ascii="宋体" w:hAnsi="宋体" w:cs="宋体"/>
                <w:kern w:val="0"/>
                <w:sz w:val="24"/>
                <w:szCs w:val="24"/>
              </w:rPr>
              <w:t>导体截面积：0.3mm2</w:t>
            </w:r>
            <w:r>
              <w:rPr>
                <w:rFonts w:hint="eastAsia" w:ascii="宋体" w:hAnsi="宋体" w:cs="宋体"/>
                <w:kern w:val="0"/>
                <w:sz w:val="24"/>
                <w:szCs w:val="24"/>
              </w:rPr>
              <w:br w:type="textWrapping"/>
            </w:r>
            <w:r>
              <w:rPr>
                <w:rFonts w:hint="eastAsia" w:ascii="宋体" w:hAnsi="宋体" w:cs="宋体"/>
                <w:kern w:val="0"/>
                <w:sz w:val="24"/>
                <w:szCs w:val="24"/>
              </w:rPr>
              <w:t>导体直流电阻59Ω /km</w:t>
            </w:r>
            <w:r>
              <w:rPr>
                <w:rFonts w:hint="eastAsia" w:ascii="宋体" w:hAnsi="宋体" w:cs="宋体"/>
                <w:kern w:val="0"/>
                <w:sz w:val="24"/>
                <w:szCs w:val="24"/>
              </w:rPr>
              <w:br w:type="textWrapping"/>
            </w:r>
            <w:r>
              <w:rPr>
                <w:rFonts w:hint="eastAsia" w:ascii="宋体" w:hAnsi="宋体" w:cs="宋体"/>
                <w:kern w:val="0"/>
                <w:sz w:val="24"/>
                <w:szCs w:val="24"/>
              </w:rPr>
              <w:t>2芯加黄铜丝缠绕屏蔽</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800 </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HDMI电缆</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HDMI 15米</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20 </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HDMI连接线</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HDMI 1.5米</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 </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电源线</w:t>
            </w:r>
          </w:p>
        </w:tc>
        <w:tc>
          <w:tcPr>
            <w:tcW w:w="5256" w:type="dxa"/>
            <w:tcBorders>
              <w:top w:val="nil"/>
              <w:left w:val="nil"/>
              <w:bottom w:val="single" w:color="000000" w:sz="4" w:space="0"/>
              <w:right w:val="single" w:color="000000" w:sz="4" w:space="0"/>
            </w:tcBorders>
            <w:vAlign w:val="center"/>
          </w:tcPr>
          <w:p>
            <w:pPr>
              <w:widowControl/>
              <w:rPr>
                <w:rFonts w:ascii="宋体" w:hAnsi="宋体" w:cs="宋体"/>
                <w:kern w:val="0"/>
                <w:sz w:val="24"/>
                <w:szCs w:val="24"/>
              </w:rPr>
            </w:pPr>
            <w:r>
              <w:rPr>
                <w:rFonts w:hint="eastAsia" w:ascii="宋体" w:hAnsi="宋体" w:cs="宋体"/>
                <w:kern w:val="0"/>
                <w:sz w:val="24"/>
                <w:szCs w:val="24"/>
              </w:rPr>
              <w:t>RVV2*1.5㎡电源线</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650</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7</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电源线</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国产优质RVV3*1.5平方</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380 </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8</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扬声器电缆</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国产优质EVJE 2*1.5</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米</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300 </w:t>
            </w:r>
          </w:p>
        </w:tc>
      </w:tr>
      <w:tr>
        <w:tblPrEx>
          <w:tblCellMar>
            <w:top w:w="0" w:type="dxa"/>
            <w:left w:w="108" w:type="dxa"/>
            <w:bottom w:w="0" w:type="dxa"/>
            <w:right w:w="108" w:type="dxa"/>
          </w:tblCellMar>
        </w:tblPrEx>
        <w:trPr>
          <w:trHeight w:val="72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9</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多媒体地插（含多媒体接插件）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尺寸：300*150mm，翻盖式、铜面、含电源及音频接插件、不含网络模块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28 </w:t>
            </w:r>
          </w:p>
        </w:tc>
      </w:tr>
      <w:tr>
        <w:tblPrEx>
          <w:tblCellMar>
            <w:top w:w="0" w:type="dxa"/>
            <w:left w:w="108" w:type="dxa"/>
            <w:bottom w:w="0" w:type="dxa"/>
            <w:right w:w="108" w:type="dxa"/>
          </w:tblCellMar>
        </w:tblPrEx>
        <w:trPr>
          <w:trHeight w:val="48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10</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第四法庭机柜</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600*600*1200mm，前玻璃门后铁门，托板3块</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144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法庭原设备利旧安装（拆除、保洁、安装、调试）</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包含12台原有庭审专用摄像机，3个法庭的原有音频采集系统，2套原有简约型科技法庭多路高清编码主机、庭审直播编码主机拆除、保洁、安装、调试</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46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安装辅材</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SDI专用接头、水晶头、音频接插件、管道接头、拖线板、扎带等</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5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七、信息公开发布系统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2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1、P2.5LED发布大屏</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74"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室内2.5mm表贴全彩3合1全真彩LED点阵显示屏（显示尺寸：3200mm*1980mm，含屏体框架、电源系统、发送接收系统）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1.显示屏点间距2.5mm，像素密度160000点/平米；</w:t>
            </w:r>
          </w:p>
          <w:p>
            <w:pPr>
              <w:widowControl/>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.显示屏显示尺寸：3200mm*1980mm，显示面积6.336平米，显示分辨率是1280*792；</w:t>
            </w:r>
          </w:p>
          <w:p>
            <w:pPr>
              <w:widowControl/>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.水平视角：≥170度，垂直视角：≥170度；</w:t>
            </w:r>
          </w:p>
          <w:p>
            <w:pPr>
              <w:widowControl/>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.刷新率：≥3840HZ；</w:t>
            </w:r>
          </w:p>
          <w:p>
            <w:pPr>
              <w:widowControl/>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.亮度：≥600cd/㎡；</w:t>
            </w:r>
          </w:p>
          <w:p>
            <w:pPr>
              <w:widowControl/>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.色温：1000K-18000K可调；</w:t>
            </w:r>
          </w:p>
          <w:p>
            <w:pPr>
              <w:widowControl/>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.亮度均匀性：≥99%；</w:t>
            </w:r>
          </w:p>
          <w:p>
            <w:pPr>
              <w:widowControl/>
              <w:jc w:val="left"/>
              <w:rPr>
                <w:rFonts w:ascii="宋体" w:hAnsi="宋体" w:cs="宋体"/>
                <w:kern w:val="0"/>
                <w:sz w:val="24"/>
                <w:szCs w:val="24"/>
              </w:rPr>
            </w:pPr>
            <w:r>
              <w:rPr>
                <w:rFonts w:ascii="宋体" w:hAnsi="宋体" w:cs="宋体"/>
                <w:kern w:val="0"/>
                <w:sz w:val="24"/>
                <w:szCs w:val="24"/>
              </w:rPr>
              <w:t>8</w:t>
            </w:r>
            <w:r>
              <w:rPr>
                <w:rFonts w:hint="eastAsia" w:ascii="宋体" w:hAnsi="宋体" w:cs="宋体"/>
                <w:kern w:val="0"/>
                <w:sz w:val="24"/>
                <w:szCs w:val="24"/>
              </w:rPr>
              <w:t>.采用320mm*180mm模组磁吸拼装，铝底壳模组；</w:t>
            </w:r>
          </w:p>
          <w:p>
            <w:pPr>
              <w:widowControl/>
              <w:jc w:val="left"/>
              <w:rPr>
                <w:rFonts w:ascii="宋体" w:hAnsi="宋体" w:cs="宋体"/>
                <w:kern w:val="0"/>
                <w:sz w:val="24"/>
                <w:szCs w:val="24"/>
              </w:rPr>
            </w:pPr>
            <w:r>
              <w:rPr>
                <w:rFonts w:ascii="宋体" w:hAnsi="宋体" w:cs="宋体"/>
                <w:kern w:val="0"/>
                <w:sz w:val="24"/>
                <w:szCs w:val="24"/>
              </w:rPr>
              <w:t>9</w:t>
            </w:r>
            <w:r>
              <w:rPr>
                <w:rFonts w:hint="eastAsia" w:ascii="宋体" w:hAnsi="宋体" w:cs="宋体"/>
                <w:kern w:val="0"/>
                <w:sz w:val="24"/>
                <w:szCs w:val="24"/>
              </w:rPr>
              <w:t>.峰值功耗：≤450W/㎡，平均功耗：≤150W/㎡；</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0</w:t>
            </w:r>
            <w:r>
              <w:rPr>
                <w:rFonts w:hint="eastAsia" w:ascii="宋体" w:hAnsi="宋体" w:cs="宋体"/>
                <w:kern w:val="0"/>
                <w:sz w:val="24"/>
                <w:szCs w:val="24"/>
              </w:rPr>
              <w:t>.低亮高灰：100%亮度时，16bit灰度；70%亮度时，16bit灰度；50%亮度时，16bit灰度；20%亮度时，15bit灰度；</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r>
              <w:rPr>
                <w:rFonts w:hint="eastAsia" w:ascii="宋体" w:hAnsi="宋体" w:cs="宋体"/>
                <w:kern w:val="0"/>
                <w:sz w:val="24"/>
                <w:szCs w:val="24"/>
              </w:rPr>
              <w:t>.支持单点亮度校正和单点颜色校正；</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.维护方式：模组、电源、接收卡支持前后维护；</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w:t>
            </w:r>
            <w:r>
              <w:rPr>
                <w:rFonts w:hint="eastAsia" w:ascii="宋体" w:hAnsi="宋体" w:cs="宋体"/>
                <w:kern w:val="0"/>
                <w:sz w:val="24"/>
                <w:szCs w:val="24"/>
              </w:rPr>
              <w:t>.换帧频率：50HZ&amp;60HZ；</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w:t>
            </w:r>
            <w:r>
              <w:rPr>
                <w:rFonts w:hint="eastAsia" w:ascii="宋体" w:hAnsi="宋体" w:cs="宋体"/>
                <w:kern w:val="0"/>
                <w:sz w:val="24"/>
                <w:szCs w:val="24"/>
              </w:rPr>
              <w:t>.防护等级：≥IP6X；</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5</w:t>
            </w:r>
            <w:r>
              <w:rPr>
                <w:rFonts w:hint="eastAsia" w:ascii="宋体" w:hAnsi="宋体" w:cs="宋体"/>
                <w:kern w:val="0"/>
                <w:sz w:val="24"/>
                <w:szCs w:val="24"/>
              </w:rPr>
              <w:t>.具有智能（黑屏）节电功能，开启智能节电功能比没有开启节能40%；</w:t>
            </w:r>
          </w:p>
          <w:p>
            <w:pPr>
              <w:widowControl/>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6.</w:t>
            </w:r>
            <w:r>
              <w:rPr>
                <w:rFonts w:hint="eastAsia" w:ascii="宋体" w:hAnsi="宋体" w:cs="宋体"/>
                <w:kern w:val="0"/>
                <w:sz w:val="24"/>
                <w:szCs w:val="24"/>
              </w:rPr>
              <w:t>含屏体框架、电源系统、发送接收系统。</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平方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6.336</w:t>
            </w:r>
          </w:p>
        </w:tc>
      </w:tr>
      <w:tr>
        <w:tblPrEx>
          <w:tblCellMar>
            <w:top w:w="0" w:type="dxa"/>
            <w:left w:w="108" w:type="dxa"/>
            <w:bottom w:w="0" w:type="dxa"/>
            <w:right w:w="108" w:type="dxa"/>
          </w:tblCellMar>
        </w:tblPrEx>
        <w:trPr>
          <w:trHeight w:val="84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拼接处理器</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1、单台带载能力1040万像素、最宽16384像素、最高8192像素，集视频处理、视频控制以及 LED 屏体配置等功能于一体，具备多种类的视频信号接收能力、超高清全 4K×2K@60Hz 的图像处理能力和发送能力。2、拥有完备的视频输入接口 1 路 HDMI 2.0，4 路 DVI，1 路 3G-SDI。3、多输出，大带载支持 16 路网口和 4 路光纤输出，带载高达 1040 万像素。4、支持 HDR 输出能够极大地增强显示屏的画质，使画面色彩更加真实生动，细节更加清晰。5、支持个性化的画质缩放支持三种画面缩放模式，包括点对点模式、全屏缩放、自定义缩放。6、多窗口显示支持 5 窗口任意布局。7、支持预监输出画面将预监内容通过 HDMI 发送到显示器显示。8、支持智能控制软件进行操作控制。9、支持场景预设最多可创建 10 个用户场景作为模板保存，可直接调用，方便使用。10、支持 EDID 管理支持用户自定义 EDID 和预设 EDID。11、支持视频格式：RGB4：4：4、YCbCr4：4：4、YCbCr4：2：2、3840×2160@60Hz向下兼容。设备须与江苏省法院综和管理系统对接实时获取排庭信息。</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72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配电柜（含PLC智能控制）</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10(KW)浪涌、漏电保护，标配壁挂安装；远程上电、烟雾报警、温度报警；</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r>
      <w:tr>
        <w:tblPrEx>
          <w:tblCellMar>
            <w:top w:w="0" w:type="dxa"/>
            <w:left w:w="108" w:type="dxa"/>
            <w:bottom w:w="0" w:type="dxa"/>
            <w:right w:w="108" w:type="dxa"/>
          </w:tblCellMar>
        </w:tblPrEx>
        <w:trPr>
          <w:trHeight w:val="1032"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安装线材及辅材</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超五类非屏蔽网线、RVV电源线、电源插座、接插件、音视频跳线、线槽等。满足项目需求</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525"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2、立案窗口条屏</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78"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服务窗口LED显示条屏</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立案庭窗口条屏，点间距</w:t>
            </w:r>
            <w:r>
              <w:rPr>
                <w:rFonts w:ascii="宋体" w:hAnsi="宋体" w:cs="宋体"/>
                <w:kern w:val="0"/>
                <w:sz w:val="24"/>
                <w:szCs w:val="24"/>
              </w:rPr>
              <w:t>F3.75 2行8字窗口屏</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块</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r>
      <w:tr>
        <w:tblPrEx>
          <w:tblCellMar>
            <w:top w:w="0" w:type="dxa"/>
            <w:left w:w="108" w:type="dxa"/>
            <w:bottom w:w="0" w:type="dxa"/>
            <w:right w:w="108" w:type="dxa"/>
          </w:tblCellMar>
        </w:tblPrEx>
        <w:trPr>
          <w:trHeight w:val="52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3、信息发布系统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3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信息发布终端客户端授权（接入新吴法院现有信息发布系统）</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信息发布软件终端许可软件，接入新吴法院原有信息发布系统</w:t>
            </w:r>
          </w:p>
          <w:p>
            <w:pPr>
              <w:widowControl/>
              <w:jc w:val="left"/>
              <w:rPr>
                <w:rFonts w:ascii="宋体" w:hAnsi="宋体" w:cs="宋体"/>
                <w:kern w:val="0"/>
                <w:sz w:val="24"/>
                <w:szCs w:val="24"/>
              </w:rPr>
            </w:pPr>
            <w:r>
              <w:rPr>
                <w:rFonts w:hint="eastAsia" w:ascii="宋体" w:hAnsi="宋体" w:cs="宋体"/>
                <w:kern w:val="0"/>
                <w:sz w:val="24"/>
                <w:szCs w:val="24"/>
              </w:rPr>
              <w:t>1) 支持多级单位、用户管理功能；组织架构等多级管理功能。数据支持新建、删除、修改等，用户管理支持excel批量导入、导出功能；支持管理员功能，可以把整个平台的功能分类授权给下属管理员。</w:t>
            </w:r>
          </w:p>
          <w:p>
            <w:pPr>
              <w:widowControl/>
              <w:jc w:val="left"/>
              <w:rPr>
                <w:rFonts w:ascii="宋体" w:hAnsi="宋体" w:cs="宋体"/>
                <w:kern w:val="0"/>
                <w:sz w:val="24"/>
                <w:szCs w:val="24"/>
              </w:rPr>
            </w:pPr>
            <w:r>
              <w:rPr>
                <w:rFonts w:hint="eastAsia" w:ascii="宋体" w:hAnsi="宋体" w:cs="宋体"/>
                <w:kern w:val="0"/>
                <w:sz w:val="24"/>
                <w:szCs w:val="24"/>
              </w:rPr>
              <w:t>1、播放终端运行监控</w:t>
            </w:r>
          </w:p>
          <w:p>
            <w:pPr>
              <w:widowControl/>
              <w:jc w:val="left"/>
              <w:rPr>
                <w:rFonts w:ascii="宋体" w:hAnsi="宋体" w:cs="宋体"/>
                <w:kern w:val="0"/>
                <w:sz w:val="24"/>
                <w:szCs w:val="24"/>
              </w:rPr>
            </w:pPr>
            <w:r>
              <w:rPr>
                <w:rFonts w:hint="eastAsia" w:ascii="宋体" w:hAnsi="宋体" w:cs="宋体"/>
                <w:kern w:val="0"/>
                <w:sz w:val="24"/>
                <w:szCs w:val="24"/>
              </w:rPr>
              <w:t>1.1集成各种显示终端，不同内容、不同媒介、不同屏幕都在统一的平台进行管理，使不同的信息显示终端能够有条不紊的工作；支持对终端屏幕运行状态进行监控，包括屏幕运行是否正常，当前节目播放情况，显示当前终端屏幕的尺寸、分辨率及操作系统信息。</w:t>
            </w:r>
          </w:p>
          <w:p>
            <w:pPr>
              <w:widowControl/>
              <w:jc w:val="left"/>
              <w:rPr>
                <w:rFonts w:ascii="宋体" w:hAnsi="宋体" w:cs="宋体"/>
                <w:kern w:val="0"/>
                <w:sz w:val="24"/>
                <w:szCs w:val="24"/>
              </w:rPr>
            </w:pPr>
            <w:r>
              <w:rPr>
                <w:rFonts w:hint="eastAsia" w:ascii="宋体" w:hAnsi="宋体" w:cs="宋体"/>
                <w:kern w:val="0"/>
                <w:sz w:val="24"/>
                <w:szCs w:val="24"/>
              </w:rPr>
              <w:t>1.2支持终端按理位置或业务类型等自定义不同的区域、行业进行分组。支持查看权限内所有播放终端当前的节目内容画面并能截图显示，支持调整显示布局格式，支持通过区域、分组以及分辨率等条件进行终端的筛选。支持批量对终端发布信息指令、开始/停止播放、截图、全屏、清空数据等操作，查看该终端的数据日志及维修记录批量进行控制。</w:t>
            </w:r>
          </w:p>
          <w:p>
            <w:pPr>
              <w:widowControl/>
              <w:jc w:val="left"/>
              <w:rPr>
                <w:rFonts w:ascii="宋体" w:hAnsi="宋体" w:cs="宋体"/>
                <w:kern w:val="0"/>
                <w:sz w:val="24"/>
                <w:szCs w:val="24"/>
              </w:rPr>
            </w:pPr>
            <w:r>
              <w:rPr>
                <w:rFonts w:hint="eastAsia" w:ascii="宋体" w:hAnsi="宋体" w:cs="宋体"/>
                <w:kern w:val="0"/>
                <w:sz w:val="24"/>
                <w:szCs w:val="24"/>
              </w:rPr>
              <w:t>1.3支持设置终端节目下载策略、节目内容下载策略以及下载速度策略。下载文件时中途出现网络中断、网络恢复的时可自动继续下载。</w:t>
            </w:r>
          </w:p>
          <w:p>
            <w:pPr>
              <w:widowControl/>
              <w:jc w:val="left"/>
              <w:rPr>
                <w:rFonts w:ascii="宋体" w:hAnsi="宋体" w:cs="宋体"/>
                <w:kern w:val="0"/>
                <w:sz w:val="24"/>
                <w:szCs w:val="24"/>
              </w:rPr>
            </w:pPr>
            <w:r>
              <w:rPr>
                <w:rFonts w:hint="eastAsia" w:ascii="宋体" w:hAnsi="宋体" w:cs="宋体"/>
                <w:kern w:val="0"/>
                <w:sz w:val="24"/>
                <w:szCs w:val="24"/>
              </w:rPr>
              <w:t>1.4支持按每日或每周对播放终端设置管理策略，实现自动化的管理。</w:t>
            </w:r>
          </w:p>
          <w:p>
            <w:pPr>
              <w:widowControl/>
              <w:jc w:val="left"/>
              <w:rPr>
                <w:rFonts w:ascii="宋体" w:hAnsi="宋体" w:cs="宋体"/>
                <w:kern w:val="0"/>
                <w:sz w:val="24"/>
                <w:szCs w:val="24"/>
              </w:rPr>
            </w:pPr>
            <w:r>
              <w:rPr>
                <w:rFonts w:hint="eastAsia" w:ascii="宋体" w:hAnsi="宋体" w:cs="宋体"/>
                <w:kern w:val="0"/>
                <w:sz w:val="24"/>
                <w:szCs w:val="24"/>
              </w:rPr>
              <w:t>1.5支持插播功能，插播节目支持区域性显示，播放后自动消失，不影响设备使用或原有计划节目发布内容。</w:t>
            </w:r>
          </w:p>
          <w:p>
            <w:pPr>
              <w:widowControl/>
              <w:jc w:val="left"/>
              <w:rPr>
                <w:rFonts w:ascii="宋体" w:hAnsi="宋体" w:cs="宋体"/>
                <w:kern w:val="0"/>
                <w:sz w:val="24"/>
                <w:szCs w:val="24"/>
              </w:rPr>
            </w:pPr>
            <w:r>
              <w:rPr>
                <w:rFonts w:hint="eastAsia" w:ascii="宋体" w:hAnsi="宋体" w:cs="宋体"/>
                <w:kern w:val="0"/>
                <w:sz w:val="24"/>
                <w:szCs w:val="24"/>
              </w:rPr>
              <w:t>2) 节目制作</w:t>
            </w:r>
          </w:p>
          <w:p>
            <w:pPr>
              <w:widowControl/>
              <w:jc w:val="left"/>
              <w:rPr>
                <w:rFonts w:ascii="宋体" w:hAnsi="宋体" w:cs="宋体"/>
                <w:kern w:val="0"/>
                <w:sz w:val="24"/>
                <w:szCs w:val="24"/>
              </w:rPr>
            </w:pPr>
            <w:r>
              <w:rPr>
                <w:rFonts w:hint="eastAsia" w:ascii="宋体" w:hAnsi="宋体" w:cs="宋体"/>
                <w:kern w:val="0"/>
                <w:sz w:val="24"/>
                <w:szCs w:val="24"/>
              </w:rPr>
              <w:t>2.1支持可视化制作方式，基于WEB无需安装任何工具或插件，直调添加、拖放、调整多媒体信息内容，无需编写任何代码；</w:t>
            </w:r>
          </w:p>
          <w:p>
            <w:pPr>
              <w:widowControl/>
              <w:jc w:val="left"/>
              <w:rPr>
                <w:rFonts w:ascii="宋体" w:hAnsi="宋体" w:cs="宋体"/>
                <w:kern w:val="0"/>
                <w:sz w:val="24"/>
                <w:szCs w:val="24"/>
              </w:rPr>
            </w:pPr>
            <w:r>
              <w:rPr>
                <w:rFonts w:hint="eastAsia" w:ascii="宋体" w:hAnsi="宋体" w:cs="宋体"/>
                <w:kern w:val="0"/>
                <w:sz w:val="24"/>
                <w:szCs w:val="24"/>
              </w:rPr>
              <w:t>2.2在线节目制作，支持功能导航区，节目管理、属性设置区，多标签页面制作区，效果预览区，控件属性设置区等；</w:t>
            </w:r>
          </w:p>
          <w:p>
            <w:pPr>
              <w:widowControl/>
              <w:jc w:val="left"/>
              <w:rPr>
                <w:rFonts w:ascii="宋体" w:hAnsi="宋体" w:cs="宋体"/>
                <w:kern w:val="0"/>
                <w:sz w:val="24"/>
                <w:szCs w:val="24"/>
              </w:rPr>
            </w:pPr>
            <w:r>
              <w:rPr>
                <w:rFonts w:hint="eastAsia" w:ascii="宋体" w:hAnsi="宋体" w:cs="宋体"/>
                <w:kern w:val="0"/>
                <w:sz w:val="24"/>
                <w:szCs w:val="24"/>
              </w:rPr>
              <w:t>2.3支持自定义分辨率的节目；支持多人编辑同一个节目模版，提供签入签出管理；支持组合网页、视频、音频、动画、图片信息和字幕等各类全媒体信息，支持原生网页，支持边框，遮罩，动态文字等各种特效；</w:t>
            </w:r>
            <w:r>
              <w:rPr>
                <w:rFonts w:hint="eastAsia" w:ascii="宋体" w:hAnsi="宋体" w:cs="宋体"/>
                <w:kern w:val="0"/>
                <w:sz w:val="24"/>
                <w:szCs w:val="24"/>
              </w:rPr>
              <w:br w:type="textWrapping"/>
            </w:r>
            <w:r>
              <w:rPr>
                <w:rFonts w:hint="eastAsia" w:ascii="宋体" w:hAnsi="宋体" w:cs="宋体"/>
                <w:kern w:val="0"/>
                <w:sz w:val="24"/>
                <w:szCs w:val="24"/>
              </w:rPr>
              <w:t>2.4支持推送全媒体平台直播视频信号，支持选择直播频道内容；</w:t>
            </w:r>
          </w:p>
          <w:p>
            <w:pPr>
              <w:widowControl/>
              <w:jc w:val="left"/>
              <w:rPr>
                <w:rFonts w:ascii="宋体" w:hAnsi="宋体" w:cs="宋体"/>
                <w:kern w:val="0"/>
                <w:sz w:val="24"/>
                <w:szCs w:val="24"/>
              </w:rPr>
            </w:pPr>
            <w:r>
              <w:rPr>
                <w:rFonts w:hint="eastAsia" w:ascii="宋体" w:hAnsi="宋体" w:cs="宋体"/>
                <w:kern w:val="0"/>
                <w:sz w:val="24"/>
                <w:szCs w:val="24"/>
              </w:rPr>
              <w:t>2.5支持天气、时间等动态信息节目制作组件，并实现后台数据库联接更新；支持动态内容调用功能，当有新的视频、图片、文档等资源上传到平台后，可以实时的更新展示相关内容；</w:t>
            </w:r>
          </w:p>
          <w:p>
            <w:pPr>
              <w:widowControl/>
              <w:jc w:val="left"/>
              <w:rPr>
                <w:rFonts w:ascii="宋体" w:hAnsi="宋体" w:cs="宋体"/>
                <w:kern w:val="0"/>
                <w:sz w:val="24"/>
                <w:szCs w:val="24"/>
              </w:rPr>
            </w:pPr>
            <w:r>
              <w:rPr>
                <w:rFonts w:hint="eastAsia" w:ascii="宋体" w:hAnsi="宋体" w:cs="宋体"/>
                <w:kern w:val="0"/>
                <w:sz w:val="24"/>
                <w:szCs w:val="24"/>
              </w:rPr>
              <w:t>2.6节目制作支持直播节目，点播节目，触摸节目，动态节目，静态节目；支持节目模板分类，支持不限级数的多级分类管理并自由调整和排序；支持制作好的节目模板进行导入并可打包下载到本地</w:t>
            </w:r>
          </w:p>
          <w:p>
            <w:pPr>
              <w:widowControl/>
              <w:jc w:val="left"/>
              <w:rPr>
                <w:rFonts w:ascii="宋体" w:hAnsi="宋体" w:cs="宋体"/>
                <w:kern w:val="0"/>
                <w:sz w:val="24"/>
                <w:szCs w:val="24"/>
              </w:rPr>
            </w:pPr>
            <w:r>
              <w:rPr>
                <w:rFonts w:hint="eastAsia" w:ascii="宋体" w:hAnsi="宋体" w:cs="宋体"/>
                <w:kern w:val="0"/>
                <w:sz w:val="24"/>
                <w:szCs w:val="24"/>
              </w:rPr>
              <w:t>3) 节目编排发布</w:t>
            </w:r>
          </w:p>
          <w:p>
            <w:pPr>
              <w:widowControl/>
              <w:jc w:val="left"/>
              <w:rPr>
                <w:rFonts w:ascii="宋体" w:hAnsi="宋体" w:cs="宋体"/>
                <w:kern w:val="0"/>
                <w:sz w:val="24"/>
                <w:szCs w:val="24"/>
              </w:rPr>
            </w:pPr>
            <w:r>
              <w:rPr>
                <w:rFonts w:hint="eastAsia" w:ascii="宋体" w:hAnsi="宋体" w:cs="宋体"/>
                <w:kern w:val="0"/>
                <w:sz w:val="24"/>
                <w:szCs w:val="24"/>
              </w:rPr>
              <w:t>3.1支持点击、拖拉日程表进行节目的添加，支持按每日、每周进行计划性的节目发布，实现每日、每周的按计划向不同的终端推送指定的节目信息，每日的节目可以添加、编辑、删除、强制切换等操作，可自定义添加多个时间段；</w:t>
            </w:r>
          </w:p>
          <w:p>
            <w:pPr>
              <w:widowControl/>
              <w:jc w:val="left"/>
              <w:rPr>
                <w:rFonts w:ascii="宋体" w:hAnsi="宋体" w:cs="宋体"/>
                <w:kern w:val="0"/>
                <w:sz w:val="24"/>
                <w:szCs w:val="24"/>
              </w:rPr>
            </w:pPr>
            <w:r>
              <w:rPr>
                <w:rFonts w:hint="eastAsia" w:ascii="宋体" w:hAnsi="宋体" w:cs="宋体"/>
                <w:kern w:val="0"/>
                <w:sz w:val="24"/>
                <w:szCs w:val="24"/>
              </w:rPr>
              <w:t>3.2支持同一时间发布多个节目，支持通过节目播放优先级设置不同播放顺序，相同优先级节目则进行轮播；支持终端信息的离线播放，支持把视频、图片、音乐、文档等信息全部下载到本地进行播放；支持垫片播、立即播、定时播、周期播、插播。</w:t>
            </w:r>
          </w:p>
          <w:p>
            <w:pPr>
              <w:widowControl/>
              <w:jc w:val="left"/>
              <w:rPr>
                <w:rFonts w:ascii="宋体" w:hAnsi="宋体" w:cs="宋体"/>
                <w:kern w:val="0"/>
                <w:sz w:val="24"/>
                <w:szCs w:val="24"/>
              </w:rPr>
            </w:pPr>
            <w:r>
              <w:rPr>
                <w:rFonts w:hint="eastAsia" w:ascii="宋体" w:hAnsi="宋体" w:cs="宋体"/>
                <w:kern w:val="0"/>
                <w:sz w:val="24"/>
                <w:szCs w:val="24"/>
              </w:rPr>
              <w:t>3.3节目内容更新支持部分更改；发布的节目内容可根据实际情况进行多级授权和审核；系统策略管理机制，包括：播放器控制策略、素材分发策略、内容审核策略。</w:t>
            </w:r>
          </w:p>
          <w:p>
            <w:pPr>
              <w:widowControl/>
              <w:jc w:val="left"/>
              <w:rPr>
                <w:rFonts w:ascii="宋体" w:hAnsi="宋体" w:cs="宋体"/>
                <w:kern w:val="0"/>
                <w:sz w:val="24"/>
                <w:szCs w:val="24"/>
              </w:rPr>
            </w:pPr>
            <w:r>
              <w:rPr>
                <w:rFonts w:hint="eastAsia" w:ascii="宋体" w:hAnsi="宋体" w:cs="宋体"/>
                <w:kern w:val="0"/>
                <w:sz w:val="24"/>
                <w:szCs w:val="24"/>
              </w:rPr>
              <w:t>4) 远程物联网控制及智能开关</w:t>
            </w:r>
          </w:p>
          <w:p>
            <w:pPr>
              <w:widowControl/>
              <w:jc w:val="left"/>
              <w:rPr>
                <w:rFonts w:ascii="宋体" w:hAnsi="宋体" w:cs="宋体"/>
                <w:kern w:val="0"/>
                <w:sz w:val="24"/>
                <w:szCs w:val="24"/>
              </w:rPr>
            </w:pPr>
            <w:r>
              <w:rPr>
                <w:rFonts w:hint="eastAsia" w:ascii="宋体" w:hAnsi="宋体" w:cs="宋体"/>
                <w:kern w:val="0"/>
                <w:sz w:val="24"/>
                <w:szCs w:val="24"/>
              </w:rPr>
              <w:t>4.1支持手机、电脑等设备，可远程对发布终端进行多种控制，定时、实时、延时进行开机、关机、重启，并可以外接红外、温控等多种模块，控制强电设备开、关电源。支持设置开机、重启、关机策略。</w:t>
            </w:r>
          </w:p>
          <w:p>
            <w:pPr>
              <w:widowControl/>
              <w:jc w:val="left"/>
              <w:rPr>
                <w:rFonts w:ascii="宋体" w:hAnsi="宋体" w:cs="宋体"/>
                <w:kern w:val="0"/>
                <w:sz w:val="24"/>
                <w:szCs w:val="24"/>
              </w:rPr>
            </w:pPr>
            <w:r>
              <w:rPr>
                <w:rFonts w:hint="eastAsia" w:ascii="宋体" w:hAnsi="宋体" w:cs="宋体"/>
                <w:kern w:val="0"/>
                <w:sz w:val="24"/>
                <w:szCs w:val="24"/>
              </w:rPr>
              <w:t>4.2支持智能开关状态监控功能，包括当前运行状态，智能开关型号，关联终端信息等；智能开关可通过有线、WiFi或者4G网络进行联机，也可离线单机， 即插即用；</w:t>
            </w:r>
          </w:p>
          <w:p>
            <w:pPr>
              <w:widowControl/>
              <w:jc w:val="left"/>
              <w:rPr>
                <w:rFonts w:ascii="宋体" w:hAnsi="宋体" w:cs="宋体"/>
                <w:kern w:val="0"/>
                <w:sz w:val="24"/>
                <w:szCs w:val="24"/>
              </w:rPr>
            </w:pPr>
            <w:r>
              <w:rPr>
                <w:rFonts w:hint="eastAsia" w:ascii="宋体" w:hAnsi="宋体" w:cs="宋体"/>
                <w:kern w:val="0"/>
                <w:sz w:val="24"/>
                <w:szCs w:val="24"/>
              </w:rPr>
              <w:t>5) 接口完整的中间件</w:t>
            </w:r>
          </w:p>
          <w:p>
            <w:pPr>
              <w:widowControl/>
              <w:jc w:val="left"/>
              <w:rPr>
                <w:rFonts w:ascii="宋体" w:hAnsi="宋体" w:cs="宋体"/>
                <w:kern w:val="0"/>
                <w:sz w:val="24"/>
                <w:szCs w:val="24"/>
              </w:rPr>
            </w:pPr>
            <w:r>
              <w:rPr>
                <w:rFonts w:hint="eastAsia" w:ascii="宋体" w:hAnsi="宋体" w:cs="宋体"/>
                <w:kern w:val="0"/>
                <w:sz w:val="24"/>
                <w:szCs w:val="24"/>
              </w:rPr>
              <w:t>支持第三方节目控件，自定义节目控件；支持自定义导航样式，分组导航，文章，图集，视频，音频，文库等显示排版，样式组合。</w:t>
            </w:r>
            <w:r>
              <w:rPr>
                <w:rFonts w:hint="eastAsia" w:ascii="宋体" w:hAnsi="宋体" w:cs="宋体"/>
                <w:kern w:val="0"/>
                <w:sz w:val="24"/>
                <w:szCs w:val="24"/>
              </w:rPr>
              <w:br w:type="textWrapping"/>
            </w:r>
            <w:r>
              <w:rPr>
                <w:rFonts w:hint="eastAsia" w:ascii="宋体" w:hAnsi="宋体" w:cs="宋体"/>
                <w:kern w:val="0"/>
                <w:sz w:val="24"/>
                <w:szCs w:val="24"/>
              </w:rPr>
              <w:t>6) 权限设置</w:t>
            </w:r>
            <w:r>
              <w:rPr>
                <w:rFonts w:hint="eastAsia" w:ascii="宋体" w:hAnsi="宋体" w:cs="宋体"/>
                <w:kern w:val="0"/>
                <w:sz w:val="24"/>
                <w:szCs w:val="24"/>
              </w:rPr>
              <w:br w:type="textWrapping"/>
            </w:r>
            <w:r>
              <w:rPr>
                <w:rFonts w:hint="eastAsia" w:ascii="宋体" w:hAnsi="宋体" w:cs="宋体"/>
                <w:kern w:val="0"/>
                <w:sz w:val="24"/>
                <w:szCs w:val="24"/>
              </w:rPr>
              <w:t>6.1支持多级别权限管理，各级别管理权限拥有不同的管理操作权限。管理者可下放权限，包括设置授权级别、授权终端设备、授权终端功能等；</w:t>
            </w:r>
          </w:p>
          <w:p>
            <w:pPr>
              <w:widowControl/>
              <w:jc w:val="left"/>
              <w:rPr>
                <w:rFonts w:ascii="宋体" w:hAnsi="宋体" w:cs="宋体"/>
                <w:kern w:val="0"/>
                <w:sz w:val="24"/>
                <w:szCs w:val="24"/>
              </w:rPr>
            </w:pPr>
            <w:r>
              <w:rPr>
                <w:rFonts w:hint="eastAsia" w:ascii="宋体" w:hAnsi="宋体" w:cs="宋体"/>
                <w:kern w:val="0"/>
                <w:sz w:val="24"/>
                <w:szCs w:val="24"/>
              </w:rPr>
              <w:t>6.2超级管理员可强行控制实时获取最高权限，及时更新发布内容，且可以锁定发布内容不让低权限管理员更改内容；</w:t>
            </w:r>
          </w:p>
          <w:p>
            <w:pPr>
              <w:widowControl/>
              <w:jc w:val="left"/>
              <w:rPr>
                <w:rFonts w:ascii="宋体" w:hAnsi="宋体" w:cs="宋体"/>
                <w:kern w:val="0"/>
                <w:sz w:val="24"/>
                <w:szCs w:val="24"/>
              </w:rPr>
            </w:pPr>
            <w:r>
              <w:rPr>
                <w:rFonts w:hint="eastAsia" w:ascii="宋体" w:hAnsi="宋体" w:cs="宋体"/>
                <w:kern w:val="0"/>
                <w:sz w:val="24"/>
                <w:szCs w:val="24"/>
              </w:rPr>
              <w:t xml:space="preserve"> 7) 数据统计</w:t>
            </w:r>
            <w:r>
              <w:rPr>
                <w:rFonts w:hint="eastAsia" w:ascii="宋体" w:hAnsi="宋体" w:cs="宋体"/>
                <w:kern w:val="0"/>
                <w:sz w:val="24"/>
                <w:szCs w:val="24"/>
              </w:rPr>
              <w:br w:type="textWrapping"/>
            </w:r>
            <w:r>
              <w:rPr>
                <w:rFonts w:hint="eastAsia" w:ascii="宋体" w:hAnsi="宋体" w:cs="宋体"/>
                <w:kern w:val="0"/>
                <w:sz w:val="24"/>
                <w:szCs w:val="24"/>
              </w:rPr>
              <w:t>7.1接入终端总数、在线终端总数、正常终端总数、活跃终端总数进行统计；</w:t>
            </w:r>
          </w:p>
          <w:p>
            <w:pPr>
              <w:widowControl/>
              <w:jc w:val="left"/>
              <w:rPr>
                <w:rFonts w:ascii="宋体" w:hAnsi="宋体" w:cs="宋体"/>
                <w:kern w:val="0"/>
                <w:sz w:val="24"/>
                <w:szCs w:val="24"/>
              </w:rPr>
            </w:pPr>
            <w:r>
              <w:rPr>
                <w:rFonts w:hint="eastAsia" w:ascii="宋体" w:hAnsi="宋体" w:cs="宋体"/>
                <w:kern w:val="0"/>
                <w:sz w:val="24"/>
                <w:szCs w:val="24"/>
              </w:rPr>
              <w:t>7.2终端运行状态、终端异常类型、终端分布进行统计分析；</w:t>
            </w:r>
          </w:p>
          <w:p>
            <w:pPr>
              <w:widowControl/>
              <w:jc w:val="left"/>
              <w:rPr>
                <w:rFonts w:ascii="宋体" w:hAnsi="宋体" w:cs="宋体"/>
                <w:kern w:val="0"/>
                <w:sz w:val="24"/>
                <w:szCs w:val="24"/>
              </w:rPr>
            </w:pPr>
            <w:r>
              <w:rPr>
                <w:rFonts w:hint="eastAsia" w:ascii="宋体" w:hAnsi="宋体" w:cs="宋体"/>
                <w:kern w:val="0"/>
                <w:sz w:val="24"/>
                <w:szCs w:val="24"/>
              </w:rPr>
              <w:t>7.3终端点击率、栏目点击率、资源点击率以及活跃指数进行统计分析；</w:t>
            </w:r>
          </w:p>
          <w:p>
            <w:pPr>
              <w:widowControl/>
              <w:jc w:val="left"/>
              <w:rPr>
                <w:rFonts w:ascii="宋体" w:hAnsi="宋体" w:cs="宋体"/>
                <w:kern w:val="0"/>
                <w:sz w:val="24"/>
                <w:szCs w:val="24"/>
              </w:rPr>
            </w:pPr>
            <w:r>
              <w:rPr>
                <w:rFonts w:hint="eastAsia" w:ascii="宋体" w:hAnsi="宋体" w:cs="宋体"/>
                <w:kern w:val="0"/>
                <w:sz w:val="24"/>
                <w:szCs w:val="24"/>
              </w:rPr>
              <w:t>8) 系统对接</w:t>
            </w:r>
            <w:r>
              <w:rPr>
                <w:rFonts w:hint="eastAsia" w:ascii="宋体" w:hAnsi="宋体" w:cs="宋体"/>
                <w:kern w:val="0"/>
                <w:sz w:val="24"/>
                <w:szCs w:val="24"/>
              </w:rPr>
              <w:br w:type="textWrapping"/>
            </w:r>
            <w:r>
              <w:rPr>
                <w:rFonts w:hint="eastAsia" w:ascii="宋体" w:hAnsi="宋体" w:cs="宋体"/>
                <w:kern w:val="0"/>
                <w:sz w:val="24"/>
                <w:szCs w:val="24"/>
              </w:rPr>
              <w:t>8.1、支持与叫号系统对接。获取叫号系统数据并实时显示办理诉讼、立案等业务的人员排序。</w:t>
            </w:r>
          </w:p>
          <w:p>
            <w:pPr>
              <w:widowControl/>
              <w:jc w:val="left"/>
              <w:rPr>
                <w:rFonts w:ascii="宋体" w:hAnsi="宋体" w:cs="宋体"/>
                <w:kern w:val="0"/>
                <w:sz w:val="24"/>
                <w:szCs w:val="24"/>
              </w:rPr>
            </w:pPr>
            <w:r>
              <w:rPr>
                <w:rFonts w:hint="eastAsia" w:ascii="宋体" w:hAnsi="宋体" w:cs="宋体"/>
                <w:kern w:val="0"/>
                <w:sz w:val="24"/>
                <w:szCs w:val="24"/>
              </w:rPr>
              <w:t>8.2、支持与江苏省法院综合管理系统对接。实时接收到来自法综系统的开放信息，实时显示当天排期的开庭案件、案由、被告人、法官等相关信息。</w:t>
            </w:r>
          </w:p>
          <w:p>
            <w:pPr>
              <w:widowControl/>
              <w:jc w:val="left"/>
              <w:rPr>
                <w:rFonts w:ascii="宋体" w:hAnsi="宋体" w:cs="宋体"/>
                <w:kern w:val="0"/>
                <w:sz w:val="24"/>
                <w:szCs w:val="24"/>
              </w:rPr>
            </w:pPr>
            <w:r>
              <w:rPr>
                <w:rFonts w:hint="eastAsia" w:ascii="宋体" w:hAnsi="宋体" w:cs="宋体"/>
                <w:kern w:val="0"/>
                <w:sz w:val="24"/>
                <w:szCs w:val="24"/>
              </w:rPr>
              <w:t>8.3、支持与高清科技法庭系统对接。当开庭时，收到来自科技法庭的指令，实时显示开庭、休庭、闭庭等字样，并实时显示本次开庭的案件、案由、被告人、法官等来自庭审软件的相关信息。</w:t>
            </w:r>
          </w:p>
          <w:p>
            <w:pPr>
              <w:widowControl/>
              <w:jc w:val="left"/>
              <w:rPr>
                <w:rFonts w:ascii="宋体" w:hAnsi="宋体" w:cs="宋体"/>
                <w:kern w:val="0"/>
                <w:sz w:val="24"/>
                <w:szCs w:val="24"/>
              </w:rPr>
            </w:pPr>
            <w:r>
              <w:rPr>
                <w:rFonts w:hint="eastAsia" w:ascii="宋体" w:hAnsi="宋体" w:cs="宋体"/>
                <w:kern w:val="0"/>
                <w:sz w:val="24"/>
                <w:szCs w:val="24"/>
              </w:rPr>
              <w:t>8.4、支持与执行系统对接。实时显示“老赖”的相关信息。</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个</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5 </w:t>
            </w:r>
          </w:p>
        </w:tc>
      </w:tr>
      <w:tr>
        <w:tblPrEx>
          <w:tblCellMar>
            <w:top w:w="0" w:type="dxa"/>
            <w:left w:w="108" w:type="dxa"/>
            <w:bottom w:w="0" w:type="dxa"/>
            <w:right w:w="108" w:type="dxa"/>
          </w:tblCellMar>
        </w:tblPrEx>
        <w:trPr>
          <w:trHeight w:val="675" w:hRule="atLeast"/>
        </w:trPr>
        <w:tc>
          <w:tcPr>
            <w:tcW w:w="457"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22寸信息发布屏</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21.5寸液晶显示，尺寸 21.5寸；背光类型 LED，背光寿命 ≥60000小时，显示比例 16:09，分辨率 1920×1080P，可视角度 ：89/89/89/89(L/R/U/D)，颜色 16.7M 亮度 250cd/㎡对比度 1400:1，显示区域 476mm×268mm(H*V)，x86架构，i5-3317，主频双核1.7GHz,内存4G，固态硬盘64G</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台</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4 </w:t>
            </w:r>
          </w:p>
        </w:tc>
      </w:tr>
      <w:tr>
        <w:tblPrEx>
          <w:tblCellMar>
            <w:top w:w="0" w:type="dxa"/>
            <w:left w:w="108" w:type="dxa"/>
            <w:bottom w:w="0" w:type="dxa"/>
            <w:right w:w="108" w:type="dxa"/>
          </w:tblCellMar>
        </w:tblPrEx>
        <w:trPr>
          <w:trHeight w:val="675"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3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系统对接</w:t>
            </w:r>
          </w:p>
        </w:tc>
        <w:tc>
          <w:tcPr>
            <w:tcW w:w="5256"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与新吴法院现有科技法庭系统对接，能够将硕放法庭排期信息实时显示在信息发布屏上</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600" w:hRule="atLeast"/>
        </w:trPr>
        <w:tc>
          <w:tcPr>
            <w:tcW w:w="457" w:type="dxa"/>
            <w:tcBorders>
              <w:top w:val="nil"/>
              <w:left w:val="single" w:color="auto" w:sz="8"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2551"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八、会议室系统</w:t>
            </w:r>
          </w:p>
        </w:tc>
        <w:tc>
          <w:tcPr>
            <w:tcW w:w="5256"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85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40" w:hRule="atLeast"/>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kern w:val="0"/>
                <w:sz w:val="24"/>
                <w:szCs w:val="24"/>
              </w:rPr>
            </w:pPr>
            <w:r>
              <w:rPr>
                <w:rFonts w:hint="eastAsia" w:ascii="宋体" w:hAnsi="宋体" w:cs="宋体"/>
                <w:kern w:val="0"/>
                <w:sz w:val="24"/>
                <w:szCs w:val="24"/>
              </w:rPr>
              <w:t>原有设备搬迁及重新安装调试</w:t>
            </w:r>
          </w:p>
        </w:tc>
        <w:tc>
          <w:tcPr>
            <w:tcW w:w="525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原有大屏幕显示系统即音响扩声系统拆除、保洁、安装、调试</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r>
      <w:tr>
        <w:tblPrEx>
          <w:tblCellMar>
            <w:top w:w="0" w:type="dxa"/>
            <w:left w:w="108" w:type="dxa"/>
            <w:bottom w:w="0" w:type="dxa"/>
            <w:right w:w="108" w:type="dxa"/>
          </w:tblCellMar>
        </w:tblPrEx>
        <w:trPr>
          <w:trHeight w:val="495" w:hRule="atLeast"/>
        </w:trPr>
        <w:tc>
          <w:tcPr>
            <w:tcW w:w="4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c>
          <w:tcPr>
            <w:tcW w:w="255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四通道无线会议鹅颈话筒（锂电池款）</w:t>
            </w:r>
          </w:p>
        </w:tc>
        <w:tc>
          <w:tcPr>
            <w:tcW w:w="525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主机技术参数：频道组数：四通道；面板显示： OLED屏可同时显示发射器编号，RF/AF信号强度，SQ设置，发射器的电池电量，工作频率及发射功率；频率稳定度： ±5ppm(零下5℃-50℃)；振荡模式 ：PLL相位锁定频率合成；载波频段： UHF:640.125MHz-690.000MHz；780.125MHz-830.000MHz；频带宽度 ：50（6.25*1*8）MHz/；频率间隔：125KHz；可切换频率数 ：400(50x1x8)个；操作方式： 手动调整；接收方式： 真分集式(True Diversity)；灵敏度 ：-105dBm(12dB S/N)；最大偏移度 ：±45KHz；综合S/N比 ：≥105dB(1KHz-A)；综合失真度： ≤0 .5%@1KHz(12dB S/N)；综合频率响应： 80Hz-18000Hz(±3dB)；最大输出电平： XLR平衡式独立输出LEVEL：320mV(RMS)/600Ω；Ф6.3非平衡式混合输出LEVEL：340mV(RMS)/5KΩ；音量输出调整 ：输出电平可随意调整；静音控制模式： 独立“音码及杂讯锁定”双重静音控制；灵敏度调整：通过调节SQ可改变接收机的灵敏度；接收距离 ：无障碍阻隔接收距离约80米；DC电源供应： 1A12V。话筒技术参数：传声器类：超指向性电容音头（心形）；灵敏度：-42dB±4dB；频率响应：80Hz-18000Hz；输出抗阻：600Ω；最大声压级：110dB SPL；动态范围：110dB SPL；信噪比：58dB（S/N)；连接方式：四针航空插头；标准工作电压：锂电3.7V；平直/高通开关：无；话筒长度：460MM。</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套</w:t>
            </w: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r>
        <w:tblPrEx>
          <w:tblCellMar>
            <w:top w:w="0" w:type="dxa"/>
            <w:left w:w="108" w:type="dxa"/>
            <w:bottom w:w="0" w:type="dxa"/>
            <w:right w:w="108" w:type="dxa"/>
          </w:tblCellMar>
        </w:tblPrEx>
        <w:trPr>
          <w:trHeight w:val="72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8 </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多媒体地插（含多媒体接插件）</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尺寸：300*150mm，翻盖式、铜面、含电源及音频接插件、不含网络模块</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只</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2 </w:t>
            </w:r>
          </w:p>
        </w:tc>
      </w:tr>
      <w:tr>
        <w:tblPrEx>
          <w:tblCellMar>
            <w:top w:w="0" w:type="dxa"/>
            <w:left w:w="108" w:type="dxa"/>
            <w:bottom w:w="0" w:type="dxa"/>
            <w:right w:w="108" w:type="dxa"/>
          </w:tblCellMar>
        </w:tblPrEx>
        <w:trPr>
          <w:trHeight w:val="720" w:hRule="atLeast"/>
        </w:trPr>
        <w:tc>
          <w:tcPr>
            <w:tcW w:w="457"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55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安装线材</w:t>
            </w:r>
          </w:p>
        </w:tc>
        <w:tc>
          <w:tcPr>
            <w:tcW w:w="525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4"/>
                <w:szCs w:val="24"/>
              </w:rPr>
            </w:pPr>
            <w:r>
              <w:rPr>
                <w:rFonts w:hint="eastAsia" w:ascii="宋体" w:hAnsi="宋体" w:cs="宋体"/>
                <w:kern w:val="0"/>
                <w:sz w:val="24"/>
                <w:szCs w:val="24"/>
              </w:rPr>
              <w:t>包含话筒线、喇叭线、电源线、HDMI线等，满足项目需求</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项</w:t>
            </w:r>
          </w:p>
        </w:tc>
        <w:tc>
          <w:tcPr>
            <w:tcW w:w="8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 xml:space="preserve">1 </w:t>
            </w:r>
          </w:p>
        </w:tc>
      </w:tr>
    </w:tbl>
    <w:p>
      <w:pPr>
        <w:pStyle w:val="15"/>
        <w:numPr>
          <w:ilvl w:val="0"/>
          <w:numId w:val="0"/>
        </w:numPr>
        <w:rPr>
          <w:rFonts w:hint="eastAsia"/>
        </w:rPr>
      </w:pPr>
    </w:p>
    <w:p>
      <w:pPr>
        <w:spacing w:before="156" w:beforeLines="50" w:line="360" w:lineRule="auto"/>
        <w:rPr>
          <w:rFonts w:ascii="黑体" w:hAnsi="宋体" w:eastAsia="黑体"/>
          <w:bCs/>
          <w:sz w:val="24"/>
          <w:szCs w:val="24"/>
        </w:rPr>
      </w:pPr>
      <w:r>
        <w:rPr>
          <w:rFonts w:hint="eastAsia" w:ascii="黑体" w:hAnsi="宋体" w:eastAsia="黑体"/>
          <w:bCs/>
          <w:sz w:val="24"/>
          <w:szCs w:val="24"/>
        </w:rPr>
        <w:t>（二）有关说明：</w:t>
      </w:r>
    </w:p>
    <w:p>
      <w:pPr>
        <w:numPr>
          <w:ilvl w:val="1"/>
          <w:numId w:val="19"/>
        </w:numPr>
        <w:tabs>
          <w:tab w:val="left" w:pos="525"/>
          <w:tab w:val="left" w:pos="945"/>
          <w:tab w:val="clear" w:pos="780"/>
        </w:tabs>
        <w:spacing w:line="360" w:lineRule="auto"/>
        <w:ind w:left="0" w:firstLine="525"/>
        <w:rPr>
          <w:rFonts w:ascii="宋体"/>
          <w:bCs/>
          <w:sz w:val="24"/>
          <w:szCs w:val="24"/>
          <w:highlight w:val="none"/>
        </w:rPr>
      </w:pPr>
      <w:r>
        <w:rPr>
          <w:rFonts w:hint="eastAsia" w:ascii="宋体" w:hAnsi="宋体"/>
          <w:bCs/>
          <w:sz w:val="24"/>
          <w:szCs w:val="24"/>
          <w:highlight w:val="none"/>
          <w:lang w:val="en-US" w:eastAsia="zh-CN"/>
        </w:rPr>
        <w:t>投标</w:t>
      </w:r>
      <w:r>
        <w:rPr>
          <w:rFonts w:hint="eastAsia" w:ascii="宋体" w:hAnsi="宋体"/>
          <w:bCs/>
          <w:sz w:val="24"/>
          <w:szCs w:val="24"/>
          <w:highlight w:val="none"/>
        </w:rPr>
        <w:t>报价包括满足本项目要求的所有产品及其配件、包装、运杂、安装调试及售后服务等从项目实施起到项目正式交付以及质保期内所发生的一切费用，包含增值税税金（13%）。</w:t>
      </w:r>
    </w:p>
    <w:p>
      <w:pPr>
        <w:numPr>
          <w:ilvl w:val="1"/>
          <w:numId w:val="19"/>
        </w:numPr>
        <w:tabs>
          <w:tab w:val="left" w:pos="525"/>
          <w:tab w:val="left" w:pos="945"/>
          <w:tab w:val="clear" w:pos="780"/>
        </w:tabs>
        <w:spacing w:line="360" w:lineRule="auto"/>
        <w:ind w:left="0" w:firstLine="525"/>
        <w:rPr>
          <w:rFonts w:hint="eastAsia" w:ascii="宋体"/>
          <w:bCs/>
          <w:color w:val="auto"/>
          <w:sz w:val="24"/>
          <w:szCs w:val="24"/>
        </w:rPr>
      </w:pPr>
      <w:r>
        <w:rPr>
          <w:rFonts w:hint="eastAsia" w:ascii="宋体"/>
          <w:bCs/>
          <w:color w:val="auto"/>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19"/>
        </w:numPr>
        <w:tabs>
          <w:tab w:val="left" w:pos="525"/>
          <w:tab w:val="left" w:pos="945"/>
          <w:tab w:val="clear" w:pos="780"/>
        </w:tabs>
        <w:spacing w:line="360" w:lineRule="auto"/>
        <w:ind w:left="0" w:firstLine="525"/>
        <w:rPr>
          <w:rFonts w:ascii="宋体"/>
          <w:bCs/>
          <w:color w:val="auto"/>
          <w:sz w:val="24"/>
          <w:szCs w:val="24"/>
        </w:rPr>
      </w:pPr>
      <w:r>
        <w:rPr>
          <w:rFonts w:hint="eastAsia" w:ascii="宋体" w:hAnsi="宋体"/>
          <w:bCs/>
          <w:color w:val="auto"/>
          <w:sz w:val="24"/>
          <w:szCs w:val="24"/>
        </w:rPr>
        <w:t>通过中国海关报关验放进入中国境内且产自关境外的产品不在本项目的报价范围。</w:t>
      </w:r>
    </w:p>
    <w:p>
      <w:pPr>
        <w:numPr>
          <w:ilvl w:val="1"/>
          <w:numId w:val="19"/>
        </w:numPr>
        <w:tabs>
          <w:tab w:val="left" w:pos="525"/>
          <w:tab w:val="left" w:pos="945"/>
          <w:tab w:val="clear" w:pos="780"/>
        </w:tabs>
        <w:spacing w:line="360" w:lineRule="auto"/>
        <w:ind w:left="0" w:firstLine="525"/>
        <w:rPr>
          <w:rFonts w:hint="eastAsia" w:ascii="宋体"/>
          <w:bCs/>
          <w:color w:val="auto"/>
          <w:sz w:val="24"/>
          <w:szCs w:val="24"/>
        </w:rPr>
      </w:pPr>
      <w:r>
        <w:rPr>
          <w:rFonts w:hint="eastAsia" w:ascii="宋体"/>
          <w:bCs/>
          <w:color w:val="auto"/>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19"/>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19"/>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19"/>
        </w:numPr>
        <w:tabs>
          <w:tab w:val="left" w:pos="525"/>
          <w:tab w:val="left" w:pos="630"/>
          <w:tab w:val="left" w:pos="735"/>
          <w:tab w:val="left" w:pos="945"/>
          <w:tab w:val="clear" w:pos="780"/>
        </w:tabs>
        <w:spacing w:line="360" w:lineRule="auto"/>
        <w:ind w:left="0" w:firstLine="525"/>
        <w:rPr>
          <w:rFonts w:hint="eastAsia" w:ascii="宋体" w:hAnsi="Calibri" w:eastAsia="宋体" w:cs="Times New Roman"/>
          <w:bCs/>
          <w:sz w:val="24"/>
          <w:szCs w:val="24"/>
        </w:rPr>
      </w:pPr>
      <w:r>
        <w:rPr>
          <w:rFonts w:hint="eastAsia" w:ascii="宋体" w:hAnsi="Calibri" w:eastAsia="宋体" w:cs="Times New Roman"/>
          <w:bCs/>
          <w:sz w:val="24"/>
          <w:szCs w:val="24"/>
        </w:rPr>
        <w:t>完工期：</w:t>
      </w:r>
      <w:r>
        <w:rPr>
          <w:rFonts w:hint="eastAsia"/>
          <w:color w:val="000000"/>
          <w:sz w:val="24"/>
        </w:rPr>
        <w:t>合同签订生效之</w:t>
      </w:r>
      <w:r>
        <w:rPr>
          <w:color w:val="000000"/>
          <w:sz w:val="24"/>
        </w:rPr>
        <w:t>日起180日历天安装调试完毕</w:t>
      </w:r>
      <w:r>
        <w:rPr>
          <w:rFonts w:hint="eastAsia" w:ascii="宋体" w:hAnsi="Calibri" w:eastAsia="宋体" w:cs="Times New Roman"/>
          <w:bCs/>
          <w:sz w:val="24"/>
          <w:szCs w:val="24"/>
        </w:rPr>
        <w:t>。</w:t>
      </w:r>
    </w:p>
    <w:p>
      <w:pPr>
        <w:numPr>
          <w:ilvl w:val="1"/>
          <w:numId w:val="19"/>
        </w:numPr>
        <w:tabs>
          <w:tab w:val="left" w:pos="525"/>
          <w:tab w:val="left" w:pos="630"/>
          <w:tab w:val="left" w:pos="735"/>
          <w:tab w:val="left" w:pos="945"/>
          <w:tab w:val="clear" w:pos="780"/>
        </w:tabs>
        <w:spacing w:line="360" w:lineRule="auto"/>
        <w:ind w:left="0" w:firstLine="525"/>
        <w:rPr>
          <w:bCs/>
          <w:sz w:val="24"/>
          <w:highlight w:val="none"/>
        </w:rPr>
      </w:pPr>
      <w:r>
        <w:rPr>
          <w:rFonts w:hint="eastAsia" w:ascii="宋体"/>
          <w:bCs/>
          <w:sz w:val="24"/>
          <w:szCs w:val="24"/>
        </w:rPr>
        <w:t>项目整</w:t>
      </w:r>
      <w:r>
        <w:rPr>
          <w:rFonts w:hint="eastAsia" w:ascii="宋体" w:hAnsi="Calibri" w:eastAsia="宋体" w:cs="Times New Roman"/>
          <w:bCs/>
          <w:sz w:val="24"/>
          <w:szCs w:val="24"/>
        </w:rPr>
        <w:t>体质保期：3年</w:t>
      </w:r>
      <w:r>
        <w:rPr>
          <w:rFonts w:hint="eastAsia" w:ascii="宋体" w:cs="Times New Roman"/>
          <w:bCs/>
          <w:sz w:val="24"/>
          <w:szCs w:val="24"/>
          <w:lang w:eastAsia="zh-CN"/>
        </w:rPr>
        <w:t>，</w:t>
      </w:r>
      <w:r>
        <w:rPr>
          <w:rFonts w:hint="eastAsia"/>
          <w:color w:val="000000"/>
          <w:sz w:val="24"/>
        </w:rPr>
        <w:t>自最终验收合格、交付使用之日起计算。</w:t>
      </w:r>
    </w:p>
    <w:p>
      <w:pPr>
        <w:numPr>
          <w:ilvl w:val="1"/>
          <w:numId w:val="19"/>
        </w:numPr>
        <w:tabs>
          <w:tab w:val="left" w:pos="525"/>
          <w:tab w:val="left" w:pos="630"/>
          <w:tab w:val="left" w:pos="735"/>
          <w:tab w:val="left" w:pos="945"/>
          <w:tab w:val="clear" w:pos="780"/>
        </w:tabs>
        <w:spacing w:line="360" w:lineRule="auto"/>
        <w:ind w:left="0" w:firstLine="525"/>
        <w:rPr>
          <w:bCs/>
          <w:sz w:val="24"/>
          <w:highlight w:val="none"/>
        </w:rPr>
      </w:pPr>
      <w:r>
        <w:rPr>
          <w:rFonts w:hint="eastAsia" w:ascii="宋体" w:hAnsi="Calibri" w:eastAsia="宋体" w:cs="Times New Roman"/>
          <w:bCs/>
          <w:sz w:val="24"/>
          <w:szCs w:val="24"/>
          <w:highlight w:val="none"/>
        </w:rPr>
        <w:t>付款方式：</w:t>
      </w:r>
      <w:r>
        <w:rPr>
          <w:rFonts w:hint="eastAsia"/>
          <w:bCs/>
          <w:sz w:val="24"/>
          <w:highlight w:val="none"/>
        </w:rPr>
        <w:t>合同签订生效后支付至合同价的20%作为预付款；全部货物调试结束，并经验收合格后支付至不超过合同执行价的70%；审计结束后付至合同审定价的90%；质保期满经项目使用单位确认保修质量和保修效果后，结清全部货物付款。因产品毁损、侵权等问题造成甲方损失的，甲方有权直接从余款中进行抵扣。</w:t>
      </w:r>
    </w:p>
    <w:p>
      <w:pPr>
        <w:spacing w:line="360" w:lineRule="auto"/>
        <w:ind w:firstLine="480" w:firstLineChars="200"/>
        <w:rPr>
          <w:rFonts w:ascii="宋体"/>
          <w:bCs/>
          <w:sz w:val="24"/>
          <w:szCs w:val="24"/>
          <w:highlight w:val="none"/>
        </w:rPr>
      </w:pPr>
      <w:r>
        <w:rPr>
          <w:rFonts w:hint="eastAsia"/>
          <w:bCs/>
          <w:sz w:val="24"/>
          <w:highlight w:val="none"/>
        </w:rPr>
        <w:t>本项目结算审计核减率超过 10%，由乙方承担全部审计费用；审计核减率在 8%～10%(含 10%)之间，由乙方承担全部审计费用的 80%；审计核减率在 5%～8%(含 8%)之间，由乙方承担全部审计费用的 50%； 审计核减率在 5%(含 5%)以下，审计费由甲方承担。上述须由乙方承担的审计费将直接在结算审定价中扣除。 此外，若本项目结算核减率超过5%，则结算总价核减超过5%部分按照10%比例从结算审定价中扣除，用于奖励结算审计单位。若本项目结算核减率超过15%，列入无锡高新区（新吴区）政府投资项目黑名单限制承接无锡高新区（新吴区）政府投资项目（限制期一年）。</w:t>
      </w:r>
    </w:p>
    <w:p>
      <w:pPr>
        <w:numPr>
          <w:ilvl w:val="1"/>
          <w:numId w:val="1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本项目合同履行地点：无锡市，具体地点以合同书约定为准。中标方必须按采购人要求将本项目中货物送到指定地点</w:t>
      </w:r>
      <w:r>
        <w:rPr>
          <w:rFonts w:ascii="宋体" w:hAnsi="宋体"/>
          <w:bCs/>
          <w:sz w:val="24"/>
          <w:szCs w:val="24"/>
        </w:rPr>
        <w:t>(</w:t>
      </w:r>
      <w:r>
        <w:rPr>
          <w:rFonts w:hint="eastAsia" w:ascii="宋体" w:hAnsi="宋体"/>
          <w:bCs/>
          <w:sz w:val="24"/>
          <w:szCs w:val="24"/>
        </w:rPr>
        <w:t>包括可能的分布范围</w:t>
      </w:r>
      <w:r>
        <w:rPr>
          <w:rFonts w:ascii="宋体" w:hAnsi="宋体"/>
          <w:bCs/>
          <w:sz w:val="24"/>
          <w:szCs w:val="24"/>
        </w:rPr>
        <w:t>)</w:t>
      </w:r>
      <w:r>
        <w:rPr>
          <w:rFonts w:hint="eastAsia" w:ascii="宋体" w:hAnsi="宋体"/>
          <w:bCs/>
          <w:sz w:val="24"/>
          <w:szCs w:val="24"/>
        </w:rPr>
        <w:t>，并分地实施安装调试。</w:t>
      </w:r>
    </w:p>
    <w:p>
      <w:pPr>
        <w:numPr>
          <w:ilvl w:val="1"/>
          <w:numId w:val="19"/>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r>
        <w:rPr>
          <w:rFonts w:hint="eastAsia" w:ascii="宋体" w:hAnsi="宋体"/>
          <w:bCs/>
          <w:color w:val="FF0000"/>
          <w:sz w:val="24"/>
          <w:szCs w:val="24"/>
        </w:rPr>
        <w:t>政府向社会公众提供的公共服务项目，验收时应当邀请服务对象参与并出具意见，验收结果应当向社会公告。</w:t>
      </w:r>
    </w:p>
    <w:p>
      <w:pPr>
        <w:numPr>
          <w:ilvl w:val="1"/>
          <w:numId w:val="19"/>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hint="eastAsia"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19"/>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hint="eastAsia"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19"/>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19"/>
        </w:numPr>
        <w:tabs>
          <w:tab w:val="left" w:pos="525"/>
          <w:tab w:val="left" w:pos="630"/>
          <w:tab w:val="left" w:pos="735"/>
          <w:tab w:val="left" w:pos="945"/>
          <w:tab w:val="clear" w:pos="780"/>
        </w:tabs>
        <w:spacing w:line="360" w:lineRule="auto"/>
        <w:ind w:left="0" w:firstLine="525"/>
        <w:rPr>
          <w:rFonts w:hint="eastAsia"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19"/>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jc w:val="center"/>
        <w:rPr>
          <w:rFonts w:hint="eastAsia" w:ascii="黑体" w:eastAsia="黑体"/>
          <w:bCs/>
          <w:sz w:val="28"/>
          <w:szCs w:val="28"/>
        </w:rPr>
      </w:pPr>
    </w:p>
    <w:p>
      <w:pPr>
        <w:spacing w:line="360" w:lineRule="auto"/>
        <w:jc w:val="center"/>
        <w:rPr>
          <w:rFonts w:hint="eastAsia" w:ascii="黑体" w:eastAsia="黑体"/>
          <w:bCs/>
          <w:sz w:val="28"/>
          <w:szCs w:val="28"/>
        </w:rPr>
      </w:pPr>
    </w:p>
    <w:p>
      <w:pPr>
        <w:spacing w:line="360" w:lineRule="auto"/>
        <w:jc w:val="center"/>
        <w:rPr>
          <w:rFonts w:ascii="黑体" w:hAnsi="宋体" w:eastAsia="黑体"/>
          <w:b/>
          <w:sz w:val="28"/>
          <w:szCs w:val="28"/>
        </w:rPr>
      </w:pPr>
      <w:bookmarkStart w:id="1" w:name="五．合同条款"/>
      <w:bookmarkEnd w:id="1"/>
      <w:r>
        <w:rPr>
          <w:rFonts w:ascii="黑体" w:eastAsia="黑体"/>
          <w:bCs/>
          <w:sz w:val="28"/>
          <w:szCs w:val="28"/>
        </w:rPr>
        <w:br w:type="page"/>
      </w:r>
      <w:r>
        <w:rPr>
          <w:rFonts w:hint="eastAsia" w:ascii="黑体" w:eastAsia="黑体"/>
          <w:bCs/>
          <w:sz w:val="28"/>
          <w:szCs w:val="28"/>
        </w:rPr>
        <w:t>四．合同书（格式文本）</w:t>
      </w:r>
    </w:p>
    <w:p>
      <w:pPr>
        <w:snapToGrid w:val="0"/>
        <w:spacing w:line="288" w:lineRule="auto"/>
        <w:jc w:val="center"/>
        <w:rPr>
          <w:rFonts w:ascii="黑体" w:hAnsi="宋体" w:eastAsia="黑体"/>
          <w:sz w:val="28"/>
          <w:szCs w:val="28"/>
        </w:rPr>
      </w:pPr>
      <w:r>
        <w:rPr>
          <w:rFonts w:hint="eastAsia" w:ascii="黑体" w:hAnsi="宋体" w:eastAsia="黑体"/>
          <w:sz w:val="28"/>
          <w:szCs w:val="28"/>
        </w:rPr>
        <w:t>合同书(货物）格式条款</w:t>
      </w:r>
    </w:p>
    <w:p>
      <w:pPr>
        <w:snapToGrid w:val="0"/>
        <w:spacing w:line="288" w:lineRule="auto"/>
        <w:ind w:firstLine="480" w:firstLineChars="200"/>
        <w:jc w:val="left"/>
        <w:rPr>
          <w:rFonts w:ascii="黑体" w:hAnsi="宋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）采购及有关事项协商一致，共同达成如下协议：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bCs/>
          <w:sz w:val="24"/>
          <w:szCs w:val="24"/>
          <w:u w:val="single"/>
        </w:rPr>
      </w:pPr>
      <w:r>
        <w:rPr>
          <w:rFonts w:hint="eastAsia" w:ascii="宋体" w:hAnsi="宋体"/>
          <w:bCs/>
          <w:sz w:val="24"/>
          <w:szCs w:val="24"/>
        </w:rPr>
        <w:t>供方（中标方）：</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一、采购项目编号：</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四、交货期或完工期：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五、项目整体质保期：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六、交货地点和方式：</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七、货款支付步骤和办法：</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八、合同书不可分割部分：</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九、合同书组成：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w:t>
      </w:r>
      <w:r>
        <w:rPr>
          <w:rFonts w:hint="eastAsia" w:ascii="宋体" w:hAnsi="宋体"/>
          <w:sz w:val="24"/>
          <w:szCs w:val="24"/>
        </w:rPr>
        <w:t>合同类型,</w:t>
      </w:r>
      <w:r>
        <w:rPr>
          <w:rFonts w:hint="eastAsia" w:ascii="宋体" w:hAnsi="宋体"/>
          <w:bCs/>
          <w:sz w:val="24"/>
          <w:szCs w:val="24"/>
        </w:rPr>
        <w:t>标的名称、采购标的质量、数量，履行时间、地点和方式，包装方式，履约保证金要求，价款或报酬、付款进度安排、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numPr>
          <w:ilvl w:val="0"/>
          <w:numId w:val="0"/>
        </w:num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numPr>
          <w:ilvl w:val="0"/>
          <w:numId w:val="0"/>
        </w:num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十二、根据《政府采购法》第四十九、五十条规定，供需双方不得擅自变更、中止或终止合同。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w:t>
      </w:r>
      <w:r>
        <w:rPr>
          <w:rFonts w:hint="eastAsia" w:ascii="宋体" w:hAnsi="宋体"/>
          <w:bCs/>
          <w:sz w:val="24"/>
          <w:szCs w:val="24"/>
          <w:lang w:eastAsia="zh-CN"/>
        </w:rPr>
        <w:t>无锡市公共资源交易中心新吴分中心</w:t>
      </w:r>
      <w:r>
        <w:rPr>
          <w:rFonts w:hint="eastAsia" w:ascii="宋体" w:hAnsi="宋体"/>
          <w:bCs/>
          <w:sz w:val="24"/>
          <w:szCs w:val="24"/>
        </w:rPr>
        <w:t>（签章）</w:t>
      </w:r>
    </w:p>
    <w:p>
      <w:pPr>
        <w:wordWrap w:val="0"/>
        <w:snapToGrid w:val="0"/>
        <w:spacing w:line="288" w:lineRule="auto"/>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440" w:lineRule="exact"/>
        <w:rPr>
          <w:rFonts w:ascii="宋体" w:hAnsi="宋体"/>
          <w:bCs/>
          <w:sz w:val="24"/>
          <w:szCs w:val="24"/>
        </w:rPr>
      </w:pP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07"/>
        <w:numPr>
          <w:ilvl w:val="0"/>
          <w:numId w:val="20"/>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w:t>
      </w:r>
      <w:r>
        <w:rPr>
          <w:rFonts w:hint="eastAsia" w:ascii="宋体" w:hAnsi="宋体"/>
          <w:bCs/>
          <w:sz w:val="24"/>
          <w:szCs w:val="24"/>
          <w:lang w:eastAsia="zh-CN"/>
        </w:rPr>
        <w:t>无锡市公共资源交易中心新吴分中心</w:t>
      </w:r>
      <w:r>
        <w:rPr>
          <w:rFonts w:hint="eastAsia" w:ascii="宋体" w:hAnsi="宋体"/>
          <w:bCs/>
          <w:sz w:val="24"/>
          <w:szCs w:val="24"/>
        </w:rPr>
        <w:t>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sz w:val="24"/>
          <w:szCs w:val="24"/>
        </w:rPr>
      </w:pPr>
    </w:p>
    <w:p>
      <w:pPr>
        <w:snapToGrid w:val="0"/>
        <w:spacing w:line="336" w:lineRule="auto"/>
        <w:ind w:firstLine="480" w:firstLineChars="200"/>
        <w:jc w:val="center"/>
        <w:rPr>
          <w:rFonts w:ascii="宋体" w:hAnsi="宋体"/>
          <w:bCs/>
          <w:sz w:val="24"/>
          <w:szCs w:val="24"/>
        </w:rPr>
      </w:pP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供方帐号：</w:t>
      </w: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（1）价格（</w:t>
      </w:r>
      <w:r>
        <w:rPr>
          <w:rFonts w:hint="eastAsia" w:ascii="宋体" w:hAnsi="宋体"/>
          <w:b/>
          <w:bCs/>
          <w:sz w:val="24"/>
          <w:szCs w:val="24"/>
          <w:lang w:val="en-US" w:eastAsia="zh-CN"/>
        </w:rPr>
        <w:t>30</w:t>
      </w:r>
      <w:r>
        <w:rPr>
          <w:rFonts w:hint="eastAsia" w:ascii="宋体" w:hAnsi="宋体"/>
          <w:b/>
          <w:bCs/>
          <w:sz w:val="24"/>
          <w:szCs w:val="24"/>
        </w:rPr>
        <w:t>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hint="eastAsia"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hint="eastAsia" w:ascii="宋体" w:hAnsi="宋体"/>
          <w:b/>
          <w:bCs/>
          <w:sz w:val="24"/>
          <w:szCs w:val="24"/>
        </w:rPr>
        <w:t>（2）</w:t>
      </w:r>
      <w:r>
        <w:rPr>
          <w:rFonts w:hint="eastAsia" w:ascii="宋体" w:hAnsi="宋体"/>
          <w:b/>
          <w:color w:val="000000"/>
          <w:sz w:val="24"/>
          <w:szCs w:val="24"/>
        </w:rPr>
        <w:t>项目人员配置（</w:t>
      </w:r>
      <w:r>
        <w:rPr>
          <w:rFonts w:ascii="宋体" w:hAnsi="宋体"/>
          <w:b/>
          <w:color w:val="000000"/>
          <w:sz w:val="24"/>
          <w:szCs w:val="24"/>
        </w:rPr>
        <w:t>11</w:t>
      </w:r>
      <w:r>
        <w:rPr>
          <w:rFonts w:hint="eastAsia" w:ascii="宋体" w:hAnsi="宋体"/>
          <w:b/>
          <w:color w:val="000000"/>
          <w:sz w:val="24"/>
          <w:szCs w:val="24"/>
        </w:rPr>
        <w:t>分）</w:t>
      </w:r>
      <w:r>
        <w:rPr>
          <w:rFonts w:hint="eastAsia" w:ascii="宋体" w:hAnsi="宋体"/>
          <w:b/>
          <w:bCs/>
          <w:sz w:val="24"/>
          <w:szCs w:val="24"/>
        </w:rPr>
        <w:t>：</w:t>
      </w:r>
    </w:p>
    <w:p>
      <w:pPr>
        <w:adjustRightInd w:val="0"/>
        <w:snapToGrid w:val="0"/>
        <w:spacing w:line="360" w:lineRule="auto"/>
        <w:ind w:firstLine="480"/>
        <w:jc w:val="left"/>
        <w:rPr>
          <w:rFonts w:ascii="宋体" w:hAnsi="宋体"/>
          <w:bCs/>
          <w:color w:val="000000"/>
          <w:sz w:val="24"/>
          <w:szCs w:val="24"/>
        </w:rPr>
      </w:pPr>
      <w:r>
        <w:rPr>
          <w:rFonts w:hint="eastAsia" w:ascii="宋体" w:hAnsi="宋体"/>
          <w:bCs/>
          <w:color w:val="000000"/>
          <w:sz w:val="24"/>
          <w:szCs w:val="24"/>
        </w:rPr>
        <w:t>以投标人填列的《项目人员配置清单》及按要求提供的证明材料（人员证书扫描件和投标人为其缴纳的连续三个月(至少包含近三个月中任意一个月份(（不含投标当月))的社保缴纳证明材料）为准。人员证书扫描件必须上传在投标文件中。</w:t>
      </w:r>
    </w:p>
    <w:p>
      <w:pPr>
        <w:tabs>
          <w:tab w:val="left" w:pos="840"/>
          <w:tab w:val="left" w:pos="1260"/>
        </w:tabs>
        <w:adjustRightInd w:val="0"/>
        <w:snapToGrid w:val="0"/>
        <w:spacing w:line="360" w:lineRule="auto"/>
        <w:ind w:firstLine="480" w:firstLineChars="200"/>
        <w:rPr>
          <w:rFonts w:ascii="宋体" w:hAnsi="宋体"/>
          <w:bCs/>
          <w:color w:val="000000"/>
          <w:sz w:val="24"/>
          <w:szCs w:val="24"/>
        </w:rPr>
      </w:pPr>
      <w:r>
        <w:rPr>
          <w:rFonts w:hint="eastAsia" w:ascii="宋体" w:hAnsi="宋体"/>
          <w:bCs/>
          <w:color w:val="000000"/>
          <w:sz w:val="24"/>
          <w:szCs w:val="24"/>
        </w:rPr>
        <w:t>1、投标人为本项目实施、服务配备一名项目负责人，该项目负责人具有信息系统项目管理师（高级）证书、系统分析师（高级）证书、网络工程师（中级），每提供一类证书得1分，总分3分。</w:t>
      </w:r>
    </w:p>
    <w:p>
      <w:pPr>
        <w:tabs>
          <w:tab w:val="left" w:pos="840"/>
          <w:tab w:val="left" w:pos="1260"/>
        </w:tabs>
        <w:adjustRightInd w:val="0"/>
        <w:snapToGrid w:val="0"/>
        <w:spacing w:line="360" w:lineRule="auto"/>
        <w:ind w:left="480"/>
        <w:rPr>
          <w:rFonts w:ascii="宋体" w:hAnsi="宋体"/>
          <w:bCs/>
          <w:color w:val="000000"/>
          <w:sz w:val="24"/>
          <w:szCs w:val="24"/>
        </w:rPr>
      </w:pPr>
      <w:r>
        <w:rPr>
          <w:rFonts w:hint="eastAsia" w:ascii="宋体" w:hAnsi="宋体"/>
          <w:bCs/>
          <w:color w:val="000000"/>
          <w:sz w:val="24"/>
          <w:szCs w:val="24"/>
        </w:rPr>
        <w:t>2、项目成员（8分）</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除技术负责人以外，</w:t>
      </w:r>
      <w:r>
        <w:rPr>
          <w:rFonts w:hint="eastAsia" w:ascii="宋体" w:hAnsi="宋体" w:cs="宋体"/>
          <w:bCs/>
          <w:sz w:val="24"/>
          <w:szCs w:val="24"/>
          <w:highlight w:val="none"/>
        </w:rPr>
        <w:t>同一人员具有多项认证证书不重复计分）</w:t>
      </w:r>
      <w:r>
        <w:rPr>
          <w:rFonts w:hint="eastAsia" w:ascii="宋体" w:hAnsi="宋体"/>
          <w:bCs/>
          <w:color w:val="000000"/>
          <w:sz w:val="24"/>
          <w:szCs w:val="24"/>
        </w:rPr>
        <w:t>：</w:t>
      </w:r>
    </w:p>
    <w:p>
      <w:pPr>
        <w:tabs>
          <w:tab w:val="left" w:pos="840"/>
          <w:tab w:val="left" w:pos="1260"/>
        </w:tabs>
        <w:adjustRightInd w:val="0"/>
        <w:snapToGrid w:val="0"/>
        <w:spacing w:line="360" w:lineRule="auto"/>
        <w:ind w:firstLine="480"/>
        <w:rPr>
          <w:rFonts w:ascii="宋体" w:hAnsi="宋体"/>
          <w:bCs/>
          <w:color w:val="000000"/>
          <w:sz w:val="24"/>
          <w:szCs w:val="24"/>
        </w:rPr>
      </w:pPr>
      <w:r>
        <w:rPr>
          <w:rFonts w:hint="eastAsia" w:ascii="宋体" w:hAnsi="宋体"/>
          <w:bCs/>
          <w:color w:val="000000"/>
          <w:sz w:val="24"/>
          <w:szCs w:val="24"/>
        </w:rPr>
        <w:t>①.投标人为本项目实施、服务配备一名技术负责人，该技术负责人具有系统架构设计师（高级）、注册信息安全工程师（CISE）证书，每提供一类证书得1分，总分2分。</w:t>
      </w:r>
    </w:p>
    <w:p>
      <w:pPr>
        <w:tabs>
          <w:tab w:val="left" w:pos="945"/>
          <w:tab w:val="left" w:pos="1155"/>
        </w:tabs>
        <w:spacing w:line="360" w:lineRule="auto"/>
        <w:ind w:firstLine="493"/>
        <w:rPr>
          <w:rFonts w:ascii="宋体" w:hAnsi="宋体"/>
          <w:bCs/>
          <w:color w:val="000000"/>
          <w:sz w:val="24"/>
          <w:szCs w:val="24"/>
        </w:rPr>
      </w:pPr>
      <w:r>
        <w:rPr>
          <w:rFonts w:hint="eastAsia" w:ascii="宋体" w:hAnsi="宋体"/>
          <w:bCs/>
          <w:color w:val="000000"/>
          <w:sz w:val="24"/>
          <w:szCs w:val="24"/>
        </w:rPr>
        <w:t>②.拟针对本项目项目组实施成员具有网络安全能力认证证书（CCSC），每提供1份有效证书扫描件得</w:t>
      </w:r>
      <w:r>
        <w:rPr>
          <w:rFonts w:ascii="宋体" w:hAnsi="宋体"/>
          <w:bCs/>
          <w:color w:val="000000"/>
          <w:sz w:val="24"/>
          <w:szCs w:val="24"/>
        </w:rPr>
        <w:t>1</w:t>
      </w:r>
      <w:r>
        <w:rPr>
          <w:rFonts w:hint="eastAsia" w:ascii="宋体" w:hAnsi="宋体"/>
          <w:bCs/>
          <w:color w:val="000000"/>
          <w:sz w:val="24"/>
          <w:szCs w:val="24"/>
        </w:rPr>
        <w:t>分，最多得</w:t>
      </w:r>
      <w:r>
        <w:rPr>
          <w:rFonts w:ascii="宋体" w:hAnsi="宋体"/>
          <w:bCs/>
          <w:color w:val="000000"/>
          <w:sz w:val="24"/>
          <w:szCs w:val="24"/>
        </w:rPr>
        <w:t>2</w:t>
      </w:r>
      <w:r>
        <w:rPr>
          <w:rFonts w:hint="eastAsia" w:ascii="宋体" w:hAnsi="宋体"/>
          <w:bCs/>
          <w:color w:val="000000"/>
          <w:sz w:val="24"/>
          <w:szCs w:val="24"/>
        </w:rPr>
        <w:t>分。</w:t>
      </w:r>
    </w:p>
    <w:p>
      <w:pPr>
        <w:tabs>
          <w:tab w:val="left" w:pos="840"/>
          <w:tab w:val="left" w:pos="1260"/>
        </w:tabs>
        <w:adjustRightInd w:val="0"/>
        <w:snapToGrid w:val="0"/>
        <w:spacing w:line="360" w:lineRule="auto"/>
        <w:ind w:firstLine="480"/>
        <w:rPr>
          <w:rFonts w:ascii="宋体" w:hAnsi="宋体"/>
          <w:bCs/>
          <w:color w:val="000000"/>
          <w:sz w:val="24"/>
          <w:szCs w:val="24"/>
        </w:rPr>
      </w:pPr>
      <w:r>
        <w:rPr>
          <w:rFonts w:hint="eastAsia" w:ascii="宋体" w:hAnsi="宋体"/>
          <w:bCs/>
          <w:color w:val="000000"/>
          <w:sz w:val="24"/>
          <w:szCs w:val="24"/>
        </w:rPr>
        <w:t>③. 拟针对本项目项目组实施成员具有注册信息安全认证证书（CISP），每提供1份有效证书扫描件得</w:t>
      </w:r>
      <w:r>
        <w:rPr>
          <w:rFonts w:ascii="宋体" w:hAnsi="宋体"/>
          <w:bCs/>
          <w:color w:val="000000"/>
          <w:sz w:val="24"/>
          <w:szCs w:val="24"/>
        </w:rPr>
        <w:t>1</w:t>
      </w:r>
      <w:r>
        <w:rPr>
          <w:rFonts w:hint="eastAsia" w:ascii="宋体" w:hAnsi="宋体"/>
          <w:bCs/>
          <w:color w:val="000000"/>
          <w:sz w:val="24"/>
          <w:szCs w:val="24"/>
        </w:rPr>
        <w:t>分，最多得</w:t>
      </w:r>
      <w:r>
        <w:rPr>
          <w:rFonts w:ascii="宋体" w:hAnsi="宋体"/>
          <w:bCs/>
          <w:color w:val="000000"/>
          <w:sz w:val="24"/>
          <w:szCs w:val="24"/>
        </w:rPr>
        <w:t>2</w:t>
      </w:r>
      <w:r>
        <w:rPr>
          <w:rFonts w:hint="eastAsia" w:ascii="宋体" w:hAnsi="宋体"/>
          <w:bCs/>
          <w:color w:val="000000"/>
          <w:sz w:val="24"/>
          <w:szCs w:val="24"/>
        </w:rPr>
        <w:t>分。</w:t>
      </w:r>
    </w:p>
    <w:p>
      <w:pPr>
        <w:tabs>
          <w:tab w:val="left" w:pos="840"/>
          <w:tab w:val="left" w:pos="1260"/>
        </w:tabs>
        <w:adjustRightInd w:val="0"/>
        <w:snapToGrid w:val="0"/>
        <w:spacing w:line="360" w:lineRule="auto"/>
        <w:ind w:firstLine="480"/>
        <w:rPr>
          <w:rFonts w:ascii="宋体" w:hAnsi="宋体"/>
          <w:bCs/>
          <w:color w:val="000000"/>
          <w:sz w:val="24"/>
          <w:szCs w:val="24"/>
        </w:rPr>
      </w:pPr>
      <w:r>
        <w:rPr>
          <w:rFonts w:hint="eastAsia" w:ascii="宋体" w:hAnsi="宋体"/>
          <w:bCs/>
          <w:color w:val="000000"/>
          <w:sz w:val="24"/>
          <w:szCs w:val="24"/>
        </w:rPr>
        <w:t>④. 拟针对本项目</w:t>
      </w:r>
      <w:r>
        <w:rPr>
          <w:rFonts w:ascii="宋体" w:hAnsi="宋体"/>
          <w:bCs/>
          <w:color w:val="000000"/>
          <w:sz w:val="24"/>
          <w:szCs w:val="24"/>
        </w:rPr>
        <w:t>项目组</w:t>
      </w:r>
      <w:r>
        <w:rPr>
          <w:rFonts w:hint="eastAsia" w:ascii="宋体" w:hAnsi="宋体"/>
          <w:bCs/>
          <w:color w:val="000000"/>
          <w:sz w:val="24"/>
          <w:szCs w:val="24"/>
        </w:rPr>
        <w:t>维护</w:t>
      </w:r>
      <w:r>
        <w:rPr>
          <w:rFonts w:ascii="宋体" w:hAnsi="宋体"/>
          <w:bCs/>
          <w:color w:val="000000"/>
          <w:sz w:val="24"/>
          <w:szCs w:val="24"/>
        </w:rPr>
        <w:t>成员具有IT服务</w:t>
      </w:r>
      <w:r>
        <w:rPr>
          <w:rFonts w:hint="eastAsia" w:ascii="宋体" w:hAnsi="宋体"/>
          <w:bCs/>
          <w:color w:val="000000"/>
          <w:sz w:val="24"/>
          <w:szCs w:val="24"/>
        </w:rPr>
        <w:t>项目经理</w:t>
      </w:r>
      <w:r>
        <w:rPr>
          <w:rFonts w:ascii="宋体" w:hAnsi="宋体"/>
          <w:bCs/>
          <w:color w:val="000000"/>
          <w:sz w:val="24"/>
          <w:szCs w:val="24"/>
        </w:rPr>
        <w:t>认证</w:t>
      </w:r>
      <w:r>
        <w:rPr>
          <w:rFonts w:hint="eastAsia" w:ascii="宋体" w:hAnsi="宋体"/>
          <w:bCs/>
          <w:color w:val="000000"/>
          <w:sz w:val="24"/>
          <w:szCs w:val="24"/>
        </w:rPr>
        <w:t>证书</w:t>
      </w:r>
      <w:r>
        <w:rPr>
          <w:rFonts w:ascii="宋体" w:hAnsi="宋体"/>
          <w:bCs/>
          <w:color w:val="000000"/>
          <w:sz w:val="24"/>
          <w:szCs w:val="24"/>
        </w:rPr>
        <w:t>，</w:t>
      </w:r>
      <w:r>
        <w:rPr>
          <w:rFonts w:hint="eastAsia" w:ascii="宋体" w:hAnsi="宋体"/>
          <w:bCs/>
          <w:color w:val="000000"/>
          <w:sz w:val="24"/>
          <w:szCs w:val="24"/>
        </w:rPr>
        <w:t>每提供1份有效证书扫描件得1分。</w:t>
      </w:r>
    </w:p>
    <w:p>
      <w:pPr>
        <w:tabs>
          <w:tab w:val="left" w:pos="840"/>
          <w:tab w:val="left" w:pos="1260"/>
        </w:tabs>
        <w:adjustRightInd w:val="0"/>
        <w:snapToGrid w:val="0"/>
        <w:spacing w:line="360" w:lineRule="auto"/>
        <w:ind w:firstLine="480"/>
        <w:rPr>
          <w:rFonts w:ascii="宋体" w:hAnsi="宋体"/>
          <w:bCs/>
          <w:color w:val="000000"/>
          <w:sz w:val="24"/>
          <w:szCs w:val="24"/>
        </w:rPr>
      </w:pPr>
      <w:r>
        <w:rPr>
          <w:rFonts w:hint="eastAsia" w:ascii="宋体" w:hAnsi="宋体"/>
          <w:bCs/>
          <w:color w:val="000000"/>
          <w:sz w:val="24"/>
          <w:szCs w:val="24"/>
        </w:rPr>
        <w:t>⑤. 拟针对本项目</w:t>
      </w:r>
      <w:r>
        <w:rPr>
          <w:rFonts w:ascii="宋体" w:hAnsi="宋体"/>
          <w:bCs/>
          <w:color w:val="000000"/>
          <w:sz w:val="24"/>
          <w:szCs w:val="24"/>
        </w:rPr>
        <w:t>项目组</w:t>
      </w:r>
      <w:r>
        <w:rPr>
          <w:rFonts w:hint="eastAsia" w:ascii="宋体" w:hAnsi="宋体"/>
          <w:bCs/>
          <w:color w:val="000000"/>
          <w:sz w:val="24"/>
          <w:szCs w:val="24"/>
        </w:rPr>
        <w:t>维护</w:t>
      </w:r>
      <w:r>
        <w:rPr>
          <w:rFonts w:ascii="宋体" w:hAnsi="宋体"/>
          <w:bCs/>
          <w:color w:val="000000"/>
          <w:sz w:val="24"/>
          <w:szCs w:val="24"/>
        </w:rPr>
        <w:t>成员具有IT服务</w:t>
      </w:r>
      <w:r>
        <w:rPr>
          <w:rFonts w:hint="eastAsia" w:ascii="宋体" w:hAnsi="宋体"/>
          <w:bCs/>
          <w:color w:val="000000"/>
          <w:sz w:val="24"/>
          <w:szCs w:val="24"/>
        </w:rPr>
        <w:t>工程师</w:t>
      </w:r>
      <w:r>
        <w:rPr>
          <w:rFonts w:ascii="宋体" w:hAnsi="宋体"/>
          <w:bCs/>
          <w:color w:val="000000"/>
          <w:sz w:val="24"/>
          <w:szCs w:val="24"/>
        </w:rPr>
        <w:t>认证</w:t>
      </w:r>
      <w:r>
        <w:rPr>
          <w:rFonts w:hint="eastAsia" w:ascii="宋体" w:hAnsi="宋体"/>
          <w:bCs/>
          <w:color w:val="000000"/>
          <w:sz w:val="24"/>
          <w:szCs w:val="24"/>
        </w:rPr>
        <w:t>证书</w:t>
      </w:r>
      <w:r>
        <w:rPr>
          <w:rFonts w:ascii="宋体" w:hAnsi="宋体"/>
          <w:bCs/>
          <w:color w:val="000000"/>
          <w:sz w:val="24"/>
          <w:szCs w:val="24"/>
        </w:rPr>
        <w:t>，</w:t>
      </w:r>
      <w:r>
        <w:rPr>
          <w:rFonts w:hint="eastAsia" w:ascii="宋体" w:hAnsi="宋体"/>
          <w:bCs/>
          <w:color w:val="000000"/>
          <w:sz w:val="24"/>
          <w:szCs w:val="24"/>
        </w:rPr>
        <w:t>每提供1份有效证书扫描件得1分。</w:t>
      </w:r>
    </w:p>
    <w:p>
      <w:pPr>
        <w:tabs>
          <w:tab w:val="left" w:pos="525"/>
          <w:tab w:val="left" w:pos="945"/>
          <w:tab w:val="left" w:pos="1155"/>
        </w:tabs>
        <w:spacing w:line="360" w:lineRule="auto"/>
        <w:ind w:firstLine="493"/>
        <w:rPr>
          <w:rFonts w:ascii="宋体" w:hAnsi="宋体"/>
          <w:b/>
          <w:color w:val="000000"/>
          <w:sz w:val="24"/>
          <w:szCs w:val="24"/>
        </w:rPr>
      </w:pPr>
      <w:r>
        <w:rPr>
          <w:rFonts w:hint="eastAsia" w:ascii="宋体" w:hAnsi="宋体"/>
          <w:b/>
          <w:bCs/>
          <w:sz w:val="24"/>
          <w:szCs w:val="24"/>
        </w:rPr>
        <w:t>（</w:t>
      </w:r>
      <w:r>
        <w:rPr>
          <w:rFonts w:hint="eastAsia" w:ascii="宋体" w:hAnsi="宋体"/>
          <w:b/>
          <w:bCs/>
          <w:sz w:val="24"/>
          <w:szCs w:val="24"/>
          <w:lang w:val="en-US" w:eastAsia="zh-CN"/>
        </w:rPr>
        <w:t>3</w:t>
      </w:r>
      <w:r>
        <w:rPr>
          <w:rFonts w:hint="eastAsia" w:ascii="宋体" w:hAnsi="宋体"/>
          <w:b/>
          <w:bCs/>
          <w:sz w:val="24"/>
          <w:szCs w:val="24"/>
        </w:rPr>
        <w:t>）</w:t>
      </w:r>
      <w:r>
        <w:rPr>
          <w:rFonts w:hint="eastAsia" w:ascii="宋体" w:hAnsi="宋体"/>
          <w:b/>
          <w:sz w:val="24"/>
          <w:szCs w:val="24"/>
        </w:rPr>
        <w:t>原厂技术保障能力</w:t>
      </w:r>
      <w:r>
        <w:rPr>
          <w:rFonts w:hint="eastAsia" w:ascii="宋体" w:hAnsi="宋体"/>
          <w:b/>
          <w:color w:val="000000"/>
          <w:sz w:val="24"/>
          <w:szCs w:val="24"/>
        </w:rPr>
        <w:t>（</w:t>
      </w:r>
      <w:r>
        <w:rPr>
          <w:rFonts w:ascii="宋体" w:hAnsi="宋体"/>
          <w:b/>
          <w:color w:val="000000"/>
          <w:sz w:val="24"/>
          <w:szCs w:val="24"/>
        </w:rPr>
        <w:t>8</w:t>
      </w:r>
      <w:r>
        <w:rPr>
          <w:rFonts w:hint="eastAsia" w:ascii="宋体" w:hAnsi="宋体"/>
          <w:b/>
          <w:color w:val="000000"/>
          <w:sz w:val="24"/>
          <w:szCs w:val="24"/>
        </w:rPr>
        <w:t>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1、投标时能提供所投的“48口接入交换机（千兆接入，万兆上联）、外网24口接入交换机（千兆接入，万兆上联）”针对本项目三年质保承诺函的得</w:t>
      </w:r>
      <w:r>
        <w:rPr>
          <w:rFonts w:ascii="宋体" w:hAnsi="宋体"/>
          <w:bCs/>
          <w:color w:val="000000"/>
          <w:sz w:val="24"/>
          <w:szCs w:val="24"/>
        </w:rPr>
        <w:t>2</w:t>
      </w:r>
      <w:r>
        <w:rPr>
          <w:rFonts w:hint="eastAsia" w:ascii="宋体" w:hAnsi="宋体"/>
          <w:bCs/>
          <w:color w:val="000000"/>
          <w:sz w:val="24"/>
          <w:szCs w:val="24"/>
        </w:rPr>
        <w:t>分，投标文件中提供原件扫描件加盖投标人公章，不提供不得分；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2、投标时能提供所投的“人员管控系统”针对本项目三年质保承诺函的得</w:t>
      </w:r>
      <w:r>
        <w:rPr>
          <w:rFonts w:ascii="宋体" w:hAnsi="宋体"/>
          <w:bCs/>
          <w:color w:val="000000"/>
          <w:sz w:val="24"/>
          <w:szCs w:val="24"/>
        </w:rPr>
        <w:t>2</w:t>
      </w:r>
      <w:r>
        <w:rPr>
          <w:rFonts w:hint="eastAsia" w:ascii="宋体" w:hAnsi="宋体"/>
          <w:bCs/>
          <w:color w:val="000000"/>
          <w:sz w:val="24"/>
          <w:szCs w:val="24"/>
        </w:rPr>
        <w:t>分，投标文件中提供承诺函原件扫描件加盖投标人公章，不提供不得分；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3、投标时能提供所投的“第四法庭简约型庭审主机”针对本项目三年质保承诺函的得</w:t>
      </w:r>
      <w:r>
        <w:rPr>
          <w:rFonts w:ascii="宋体" w:hAnsi="宋体"/>
          <w:bCs/>
          <w:color w:val="000000"/>
          <w:sz w:val="24"/>
          <w:szCs w:val="24"/>
        </w:rPr>
        <w:t>2</w:t>
      </w:r>
      <w:r>
        <w:rPr>
          <w:rFonts w:hint="eastAsia" w:ascii="宋体" w:hAnsi="宋体"/>
          <w:bCs/>
          <w:color w:val="000000"/>
          <w:sz w:val="24"/>
          <w:szCs w:val="24"/>
        </w:rPr>
        <w:t>分，投标文件中提供原件扫描件加盖投标人公章，不提供不得分；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4、投标时能提供所投的“第四法庭庭审直播主机”针对本项目三年质保承诺函的得</w:t>
      </w:r>
      <w:r>
        <w:rPr>
          <w:rFonts w:ascii="宋体" w:hAnsi="宋体"/>
          <w:bCs/>
          <w:color w:val="000000"/>
          <w:sz w:val="24"/>
          <w:szCs w:val="24"/>
        </w:rPr>
        <w:t>2</w:t>
      </w:r>
      <w:r>
        <w:rPr>
          <w:rFonts w:hint="eastAsia" w:ascii="宋体" w:hAnsi="宋体"/>
          <w:bCs/>
          <w:color w:val="000000"/>
          <w:sz w:val="24"/>
          <w:szCs w:val="24"/>
        </w:rPr>
        <w:t>分，投标文件中提供原件扫描件加盖投标人公章，不提供不得分。</w:t>
      </w:r>
    </w:p>
    <w:p>
      <w:pPr>
        <w:tabs>
          <w:tab w:val="left" w:pos="525"/>
          <w:tab w:val="left" w:pos="846"/>
          <w:tab w:val="left" w:pos="945"/>
          <w:tab w:val="left" w:pos="1155"/>
        </w:tabs>
        <w:spacing w:line="360" w:lineRule="auto"/>
        <w:ind w:firstLine="493"/>
        <w:rPr>
          <w:rFonts w:ascii="宋体" w:hAnsi="宋体"/>
          <w:b/>
          <w:color w:val="000000"/>
          <w:sz w:val="24"/>
          <w:szCs w:val="24"/>
        </w:rPr>
      </w:pPr>
      <w:r>
        <w:rPr>
          <w:rFonts w:hint="eastAsia" w:ascii="宋体" w:hAnsi="宋体"/>
          <w:b/>
          <w:bCs/>
          <w:sz w:val="24"/>
          <w:szCs w:val="24"/>
        </w:rPr>
        <w:t>（</w:t>
      </w:r>
      <w:r>
        <w:rPr>
          <w:rFonts w:hint="eastAsia" w:ascii="宋体" w:hAnsi="宋体"/>
          <w:b/>
          <w:bCs/>
          <w:sz w:val="24"/>
          <w:szCs w:val="24"/>
          <w:lang w:val="en-US" w:eastAsia="zh-CN"/>
        </w:rPr>
        <w:t>4</w:t>
      </w:r>
      <w:r>
        <w:rPr>
          <w:rFonts w:hint="eastAsia" w:ascii="宋体" w:hAnsi="宋体"/>
          <w:b/>
          <w:bCs/>
          <w:sz w:val="24"/>
          <w:szCs w:val="24"/>
        </w:rPr>
        <w:t>）</w:t>
      </w:r>
      <w:r>
        <w:rPr>
          <w:rFonts w:hint="eastAsia" w:ascii="宋体" w:hAnsi="宋体"/>
          <w:b/>
          <w:color w:val="000000"/>
          <w:sz w:val="24"/>
          <w:szCs w:val="24"/>
        </w:rPr>
        <w:t>投标人综合情况（13分）</w:t>
      </w:r>
    </w:p>
    <w:p>
      <w:pPr>
        <w:tabs>
          <w:tab w:val="left" w:pos="945"/>
          <w:tab w:val="left" w:pos="1155"/>
        </w:tabs>
        <w:spacing w:line="360" w:lineRule="auto"/>
        <w:ind w:firstLine="480" w:firstLineChars="200"/>
        <w:rPr>
          <w:rFonts w:ascii="宋体" w:hAnsi="宋体"/>
          <w:bCs/>
          <w:color w:val="000000"/>
          <w:sz w:val="24"/>
          <w:szCs w:val="24"/>
        </w:rPr>
      </w:pPr>
      <w:bookmarkStart w:id="2" w:name="_Hlk16346282"/>
      <w:bookmarkStart w:id="3" w:name="_Hlk16344121"/>
      <w:r>
        <w:rPr>
          <w:rFonts w:hint="eastAsia" w:ascii="宋体" w:hAnsi="宋体"/>
          <w:bCs/>
          <w:color w:val="000000"/>
          <w:sz w:val="24"/>
          <w:szCs w:val="24"/>
        </w:rPr>
        <w:t>1、投标人自2020年1月以来（以合同签订日期为准）类似项目案例，每提供一份有效合同扫描件得1分，最高得3分；（投标文件中</w:t>
      </w:r>
      <w:r>
        <w:rPr>
          <w:rFonts w:hint="eastAsia" w:ascii="宋体" w:hAnsi="宋体"/>
          <w:color w:val="000000"/>
          <w:sz w:val="24"/>
          <w:szCs w:val="24"/>
        </w:rPr>
        <w:t>须提供中标通知书、合同材料相关证明材料的原件扫描件加盖公章，缺一项不得分）。</w:t>
      </w:r>
    </w:p>
    <w:p>
      <w:pPr>
        <w:tabs>
          <w:tab w:val="left" w:pos="945"/>
          <w:tab w:val="left" w:pos="1155"/>
        </w:tabs>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2、投标人通过质量管理体系认证、环境管理体系认证、信息安全管理体系认证证书、信息技术服务管理体系认证、职业健康安全管理体系认证，所有证书均须在有效期内，每提供一种证书得1分，最高得5分。提供不符合要求或不提供均不得分。（</w:t>
      </w:r>
      <w:r>
        <w:rPr>
          <w:rFonts w:hint="eastAsia" w:ascii="宋体" w:hAnsi="宋体"/>
          <w:bCs/>
          <w:color w:val="000000"/>
          <w:sz w:val="24"/>
          <w:szCs w:val="24"/>
        </w:rPr>
        <w:t>投标文件中</w:t>
      </w:r>
      <w:r>
        <w:rPr>
          <w:rFonts w:hint="eastAsia" w:ascii="宋体" w:hAnsi="宋体"/>
          <w:color w:val="000000"/>
          <w:sz w:val="24"/>
          <w:szCs w:val="24"/>
        </w:rPr>
        <w:t>须提供证明材料原件扫描件加盖公章）。</w:t>
      </w:r>
    </w:p>
    <w:p>
      <w:pPr>
        <w:tabs>
          <w:tab w:val="left" w:pos="945"/>
          <w:tab w:val="left" w:pos="1155"/>
        </w:tabs>
        <w:spacing w:line="360" w:lineRule="auto"/>
        <w:ind w:firstLine="480" w:firstLineChars="200"/>
        <w:textAlignment w:val="baseline"/>
        <w:rPr>
          <w:rFonts w:ascii="宋体" w:hAnsi="宋体"/>
          <w:color w:val="000000"/>
          <w:sz w:val="24"/>
          <w:szCs w:val="24"/>
        </w:rPr>
      </w:pPr>
      <w:r>
        <w:rPr>
          <w:rFonts w:hint="eastAsia" w:ascii="宋体" w:hAnsi="宋体"/>
          <w:color w:val="000000"/>
          <w:sz w:val="24"/>
          <w:szCs w:val="24"/>
        </w:rPr>
        <w:t>3、投标人具有信息技术服务运行维护标准符合性证书（ITSS）三级，得1分；二级得2分；一级得3分（</w:t>
      </w:r>
      <w:r>
        <w:rPr>
          <w:rFonts w:hint="eastAsia" w:ascii="宋体" w:hAnsi="宋体"/>
          <w:bCs/>
          <w:color w:val="000000"/>
          <w:sz w:val="24"/>
          <w:szCs w:val="24"/>
        </w:rPr>
        <w:t>投标文件中</w:t>
      </w:r>
      <w:r>
        <w:rPr>
          <w:rFonts w:hint="eastAsia" w:ascii="宋体" w:hAnsi="宋体"/>
          <w:color w:val="000000"/>
          <w:sz w:val="24"/>
          <w:szCs w:val="24"/>
        </w:rPr>
        <w:t>须提供证明材料原件扫描件加盖公章）。</w:t>
      </w:r>
    </w:p>
    <w:p>
      <w:pPr>
        <w:tabs>
          <w:tab w:val="left" w:pos="945"/>
          <w:tab w:val="left" w:pos="1155"/>
        </w:tabs>
        <w:spacing w:line="360" w:lineRule="auto"/>
        <w:ind w:firstLine="480" w:firstLineChars="200"/>
        <w:textAlignment w:val="baseline"/>
      </w:pPr>
      <w:r>
        <w:rPr>
          <w:rFonts w:hint="eastAsia" w:ascii="宋体" w:hAnsi="宋体"/>
          <w:color w:val="000000"/>
          <w:sz w:val="24"/>
          <w:szCs w:val="24"/>
        </w:rPr>
        <w:t>4、投标人具有信息系统建设和服务能力等级（CS4级）或以上等级的得2分。（</w:t>
      </w:r>
      <w:r>
        <w:rPr>
          <w:rFonts w:hint="eastAsia" w:ascii="宋体" w:hAnsi="宋体"/>
          <w:bCs/>
          <w:color w:val="000000"/>
          <w:sz w:val="24"/>
          <w:szCs w:val="24"/>
        </w:rPr>
        <w:t>投标文件中</w:t>
      </w:r>
      <w:r>
        <w:rPr>
          <w:rFonts w:hint="eastAsia" w:ascii="宋体" w:hAnsi="宋体"/>
          <w:color w:val="000000"/>
          <w:sz w:val="24"/>
          <w:szCs w:val="24"/>
        </w:rPr>
        <w:t>须提供证明材料原件扫描件加盖公章）。</w:t>
      </w:r>
    </w:p>
    <w:p>
      <w:pPr>
        <w:tabs>
          <w:tab w:val="left" w:pos="525"/>
          <w:tab w:val="left" w:pos="846"/>
          <w:tab w:val="left" w:pos="945"/>
          <w:tab w:val="left" w:pos="1155"/>
        </w:tabs>
        <w:spacing w:line="360" w:lineRule="auto"/>
        <w:ind w:firstLine="480" w:firstLineChars="200"/>
        <w:rPr>
          <w:rFonts w:ascii="宋体" w:hAnsi="宋体"/>
          <w:bCs/>
          <w:color w:val="FF0000"/>
          <w:sz w:val="24"/>
          <w:szCs w:val="24"/>
          <w:highlight w:val="yellow"/>
        </w:rPr>
      </w:pPr>
      <w:r>
        <w:rPr>
          <w:rFonts w:hint="eastAsia" w:ascii="宋体" w:hAnsi="宋体"/>
          <w:b/>
          <w:bCs/>
          <w:sz w:val="24"/>
          <w:szCs w:val="24"/>
        </w:rPr>
        <w:t>（</w:t>
      </w:r>
      <w:r>
        <w:rPr>
          <w:rFonts w:hint="eastAsia" w:ascii="宋体" w:hAnsi="宋体"/>
          <w:b/>
          <w:bCs/>
          <w:sz w:val="24"/>
          <w:szCs w:val="24"/>
          <w:lang w:val="en-US" w:eastAsia="zh-CN"/>
        </w:rPr>
        <w:t>5</w:t>
      </w:r>
      <w:r>
        <w:rPr>
          <w:rFonts w:hint="eastAsia" w:ascii="宋体" w:hAnsi="宋体"/>
          <w:b/>
          <w:bCs/>
          <w:sz w:val="24"/>
          <w:szCs w:val="24"/>
        </w:rPr>
        <w:t>）</w:t>
      </w:r>
      <w:r>
        <w:rPr>
          <w:rFonts w:hint="eastAsia" w:ascii="宋体" w:hAnsi="宋体"/>
          <w:b/>
          <w:sz w:val="24"/>
          <w:szCs w:val="24"/>
        </w:rPr>
        <w:t>投标设备性能指标（</w:t>
      </w:r>
      <w:r>
        <w:rPr>
          <w:rFonts w:ascii="宋体" w:hAnsi="宋体"/>
          <w:b/>
          <w:sz w:val="24"/>
          <w:szCs w:val="24"/>
        </w:rPr>
        <w:t>5</w:t>
      </w:r>
      <w:r>
        <w:rPr>
          <w:rFonts w:hint="eastAsia" w:ascii="宋体" w:hAnsi="宋体"/>
          <w:b/>
          <w:sz w:val="24"/>
          <w:szCs w:val="24"/>
        </w:rPr>
        <w:t>分）</w:t>
      </w:r>
      <w:r>
        <w:rPr>
          <w:rFonts w:hint="eastAsia" w:ascii="宋体" w:hAnsi="宋体"/>
          <w:b/>
          <w:color w:val="000000"/>
          <w:sz w:val="24"/>
          <w:szCs w:val="24"/>
        </w:rPr>
        <w:t>，主要考察所报产品的性能指标，以招标文件的响应程度为基准，主要考察如下：</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1、</w:t>
      </w:r>
      <w:r>
        <w:rPr>
          <w:rFonts w:hint="eastAsia" w:ascii="宋体" w:hAnsi="宋体" w:cs="宋体"/>
          <w:kern w:val="0"/>
          <w:sz w:val="24"/>
          <w:szCs w:val="24"/>
        </w:rPr>
        <w:t>四门门禁控制器</w:t>
      </w:r>
      <w:r>
        <w:rPr>
          <w:rFonts w:ascii="宋体" w:hAnsi="宋体"/>
          <w:bCs/>
          <w:color w:val="000000"/>
          <w:sz w:val="24"/>
          <w:szCs w:val="24"/>
        </w:rPr>
        <w:t>（2分）：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①</w:t>
      </w:r>
      <w:r>
        <w:rPr>
          <w:rFonts w:ascii="宋体" w:hAnsi="宋体"/>
          <w:bCs/>
          <w:color w:val="000000"/>
          <w:sz w:val="24"/>
          <w:szCs w:val="24"/>
        </w:rPr>
        <w:t>.</w:t>
      </w:r>
      <w:r>
        <w:rPr>
          <w:rFonts w:hint="eastAsia" w:ascii="宋体" w:hAnsi="宋体"/>
          <w:bCs/>
          <w:color w:val="000000"/>
          <w:sz w:val="24"/>
          <w:szCs w:val="24"/>
        </w:rPr>
        <w:t>控制器集成蓝牙通讯模块，可以使用APP进行调试维护</w:t>
      </w:r>
      <w:r>
        <w:rPr>
          <w:rFonts w:ascii="宋体" w:hAnsi="宋体"/>
          <w:bCs/>
          <w:color w:val="000000"/>
          <w:sz w:val="24"/>
          <w:szCs w:val="24"/>
        </w:rPr>
        <w:t>。投标时提供由第三方权威检验机构（具有CMA或CNAS资质）出具的检测报告</w:t>
      </w:r>
      <w:r>
        <w:rPr>
          <w:rFonts w:hint="eastAsia" w:ascii="宋体" w:hAnsi="宋体"/>
          <w:bCs/>
          <w:color w:val="000000"/>
          <w:sz w:val="24"/>
          <w:szCs w:val="24"/>
        </w:rPr>
        <w:t>扫描件</w:t>
      </w:r>
      <w:r>
        <w:rPr>
          <w:rFonts w:ascii="宋体" w:hAnsi="宋体"/>
          <w:bCs/>
          <w:color w:val="000000"/>
          <w:sz w:val="24"/>
          <w:szCs w:val="24"/>
        </w:rPr>
        <w:t>并加盖投标</w:t>
      </w:r>
      <w:r>
        <w:rPr>
          <w:rFonts w:hint="eastAsia" w:ascii="宋体" w:hAnsi="宋体"/>
          <w:bCs/>
          <w:color w:val="000000"/>
          <w:sz w:val="24"/>
          <w:szCs w:val="24"/>
        </w:rPr>
        <w:t>人</w:t>
      </w:r>
      <w:r>
        <w:rPr>
          <w:rFonts w:ascii="宋体" w:hAnsi="宋体"/>
          <w:bCs/>
          <w:color w:val="000000"/>
          <w:sz w:val="24"/>
          <w:szCs w:val="24"/>
        </w:rPr>
        <w:t>公章的,得1分。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②</w:t>
      </w:r>
      <w:r>
        <w:rPr>
          <w:rFonts w:ascii="宋体" w:hAnsi="宋体"/>
          <w:bCs/>
          <w:color w:val="000000"/>
          <w:sz w:val="24"/>
          <w:szCs w:val="24"/>
        </w:rPr>
        <w:t>.</w:t>
      </w:r>
      <w:r>
        <w:rPr>
          <w:rFonts w:hint="eastAsia" w:ascii="宋体" w:hAnsi="宋体"/>
          <w:bCs/>
          <w:color w:val="000000"/>
          <w:sz w:val="24"/>
          <w:szCs w:val="24"/>
        </w:rPr>
        <w:t>系统中含有计时部件的设备，其内置的实时时钟精度应不低于每周±10s。断电后，实时时钟应能保持运行的最小时间周期为</w:t>
      </w:r>
      <w:r>
        <w:rPr>
          <w:rFonts w:ascii="宋体" w:hAnsi="宋体"/>
          <w:bCs/>
          <w:color w:val="000000"/>
          <w:sz w:val="24"/>
          <w:szCs w:val="24"/>
        </w:rPr>
        <w:t>120</w:t>
      </w:r>
      <w:r>
        <w:rPr>
          <w:rFonts w:hint="eastAsia" w:ascii="宋体" w:hAnsi="宋体"/>
          <w:bCs/>
          <w:color w:val="000000"/>
          <w:sz w:val="24"/>
          <w:szCs w:val="24"/>
        </w:rPr>
        <w:t>h</w:t>
      </w:r>
      <w:r>
        <w:rPr>
          <w:rFonts w:ascii="宋体" w:hAnsi="宋体"/>
          <w:bCs/>
          <w:color w:val="000000"/>
          <w:sz w:val="24"/>
          <w:szCs w:val="24"/>
        </w:rPr>
        <w:t>。投标时提供由第三方权威检验机构（具有CMA或CNAS资质）出具的检测报告</w:t>
      </w:r>
      <w:r>
        <w:rPr>
          <w:rFonts w:hint="eastAsia" w:ascii="宋体" w:hAnsi="宋体"/>
          <w:bCs/>
          <w:color w:val="000000"/>
          <w:sz w:val="24"/>
          <w:szCs w:val="24"/>
        </w:rPr>
        <w:t>扫描件</w:t>
      </w:r>
      <w:r>
        <w:rPr>
          <w:rFonts w:ascii="宋体" w:hAnsi="宋体"/>
          <w:bCs/>
          <w:color w:val="000000"/>
          <w:sz w:val="24"/>
          <w:szCs w:val="24"/>
        </w:rPr>
        <w:t>并加盖投标</w:t>
      </w:r>
      <w:r>
        <w:rPr>
          <w:rFonts w:hint="eastAsia" w:ascii="宋体" w:hAnsi="宋体"/>
          <w:bCs/>
          <w:color w:val="000000"/>
          <w:sz w:val="24"/>
          <w:szCs w:val="24"/>
        </w:rPr>
        <w:t>人</w:t>
      </w:r>
      <w:r>
        <w:rPr>
          <w:rFonts w:ascii="宋体" w:hAnsi="宋体"/>
          <w:bCs/>
          <w:color w:val="000000"/>
          <w:sz w:val="24"/>
          <w:szCs w:val="24"/>
        </w:rPr>
        <w:t>公章的,得1分。</w:t>
      </w:r>
    </w:p>
    <w:p>
      <w:pPr>
        <w:tabs>
          <w:tab w:val="left" w:pos="851"/>
          <w:tab w:val="left" w:pos="1155"/>
        </w:tabs>
        <w:spacing w:line="360" w:lineRule="auto"/>
        <w:ind w:firstLine="480" w:firstLineChars="200"/>
        <w:rPr>
          <w:rFonts w:ascii="宋体" w:hAnsi="宋体"/>
          <w:bCs/>
          <w:color w:val="000000"/>
          <w:sz w:val="24"/>
          <w:szCs w:val="24"/>
        </w:rPr>
      </w:pPr>
      <w:r>
        <w:rPr>
          <w:rFonts w:hint="eastAsia" w:ascii="宋体" w:hAnsi="宋体" w:cs="宋体"/>
          <w:kern w:val="0"/>
          <w:sz w:val="24"/>
          <w:szCs w:val="24"/>
        </w:rPr>
        <w:t>2、单路高清解码器</w:t>
      </w:r>
      <w:r>
        <w:rPr>
          <w:rFonts w:ascii="宋体" w:hAnsi="宋体"/>
          <w:bCs/>
          <w:color w:val="000000"/>
          <w:sz w:val="24"/>
          <w:szCs w:val="24"/>
        </w:rPr>
        <w:t>（3分）：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①</w:t>
      </w:r>
      <w:r>
        <w:rPr>
          <w:rFonts w:ascii="宋体" w:hAnsi="宋体"/>
          <w:bCs/>
          <w:color w:val="000000"/>
          <w:sz w:val="24"/>
          <w:szCs w:val="24"/>
        </w:rPr>
        <w:t>.</w:t>
      </w:r>
      <w:r>
        <w:rPr>
          <w:rFonts w:hint="eastAsia" w:ascii="宋体" w:hAnsi="宋体"/>
          <w:bCs/>
          <w:color w:val="000000"/>
          <w:sz w:val="24"/>
          <w:szCs w:val="24"/>
        </w:rPr>
        <w:t xml:space="preserve"> 可对以下分辨率的视频图像进行解码后输出：16路分辨率为4000×3000（20fps）的H.264、H.265、Smart264、Smart265、MPEG4视频图像</w:t>
      </w:r>
      <w:r>
        <w:rPr>
          <w:rFonts w:ascii="宋体" w:hAnsi="宋体"/>
          <w:bCs/>
          <w:color w:val="000000"/>
          <w:sz w:val="24"/>
          <w:szCs w:val="24"/>
        </w:rPr>
        <w:t>。投标时提供由第三方权威检验机构（具有CMA或CNAS资质）出具的检测报告</w:t>
      </w:r>
      <w:r>
        <w:rPr>
          <w:rFonts w:hint="eastAsia" w:ascii="宋体" w:hAnsi="宋体"/>
          <w:bCs/>
          <w:color w:val="000000"/>
          <w:sz w:val="24"/>
          <w:szCs w:val="24"/>
        </w:rPr>
        <w:t>扫描件</w:t>
      </w:r>
      <w:r>
        <w:rPr>
          <w:rFonts w:ascii="宋体" w:hAnsi="宋体"/>
          <w:bCs/>
          <w:color w:val="000000"/>
          <w:sz w:val="24"/>
          <w:szCs w:val="24"/>
        </w:rPr>
        <w:t>并加盖投标</w:t>
      </w:r>
      <w:r>
        <w:rPr>
          <w:rFonts w:hint="eastAsia" w:ascii="宋体" w:hAnsi="宋体"/>
          <w:bCs/>
          <w:color w:val="000000"/>
          <w:sz w:val="24"/>
          <w:szCs w:val="24"/>
        </w:rPr>
        <w:t>人</w:t>
      </w:r>
      <w:r>
        <w:rPr>
          <w:rFonts w:ascii="宋体" w:hAnsi="宋体"/>
          <w:bCs/>
          <w:color w:val="000000"/>
          <w:sz w:val="24"/>
          <w:szCs w:val="24"/>
        </w:rPr>
        <w:t>公章的,得1分。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②</w:t>
      </w:r>
      <w:r>
        <w:rPr>
          <w:rFonts w:ascii="宋体" w:hAnsi="宋体"/>
          <w:bCs/>
          <w:color w:val="000000"/>
          <w:sz w:val="24"/>
          <w:szCs w:val="24"/>
        </w:rPr>
        <w:t>.</w:t>
      </w:r>
      <w:r>
        <w:rPr>
          <w:rFonts w:hint="eastAsia" w:ascii="宋体" w:hAnsi="宋体"/>
          <w:bCs/>
          <w:color w:val="000000"/>
          <w:sz w:val="24"/>
          <w:szCs w:val="24"/>
        </w:rPr>
        <w:t xml:space="preserve"> 可对以下编码格式的视频图像进行解码后输出：H.264、H.265、Smart264、Smart265、MPEG4视频图像。</w:t>
      </w:r>
      <w:r>
        <w:rPr>
          <w:rFonts w:ascii="宋体" w:hAnsi="宋体"/>
          <w:bCs/>
          <w:color w:val="000000"/>
          <w:sz w:val="24"/>
          <w:szCs w:val="24"/>
        </w:rPr>
        <w:t>投标时提供由第三方权威检验机构（具有CMA或CNAS资质）出具的检测报告</w:t>
      </w:r>
      <w:r>
        <w:rPr>
          <w:rFonts w:hint="eastAsia" w:ascii="宋体" w:hAnsi="宋体"/>
          <w:bCs/>
          <w:color w:val="000000"/>
          <w:sz w:val="24"/>
          <w:szCs w:val="24"/>
        </w:rPr>
        <w:t>扫描件</w:t>
      </w:r>
      <w:r>
        <w:rPr>
          <w:rFonts w:ascii="宋体" w:hAnsi="宋体"/>
          <w:bCs/>
          <w:color w:val="000000"/>
          <w:sz w:val="24"/>
          <w:szCs w:val="24"/>
        </w:rPr>
        <w:t>并加盖投标</w:t>
      </w:r>
      <w:r>
        <w:rPr>
          <w:rFonts w:hint="eastAsia" w:ascii="宋体" w:hAnsi="宋体"/>
          <w:bCs/>
          <w:color w:val="000000"/>
          <w:sz w:val="24"/>
          <w:szCs w:val="24"/>
        </w:rPr>
        <w:t>人</w:t>
      </w:r>
      <w:r>
        <w:rPr>
          <w:rFonts w:ascii="宋体" w:hAnsi="宋体"/>
          <w:bCs/>
          <w:color w:val="000000"/>
          <w:sz w:val="24"/>
          <w:szCs w:val="24"/>
        </w:rPr>
        <w:t>公章的,得1分。</w:t>
      </w:r>
    </w:p>
    <w:p>
      <w:pPr>
        <w:tabs>
          <w:tab w:val="left" w:pos="945"/>
          <w:tab w:val="left" w:pos="1155"/>
        </w:tabs>
        <w:spacing w:line="360" w:lineRule="auto"/>
        <w:ind w:firstLine="480" w:firstLineChars="200"/>
        <w:rPr>
          <w:rFonts w:ascii="宋体" w:hAnsi="宋体"/>
          <w:bCs/>
          <w:color w:val="000000"/>
          <w:sz w:val="24"/>
          <w:szCs w:val="24"/>
        </w:rPr>
      </w:pPr>
      <w:r>
        <w:rPr>
          <w:rFonts w:hint="eastAsia" w:ascii="宋体" w:hAnsi="宋体"/>
          <w:bCs/>
          <w:color w:val="000000"/>
          <w:sz w:val="24"/>
          <w:szCs w:val="24"/>
        </w:rPr>
        <w:t>③</w:t>
      </w:r>
      <w:r>
        <w:rPr>
          <w:rFonts w:ascii="宋体" w:hAnsi="宋体"/>
          <w:bCs/>
          <w:color w:val="000000"/>
          <w:sz w:val="24"/>
          <w:szCs w:val="24"/>
        </w:rPr>
        <w:t>.</w:t>
      </w:r>
      <w:r>
        <w:rPr>
          <w:rFonts w:hint="eastAsia" w:ascii="宋体" w:hAnsi="宋体"/>
          <w:bCs/>
          <w:color w:val="000000"/>
          <w:sz w:val="24"/>
          <w:szCs w:val="24"/>
        </w:rPr>
        <w:t xml:space="preserve"> 设备接入具有智能行为分析功能的摄像机，可解码显示智能行为分析信息，包括移动侦测、越界入侵、区域入侵、起身离开等，并上传报警信息。</w:t>
      </w:r>
      <w:r>
        <w:rPr>
          <w:rFonts w:ascii="宋体" w:hAnsi="宋体"/>
          <w:bCs/>
          <w:color w:val="000000"/>
          <w:sz w:val="24"/>
          <w:szCs w:val="24"/>
        </w:rPr>
        <w:t>投标时提供由第三方权威检验机构（具有CMA或CNAS资质）出具的检测报告</w:t>
      </w:r>
      <w:r>
        <w:rPr>
          <w:rFonts w:hint="eastAsia" w:ascii="宋体" w:hAnsi="宋体"/>
          <w:bCs/>
          <w:color w:val="000000"/>
          <w:sz w:val="24"/>
          <w:szCs w:val="24"/>
        </w:rPr>
        <w:t>扫描件</w:t>
      </w:r>
      <w:r>
        <w:rPr>
          <w:rFonts w:ascii="宋体" w:hAnsi="宋体"/>
          <w:bCs/>
          <w:color w:val="000000"/>
          <w:sz w:val="24"/>
          <w:szCs w:val="24"/>
        </w:rPr>
        <w:t>并加盖投标</w:t>
      </w:r>
      <w:r>
        <w:rPr>
          <w:rFonts w:hint="eastAsia" w:ascii="宋体" w:hAnsi="宋体"/>
          <w:bCs/>
          <w:color w:val="000000"/>
          <w:sz w:val="24"/>
          <w:szCs w:val="24"/>
        </w:rPr>
        <w:t>人</w:t>
      </w:r>
      <w:r>
        <w:rPr>
          <w:rFonts w:ascii="宋体" w:hAnsi="宋体"/>
          <w:bCs/>
          <w:color w:val="000000"/>
          <w:sz w:val="24"/>
          <w:szCs w:val="24"/>
        </w:rPr>
        <w:t>公章的,得1分。</w:t>
      </w:r>
    </w:p>
    <w:bookmarkEnd w:id="2"/>
    <w:bookmarkEnd w:id="3"/>
    <w:p>
      <w:pPr>
        <w:tabs>
          <w:tab w:val="left" w:pos="525"/>
          <w:tab w:val="left" w:pos="846"/>
          <w:tab w:val="left" w:pos="945"/>
          <w:tab w:val="left" w:pos="1155"/>
        </w:tabs>
        <w:spacing w:line="360" w:lineRule="auto"/>
        <w:ind w:firstLine="480" w:firstLineChars="200"/>
        <w:rPr>
          <w:rFonts w:ascii="宋体" w:hAnsi="宋体"/>
          <w:b/>
          <w:color w:val="000000"/>
          <w:sz w:val="24"/>
          <w:szCs w:val="24"/>
        </w:rPr>
      </w:pPr>
      <w:r>
        <w:rPr>
          <w:rFonts w:hint="eastAsia" w:ascii="宋体" w:hAnsi="宋体"/>
          <w:b/>
          <w:bCs/>
          <w:sz w:val="24"/>
          <w:szCs w:val="24"/>
        </w:rPr>
        <w:t>（</w:t>
      </w:r>
      <w:r>
        <w:rPr>
          <w:rFonts w:hint="eastAsia" w:ascii="宋体" w:hAnsi="宋体"/>
          <w:b/>
          <w:bCs/>
          <w:sz w:val="24"/>
          <w:szCs w:val="24"/>
          <w:lang w:val="en-US" w:eastAsia="zh-CN"/>
        </w:rPr>
        <w:t>6</w:t>
      </w:r>
      <w:r>
        <w:rPr>
          <w:rFonts w:hint="eastAsia" w:ascii="宋体" w:hAnsi="宋体"/>
          <w:b/>
          <w:bCs/>
          <w:sz w:val="24"/>
          <w:szCs w:val="24"/>
        </w:rPr>
        <w:t>）</w:t>
      </w:r>
      <w:r>
        <w:rPr>
          <w:rFonts w:hint="eastAsia" w:ascii="宋体" w:hAnsi="宋体"/>
          <w:b/>
          <w:color w:val="000000"/>
          <w:sz w:val="24"/>
          <w:szCs w:val="24"/>
        </w:rPr>
        <w:t>项目方案（</w:t>
      </w:r>
      <w:r>
        <w:rPr>
          <w:rFonts w:ascii="宋体" w:hAnsi="宋体"/>
          <w:b/>
          <w:color w:val="000000"/>
          <w:sz w:val="24"/>
          <w:szCs w:val="24"/>
        </w:rPr>
        <w:t>2</w:t>
      </w:r>
      <w:r>
        <w:rPr>
          <w:rFonts w:hint="eastAsia" w:ascii="宋体" w:hAnsi="宋体"/>
          <w:b/>
          <w:color w:val="000000"/>
          <w:sz w:val="24"/>
          <w:szCs w:val="24"/>
        </w:rPr>
        <w:t>4分）：无方案不得分。</w:t>
      </w:r>
    </w:p>
    <w:p>
      <w:pPr>
        <w:spacing w:line="360" w:lineRule="auto"/>
        <w:ind w:firstLine="480" w:firstLineChars="200"/>
        <w:rPr>
          <w:rFonts w:ascii="宋体" w:hAnsi="宋体"/>
          <w:bCs/>
          <w:sz w:val="24"/>
          <w:szCs w:val="24"/>
        </w:rPr>
      </w:pPr>
      <w:r>
        <w:rPr>
          <w:rFonts w:hint="eastAsia" w:ascii="宋体" w:hAnsi="宋体"/>
          <w:bCs/>
          <w:sz w:val="24"/>
          <w:szCs w:val="24"/>
        </w:rPr>
        <w:t>1、项目实施方案（</w:t>
      </w:r>
      <w:r>
        <w:rPr>
          <w:rFonts w:ascii="宋体" w:hAnsi="宋体"/>
          <w:bCs/>
          <w:sz w:val="24"/>
          <w:szCs w:val="24"/>
        </w:rPr>
        <w:t>6</w:t>
      </w:r>
      <w:r>
        <w:rPr>
          <w:rFonts w:hint="eastAsia" w:ascii="宋体" w:hAnsi="宋体"/>
          <w:bCs/>
          <w:sz w:val="24"/>
          <w:szCs w:val="24"/>
        </w:rPr>
        <w:t>分）：完备项目实施管理制度，合理可行的项目实施计划，以及针对项目进度、质量、风险、资源、范围等方面控制的必要措施。</w:t>
      </w:r>
      <w:r>
        <w:rPr>
          <w:rFonts w:hint="eastAsia" w:ascii="宋体" w:hAnsi="宋体"/>
          <w:bCs/>
          <w:sz w:val="24"/>
        </w:rPr>
        <w:t>安排的合理性高、科学性高的得</w:t>
      </w:r>
      <w:r>
        <w:rPr>
          <w:rFonts w:ascii="宋体" w:hAnsi="宋体"/>
          <w:bCs/>
          <w:sz w:val="24"/>
        </w:rPr>
        <w:t>6</w:t>
      </w:r>
      <w:r>
        <w:rPr>
          <w:rFonts w:hint="eastAsia" w:ascii="宋体" w:hAnsi="宋体"/>
          <w:bCs/>
          <w:sz w:val="24"/>
        </w:rPr>
        <w:t>分；安排的合理性一般、科学性一般的得</w:t>
      </w:r>
      <w:r>
        <w:rPr>
          <w:rFonts w:ascii="宋体" w:hAnsi="宋体"/>
          <w:bCs/>
          <w:sz w:val="24"/>
        </w:rPr>
        <w:t>3</w:t>
      </w:r>
      <w:r>
        <w:rPr>
          <w:rFonts w:hint="eastAsia" w:ascii="宋体" w:hAnsi="宋体"/>
          <w:bCs/>
          <w:sz w:val="24"/>
        </w:rPr>
        <w:t>分；安排的合理性较差的得</w:t>
      </w:r>
      <w:r>
        <w:rPr>
          <w:rFonts w:ascii="宋体" w:hAnsi="宋体"/>
          <w:bCs/>
          <w:sz w:val="24"/>
        </w:rPr>
        <w:t>1</w:t>
      </w:r>
      <w:r>
        <w:rPr>
          <w:rFonts w:hint="eastAsia" w:ascii="宋体" w:hAnsi="宋体"/>
          <w:bCs/>
          <w:sz w:val="24"/>
        </w:rPr>
        <w:t>分；其余情况不得分</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2、系统安装调试及验收方案（</w:t>
      </w:r>
      <w:r>
        <w:rPr>
          <w:rFonts w:ascii="宋体" w:hAnsi="宋体"/>
          <w:bCs/>
          <w:sz w:val="24"/>
          <w:szCs w:val="24"/>
        </w:rPr>
        <w:t>5</w:t>
      </w:r>
      <w:r>
        <w:rPr>
          <w:rFonts w:hint="eastAsia" w:ascii="宋体" w:hAnsi="宋体"/>
          <w:bCs/>
          <w:sz w:val="24"/>
          <w:szCs w:val="24"/>
        </w:rPr>
        <w:t>分）：重点考察项目各系统安装调试方案、验收方案。</w:t>
      </w:r>
      <w:r>
        <w:rPr>
          <w:rFonts w:hint="eastAsia" w:ascii="宋体" w:hAnsi="宋体"/>
          <w:bCs/>
          <w:sz w:val="24"/>
        </w:rPr>
        <w:t>方案针对性强、可操作性高的得</w:t>
      </w:r>
      <w:r>
        <w:rPr>
          <w:rFonts w:ascii="宋体" w:hAnsi="宋体"/>
          <w:bCs/>
          <w:sz w:val="24"/>
        </w:rPr>
        <w:t>5</w:t>
      </w:r>
      <w:r>
        <w:rPr>
          <w:rFonts w:hint="eastAsia" w:ascii="宋体" w:hAnsi="宋体"/>
          <w:bCs/>
          <w:sz w:val="24"/>
        </w:rPr>
        <w:t>分；方案针对性一般、可操作性一般的得</w:t>
      </w:r>
      <w:r>
        <w:rPr>
          <w:rFonts w:ascii="宋体" w:hAnsi="宋体"/>
          <w:bCs/>
          <w:sz w:val="24"/>
        </w:rPr>
        <w:t>3</w:t>
      </w:r>
      <w:r>
        <w:rPr>
          <w:rFonts w:hint="eastAsia" w:ascii="宋体" w:hAnsi="宋体"/>
          <w:bCs/>
          <w:sz w:val="24"/>
        </w:rPr>
        <w:t>分；方案针对性较差、可操作性较差的得</w:t>
      </w:r>
      <w:r>
        <w:rPr>
          <w:rFonts w:ascii="宋体" w:hAnsi="宋体"/>
          <w:bCs/>
          <w:sz w:val="24"/>
        </w:rPr>
        <w:t>1</w:t>
      </w:r>
      <w:r>
        <w:rPr>
          <w:rFonts w:hint="eastAsia" w:ascii="宋体" w:hAnsi="宋体"/>
          <w:bCs/>
          <w:sz w:val="24"/>
        </w:rPr>
        <w:t>分；其余情况不得分</w:t>
      </w:r>
      <w:r>
        <w:rPr>
          <w:rFonts w:hint="eastAsia" w:ascii="宋体" w:hAnsi="宋体"/>
          <w:bCs/>
          <w:sz w:val="24"/>
          <w:szCs w:val="24"/>
        </w:rPr>
        <w:t>。</w:t>
      </w:r>
    </w:p>
    <w:p>
      <w:pPr>
        <w:spacing w:line="360" w:lineRule="auto"/>
        <w:ind w:firstLine="480" w:firstLineChars="200"/>
        <w:rPr>
          <w:rFonts w:ascii="宋体" w:hAnsi="宋体"/>
          <w:bCs/>
          <w:sz w:val="24"/>
          <w:szCs w:val="24"/>
        </w:rPr>
      </w:pPr>
      <w:r>
        <w:rPr>
          <w:rFonts w:hint="eastAsia" w:ascii="宋体" w:hAnsi="宋体"/>
          <w:bCs/>
          <w:sz w:val="24"/>
          <w:szCs w:val="24"/>
        </w:rPr>
        <w:t>3、售后服务人员管理、培训和考核方案（</w:t>
      </w:r>
      <w:r>
        <w:rPr>
          <w:rFonts w:ascii="宋体" w:hAnsi="宋体"/>
          <w:bCs/>
          <w:sz w:val="24"/>
          <w:szCs w:val="24"/>
        </w:rPr>
        <w:t>4</w:t>
      </w:r>
      <w:r>
        <w:rPr>
          <w:rFonts w:hint="eastAsia" w:ascii="宋体" w:hAnsi="宋体"/>
          <w:bCs/>
          <w:sz w:val="24"/>
          <w:szCs w:val="24"/>
        </w:rPr>
        <w:t>分）：</w:t>
      </w:r>
      <w:r>
        <w:rPr>
          <w:rFonts w:hint="eastAsia" w:ascii="宋体" w:hAnsi="宋体"/>
          <w:bCs/>
          <w:sz w:val="24"/>
        </w:rPr>
        <w:t>方案全面的得</w:t>
      </w:r>
      <w:r>
        <w:rPr>
          <w:rFonts w:ascii="宋体" w:hAnsi="宋体"/>
          <w:bCs/>
          <w:sz w:val="24"/>
        </w:rPr>
        <w:t>4</w:t>
      </w:r>
      <w:r>
        <w:rPr>
          <w:rFonts w:hint="eastAsia" w:ascii="宋体" w:hAnsi="宋体"/>
          <w:bCs/>
          <w:sz w:val="24"/>
        </w:rPr>
        <w:t>分，不够全面的得2分，方案较差的得1分，其余情况不得分</w:t>
      </w:r>
      <w:r>
        <w:rPr>
          <w:rFonts w:hint="eastAsia" w:ascii="宋体" w:hAnsi="宋体"/>
          <w:bCs/>
          <w:sz w:val="24"/>
          <w:szCs w:val="24"/>
        </w:rPr>
        <w:t>。</w:t>
      </w:r>
    </w:p>
    <w:p>
      <w:pPr>
        <w:spacing w:line="360" w:lineRule="auto"/>
        <w:ind w:firstLine="480" w:firstLineChars="200"/>
        <w:rPr>
          <w:rFonts w:ascii="宋体" w:hAnsi="宋体" w:eastAsia="宋体" w:cs="Times New Roman"/>
          <w:bCs/>
          <w:sz w:val="24"/>
          <w:szCs w:val="24"/>
        </w:rPr>
      </w:pPr>
      <w:r>
        <w:rPr>
          <w:rFonts w:hint="eastAsia" w:ascii="宋体" w:hAnsi="宋体"/>
          <w:bCs/>
          <w:sz w:val="24"/>
          <w:szCs w:val="24"/>
        </w:rPr>
        <w:t>4、质量保证措施及创优计划。（3分）</w:t>
      </w:r>
      <w:r>
        <w:rPr>
          <w:rFonts w:hint="eastAsia" w:ascii="宋体" w:hAnsi="宋体" w:eastAsia="宋体" w:cs="Times New Roman"/>
          <w:bCs/>
          <w:sz w:val="24"/>
          <w:szCs w:val="24"/>
        </w:rPr>
        <w:t>安排的合理性高、科学性高的得3分；安排的合理性一般、科学性一般的得2分；安排的合理性较差的得1分；其余情况不得分。</w:t>
      </w:r>
    </w:p>
    <w:p>
      <w:pPr>
        <w:spacing w:line="360" w:lineRule="auto"/>
        <w:ind w:firstLine="480" w:firstLineChars="200"/>
        <w:rPr>
          <w:rFonts w:ascii="宋体" w:hAnsi="宋体"/>
          <w:bCs/>
          <w:sz w:val="24"/>
          <w:szCs w:val="24"/>
        </w:rPr>
      </w:pPr>
      <w:r>
        <w:rPr>
          <w:rFonts w:hint="eastAsia" w:ascii="宋体" w:hAnsi="宋体"/>
          <w:bCs/>
          <w:sz w:val="24"/>
          <w:szCs w:val="24"/>
        </w:rPr>
        <w:t>5、培训方案(</w:t>
      </w:r>
      <w:r>
        <w:rPr>
          <w:rFonts w:ascii="宋体" w:hAnsi="宋体"/>
          <w:bCs/>
          <w:sz w:val="24"/>
          <w:szCs w:val="24"/>
        </w:rPr>
        <w:t>3</w:t>
      </w:r>
      <w:r>
        <w:rPr>
          <w:rFonts w:hint="eastAsia" w:ascii="宋体" w:hAnsi="宋体"/>
          <w:bCs/>
          <w:sz w:val="24"/>
          <w:szCs w:val="24"/>
        </w:rPr>
        <w:t>分)： 主要考察投标人培训方案的合理性，横向比较酌情打分。</w:t>
      </w:r>
      <w:r>
        <w:rPr>
          <w:rFonts w:hint="eastAsia" w:ascii="宋体" w:hAnsi="宋体"/>
          <w:bCs/>
          <w:sz w:val="24"/>
        </w:rPr>
        <w:t>方案全面、合理的得3分；方案基本合理的得2分；方案较差的得1分，其余情况不得分。</w:t>
      </w:r>
    </w:p>
    <w:p>
      <w:pPr>
        <w:spacing w:line="360" w:lineRule="auto"/>
        <w:ind w:firstLine="480" w:firstLineChars="200"/>
        <w:rPr>
          <w:rFonts w:ascii="宋体" w:hAnsi="宋体"/>
          <w:bCs/>
          <w:sz w:val="24"/>
          <w:szCs w:val="24"/>
        </w:rPr>
      </w:pPr>
      <w:r>
        <w:rPr>
          <w:rFonts w:hint="eastAsia" w:ascii="宋体" w:hAnsi="宋体"/>
          <w:bCs/>
          <w:sz w:val="24"/>
          <w:szCs w:val="24"/>
        </w:rPr>
        <w:t>6、项目需要的主要施工机械设备、劳动力需求计划及保证措施方案（</w:t>
      </w:r>
      <w:r>
        <w:rPr>
          <w:rFonts w:ascii="宋体" w:hAnsi="宋体"/>
          <w:bCs/>
          <w:sz w:val="24"/>
          <w:szCs w:val="24"/>
        </w:rPr>
        <w:t>3</w:t>
      </w:r>
      <w:r>
        <w:rPr>
          <w:rFonts w:hint="eastAsia" w:ascii="宋体" w:hAnsi="宋体"/>
          <w:bCs/>
          <w:sz w:val="24"/>
          <w:szCs w:val="24"/>
        </w:rPr>
        <w:t>分）。主要考察投标人对施工机械设备、劳动力需求计划及保证措施方案的科学性、合理性，投入施工机械设备、劳动力需求计划、保证措施，根据投标人针对本项目提供的主要施工机械设备、劳动力需求计划及保证措施方案。</w:t>
      </w:r>
      <w:r>
        <w:rPr>
          <w:rFonts w:hint="eastAsia" w:ascii="宋体" w:hAnsi="宋体"/>
          <w:bCs/>
          <w:sz w:val="24"/>
        </w:rPr>
        <w:t>方案合理性高、科学性高的得</w:t>
      </w:r>
      <w:r>
        <w:rPr>
          <w:rFonts w:ascii="宋体" w:hAnsi="宋体"/>
          <w:bCs/>
          <w:sz w:val="24"/>
        </w:rPr>
        <w:t>3</w:t>
      </w:r>
      <w:r>
        <w:rPr>
          <w:rFonts w:hint="eastAsia" w:ascii="宋体" w:hAnsi="宋体"/>
          <w:bCs/>
          <w:sz w:val="24"/>
        </w:rPr>
        <w:t>分；方案合理性一般、科学性一般的得</w:t>
      </w:r>
      <w:r>
        <w:rPr>
          <w:rFonts w:ascii="宋体" w:hAnsi="宋体"/>
          <w:bCs/>
          <w:sz w:val="24"/>
        </w:rPr>
        <w:t>2</w:t>
      </w:r>
      <w:r>
        <w:rPr>
          <w:rFonts w:hint="eastAsia" w:ascii="宋体" w:hAnsi="宋体"/>
          <w:bCs/>
          <w:sz w:val="24"/>
        </w:rPr>
        <w:t>分；方案合理性较差的得</w:t>
      </w:r>
      <w:r>
        <w:rPr>
          <w:rFonts w:ascii="宋体" w:hAnsi="宋体"/>
          <w:bCs/>
          <w:sz w:val="24"/>
        </w:rPr>
        <w:t>1</w:t>
      </w:r>
      <w:r>
        <w:rPr>
          <w:rFonts w:hint="eastAsia" w:ascii="宋体" w:hAnsi="宋体"/>
          <w:bCs/>
          <w:sz w:val="24"/>
        </w:rPr>
        <w:t>分；其余情况不得分。</w:t>
      </w:r>
    </w:p>
    <w:p>
      <w:pPr>
        <w:spacing w:line="360" w:lineRule="auto"/>
        <w:ind w:firstLine="480" w:firstLineChars="200"/>
        <w:rPr>
          <w:rFonts w:ascii="宋体" w:hAnsi="宋体"/>
          <w:bCs/>
          <w:sz w:val="24"/>
          <w:szCs w:val="24"/>
        </w:rPr>
      </w:pPr>
      <w:r>
        <w:rPr>
          <w:rFonts w:hint="eastAsia" w:ascii="宋体" w:hAnsi="宋体"/>
          <w:b/>
          <w:bCs/>
          <w:sz w:val="24"/>
          <w:szCs w:val="24"/>
        </w:rPr>
        <w:t>（</w:t>
      </w:r>
      <w:r>
        <w:rPr>
          <w:rFonts w:hint="eastAsia" w:ascii="宋体" w:hAnsi="宋体"/>
          <w:b/>
          <w:bCs/>
          <w:sz w:val="24"/>
          <w:szCs w:val="24"/>
          <w:lang w:val="en-US" w:eastAsia="zh-CN"/>
        </w:rPr>
        <w:t>七</w:t>
      </w:r>
      <w:r>
        <w:rPr>
          <w:rFonts w:hint="eastAsia" w:ascii="宋体" w:hAnsi="宋体"/>
          <w:b/>
          <w:bCs/>
          <w:sz w:val="24"/>
          <w:szCs w:val="24"/>
        </w:rPr>
        <w:t>）服务承诺（9分）</w:t>
      </w:r>
      <w:r>
        <w:rPr>
          <w:rFonts w:hint="eastAsia" w:ascii="宋体" w:hAnsi="宋体"/>
          <w:bCs/>
          <w:sz w:val="24"/>
          <w:szCs w:val="24"/>
        </w:rPr>
        <w:t>：</w:t>
      </w:r>
    </w:p>
    <w:p>
      <w:pPr>
        <w:tabs>
          <w:tab w:val="left" w:pos="525"/>
          <w:tab w:val="left" w:pos="945"/>
          <w:tab w:val="left" w:pos="1155"/>
        </w:tabs>
        <w:spacing w:line="360" w:lineRule="auto"/>
        <w:ind w:firstLine="493"/>
        <w:rPr>
          <w:rFonts w:hAnsi="宋体"/>
          <w:color w:val="000000"/>
          <w:sz w:val="24"/>
          <w:szCs w:val="24"/>
        </w:rPr>
      </w:pPr>
      <w:r>
        <w:rPr>
          <w:rFonts w:hint="eastAsia" w:hAnsi="宋体"/>
          <w:bCs/>
          <w:color w:val="000000"/>
          <w:sz w:val="24"/>
          <w:szCs w:val="24"/>
        </w:rPr>
        <w:t>以投标人所做服务承诺为依据，</w:t>
      </w:r>
      <w:r>
        <w:rPr>
          <w:rFonts w:hint="eastAsia"/>
          <w:bCs/>
          <w:color w:val="000000"/>
          <w:sz w:val="24"/>
          <w:szCs w:val="24"/>
        </w:rPr>
        <w:t>主要考察如下</w:t>
      </w:r>
      <w:r>
        <w:rPr>
          <w:rFonts w:hint="eastAsia" w:hAnsi="宋体"/>
          <w:bCs/>
          <w:color w:val="000000"/>
          <w:sz w:val="24"/>
          <w:szCs w:val="24"/>
        </w:rPr>
        <w:t>：</w:t>
      </w:r>
    </w:p>
    <w:p>
      <w:pPr>
        <w:tabs>
          <w:tab w:val="left" w:pos="1155"/>
          <w:tab w:val="left" w:pos="1378"/>
        </w:tabs>
        <w:spacing w:line="360" w:lineRule="auto"/>
        <w:ind w:firstLine="480" w:firstLineChars="200"/>
        <w:rPr>
          <w:rFonts w:ascii="宋体" w:hAnsi="宋体"/>
          <w:bCs/>
          <w:sz w:val="24"/>
          <w:szCs w:val="24"/>
        </w:rPr>
      </w:pPr>
      <w:r>
        <w:rPr>
          <w:rFonts w:hint="eastAsia" w:ascii="宋体" w:hAnsi="宋体"/>
          <w:bCs/>
          <w:sz w:val="24"/>
          <w:szCs w:val="24"/>
        </w:rPr>
        <w:t>（1）、应急响应措施（</w:t>
      </w:r>
      <w:r>
        <w:rPr>
          <w:rFonts w:ascii="宋体" w:hAnsi="宋体"/>
          <w:bCs/>
          <w:sz w:val="24"/>
          <w:szCs w:val="24"/>
        </w:rPr>
        <w:t>2</w:t>
      </w:r>
      <w:r>
        <w:rPr>
          <w:rFonts w:hint="eastAsia" w:ascii="宋体" w:hAnsi="宋体"/>
          <w:bCs/>
          <w:sz w:val="24"/>
          <w:szCs w:val="24"/>
        </w:rPr>
        <w:t>分）：考察故障响应修复时间、升级保证、备品备件等情况。</w:t>
      </w:r>
      <w:r>
        <w:rPr>
          <w:rFonts w:hint="eastAsia" w:ascii="宋体" w:hAnsi="宋体"/>
          <w:sz w:val="24"/>
        </w:rPr>
        <w:t>承诺在2天之内更换到位且突发事件应急响应时间在1小时之内进行响应得2分；承诺在2天之内更换到位且突发事件应急响应时间在2小时之内进行响应得1分；超过上述时限或无承诺不得分。</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bCs/>
          <w:sz w:val="24"/>
          <w:szCs w:val="24"/>
          <w:highlight w:val="none"/>
        </w:rPr>
        <w:t>本地化服务(</w:t>
      </w:r>
      <w:r>
        <w:rPr>
          <w:rFonts w:ascii="宋体" w:hAnsi="宋体"/>
          <w:bCs/>
          <w:sz w:val="24"/>
          <w:szCs w:val="24"/>
          <w:highlight w:val="none"/>
        </w:rPr>
        <w:t>1</w:t>
      </w:r>
      <w:r>
        <w:rPr>
          <w:rFonts w:hint="eastAsia" w:ascii="宋体" w:hAnsi="宋体"/>
          <w:bCs/>
          <w:sz w:val="24"/>
          <w:szCs w:val="24"/>
          <w:highlight w:val="none"/>
        </w:rPr>
        <w:t>分)</w:t>
      </w:r>
      <w:r>
        <w:rPr>
          <w:rFonts w:hint="eastAsia" w:ascii="宋体" w:hAnsi="宋体"/>
          <w:bCs/>
          <w:sz w:val="24"/>
          <w:szCs w:val="24"/>
        </w:rPr>
        <w:t>: 本地投标人不需提供资料。投标人不在本地的，</w:t>
      </w:r>
      <w:r>
        <w:rPr>
          <w:rFonts w:hint="eastAsia" w:ascii="宋体" w:hAnsi="宋体"/>
          <w:bCs/>
          <w:sz w:val="24"/>
          <w:szCs w:val="24"/>
          <w:highlight w:val="none"/>
        </w:rPr>
        <w:t>承诺中标后</w:t>
      </w:r>
      <w:r>
        <w:rPr>
          <w:rFonts w:hint="eastAsia" w:ascii="宋体" w:hAnsi="宋体"/>
          <w:bCs/>
          <w:sz w:val="24"/>
          <w:szCs w:val="24"/>
        </w:rPr>
        <w:t>设立常驻售后服务机构或派驻本地服务人员。</w:t>
      </w:r>
      <w:r>
        <w:rPr>
          <w:rFonts w:hint="eastAsia" w:ascii="宋体" w:hAnsi="宋体"/>
          <w:b w:val="0"/>
          <w:bCs/>
          <w:sz w:val="24"/>
          <w:szCs w:val="24"/>
        </w:rPr>
        <w:t>提</w:t>
      </w:r>
      <w:r>
        <w:rPr>
          <w:rFonts w:hint="eastAsia" w:ascii="宋体" w:hAnsi="宋体" w:eastAsia="宋体" w:cs="Times New Roman"/>
          <w:b w:val="0"/>
          <w:bCs/>
          <w:sz w:val="24"/>
          <w:szCs w:val="24"/>
        </w:rPr>
        <w:t>供本</w:t>
      </w:r>
      <w:r>
        <w:rPr>
          <w:rFonts w:hint="eastAsia" w:ascii="宋体" w:hAnsi="宋体" w:eastAsia="宋体" w:cs="Times New Roman"/>
          <w:bCs/>
          <w:sz w:val="24"/>
          <w:szCs w:val="24"/>
        </w:rPr>
        <w:t>地办公场所相关证明</w:t>
      </w:r>
      <w:r>
        <w:rPr>
          <w:rFonts w:hint="eastAsia" w:ascii="宋体" w:hAnsi="宋体" w:eastAsia="宋体" w:cs="Times New Roman"/>
          <w:bCs/>
          <w:sz w:val="24"/>
          <w:szCs w:val="24"/>
          <w:lang w:val="en-US" w:eastAsia="zh-CN"/>
        </w:rPr>
        <w:t>扫描件或</w:t>
      </w:r>
      <w:r>
        <w:rPr>
          <w:rFonts w:hint="eastAsia" w:ascii="宋体" w:hAnsi="宋体"/>
          <w:bCs/>
          <w:sz w:val="24"/>
          <w:szCs w:val="24"/>
        </w:rPr>
        <w:t>提供投标人连续三个月(至少包含近三个月中任意一个月份(不含投标当月))为该服务人员缴纳社保的证明材料</w:t>
      </w:r>
      <w:r>
        <w:rPr>
          <w:rFonts w:hint="eastAsia" w:ascii="宋体" w:hAnsi="宋体"/>
          <w:bCs/>
          <w:sz w:val="24"/>
          <w:szCs w:val="24"/>
          <w:lang w:val="en-US" w:eastAsia="zh-CN"/>
        </w:rPr>
        <w:t>扫描件</w:t>
      </w:r>
      <w:r>
        <w:rPr>
          <w:rFonts w:hint="eastAsia" w:ascii="宋体" w:hAnsi="宋体"/>
          <w:b w:val="0"/>
          <w:bCs/>
          <w:sz w:val="24"/>
          <w:szCs w:val="24"/>
        </w:rPr>
        <w:t>，</w:t>
      </w:r>
      <w:r>
        <w:rPr>
          <w:rFonts w:hint="eastAsia" w:ascii="宋体" w:hAnsi="宋体" w:eastAsia="宋体" w:cs="Times New Roman"/>
          <w:b w:val="0"/>
          <w:bCs/>
          <w:color w:val="000000"/>
          <w:sz w:val="24"/>
          <w:szCs w:val="24"/>
        </w:rPr>
        <w:t>提供得</w:t>
      </w:r>
      <w:r>
        <w:rPr>
          <w:rFonts w:hint="eastAsia" w:ascii="宋体" w:hAnsi="宋体" w:eastAsia="宋体" w:cs="Times New Roman"/>
          <w:b w:val="0"/>
          <w:bCs/>
          <w:color w:val="000000"/>
          <w:sz w:val="24"/>
          <w:szCs w:val="24"/>
          <w:lang w:val="en-US" w:eastAsia="zh-CN"/>
        </w:rPr>
        <w:t>1</w:t>
      </w:r>
      <w:r>
        <w:rPr>
          <w:rFonts w:hint="eastAsia" w:ascii="宋体" w:hAnsi="宋体" w:eastAsia="宋体" w:cs="Times New Roman"/>
          <w:b w:val="0"/>
          <w:bCs/>
          <w:color w:val="000000"/>
          <w:sz w:val="24"/>
          <w:szCs w:val="24"/>
        </w:rPr>
        <w:t>分，否则不得分。</w:t>
      </w:r>
      <w:r>
        <w:rPr>
          <w:rFonts w:hint="eastAsia" w:ascii="宋体" w:hAnsi="宋体"/>
          <w:bCs/>
          <w:color w:val="000000"/>
          <w:sz w:val="24"/>
          <w:szCs w:val="24"/>
        </w:rPr>
        <w:t>本项最高得1分，</w:t>
      </w:r>
      <w:r>
        <w:rPr>
          <w:rFonts w:hint="eastAsia" w:ascii="宋体" w:hAnsi="宋体"/>
          <w:bCs/>
          <w:sz w:val="24"/>
          <w:szCs w:val="24"/>
        </w:rPr>
        <w:t>证明资料不提供不得分</w:t>
      </w:r>
      <w:r>
        <w:rPr>
          <w:rFonts w:hint="eastAsia" w:ascii="宋体" w:hAnsi="宋体"/>
          <w:bCs/>
          <w:color w:val="000000"/>
          <w:sz w:val="24"/>
          <w:szCs w:val="24"/>
        </w:rPr>
        <w:t>。</w:t>
      </w:r>
    </w:p>
    <w:p>
      <w:pPr>
        <w:tabs>
          <w:tab w:val="left" w:pos="1155"/>
          <w:tab w:val="left" w:pos="1378"/>
        </w:tabs>
        <w:spacing w:line="360" w:lineRule="auto"/>
        <w:ind w:firstLine="480" w:firstLineChars="200"/>
        <w:rPr>
          <w:rFonts w:ascii="宋体" w:hAnsi="宋体"/>
          <w:bCs/>
          <w:sz w:val="24"/>
          <w:szCs w:val="24"/>
        </w:rPr>
      </w:pPr>
      <w:r>
        <w:rPr>
          <w:rFonts w:hint="eastAsia" w:ascii="宋体" w:hAnsi="宋体"/>
          <w:bCs/>
          <w:sz w:val="24"/>
          <w:szCs w:val="24"/>
        </w:rPr>
        <w:t>（3）、服务质量监控（</w:t>
      </w:r>
      <w:r>
        <w:rPr>
          <w:rFonts w:ascii="宋体" w:hAnsi="宋体"/>
          <w:bCs/>
          <w:sz w:val="24"/>
          <w:szCs w:val="24"/>
        </w:rPr>
        <w:t>3</w:t>
      </w:r>
      <w:r>
        <w:rPr>
          <w:rFonts w:hint="eastAsia" w:ascii="宋体" w:hAnsi="宋体"/>
          <w:bCs/>
          <w:sz w:val="24"/>
          <w:szCs w:val="24"/>
        </w:rPr>
        <w:t>分）：投标人提供基于移动互联终端的报修业务跟踪软件，便于采购人监管报修响应时间及服务流程。内容主要包括服务请求、服务处理、服务管理及服务查询，借助平台软件完成项目知识信息的积累，并支持知识库的发布、查询及审核。投标人若能满足手机端功能的，得</w:t>
      </w:r>
      <w:r>
        <w:rPr>
          <w:rFonts w:ascii="宋体" w:hAnsi="宋体"/>
          <w:bCs/>
          <w:sz w:val="24"/>
          <w:szCs w:val="24"/>
        </w:rPr>
        <w:t>2</w:t>
      </w:r>
      <w:r>
        <w:rPr>
          <w:rFonts w:hint="eastAsia" w:ascii="宋体" w:hAnsi="宋体"/>
          <w:bCs/>
          <w:sz w:val="24"/>
          <w:szCs w:val="24"/>
        </w:rPr>
        <w:t>分，若能满足PC电脑端的，得1分。提供相关的证明文件并加盖投标人公章。</w:t>
      </w:r>
      <w:r>
        <w:rPr>
          <w:rFonts w:hint="eastAsia" w:ascii="宋体" w:hAnsi="宋体"/>
          <w:bCs/>
          <w:color w:val="000000"/>
          <w:sz w:val="24"/>
          <w:szCs w:val="24"/>
        </w:rPr>
        <w:t>本项最高得2分，</w:t>
      </w:r>
      <w:r>
        <w:rPr>
          <w:rFonts w:hint="eastAsia" w:ascii="宋体" w:hAnsi="宋体"/>
          <w:bCs/>
          <w:sz w:val="24"/>
          <w:szCs w:val="24"/>
        </w:rPr>
        <w:t>证明资料未提供或提供不全者不得分。</w:t>
      </w:r>
    </w:p>
    <w:p>
      <w:pPr>
        <w:tabs>
          <w:tab w:val="left" w:pos="1155"/>
          <w:tab w:val="left" w:pos="1378"/>
        </w:tabs>
        <w:spacing w:line="360" w:lineRule="auto"/>
        <w:ind w:firstLine="480" w:firstLineChars="200"/>
        <w:rPr>
          <w:rFonts w:hint="eastAsia" w:ascii="宋体" w:hAnsi="宋体" w:cs="宋体"/>
          <w:bCs/>
          <w:sz w:val="24"/>
          <w:szCs w:val="24"/>
        </w:rPr>
      </w:pPr>
      <w:r>
        <w:rPr>
          <w:rFonts w:hint="eastAsia" w:ascii="宋体" w:hAnsi="宋体"/>
          <w:bCs/>
          <w:sz w:val="24"/>
          <w:szCs w:val="24"/>
        </w:rPr>
        <w:t>（4）、</w:t>
      </w:r>
      <w:bookmarkStart w:id="8" w:name="_GoBack"/>
      <w:r>
        <w:rPr>
          <w:rFonts w:hint="eastAsia" w:ascii="宋体" w:hAnsi="宋体"/>
          <w:bCs/>
          <w:sz w:val="24"/>
          <w:szCs w:val="24"/>
        </w:rPr>
        <w:t>售后服务方案</w:t>
      </w:r>
      <w:bookmarkEnd w:id="8"/>
      <w:r>
        <w:rPr>
          <w:rFonts w:hint="eastAsia" w:ascii="宋体" w:hAnsi="宋体"/>
          <w:bCs/>
          <w:sz w:val="24"/>
          <w:szCs w:val="24"/>
        </w:rPr>
        <w:t>（3分）：根据投标人提供的售后服务方案，包括售后服务的内容和详细方案合理性、科学性、备件备品、故障响应时间、重大故障的应急预案和措施等情况酌情给分，不提供售后服务方案不得分。</w:t>
      </w:r>
      <w:r>
        <w:rPr>
          <w:rFonts w:hint="eastAsia" w:ascii="宋体" w:hAnsi="宋体"/>
          <w:bCs/>
          <w:sz w:val="24"/>
        </w:rPr>
        <w:t>方案全面的得3分，不够全面的得2分，方案较差的得1分，其余情况不得分</w:t>
      </w:r>
      <w:r>
        <w:rPr>
          <w:rFonts w:hint="eastAsia" w:ascii="宋体" w:hAnsi="宋体"/>
          <w:bCs/>
          <w:color w:val="000000"/>
          <w:sz w:val="24"/>
          <w:szCs w:val="24"/>
        </w:rPr>
        <w:t>。</w:t>
      </w:r>
    </w:p>
    <w:p>
      <w:pPr>
        <w:tabs>
          <w:tab w:val="left" w:pos="510"/>
          <w:tab w:val="left" w:pos="945"/>
          <w:tab w:val="left" w:pos="1155"/>
          <w:tab w:val="left" w:pos="3823"/>
        </w:tabs>
        <w:spacing w:line="360" w:lineRule="auto"/>
        <w:ind w:firstLine="480" w:firstLineChars="200"/>
        <w:rPr>
          <w:rFonts w:hint="eastAsia"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8</w:t>
      </w:r>
      <w:r>
        <w:rPr>
          <w:rFonts w:hint="eastAsia" w:ascii="宋体" w:hAnsi="宋体"/>
          <w:b/>
          <w:bCs/>
          <w:sz w:val="24"/>
          <w:szCs w:val="24"/>
        </w:rPr>
        <w:t>）加分因素（3分）：</w:t>
      </w:r>
    </w:p>
    <w:p>
      <w:pPr>
        <w:pStyle w:val="107"/>
        <w:numPr>
          <w:ilvl w:val="0"/>
          <w:numId w:val="21"/>
        </w:numPr>
        <w:tabs>
          <w:tab w:val="left" w:pos="945"/>
          <w:tab w:val="left" w:pos="1155"/>
        </w:tabs>
        <w:spacing w:line="360" w:lineRule="auto"/>
        <w:ind w:left="0" w:firstLine="480"/>
        <w:rPr>
          <w:rFonts w:hint="eastAsia" w:ascii="宋体" w:hAnsi="宋体"/>
          <w:bCs/>
          <w:sz w:val="24"/>
          <w:szCs w:val="24"/>
        </w:rPr>
      </w:pPr>
      <w:r>
        <w:rPr>
          <w:rFonts w:hint="eastAsia" w:ascii="宋体" w:hAnsi="宋体"/>
          <w:bCs/>
          <w:sz w:val="24"/>
          <w:szCs w:val="24"/>
        </w:rPr>
        <w:t>依据财政部、发展改革委发布的《节能产品政府采购品目清单》和财政部、生态环境部发布的《</w:t>
      </w:r>
      <w:r>
        <w:rPr>
          <w:rFonts w:ascii="宋体" w:hAnsi="宋体"/>
          <w:bCs/>
          <w:sz w:val="24"/>
          <w:szCs w:val="24"/>
        </w:rPr>
        <w:t>环境标志产品政府采购品目清单</w:t>
      </w:r>
      <w:r>
        <w:rPr>
          <w:rFonts w:hint="eastAsia" w:ascii="宋体" w:hAnsi="宋体"/>
          <w:bCs/>
          <w:sz w:val="24"/>
          <w:szCs w:val="24"/>
        </w:rPr>
        <w:t>》，投标产品为政府采购节能（政府强制采购节能产品除外）、环保产品分别加1分（投标时须提供所投产品由国家确定的认证机构出具的、处于有效期之内的节能产品认证证书复印件、环境标志产品认证证书复印件，否则不得分</w:t>
      </w:r>
      <w:r>
        <w:rPr>
          <w:rFonts w:ascii="宋体" w:hAnsi="宋体"/>
          <w:bCs/>
          <w:sz w:val="24"/>
          <w:szCs w:val="24"/>
        </w:rPr>
        <w:t>）</w:t>
      </w:r>
      <w:r>
        <w:rPr>
          <w:rFonts w:hint="eastAsia" w:ascii="宋体" w:hAnsi="宋体"/>
          <w:bCs/>
          <w:sz w:val="24"/>
          <w:szCs w:val="24"/>
        </w:rPr>
        <w:t>。</w:t>
      </w:r>
    </w:p>
    <w:p>
      <w:pPr>
        <w:pStyle w:val="107"/>
        <w:numPr>
          <w:ilvl w:val="0"/>
          <w:numId w:val="21"/>
        </w:numPr>
        <w:tabs>
          <w:tab w:val="left" w:pos="945"/>
          <w:tab w:val="left" w:pos="1155"/>
        </w:tabs>
        <w:spacing w:line="360" w:lineRule="auto"/>
        <w:ind w:left="0" w:firstLine="480"/>
        <w:rPr>
          <w:rFonts w:ascii="宋体" w:hAnsi="宋体"/>
          <w:bCs/>
          <w:color w:val="auto"/>
          <w:sz w:val="24"/>
          <w:szCs w:val="24"/>
        </w:rPr>
      </w:pPr>
      <w:r>
        <w:rPr>
          <w:rFonts w:ascii="宋体" w:hAnsi="宋体"/>
          <w:bCs/>
          <w:color w:val="auto"/>
          <w:sz w:val="24"/>
          <w:szCs w:val="24"/>
        </w:rPr>
        <w:t>依据《江苏省财政厅关于加强政府绿色采购有关事项的通知》（苏财购〔2023〕65号），</w:t>
      </w:r>
      <w:r>
        <w:rPr>
          <w:rFonts w:hint="eastAsia" w:ascii="宋体" w:hAnsi="宋体"/>
          <w:bCs/>
          <w:color w:val="auto"/>
          <w:sz w:val="24"/>
          <w:szCs w:val="24"/>
        </w:rPr>
        <w:t>本项目中如有涉及涂料、胶黏剂、油墨、清洗剂等挥发性有机物产品的，属于强制性标准的，供应商应当执行国家和我省</w:t>
      </w:r>
      <w:r>
        <w:rPr>
          <w:rFonts w:ascii="宋体" w:hAnsi="宋体"/>
          <w:bCs/>
          <w:color w:val="auto"/>
          <w:sz w:val="24"/>
          <w:szCs w:val="24"/>
        </w:rPr>
        <w:t>VOCs</w:t>
      </w:r>
      <w:r>
        <w:rPr>
          <w:rFonts w:hint="eastAsia" w:ascii="宋体" w:hAnsi="宋体"/>
          <w:bCs/>
          <w:color w:val="auto"/>
          <w:sz w:val="24"/>
          <w:szCs w:val="24"/>
        </w:rPr>
        <w:t>含量限制标准。</w:t>
      </w:r>
      <w:r>
        <w:rPr>
          <w:rFonts w:ascii="宋体" w:hAnsi="宋体"/>
          <w:bCs/>
          <w:color w:val="auto"/>
          <w:sz w:val="24"/>
          <w:szCs w:val="24"/>
        </w:rPr>
        <w:t>供应商提供符合推荐性标准的涂料、胶黏剂、油墨、清洗剂等挥发性有机物产品的</w:t>
      </w:r>
      <w:r>
        <w:rPr>
          <w:rFonts w:hint="eastAsia" w:ascii="宋体" w:hAnsi="宋体"/>
          <w:bCs/>
          <w:color w:val="auto"/>
          <w:sz w:val="24"/>
          <w:szCs w:val="24"/>
        </w:rPr>
        <w:t>或者</w:t>
      </w:r>
      <w:r>
        <w:rPr>
          <w:rFonts w:ascii="宋体" w:hAnsi="宋体"/>
          <w:bCs/>
          <w:color w:val="auto"/>
          <w:sz w:val="24"/>
          <w:szCs w:val="24"/>
        </w:rPr>
        <w:t>在通用类货物、家具、印刷、公务车辆维修等采购项目中，供应商能够优先使用低挥发性原辅材料的加1分（投标时须提供相应</w:t>
      </w:r>
      <w:r>
        <w:rPr>
          <w:rFonts w:hint="eastAsia" w:ascii="宋体" w:hAnsi="宋体"/>
          <w:bCs/>
          <w:color w:val="auto"/>
          <w:sz w:val="24"/>
          <w:szCs w:val="24"/>
        </w:rPr>
        <w:t>使用低</w:t>
      </w:r>
      <w:r>
        <w:rPr>
          <w:rFonts w:ascii="宋体" w:hAnsi="宋体"/>
          <w:bCs/>
          <w:color w:val="auto"/>
          <w:sz w:val="24"/>
          <w:szCs w:val="24"/>
        </w:rPr>
        <w:t xml:space="preserve">VOCs </w:t>
      </w:r>
      <w:r>
        <w:rPr>
          <w:rFonts w:hint="eastAsia" w:ascii="宋体" w:hAnsi="宋体"/>
          <w:bCs/>
          <w:color w:val="auto"/>
          <w:sz w:val="24"/>
          <w:szCs w:val="24"/>
        </w:rPr>
        <w:t>含量的</w:t>
      </w:r>
      <w:r>
        <w:rPr>
          <w:rFonts w:ascii="宋体" w:hAnsi="宋体"/>
          <w:bCs/>
          <w:color w:val="auto"/>
          <w:sz w:val="24"/>
          <w:szCs w:val="24"/>
        </w:rPr>
        <w:t>有效证明材料，否则不得分）</w:t>
      </w:r>
      <w:r>
        <w:rPr>
          <w:rFonts w:hint="eastAsia" w:ascii="宋体" w:hAnsi="宋体"/>
          <w:bCs/>
          <w:color w:val="auto"/>
          <w:sz w:val="24"/>
          <w:szCs w:val="24"/>
        </w:rPr>
        <w:t>。</w:t>
      </w:r>
    </w:p>
    <w:p>
      <w:pPr>
        <w:spacing w:line="360" w:lineRule="auto"/>
        <w:rPr>
          <w:rFonts w:ascii="宋体" w:hAnsi="宋体" w:cs="宋体"/>
          <w:kern w:val="0"/>
          <w:sz w:val="24"/>
          <w:szCs w:val="24"/>
        </w:rPr>
      </w:pPr>
    </w:p>
    <w:p>
      <w:pPr>
        <w:jc w:val="left"/>
        <w:rPr>
          <w:rFonts w:ascii="黑体" w:eastAsia="黑体"/>
          <w:bCs/>
          <w:sz w:val="24"/>
          <w:szCs w:val="24"/>
        </w:rPr>
      </w:pPr>
      <w:r>
        <w:rPr>
          <w:rFonts w:ascii="黑体" w:eastAsia="黑体"/>
          <w:bCs/>
          <w:sz w:val="24"/>
          <w:szCs w:val="24"/>
        </w:rPr>
        <w:br w:type="page"/>
      </w: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715"/>
        <w:rPr>
          <w:rFonts w:hint="default" w:ascii="黑体" w:eastAsia="黑体"/>
          <w:bCs/>
          <w:sz w:val="28"/>
          <w:szCs w:val="28"/>
          <w:lang w:val="en-US" w:eastAsia="zh-CN"/>
        </w:rPr>
      </w:pPr>
      <w:r>
        <w:rPr>
          <w:rFonts w:hint="eastAsia" w:ascii="黑体" w:eastAsia="黑体"/>
          <w:bCs/>
          <w:sz w:val="28"/>
          <w:szCs w:val="28"/>
        </w:rPr>
        <w:t>采购项目编号：</w:t>
      </w:r>
      <w:r>
        <w:rPr>
          <w:rFonts w:hint="eastAsia" w:ascii="黑体" w:eastAsia="黑体"/>
          <w:bCs/>
          <w:sz w:val="28"/>
          <w:szCs w:val="28"/>
          <w:lang w:eastAsia="zh-CN"/>
        </w:rPr>
        <w:t>WXXWQJC2023-</w:t>
      </w:r>
      <w:r>
        <w:rPr>
          <w:rFonts w:hint="eastAsia" w:ascii="黑体" w:eastAsia="黑体"/>
          <w:bCs/>
          <w:sz w:val="28"/>
          <w:szCs w:val="28"/>
          <w:lang w:val="en-US" w:eastAsia="zh-CN"/>
        </w:rPr>
        <w:t>082</w:t>
      </w:r>
    </w:p>
    <w:p>
      <w:pPr>
        <w:ind w:firstLine="2703"/>
        <w:rPr>
          <w:rFonts w:hint="eastAsia" w:ascii="黑体" w:hAnsi="Calibri" w:eastAsia="黑体" w:cs="Times New Roman"/>
          <w:bCs/>
          <w:sz w:val="28"/>
          <w:szCs w:val="28"/>
          <w:lang w:eastAsia="zh-CN"/>
        </w:rPr>
      </w:pPr>
      <w:r>
        <w:rPr>
          <w:rFonts w:hint="eastAsia" w:ascii="黑体" w:eastAsia="黑体"/>
          <w:bCs/>
          <w:sz w:val="28"/>
          <w:szCs w:val="28"/>
        </w:rPr>
        <w:t>采购项目名称：</w:t>
      </w:r>
      <w:r>
        <w:rPr>
          <w:rFonts w:hint="eastAsia" w:ascii="黑体" w:hAnsi="Calibri" w:eastAsia="黑体" w:cs="Times New Roman"/>
          <w:bCs/>
          <w:sz w:val="28"/>
          <w:szCs w:val="28"/>
          <w:lang w:eastAsia="zh-CN"/>
        </w:rPr>
        <w:t>硕放法庭升级改造工程智能化升级改造项目</w:t>
      </w:r>
    </w:p>
    <w:p>
      <w:pPr>
        <w:ind w:firstLine="2703"/>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4" w:name="一．报价函（格式）"/>
      <w:bookmarkEnd w:id="4"/>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w:t>
      </w: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t>
      </w:r>
      <w:r>
        <w:rPr>
          <w:rFonts w:hint="eastAsia" w:ascii="宋体" w:hAnsi="宋体"/>
          <w:bCs/>
          <w:sz w:val="24"/>
          <w:szCs w:val="24"/>
          <w:lang w:eastAsia="zh-CN"/>
        </w:rPr>
        <w:t>WXXWQJC2023-</w:t>
      </w:r>
      <w:r>
        <w:rPr>
          <w:rFonts w:hint="eastAsia" w:ascii="宋体" w:hAnsi="宋体"/>
          <w:bCs/>
          <w:sz w:val="24"/>
          <w:szCs w:val="24"/>
          <w:lang w:val="en-US" w:eastAsia="zh-CN"/>
        </w:rPr>
        <w:t>082</w:t>
      </w:r>
      <w:r>
        <w:rPr>
          <w:rFonts w:hint="eastAsia" w:ascii="宋体" w:hAnsi="宋体"/>
          <w:bCs/>
          <w:sz w:val="24"/>
          <w:szCs w:val="24"/>
        </w:rPr>
        <w:t>招标文件，经仔细阅读和研究，我方决定参加此项目的投标。</w:t>
      </w:r>
    </w:p>
    <w:p>
      <w:pPr>
        <w:numPr>
          <w:ilvl w:val="0"/>
          <w:numId w:val="22"/>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2"/>
        </w:numPr>
        <w:tabs>
          <w:tab w:val="left" w:pos="0"/>
          <w:tab w:val="left" w:pos="315"/>
          <w:tab w:val="left" w:pos="525"/>
          <w:tab w:val="left" w:pos="840"/>
          <w:tab w:val="left" w:pos="945"/>
          <w:tab w:val="left" w:pos="1050"/>
          <w:tab w:val="clear" w:pos="552"/>
        </w:tabs>
        <w:spacing w:line="360" w:lineRule="auto"/>
        <w:ind w:left="0" w:firstLine="523" w:firstLineChars="218"/>
        <w:rPr>
          <w:rStyle w:val="32"/>
          <w:rFonts w:hAnsi="Times New Roman" w:cs="Times New Roman"/>
          <w:bCs/>
        </w:rPr>
      </w:pPr>
      <w:r>
        <w:rPr>
          <w:rFonts w:hint="eastAsia" w:ascii="宋体" w:hAnsi="宋体"/>
          <w:bCs/>
          <w:sz w:val="24"/>
          <w:szCs w:val="24"/>
        </w:rPr>
        <w:t>我方愿意提供</w:t>
      </w:r>
      <w:r>
        <w:rPr>
          <w:rFonts w:hint="eastAsia" w:ascii="宋体" w:hAnsi="宋体"/>
          <w:bCs/>
          <w:sz w:val="24"/>
          <w:szCs w:val="24"/>
          <w:lang w:eastAsia="zh-CN"/>
        </w:rPr>
        <w:t>无锡市公共资源交易中心新吴分中心</w:t>
      </w:r>
      <w:r>
        <w:rPr>
          <w:rFonts w:hint="eastAsia" w:ascii="宋体" w:hAnsi="宋体"/>
          <w:bCs/>
          <w:sz w:val="24"/>
          <w:szCs w:val="24"/>
        </w:rPr>
        <w:t>在招标文件中要求的文件、资料。</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2"/>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5" w:name="报价方关于资格的声明函（格式）"/>
      <w:bookmarkEnd w:id="5"/>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lang w:eastAsia="zh-CN"/>
        </w:rPr>
        <w:t>WXXWQJC2023-</w:t>
      </w:r>
      <w:r>
        <w:rPr>
          <w:rFonts w:hint="eastAsia" w:ascii="黑体" w:eastAsia="黑体"/>
          <w:bCs/>
          <w:sz w:val="24"/>
          <w:szCs w:val="24"/>
          <w:lang w:val="en-US" w:eastAsia="zh-CN"/>
        </w:rPr>
        <w:t>082</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lang w:eastAsia="zh-CN"/>
        </w:rPr>
        <w:t>WXXWQJC2023-</w:t>
      </w:r>
      <w:r>
        <w:rPr>
          <w:rFonts w:hint="eastAsia" w:ascii="黑体" w:eastAsia="黑体"/>
          <w:bCs/>
          <w:sz w:val="24"/>
          <w:szCs w:val="24"/>
          <w:lang w:val="en-US" w:eastAsia="zh-CN"/>
        </w:rPr>
        <w:t>082</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lang w:eastAsia="zh-CN"/>
        </w:rPr>
        <w:t>无锡市公共资源交易中心新吴分中心</w:t>
      </w:r>
      <w:r>
        <w:rPr>
          <w:rFonts w:hint="eastAsia" w:ascii="宋体" w:hAnsi="宋体"/>
          <w:bCs/>
          <w:sz w:val="24"/>
          <w:szCs w:val="24"/>
        </w:rPr>
        <w:t>：</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lang w:eastAsia="zh-CN"/>
        </w:rPr>
        <w:t>WXXWQJC2023-</w:t>
      </w:r>
      <w:r>
        <w:rPr>
          <w:rFonts w:hint="eastAsia" w:ascii="黑体" w:eastAsia="黑体"/>
          <w:bCs/>
          <w:sz w:val="24"/>
          <w:szCs w:val="24"/>
          <w:lang w:val="en-US" w:eastAsia="zh-CN"/>
        </w:rPr>
        <w:t>082</w:t>
      </w:r>
      <w:r>
        <w:rPr>
          <w:rFonts w:hint="eastAsia" w:ascii="黑体" w:eastAsia="黑体"/>
          <w:bCs/>
          <w:sz w:val="24"/>
          <w:szCs w:val="24"/>
        </w:rPr>
        <w:t>）</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t>
      </w:r>
      <w:r>
        <w:rPr>
          <w:rFonts w:hint="eastAsia" w:ascii="宋体" w:hAnsi="宋体"/>
          <w:bCs/>
          <w:sz w:val="24"/>
          <w:szCs w:val="24"/>
          <w:lang w:eastAsia="zh-CN"/>
        </w:rPr>
        <w:t>WXXWQJC2023-</w:t>
      </w:r>
      <w:r>
        <w:rPr>
          <w:rFonts w:hint="eastAsia" w:ascii="宋体" w:hAnsi="宋体"/>
          <w:bCs/>
          <w:sz w:val="24"/>
          <w:szCs w:val="24"/>
          <w:lang w:val="en-US" w:eastAsia="zh-CN"/>
        </w:rPr>
        <w:t>082</w:t>
      </w:r>
      <w:r>
        <w:rPr>
          <w:rFonts w:hint="eastAsia" w:ascii="宋体" w:hAnsi="宋体"/>
          <w:bCs/>
          <w:sz w:val="24"/>
          <w:szCs w:val="24"/>
        </w:rPr>
        <w:t>）所提供的货物均为原厂全新合格品，提供的服务符合招标文件要求；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HYPERLINK "http://www.creditchina.gov.cn"</w:instrText>
      </w:r>
      <w:r>
        <w:fldChar w:fldCharType="separate"/>
      </w:r>
      <w:r>
        <w:rPr>
          <w:rStyle w:val="33"/>
          <w:rFonts w:hint="eastAsia" w:ascii="宋体" w:hAnsi="宋体"/>
          <w:bCs/>
          <w:sz w:val="24"/>
          <w:szCs w:val="24"/>
        </w:rPr>
        <w:t>www.creditchina.gov.cn</w:t>
      </w:r>
      <w: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中小企业声明函（货物）</w:t>
      </w:r>
    </w:p>
    <w:p>
      <w:pPr>
        <w:spacing w:line="580" w:lineRule="exact"/>
        <w:ind w:firstLine="480" w:firstLineChars="200"/>
        <w:rPr>
          <w:rFonts w:ascii="宋体" w:hAnsi="宋体"/>
          <w:bCs/>
          <w:sz w:val="24"/>
          <w:szCs w:val="24"/>
        </w:rPr>
      </w:pPr>
      <w:r>
        <w:rPr>
          <w:rFonts w:ascii="宋体" w:hAnsi="宋体"/>
          <w:bCs/>
          <w:sz w:val="24"/>
          <w:szCs w:val="24"/>
        </w:rPr>
        <w:t>本公司（联合体）郑重声明，根据《政府采购促进中小企业发展管理办法》（财库﹝2020﹞46 号）的规定，本公司 （联合体）参加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采购活动，提供的货物全部由符合政策要求的中小企业制造。相关企业 （含联合体中的中小企业、签订分包意向协议的中小企业）的具体情况如下：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 xml:space="preserve">1. </w:t>
      </w:r>
      <w:r>
        <w:rPr>
          <w:rFonts w:ascii="宋体" w:hAnsi="宋体"/>
          <w:bCs/>
          <w:sz w:val="24"/>
          <w:szCs w:val="24"/>
          <w:u w:val="single"/>
        </w:rPr>
        <w:t xml:space="preserve">（标的名称）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pPr>
        <w:spacing w:line="360" w:lineRule="auto"/>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在货物采购项目中，供应商提供的货物既有中小企业制造货物，也有大型企业制造或物的，不享受本办法规定的中小企业扶持政策。</w:t>
      </w:r>
    </w:p>
    <w:p>
      <w:pPr>
        <w:spacing w:line="360" w:lineRule="auto"/>
        <w:ind w:firstLine="420" w:firstLineChars="200"/>
        <w:rPr>
          <w:rFonts w:hint="eastAsia"/>
        </w:rPr>
      </w:pPr>
      <w:r>
        <w:rPr>
          <w:rFonts w:hint="eastAsia"/>
        </w:rPr>
        <w:t>3. 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6" w:name="OLE_LINK13"/>
      <w:bookmarkStart w:id="7" w:name="OLE_LINK14"/>
      <w:r>
        <w:rPr>
          <w:rFonts w:hint="eastAsia" w:ascii="黑体" w:hAnsi="宋体" w:eastAsia="黑体"/>
          <w:bCs/>
          <w:sz w:val="24"/>
          <w:szCs w:val="24"/>
        </w:rPr>
        <w:t>（投标人）残疾人福利性单位声明函（格式）：</w:t>
      </w:r>
    </w:p>
    <w:bookmarkEnd w:id="6"/>
    <w:bookmarkEnd w:id="7"/>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hint="default" w:ascii="黑体" w:eastAsia="黑体"/>
          <w:bCs/>
          <w:sz w:val="24"/>
          <w:szCs w:val="24"/>
          <w:lang w:val="en-US"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w:t>
      </w:r>
      <w:r>
        <w:rPr>
          <w:rFonts w:hint="eastAsia" w:ascii="黑体" w:eastAsia="黑体"/>
          <w:bCs/>
          <w:sz w:val="24"/>
          <w:szCs w:val="24"/>
          <w:lang w:val="en-US" w:eastAsia="zh-CN"/>
        </w:rPr>
        <w:t>082</w:t>
      </w:r>
    </w:p>
    <w:tbl>
      <w:tblPr>
        <w:tblStyle w:val="27"/>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5103" w:type="dxa"/>
            <w:noWrap w:val="0"/>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820" w:type="dxa"/>
            <w:noWrap w:val="0"/>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103" w:type="dxa"/>
            <w:noWrap w:val="0"/>
            <w:vAlign w:val="center"/>
          </w:tcPr>
          <w:p>
            <w:pPr>
              <w:pStyle w:val="103"/>
              <w:spacing w:line="400" w:lineRule="exact"/>
              <w:jc w:val="center"/>
              <w:rPr>
                <w:rFonts w:hAnsi="宋体"/>
                <w:bCs/>
                <w:szCs w:val="24"/>
              </w:rPr>
            </w:pPr>
            <w:r>
              <w:rPr>
                <w:rFonts w:hint="eastAsia" w:ascii="黑体" w:hAnsi="Calibri" w:eastAsia="黑体" w:cs="Times New Roman"/>
                <w:kern w:val="2"/>
                <w:sz w:val="24"/>
                <w:szCs w:val="22"/>
                <w:u w:val="none"/>
                <w:lang w:val="en-US" w:eastAsia="zh-CN" w:bidi="ar-SA"/>
              </w:rPr>
              <w:t>硕放法庭升级改造工程智能化升级改造项目</w:t>
            </w:r>
          </w:p>
        </w:tc>
        <w:tc>
          <w:tcPr>
            <w:tcW w:w="4820" w:type="dxa"/>
            <w:noWrap w:val="0"/>
            <w:vAlign w:val="center"/>
          </w:tcPr>
          <w:p>
            <w:pPr>
              <w:pStyle w:val="103"/>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noWrap w:val="0"/>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val="none"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（八）明细报价表（格式）：</w:t>
      </w:r>
    </w:p>
    <w:p>
      <w:pPr>
        <w:spacing w:line="400" w:lineRule="exact"/>
        <w:jc w:val="center"/>
        <w:outlineLvl w:val="0"/>
        <w:rPr>
          <w:rFonts w:ascii="黑体" w:eastAsia="黑体"/>
          <w:bCs/>
          <w:color w:val="FF0000"/>
          <w:sz w:val="28"/>
          <w:szCs w:val="28"/>
          <w:highlight w:val="none"/>
        </w:rPr>
      </w:pPr>
      <w:r>
        <w:rPr>
          <w:rFonts w:hint="eastAsia" w:ascii="黑体" w:eastAsia="黑体"/>
          <w:bCs/>
          <w:sz w:val="28"/>
          <w:szCs w:val="28"/>
          <w:highlight w:val="none"/>
        </w:rPr>
        <w:t>明细报价表</w:t>
      </w:r>
      <w:r>
        <w:rPr>
          <w:rFonts w:hint="eastAsia" w:ascii="黑体" w:eastAsia="黑体"/>
          <w:bCs/>
          <w:color w:val="FF0000"/>
          <w:sz w:val="28"/>
          <w:szCs w:val="28"/>
          <w:highlight w:val="none"/>
        </w:rPr>
        <w:t>【货物类】</w:t>
      </w:r>
    </w:p>
    <w:p>
      <w:pPr>
        <w:spacing w:line="400" w:lineRule="exact"/>
        <w:rPr>
          <w:rFonts w:hint="default" w:ascii="黑体" w:eastAsia="黑体"/>
          <w:bCs/>
          <w:sz w:val="24"/>
          <w:szCs w:val="24"/>
          <w:highlight w:val="none"/>
          <w:lang w:val="en-US" w:eastAsia="zh-CN"/>
        </w:rPr>
      </w:pPr>
      <w:r>
        <w:rPr>
          <w:rFonts w:hint="eastAsia" w:ascii="黑体" w:eastAsia="黑体"/>
          <w:bCs/>
          <w:sz w:val="24"/>
          <w:szCs w:val="24"/>
          <w:highlight w:val="none"/>
        </w:rPr>
        <w:t>投标人名称（盖章）                                  采购项目编号：</w:t>
      </w:r>
      <w:r>
        <w:rPr>
          <w:rFonts w:hint="eastAsia" w:ascii="黑体" w:eastAsia="黑体"/>
          <w:bCs/>
          <w:sz w:val="24"/>
          <w:szCs w:val="24"/>
          <w:highlight w:val="none"/>
          <w:lang w:eastAsia="zh-CN"/>
        </w:rPr>
        <w:t>WXXWQJC2023-</w:t>
      </w:r>
      <w:r>
        <w:rPr>
          <w:rFonts w:hint="eastAsia" w:ascii="黑体" w:eastAsia="黑体"/>
          <w:bCs/>
          <w:sz w:val="24"/>
          <w:szCs w:val="24"/>
          <w:highlight w:val="none"/>
          <w:lang w:val="en-US" w:eastAsia="zh-CN"/>
        </w:rPr>
        <w:t>082</w:t>
      </w:r>
    </w:p>
    <w:tbl>
      <w:tblPr>
        <w:tblStyle w:val="27"/>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3045"/>
        <w:gridCol w:w="599"/>
        <w:gridCol w:w="1276"/>
        <w:gridCol w:w="992"/>
        <w:gridCol w:w="70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sz w:val="18"/>
                <w:highlight w:val="none"/>
              </w:rPr>
            </w:pPr>
            <w:r>
              <w:rPr>
                <w:rFonts w:hint="eastAsia"/>
                <w:sz w:val="18"/>
                <w:highlight w:val="none"/>
              </w:rPr>
              <w:t>序号</w:t>
            </w:r>
          </w:p>
        </w:tc>
        <w:tc>
          <w:tcPr>
            <w:tcW w:w="1050" w:type="dxa"/>
            <w:gridSpan w:val="2"/>
            <w:noWrap/>
            <w:tcMar>
              <w:top w:w="15" w:type="dxa"/>
              <w:left w:w="15" w:type="dxa"/>
              <w:bottom w:w="0" w:type="dxa"/>
              <w:right w:w="15" w:type="dxa"/>
            </w:tcMar>
            <w:vAlign w:val="center"/>
          </w:tcPr>
          <w:p>
            <w:pPr>
              <w:spacing w:before="5"/>
              <w:jc w:val="center"/>
              <w:rPr>
                <w:sz w:val="18"/>
                <w:highlight w:val="none"/>
                <w:u w:val="none" w:color="FF0000"/>
              </w:rPr>
            </w:pPr>
            <w:r>
              <w:rPr>
                <w:rFonts w:hint="eastAsia"/>
                <w:sz w:val="18"/>
                <w:highlight w:val="none"/>
              </w:rPr>
              <w:t>名称</w:t>
            </w:r>
          </w:p>
        </w:tc>
        <w:tc>
          <w:tcPr>
            <w:tcW w:w="945" w:type="dxa"/>
            <w:noWrap/>
            <w:tcMar>
              <w:top w:w="15" w:type="dxa"/>
              <w:left w:w="15" w:type="dxa"/>
              <w:bottom w:w="0" w:type="dxa"/>
              <w:right w:w="15" w:type="dxa"/>
            </w:tcMar>
            <w:vAlign w:val="center"/>
          </w:tcPr>
          <w:p>
            <w:pPr>
              <w:spacing w:before="5"/>
              <w:jc w:val="center"/>
              <w:rPr>
                <w:sz w:val="18"/>
                <w:highlight w:val="none"/>
                <w:u w:val="none" w:color="FF0000"/>
              </w:rPr>
            </w:pPr>
            <w:r>
              <w:rPr>
                <w:rFonts w:hint="eastAsia"/>
                <w:sz w:val="18"/>
                <w:highlight w:val="none"/>
                <w:u w:val="none" w:color="FF0000"/>
              </w:rPr>
              <w:t>品牌型号</w:t>
            </w:r>
          </w:p>
        </w:tc>
        <w:tc>
          <w:tcPr>
            <w:tcW w:w="3045" w:type="dxa"/>
            <w:noWrap/>
            <w:tcMar>
              <w:top w:w="15" w:type="dxa"/>
              <w:left w:w="15" w:type="dxa"/>
              <w:bottom w:w="0" w:type="dxa"/>
              <w:right w:w="15" w:type="dxa"/>
            </w:tcMar>
            <w:vAlign w:val="center"/>
          </w:tcPr>
          <w:p>
            <w:pPr>
              <w:spacing w:before="5"/>
              <w:jc w:val="center"/>
              <w:rPr>
                <w:sz w:val="18"/>
                <w:highlight w:val="none"/>
              </w:rPr>
            </w:pPr>
            <w:r>
              <w:rPr>
                <w:rFonts w:hint="eastAsia"/>
                <w:sz w:val="18"/>
                <w:highlight w:val="none"/>
                <w:u w:val="none" w:color="FF0000"/>
              </w:rPr>
              <w:t>性能指标</w:t>
            </w:r>
          </w:p>
        </w:tc>
        <w:tc>
          <w:tcPr>
            <w:tcW w:w="599" w:type="dxa"/>
            <w:noWrap w:val="0"/>
            <w:tcMar>
              <w:top w:w="15" w:type="dxa"/>
              <w:left w:w="15" w:type="dxa"/>
              <w:bottom w:w="0" w:type="dxa"/>
              <w:right w:w="15" w:type="dxa"/>
            </w:tcMar>
            <w:vAlign w:val="center"/>
          </w:tcPr>
          <w:p>
            <w:pPr>
              <w:spacing w:before="5"/>
              <w:jc w:val="center"/>
              <w:rPr>
                <w:sz w:val="18"/>
                <w:highlight w:val="none"/>
              </w:rPr>
            </w:pPr>
            <w:r>
              <w:rPr>
                <w:rFonts w:hint="eastAsia"/>
                <w:sz w:val="18"/>
                <w:highlight w:val="none"/>
              </w:rPr>
              <w:t>数量</w:t>
            </w:r>
          </w:p>
        </w:tc>
        <w:tc>
          <w:tcPr>
            <w:tcW w:w="1276" w:type="dxa"/>
            <w:noWrap w:val="0"/>
            <w:vAlign w:val="center"/>
          </w:tcPr>
          <w:p>
            <w:pPr>
              <w:spacing w:before="5"/>
              <w:jc w:val="center"/>
              <w:rPr>
                <w:sz w:val="18"/>
                <w:highlight w:val="none"/>
              </w:rPr>
            </w:pPr>
            <w:r>
              <w:rPr>
                <w:rFonts w:hint="eastAsia"/>
                <w:sz w:val="18"/>
                <w:highlight w:val="none"/>
              </w:rPr>
              <w:t>产地</w:t>
            </w:r>
          </w:p>
        </w:tc>
        <w:tc>
          <w:tcPr>
            <w:tcW w:w="992" w:type="dxa"/>
            <w:noWrap/>
            <w:tcMar>
              <w:top w:w="15" w:type="dxa"/>
              <w:left w:w="15" w:type="dxa"/>
              <w:bottom w:w="0" w:type="dxa"/>
              <w:right w:w="15" w:type="dxa"/>
            </w:tcMar>
            <w:vAlign w:val="center"/>
          </w:tcPr>
          <w:p>
            <w:pPr>
              <w:spacing w:before="5"/>
              <w:jc w:val="center"/>
              <w:rPr>
                <w:sz w:val="18"/>
                <w:highlight w:val="none"/>
              </w:rPr>
            </w:pPr>
            <w:r>
              <w:rPr>
                <w:rFonts w:hint="eastAsia"/>
                <w:sz w:val="18"/>
                <w:highlight w:val="none"/>
              </w:rPr>
              <w:t>质保期</w:t>
            </w:r>
          </w:p>
        </w:tc>
        <w:tc>
          <w:tcPr>
            <w:tcW w:w="709" w:type="dxa"/>
            <w:noWrap w:val="0"/>
            <w:vAlign w:val="center"/>
          </w:tcPr>
          <w:p>
            <w:pPr>
              <w:spacing w:before="5"/>
              <w:jc w:val="center"/>
              <w:rPr>
                <w:sz w:val="18"/>
                <w:highlight w:val="none"/>
              </w:rPr>
            </w:pPr>
            <w:r>
              <w:rPr>
                <w:rFonts w:hint="eastAsia"/>
                <w:sz w:val="18"/>
                <w:highlight w:val="none"/>
              </w:rPr>
              <w:t>单报价</w:t>
            </w:r>
          </w:p>
        </w:tc>
        <w:tc>
          <w:tcPr>
            <w:tcW w:w="939" w:type="dxa"/>
            <w:noWrap w:val="0"/>
            <w:vAlign w:val="center"/>
          </w:tcPr>
          <w:p>
            <w:pPr>
              <w:spacing w:before="5"/>
              <w:jc w:val="center"/>
              <w:rPr>
                <w:sz w:val="18"/>
                <w:highlight w:val="none"/>
              </w:rPr>
            </w:pPr>
            <w:r>
              <w:rPr>
                <w:rFonts w:hint="eastAsia"/>
                <w:sz w:val="18"/>
                <w:highlight w:val="none"/>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pStyle w:val="20"/>
              <w:pBdr>
                <w:bottom w:val="none" w:color="auto" w:sz="0" w:space="0"/>
              </w:pBdr>
              <w:tabs>
                <w:tab w:val="clear" w:pos="4153"/>
                <w:tab w:val="clear" w:pos="8306"/>
              </w:tabs>
              <w:snapToGrid/>
              <w:spacing w:before="5"/>
              <w:rPr>
                <w:rFonts w:ascii="宋体"/>
                <w:kern w:val="2"/>
                <w:highlight w:val="none"/>
              </w:rPr>
            </w:pPr>
          </w:p>
        </w:tc>
        <w:tc>
          <w:tcPr>
            <w:tcW w:w="1050" w:type="dxa"/>
            <w:gridSpan w:val="2"/>
            <w:noWrap/>
            <w:tcMar>
              <w:top w:w="15" w:type="dxa"/>
              <w:left w:w="15" w:type="dxa"/>
              <w:bottom w:w="0" w:type="dxa"/>
              <w:right w:w="15" w:type="dxa"/>
            </w:tcMar>
            <w:vAlign w:val="center"/>
          </w:tcPr>
          <w:p>
            <w:pPr>
              <w:pStyle w:val="20"/>
              <w:pBdr>
                <w:bottom w:val="none" w:color="auto" w:sz="0" w:space="0"/>
              </w:pBdr>
              <w:tabs>
                <w:tab w:val="clear" w:pos="4153"/>
                <w:tab w:val="clear" w:pos="8306"/>
              </w:tabs>
              <w:snapToGrid/>
              <w:rPr>
                <w:rFonts w:ascii="宋体"/>
                <w:bCs/>
                <w:kern w:val="2"/>
                <w:highlight w:val="none"/>
              </w:rPr>
            </w:pPr>
          </w:p>
        </w:tc>
        <w:tc>
          <w:tcPr>
            <w:tcW w:w="945" w:type="dxa"/>
            <w:noWrap w:val="0"/>
            <w:tcMar>
              <w:top w:w="15" w:type="dxa"/>
              <w:left w:w="15" w:type="dxa"/>
              <w:bottom w:w="0" w:type="dxa"/>
              <w:right w:w="15" w:type="dxa"/>
            </w:tcMar>
            <w:vAlign w:val="center"/>
          </w:tcPr>
          <w:p>
            <w:pPr>
              <w:pStyle w:val="20"/>
              <w:pBdr>
                <w:bottom w:val="none" w:color="auto" w:sz="0" w:space="0"/>
              </w:pBdr>
              <w:tabs>
                <w:tab w:val="clear" w:pos="4153"/>
                <w:tab w:val="clear" w:pos="8306"/>
              </w:tabs>
              <w:snapToGrid/>
              <w:rPr>
                <w:rFonts w:ascii="宋体"/>
                <w:bCs/>
                <w:kern w:val="2"/>
                <w:highlight w:val="none"/>
              </w:rPr>
            </w:pPr>
          </w:p>
        </w:tc>
        <w:tc>
          <w:tcPr>
            <w:tcW w:w="3045" w:type="dxa"/>
            <w:noWrap w:val="0"/>
            <w:tcMar>
              <w:top w:w="15" w:type="dxa"/>
              <w:left w:w="15" w:type="dxa"/>
              <w:bottom w:w="0" w:type="dxa"/>
              <w:right w:w="15" w:type="dxa"/>
            </w:tcMar>
            <w:vAlign w:val="top"/>
          </w:tcPr>
          <w:p>
            <w:pPr>
              <w:jc w:val="center"/>
              <w:rPr>
                <w:rFonts w:ascii="宋体"/>
                <w:bCs/>
                <w:sz w:val="18"/>
                <w:highlight w:val="none"/>
              </w:rPr>
            </w:pPr>
          </w:p>
        </w:tc>
        <w:tc>
          <w:tcPr>
            <w:tcW w:w="599" w:type="dxa"/>
            <w:noWrap w:val="0"/>
            <w:tcMar>
              <w:top w:w="15" w:type="dxa"/>
              <w:left w:w="15" w:type="dxa"/>
              <w:bottom w:w="0" w:type="dxa"/>
              <w:right w:w="15" w:type="dxa"/>
            </w:tcMar>
            <w:vAlign w:val="center"/>
          </w:tcPr>
          <w:p>
            <w:pPr>
              <w:jc w:val="center"/>
              <w:rPr>
                <w:rFonts w:ascii="黑体" w:hAnsi="宋体" w:eastAsia="黑体"/>
                <w:b/>
                <w:bCs/>
                <w:sz w:val="24"/>
                <w:szCs w:val="24"/>
                <w:highlight w:val="none"/>
              </w:rPr>
            </w:pPr>
            <w:r>
              <w:rPr>
                <w:rFonts w:hint="eastAsia" w:ascii="黑体" w:eastAsia="黑体"/>
                <w:b/>
                <w:bCs/>
                <w:highlight w:val="none"/>
              </w:rPr>
              <w:t>　</w:t>
            </w:r>
          </w:p>
        </w:tc>
        <w:tc>
          <w:tcPr>
            <w:tcW w:w="1276" w:type="dxa"/>
            <w:noWrap w:val="0"/>
            <w:vAlign w:val="center"/>
          </w:tcPr>
          <w:p>
            <w:pPr>
              <w:jc w:val="center"/>
              <w:rPr>
                <w:rFonts w:ascii="黑体" w:hAnsi="宋体" w:eastAsia="黑体"/>
                <w:b/>
                <w:bCs/>
                <w:sz w:val="24"/>
                <w:szCs w:val="24"/>
                <w:highlight w:val="none"/>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highlight w:val="none"/>
              </w:rPr>
            </w:pPr>
            <w:r>
              <w:rPr>
                <w:rFonts w:hint="eastAsia" w:ascii="黑体" w:eastAsia="黑体"/>
                <w:b/>
                <w:bCs/>
                <w:highlight w:val="none"/>
              </w:rPr>
              <w:t>　</w:t>
            </w:r>
          </w:p>
        </w:tc>
        <w:tc>
          <w:tcPr>
            <w:tcW w:w="709" w:type="dxa"/>
            <w:noWrap w:val="0"/>
            <w:vAlign w:val="center"/>
          </w:tcPr>
          <w:p>
            <w:pPr>
              <w:jc w:val="center"/>
              <w:rPr>
                <w:rFonts w:ascii="黑体" w:hAnsi="宋体" w:eastAsia="黑体"/>
                <w:b/>
                <w:bCs/>
                <w:sz w:val="24"/>
                <w:szCs w:val="24"/>
                <w:highlight w:val="none"/>
              </w:rPr>
            </w:pPr>
          </w:p>
        </w:tc>
        <w:tc>
          <w:tcPr>
            <w:tcW w:w="939" w:type="dxa"/>
            <w:noWrap w:val="0"/>
            <w:vAlign w:val="center"/>
          </w:tcPr>
          <w:p>
            <w:pPr>
              <w:jc w:val="center"/>
              <w:rPr>
                <w:rFonts w:ascii="黑体" w:hAnsi="宋体" w:eastAsia="黑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sz w:val="18"/>
                <w:highlight w:val="none"/>
              </w:rPr>
            </w:pPr>
          </w:p>
        </w:tc>
        <w:tc>
          <w:tcPr>
            <w:tcW w:w="1050" w:type="dxa"/>
            <w:gridSpan w:val="2"/>
            <w:noWrap/>
            <w:tcMar>
              <w:top w:w="15" w:type="dxa"/>
              <w:left w:w="15" w:type="dxa"/>
              <w:bottom w:w="0" w:type="dxa"/>
              <w:right w:w="15" w:type="dxa"/>
            </w:tcMar>
            <w:vAlign w:val="center"/>
          </w:tcPr>
          <w:p>
            <w:pPr>
              <w:jc w:val="center"/>
              <w:rPr>
                <w:rFonts w:ascii="宋体"/>
                <w:highlight w:val="none"/>
              </w:rPr>
            </w:pPr>
          </w:p>
        </w:tc>
        <w:tc>
          <w:tcPr>
            <w:tcW w:w="945" w:type="dxa"/>
            <w:noWrap w:val="0"/>
            <w:tcMar>
              <w:top w:w="15" w:type="dxa"/>
              <w:left w:w="15" w:type="dxa"/>
              <w:bottom w:w="0" w:type="dxa"/>
              <w:right w:w="15" w:type="dxa"/>
            </w:tcMar>
            <w:vAlign w:val="center"/>
          </w:tcPr>
          <w:p>
            <w:pPr>
              <w:pStyle w:val="20"/>
              <w:pBdr>
                <w:bottom w:val="none" w:color="auto" w:sz="0" w:space="0"/>
              </w:pBdr>
              <w:tabs>
                <w:tab w:val="clear" w:pos="4153"/>
                <w:tab w:val="clear" w:pos="8306"/>
              </w:tabs>
              <w:snapToGrid/>
              <w:rPr>
                <w:rFonts w:ascii="宋体"/>
                <w:bCs/>
                <w:kern w:val="2"/>
                <w:highlight w:val="none"/>
              </w:rPr>
            </w:pPr>
          </w:p>
        </w:tc>
        <w:tc>
          <w:tcPr>
            <w:tcW w:w="3045" w:type="dxa"/>
            <w:noWrap w:val="0"/>
            <w:tcMar>
              <w:top w:w="15" w:type="dxa"/>
              <w:left w:w="15" w:type="dxa"/>
              <w:bottom w:w="0" w:type="dxa"/>
              <w:right w:w="15" w:type="dxa"/>
            </w:tcMar>
            <w:vAlign w:val="center"/>
          </w:tcPr>
          <w:p>
            <w:pPr>
              <w:jc w:val="center"/>
              <w:rPr>
                <w:rFonts w:ascii="宋体"/>
                <w:bCs/>
                <w:sz w:val="18"/>
                <w:highlight w:val="none"/>
              </w:rPr>
            </w:pPr>
          </w:p>
        </w:tc>
        <w:tc>
          <w:tcPr>
            <w:tcW w:w="599" w:type="dxa"/>
            <w:noWrap w:val="0"/>
            <w:tcMar>
              <w:top w:w="15" w:type="dxa"/>
              <w:left w:w="15" w:type="dxa"/>
              <w:bottom w:w="0" w:type="dxa"/>
              <w:right w:w="15" w:type="dxa"/>
            </w:tcMar>
            <w:vAlign w:val="center"/>
          </w:tcPr>
          <w:p>
            <w:pPr>
              <w:jc w:val="center"/>
              <w:rPr>
                <w:rFonts w:ascii="黑体" w:hAnsi="宋体" w:eastAsia="黑体"/>
                <w:b/>
                <w:bCs/>
                <w:sz w:val="24"/>
                <w:szCs w:val="24"/>
                <w:highlight w:val="none"/>
              </w:rPr>
            </w:pPr>
            <w:r>
              <w:rPr>
                <w:rFonts w:hint="eastAsia" w:ascii="黑体" w:eastAsia="黑体"/>
                <w:b/>
                <w:bCs/>
                <w:highlight w:val="none"/>
              </w:rPr>
              <w:t>　</w:t>
            </w:r>
          </w:p>
        </w:tc>
        <w:tc>
          <w:tcPr>
            <w:tcW w:w="1276" w:type="dxa"/>
            <w:noWrap w:val="0"/>
            <w:vAlign w:val="center"/>
          </w:tcPr>
          <w:p>
            <w:pPr>
              <w:jc w:val="center"/>
              <w:rPr>
                <w:rFonts w:ascii="黑体" w:hAnsi="宋体" w:eastAsia="黑体"/>
                <w:b/>
                <w:bCs/>
                <w:sz w:val="24"/>
                <w:szCs w:val="24"/>
                <w:highlight w:val="none"/>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highlight w:val="none"/>
              </w:rPr>
            </w:pPr>
            <w:r>
              <w:rPr>
                <w:rFonts w:hint="eastAsia" w:ascii="黑体" w:eastAsia="黑体"/>
                <w:b/>
                <w:bCs/>
                <w:highlight w:val="none"/>
              </w:rPr>
              <w:t>　</w:t>
            </w:r>
          </w:p>
        </w:tc>
        <w:tc>
          <w:tcPr>
            <w:tcW w:w="709" w:type="dxa"/>
            <w:noWrap w:val="0"/>
            <w:vAlign w:val="center"/>
          </w:tcPr>
          <w:p>
            <w:pPr>
              <w:jc w:val="center"/>
              <w:rPr>
                <w:rFonts w:ascii="黑体" w:hAnsi="宋体" w:eastAsia="黑体"/>
                <w:b/>
                <w:bCs/>
                <w:sz w:val="24"/>
                <w:szCs w:val="24"/>
                <w:highlight w:val="none"/>
              </w:rPr>
            </w:pPr>
          </w:p>
        </w:tc>
        <w:tc>
          <w:tcPr>
            <w:tcW w:w="939" w:type="dxa"/>
            <w:noWrap w:val="0"/>
            <w:vAlign w:val="center"/>
          </w:tcPr>
          <w:p>
            <w:pPr>
              <w:jc w:val="center"/>
              <w:rPr>
                <w:rFonts w:ascii="黑体" w:hAnsi="宋体" w:eastAsia="黑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20"/>
              <w:pBdr>
                <w:bottom w:val="none" w:color="auto" w:sz="0" w:space="0"/>
              </w:pBdr>
              <w:tabs>
                <w:tab w:val="clear" w:pos="4153"/>
                <w:tab w:val="clear" w:pos="8306"/>
              </w:tabs>
              <w:snapToGrid/>
              <w:rPr>
                <w:rFonts w:ascii="宋体"/>
                <w:b/>
                <w:bCs/>
                <w:kern w:val="2"/>
                <w:sz w:val="24"/>
                <w:highlight w:val="none"/>
              </w:rPr>
            </w:pPr>
            <w:r>
              <w:rPr>
                <w:rFonts w:hint="eastAsia" w:ascii="宋体"/>
                <w:b/>
                <w:bCs/>
                <w:sz w:val="24"/>
                <w:highlight w:val="none"/>
              </w:rPr>
              <w:t>完工期/交货期</w:t>
            </w:r>
          </w:p>
        </w:tc>
        <w:tc>
          <w:tcPr>
            <w:tcW w:w="7560" w:type="dxa"/>
            <w:gridSpan w:val="6"/>
            <w:noWrap w:val="0"/>
            <w:tcMar>
              <w:top w:w="15" w:type="dxa"/>
              <w:left w:w="15" w:type="dxa"/>
              <w:bottom w:w="0" w:type="dxa"/>
              <w:right w:w="15" w:type="dxa"/>
            </w:tcMar>
            <w:vAlign w:val="center"/>
          </w:tcPr>
          <w:p>
            <w:pPr>
              <w:jc w:val="center"/>
              <w:rPr>
                <w:rFonts w:ascii="黑体" w:hAnsi="宋体" w:eastAsia="黑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20"/>
              <w:pBdr>
                <w:bottom w:val="none" w:color="auto" w:sz="0" w:space="0"/>
              </w:pBdr>
              <w:tabs>
                <w:tab w:val="clear" w:pos="4153"/>
                <w:tab w:val="clear" w:pos="8306"/>
              </w:tabs>
              <w:snapToGrid/>
              <w:rPr>
                <w:rFonts w:ascii="宋体"/>
                <w:b/>
                <w:bCs/>
                <w:kern w:val="2"/>
                <w:sz w:val="24"/>
                <w:highlight w:val="none"/>
              </w:rPr>
            </w:pPr>
            <w:r>
              <w:rPr>
                <w:rFonts w:hint="eastAsia" w:ascii="宋体"/>
                <w:b/>
                <w:bCs/>
                <w:sz w:val="24"/>
                <w:highlight w:val="none"/>
              </w:rPr>
              <w:t>项目整体质保期</w:t>
            </w:r>
          </w:p>
        </w:tc>
        <w:tc>
          <w:tcPr>
            <w:tcW w:w="7560" w:type="dxa"/>
            <w:gridSpan w:val="6"/>
            <w:noWrap w:val="0"/>
            <w:tcMar>
              <w:top w:w="15" w:type="dxa"/>
              <w:left w:w="15" w:type="dxa"/>
              <w:bottom w:w="0" w:type="dxa"/>
              <w:right w:w="15" w:type="dxa"/>
            </w:tcMar>
            <w:vAlign w:val="center"/>
          </w:tcPr>
          <w:p>
            <w:pPr>
              <w:jc w:val="center"/>
              <w:rPr>
                <w:rFonts w:ascii="黑体" w:hAnsi="宋体" w:eastAsia="黑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noWrap w:val="0"/>
            <w:vAlign w:val="center"/>
          </w:tcPr>
          <w:p>
            <w:pPr>
              <w:pStyle w:val="22"/>
              <w:spacing w:line="400" w:lineRule="exact"/>
              <w:ind w:firstLine="120" w:firstLineChars="50"/>
              <w:rPr>
                <w:rFonts w:ascii="宋体"/>
                <w:b/>
                <w:bCs/>
                <w:kern w:val="2"/>
                <w:sz w:val="24"/>
                <w:szCs w:val="24"/>
                <w:highlight w:val="none"/>
              </w:rPr>
            </w:pPr>
            <w:r>
              <w:rPr>
                <w:rFonts w:hint="eastAsia" w:ascii="宋体" w:hAnsi="宋体"/>
                <w:b/>
                <w:bCs/>
                <w:kern w:val="2"/>
                <w:sz w:val="24"/>
                <w:szCs w:val="24"/>
                <w:highlight w:val="none"/>
              </w:rPr>
              <w:t>服</w:t>
            </w:r>
          </w:p>
          <w:p>
            <w:pPr>
              <w:pStyle w:val="22"/>
              <w:spacing w:line="400" w:lineRule="exact"/>
              <w:rPr>
                <w:rFonts w:ascii="宋体"/>
                <w:b/>
                <w:bCs/>
                <w:kern w:val="2"/>
                <w:sz w:val="24"/>
                <w:szCs w:val="24"/>
                <w:highlight w:val="none"/>
              </w:rPr>
            </w:pPr>
          </w:p>
          <w:p>
            <w:pPr>
              <w:pStyle w:val="22"/>
              <w:spacing w:line="400" w:lineRule="exact"/>
              <w:ind w:firstLine="120" w:firstLineChars="50"/>
              <w:rPr>
                <w:rFonts w:ascii="宋体"/>
                <w:b/>
                <w:bCs/>
                <w:kern w:val="2"/>
                <w:sz w:val="24"/>
                <w:szCs w:val="24"/>
                <w:highlight w:val="none"/>
              </w:rPr>
            </w:pPr>
            <w:r>
              <w:rPr>
                <w:rFonts w:hint="eastAsia" w:ascii="宋体" w:hAnsi="宋体"/>
                <w:b/>
                <w:bCs/>
                <w:kern w:val="2"/>
                <w:sz w:val="24"/>
                <w:szCs w:val="24"/>
                <w:highlight w:val="none"/>
              </w:rPr>
              <w:t>务</w:t>
            </w:r>
          </w:p>
          <w:p>
            <w:pPr>
              <w:pStyle w:val="22"/>
              <w:spacing w:line="400" w:lineRule="exact"/>
              <w:rPr>
                <w:rFonts w:ascii="宋体"/>
                <w:b/>
                <w:bCs/>
                <w:kern w:val="2"/>
                <w:sz w:val="24"/>
                <w:szCs w:val="24"/>
                <w:highlight w:val="none"/>
              </w:rPr>
            </w:pPr>
          </w:p>
          <w:p>
            <w:pPr>
              <w:pStyle w:val="22"/>
              <w:spacing w:line="400" w:lineRule="exact"/>
              <w:ind w:firstLine="120" w:firstLineChars="50"/>
              <w:rPr>
                <w:rFonts w:ascii="宋体"/>
                <w:b/>
                <w:bCs/>
                <w:kern w:val="2"/>
                <w:sz w:val="24"/>
                <w:szCs w:val="24"/>
                <w:highlight w:val="none"/>
              </w:rPr>
            </w:pPr>
            <w:r>
              <w:rPr>
                <w:rFonts w:hint="eastAsia" w:ascii="宋体" w:hAnsi="宋体"/>
                <w:b/>
                <w:bCs/>
                <w:kern w:val="2"/>
                <w:sz w:val="24"/>
                <w:szCs w:val="24"/>
                <w:highlight w:val="none"/>
              </w:rPr>
              <w:t>承</w:t>
            </w:r>
          </w:p>
          <w:p>
            <w:pPr>
              <w:pStyle w:val="22"/>
              <w:spacing w:line="400" w:lineRule="exact"/>
              <w:rPr>
                <w:rFonts w:ascii="宋体"/>
                <w:b/>
                <w:bCs/>
                <w:kern w:val="2"/>
                <w:sz w:val="24"/>
                <w:szCs w:val="24"/>
                <w:highlight w:val="none"/>
              </w:rPr>
            </w:pPr>
          </w:p>
          <w:p>
            <w:pPr>
              <w:pStyle w:val="22"/>
              <w:spacing w:line="400" w:lineRule="exact"/>
              <w:ind w:firstLine="120" w:firstLineChars="50"/>
              <w:rPr>
                <w:rFonts w:ascii="宋体"/>
                <w:bCs/>
                <w:kern w:val="2"/>
                <w:sz w:val="24"/>
                <w:szCs w:val="24"/>
                <w:highlight w:val="none"/>
              </w:rPr>
            </w:pPr>
            <w:r>
              <w:rPr>
                <w:rFonts w:hint="eastAsia" w:ascii="宋体" w:hAnsi="宋体"/>
                <w:b/>
                <w:bCs/>
                <w:kern w:val="2"/>
                <w:sz w:val="24"/>
                <w:szCs w:val="24"/>
                <w:highlight w:val="none"/>
              </w:rPr>
              <w:t>诺</w:t>
            </w:r>
          </w:p>
        </w:tc>
        <w:tc>
          <w:tcPr>
            <w:tcW w:w="9345" w:type="dxa"/>
            <w:gridSpan w:val="8"/>
            <w:noWrap w:val="0"/>
            <w:vAlign w:val="center"/>
          </w:tcPr>
          <w:p>
            <w:pPr>
              <w:numPr>
                <w:ilvl w:val="0"/>
                <w:numId w:val="23"/>
              </w:numPr>
              <w:rPr>
                <w:rFonts w:ascii="宋体"/>
                <w:bCs/>
                <w:sz w:val="24"/>
                <w:szCs w:val="24"/>
                <w:highlight w:val="none"/>
              </w:rPr>
            </w:pPr>
            <w:r>
              <w:rPr>
                <w:rFonts w:hint="eastAsia" w:ascii="宋体" w:hAnsi="宋体"/>
                <w:bCs/>
                <w:sz w:val="24"/>
                <w:szCs w:val="24"/>
                <w:highlight w:val="none"/>
              </w:rPr>
              <w:t>质量</w:t>
            </w:r>
            <w:r>
              <w:rPr>
                <w:rFonts w:ascii="宋体" w:hAnsi="宋体"/>
                <w:bCs/>
                <w:sz w:val="24"/>
                <w:szCs w:val="24"/>
                <w:highlight w:val="none"/>
              </w:rPr>
              <w:t xml:space="preserve"> 2.</w:t>
            </w:r>
            <w:r>
              <w:rPr>
                <w:rFonts w:hint="eastAsia" w:ascii="宋体" w:hAnsi="宋体"/>
                <w:bCs/>
                <w:sz w:val="24"/>
                <w:szCs w:val="24"/>
                <w:highlight w:val="none"/>
              </w:rPr>
              <w:t>安装</w:t>
            </w:r>
            <w:r>
              <w:rPr>
                <w:rFonts w:ascii="宋体" w:hAnsi="宋体"/>
                <w:bCs/>
                <w:sz w:val="24"/>
                <w:szCs w:val="24"/>
                <w:highlight w:val="none"/>
              </w:rPr>
              <w:t xml:space="preserve"> 3."</w:t>
            </w:r>
            <w:r>
              <w:rPr>
                <w:rFonts w:hint="eastAsia" w:ascii="宋体" w:hAnsi="宋体"/>
                <w:bCs/>
                <w:sz w:val="24"/>
                <w:szCs w:val="24"/>
                <w:highlight w:val="none"/>
              </w:rPr>
              <w:t>三包</w:t>
            </w:r>
            <w:r>
              <w:rPr>
                <w:rFonts w:ascii="宋体" w:hAnsi="宋体"/>
                <w:bCs/>
                <w:sz w:val="24"/>
                <w:szCs w:val="24"/>
                <w:highlight w:val="none"/>
              </w:rPr>
              <w:t>"(</w:t>
            </w:r>
            <w:r>
              <w:rPr>
                <w:rFonts w:hint="eastAsia" w:ascii="宋体" w:hAnsi="宋体"/>
                <w:bCs/>
                <w:sz w:val="24"/>
                <w:szCs w:val="24"/>
                <w:highlight w:val="none"/>
              </w:rPr>
              <w:t>包修、包退、包换</w:t>
            </w:r>
            <w:r>
              <w:rPr>
                <w:rFonts w:ascii="宋体" w:hAnsi="宋体"/>
                <w:bCs/>
                <w:sz w:val="24"/>
                <w:szCs w:val="24"/>
                <w:highlight w:val="none"/>
              </w:rPr>
              <w:t>)4</w:t>
            </w:r>
            <w:r>
              <w:rPr>
                <w:rFonts w:ascii="宋体"/>
                <w:bCs/>
                <w:sz w:val="24"/>
                <w:szCs w:val="24"/>
                <w:highlight w:val="none"/>
              </w:rPr>
              <w:t>.</w:t>
            </w:r>
            <w:r>
              <w:rPr>
                <w:rFonts w:hint="eastAsia" w:ascii="宋体" w:hAnsi="宋体"/>
                <w:bCs/>
                <w:sz w:val="24"/>
                <w:szCs w:val="24"/>
                <w:highlight w:val="none"/>
              </w:rPr>
              <w:t>其他承诺</w:t>
            </w:r>
          </w:p>
          <w:p>
            <w:pPr>
              <w:rPr>
                <w:rFonts w:ascii="宋体"/>
                <w:bCs/>
                <w:sz w:val="24"/>
                <w:szCs w:val="24"/>
                <w:highlight w:val="none"/>
              </w:rPr>
            </w:pPr>
            <w:r>
              <w:rPr>
                <w:rFonts w:hint="eastAsia" w:ascii="宋体" w:hAnsi="宋体"/>
                <w:bCs/>
                <w:sz w:val="24"/>
                <w:szCs w:val="24"/>
                <w:highlight w:val="none"/>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630" w:type="dxa"/>
            <w:gridSpan w:val="2"/>
            <w:vMerge w:val="continue"/>
            <w:noWrap w:val="0"/>
            <w:vAlign w:val="center"/>
          </w:tcPr>
          <w:p>
            <w:pPr>
              <w:pStyle w:val="22"/>
              <w:spacing w:line="400" w:lineRule="exact"/>
              <w:rPr>
                <w:rFonts w:ascii="宋体"/>
                <w:bCs/>
                <w:kern w:val="2"/>
                <w:sz w:val="24"/>
                <w:szCs w:val="24"/>
                <w:highlight w:val="none"/>
              </w:rPr>
            </w:pPr>
          </w:p>
        </w:tc>
        <w:tc>
          <w:tcPr>
            <w:tcW w:w="9345" w:type="dxa"/>
            <w:gridSpan w:val="8"/>
            <w:noWrap w:val="0"/>
            <w:vAlign w:val="center"/>
          </w:tcPr>
          <w:p>
            <w:pPr>
              <w:rPr>
                <w:rFonts w:ascii="宋体"/>
                <w:bCs/>
                <w:sz w:val="24"/>
                <w:szCs w:val="24"/>
                <w:highlight w:val="none"/>
              </w:rPr>
            </w:pPr>
          </w:p>
        </w:tc>
      </w:tr>
    </w:tbl>
    <w:p>
      <w:pPr>
        <w:spacing w:before="5" w:line="560" w:lineRule="atLeast"/>
        <w:rPr>
          <w:b/>
          <w:bCs/>
          <w:sz w:val="24"/>
          <w:szCs w:val="24"/>
          <w:highlight w:val="none"/>
        </w:rPr>
      </w:pPr>
      <w:r>
        <w:rPr>
          <w:rFonts w:hint="eastAsia"/>
          <w:b/>
          <w:bCs/>
          <w:sz w:val="24"/>
          <w:szCs w:val="24"/>
          <w:highlight w:val="none"/>
        </w:rPr>
        <w:t>法定代表人或法定代表人授权代表签字或盖章：</w:t>
      </w:r>
    </w:p>
    <w:p>
      <w:pPr>
        <w:spacing w:line="400" w:lineRule="exact"/>
        <w:outlineLvl w:val="0"/>
        <w:rPr>
          <w:rFonts w:ascii="宋体"/>
          <w:bCs/>
          <w:szCs w:val="21"/>
          <w:highlight w:val="none"/>
        </w:rPr>
      </w:pPr>
      <w:r>
        <w:rPr>
          <w:rFonts w:hint="eastAsia" w:ascii="宋体" w:hAnsi="宋体"/>
          <w:b/>
          <w:szCs w:val="21"/>
          <w:highlight w:val="none"/>
        </w:rPr>
        <w:t>注：</w:t>
      </w: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w:t>
      </w:r>
      <w:r>
        <w:rPr>
          <w:rFonts w:hint="eastAsia" w:ascii="宋体"/>
          <w:bCs/>
          <w:szCs w:val="21"/>
          <w:highlight w:val="none"/>
        </w:rPr>
        <w:t>投标人本项目提供的货物全部由符合政策要求的中小企业制造的，须提供按格式填写的《中小企业声明函》（货物）（《中小企业声明函》（货物）相应内容须与上表填列内容保持一致）；或提供由省级以上监狱管理局、戒毒管理局(含新疆生产建设兵团)出具的投标人属于监狱企业的证明文件复印件；或提供投标人《残疾人福利性单位声明函》。如未按要求填写和提供有效证明或相关内容表述不清的，不得享受价格扣除。上述证明材料（如有）请附本表之后，投标人对所报相关数据的真实性负责，</w:t>
      </w:r>
      <w:r>
        <w:rPr>
          <w:rFonts w:hint="eastAsia" w:ascii="宋体"/>
          <w:bCs/>
          <w:szCs w:val="21"/>
          <w:highlight w:val="none"/>
          <w:lang w:eastAsia="zh-CN"/>
        </w:rPr>
        <w:t>无锡市公共资源交易中心新吴分中心</w:t>
      </w:r>
      <w:r>
        <w:rPr>
          <w:rFonts w:hint="eastAsia" w:ascii="宋体"/>
          <w:bCs/>
          <w:szCs w:val="21"/>
          <w:highlight w:val="none"/>
        </w:rPr>
        <w:t>有权将相关内容进行公示；</w:t>
      </w:r>
    </w:p>
    <w:p>
      <w:pPr>
        <w:spacing w:line="400" w:lineRule="exact"/>
        <w:ind w:firstLine="315" w:firstLineChars="150"/>
        <w:outlineLvl w:val="0"/>
        <w:rPr>
          <w:rFonts w:asci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）投标人应当根据“项目技术要求和有关说明”的内容在上表中详细填写；</w:t>
      </w:r>
    </w:p>
    <w:p>
      <w:pPr>
        <w:spacing w:line="400" w:lineRule="exact"/>
        <w:ind w:firstLine="315" w:firstLineChars="150"/>
        <w:outlineLvl w:val="0"/>
        <w:rPr>
          <w:rFonts w:hint="eastAsia" w:ascii="宋体" w:hAnsi="宋体"/>
          <w:bCs/>
          <w:szCs w:val="21"/>
          <w:highlight w:val="none"/>
        </w:rPr>
      </w:pPr>
      <w:r>
        <w:rPr>
          <w:rFonts w:hint="eastAsia" w:ascii="宋体" w:hAnsi="宋体"/>
          <w:bCs/>
          <w:szCs w:val="21"/>
          <w:highlight w:val="none"/>
        </w:rPr>
        <w:t>（</w:t>
      </w:r>
      <w:r>
        <w:rPr>
          <w:rFonts w:ascii="宋体" w:hAnsi="宋体"/>
          <w:bCs/>
          <w:szCs w:val="21"/>
          <w:highlight w:val="none"/>
        </w:rPr>
        <w:t>3</w:t>
      </w:r>
      <w:r>
        <w:rPr>
          <w:rFonts w:hint="eastAsia" w:ascii="宋体" w:hAnsi="宋体"/>
          <w:bCs/>
          <w:szCs w:val="21"/>
          <w:highlight w:val="none"/>
        </w:rPr>
        <w:t>）表格不够可自行延长。</w:t>
      </w:r>
    </w:p>
    <w:p>
      <w:pPr>
        <w:spacing w:line="400" w:lineRule="exact"/>
        <w:outlineLvl w:val="0"/>
        <w:rPr>
          <w:rFonts w:hint="eastAsia" w:ascii="宋体" w:hAnsi="宋体"/>
          <w:bCs/>
          <w:szCs w:val="21"/>
        </w:rPr>
      </w:pPr>
    </w:p>
    <w:p>
      <w:pPr>
        <w:ind w:firstLine="490" w:firstLineChars="175"/>
        <w:outlineLvl w:val="0"/>
        <w:rPr>
          <w:rFonts w:ascii="黑体" w:eastAsia="黑体"/>
          <w:bCs/>
          <w:sz w:val="28"/>
          <w:szCs w:val="28"/>
        </w:rPr>
      </w:pPr>
      <w:r>
        <w:rPr>
          <w:rFonts w:ascii="黑体" w:eastAsia="黑体"/>
          <w:bCs/>
          <w:sz w:val="28"/>
          <w:szCs w:val="28"/>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t>
      </w:r>
      <w:r>
        <w:rPr>
          <w:rFonts w:hint="eastAsia" w:ascii="黑体" w:eastAsia="黑体"/>
          <w:bCs/>
          <w:sz w:val="24"/>
          <w:szCs w:val="24"/>
          <w:lang w:eastAsia="zh-CN"/>
        </w:rPr>
        <w:t>WXXWQJC2023-</w:t>
      </w:r>
      <w:r>
        <w:rPr>
          <w:rFonts w:hint="eastAsia" w:ascii="黑体" w:eastAsia="黑体"/>
          <w:bCs/>
          <w:sz w:val="24"/>
          <w:szCs w:val="24"/>
          <w:lang w:val="en-US" w:eastAsia="zh-CN"/>
        </w:rPr>
        <w:t>082</w:t>
      </w:r>
    </w:p>
    <w:p>
      <w:pPr>
        <w:spacing w:line="400" w:lineRule="exact"/>
        <w:rPr>
          <w:rFonts w:ascii="黑体" w:eastAsia="黑体"/>
          <w:bCs/>
          <w:sz w:val="24"/>
          <w:szCs w:val="24"/>
        </w:rPr>
      </w:pPr>
    </w:p>
    <w:tbl>
      <w:tblPr>
        <w:tblStyle w:val="27"/>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rFonts w:hint="eastAsia" w:ascii="宋体" w:hAnsi="宋体"/>
          <w:bCs/>
          <w:sz w:val="24"/>
          <w:szCs w:val="24"/>
        </w:rPr>
      </w:pPr>
      <w:r>
        <w:rPr>
          <w:rFonts w:hint="eastAsia" w:ascii="宋体" w:hAnsi="宋体"/>
          <w:bCs/>
          <w:sz w:val="24"/>
          <w:szCs w:val="24"/>
        </w:rPr>
        <w:t xml:space="preserve">   （3）如有技术偏离项，请于本表中列明偏离内容，如需要可自行延长，其余无偏离内容不须赘述。</w:t>
      </w: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rPr>
      </w:pPr>
    </w:p>
    <w:p>
      <w:pPr>
        <w:rPr>
          <w:rFonts w:hint="eastAsia" w:ascii="宋体" w:hAnsi="宋体"/>
          <w:bCs/>
          <w:sz w:val="24"/>
          <w:szCs w:val="24"/>
        </w:rPr>
      </w:pPr>
    </w:p>
    <w:p>
      <w:pPr>
        <w:pStyle w:val="12"/>
        <w:rPr>
          <w:rFonts w:hint="eastAsia" w:ascii="宋体" w:hAnsi="宋体"/>
          <w:bCs/>
          <w:sz w:val="24"/>
          <w:szCs w:val="24"/>
          <w:lang w:eastAsia="zh-CN"/>
        </w:rPr>
      </w:pPr>
    </w:p>
    <w:p>
      <w:pPr>
        <w:pStyle w:val="12"/>
        <w:numPr>
          <w:ilvl w:val="0"/>
          <w:numId w:val="20"/>
        </w:numPr>
        <w:ind w:left="1239" w:leftChars="0" w:hanging="720" w:firstLineChars="0"/>
        <w:rPr>
          <w:rFonts w:hint="eastAsia" w:ascii="黑体" w:hAnsi="宋体" w:eastAsia="黑体" w:cs="Times New Roman"/>
          <w:bCs/>
          <w:kern w:val="2"/>
          <w:sz w:val="24"/>
          <w:szCs w:val="24"/>
          <w:lang w:val="en-US" w:eastAsia="zh-CN" w:bidi="ar-SA"/>
        </w:rPr>
      </w:pPr>
      <w:r>
        <w:rPr>
          <w:rFonts w:hint="eastAsia" w:ascii="黑体" w:hAnsi="宋体" w:eastAsia="黑体" w:cs="Times New Roman"/>
          <w:bCs/>
          <w:kern w:val="2"/>
          <w:sz w:val="24"/>
          <w:szCs w:val="24"/>
          <w:lang w:val="en-US" w:eastAsia="zh-CN" w:bidi="ar-SA"/>
        </w:rPr>
        <w:t>证明材料（格式）：</w:t>
      </w:r>
    </w:p>
    <w:p>
      <w:pPr>
        <w:ind w:firstLine="490" w:firstLineChars="175"/>
        <w:jc w:val="center"/>
        <w:outlineLvl w:val="0"/>
        <w:rPr>
          <w:rFonts w:ascii="黑体" w:eastAsia="黑体"/>
          <w:bCs/>
          <w:sz w:val="28"/>
          <w:szCs w:val="28"/>
        </w:rPr>
      </w:pPr>
      <w:r>
        <w:rPr>
          <w:rFonts w:hint="eastAsia" w:ascii="黑体" w:eastAsia="黑体"/>
          <w:bCs/>
          <w:sz w:val="28"/>
          <w:szCs w:val="28"/>
        </w:rPr>
        <w:t>证明材料汇总表</w:t>
      </w:r>
    </w:p>
    <w:p>
      <w:pPr>
        <w:spacing w:line="360" w:lineRule="auto"/>
        <w:rPr>
          <w:rFonts w:hint="default" w:ascii="等线" w:hAnsi="等线" w:eastAsia="黑体" w:cs="宋体"/>
          <w:b/>
          <w:bCs/>
          <w:kern w:val="0"/>
          <w:sz w:val="18"/>
          <w:szCs w:val="18"/>
          <w:lang w:val="en-US" w:eastAsia="zh-CN"/>
        </w:rPr>
      </w:pPr>
      <w:r>
        <w:rPr>
          <w:rFonts w:hint="eastAsia" w:ascii="黑体" w:eastAsia="黑体"/>
          <w:bCs/>
          <w:sz w:val="24"/>
          <w:szCs w:val="24"/>
        </w:rPr>
        <w:t xml:space="preserve">投标人名称（盖章）                              </w:t>
      </w:r>
      <w:r>
        <w:rPr>
          <w:rFonts w:hint="eastAsia" w:ascii="黑体" w:eastAsia="黑体"/>
          <w:bCs/>
          <w:sz w:val="24"/>
          <w:szCs w:val="24"/>
          <w:lang w:val="en-US" w:eastAsia="zh-CN"/>
        </w:rPr>
        <w:t xml:space="preserve">        </w:t>
      </w:r>
      <w:r>
        <w:rPr>
          <w:rFonts w:hint="eastAsia" w:ascii="黑体" w:eastAsia="黑体"/>
          <w:bCs/>
          <w:sz w:val="24"/>
          <w:szCs w:val="24"/>
        </w:rPr>
        <w:t>采购项目编号：WXXWQJC2023-</w:t>
      </w:r>
      <w:r>
        <w:rPr>
          <w:rFonts w:hint="eastAsia" w:ascii="黑体" w:eastAsia="黑体"/>
          <w:bCs/>
          <w:sz w:val="24"/>
          <w:szCs w:val="24"/>
          <w:lang w:val="en-US" w:eastAsia="zh-CN"/>
        </w:rPr>
        <w:t>082</w:t>
      </w:r>
    </w:p>
    <w:tbl>
      <w:tblPr>
        <w:tblStyle w:val="27"/>
        <w:tblW w:w="10341" w:type="dxa"/>
        <w:tblInd w:w="0" w:type="dxa"/>
        <w:tblLayout w:type="fixed"/>
        <w:tblCellMar>
          <w:top w:w="0" w:type="dxa"/>
          <w:left w:w="108" w:type="dxa"/>
          <w:bottom w:w="0" w:type="dxa"/>
          <w:right w:w="108" w:type="dxa"/>
        </w:tblCellMar>
      </w:tblPr>
      <w:tblGrid>
        <w:gridCol w:w="1564"/>
        <w:gridCol w:w="5482"/>
        <w:gridCol w:w="2044"/>
        <w:gridCol w:w="600"/>
        <w:gridCol w:w="651"/>
      </w:tblGrid>
      <w:tr>
        <w:tblPrEx>
          <w:tblCellMar>
            <w:top w:w="0" w:type="dxa"/>
            <w:left w:w="108" w:type="dxa"/>
            <w:bottom w:w="0" w:type="dxa"/>
            <w:right w:w="108" w:type="dxa"/>
          </w:tblCellMar>
        </w:tblPrEx>
        <w:trPr>
          <w:trHeight w:val="270" w:hRule="atLeast"/>
        </w:trPr>
        <w:tc>
          <w:tcPr>
            <w:tcW w:w="1564"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rPr>
                <w:rFonts w:ascii="等线" w:hAnsi="等线" w:eastAsia="等线" w:cs="宋体"/>
                <w:b/>
                <w:bCs/>
                <w:kern w:val="0"/>
                <w:sz w:val="18"/>
                <w:szCs w:val="18"/>
              </w:rPr>
            </w:pPr>
            <w:r>
              <w:rPr>
                <w:rFonts w:hint="eastAsia" w:ascii="等线" w:hAnsi="等线" w:eastAsia="等线" w:cs="宋体"/>
                <w:b/>
                <w:bCs/>
                <w:kern w:val="0"/>
                <w:sz w:val="18"/>
                <w:szCs w:val="18"/>
              </w:rPr>
              <w:t>设备名称</w:t>
            </w:r>
          </w:p>
        </w:tc>
        <w:tc>
          <w:tcPr>
            <w:tcW w:w="5482"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等线" w:hAnsi="等线" w:eastAsia="等线" w:cs="宋体"/>
                <w:b/>
                <w:bCs/>
                <w:kern w:val="0"/>
                <w:sz w:val="18"/>
                <w:szCs w:val="18"/>
              </w:rPr>
            </w:pPr>
            <w:r>
              <w:rPr>
                <w:rFonts w:hint="eastAsia" w:ascii="等线" w:hAnsi="等线" w:eastAsia="等线" w:cs="宋体"/>
                <w:b/>
                <w:bCs/>
                <w:kern w:val="0"/>
                <w:sz w:val="18"/>
                <w:szCs w:val="18"/>
              </w:rPr>
              <w:t>参数要求</w:t>
            </w:r>
          </w:p>
        </w:tc>
        <w:tc>
          <w:tcPr>
            <w:tcW w:w="2044"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等线" w:hAnsi="等线" w:eastAsia="等线" w:cs="宋体"/>
                <w:b/>
                <w:bCs/>
                <w:kern w:val="0"/>
                <w:sz w:val="18"/>
                <w:szCs w:val="18"/>
              </w:rPr>
            </w:pPr>
            <w:r>
              <w:rPr>
                <w:rFonts w:hint="eastAsia" w:ascii="等线" w:hAnsi="等线" w:eastAsia="等线" w:cs="宋体"/>
                <w:b/>
                <w:bCs/>
                <w:kern w:val="0"/>
                <w:sz w:val="18"/>
                <w:szCs w:val="18"/>
              </w:rPr>
              <w:t>证明材料</w:t>
            </w:r>
          </w:p>
        </w:tc>
        <w:tc>
          <w:tcPr>
            <w:tcW w:w="600"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等线" w:hAnsi="等线" w:eastAsia="等线" w:cs="宋体"/>
                <w:b/>
                <w:bCs/>
                <w:kern w:val="0"/>
                <w:sz w:val="18"/>
                <w:szCs w:val="18"/>
              </w:rPr>
            </w:pPr>
            <w:r>
              <w:rPr>
                <w:rFonts w:hint="eastAsia" w:ascii="等线" w:hAnsi="等线" w:eastAsia="等线" w:cs="宋体"/>
                <w:b/>
                <w:bCs/>
                <w:kern w:val="0"/>
                <w:sz w:val="18"/>
                <w:szCs w:val="18"/>
              </w:rPr>
              <w:t>是否提供</w:t>
            </w:r>
          </w:p>
        </w:tc>
        <w:tc>
          <w:tcPr>
            <w:tcW w:w="651" w:type="dxa"/>
            <w:tcBorders>
              <w:top w:val="single" w:color="auto" w:sz="4" w:space="0"/>
              <w:left w:val="single" w:color="auto" w:sz="4" w:space="0"/>
              <w:bottom w:val="single" w:color="auto" w:sz="4" w:space="0"/>
              <w:right w:val="single" w:color="auto" w:sz="4" w:space="0"/>
            </w:tcBorders>
            <w:shd w:val="clear" w:color="000000" w:fill="D9D9D9"/>
            <w:vAlign w:val="center"/>
          </w:tcPr>
          <w:p>
            <w:pPr>
              <w:widowControl/>
              <w:snapToGrid w:val="0"/>
              <w:jc w:val="center"/>
              <w:rPr>
                <w:rFonts w:ascii="等线" w:hAnsi="等线" w:eastAsia="等线" w:cs="宋体"/>
                <w:b/>
                <w:bCs/>
                <w:kern w:val="0"/>
                <w:sz w:val="18"/>
                <w:szCs w:val="18"/>
              </w:rPr>
            </w:pPr>
            <w:r>
              <w:rPr>
                <w:rFonts w:hint="eastAsia" w:ascii="等线" w:hAnsi="等线" w:eastAsia="等线" w:cs="宋体"/>
                <w:b/>
                <w:bCs/>
                <w:kern w:val="0"/>
                <w:sz w:val="18"/>
                <w:szCs w:val="18"/>
              </w:rPr>
              <w:t>对应页码</w:t>
            </w: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8"/>
                <w:szCs w:val="18"/>
              </w:rPr>
            </w:pPr>
            <w:r>
              <w:rPr>
                <w:rFonts w:hint="eastAsia" w:ascii="宋体" w:hAnsi="宋体" w:cs="宋体"/>
                <w:color w:val="000000"/>
                <w:kern w:val="0"/>
                <w:sz w:val="24"/>
                <w:szCs w:val="24"/>
              </w:rPr>
              <w:t>★</w:t>
            </w:r>
            <w:r>
              <w:rPr>
                <w:rFonts w:hint="eastAsia" w:ascii="宋体" w:hAnsi="宋体" w:cs="宋体"/>
                <w:kern w:val="0"/>
                <w:sz w:val="24"/>
                <w:szCs w:val="24"/>
              </w:rPr>
              <w:t>操作终端（大屏控制终端*1、安检*2、停车管理系统*1）</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kern w:val="0"/>
                <w:sz w:val="24"/>
                <w:szCs w:val="24"/>
              </w:rPr>
              <w:t>配置不低于I5-10500/8G/1T+128SSD/集显 23.8液晶显示器</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打“★</w:t>
            </w:r>
            <w:r>
              <w:rPr>
                <w:bCs/>
                <w:color w:val="auto"/>
              </w:rPr>
              <w:t>”</w:t>
            </w:r>
            <w:r>
              <w:rPr>
                <w:rFonts w:hint="eastAsia"/>
                <w:bCs/>
                <w:color w:val="auto"/>
              </w:rPr>
              <w:t>属于政府强制采购节能产品，投标时提供具有国家确定的认证机构出具的、处于有效期之内的节能产品认证证书</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8"/>
                <w:szCs w:val="18"/>
              </w:rPr>
            </w:pPr>
            <w:r>
              <w:rPr>
                <w:rFonts w:hint="eastAsia" w:ascii="宋体" w:hAnsi="宋体" w:cs="宋体"/>
                <w:color w:val="000000"/>
                <w:kern w:val="0"/>
                <w:sz w:val="24"/>
                <w:szCs w:val="24"/>
              </w:rPr>
              <w:t>★</w:t>
            </w:r>
            <w:r>
              <w:rPr>
                <w:rFonts w:hint="eastAsia" w:ascii="宋体" w:hAnsi="宋体" w:cs="宋体"/>
                <w:kern w:val="0"/>
                <w:sz w:val="24"/>
                <w:szCs w:val="24"/>
              </w:rPr>
              <w:t>操作终端一体机（立案*2、法庭*4）</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zCs w:val="21"/>
              </w:rPr>
            </w:pPr>
            <w:r>
              <w:rPr>
                <w:rFonts w:hint="eastAsia" w:ascii="宋体" w:hAnsi="宋体" w:cs="宋体"/>
                <w:kern w:val="0"/>
                <w:sz w:val="24"/>
                <w:szCs w:val="24"/>
              </w:rPr>
              <w:t>一体化终端，配置不低于I5-10500T 8G 512GSSD DVDRW WIN10 23.8液晶显示器</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打“★</w:t>
            </w:r>
            <w:r>
              <w:rPr>
                <w:bCs/>
                <w:color w:val="auto"/>
              </w:rPr>
              <w:t>”</w:t>
            </w:r>
            <w:r>
              <w:rPr>
                <w:rFonts w:hint="eastAsia"/>
                <w:bCs/>
                <w:color w:val="auto"/>
              </w:rPr>
              <w:t>属于政府强制采购节能产品，投标时提供具有国家确定的认证机构出具的、处于有效期之内的节能产品认证证书</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18"/>
                <w:szCs w:val="18"/>
              </w:rPr>
            </w:pPr>
            <w:r>
              <w:rPr>
                <w:rFonts w:hint="eastAsia" w:ascii="宋体" w:hAnsi="宋体" w:cs="宋体"/>
                <w:color w:val="000000"/>
                <w:kern w:val="0"/>
                <w:sz w:val="24"/>
                <w:szCs w:val="24"/>
              </w:rPr>
              <w:t>★</w:t>
            </w:r>
            <w:r>
              <w:rPr>
                <w:rFonts w:hint="eastAsia" w:ascii="宋体" w:hAnsi="宋体" w:cs="宋体"/>
                <w:kern w:val="0"/>
                <w:sz w:val="24"/>
                <w:szCs w:val="24"/>
              </w:rPr>
              <w:t>操作终端一体机（立案*2、调解室*3）</w:t>
            </w:r>
          </w:p>
        </w:tc>
        <w:tc>
          <w:tcPr>
            <w:tcW w:w="5482" w:type="dxa"/>
            <w:tcBorders>
              <w:top w:val="single" w:color="auto" w:sz="4" w:space="0"/>
              <w:left w:val="nil"/>
              <w:bottom w:val="single" w:color="auto" w:sz="4" w:space="0"/>
              <w:right w:val="single" w:color="auto" w:sz="4" w:space="0"/>
            </w:tcBorders>
            <w:vAlign w:val="center"/>
          </w:tcPr>
          <w:p>
            <w:pPr>
              <w:widowControl/>
              <w:jc w:val="left"/>
            </w:pPr>
            <w:r>
              <w:rPr>
                <w:rFonts w:hint="eastAsia" w:ascii="宋体" w:hAnsi="宋体" w:cs="宋体"/>
                <w:kern w:val="0"/>
                <w:sz w:val="24"/>
                <w:szCs w:val="24"/>
              </w:rPr>
              <w:t>一体化终端，配置不低于I5-10500T 8G 512GSSD DVDRW WIN10 23.8</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color w:val="auto"/>
              </w:rPr>
            </w:pPr>
            <w:r>
              <w:rPr>
                <w:rFonts w:hint="eastAsia"/>
                <w:bCs/>
                <w:color w:val="auto"/>
              </w:rPr>
              <w:t>打“★</w:t>
            </w:r>
            <w:r>
              <w:rPr>
                <w:bCs/>
                <w:color w:val="auto"/>
              </w:rPr>
              <w:t>”</w:t>
            </w:r>
            <w:r>
              <w:rPr>
                <w:rFonts w:hint="eastAsia"/>
                <w:bCs/>
                <w:color w:val="auto"/>
              </w:rPr>
              <w:t>属于政府强制采购节能产品，投标时提供具有国家确定的认证机构出具的、处于有效期之内的节能产品认证证书</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0"/>
              </w:rPr>
            </w:pPr>
            <w:r>
              <w:rPr>
                <w:rFonts w:hint="eastAsia" w:ascii="宋体" w:hAnsi="宋体" w:cs="宋体"/>
                <w:color w:val="000000"/>
                <w:kern w:val="0"/>
                <w:sz w:val="24"/>
                <w:szCs w:val="24"/>
              </w:rPr>
              <w:t>★</w:t>
            </w:r>
            <w:r>
              <w:rPr>
                <w:rFonts w:hint="eastAsia" w:ascii="宋体" w:hAnsi="宋体" w:cs="宋体"/>
                <w:kern w:val="0"/>
                <w:sz w:val="24"/>
                <w:szCs w:val="24"/>
              </w:rPr>
              <w:t>激光打印机（黑白）（自助查询*2）</w:t>
            </w:r>
          </w:p>
        </w:tc>
        <w:tc>
          <w:tcPr>
            <w:tcW w:w="5482" w:type="dxa"/>
            <w:tcBorders>
              <w:top w:val="single" w:color="auto" w:sz="4" w:space="0"/>
              <w:left w:val="nil"/>
              <w:bottom w:val="single" w:color="auto" w:sz="4" w:space="0"/>
              <w:right w:val="single" w:color="auto" w:sz="4" w:space="0"/>
            </w:tcBorders>
            <w:vAlign w:val="center"/>
          </w:tcPr>
          <w:p>
            <w:pPr>
              <w:widowControl/>
              <w:jc w:val="left"/>
              <w:rPr>
                <w:b/>
                <w:bCs/>
                <w:kern w:val="0"/>
                <w:sz w:val="20"/>
                <w:szCs w:val="20"/>
              </w:rPr>
            </w:pPr>
            <w:r>
              <w:rPr>
                <w:rFonts w:hint="eastAsia" w:ascii="宋体" w:hAnsi="宋体" w:cs="宋体"/>
                <w:kern w:val="0"/>
                <w:sz w:val="24"/>
                <w:szCs w:val="24"/>
              </w:rPr>
              <w:t>1. 功能：黑白打印；2. 纸张尺寸：A4 手送纸盘: 宽度：69.8</w:t>
            </w:r>
            <w:r>
              <w:rPr>
                <w:rFonts w:hint="eastAsia" w:ascii="微软雅黑" w:hAnsi="微软雅黑" w:eastAsia="微软雅黑" w:cs="微软雅黑"/>
                <w:kern w:val="0"/>
                <w:sz w:val="24"/>
                <w:szCs w:val="24"/>
              </w:rPr>
              <w:t>〜</w:t>
            </w:r>
            <w:r>
              <w:rPr>
                <w:rFonts w:hint="eastAsia" w:ascii="宋体" w:hAnsi="宋体" w:cs="宋体"/>
                <w:kern w:val="0"/>
                <w:sz w:val="24"/>
                <w:szCs w:val="24"/>
              </w:rPr>
              <w:t>216 mm,长度:127</w:t>
            </w:r>
            <w:r>
              <w:rPr>
                <w:rFonts w:hint="eastAsia" w:ascii="微软雅黑" w:hAnsi="微软雅黑" w:eastAsia="微软雅黑" w:cs="微软雅黑"/>
                <w:kern w:val="0"/>
                <w:sz w:val="24"/>
                <w:szCs w:val="24"/>
              </w:rPr>
              <w:t>〜</w:t>
            </w:r>
            <w:r>
              <w:rPr>
                <w:rFonts w:hint="eastAsia" w:ascii="宋体" w:hAnsi="宋体" w:cs="宋体"/>
                <w:kern w:val="0"/>
                <w:sz w:val="24"/>
                <w:szCs w:val="24"/>
              </w:rPr>
              <w:t>355.6 mm；3. 支持纸张重量：标准纸盘：60</w:t>
            </w:r>
            <w:r>
              <w:rPr>
                <w:rFonts w:hint="eastAsia" w:ascii="微软雅黑" w:hAnsi="微软雅黑" w:eastAsia="微软雅黑" w:cs="微软雅黑"/>
                <w:kern w:val="0"/>
                <w:sz w:val="24"/>
                <w:szCs w:val="24"/>
              </w:rPr>
              <w:t>〜</w:t>
            </w:r>
            <w:r>
              <w:rPr>
                <w:rFonts w:hint="eastAsia" w:ascii="宋体" w:hAnsi="宋体" w:cs="宋体"/>
                <w:kern w:val="0"/>
                <w:sz w:val="24"/>
                <w:szCs w:val="24"/>
              </w:rPr>
              <w:t>120 gsm手送纸盘0</w:t>
            </w:r>
            <w:r>
              <w:rPr>
                <w:rFonts w:hint="eastAsia" w:ascii="微软雅黑" w:hAnsi="微软雅黑" w:eastAsia="微软雅黑" w:cs="微软雅黑"/>
                <w:kern w:val="0"/>
                <w:sz w:val="24"/>
                <w:szCs w:val="24"/>
              </w:rPr>
              <w:t>〜</w:t>
            </w:r>
            <w:r>
              <w:rPr>
                <w:rFonts w:hint="eastAsia" w:ascii="宋体" w:hAnsi="宋体" w:cs="宋体"/>
                <w:kern w:val="0"/>
                <w:sz w:val="24"/>
                <w:szCs w:val="24"/>
              </w:rPr>
              <w:t>200 gsm；4. 支持纸张容量：标准纸盘：大于等于250张手送纸盘：大于等于50张 最大1340张；5. 支持接收盘容量：150张（打印面朝下）、支持打印面朝上出纸；6. 打印速度：单面不低于40ppm&lt;黑白&gt;、双面不低于20ppm&lt;黑白&gt; ；7. 预热时间：主电源开启的情况下少于25秒，从休眠模式恢复的 时间少于5秒（室温23°C)；8. 首页复印时间：少于等于7.6秒（A4）；9. 打印功能：分辨率不低1200*1200dpi；10. 内存容量：系统内存大于等于512MB；11. 端口：USB2.0，网络Ethernet 100BAST-TX/10BASE-T；12. 双面功能：标配；13. 支持打印语言：PCL6\PS3仿真、PDF1.7版、XPS（XML Paper Specification)1.0版；14. 支持的操作系统：Windows 10 (32位)、Windows 10 (64位）、Windows 8.1 (32位）、 Windows 8.1 (64位)、Windows 7 (32位）、Windows 7 (64位）、 Windows Server 2019 (64位)、Windows Server 2016 (64位）、 Windows Server 2012 R2 (64位)、Windows Server 2012 (64位）、 Windows Server 2008 R2 (64位）、Windows Server 2008 (32位）、 Windows Server 2008 ( 64位）、 macOS 10.14 / 10.13 / 10.12；15. 耗材：鼓粉分离： 随机4000页墨粉， 5万印硒鼓 有大容量墨粉选购；16. 运行声音：运行时声音不超过6.81B\52.0dB(A)；17. 整机尺寸不超过宽373毫米x深388毫米x高255毫米；18. 运行功率：最大不超过1344W 休眠模式不超过6.5W 电源：AC220～240 V ± 10 %、5.6 A、50/60 Hz共用；19. 不配无线模块及无线功能。</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rPr>
            </w:pPr>
            <w:r>
              <w:rPr>
                <w:rFonts w:hint="eastAsia"/>
                <w:bCs/>
                <w:color w:val="auto"/>
              </w:rPr>
              <w:t>打“★</w:t>
            </w:r>
            <w:r>
              <w:rPr>
                <w:bCs/>
                <w:color w:val="auto"/>
              </w:rPr>
              <w:t>”</w:t>
            </w:r>
            <w:r>
              <w:rPr>
                <w:rFonts w:hint="eastAsia"/>
                <w:bCs/>
                <w:color w:val="auto"/>
              </w:rPr>
              <w:t>属于政府强制采购节能产品，投标时提供具有国家确定的认证机构出具的、处于有效期之内的节能产品认证证书</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w:t>
            </w:r>
            <w:r>
              <w:rPr>
                <w:rFonts w:hint="eastAsia" w:ascii="宋体" w:hAnsi="宋体" w:cs="宋体"/>
                <w:kern w:val="0"/>
                <w:sz w:val="24"/>
                <w:szCs w:val="24"/>
              </w:rPr>
              <w:t>液晶显示器(21.5"高清，含液晶显示器调节支架，法官*3、原被告各*2）</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21.5"显示器，显示比例：16：9，分辨率：1920*1080，亮度：200cd/m²，静态对比度：600：1，接口：HDMI或DVI*1 VGA*1。</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打“★</w:t>
            </w:r>
            <w:r>
              <w:rPr>
                <w:bCs/>
                <w:color w:val="auto"/>
              </w:rPr>
              <w:t>”</w:t>
            </w:r>
            <w:r>
              <w:rPr>
                <w:rFonts w:hint="eastAsia"/>
                <w:bCs/>
                <w:color w:val="auto"/>
              </w:rPr>
              <w:t>属于政府强制采购节能产品，投标时提供具有国家确定的认证机构出具的、处于有效期之内的节能产品认证证书</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0"/>
              </w:rPr>
            </w:pPr>
            <w:r>
              <w:rPr>
                <w:rFonts w:hint="eastAsia" w:ascii="宋体" w:hAnsi="宋体" w:cs="宋体"/>
                <w:color w:val="000000"/>
                <w:kern w:val="0"/>
                <w:sz w:val="24"/>
                <w:szCs w:val="24"/>
              </w:rPr>
              <w:t>500万星光防暴高清红外半球型网络摄像机</w:t>
            </w:r>
          </w:p>
        </w:tc>
        <w:tc>
          <w:tcPr>
            <w:tcW w:w="5482" w:type="dxa"/>
            <w:tcBorders>
              <w:top w:val="single" w:color="auto" w:sz="4" w:space="0"/>
              <w:left w:val="nil"/>
              <w:bottom w:val="single" w:color="auto" w:sz="4" w:space="0"/>
              <w:right w:val="single" w:color="auto" w:sz="4" w:space="0"/>
            </w:tcBorders>
            <w:vAlign w:val="center"/>
          </w:tcPr>
          <w:p>
            <w:pPr>
              <w:widowControl/>
              <w:jc w:val="left"/>
              <w:rPr>
                <w:b/>
                <w:bCs/>
                <w:kern w:val="0"/>
                <w:sz w:val="20"/>
                <w:szCs w:val="20"/>
              </w:rPr>
            </w:pPr>
            <w:r>
              <w:rPr>
                <w:rFonts w:hint="eastAsia" w:ascii="宋体" w:hAnsi="宋体" w:cs="宋体"/>
                <w:kern w:val="0"/>
                <w:sz w:val="24"/>
                <w:szCs w:val="24"/>
              </w:rPr>
              <w:t>设备须无缝接入新吴法院现有高清监控系统进行统一管理和图像控制，并且能够实现通过法院现有高清监控解码器将摄像机主辅流图像均能解码上墙进行显示。</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500万星光防暴高清红外枪型网络摄像机</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设备须无缝接入新吴法院现有高清监控系统进行统一管理和图像控制，并且能够实现通过法院现有高清监控解码器将摄像机主辅流图像均能解码上墙进行显示</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智能访客终端（标准版、双屏）</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设备须能够无缝接入新吴区人民法院、无锡中院现有人员管控系统进行统一管理和控制，且能够与最高院律师一码通系统对接</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闸机伴侣系统（人脸比对）</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二维码识别：设备须支持对接最高院律师一码通平台，律师通过闸机时，直接出示最高院“律师一码通”进行扫码验证开闸，无需登记</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bCs/>
                <w:color w:val="auto"/>
              </w:rPr>
            </w:pPr>
            <w:r>
              <w:rPr>
                <w:rFonts w:hint="eastAsia"/>
                <w:bCs/>
                <w:color w:val="auto"/>
              </w:rPr>
              <w:t>投标时投标人须提供对应的软件功能截图并加盖投标人公章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四门门禁控制器（含控制器铁箱，主板，电源）</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设备须无缝接入新吴法院现有门禁管理平台进行统一管理和人员授权</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第四法庭庭审摄像机</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设备须无缝接入新吴法院现有高清监控系统进行统一管理和图像控制，并且能够实现通过法院现有高清监控解码器将摄像机主辅流图像均能解码上墙进行显示</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法庭终端（含电子质证软件）</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1、电子卷宗调阅：可以根据案件编号自动获取对应的电子卷宗内容，包括庭审笔录、证据、庭审录像等。主审法官及合议庭成员可根据案件审理需要，进行手工查阅；通过语音识别引擎，支持语音检索；</w:t>
            </w:r>
          </w:p>
          <w:p>
            <w:pPr>
              <w:pStyle w:val="12"/>
              <w:rPr>
                <w:rFonts w:ascii="宋体" w:hAnsi="宋体" w:eastAsia="宋体" w:cs="宋体"/>
                <w:bCs w:val="0"/>
                <w:sz w:val="24"/>
                <w:szCs w:val="24"/>
              </w:rPr>
            </w:pPr>
            <w:r>
              <w:rPr>
                <w:rFonts w:hint="eastAsia" w:ascii="宋体" w:hAnsi="宋体" w:eastAsia="宋体" w:cs="宋体"/>
                <w:bCs w:val="0"/>
                <w:sz w:val="24"/>
                <w:szCs w:val="24"/>
              </w:rPr>
              <w:t>2、笔录与证据同屏展示：可以进行庭审笔录和电子证据的同屏展示，屏幕左侧显示电子证据，法官可根据庭审情况切换需要展示的证据，电子证据可提前预览，屏幕右边显示庭审笔录；</w:t>
            </w:r>
          </w:p>
          <w:p>
            <w:pPr>
              <w:rPr>
                <w:rFonts w:ascii="宋体" w:hAnsi="宋体" w:cs="宋体"/>
                <w:kern w:val="0"/>
                <w:sz w:val="24"/>
                <w:szCs w:val="24"/>
              </w:rPr>
            </w:pPr>
            <w:r>
              <w:rPr>
                <w:rFonts w:hint="eastAsia" w:ascii="宋体" w:hAnsi="宋体" w:cs="宋体"/>
                <w:kern w:val="0"/>
                <w:sz w:val="24"/>
                <w:szCs w:val="24"/>
              </w:rPr>
              <w:t>3、质证批注：可以进行庭审质证环节，各诉讼参与方以不同颜色进行证据批注，批注结果实时同步至其他一体机。法官可进行本地批注，批注结果不同屏显示。</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highlight w:val="none"/>
              </w:rPr>
            </w:pPr>
            <w:r>
              <w:rPr>
                <w:rFonts w:hint="eastAsia" w:ascii="宋体" w:hAnsi="宋体" w:eastAsia="宋体" w:cs="宋体"/>
                <w:color w:val="auto"/>
                <w:sz w:val="24"/>
                <w:szCs w:val="24"/>
                <w:highlight w:val="none"/>
              </w:rPr>
              <w:t>投标时须提供中国软件评测中心出具的功能测试报告扫描件并加盖投标人公章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eastAsia="宋体" w:cs="宋体"/>
                <w:bCs w:val="0"/>
                <w:sz w:val="24"/>
                <w:szCs w:val="24"/>
              </w:rPr>
            </w:pPr>
            <w:r>
              <w:rPr>
                <w:rFonts w:hint="eastAsia" w:ascii="宋体" w:hAnsi="宋体" w:eastAsia="宋体" w:cs="宋体"/>
                <w:bCs w:val="0"/>
                <w:sz w:val="24"/>
                <w:szCs w:val="24"/>
              </w:rPr>
              <w:t>第四法庭简约型庭审主机</w:t>
            </w:r>
          </w:p>
        </w:tc>
        <w:tc>
          <w:tcPr>
            <w:tcW w:w="5482" w:type="dxa"/>
            <w:tcBorders>
              <w:top w:val="single" w:color="auto" w:sz="4" w:space="0"/>
              <w:left w:val="nil"/>
              <w:bottom w:val="single" w:color="auto" w:sz="4" w:space="0"/>
              <w:right w:val="single" w:color="auto" w:sz="4" w:space="0"/>
            </w:tcBorders>
            <w:vAlign w:val="center"/>
          </w:tcPr>
          <w:p>
            <w:pPr>
              <w:pStyle w:val="12"/>
              <w:rPr>
                <w:rFonts w:ascii="宋体" w:hAnsi="宋体" w:eastAsia="宋体" w:cs="宋体"/>
                <w:bCs w:val="0"/>
                <w:sz w:val="24"/>
                <w:szCs w:val="24"/>
              </w:rPr>
            </w:pPr>
            <w:r>
              <w:rPr>
                <w:rFonts w:hint="eastAsia" w:ascii="宋体" w:hAnsi="宋体" w:eastAsia="宋体" w:cs="宋体"/>
                <w:bCs w:val="0"/>
                <w:sz w:val="24"/>
                <w:szCs w:val="24"/>
              </w:rPr>
              <w:t>设备须无缝接入新吴法院、无锡中院、省高院现有高清科技法庭系统进行统一管理和开庭录像控制</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第四法庭简约型庭审主机</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1.异常修复：系统支持文件上传断电保护，支持断电续传。录制过程意外断电导致录制文件异常时，可通过主机管理页面一键修复。</w:t>
            </w:r>
          </w:p>
          <w:p>
            <w:pPr>
              <w:pStyle w:val="12"/>
              <w:rPr>
                <w:rFonts w:ascii="宋体" w:hAnsi="宋体" w:eastAsia="宋体" w:cs="宋体"/>
                <w:bCs w:val="0"/>
                <w:sz w:val="24"/>
                <w:szCs w:val="24"/>
              </w:rPr>
            </w:pPr>
            <w:r>
              <w:rPr>
                <w:rFonts w:hint="eastAsia" w:ascii="宋体" w:hAnsi="宋体" w:eastAsia="宋体" w:cs="宋体"/>
                <w:bCs w:val="0"/>
                <w:sz w:val="24"/>
                <w:szCs w:val="24"/>
              </w:rPr>
              <w:t>2.远程提审：支持 H.323、SIP 协议。支持主机与主机、主机与第三方视频会议终端对接、主机与移动通讯终端对接，实现音视频远程提审。</w:t>
            </w:r>
          </w:p>
          <w:p>
            <w:pPr>
              <w:rPr>
                <w:rFonts w:ascii="宋体" w:hAnsi="宋体" w:cs="宋体"/>
                <w:kern w:val="0"/>
                <w:sz w:val="24"/>
                <w:szCs w:val="24"/>
              </w:rPr>
            </w:pPr>
            <w:r>
              <w:rPr>
                <w:rFonts w:hint="eastAsia" w:ascii="宋体" w:hAnsi="宋体" w:cs="宋体"/>
                <w:kern w:val="0"/>
                <w:sz w:val="24"/>
                <w:szCs w:val="24"/>
              </w:rPr>
              <w:t>3.刻录加密：支持对光盘进行数字加密，生成唯一不可修改加密序列号，需要检验密码才能查看光盘内录像文件，支持防擦写。</w:t>
            </w:r>
          </w:p>
          <w:p>
            <w:pPr>
              <w:pStyle w:val="12"/>
              <w:rPr>
                <w:rFonts w:ascii="宋体" w:hAnsi="宋体" w:eastAsia="宋体" w:cs="宋体"/>
                <w:bCs w:val="0"/>
                <w:sz w:val="24"/>
                <w:szCs w:val="24"/>
              </w:rPr>
            </w:pPr>
            <w:r>
              <w:rPr>
                <w:rFonts w:hint="eastAsia" w:ascii="宋体" w:hAnsi="宋体" w:eastAsia="宋体" w:cs="宋体"/>
                <w:bCs w:val="0"/>
                <w:sz w:val="24"/>
                <w:szCs w:val="24"/>
              </w:rPr>
              <w:t>4.马赛克处理：支持单画面不少于 2 个人脸动态马赛克处理（马赛克随人脸移动），支持自定义设置马赛克等级（薄码 ，中码，厚码）和区域大小。</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highlight w:val="none"/>
              </w:rPr>
            </w:pPr>
            <w:r>
              <w:rPr>
                <w:rFonts w:ascii="宋体" w:hAnsi="宋体"/>
                <w:bCs/>
                <w:color w:val="auto"/>
                <w:sz w:val="24"/>
                <w:szCs w:val="24"/>
                <w:highlight w:val="none"/>
              </w:rPr>
              <w:t>投标时</w:t>
            </w:r>
            <w:r>
              <w:rPr>
                <w:rFonts w:hint="eastAsia" w:ascii="宋体" w:hAnsi="宋体"/>
                <w:bCs/>
                <w:color w:val="auto"/>
                <w:sz w:val="24"/>
                <w:szCs w:val="24"/>
                <w:highlight w:val="none"/>
              </w:rPr>
              <w:t>须</w:t>
            </w:r>
            <w:r>
              <w:rPr>
                <w:rFonts w:ascii="宋体" w:hAnsi="宋体"/>
                <w:bCs/>
                <w:color w:val="auto"/>
                <w:sz w:val="24"/>
                <w:szCs w:val="24"/>
                <w:highlight w:val="none"/>
              </w:rPr>
              <w:t>提供由第三方权威检验机构（具有CMA或CNAS资质）出具的检测报告</w:t>
            </w:r>
            <w:r>
              <w:rPr>
                <w:rFonts w:hint="eastAsia" w:ascii="宋体" w:hAnsi="宋体"/>
                <w:bCs/>
                <w:color w:val="auto"/>
                <w:sz w:val="24"/>
                <w:szCs w:val="24"/>
                <w:highlight w:val="none"/>
              </w:rPr>
              <w:t>扫描件</w:t>
            </w:r>
            <w:r>
              <w:rPr>
                <w:rFonts w:ascii="宋体" w:hAnsi="宋体"/>
                <w:bCs/>
                <w:color w:val="auto"/>
                <w:sz w:val="24"/>
                <w:szCs w:val="24"/>
                <w:highlight w:val="none"/>
              </w:rPr>
              <w:t>并加盖投标</w:t>
            </w:r>
            <w:r>
              <w:rPr>
                <w:rFonts w:hint="eastAsia" w:ascii="宋体" w:hAnsi="宋体"/>
                <w:bCs/>
                <w:color w:val="auto"/>
                <w:sz w:val="24"/>
                <w:szCs w:val="24"/>
                <w:highlight w:val="none"/>
              </w:rPr>
              <w:t>人</w:t>
            </w:r>
            <w:r>
              <w:rPr>
                <w:rFonts w:ascii="宋体" w:hAnsi="宋体"/>
                <w:bCs/>
                <w:color w:val="auto"/>
                <w:sz w:val="24"/>
                <w:szCs w:val="24"/>
                <w:highlight w:val="none"/>
              </w:rPr>
              <w:t>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156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第四法庭庭审直播主机</w:t>
            </w:r>
          </w:p>
        </w:tc>
        <w:tc>
          <w:tcPr>
            <w:tcW w:w="548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设备须无缝接入法院现有庭审直播系统进行统一管理和直播控制</w:t>
            </w:r>
          </w:p>
        </w:tc>
        <w:tc>
          <w:tcPr>
            <w:tcW w:w="2044" w:type="dxa"/>
            <w:tcBorders>
              <w:top w:val="single" w:color="auto" w:sz="4" w:space="0"/>
              <w:left w:val="nil"/>
              <w:bottom w:val="single" w:color="auto" w:sz="4" w:space="0"/>
              <w:right w:val="single" w:color="auto" w:sz="4" w:space="0"/>
            </w:tcBorders>
            <w:vAlign w:val="center"/>
          </w:tcPr>
          <w:p>
            <w:pPr>
              <w:pStyle w:val="26"/>
              <w:ind w:firstLine="0" w:firstLineChars="0"/>
              <w:rPr>
                <w:rFonts w:ascii="宋体" w:hAnsi="宋体" w:cs="宋体"/>
                <w:bCs/>
                <w:color w:val="auto"/>
                <w:sz w:val="22"/>
                <w:szCs w:val="22"/>
              </w:rPr>
            </w:pPr>
            <w:r>
              <w:rPr>
                <w:rFonts w:hint="eastAsia"/>
                <w:bCs/>
                <w:color w:val="auto"/>
              </w:rPr>
              <w:t>投标时投标人须提供无缝接入承诺函并加盖投标人公章</w:t>
            </w:r>
          </w:p>
        </w:tc>
        <w:tc>
          <w:tcPr>
            <w:tcW w:w="60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c>
          <w:tcPr>
            <w:tcW w:w="651"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p>
        </w:tc>
      </w:tr>
    </w:tbl>
    <w:p>
      <w:pPr>
        <w:numPr>
          <w:ilvl w:val="0"/>
          <w:numId w:val="0"/>
        </w:numPr>
        <w:ind w:left="519" w:leftChars="0"/>
        <w:rPr>
          <w:rFonts w:hint="default"/>
          <w:lang w:val="en-US" w:eastAsia="zh-CN"/>
        </w:rPr>
      </w:pP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w:t>
    </w:r>
    <w:r>
      <w:rPr>
        <w:rStyle w:val="30"/>
      </w:rPr>
      <w:fldChar w:fldCharType="end"/>
    </w:r>
  </w:p>
  <w:p>
    <w:pPr>
      <w:pStyle w:val="1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rFonts w:hint="eastAsia" w:ascii="华文新魏" w:eastAsia="华文新魏"/>
        <w:lang w:eastAsia="zh-CN"/>
      </w:rPr>
    </w:pPr>
    <w:r>
      <w:rPr>
        <w:rFonts w:hint="eastAsia" w:ascii="华文新魏" w:eastAsia="华文新魏"/>
        <w:sz w:val="21"/>
        <w:lang w:eastAsia="zh-CN"/>
      </w:rPr>
      <w:t>WXXWQJC2023-</w:t>
    </w:r>
    <w:r>
      <w:rPr>
        <w:rFonts w:hint="eastAsia" w:ascii="华文新魏" w:eastAsia="华文新魏"/>
        <w:sz w:val="21"/>
        <w:lang w:val="en-US" w:eastAsia="zh-CN"/>
      </w:rPr>
      <w:t>082</w:t>
    </w:r>
    <w:r>
      <w:rPr>
        <w:rFonts w:hint="eastAsia" w:ascii="华文新魏" w:eastAsia="华文新魏"/>
        <w:sz w:val="21"/>
        <w:lang w:eastAsia="zh-CN"/>
      </w:rPr>
      <w:t>硕放法庭升级改造工程智能化升级改造项目</w:t>
    </w:r>
    <w:r>
      <w:rPr>
        <w:rFonts w:hint="eastAsia" w:ascii="华文新魏" w:eastAsia="华文新魏"/>
        <w:sz w:val="21"/>
        <w:lang w:val="en-US" w:eastAsia="zh-CN"/>
      </w:rPr>
      <w:t xml:space="preserve">    </w:t>
    </w:r>
    <w:r>
      <w:rPr>
        <w:rFonts w:hint="eastAsia" w:ascii="华文新魏" w:eastAsia="华文新魏"/>
        <w:sz w:val="21"/>
      </w:rPr>
      <w:t xml:space="preserve"> </w:t>
    </w:r>
    <w:r>
      <w:rPr>
        <w:rFonts w:hint="eastAsia" w:ascii="华文新魏" w:eastAsia="华文新魏"/>
        <w:sz w:val="21"/>
        <w:lang w:eastAsia="zh-CN"/>
      </w:rPr>
      <w:t>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BA1D4"/>
    <w:multiLevelType w:val="singleLevel"/>
    <w:tmpl w:val="BC2BA1D4"/>
    <w:lvl w:ilvl="0" w:tentative="0">
      <w:start w:val="2"/>
      <w:numFmt w:val="decimal"/>
      <w:suff w:val="nothing"/>
      <w:lvlText w:val="%1、"/>
      <w:lvlJc w:val="left"/>
    </w:lvl>
  </w:abstractNum>
  <w:abstractNum w:abstractNumId="1">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4">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6">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7">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8">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9">
    <w:nsid w:val="3B486FA8"/>
    <w:multiLevelType w:val="singleLevel"/>
    <w:tmpl w:val="3B486FA8"/>
    <w:lvl w:ilvl="0" w:tentative="0">
      <w:start w:val="1"/>
      <w:numFmt w:val="chineseCounting"/>
      <w:suff w:val="nothing"/>
      <w:lvlText w:val="（%1）"/>
      <w:lvlJc w:val="left"/>
      <w:rPr>
        <w:rFonts w:hint="eastAsia"/>
      </w:rPr>
    </w:lvl>
  </w:abstractNum>
  <w:abstractNum w:abstractNumId="10">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1">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2">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3">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4">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17">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8">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19">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0">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1">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21"/>
  </w:num>
  <w:num w:numId="2">
    <w:abstractNumId w:val="19"/>
  </w:num>
  <w:num w:numId="3">
    <w:abstractNumId w:val="13"/>
  </w:num>
  <w:num w:numId="4">
    <w:abstractNumId w:val="11"/>
  </w:num>
  <w:num w:numId="5">
    <w:abstractNumId w:val="1"/>
  </w:num>
  <w:num w:numId="6">
    <w:abstractNumId w:val="4"/>
  </w:num>
  <w:num w:numId="7">
    <w:abstractNumId w:val="22"/>
  </w:num>
  <w:num w:numId="8">
    <w:abstractNumId w:val="8"/>
  </w:num>
  <w:num w:numId="9">
    <w:abstractNumId w:val="16"/>
  </w:num>
  <w:num w:numId="10">
    <w:abstractNumId w:val="14"/>
  </w:num>
  <w:num w:numId="11">
    <w:abstractNumId w:val="3"/>
  </w:num>
  <w:num w:numId="12">
    <w:abstractNumId w:val="12"/>
  </w:num>
  <w:num w:numId="13">
    <w:abstractNumId w:val="5"/>
  </w:num>
  <w:num w:numId="14">
    <w:abstractNumId w:val="20"/>
  </w:num>
  <w:num w:numId="15">
    <w:abstractNumId w:val="18"/>
  </w:num>
  <w:num w:numId="16">
    <w:abstractNumId w:val="7"/>
  </w:num>
  <w:num w:numId="17">
    <w:abstractNumId w:val="9"/>
  </w:num>
  <w:num w:numId="18">
    <w:abstractNumId w:val="0"/>
  </w:num>
  <w:num w:numId="19">
    <w:abstractNumId w:val="2"/>
  </w:num>
  <w:num w:numId="20">
    <w:abstractNumId w:val="10"/>
  </w:num>
  <w:num w:numId="21">
    <w:abstractNumId w:val="15"/>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NWY1YjMwYzVlODI0Mjc5ZGJmMjNiMWQ5MDQxYTcifQ=="/>
  </w:docVars>
  <w:rsids>
    <w:rsidRoot w:val="05C27791"/>
    <w:rsid w:val="00005586"/>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6B78"/>
    <w:rsid w:val="000A01C4"/>
    <w:rsid w:val="000A45A7"/>
    <w:rsid w:val="000A611A"/>
    <w:rsid w:val="000A7034"/>
    <w:rsid w:val="000B1029"/>
    <w:rsid w:val="000B7845"/>
    <w:rsid w:val="000C394C"/>
    <w:rsid w:val="000D03DF"/>
    <w:rsid w:val="000D2C40"/>
    <w:rsid w:val="000D7793"/>
    <w:rsid w:val="000E7562"/>
    <w:rsid w:val="000E792B"/>
    <w:rsid w:val="000F13DD"/>
    <w:rsid w:val="000F18E1"/>
    <w:rsid w:val="000F1F9B"/>
    <w:rsid w:val="000F3F52"/>
    <w:rsid w:val="000F4EF1"/>
    <w:rsid w:val="000F50FD"/>
    <w:rsid w:val="00101B15"/>
    <w:rsid w:val="0010264E"/>
    <w:rsid w:val="0010690C"/>
    <w:rsid w:val="001111BA"/>
    <w:rsid w:val="00112084"/>
    <w:rsid w:val="0012047C"/>
    <w:rsid w:val="00123E77"/>
    <w:rsid w:val="001313B9"/>
    <w:rsid w:val="0013250F"/>
    <w:rsid w:val="00133344"/>
    <w:rsid w:val="00133FEA"/>
    <w:rsid w:val="001370A3"/>
    <w:rsid w:val="0013765A"/>
    <w:rsid w:val="001407D4"/>
    <w:rsid w:val="00140AAC"/>
    <w:rsid w:val="00153F19"/>
    <w:rsid w:val="0016004B"/>
    <w:rsid w:val="001609B9"/>
    <w:rsid w:val="00161F11"/>
    <w:rsid w:val="001638FA"/>
    <w:rsid w:val="001645F2"/>
    <w:rsid w:val="001717CF"/>
    <w:rsid w:val="001746FA"/>
    <w:rsid w:val="00174BAF"/>
    <w:rsid w:val="0018434D"/>
    <w:rsid w:val="00197209"/>
    <w:rsid w:val="001A1478"/>
    <w:rsid w:val="001B32DD"/>
    <w:rsid w:val="001B42EF"/>
    <w:rsid w:val="001B448F"/>
    <w:rsid w:val="001B76D5"/>
    <w:rsid w:val="001C0741"/>
    <w:rsid w:val="001C0A24"/>
    <w:rsid w:val="001C0B47"/>
    <w:rsid w:val="001C0DBC"/>
    <w:rsid w:val="001C274F"/>
    <w:rsid w:val="001C4DBD"/>
    <w:rsid w:val="001D5192"/>
    <w:rsid w:val="001E4668"/>
    <w:rsid w:val="001E7CA2"/>
    <w:rsid w:val="001F75B9"/>
    <w:rsid w:val="00202940"/>
    <w:rsid w:val="0020399D"/>
    <w:rsid w:val="00203A18"/>
    <w:rsid w:val="00204689"/>
    <w:rsid w:val="00207EEF"/>
    <w:rsid w:val="002229CC"/>
    <w:rsid w:val="00230D81"/>
    <w:rsid w:val="002356FA"/>
    <w:rsid w:val="00242E47"/>
    <w:rsid w:val="002520C9"/>
    <w:rsid w:val="00255030"/>
    <w:rsid w:val="00255DB0"/>
    <w:rsid w:val="00263EEA"/>
    <w:rsid w:val="00274DB6"/>
    <w:rsid w:val="00275E0E"/>
    <w:rsid w:val="00280BDD"/>
    <w:rsid w:val="00283305"/>
    <w:rsid w:val="002946D4"/>
    <w:rsid w:val="002A7AF7"/>
    <w:rsid w:val="002C400E"/>
    <w:rsid w:val="002D03B7"/>
    <w:rsid w:val="002D2751"/>
    <w:rsid w:val="002D3797"/>
    <w:rsid w:val="002D4D0B"/>
    <w:rsid w:val="002D6B2A"/>
    <w:rsid w:val="002E1F11"/>
    <w:rsid w:val="002F0EEE"/>
    <w:rsid w:val="002F2892"/>
    <w:rsid w:val="00301DEA"/>
    <w:rsid w:val="00305056"/>
    <w:rsid w:val="00305E08"/>
    <w:rsid w:val="00313467"/>
    <w:rsid w:val="0032309C"/>
    <w:rsid w:val="003245E2"/>
    <w:rsid w:val="0033294C"/>
    <w:rsid w:val="003373D3"/>
    <w:rsid w:val="00346850"/>
    <w:rsid w:val="00357C24"/>
    <w:rsid w:val="003608B8"/>
    <w:rsid w:val="00362634"/>
    <w:rsid w:val="00362894"/>
    <w:rsid w:val="003631D4"/>
    <w:rsid w:val="0037196B"/>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53C7"/>
    <w:rsid w:val="0040123D"/>
    <w:rsid w:val="00402E79"/>
    <w:rsid w:val="004049FA"/>
    <w:rsid w:val="00410F06"/>
    <w:rsid w:val="004136A0"/>
    <w:rsid w:val="004173ED"/>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35F3"/>
    <w:rsid w:val="004C571C"/>
    <w:rsid w:val="004D2241"/>
    <w:rsid w:val="004D48F5"/>
    <w:rsid w:val="004D7D32"/>
    <w:rsid w:val="004E3317"/>
    <w:rsid w:val="004E3412"/>
    <w:rsid w:val="004F08E1"/>
    <w:rsid w:val="004F1692"/>
    <w:rsid w:val="0050247F"/>
    <w:rsid w:val="00513459"/>
    <w:rsid w:val="005154B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3339"/>
    <w:rsid w:val="005549F7"/>
    <w:rsid w:val="00560D22"/>
    <w:rsid w:val="00561A77"/>
    <w:rsid w:val="00562836"/>
    <w:rsid w:val="00567411"/>
    <w:rsid w:val="005718D8"/>
    <w:rsid w:val="00582153"/>
    <w:rsid w:val="005856CE"/>
    <w:rsid w:val="00586D52"/>
    <w:rsid w:val="005913F0"/>
    <w:rsid w:val="00592696"/>
    <w:rsid w:val="0059393F"/>
    <w:rsid w:val="005A00E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6732"/>
    <w:rsid w:val="00604B3B"/>
    <w:rsid w:val="0061201B"/>
    <w:rsid w:val="00612E01"/>
    <w:rsid w:val="00613CEF"/>
    <w:rsid w:val="00614E3A"/>
    <w:rsid w:val="00616B3E"/>
    <w:rsid w:val="006172A8"/>
    <w:rsid w:val="00625DB5"/>
    <w:rsid w:val="00634FB9"/>
    <w:rsid w:val="00635596"/>
    <w:rsid w:val="00637D30"/>
    <w:rsid w:val="00647192"/>
    <w:rsid w:val="00647216"/>
    <w:rsid w:val="006539D6"/>
    <w:rsid w:val="006604B8"/>
    <w:rsid w:val="006605B2"/>
    <w:rsid w:val="00660C5F"/>
    <w:rsid w:val="0066634E"/>
    <w:rsid w:val="00671394"/>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F545D"/>
    <w:rsid w:val="006F6F4A"/>
    <w:rsid w:val="0070333F"/>
    <w:rsid w:val="00704DB6"/>
    <w:rsid w:val="007061C1"/>
    <w:rsid w:val="00714A3D"/>
    <w:rsid w:val="00716D66"/>
    <w:rsid w:val="00722856"/>
    <w:rsid w:val="00723F71"/>
    <w:rsid w:val="007301CF"/>
    <w:rsid w:val="00731841"/>
    <w:rsid w:val="00733BB2"/>
    <w:rsid w:val="0073514C"/>
    <w:rsid w:val="00736C20"/>
    <w:rsid w:val="007373EE"/>
    <w:rsid w:val="00743825"/>
    <w:rsid w:val="00743D67"/>
    <w:rsid w:val="007461A4"/>
    <w:rsid w:val="0074784E"/>
    <w:rsid w:val="00747BFB"/>
    <w:rsid w:val="00750061"/>
    <w:rsid w:val="007559FF"/>
    <w:rsid w:val="007570D1"/>
    <w:rsid w:val="00757131"/>
    <w:rsid w:val="00761377"/>
    <w:rsid w:val="00762816"/>
    <w:rsid w:val="00763E37"/>
    <w:rsid w:val="00766C58"/>
    <w:rsid w:val="007710F6"/>
    <w:rsid w:val="00771974"/>
    <w:rsid w:val="00772BD7"/>
    <w:rsid w:val="007736C6"/>
    <w:rsid w:val="007756F3"/>
    <w:rsid w:val="00787860"/>
    <w:rsid w:val="00796065"/>
    <w:rsid w:val="007A3804"/>
    <w:rsid w:val="007B273D"/>
    <w:rsid w:val="007C200A"/>
    <w:rsid w:val="007D13A4"/>
    <w:rsid w:val="007D1F93"/>
    <w:rsid w:val="007D38F6"/>
    <w:rsid w:val="007D4221"/>
    <w:rsid w:val="007D4FDA"/>
    <w:rsid w:val="007E06C1"/>
    <w:rsid w:val="007F0718"/>
    <w:rsid w:val="007F08D6"/>
    <w:rsid w:val="007F265F"/>
    <w:rsid w:val="007F29CE"/>
    <w:rsid w:val="00805A17"/>
    <w:rsid w:val="008063CF"/>
    <w:rsid w:val="00807505"/>
    <w:rsid w:val="00812E0E"/>
    <w:rsid w:val="00813408"/>
    <w:rsid w:val="008134AF"/>
    <w:rsid w:val="008214F7"/>
    <w:rsid w:val="00824AC5"/>
    <w:rsid w:val="008333AB"/>
    <w:rsid w:val="00845C3C"/>
    <w:rsid w:val="00845F45"/>
    <w:rsid w:val="0084602D"/>
    <w:rsid w:val="00850E0B"/>
    <w:rsid w:val="00862560"/>
    <w:rsid w:val="00865EF6"/>
    <w:rsid w:val="008712A3"/>
    <w:rsid w:val="008740A6"/>
    <w:rsid w:val="0087411F"/>
    <w:rsid w:val="00876B1C"/>
    <w:rsid w:val="0087730C"/>
    <w:rsid w:val="0088055F"/>
    <w:rsid w:val="0088562E"/>
    <w:rsid w:val="0089731A"/>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F1893"/>
    <w:rsid w:val="0090009F"/>
    <w:rsid w:val="0090117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73B72"/>
    <w:rsid w:val="009761DC"/>
    <w:rsid w:val="00981606"/>
    <w:rsid w:val="0099412D"/>
    <w:rsid w:val="00994A86"/>
    <w:rsid w:val="00996D2E"/>
    <w:rsid w:val="009A7279"/>
    <w:rsid w:val="009C7E4A"/>
    <w:rsid w:val="009D7C01"/>
    <w:rsid w:val="009F4E7D"/>
    <w:rsid w:val="00A04361"/>
    <w:rsid w:val="00A044A8"/>
    <w:rsid w:val="00A058AB"/>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6753"/>
    <w:rsid w:val="00A800DA"/>
    <w:rsid w:val="00A81174"/>
    <w:rsid w:val="00A90FEA"/>
    <w:rsid w:val="00A915B3"/>
    <w:rsid w:val="00A95566"/>
    <w:rsid w:val="00A97430"/>
    <w:rsid w:val="00AA7EB8"/>
    <w:rsid w:val="00AB2031"/>
    <w:rsid w:val="00AB6D8C"/>
    <w:rsid w:val="00AC5887"/>
    <w:rsid w:val="00AC7777"/>
    <w:rsid w:val="00AD1AA5"/>
    <w:rsid w:val="00AD4EDB"/>
    <w:rsid w:val="00AD4F7A"/>
    <w:rsid w:val="00AD5B45"/>
    <w:rsid w:val="00AE18A3"/>
    <w:rsid w:val="00AE5A89"/>
    <w:rsid w:val="00B03CF7"/>
    <w:rsid w:val="00B0737E"/>
    <w:rsid w:val="00B1059A"/>
    <w:rsid w:val="00B15B38"/>
    <w:rsid w:val="00B20C8D"/>
    <w:rsid w:val="00B21D6F"/>
    <w:rsid w:val="00B278AB"/>
    <w:rsid w:val="00B310D0"/>
    <w:rsid w:val="00B33BE3"/>
    <w:rsid w:val="00B340F0"/>
    <w:rsid w:val="00B40679"/>
    <w:rsid w:val="00B42CFB"/>
    <w:rsid w:val="00B45504"/>
    <w:rsid w:val="00B56849"/>
    <w:rsid w:val="00B64E85"/>
    <w:rsid w:val="00B658F3"/>
    <w:rsid w:val="00B67BE4"/>
    <w:rsid w:val="00B70A48"/>
    <w:rsid w:val="00B73078"/>
    <w:rsid w:val="00B853C0"/>
    <w:rsid w:val="00B92615"/>
    <w:rsid w:val="00B94FAF"/>
    <w:rsid w:val="00B96226"/>
    <w:rsid w:val="00BA3FC9"/>
    <w:rsid w:val="00BA708B"/>
    <w:rsid w:val="00BB1984"/>
    <w:rsid w:val="00BB4992"/>
    <w:rsid w:val="00BD3F67"/>
    <w:rsid w:val="00BD4706"/>
    <w:rsid w:val="00BD4E1B"/>
    <w:rsid w:val="00BE0257"/>
    <w:rsid w:val="00BE19AC"/>
    <w:rsid w:val="00BF00D8"/>
    <w:rsid w:val="00BF1524"/>
    <w:rsid w:val="00BF2E28"/>
    <w:rsid w:val="00BF4DA0"/>
    <w:rsid w:val="00BF67D7"/>
    <w:rsid w:val="00C005AF"/>
    <w:rsid w:val="00C112CC"/>
    <w:rsid w:val="00C12842"/>
    <w:rsid w:val="00C16A66"/>
    <w:rsid w:val="00C175E7"/>
    <w:rsid w:val="00C20E61"/>
    <w:rsid w:val="00C23002"/>
    <w:rsid w:val="00C23FAA"/>
    <w:rsid w:val="00C3084B"/>
    <w:rsid w:val="00C32179"/>
    <w:rsid w:val="00C365AA"/>
    <w:rsid w:val="00C365B7"/>
    <w:rsid w:val="00C40ACA"/>
    <w:rsid w:val="00C47772"/>
    <w:rsid w:val="00C50959"/>
    <w:rsid w:val="00C52244"/>
    <w:rsid w:val="00C534FC"/>
    <w:rsid w:val="00C61B6C"/>
    <w:rsid w:val="00C65F6C"/>
    <w:rsid w:val="00C729BC"/>
    <w:rsid w:val="00C72DE7"/>
    <w:rsid w:val="00C738E2"/>
    <w:rsid w:val="00C76A65"/>
    <w:rsid w:val="00C776CD"/>
    <w:rsid w:val="00C82C3C"/>
    <w:rsid w:val="00C84452"/>
    <w:rsid w:val="00C93603"/>
    <w:rsid w:val="00C9443E"/>
    <w:rsid w:val="00CA001C"/>
    <w:rsid w:val="00CA228C"/>
    <w:rsid w:val="00CA2707"/>
    <w:rsid w:val="00CA3223"/>
    <w:rsid w:val="00CA34B4"/>
    <w:rsid w:val="00CA37BC"/>
    <w:rsid w:val="00CA5F95"/>
    <w:rsid w:val="00CB3300"/>
    <w:rsid w:val="00CB454A"/>
    <w:rsid w:val="00CB481B"/>
    <w:rsid w:val="00CC4C52"/>
    <w:rsid w:val="00CD0B46"/>
    <w:rsid w:val="00CE012D"/>
    <w:rsid w:val="00CE0132"/>
    <w:rsid w:val="00CE79DC"/>
    <w:rsid w:val="00CE7B2C"/>
    <w:rsid w:val="00CF0698"/>
    <w:rsid w:val="00CF08AD"/>
    <w:rsid w:val="00CF4EF4"/>
    <w:rsid w:val="00CF6FBD"/>
    <w:rsid w:val="00D05F26"/>
    <w:rsid w:val="00D219B1"/>
    <w:rsid w:val="00D21C8D"/>
    <w:rsid w:val="00D2693E"/>
    <w:rsid w:val="00D26E15"/>
    <w:rsid w:val="00D30EAE"/>
    <w:rsid w:val="00D3615A"/>
    <w:rsid w:val="00D42742"/>
    <w:rsid w:val="00D44D9B"/>
    <w:rsid w:val="00D459B7"/>
    <w:rsid w:val="00D51698"/>
    <w:rsid w:val="00D54ADF"/>
    <w:rsid w:val="00D56FB3"/>
    <w:rsid w:val="00D57AF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6083"/>
    <w:rsid w:val="00DF62AF"/>
    <w:rsid w:val="00DF7896"/>
    <w:rsid w:val="00E03BC0"/>
    <w:rsid w:val="00E04524"/>
    <w:rsid w:val="00E06AA0"/>
    <w:rsid w:val="00E10501"/>
    <w:rsid w:val="00E2007C"/>
    <w:rsid w:val="00E2091D"/>
    <w:rsid w:val="00E20BAC"/>
    <w:rsid w:val="00E317AE"/>
    <w:rsid w:val="00E3335C"/>
    <w:rsid w:val="00E33445"/>
    <w:rsid w:val="00E35D3B"/>
    <w:rsid w:val="00E35EC1"/>
    <w:rsid w:val="00E3647A"/>
    <w:rsid w:val="00E37852"/>
    <w:rsid w:val="00E37DCF"/>
    <w:rsid w:val="00E4203F"/>
    <w:rsid w:val="00E42213"/>
    <w:rsid w:val="00E425F8"/>
    <w:rsid w:val="00E42DD9"/>
    <w:rsid w:val="00E43858"/>
    <w:rsid w:val="00E5094A"/>
    <w:rsid w:val="00E50CEC"/>
    <w:rsid w:val="00E53251"/>
    <w:rsid w:val="00E57E8F"/>
    <w:rsid w:val="00E60042"/>
    <w:rsid w:val="00E62A9E"/>
    <w:rsid w:val="00E7387E"/>
    <w:rsid w:val="00E748C6"/>
    <w:rsid w:val="00E80A61"/>
    <w:rsid w:val="00E82488"/>
    <w:rsid w:val="00E83D0E"/>
    <w:rsid w:val="00E84B8A"/>
    <w:rsid w:val="00E8606B"/>
    <w:rsid w:val="00E926BC"/>
    <w:rsid w:val="00E9764E"/>
    <w:rsid w:val="00EB0BC5"/>
    <w:rsid w:val="00EC4578"/>
    <w:rsid w:val="00ED1BF6"/>
    <w:rsid w:val="00ED297E"/>
    <w:rsid w:val="00ED2D47"/>
    <w:rsid w:val="00ED3C01"/>
    <w:rsid w:val="00ED5D78"/>
    <w:rsid w:val="00EE3926"/>
    <w:rsid w:val="00EF0017"/>
    <w:rsid w:val="00EF048E"/>
    <w:rsid w:val="00EF33C0"/>
    <w:rsid w:val="00EF3D99"/>
    <w:rsid w:val="00EF4C18"/>
    <w:rsid w:val="00EF4C52"/>
    <w:rsid w:val="00EF53AE"/>
    <w:rsid w:val="00EF5AB0"/>
    <w:rsid w:val="00EF5DF2"/>
    <w:rsid w:val="00EF5E3B"/>
    <w:rsid w:val="00EF6F57"/>
    <w:rsid w:val="00EF7CF5"/>
    <w:rsid w:val="00F037C6"/>
    <w:rsid w:val="00F143FB"/>
    <w:rsid w:val="00F20093"/>
    <w:rsid w:val="00F203B6"/>
    <w:rsid w:val="00F204B5"/>
    <w:rsid w:val="00F20CFF"/>
    <w:rsid w:val="00F375C7"/>
    <w:rsid w:val="00F50A8E"/>
    <w:rsid w:val="00F60771"/>
    <w:rsid w:val="00F62BB8"/>
    <w:rsid w:val="00F65F81"/>
    <w:rsid w:val="00F66FD0"/>
    <w:rsid w:val="00F67465"/>
    <w:rsid w:val="00F67DA1"/>
    <w:rsid w:val="00F71B33"/>
    <w:rsid w:val="00F81001"/>
    <w:rsid w:val="00F862F8"/>
    <w:rsid w:val="00F95B8A"/>
    <w:rsid w:val="00F974A4"/>
    <w:rsid w:val="00FA300B"/>
    <w:rsid w:val="00FA71A7"/>
    <w:rsid w:val="00FA7242"/>
    <w:rsid w:val="00FB1F91"/>
    <w:rsid w:val="00FB4E2F"/>
    <w:rsid w:val="00FB5B17"/>
    <w:rsid w:val="00FB75CE"/>
    <w:rsid w:val="00FC071E"/>
    <w:rsid w:val="00FD2A56"/>
    <w:rsid w:val="00FD3223"/>
    <w:rsid w:val="00FD5962"/>
    <w:rsid w:val="00FE684C"/>
    <w:rsid w:val="00FE719E"/>
    <w:rsid w:val="00FF323F"/>
    <w:rsid w:val="00FF543C"/>
    <w:rsid w:val="05C27791"/>
    <w:rsid w:val="0D38267F"/>
    <w:rsid w:val="22E41AB5"/>
    <w:rsid w:val="2ECD2C77"/>
    <w:rsid w:val="30A532D8"/>
    <w:rsid w:val="320629F5"/>
    <w:rsid w:val="3BF168CD"/>
    <w:rsid w:val="3FA57E56"/>
    <w:rsid w:val="41B2359A"/>
    <w:rsid w:val="469465E1"/>
    <w:rsid w:val="4F7418C5"/>
    <w:rsid w:val="50491A64"/>
    <w:rsid w:val="52FB6DDC"/>
    <w:rsid w:val="5740340D"/>
    <w:rsid w:val="58760765"/>
    <w:rsid w:val="58D948BC"/>
    <w:rsid w:val="58F66481"/>
    <w:rsid w:val="5CC51454"/>
    <w:rsid w:val="61B362BB"/>
    <w:rsid w:val="62B95FD9"/>
    <w:rsid w:val="63B125B7"/>
    <w:rsid w:val="67E91BC1"/>
    <w:rsid w:val="6E7D4652"/>
    <w:rsid w:val="7A9A5D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9"/>
    <w:pPr>
      <w:keepNext/>
      <w:jc w:val="center"/>
      <w:outlineLvl w:val="0"/>
    </w:pPr>
    <w:rPr>
      <w:rFonts w:ascii="楷体_GB2312" w:hAnsi="Times New Roman" w:eastAsia="楷体_GB2312" w:cs="Times New Roman"/>
      <w:b/>
      <w:kern w:val="0"/>
      <w:sz w:val="28"/>
      <w:szCs w:val="20"/>
    </w:rPr>
  </w:style>
  <w:style w:type="paragraph" w:styleId="4">
    <w:name w:val="heading 2"/>
    <w:basedOn w:val="1"/>
    <w:next w:val="1"/>
    <w:link w:val="36"/>
    <w:qFormat/>
    <w:uiPriority w:val="99"/>
    <w:pPr>
      <w:keepNext/>
      <w:jc w:val="center"/>
      <w:outlineLvl w:val="1"/>
    </w:pPr>
    <w:rPr>
      <w:rFonts w:ascii="楷体_GB2312" w:hAnsi="Times New Roman" w:eastAsia="楷体_GB2312" w:cs="Times New Roman"/>
      <w:b/>
      <w:bCs/>
      <w:kern w:val="0"/>
      <w:sz w:val="18"/>
      <w:szCs w:val="20"/>
    </w:rPr>
  </w:style>
  <w:style w:type="paragraph" w:styleId="5">
    <w:name w:val="heading 3"/>
    <w:basedOn w:val="1"/>
    <w:next w:val="1"/>
    <w:link w:val="37"/>
    <w:qFormat/>
    <w:uiPriority w:val="99"/>
    <w:pPr>
      <w:keepNext/>
      <w:jc w:val="center"/>
      <w:outlineLvl w:val="2"/>
    </w:pPr>
    <w:rPr>
      <w:rFonts w:ascii="Times New Roman" w:hAnsi="Times New Roman" w:eastAsia="楷体_GB2312" w:cs="Times New Roman"/>
      <w:b/>
      <w:bCs/>
      <w:kern w:val="0"/>
      <w:sz w:val="15"/>
      <w:szCs w:val="20"/>
    </w:rPr>
  </w:style>
  <w:style w:type="paragraph" w:styleId="2">
    <w:name w:val="heading 4"/>
    <w:basedOn w:val="1"/>
    <w:next w:val="1"/>
    <w:link w:val="38"/>
    <w:qFormat/>
    <w:uiPriority w:val="99"/>
    <w:pPr>
      <w:keepNext/>
      <w:jc w:val="center"/>
      <w:outlineLvl w:val="3"/>
    </w:pPr>
    <w:rPr>
      <w:rFonts w:ascii="Times New Roman" w:hAnsi="Times New Roman" w:eastAsia="楷体_GB2312" w:cs="Times New Roman"/>
      <w:b/>
      <w:bCs/>
      <w:kern w:val="0"/>
      <w:sz w:val="13"/>
      <w:szCs w:val="20"/>
    </w:rPr>
  </w:style>
  <w:style w:type="paragraph" w:styleId="6">
    <w:name w:val="heading 5"/>
    <w:basedOn w:val="1"/>
    <w:next w:val="1"/>
    <w:link w:val="39"/>
    <w:qFormat/>
    <w:uiPriority w:val="99"/>
    <w:pPr>
      <w:keepNext/>
      <w:numPr>
        <w:ilvl w:val="0"/>
        <w:numId w:val="1"/>
      </w:numPr>
      <w:outlineLvl w:val="4"/>
    </w:pPr>
    <w:rPr>
      <w:rFonts w:ascii="楷体_GB2312" w:hAnsi="Times New Roman" w:eastAsia="楷体_GB2312" w:cs="Times New Roman"/>
      <w:bCs/>
      <w:kern w:val="0"/>
      <w:sz w:val="28"/>
      <w:szCs w:val="20"/>
    </w:rPr>
  </w:style>
  <w:style w:type="character" w:default="1" w:styleId="28">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8">
    <w:name w:val="caption"/>
    <w:basedOn w:val="9"/>
    <w:next w:val="1"/>
    <w:qFormat/>
    <w:uiPriority w:val="0"/>
    <w:pPr>
      <w:widowControl/>
      <w:jc w:val="center"/>
    </w:pPr>
    <w:rPr>
      <w:rFonts w:ascii="等线 Light" w:hAnsi="等线 Light" w:eastAsia="微软雅黑"/>
      <w:b/>
      <w:szCs w:val="20"/>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
    <w:name w:val="Document Map"/>
    <w:basedOn w:val="1"/>
    <w:link w:val="40"/>
    <w:semiHidden/>
    <w:qFormat/>
    <w:uiPriority w:val="99"/>
    <w:pPr>
      <w:shd w:val="clear" w:color="auto" w:fill="000080"/>
    </w:pPr>
    <w:rPr>
      <w:rFonts w:ascii="Times New Roman" w:hAnsi="Times New Roman" w:eastAsia="宋体" w:cs="Times New Roman"/>
      <w:kern w:val="0"/>
      <w:sz w:val="20"/>
      <w:szCs w:val="20"/>
    </w:rPr>
  </w:style>
  <w:style w:type="paragraph" w:styleId="11">
    <w:name w:val="annotation text"/>
    <w:basedOn w:val="1"/>
    <w:link w:val="41"/>
    <w:unhideWhenUsed/>
    <w:qFormat/>
    <w:uiPriority w:val="99"/>
    <w:pPr>
      <w:jc w:val="left"/>
    </w:pPr>
  </w:style>
  <w:style w:type="paragraph" w:styleId="12">
    <w:name w:val="Body Text"/>
    <w:basedOn w:val="1"/>
    <w:next w:val="1"/>
    <w:link w:val="42"/>
    <w:qFormat/>
    <w:uiPriority w:val="99"/>
    <w:rPr>
      <w:rFonts w:ascii="华文中宋" w:hAnsi="Times New Roman" w:eastAsia="华文中宋" w:cs="Times New Roman"/>
      <w:bCs/>
      <w:kern w:val="0"/>
      <w:sz w:val="28"/>
      <w:szCs w:val="20"/>
    </w:rPr>
  </w:style>
  <w:style w:type="paragraph" w:styleId="13">
    <w:name w:val="Body Text Indent"/>
    <w:basedOn w:val="1"/>
    <w:next w:val="14"/>
    <w:link w:val="43"/>
    <w:qFormat/>
    <w:uiPriority w:val="99"/>
    <w:pPr>
      <w:ind w:firstLine="576"/>
    </w:pPr>
    <w:rPr>
      <w:rFonts w:ascii="Times New Roman" w:hAnsi="Times New Roman" w:eastAsia="宋体" w:cs="Times New Roman"/>
      <w:b/>
      <w:kern w:val="0"/>
      <w:sz w:val="30"/>
      <w:szCs w:val="20"/>
    </w:rPr>
  </w:style>
  <w:style w:type="paragraph" w:styleId="14">
    <w:name w:val="envelope return"/>
    <w:basedOn w:val="1"/>
    <w:unhideWhenUsed/>
    <w:qFormat/>
    <w:uiPriority w:val="99"/>
    <w:pPr>
      <w:snapToGrid w:val="0"/>
    </w:pPr>
    <w:rPr>
      <w:rFonts w:hint="eastAsia" w:ascii="Arial" w:hAnsi="Arial"/>
      <w:sz w:val="24"/>
    </w:rPr>
  </w:style>
  <w:style w:type="paragraph" w:styleId="15">
    <w:name w:val="index 4"/>
    <w:basedOn w:val="1"/>
    <w:next w:val="1"/>
    <w:qFormat/>
    <w:uiPriority w:val="99"/>
    <w:pPr>
      <w:ind w:left="600" w:leftChars="600"/>
    </w:pPr>
    <w:rPr>
      <w:rFonts w:ascii="Times New Roman" w:hAnsi="Times New Roman" w:eastAsia="宋体" w:cs="Times New Roman"/>
      <w:szCs w:val="24"/>
    </w:rPr>
  </w:style>
  <w:style w:type="paragraph" w:styleId="16">
    <w:name w:val="Date"/>
    <w:basedOn w:val="1"/>
    <w:next w:val="1"/>
    <w:link w:val="44"/>
    <w:qFormat/>
    <w:uiPriority w:val="99"/>
    <w:rPr>
      <w:rFonts w:ascii="Times New Roman" w:hAnsi="Times New Roman" w:eastAsia="黑体" w:cs="Times New Roman"/>
      <w:b/>
      <w:kern w:val="0"/>
      <w:sz w:val="36"/>
      <w:szCs w:val="20"/>
    </w:rPr>
  </w:style>
  <w:style w:type="paragraph" w:styleId="17">
    <w:name w:val="Body Text Indent 2"/>
    <w:basedOn w:val="1"/>
    <w:link w:val="45"/>
    <w:qFormat/>
    <w:uiPriority w:val="99"/>
    <w:pPr>
      <w:ind w:left="900"/>
    </w:pPr>
    <w:rPr>
      <w:rFonts w:ascii="楷体_GB2312" w:hAnsi="Times New Roman" w:eastAsia="楷体_GB2312" w:cs="Times New Roman"/>
      <w:b/>
      <w:kern w:val="0"/>
      <w:sz w:val="28"/>
      <w:szCs w:val="20"/>
    </w:rPr>
  </w:style>
  <w:style w:type="paragraph" w:styleId="18">
    <w:name w:val="Balloon Text"/>
    <w:basedOn w:val="1"/>
    <w:link w:val="46"/>
    <w:unhideWhenUsed/>
    <w:qFormat/>
    <w:uiPriority w:val="99"/>
    <w:rPr>
      <w:rFonts w:ascii="Times New Roman" w:hAnsi="Times New Roman" w:eastAsia="宋体" w:cs="Times New Roman"/>
      <w:sz w:val="18"/>
      <w:szCs w:val="18"/>
    </w:rPr>
  </w:style>
  <w:style w:type="paragraph" w:styleId="19">
    <w:name w:val="footer"/>
    <w:basedOn w:val="1"/>
    <w:link w:val="47"/>
    <w:qFormat/>
    <w:uiPriority w:val="99"/>
    <w:pPr>
      <w:tabs>
        <w:tab w:val="center" w:pos="4153"/>
        <w:tab w:val="right" w:pos="8306"/>
      </w:tabs>
      <w:snapToGrid w:val="0"/>
      <w:jc w:val="left"/>
    </w:pPr>
    <w:rPr>
      <w:rFonts w:ascii="Times New Roman" w:hAnsi="Times New Roman" w:eastAsia="宋体" w:cs="Times New Roman"/>
      <w:kern w:val="0"/>
      <w:sz w:val="18"/>
      <w:szCs w:val="20"/>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1">
    <w:name w:val="Body Text Indent 3"/>
    <w:basedOn w:val="1"/>
    <w:link w:val="49"/>
    <w:qFormat/>
    <w:uiPriority w:val="99"/>
    <w:pPr>
      <w:ind w:left="359" w:leftChars="171" w:firstLine="359" w:firstLineChars="171"/>
    </w:pPr>
    <w:rPr>
      <w:rFonts w:ascii="Times New Roman" w:hAnsi="Times New Roman" w:eastAsia="宋体" w:cs="Times New Roman"/>
      <w:kern w:val="0"/>
      <w:sz w:val="20"/>
      <w:szCs w:val="20"/>
    </w:rPr>
  </w:style>
  <w:style w:type="paragraph" w:styleId="22">
    <w:name w:val="Body Text 2"/>
    <w:basedOn w:val="1"/>
    <w:link w:val="50"/>
    <w:qFormat/>
    <w:uiPriority w:val="99"/>
    <w:pPr>
      <w:spacing w:after="120" w:line="480" w:lineRule="auto"/>
    </w:pPr>
    <w:rPr>
      <w:rFonts w:ascii="Times New Roman" w:hAnsi="Times New Roman" w:eastAsia="宋体" w:cs="Times New Roman"/>
      <w:kern w:val="0"/>
      <w:sz w:val="20"/>
      <w:szCs w:val="20"/>
    </w:rPr>
  </w:style>
  <w:style w:type="paragraph" w:styleId="2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11"/>
    <w:next w:val="11"/>
    <w:link w:val="51"/>
    <w:unhideWhenUsed/>
    <w:qFormat/>
    <w:uiPriority w:val="99"/>
    <w:rPr>
      <w:b/>
      <w:bCs/>
    </w:rPr>
  </w:style>
  <w:style w:type="paragraph" w:styleId="25">
    <w:name w:val="Body Text First Indent"/>
    <w:basedOn w:val="12"/>
    <w:unhideWhenUsed/>
    <w:qFormat/>
    <w:uiPriority w:val="99"/>
    <w:pPr>
      <w:spacing w:after="120"/>
      <w:ind w:firstLine="420" w:firstLineChars="100"/>
    </w:pPr>
    <w:rPr>
      <w:rFonts w:ascii="Times New Roman" w:hAnsi="Times New Roman" w:cs="Times New Roman"/>
      <w:bCs w:val="0"/>
      <w:kern w:val="2"/>
      <w:sz w:val="21"/>
    </w:rPr>
  </w:style>
  <w:style w:type="paragraph" w:styleId="26">
    <w:name w:val="Body Text First Indent 2"/>
    <w:basedOn w:val="13"/>
    <w:unhideWhenUsed/>
    <w:qFormat/>
    <w:uiPriority w:val="99"/>
    <w:pPr>
      <w:ind w:firstLine="420" w:firstLineChars="200"/>
    </w:pPr>
    <w:rPr>
      <w:sz w:val="20"/>
    </w:rPr>
  </w:style>
  <w:style w:type="character" w:styleId="29">
    <w:name w:val="Strong"/>
    <w:qFormat/>
    <w:uiPriority w:val="99"/>
    <w:rPr>
      <w:rFonts w:cs="Times New Roman"/>
      <w:b/>
      <w:bCs/>
    </w:rPr>
  </w:style>
  <w:style w:type="character" w:styleId="30">
    <w:name w:val="page number"/>
    <w:qFormat/>
    <w:uiPriority w:val="99"/>
    <w:rPr>
      <w:rFonts w:cs="Times New Roman"/>
    </w:rPr>
  </w:style>
  <w:style w:type="character" w:styleId="31">
    <w:name w:val="FollowedHyperlink"/>
    <w:unhideWhenUsed/>
    <w:qFormat/>
    <w:uiPriority w:val="99"/>
    <w:rPr>
      <w:color w:val="800080"/>
      <w:u w:val="single"/>
    </w:rPr>
  </w:style>
  <w:style w:type="character" w:styleId="32">
    <w:name w:val="HTML Typewriter"/>
    <w:qFormat/>
    <w:uiPriority w:val="99"/>
    <w:rPr>
      <w:rFonts w:ascii="宋体" w:hAnsi="宋体" w:eastAsia="宋体" w:cs="宋体"/>
      <w:sz w:val="24"/>
      <w:szCs w:val="24"/>
    </w:rPr>
  </w:style>
  <w:style w:type="character" w:styleId="33">
    <w:name w:val="Hyperlink"/>
    <w:qFormat/>
    <w:uiPriority w:val="99"/>
    <w:rPr>
      <w:rFonts w:cs="Times New Roman"/>
      <w:color w:val="auto"/>
      <w:u w:val="none"/>
    </w:rPr>
  </w:style>
  <w:style w:type="character" w:styleId="34">
    <w:name w:val="annotation reference"/>
    <w:basedOn w:val="28"/>
    <w:unhideWhenUsed/>
    <w:qFormat/>
    <w:uiPriority w:val="99"/>
    <w:rPr>
      <w:sz w:val="21"/>
      <w:szCs w:val="21"/>
    </w:rPr>
  </w:style>
  <w:style w:type="character" w:customStyle="1" w:styleId="35">
    <w:name w:val="标题 1 Char"/>
    <w:basedOn w:val="28"/>
    <w:link w:val="3"/>
    <w:qFormat/>
    <w:uiPriority w:val="99"/>
    <w:rPr>
      <w:rFonts w:ascii="楷体_GB2312" w:hAnsi="Times New Roman" w:eastAsia="楷体_GB2312" w:cs="Times New Roman"/>
      <w:b/>
      <w:kern w:val="0"/>
      <w:sz w:val="28"/>
      <w:szCs w:val="20"/>
    </w:rPr>
  </w:style>
  <w:style w:type="character" w:customStyle="1" w:styleId="36">
    <w:name w:val="标题 2 Char"/>
    <w:basedOn w:val="28"/>
    <w:link w:val="4"/>
    <w:qFormat/>
    <w:uiPriority w:val="99"/>
    <w:rPr>
      <w:rFonts w:ascii="楷体_GB2312" w:hAnsi="Times New Roman" w:eastAsia="楷体_GB2312" w:cs="Times New Roman"/>
      <w:b/>
      <w:bCs/>
      <w:kern w:val="0"/>
      <w:sz w:val="18"/>
      <w:szCs w:val="20"/>
    </w:rPr>
  </w:style>
  <w:style w:type="character" w:customStyle="1" w:styleId="37">
    <w:name w:val="标题 3 Char"/>
    <w:basedOn w:val="28"/>
    <w:link w:val="5"/>
    <w:qFormat/>
    <w:uiPriority w:val="99"/>
    <w:rPr>
      <w:rFonts w:ascii="Times New Roman" w:hAnsi="Times New Roman" w:eastAsia="楷体_GB2312" w:cs="Times New Roman"/>
      <w:b/>
      <w:bCs/>
      <w:kern w:val="0"/>
      <w:sz w:val="15"/>
      <w:szCs w:val="20"/>
    </w:rPr>
  </w:style>
  <w:style w:type="character" w:customStyle="1" w:styleId="38">
    <w:name w:val="标题 4 Char"/>
    <w:basedOn w:val="28"/>
    <w:link w:val="2"/>
    <w:qFormat/>
    <w:uiPriority w:val="99"/>
    <w:rPr>
      <w:rFonts w:ascii="Times New Roman" w:hAnsi="Times New Roman" w:eastAsia="楷体_GB2312" w:cs="Times New Roman"/>
      <w:b/>
      <w:bCs/>
      <w:kern w:val="0"/>
      <w:sz w:val="13"/>
      <w:szCs w:val="20"/>
    </w:rPr>
  </w:style>
  <w:style w:type="character" w:customStyle="1" w:styleId="39">
    <w:name w:val="标题 5 Char"/>
    <w:basedOn w:val="28"/>
    <w:link w:val="6"/>
    <w:qFormat/>
    <w:uiPriority w:val="99"/>
    <w:rPr>
      <w:rFonts w:ascii="楷体_GB2312" w:hAnsi="Times New Roman" w:eastAsia="楷体_GB2312" w:cs="Times New Roman"/>
      <w:bCs/>
      <w:kern w:val="0"/>
      <w:sz w:val="28"/>
      <w:szCs w:val="20"/>
    </w:rPr>
  </w:style>
  <w:style w:type="character" w:customStyle="1" w:styleId="40">
    <w:name w:val="文档结构图 Char"/>
    <w:basedOn w:val="28"/>
    <w:link w:val="10"/>
    <w:semiHidden/>
    <w:qFormat/>
    <w:uiPriority w:val="99"/>
    <w:rPr>
      <w:rFonts w:ascii="Times New Roman" w:hAnsi="Times New Roman" w:eastAsia="宋体" w:cs="Times New Roman"/>
      <w:kern w:val="0"/>
      <w:sz w:val="20"/>
      <w:szCs w:val="20"/>
      <w:shd w:val="clear" w:color="auto" w:fill="000080"/>
    </w:rPr>
  </w:style>
  <w:style w:type="character" w:customStyle="1" w:styleId="41">
    <w:name w:val="批注文字 Char"/>
    <w:basedOn w:val="28"/>
    <w:link w:val="11"/>
    <w:qFormat/>
    <w:uiPriority w:val="99"/>
  </w:style>
  <w:style w:type="character" w:customStyle="1" w:styleId="42">
    <w:name w:val="正文文本 Char"/>
    <w:basedOn w:val="28"/>
    <w:link w:val="12"/>
    <w:qFormat/>
    <w:uiPriority w:val="99"/>
    <w:rPr>
      <w:rFonts w:ascii="华文中宋" w:hAnsi="Times New Roman" w:eastAsia="华文中宋" w:cs="Times New Roman"/>
      <w:bCs/>
      <w:kern w:val="0"/>
      <w:sz w:val="28"/>
      <w:szCs w:val="20"/>
    </w:rPr>
  </w:style>
  <w:style w:type="character" w:customStyle="1" w:styleId="43">
    <w:name w:val="正文文本缩进 Char"/>
    <w:basedOn w:val="28"/>
    <w:link w:val="13"/>
    <w:qFormat/>
    <w:uiPriority w:val="99"/>
    <w:rPr>
      <w:rFonts w:ascii="Times New Roman" w:hAnsi="Times New Roman" w:eastAsia="宋体" w:cs="Times New Roman"/>
      <w:b/>
      <w:kern w:val="0"/>
      <w:sz w:val="30"/>
      <w:szCs w:val="20"/>
    </w:rPr>
  </w:style>
  <w:style w:type="character" w:customStyle="1" w:styleId="44">
    <w:name w:val="日期 Char"/>
    <w:basedOn w:val="28"/>
    <w:link w:val="16"/>
    <w:qFormat/>
    <w:uiPriority w:val="99"/>
    <w:rPr>
      <w:rFonts w:ascii="Times New Roman" w:hAnsi="Times New Roman" w:eastAsia="黑体" w:cs="Times New Roman"/>
      <w:b/>
      <w:kern w:val="0"/>
      <w:sz w:val="36"/>
      <w:szCs w:val="20"/>
    </w:rPr>
  </w:style>
  <w:style w:type="character" w:customStyle="1" w:styleId="45">
    <w:name w:val="正文文本缩进 2 Char"/>
    <w:basedOn w:val="28"/>
    <w:link w:val="17"/>
    <w:qFormat/>
    <w:uiPriority w:val="99"/>
    <w:rPr>
      <w:rFonts w:ascii="楷体_GB2312" w:hAnsi="Times New Roman" w:eastAsia="楷体_GB2312" w:cs="Times New Roman"/>
      <w:b/>
      <w:kern w:val="0"/>
      <w:sz w:val="28"/>
      <w:szCs w:val="20"/>
    </w:rPr>
  </w:style>
  <w:style w:type="character" w:customStyle="1" w:styleId="46">
    <w:name w:val="批注框文本 Char"/>
    <w:basedOn w:val="28"/>
    <w:link w:val="18"/>
    <w:semiHidden/>
    <w:qFormat/>
    <w:uiPriority w:val="99"/>
    <w:rPr>
      <w:rFonts w:ascii="Times New Roman" w:hAnsi="Times New Roman" w:eastAsia="宋体" w:cs="Times New Roman"/>
      <w:sz w:val="18"/>
      <w:szCs w:val="18"/>
    </w:rPr>
  </w:style>
  <w:style w:type="character" w:customStyle="1" w:styleId="47">
    <w:name w:val="页脚 Char"/>
    <w:basedOn w:val="28"/>
    <w:link w:val="19"/>
    <w:qFormat/>
    <w:uiPriority w:val="99"/>
    <w:rPr>
      <w:rFonts w:ascii="Times New Roman" w:hAnsi="Times New Roman" w:eastAsia="宋体" w:cs="Times New Roman"/>
      <w:kern w:val="0"/>
      <w:sz w:val="18"/>
      <w:szCs w:val="20"/>
    </w:rPr>
  </w:style>
  <w:style w:type="character" w:customStyle="1" w:styleId="48">
    <w:name w:val="页眉 Char"/>
    <w:basedOn w:val="28"/>
    <w:link w:val="20"/>
    <w:qFormat/>
    <w:uiPriority w:val="99"/>
    <w:rPr>
      <w:rFonts w:ascii="Times New Roman" w:hAnsi="Times New Roman" w:eastAsia="宋体" w:cs="Times New Roman"/>
      <w:kern w:val="0"/>
      <w:sz w:val="18"/>
      <w:szCs w:val="20"/>
    </w:rPr>
  </w:style>
  <w:style w:type="character" w:customStyle="1" w:styleId="49">
    <w:name w:val="正文文本缩进 3 Char"/>
    <w:basedOn w:val="28"/>
    <w:link w:val="21"/>
    <w:qFormat/>
    <w:uiPriority w:val="99"/>
    <w:rPr>
      <w:rFonts w:ascii="Times New Roman" w:hAnsi="Times New Roman" w:eastAsia="宋体" w:cs="Times New Roman"/>
      <w:kern w:val="0"/>
      <w:sz w:val="20"/>
      <w:szCs w:val="20"/>
    </w:rPr>
  </w:style>
  <w:style w:type="character" w:customStyle="1" w:styleId="50">
    <w:name w:val="正文文本 2 Char"/>
    <w:basedOn w:val="28"/>
    <w:link w:val="22"/>
    <w:qFormat/>
    <w:uiPriority w:val="99"/>
    <w:rPr>
      <w:rFonts w:ascii="Times New Roman" w:hAnsi="Times New Roman" w:eastAsia="宋体" w:cs="Times New Roman"/>
      <w:kern w:val="0"/>
      <w:sz w:val="20"/>
      <w:szCs w:val="20"/>
    </w:rPr>
  </w:style>
  <w:style w:type="character" w:customStyle="1" w:styleId="51">
    <w:name w:val="批注主题 Char"/>
    <w:basedOn w:val="41"/>
    <w:link w:val="24"/>
    <w:semiHidden/>
    <w:qFormat/>
    <w:uiPriority w:val="99"/>
    <w:rPr>
      <w:b/>
      <w:bCs/>
    </w:rPr>
  </w:style>
  <w:style w:type="paragraph" w:customStyle="1" w:styleId="52">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53">
    <w:name w:val="font6"/>
    <w:basedOn w:val="1"/>
    <w:qFormat/>
    <w:uiPriority w:val="99"/>
    <w:pPr>
      <w:widowControl/>
      <w:spacing w:before="100" w:beforeAutospacing="1" w:after="100" w:afterAutospacing="1"/>
      <w:jc w:val="left"/>
    </w:pPr>
    <w:rPr>
      <w:rFonts w:ascii="宋体" w:hAnsi="宋体" w:eastAsia="宋体" w:cs="Times New Roman"/>
      <w:b/>
      <w:bCs/>
      <w:kern w:val="0"/>
      <w:sz w:val="20"/>
      <w:szCs w:val="20"/>
    </w:rPr>
  </w:style>
  <w:style w:type="paragraph" w:customStyle="1" w:styleId="54">
    <w:name w:val="font7"/>
    <w:basedOn w:val="1"/>
    <w:qFormat/>
    <w:uiPriority w:val="99"/>
    <w:pPr>
      <w:widowControl/>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5">
    <w:name w:val="font8"/>
    <w:basedOn w:val="1"/>
    <w:qFormat/>
    <w:uiPriority w:val="99"/>
    <w:pPr>
      <w:widowControl/>
      <w:spacing w:before="100" w:beforeAutospacing="1" w:after="100" w:afterAutospacing="1"/>
      <w:jc w:val="left"/>
    </w:pPr>
    <w:rPr>
      <w:rFonts w:ascii="宋体" w:hAnsi="宋体" w:eastAsia="宋体" w:cs="Times New Roman"/>
      <w:b/>
      <w:bCs/>
      <w:i/>
      <w:iCs/>
      <w:kern w:val="0"/>
      <w:sz w:val="20"/>
      <w:szCs w:val="20"/>
    </w:rPr>
  </w:style>
  <w:style w:type="paragraph" w:customStyle="1" w:styleId="56">
    <w:name w:val="font9"/>
    <w:basedOn w:val="1"/>
    <w:qFormat/>
    <w:uiPriority w:val="99"/>
    <w:pPr>
      <w:widowControl/>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5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5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i/>
      <w:iCs/>
      <w:kern w:val="0"/>
      <w:sz w:val="20"/>
      <w:szCs w:val="20"/>
    </w:rPr>
  </w:style>
  <w:style w:type="paragraph" w:customStyle="1" w:styleId="5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6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6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0"/>
      <w:szCs w:val="20"/>
    </w:rPr>
  </w:style>
  <w:style w:type="paragraph" w:customStyle="1" w:styleId="64">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Times New Roman"/>
      <w:b/>
      <w:bCs/>
      <w:kern w:val="0"/>
      <w:sz w:val="24"/>
      <w:szCs w:val="24"/>
    </w:rPr>
  </w:style>
  <w:style w:type="paragraph" w:customStyle="1" w:styleId="65">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6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i/>
      <w:iCs/>
      <w:kern w:val="0"/>
      <w:sz w:val="20"/>
      <w:szCs w:val="20"/>
    </w:rPr>
  </w:style>
  <w:style w:type="paragraph" w:customStyle="1" w:styleId="6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i/>
      <w:iCs/>
      <w:kern w:val="0"/>
      <w:sz w:val="20"/>
      <w:szCs w:val="20"/>
    </w:rPr>
  </w:style>
  <w:style w:type="paragraph" w:customStyle="1" w:styleId="6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Times New Roman"/>
      <w:b/>
      <w:bCs/>
      <w:kern w:val="0"/>
      <w:sz w:val="20"/>
      <w:szCs w:val="20"/>
    </w:rPr>
  </w:style>
  <w:style w:type="paragraph" w:customStyle="1" w:styleId="70">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i/>
      <w:iCs/>
      <w:kern w:val="0"/>
      <w:sz w:val="20"/>
      <w:szCs w:val="20"/>
    </w:rPr>
  </w:style>
  <w:style w:type="paragraph" w:customStyle="1" w:styleId="7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2">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73">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74">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7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76">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7">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8">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79">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0">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81">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2">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3">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4">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5">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6">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eastAsia="宋体" w:cs="Times New Roman"/>
      <w:b/>
      <w:bCs/>
      <w:i/>
      <w:iCs/>
      <w:kern w:val="0"/>
      <w:sz w:val="20"/>
      <w:szCs w:val="20"/>
    </w:rPr>
  </w:style>
  <w:style w:type="paragraph" w:customStyle="1" w:styleId="87">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eastAsia="宋体" w:cs="Times New Roman"/>
      <w:b/>
      <w:bCs/>
      <w:kern w:val="0"/>
      <w:sz w:val="20"/>
      <w:szCs w:val="20"/>
    </w:rPr>
  </w:style>
  <w:style w:type="paragraph" w:customStyle="1" w:styleId="88">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89">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0">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1">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2">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3">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4">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5">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eastAsia="宋体" w:cs="Times New Roman"/>
      <w:b/>
      <w:bCs/>
      <w:i/>
      <w:iCs/>
      <w:kern w:val="0"/>
      <w:sz w:val="20"/>
      <w:szCs w:val="20"/>
    </w:rPr>
  </w:style>
  <w:style w:type="paragraph" w:customStyle="1" w:styleId="96">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0"/>
      <w:szCs w:val="20"/>
    </w:rPr>
  </w:style>
  <w:style w:type="paragraph" w:customStyle="1" w:styleId="97">
    <w:name w:val="font10"/>
    <w:basedOn w:val="1"/>
    <w:qFormat/>
    <w:uiPriority w:val="99"/>
    <w:pPr>
      <w:widowControl/>
      <w:spacing w:before="100" w:beforeAutospacing="1" w:after="100" w:afterAutospacing="1"/>
      <w:jc w:val="left"/>
    </w:pPr>
    <w:rPr>
      <w:rFonts w:ascii="楷体_GB2312" w:hAnsi="宋体" w:eastAsia="楷体_GB2312" w:cs="Times New Roman"/>
      <w:b/>
      <w:bCs/>
      <w:kern w:val="0"/>
      <w:sz w:val="18"/>
      <w:szCs w:val="18"/>
    </w:rPr>
  </w:style>
  <w:style w:type="paragraph" w:customStyle="1" w:styleId="98">
    <w:name w:val="font11"/>
    <w:basedOn w:val="1"/>
    <w:qFormat/>
    <w:uiPriority w:val="99"/>
    <w:pPr>
      <w:widowControl/>
      <w:spacing w:before="100" w:beforeAutospacing="1" w:after="100" w:afterAutospacing="1"/>
      <w:jc w:val="left"/>
    </w:pPr>
    <w:rPr>
      <w:rFonts w:ascii="Times New Roman" w:hAnsi="Times New Roman" w:eastAsia="宋体" w:cs="Times New Roman"/>
      <w:b/>
      <w:bCs/>
      <w:kern w:val="0"/>
      <w:sz w:val="18"/>
      <w:szCs w:val="18"/>
    </w:rPr>
  </w:style>
  <w:style w:type="paragraph" w:customStyle="1" w:styleId="99">
    <w:name w:val="font12"/>
    <w:basedOn w:val="1"/>
    <w:qFormat/>
    <w:uiPriority w:val="99"/>
    <w:pPr>
      <w:widowControl/>
      <w:spacing w:before="100" w:beforeAutospacing="1" w:after="100" w:afterAutospacing="1"/>
      <w:jc w:val="left"/>
    </w:pPr>
    <w:rPr>
      <w:rFonts w:ascii="宋体" w:hAnsi="宋体" w:eastAsia="宋体" w:cs="Times New Roman"/>
      <w:kern w:val="0"/>
      <w:sz w:val="36"/>
      <w:szCs w:val="36"/>
    </w:rPr>
  </w:style>
  <w:style w:type="paragraph" w:customStyle="1" w:styleId="100">
    <w:name w:val="font13"/>
    <w:basedOn w:val="1"/>
    <w:qFormat/>
    <w:uiPriority w:val="99"/>
    <w:pPr>
      <w:widowControl/>
      <w:spacing w:before="100" w:beforeAutospacing="1" w:after="100" w:afterAutospacing="1"/>
      <w:jc w:val="left"/>
    </w:pPr>
    <w:rPr>
      <w:rFonts w:ascii="Times New Roman" w:hAnsi="Times New Roman" w:eastAsia="宋体" w:cs="Times New Roman"/>
      <w:i/>
      <w:iCs/>
      <w:kern w:val="0"/>
      <w:sz w:val="36"/>
      <w:szCs w:val="36"/>
    </w:rPr>
  </w:style>
  <w:style w:type="paragraph" w:customStyle="1" w:styleId="101">
    <w:name w:val="font14"/>
    <w:basedOn w:val="1"/>
    <w:qFormat/>
    <w:uiPriority w:val="99"/>
    <w:pPr>
      <w:widowControl/>
      <w:spacing w:before="100" w:beforeAutospacing="1" w:after="100" w:afterAutospacing="1"/>
      <w:jc w:val="left"/>
    </w:pPr>
    <w:rPr>
      <w:rFonts w:ascii="Times New Roman" w:hAnsi="Times New Roman" w:eastAsia="宋体" w:cs="Times New Roman"/>
      <w:kern w:val="0"/>
      <w:sz w:val="36"/>
      <w:szCs w:val="36"/>
    </w:rPr>
  </w:style>
  <w:style w:type="character" w:customStyle="1" w:styleId="102">
    <w:name w:val="case31"/>
    <w:qFormat/>
    <w:uiPriority w:val="99"/>
    <w:rPr>
      <w:rFonts w:cs="Times New Roman"/>
      <w:spacing w:val="390"/>
      <w:sz w:val="21"/>
      <w:szCs w:val="21"/>
    </w:rPr>
  </w:style>
  <w:style w:type="paragraph" w:customStyle="1" w:styleId="103">
    <w:name w:val="普通文字"/>
    <w:basedOn w:val="1"/>
    <w:next w:val="1"/>
    <w:qFormat/>
    <w:uiPriority w:val="99"/>
    <w:rPr>
      <w:rFonts w:ascii="宋体" w:hAnsi="Times New Roman" w:eastAsia="宋体" w:cs="Times New Roman"/>
      <w:kern w:val="0"/>
      <w:sz w:val="24"/>
      <w:szCs w:val="20"/>
      <w:u w:val="none" w:color="000000"/>
    </w:rPr>
  </w:style>
  <w:style w:type="paragraph" w:customStyle="1" w:styleId="104">
    <w:name w:val="默认段落字体 Para Char"/>
    <w:basedOn w:val="1"/>
    <w:qFormat/>
    <w:uiPriority w:val="99"/>
    <w:pPr>
      <w:tabs>
        <w:tab w:val="left" w:pos="552"/>
      </w:tabs>
      <w:ind w:left="552" w:hanging="420"/>
    </w:pPr>
    <w:rPr>
      <w:rFonts w:ascii="Times New Roman" w:hAnsi="Times New Roman" w:eastAsia="宋体" w:cs="Times New Roman"/>
      <w:sz w:val="24"/>
      <w:szCs w:val="24"/>
    </w:rPr>
  </w:style>
  <w:style w:type="paragraph" w:customStyle="1" w:styleId="105">
    <w:name w:val="Char Char Char Char"/>
    <w:basedOn w:val="10"/>
    <w:qFormat/>
    <w:uiPriority w:val="99"/>
    <w:pPr>
      <w:adjustRightInd w:val="0"/>
      <w:snapToGrid w:val="0"/>
      <w:spacing w:line="360" w:lineRule="auto"/>
    </w:pPr>
    <w:rPr>
      <w:rFonts w:ascii="Tahoma" w:hAnsi="Tahoma"/>
      <w:sz w:val="24"/>
      <w:szCs w:val="24"/>
    </w:rPr>
  </w:style>
  <w:style w:type="paragraph" w:customStyle="1" w:styleId="106">
    <w:name w:val="Char Char1 Char Char Char Char"/>
    <w:basedOn w:val="10"/>
    <w:qFormat/>
    <w:uiPriority w:val="99"/>
    <w:pPr>
      <w:adjustRightInd w:val="0"/>
      <w:spacing w:line="436" w:lineRule="exact"/>
      <w:ind w:left="357"/>
      <w:jc w:val="left"/>
      <w:outlineLvl w:val="3"/>
    </w:pPr>
    <w:rPr>
      <w:rFonts w:ascii="Tahoma" w:hAnsi="Tahoma"/>
      <w:b/>
      <w:sz w:val="24"/>
      <w:szCs w:val="24"/>
    </w:rPr>
  </w:style>
  <w:style w:type="paragraph" w:styleId="107">
    <w:name w:val="List Paragraph"/>
    <w:basedOn w:val="1"/>
    <w:qFormat/>
    <w:uiPriority w:val="99"/>
    <w:pPr>
      <w:ind w:firstLine="420" w:firstLineChars="200"/>
    </w:pPr>
    <w:rPr>
      <w:rFonts w:ascii="Times New Roman" w:hAnsi="Times New Roman" w:eastAsia="宋体" w:cs="Times New Roman"/>
      <w:szCs w:val="20"/>
    </w:rPr>
  </w:style>
  <w:style w:type="paragraph" w:customStyle="1" w:styleId="108">
    <w:name w:val="修订1"/>
    <w:semiHidden/>
    <w:qFormat/>
    <w:uiPriority w:val="99"/>
    <w:rPr>
      <w:rFonts w:ascii="Times New Roman" w:hAnsi="Times New Roman" w:eastAsia="宋体" w:cs="Times New Roman"/>
      <w:kern w:val="2"/>
      <w:sz w:val="21"/>
      <w:lang w:val="en-US" w:eastAsia="zh-CN" w:bidi="ar-SA"/>
    </w:rPr>
  </w:style>
  <w:style w:type="paragraph" w:customStyle="1" w:styleId="109">
    <w:name w:val="表格正文"/>
    <w:basedOn w:val="1"/>
    <w:qFormat/>
    <w:uiPriority w:val="0"/>
    <w:pPr>
      <w:adjustRightInd w:val="0"/>
      <w:snapToGrid w:val="0"/>
      <w:jc w:val="left"/>
    </w:pPr>
    <w:rPr>
      <w:rFonts w:ascii="宋体" w:hAnsi="Times New Roman" w:eastAsia="等线" w:cs="Times New Roman"/>
      <w:sz w:val="20"/>
      <w:szCs w:val="20"/>
    </w:rPr>
  </w:style>
  <w:style w:type="paragraph" w:customStyle="1" w:styleId="110">
    <w:name w:val="表格(五号)"/>
    <w:basedOn w:val="1"/>
    <w:qFormat/>
    <w:uiPriority w:val="0"/>
    <w:pPr>
      <w:widowControl/>
      <w:adjustRightInd w:val="0"/>
      <w:snapToGrid w:val="0"/>
      <w:spacing w:before="60" w:after="60"/>
      <w:ind w:left="11"/>
      <w:jc w:val="center"/>
    </w:pPr>
    <w:rPr>
      <w:rFonts w:ascii="宋体" w:hAnsi="宋体" w:eastAsia="宋体" w:cs="Times New Roman"/>
      <w:kern w:val="0"/>
      <w:szCs w:val="20"/>
    </w:rPr>
  </w:style>
  <w:style w:type="paragraph" w:customStyle="1" w:styleId="111">
    <w:name w:val="列出段落1"/>
    <w:basedOn w:val="1"/>
    <w:qFormat/>
    <w:uiPriority w:val="99"/>
    <w:pPr>
      <w:ind w:firstLine="420" w:firstLineChars="200"/>
    </w:pPr>
  </w:style>
  <w:style w:type="paragraph" w:customStyle="1" w:styleId="112">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19;&#24220;&#37319;&#36141;\&#25307;&#26631;&#25991;&#20214;\2023&#24180;\WXXWQJC2023-073&#26032;&#21556;&#21306;&#22478;&#36816;&#20013;&#24515;&#25968;&#23383;&#24213;&#24231;&#39033;&#30446;&#65288;&#25968;&#23383;&#24213;&#24231;&#24037;&#20855;&#65289;\&#20844;&#24320;&#25307;&#26631;&#25991;&#20214;&#26032;&#27169;&#26495;&#65288;&#26032;&#21556;&#2130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公开招标文件新模板（新吴区）.dot</Template>
  <Pages>70</Pages>
  <Words>48138</Words>
  <Characters>55963</Characters>
  <Lines>164</Lines>
  <Paragraphs>46</Paragraphs>
  <TotalTime>73</TotalTime>
  <ScaleCrop>false</ScaleCrop>
  <LinksUpToDate>false</LinksUpToDate>
  <CharactersWithSpaces>57508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2023-07-20T06:57:00Z</dcterms:created>
  <dc:creator>陈辰</dc:creator>
  <cp:lastModifiedBy>陈辰</cp:lastModifiedBy>
  <dcterms:modified xsi:type="dcterms:W3CDTF">2023-08-15T04:09:23Z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6B9801A53A8941D89ACA7764E324154D_13</vt:lpwstr>
  </property>
</Properties>
</file>