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w:t>
      </w:r>
      <w:r>
        <w:rPr>
          <w:rFonts w:hint="eastAsia" w:ascii="黑体" w:hAnsi="华文中宋" w:eastAsia="黑体"/>
          <w:bCs/>
          <w:spacing w:val="20"/>
          <w:sz w:val="72"/>
          <w:szCs w:val="72"/>
          <w:lang w:val="en-US" w:eastAsia="zh-CN"/>
        </w:rPr>
        <w:t>新吴区</w:t>
      </w:r>
      <w:r>
        <w:rPr>
          <w:rFonts w:hint="eastAsia" w:ascii="黑体" w:hAnsi="华文中宋" w:eastAsia="黑体"/>
          <w:bCs/>
          <w:spacing w:val="20"/>
          <w:sz w:val="72"/>
          <w:szCs w:val="72"/>
        </w:rPr>
        <w:t>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C/f+tcAAAAJ&#10;AQAADwAAAAAAAAABACAAAAAiAAAAZHJzL2Rvd25yZXYueG1sUEsBAhQAFAAAAAgAh07iQFXeqUfk&#10;AQAA1wMAAA4AAAAAAAAAAQAgAAAAJgEAAGRycy9lMm9Eb2MueG1sUEsFBgAAAAAGAAYAWQEAAHwF&#10;A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left"/>
        <w:rPr>
          <w:rFonts w:ascii="华文中宋" w:hAnsi="华文中宋" w:eastAsia="华文中宋"/>
          <w:bCs/>
          <w:sz w:val="30"/>
        </w:rPr>
      </w:pPr>
    </w:p>
    <w:p>
      <w:pPr>
        <w:ind w:firstLine="2700" w:firstLineChars="900"/>
        <w:rPr>
          <w:rFonts w:hint="eastAsia" w:ascii="黑体" w:hAnsi="华文中宋" w:eastAsia="黑体"/>
          <w:bCs/>
          <w:sz w:val="30"/>
          <w:szCs w:val="30"/>
          <w:lang w:eastAsia="zh-CN"/>
        </w:rPr>
      </w:pPr>
      <w:r>
        <w:rPr>
          <w:rFonts w:hint="eastAsia" w:ascii="黑体" w:hAnsi="华文中宋" w:eastAsia="黑体"/>
          <w:bCs/>
          <w:sz w:val="30"/>
          <w:szCs w:val="30"/>
        </w:rPr>
        <w:t>采购项目编号：</w:t>
      </w:r>
      <w:r>
        <w:rPr>
          <w:rFonts w:hint="eastAsia" w:ascii="黑体" w:hAnsi="华文中宋" w:eastAsia="黑体"/>
          <w:bCs/>
          <w:sz w:val="30"/>
          <w:szCs w:val="30"/>
          <w:lang w:eastAsia="zh-CN"/>
        </w:rPr>
        <w:t>WXXWQJC2023-090</w:t>
      </w:r>
    </w:p>
    <w:p>
      <w:pPr>
        <w:ind w:left="4783" w:leftChars="1278" w:hanging="2100" w:hangingChars="700"/>
        <w:jc w:val="left"/>
        <w:rPr>
          <w:rFonts w:hint="eastAsia" w:ascii="黑体" w:hAnsi="华文中宋" w:eastAsia="黑体"/>
          <w:bCs/>
          <w:sz w:val="30"/>
          <w:szCs w:val="30"/>
        </w:rPr>
      </w:pPr>
      <w:r>
        <w:rPr>
          <w:rFonts w:hint="eastAsia" w:ascii="黑体" w:hAnsi="华文中宋" w:eastAsia="黑体"/>
          <w:bCs/>
          <w:sz w:val="30"/>
          <w:szCs w:val="30"/>
        </w:rPr>
        <w:t>采购项目名称：硕放街道“一眼多维”技防服务项目</w:t>
      </w:r>
    </w:p>
    <w:p>
      <w:pPr>
        <w:ind w:firstLine="2700" w:firstLineChars="900"/>
        <w:jc w:val="left"/>
        <w:rPr>
          <w:rFonts w:hint="eastAsia" w:ascii="黑体" w:hAnsi="华文中宋" w:eastAsia="黑体"/>
          <w:bCs/>
          <w:sz w:val="30"/>
          <w:szCs w:val="30"/>
          <w:lang w:eastAsia="zh-CN"/>
        </w:rPr>
      </w:pPr>
      <w:r>
        <w:rPr>
          <w:rFonts w:hint="eastAsia" w:ascii="黑体" w:hAnsi="华文中宋" w:eastAsia="黑体"/>
          <w:bCs/>
          <w:sz w:val="30"/>
          <w:szCs w:val="30"/>
        </w:rPr>
        <w:t>集中采购机构：</w:t>
      </w:r>
      <w:r>
        <w:rPr>
          <w:rFonts w:hint="eastAsia" w:ascii="黑体" w:hAnsi="华文中宋" w:eastAsia="黑体"/>
          <w:bCs/>
          <w:sz w:val="30"/>
          <w:szCs w:val="30"/>
          <w:lang w:eastAsia="zh-CN"/>
        </w:rPr>
        <w:t>无锡市公共资源交易中心新吴分中心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highlight w:val="none"/>
        </w:rPr>
      </w:pPr>
    </w:p>
    <w:p>
      <w:pPr>
        <w:jc w:val="center"/>
        <w:rPr>
          <w:rFonts w:ascii="黑体" w:hAnsi="华文中宋" w:eastAsia="黑体"/>
          <w:bCs/>
          <w:sz w:val="44"/>
          <w:szCs w:val="44"/>
          <w:highlight w:val="none"/>
        </w:rPr>
      </w:pPr>
      <w:r>
        <w:rPr>
          <w:rFonts w:hint="eastAsia" w:ascii="黑体" w:hAnsi="华文中宋" w:eastAsia="黑体"/>
          <w:bCs/>
          <w:sz w:val="44"/>
          <w:szCs w:val="44"/>
          <w:highlight w:val="none"/>
        </w:rPr>
        <w:t>二○二三年</w:t>
      </w:r>
      <w:r>
        <w:rPr>
          <w:rFonts w:hint="eastAsia" w:ascii="黑体" w:hAnsi="华文中宋" w:eastAsia="黑体"/>
          <w:bCs/>
          <w:sz w:val="44"/>
          <w:szCs w:val="44"/>
          <w:highlight w:val="none"/>
          <w:lang w:val="en-US" w:eastAsia="zh-CN"/>
        </w:rPr>
        <w:t>九</w:t>
      </w:r>
      <w:r>
        <w:rPr>
          <w:rFonts w:hint="eastAsia" w:ascii="黑体" w:hAnsi="华文中宋" w:eastAsia="黑体"/>
          <w:bCs/>
          <w:sz w:val="44"/>
          <w:szCs w:val="44"/>
          <w:highlight w:val="none"/>
        </w:rPr>
        <w:t>月</w:t>
      </w:r>
      <w:r>
        <w:rPr>
          <w:rFonts w:hint="eastAsia" w:ascii="黑体" w:hAnsi="华文中宋" w:eastAsia="黑体"/>
          <w:bCs/>
          <w:sz w:val="44"/>
          <w:szCs w:val="44"/>
          <w:highlight w:val="none"/>
          <w:lang w:val="en-US" w:eastAsia="zh-CN"/>
        </w:rPr>
        <w:t>一</w:t>
      </w:r>
      <w:r>
        <w:rPr>
          <w:rFonts w:hint="eastAsia" w:ascii="黑体" w:hAnsi="华文中宋" w:eastAsia="黑体"/>
          <w:bCs/>
          <w:sz w:val="44"/>
          <w:szCs w:val="44"/>
          <w:highlight w:val="none"/>
        </w:rPr>
        <w:t>日</w:t>
      </w:r>
    </w:p>
    <w:p>
      <w:pPr>
        <w:jc w:val="center"/>
        <w:rPr>
          <w:rFonts w:ascii="黑体" w:eastAsia="黑体"/>
          <w:bCs/>
          <w:sz w:val="44"/>
        </w:rPr>
      </w:pPr>
    </w:p>
    <w:p>
      <w:pPr>
        <w:rPr>
          <w:rFonts w:ascii="华文新魏" w:eastAsia="华文新魏"/>
          <w:bCs/>
          <w:sz w:val="44"/>
        </w:rPr>
      </w:pPr>
    </w:p>
    <w:p>
      <w:pPr>
        <w:jc w:val="center"/>
        <w:rPr>
          <w:rFonts w:eastAsia="黑体"/>
          <w:bCs/>
          <w:sz w:val="48"/>
        </w:rPr>
      </w:pPr>
    </w:p>
    <w:p>
      <w:pPr>
        <w:jc w:val="center"/>
        <w:rPr>
          <w:rFonts w:eastAsia="黑体"/>
          <w:bCs/>
          <w:sz w:val="48"/>
        </w:rPr>
      </w:pPr>
    </w:p>
    <w:p>
      <w:pPr>
        <w:jc w:val="center"/>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一．投标邀请函</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二．投标人须知</w:t>
      </w:r>
      <w:r>
        <w:rPr>
          <w:rFonts w:ascii="宋体"/>
          <w:bCs/>
          <w:sz w:val="30"/>
          <w:szCs w:val="30"/>
        </w:rPr>
        <w:t>------------------------------------------</w:t>
      </w:r>
      <w:r>
        <w:rPr>
          <w:rFonts w:hint="eastAsia" w:ascii="宋体" w:hAnsi="宋体"/>
          <w:bCs/>
          <w:sz w:val="30"/>
          <w:szCs w:val="30"/>
        </w:rPr>
        <w:t>（5）</w:t>
      </w:r>
    </w:p>
    <w:p>
      <w:pPr>
        <w:spacing w:line="720" w:lineRule="auto"/>
        <w:ind w:firstLine="450" w:firstLineChars="150"/>
        <w:rPr>
          <w:rFonts w:ascii="宋体"/>
          <w:bCs/>
          <w:sz w:val="30"/>
          <w:szCs w:val="30"/>
        </w:rPr>
      </w:pPr>
      <w:r>
        <w:rPr>
          <w:rFonts w:hint="eastAsia" w:ascii="宋体" w:hAnsi="宋体"/>
          <w:bCs/>
          <w:sz w:val="30"/>
          <w:szCs w:val="30"/>
        </w:rPr>
        <w:t>三．项目技术要求和有关说明</w:t>
      </w:r>
      <w:r>
        <w:rPr>
          <w:rFonts w:ascii="宋体"/>
          <w:bCs/>
          <w:sz w:val="30"/>
          <w:szCs w:val="30"/>
        </w:rPr>
        <w:t>------------------------------</w:t>
      </w:r>
      <w:r>
        <w:rPr>
          <w:rFonts w:hint="eastAsia" w:ascii="宋体" w:hAnsi="宋体"/>
          <w:bCs/>
          <w:sz w:val="30"/>
          <w:szCs w:val="30"/>
        </w:rPr>
        <w:t>（13）</w:t>
      </w:r>
    </w:p>
    <w:p>
      <w:pPr>
        <w:spacing w:line="720" w:lineRule="auto"/>
        <w:ind w:firstLine="450" w:firstLineChars="150"/>
        <w:rPr>
          <w:rFonts w:ascii="宋体"/>
          <w:bCs/>
          <w:color w:val="auto"/>
          <w:sz w:val="30"/>
          <w:szCs w:val="30"/>
        </w:rPr>
      </w:pPr>
      <w:r>
        <w:rPr>
          <w:rFonts w:hint="eastAsia" w:ascii="宋体" w:hAnsi="宋体"/>
          <w:bCs/>
          <w:sz w:val="30"/>
          <w:szCs w:val="30"/>
        </w:rPr>
        <w:t>四</w:t>
      </w:r>
      <w:r>
        <w:rPr>
          <w:rFonts w:ascii="宋体" w:hAnsi="宋体"/>
          <w:bCs/>
          <w:sz w:val="30"/>
          <w:szCs w:val="30"/>
        </w:rPr>
        <w:t xml:space="preserve">. </w:t>
      </w:r>
      <w:r>
        <w:rPr>
          <w:rFonts w:hint="eastAsia" w:ascii="宋体" w:hAnsi="宋体"/>
          <w:bCs/>
          <w:sz w:val="30"/>
          <w:szCs w:val="30"/>
        </w:rPr>
        <w:t>合同书（格式文本）</w:t>
      </w:r>
      <w:r>
        <w:rPr>
          <w:rFonts w:ascii="宋体"/>
          <w:bCs/>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26</w:t>
      </w:r>
      <w:r>
        <w:rPr>
          <w:rFonts w:hint="eastAsia" w:ascii="宋体" w:hAnsi="宋体"/>
          <w:bCs/>
          <w:color w:val="auto"/>
          <w:sz w:val="30"/>
          <w:szCs w:val="30"/>
        </w:rPr>
        <w:t>）</w:t>
      </w:r>
    </w:p>
    <w:p>
      <w:pPr>
        <w:spacing w:line="720" w:lineRule="auto"/>
        <w:ind w:firstLine="450" w:firstLineChars="150"/>
        <w:rPr>
          <w:rFonts w:hint="eastAsia" w:ascii="宋体" w:hAnsi="宋体"/>
          <w:bCs/>
          <w:color w:val="auto"/>
          <w:sz w:val="30"/>
          <w:szCs w:val="30"/>
        </w:rPr>
      </w:pPr>
      <w:r>
        <w:rPr>
          <w:rFonts w:hint="eastAsia" w:ascii="宋体" w:hAnsi="宋体"/>
          <w:bCs/>
          <w:color w:val="auto"/>
          <w:sz w:val="30"/>
          <w:szCs w:val="30"/>
        </w:rPr>
        <w:t>五．合同条款（格式）</w:t>
      </w:r>
      <w:r>
        <w:rPr>
          <w:rFonts w:ascii="宋体"/>
          <w:bCs/>
          <w:color w:val="auto"/>
          <w:sz w:val="30"/>
          <w:szCs w:val="30"/>
        </w:rPr>
        <w:t>---------------------</w:t>
      </w:r>
      <w:r>
        <w:rPr>
          <w:rFonts w:hint="eastAsia" w:ascii="宋体"/>
          <w:bCs/>
          <w:color w:val="auto"/>
          <w:sz w:val="30"/>
          <w:szCs w:val="30"/>
        </w:rPr>
        <w:t>-----</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27</w:t>
      </w:r>
      <w:r>
        <w:rPr>
          <w:rFonts w:hint="eastAsia" w:ascii="宋体" w:hAnsi="宋体"/>
          <w:bCs/>
          <w:color w:val="auto"/>
          <w:sz w:val="30"/>
          <w:szCs w:val="30"/>
        </w:rPr>
        <w:t>）</w:t>
      </w:r>
    </w:p>
    <w:p>
      <w:pPr>
        <w:spacing w:line="720" w:lineRule="auto"/>
        <w:ind w:firstLine="450" w:firstLineChars="150"/>
        <w:rPr>
          <w:rFonts w:ascii="宋体" w:hAnsi="宋体"/>
          <w:bCs/>
          <w:color w:val="auto"/>
          <w:sz w:val="30"/>
          <w:szCs w:val="30"/>
        </w:rPr>
      </w:pPr>
      <w:r>
        <w:rPr>
          <w:rFonts w:ascii="宋体" w:hAnsi="宋体"/>
          <w:bCs/>
          <w:color w:val="auto"/>
          <w:sz w:val="30"/>
          <w:szCs w:val="30"/>
        </w:rPr>
        <w:t xml:space="preserve">六. </w:t>
      </w:r>
      <w:r>
        <w:rPr>
          <w:rFonts w:hint="eastAsia" w:ascii="宋体" w:hAnsi="宋体"/>
          <w:bCs/>
          <w:color w:val="auto"/>
          <w:sz w:val="30"/>
          <w:szCs w:val="30"/>
        </w:rPr>
        <w:t>附件</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30</w:t>
      </w:r>
      <w:bookmarkStart w:id="25" w:name="_GoBack"/>
      <w:bookmarkEnd w:id="25"/>
      <w:r>
        <w:rPr>
          <w:rFonts w:hint="eastAsia" w:ascii="宋体" w:hAnsi="宋体"/>
          <w:bCs/>
          <w:color w:val="auto"/>
          <w:sz w:val="30"/>
          <w:szCs w:val="30"/>
        </w:rPr>
        <w:t>）</w:t>
      </w:r>
    </w:p>
    <w:p>
      <w:pPr>
        <w:spacing w:line="720" w:lineRule="auto"/>
        <w:rPr>
          <w:rFonts w:ascii="宋体"/>
          <w:bCs/>
          <w:sz w:val="30"/>
        </w:rPr>
      </w:pPr>
    </w:p>
    <w:p>
      <w:pPr>
        <w:spacing w:line="720" w:lineRule="auto"/>
        <w:rPr>
          <w:rFonts w:ascii="宋体"/>
          <w:bCs/>
          <w:sz w:val="30"/>
        </w:rPr>
      </w:pPr>
    </w:p>
    <w:p>
      <w:pPr>
        <w:spacing w:line="480" w:lineRule="auto"/>
        <w:rPr>
          <w:rFonts w:ascii="宋体"/>
          <w:bCs/>
          <w:sz w:val="30"/>
        </w:rPr>
      </w:pPr>
    </w:p>
    <w:p>
      <w:pPr>
        <w:rPr>
          <w:rFonts w:ascii="宋体"/>
          <w:bCs/>
          <w:sz w:val="32"/>
        </w:rPr>
      </w:pPr>
    </w:p>
    <w:p>
      <w:pPr>
        <w:rPr>
          <w:rFonts w:hint="eastAsia" w:ascii="宋体"/>
          <w:bCs/>
          <w:sz w:val="32"/>
        </w:rPr>
      </w:pPr>
    </w:p>
    <w:p>
      <w:pPr>
        <w:rPr>
          <w:rFonts w:ascii="宋体"/>
          <w:bCs/>
          <w:sz w:val="32"/>
        </w:rPr>
      </w:pPr>
    </w:p>
    <w:p>
      <w:pPr>
        <w:pStyle w:val="22"/>
        <w:ind w:left="0" w:leftChars="0" w:firstLine="0" w:firstLineChars="0"/>
        <w:rPr>
          <w:rFonts w:ascii="宋体"/>
          <w:bCs/>
          <w:sz w:val="32"/>
        </w:rPr>
      </w:pPr>
    </w:p>
    <w:p>
      <w:pPr>
        <w:spacing w:line="360" w:lineRule="auto"/>
        <w:jc w:val="center"/>
        <w:rPr>
          <w:rFonts w:ascii="黑体" w:eastAsia="黑体"/>
          <w:bCs/>
          <w:sz w:val="28"/>
          <w:szCs w:val="28"/>
        </w:rPr>
      </w:pPr>
      <w:bookmarkStart w:id="0" w:name="报价方须知前附表"/>
      <w:bookmarkEnd w:id="0"/>
      <w:r>
        <w:rPr>
          <w:rFonts w:hint="eastAsia" w:ascii="黑体" w:eastAsia="黑体"/>
          <w:bCs/>
          <w:sz w:val="28"/>
          <w:szCs w:val="28"/>
        </w:rPr>
        <w:t>一．投标邀请函</w:t>
      </w:r>
    </w:p>
    <w:p>
      <w:pPr>
        <w:spacing w:line="360" w:lineRule="auto"/>
        <w:ind w:firstLine="480" w:firstLineChars="200"/>
        <w:rPr>
          <w:rFonts w:hint="eastAsia" w:ascii="宋体" w:hAnsi="宋体"/>
          <w:bCs/>
          <w:sz w:val="24"/>
          <w:szCs w:val="24"/>
        </w:rPr>
      </w:pPr>
      <w:r>
        <w:rPr>
          <w:rFonts w:hint="eastAsia" w:ascii="宋体" w:hAnsi="宋体"/>
          <w:bCs/>
          <w:sz w:val="24"/>
          <w:szCs w:val="24"/>
        </w:rPr>
        <w:t>我中心受无锡市新吴区人民政府</w:t>
      </w:r>
      <w:r>
        <w:rPr>
          <w:rFonts w:hint="eastAsia" w:ascii="宋体" w:hAnsi="宋体"/>
          <w:bCs/>
          <w:sz w:val="24"/>
          <w:szCs w:val="24"/>
          <w:lang w:eastAsia="zh-CN"/>
        </w:rPr>
        <w:t>硕放</w:t>
      </w:r>
      <w:r>
        <w:rPr>
          <w:rFonts w:hint="eastAsia" w:ascii="宋体" w:hAnsi="宋体"/>
          <w:bCs/>
          <w:sz w:val="24"/>
          <w:szCs w:val="24"/>
        </w:rPr>
        <w:t>街道办事处的委托，对</w:t>
      </w:r>
      <w:r>
        <w:rPr>
          <w:rFonts w:hint="eastAsia" w:ascii="宋体" w:hAnsi="宋体"/>
          <w:bCs/>
          <w:sz w:val="24"/>
          <w:szCs w:val="24"/>
          <w:lang w:eastAsia="zh-CN"/>
        </w:rPr>
        <w:t>硕放街道“一眼多维”技防服务</w:t>
      </w:r>
      <w:r>
        <w:rPr>
          <w:rFonts w:hint="eastAsia" w:ascii="宋体" w:hAnsi="宋体"/>
          <w:bCs/>
          <w:sz w:val="24"/>
          <w:szCs w:val="24"/>
        </w:rPr>
        <w:t>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numPr>
          <w:ilvl w:val="0"/>
          <w:numId w:val="2"/>
        </w:numPr>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硕放街道“一眼多维”技防服务项目</w:t>
      </w:r>
    </w:p>
    <w:p>
      <w:pPr>
        <w:widowControl/>
        <w:numPr>
          <w:ilvl w:val="0"/>
          <w:numId w:val="2"/>
        </w:numPr>
        <w:shd w:val="clear" w:color="auto" w:fill="FFFFFF"/>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2.项目编号：WXXWQJC2023-</w:t>
      </w:r>
      <w:r>
        <w:rPr>
          <w:rFonts w:hint="eastAsia" w:ascii="宋体" w:hAnsi="宋体" w:cs="宋体"/>
          <w:kern w:val="0"/>
          <w:sz w:val="24"/>
          <w:szCs w:val="24"/>
          <w:lang w:eastAsia="zh-CN"/>
        </w:rPr>
        <w:t>090</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3.项目预算：</w:t>
      </w:r>
      <w:r>
        <w:rPr>
          <w:rFonts w:hint="eastAsia" w:ascii="宋体" w:hAnsi="宋体" w:cs="宋体"/>
          <w:kern w:val="0"/>
          <w:sz w:val="24"/>
          <w:szCs w:val="24"/>
          <w:lang w:val="en-US" w:eastAsia="zh-CN"/>
        </w:rPr>
        <w:t>273.00</w:t>
      </w:r>
      <w:r>
        <w:rPr>
          <w:rFonts w:hint="eastAsia" w:ascii="宋体" w:hAnsi="宋体" w:cs="宋体"/>
          <w:kern w:val="0"/>
          <w:sz w:val="24"/>
          <w:szCs w:val="24"/>
        </w:rPr>
        <w:t>万元</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4.采购方式：公开招标</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5.采购人：无锡市新吴区人民政府</w:t>
      </w:r>
      <w:r>
        <w:rPr>
          <w:rFonts w:hint="eastAsia" w:ascii="宋体" w:hAnsi="宋体" w:cs="宋体"/>
          <w:kern w:val="0"/>
          <w:sz w:val="24"/>
          <w:szCs w:val="24"/>
          <w:lang w:eastAsia="zh-CN"/>
        </w:rPr>
        <w:t>硕放</w:t>
      </w:r>
      <w:r>
        <w:rPr>
          <w:rFonts w:hint="eastAsia" w:ascii="宋体" w:hAnsi="宋体" w:cs="宋体"/>
          <w:kern w:val="0"/>
          <w:sz w:val="24"/>
          <w:szCs w:val="24"/>
        </w:rPr>
        <w:t>街道办事处</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6.本项目标的所属行业：软件和信息技术服务业</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7.本项目是否专门面向中小企业：否</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HYPERLINK "http://www.creditchina.gov.cn"</w:instrText>
      </w:r>
      <w:r>
        <w:fldChar w:fldCharType="separate"/>
      </w:r>
      <w:r>
        <w:rPr>
          <w:rFonts w:hint="eastAsia" w:ascii="宋体" w:hAnsi="宋体"/>
          <w:sz w:val="24"/>
          <w:szCs w:val="24"/>
        </w:rPr>
        <w:t>www.creditchina.gov.cn</w:t>
      </w:r>
      <w: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采购人根据招标项目的特殊要求规定的</w:t>
      </w:r>
      <w:r>
        <w:rPr>
          <w:rFonts w:hint="eastAsia" w:ascii="宋体" w:hAnsi="宋体"/>
          <w:sz w:val="24"/>
          <w:szCs w:val="24"/>
        </w:rPr>
        <w:t>以下</w:t>
      </w:r>
      <w:r>
        <w:rPr>
          <w:rFonts w:hint="eastAsia" w:ascii="宋体" w:hAnsi="宋体" w:cs="宋体"/>
          <w:kern w:val="0"/>
          <w:sz w:val="24"/>
          <w:szCs w:val="24"/>
        </w:rPr>
        <w:t>特定资质：</w:t>
      </w:r>
    </w:p>
    <w:p>
      <w:pPr>
        <w:widowControl/>
        <w:shd w:val="clear" w:color="auto" w:fill="FFFFFF"/>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eastAsia="zh-CN"/>
        </w:rPr>
        <w:t>（1）供应商需具有国家工信部颁发的基础电信业务经营许可证或通信管理局颁发的增值电信业务经营许可证（业务范围须包含：第一类增值电信业务中的互联网接入服务）；</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hint="eastAsia"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hint="eastAsia" w:ascii="宋体" w:hAnsi="宋体"/>
          <w:bCs/>
          <w:sz w:val="24"/>
          <w:szCs w:val="24"/>
        </w:rPr>
      </w:pPr>
      <w:r>
        <w:rPr>
          <w:rFonts w:hint="eastAsia" w:ascii="宋体" w:hAnsi="宋体"/>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80" w:firstLineChars="200"/>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kern w:val="0"/>
          <w:sz w:val="24"/>
          <w:szCs w:val="24"/>
        </w:rPr>
      </w:pPr>
      <w:r>
        <w:rPr>
          <w:rFonts w:hint="eastAsia" w:ascii="宋体" w:hAnsi="宋体"/>
          <w:bCs/>
          <w:sz w:val="24"/>
          <w:szCs w:val="24"/>
        </w:rPr>
        <w:t>3.如投标人未按上述要求操作，由此所产生的损失及风险由投标人自行承担。在“供应商信息库”中无法查询的投标人，由评标委员会审</w:t>
      </w:r>
      <w:r>
        <w:rPr>
          <w:rFonts w:hint="eastAsia" w:ascii="宋体" w:hAnsi="宋体" w:cs="宋体"/>
          <w:kern w:val="0"/>
          <w:sz w:val="24"/>
          <w:szCs w:val="24"/>
        </w:rPr>
        <w:t>查其投标截止时间前提交的未审核资料。</w:t>
      </w:r>
    </w:p>
    <w:p>
      <w:pPr>
        <w:pStyle w:val="10"/>
        <w:spacing w:line="360" w:lineRule="auto"/>
        <w:ind w:firstLine="480" w:firstLineChars="200"/>
        <w:rPr>
          <w:rFonts w:ascii="黑体" w:hAnsi="黑体" w:eastAsia="黑体" w:cs="宋体"/>
          <w:sz w:val="24"/>
          <w:szCs w:val="24"/>
        </w:rPr>
      </w:pPr>
      <w:r>
        <w:rPr>
          <w:rFonts w:hint="eastAsia" w:ascii="黑体" w:hAnsi="黑体" w:eastAsia="黑体" w:cs="宋体"/>
          <w:sz w:val="24"/>
          <w:szCs w:val="24"/>
        </w:rPr>
        <w:t>（四）完成项目报名，获取采购文件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招标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w:t>
      </w:r>
      <w:r>
        <w:rPr>
          <w:rFonts w:hint="eastAsia" w:ascii="宋体" w:hAnsi="宋体"/>
          <w:bCs/>
          <w:sz w:val="24"/>
          <w:szCs w:val="24"/>
          <w:lang w:eastAsia="zh-CN"/>
        </w:rPr>
        <w:t>无锡市公共资源交易中心新吴分中心</w:t>
      </w:r>
      <w:r>
        <w:rPr>
          <w:rFonts w:hint="eastAsia" w:ascii="宋体" w:hAnsi="宋体"/>
          <w:bCs/>
          <w:sz w:val="24"/>
          <w:szCs w:val="24"/>
        </w:rPr>
        <w:t>将于以下时间、地点对投标人针对招标文件书面提出的要求澄清的问题进行公开答疑。投标人如有需要对招标文件要求澄清的问题，请以书面形式提出“</w:t>
      </w:r>
      <w:r>
        <w:rPr>
          <w:rFonts w:hint="eastAsia" w:ascii="宋体" w:hAnsi="宋体"/>
          <w:bCs/>
          <w:sz w:val="24"/>
          <w:szCs w:val="24"/>
          <w:lang w:eastAsia="zh-CN"/>
        </w:rPr>
        <w:t>WXXWQJC2023-</w:t>
      </w:r>
      <w:r>
        <w:rPr>
          <w:rFonts w:hint="eastAsia" w:ascii="宋体" w:hAnsi="宋体"/>
          <w:bCs/>
          <w:sz w:val="24"/>
          <w:szCs w:val="24"/>
          <w:lang w:val="en-US" w:eastAsia="zh-CN"/>
        </w:rPr>
        <w:t>090</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公开答疑会地点：腾讯会议在线答疑（本次答疑会通过腾讯会议的方式在线召开（会议房间号987-367-581），各投标人如需参加答疑会，请准点加入腾讯会议，无需到达中心现场参会。）</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公开答疑会时间：2023年</w:t>
      </w:r>
      <w:r>
        <w:rPr>
          <w:rFonts w:hint="eastAsia" w:ascii="宋体" w:hAnsi="宋体"/>
          <w:bCs/>
          <w:sz w:val="24"/>
          <w:szCs w:val="24"/>
          <w:highlight w:val="none"/>
          <w:lang w:val="en-US" w:eastAsia="zh-CN"/>
        </w:rPr>
        <w:t>09</w:t>
      </w:r>
      <w:r>
        <w:rPr>
          <w:rFonts w:hint="eastAsia" w:ascii="宋体" w:hAnsi="宋体"/>
          <w:bCs/>
          <w:sz w:val="24"/>
          <w:szCs w:val="24"/>
          <w:highlight w:val="none"/>
        </w:rPr>
        <w:t>月</w:t>
      </w:r>
      <w:r>
        <w:rPr>
          <w:rFonts w:hint="eastAsia" w:ascii="宋体" w:hAnsi="宋体"/>
          <w:bCs/>
          <w:sz w:val="24"/>
          <w:szCs w:val="24"/>
          <w:highlight w:val="none"/>
          <w:lang w:val="en-US" w:eastAsia="zh-CN"/>
        </w:rPr>
        <w:t>08</w:t>
      </w:r>
      <w:r>
        <w:rPr>
          <w:rFonts w:hint="eastAsia" w:ascii="宋体" w:hAnsi="宋体"/>
          <w:bCs/>
          <w:sz w:val="24"/>
          <w:szCs w:val="24"/>
          <w:highlight w:val="none"/>
        </w:rPr>
        <w:t>日</w:t>
      </w:r>
      <w:r>
        <w:rPr>
          <w:rFonts w:hint="eastAsia" w:ascii="宋体" w:hAnsi="宋体"/>
          <w:bCs/>
          <w:sz w:val="24"/>
          <w:szCs w:val="24"/>
          <w:highlight w:val="none"/>
          <w:lang w:val="en-US" w:eastAsia="zh-CN"/>
        </w:rPr>
        <w:t>10</w:t>
      </w:r>
      <w:r>
        <w:rPr>
          <w:rFonts w:hint="eastAsia" w:ascii="宋体" w:hAnsi="宋体"/>
          <w:bCs/>
          <w:sz w:val="24"/>
          <w:szCs w:val="24"/>
          <w:highlight w:val="none"/>
        </w:rPr>
        <w:t>:00</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（六）投标及开标、定标时间、地点</w:t>
      </w:r>
      <w:r>
        <w:rPr>
          <w:rFonts w:hint="eastAsia"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网上投标截止时间：2023年0</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25</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0（投标</w:t>
      </w:r>
      <w:r>
        <w:rPr>
          <w:rFonts w:hint="eastAsia" w:ascii="宋体" w:hAnsi="宋体"/>
          <w:sz w:val="24"/>
          <w:szCs w:val="24"/>
          <w:highlight w:val="none"/>
        </w:rPr>
        <w:t>截止时间后的投标文件恕不接受</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网上投标解密时间：2023年</w:t>
      </w:r>
      <w:r>
        <w:rPr>
          <w:rFonts w:hint="eastAsia" w:ascii="宋体" w:hAnsi="宋体"/>
          <w:sz w:val="24"/>
          <w:szCs w:val="24"/>
          <w:highlight w:val="none"/>
          <w:lang w:val="en-US" w:eastAsia="zh-CN"/>
        </w:rPr>
        <w:t>09</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w:t>
      </w:r>
      <w:r>
        <w:rPr>
          <w:rFonts w:hint="eastAsia" w:ascii="宋体" w:hAnsi="宋体" w:cs="宋体"/>
          <w:kern w:val="0"/>
          <w:sz w:val="24"/>
          <w:szCs w:val="24"/>
          <w:highlight w:val="none"/>
        </w:rPr>
        <w:t>开启解密后半小时。</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w:t>
      </w:r>
      <w:r>
        <w:rPr>
          <w:rFonts w:hint="eastAsia" w:ascii="宋体" w:hAnsi="宋体"/>
          <w:sz w:val="24"/>
          <w:szCs w:val="24"/>
        </w:rPr>
        <w:t>无锡市公共资源交易中心新吴分中心</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（八）采购方法：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（九）其它</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集中采购机构：无锡市公共资源交易中心新吴分中心       </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cs="宋体"/>
          <w:color w:val="000000"/>
          <w:kern w:val="0"/>
          <w:sz w:val="24"/>
          <w:szCs w:val="24"/>
        </w:rPr>
        <w:t xml:space="preserve">地址: </w:t>
      </w:r>
      <w:r>
        <w:rPr>
          <w:rFonts w:hint="eastAsia" w:ascii="宋体" w:hAnsi="宋体"/>
          <w:sz w:val="24"/>
          <w:szCs w:val="24"/>
        </w:rPr>
        <w:t>无锡市新吴区硅谷大道与清晏路交叉路口往西约80米（清晏路停车场一楼）</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项目联系人：</w:t>
      </w:r>
      <w:r>
        <w:rPr>
          <w:rFonts w:hint="eastAsia" w:ascii="宋体" w:hAnsi="宋体" w:cs="宋体"/>
          <w:color w:val="000000"/>
          <w:kern w:val="0"/>
          <w:sz w:val="24"/>
          <w:szCs w:val="24"/>
          <w:lang w:val="en-US" w:eastAsia="zh-CN"/>
        </w:rPr>
        <w:t>方钰、陈辰</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电话：</w:t>
      </w:r>
      <w:r>
        <w:rPr>
          <w:rFonts w:hint="eastAsia" w:ascii="宋体" w:hAnsi="宋体" w:cs="宋体"/>
          <w:color w:val="000000"/>
          <w:kern w:val="0"/>
          <w:sz w:val="24"/>
          <w:szCs w:val="24"/>
          <w:lang w:val="en-US" w:eastAsia="zh-CN"/>
        </w:rPr>
        <w:t>0510-80595982</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传真：0510-85227192</w:t>
      </w:r>
    </w:p>
    <w:p>
      <w:pPr>
        <w:spacing w:line="490" w:lineRule="exact"/>
        <w:jc w:val="center"/>
        <w:rPr>
          <w:rFonts w:hint="eastAsia" w:ascii="黑体" w:eastAsia="黑体"/>
          <w:bCs/>
          <w:sz w:val="28"/>
          <w:szCs w:val="28"/>
        </w:rPr>
      </w:pPr>
    </w:p>
    <w:p>
      <w:pPr>
        <w:spacing w:line="490" w:lineRule="exact"/>
        <w:jc w:val="center"/>
        <w:rPr>
          <w:rFonts w:hint="eastAsia" w:ascii="黑体" w:eastAsia="黑体"/>
          <w:bCs/>
          <w:sz w:val="28"/>
          <w:szCs w:val="28"/>
        </w:rPr>
      </w:pPr>
    </w:p>
    <w:p>
      <w:pPr>
        <w:spacing w:line="490" w:lineRule="exact"/>
        <w:jc w:val="center"/>
        <w:rPr>
          <w:rFonts w:ascii="黑体" w:eastAsia="黑体"/>
          <w:bCs/>
          <w:sz w:val="28"/>
          <w:szCs w:val="28"/>
        </w:rPr>
      </w:pPr>
      <w:r>
        <w:rPr>
          <w:rFonts w:ascii="黑体" w:eastAsia="黑体"/>
          <w:bCs/>
          <w:sz w:val="28"/>
          <w:szCs w:val="28"/>
        </w:rPr>
        <w:br w:type="page"/>
      </w: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3"/>
        </w:numPr>
        <w:spacing w:line="360" w:lineRule="auto"/>
        <w:rPr>
          <w:rFonts w:ascii="黑体" w:hAnsi="宋体" w:eastAsia="黑体"/>
          <w:bCs/>
          <w:sz w:val="24"/>
          <w:szCs w:val="24"/>
        </w:rPr>
      </w:pPr>
      <w:r>
        <w:rPr>
          <w:rFonts w:hint="eastAsia" w:ascii="黑体" w:hAnsi="宋体" w:eastAsia="黑体"/>
          <w:bCs/>
          <w:sz w:val="24"/>
          <w:szCs w:val="24"/>
        </w:rPr>
        <w:t>招标文件：</w:t>
      </w:r>
    </w:p>
    <w:p>
      <w:pPr>
        <w:numPr>
          <w:ilvl w:val="0"/>
          <w:numId w:val="4"/>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4"/>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招标文件中的“法定代表人”是指投标人的营业执照的“法定代表人”或相关部门的登记证明文件中的“负责人”。</w:t>
      </w:r>
    </w:p>
    <w:p>
      <w:pPr>
        <w:numPr>
          <w:ilvl w:val="0"/>
          <w:numId w:val="4"/>
        </w:numPr>
        <w:tabs>
          <w:tab w:val="left" w:pos="0"/>
          <w:tab w:val="left" w:pos="525"/>
          <w:tab w:val="left" w:pos="945"/>
          <w:tab w:val="clear" w:pos="552"/>
        </w:tabs>
        <w:spacing w:line="360" w:lineRule="auto"/>
        <w:ind w:left="0" w:firstLine="480" w:firstLineChars="200"/>
        <w:rPr>
          <w:rFonts w:ascii="宋体" w:hAnsi="宋体"/>
          <w:bCs/>
          <w:sz w:val="24"/>
          <w:szCs w:val="24"/>
        </w:rPr>
      </w:pPr>
      <w:r>
        <w:rPr>
          <w:rFonts w:hint="eastAsia" w:ascii="宋体" w:hAnsi="宋体"/>
          <w:bCs/>
          <w:sz w:val="24"/>
          <w:szCs w:val="24"/>
        </w:rPr>
        <w:t>投标人应在无锡市公共资源交易中心政府采购专栏（</w:t>
      </w:r>
      <w:r>
        <w:rPr>
          <w:rFonts w:ascii="宋体" w:hAnsi="宋体"/>
          <w:bCs/>
          <w:sz w:val="24"/>
          <w:szCs w:val="24"/>
        </w:rPr>
        <w:t>http://ggzyjy.wuxi.gov.cn/wxsggzyjyzxzl/jyxx/zfcg/index.shtml</w:t>
      </w:r>
      <w:r>
        <w:rPr>
          <w:rFonts w:hint="eastAsia" w:ascii="宋体" w:hAnsi="宋体"/>
          <w:bCs/>
          <w:sz w:val="24"/>
          <w:szCs w:val="24"/>
        </w:rPr>
        <w:t>，下同）或登录</w:t>
      </w:r>
      <w:r>
        <w:rPr>
          <w:rFonts w:hint="eastAsia" w:ascii="宋体" w:hAnsi="宋体"/>
          <w:sz w:val="24"/>
          <w:szCs w:val="24"/>
        </w:rPr>
        <w:t>政府采购交易管理一体化系统</w:t>
      </w:r>
      <w:r>
        <w:rPr>
          <w:rFonts w:hint="eastAsia" w:ascii="宋体" w:hAnsi="宋体"/>
          <w:bCs/>
          <w:sz w:val="24"/>
          <w:szCs w:val="24"/>
        </w:rPr>
        <w:t>下载招标文件及有关资料，</w:t>
      </w:r>
      <w:r>
        <w:rPr>
          <w:rFonts w:hint="eastAsia" w:ascii="宋体" w:hAnsi="宋体"/>
          <w:sz w:val="24"/>
          <w:szCs w:val="24"/>
        </w:rPr>
        <w:t>按要求制作、上传投标文件，</w:t>
      </w:r>
      <w:r>
        <w:rPr>
          <w:rFonts w:hint="eastAsia" w:ascii="宋体" w:hAnsi="宋体"/>
          <w:bCs/>
          <w:sz w:val="24"/>
          <w:szCs w:val="24"/>
        </w:rPr>
        <w:t>对招标文件各项内容做出实质性响应，否则投标无效。</w:t>
      </w:r>
    </w:p>
    <w:p>
      <w:pPr>
        <w:numPr>
          <w:ilvl w:val="0"/>
          <w:numId w:val="4"/>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w:t>
      </w:r>
      <w:r>
        <w:rPr>
          <w:rFonts w:hint="eastAsia" w:ascii="宋体" w:hAnsi="宋体"/>
          <w:bCs/>
          <w:sz w:val="24"/>
          <w:szCs w:val="24"/>
          <w:lang w:eastAsia="zh-CN"/>
        </w:rPr>
        <w:t>无锡市公共资源交易中心新吴分中心</w:t>
      </w:r>
      <w:r>
        <w:rPr>
          <w:rFonts w:hint="eastAsia" w:ascii="宋体" w:hAnsi="宋体"/>
          <w:bCs/>
          <w:sz w:val="24"/>
          <w:szCs w:val="24"/>
        </w:rPr>
        <w:t>。</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（四）招标文件的补充或修正：</w:t>
      </w:r>
    </w:p>
    <w:p>
      <w:pPr>
        <w:numPr>
          <w:ilvl w:val="0"/>
          <w:numId w:val="5"/>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可在投标截止时间十五日前对招标文件进行必要的澄清或者修改，不足15日的，将顺延提交投标文件的截止时间。</w:t>
      </w:r>
    </w:p>
    <w:p>
      <w:pPr>
        <w:numPr>
          <w:ilvl w:val="0"/>
          <w:numId w:val="5"/>
        </w:numPr>
        <w:tabs>
          <w:tab w:val="left" w:pos="525"/>
          <w:tab w:val="left" w:pos="945"/>
          <w:tab w:val="clear" w:pos="898"/>
        </w:tabs>
        <w:spacing w:line="360" w:lineRule="auto"/>
        <w:ind w:left="1" w:firstLine="523" w:firstLineChars="218"/>
        <w:rPr>
          <w:rFonts w:hint="eastAsia" w:ascii="宋体"/>
          <w:bCs/>
          <w:sz w:val="24"/>
          <w:szCs w:val="24"/>
        </w:rPr>
      </w:pPr>
      <w:r>
        <w:rPr>
          <w:rFonts w:hint="eastAsia" w:ascii="宋体" w:hAnsi="宋体"/>
          <w:bCs/>
          <w:sz w:val="24"/>
          <w:szCs w:val="24"/>
        </w:rPr>
        <w:t>如需对招标文件进行澄清或修正，</w:t>
      </w:r>
      <w:r>
        <w:rPr>
          <w:rFonts w:hint="eastAsia" w:ascii="宋体" w:hAnsi="宋体"/>
          <w:bCs/>
          <w:sz w:val="24"/>
          <w:szCs w:val="24"/>
          <w:lang w:eastAsia="zh-CN"/>
        </w:rPr>
        <w:t>无锡市公共资源交易中心新吴分中心</w:t>
      </w:r>
      <w:r>
        <w:rPr>
          <w:rFonts w:hint="eastAsia" w:ascii="宋体" w:hAnsi="宋体"/>
          <w:bCs/>
          <w:sz w:val="24"/>
          <w:szCs w:val="24"/>
        </w:rPr>
        <w:t>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sz w:val="24"/>
          <w:szCs w:val="24"/>
        </w:rPr>
        <w:t>登录</w:t>
      </w:r>
      <w:r>
        <w:rPr>
          <w:rFonts w:hint="eastAsia" w:ascii="宋体" w:hAnsi="宋体"/>
          <w:bCs/>
          <w:sz w:val="24"/>
          <w:szCs w:val="24"/>
        </w:rPr>
        <w:t>投标客户端</w:t>
      </w:r>
      <w:r>
        <w:rPr>
          <w:rFonts w:hint="eastAsia" w:ascii="宋体" w:hAnsi="宋体"/>
          <w:sz w:val="24"/>
          <w:szCs w:val="24"/>
        </w:rPr>
        <w:t>或</w:t>
      </w:r>
      <w:r>
        <w:rPr>
          <w:rFonts w:hint="eastAsia" w:ascii="宋体" w:hAnsi="宋体"/>
          <w:bCs/>
          <w:sz w:val="24"/>
          <w:szCs w:val="24"/>
        </w:rPr>
        <w:t>关注原招标公告媒体上发布的相关更正公告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w:t>
      </w:r>
      <w:r>
        <w:rPr>
          <w:rFonts w:hint="eastAsia" w:ascii="宋体" w:hAnsi="宋体"/>
          <w:bCs/>
          <w:sz w:val="24"/>
          <w:szCs w:val="24"/>
        </w:rPr>
        <w:t>全面地关注更正公告导致其提交的投标材料不符合</w:t>
      </w:r>
      <w:r>
        <w:rPr>
          <w:rFonts w:hint="eastAsia" w:ascii="宋体" w:hAnsi="宋体"/>
          <w:bCs/>
          <w:sz w:val="24"/>
          <w:szCs w:val="24"/>
          <w:lang w:eastAsia="zh-CN"/>
        </w:rPr>
        <w:t>无锡市公共资源交易中心新吴分中心</w:t>
      </w:r>
      <w:r>
        <w:rPr>
          <w:rFonts w:hint="eastAsia" w:ascii="宋体" w:hAnsi="宋体"/>
          <w:bCs/>
          <w:sz w:val="24"/>
          <w:szCs w:val="24"/>
        </w:rPr>
        <w:t>要求，而造成的损失及风险（包括但不限于未中标）由投标人自行承担。</w:t>
      </w:r>
    </w:p>
    <w:p>
      <w:pPr>
        <w:numPr>
          <w:ilvl w:val="0"/>
          <w:numId w:val="5"/>
        </w:numPr>
        <w:tabs>
          <w:tab w:val="left" w:pos="525"/>
          <w:tab w:val="left" w:pos="945"/>
          <w:tab w:val="clear" w:pos="898"/>
        </w:tabs>
        <w:spacing w:line="360" w:lineRule="auto"/>
        <w:ind w:left="1" w:firstLine="523" w:firstLineChars="218"/>
        <w:rPr>
          <w:rFonts w:ascii="宋体"/>
          <w:bCs/>
          <w:sz w:val="24"/>
          <w:szCs w:val="24"/>
        </w:rPr>
      </w:pPr>
      <w:r>
        <w:rPr>
          <w:rFonts w:hint="eastAsia" w:ascii="宋体"/>
          <w:bCs/>
          <w:sz w:val="24"/>
          <w:szCs w:val="24"/>
        </w:rPr>
        <w:t>供应商认为招标文件使自己的权益受到损害的，可以自获取招标文件之日或者采购公告期限届满之日（公告期限届满后获取招标文件的，以公告期限届满之日为准）起7个工作日内，以书面形式向采购人、采购代理机构提出质疑。针对同一采购程序环节的质疑，须在法定质疑期内一次性提出。质疑函的质疑事项应具体、明确，并有必要的事实依据和法律依据（格式详见中国政府采购网《政府采购供应商质疑函范本》）。</w:t>
      </w:r>
      <w:r>
        <w:rPr>
          <w:rFonts w:hint="eastAsia" w:ascii="宋体"/>
          <w:bCs/>
          <w:sz w:val="24"/>
          <w:szCs w:val="24"/>
          <w:lang w:eastAsia="zh-CN"/>
        </w:rPr>
        <w:t>无锡市公共资源交易中心新吴分中心</w:t>
      </w:r>
      <w:r>
        <w:rPr>
          <w:rFonts w:hint="eastAsia" w:ascii="宋体"/>
          <w:bCs/>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bCs/>
          <w:sz w:val="24"/>
          <w:szCs w:val="24"/>
          <w:lang w:eastAsia="zh-CN"/>
        </w:rPr>
        <w:t>无锡市公共资源交易中心新吴分中心</w:t>
      </w:r>
      <w:r>
        <w:rPr>
          <w:rFonts w:hint="eastAsia" w:ascii="宋体"/>
          <w:bCs/>
          <w:sz w:val="24"/>
          <w:szCs w:val="24"/>
        </w:rPr>
        <w:t>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（五）投标文件的组成</w:t>
      </w:r>
      <w:r>
        <w:rPr>
          <w:rFonts w:hint="eastAsia" w:ascii="宋体" w:hAnsi="宋体"/>
          <w:bCs/>
          <w:sz w:val="24"/>
          <w:szCs w:val="24"/>
        </w:rPr>
        <w:t>（</w:t>
      </w:r>
      <w:r>
        <w:rPr>
          <w:rFonts w:hint="eastAsia" w:ascii="宋体" w:hAnsi="宋体"/>
          <w:b/>
          <w:bCs/>
          <w:sz w:val="24"/>
          <w:szCs w:val="24"/>
        </w:rPr>
        <w:t>相应内容上传至投标客户端</w:t>
      </w:r>
      <w:r>
        <w:rPr>
          <w:rFonts w:hint="eastAsia" w:ascii="宋体" w:hAnsi="宋体"/>
          <w:bCs/>
          <w:sz w:val="24"/>
          <w:szCs w:val="24"/>
        </w:rPr>
        <w:t>）</w:t>
      </w:r>
      <w:r>
        <w:rPr>
          <w:rFonts w:hint="eastAsia" w:ascii="黑体" w:hAnsi="宋体" w:eastAsia="黑体"/>
          <w:bCs/>
          <w:sz w:val="24"/>
          <w:szCs w:val="24"/>
        </w:rPr>
        <w:t>：</w:t>
      </w:r>
    </w:p>
    <w:p>
      <w:pPr>
        <w:numPr>
          <w:ilvl w:val="0"/>
          <w:numId w:val="6"/>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6"/>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资格、资信证明文件</w:t>
      </w:r>
      <w:r>
        <w:rPr>
          <w:rFonts w:hint="eastAsia" w:ascii="宋体" w:hAnsi="宋体"/>
          <w:b/>
          <w:bCs/>
          <w:sz w:val="24"/>
          <w:szCs w:val="24"/>
        </w:rPr>
        <w:t>（扫描后上传，身份证应为正、反面）：</w:t>
      </w:r>
    </w:p>
    <w:p>
      <w:pPr>
        <w:pStyle w:val="103"/>
        <w:numPr>
          <w:ilvl w:val="1"/>
          <w:numId w:val="6"/>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03"/>
        <w:numPr>
          <w:ilvl w:val="1"/>
          <w:numId w:val="6"/>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具有独立承担民事责任能力的投标人营业执照或相关部门的登记证明文件</w:t>
      </w:r>
      <w:r>
        <w:rPr>
          <w:rFonts w:hint="eastAsia" w:ascii="宋体" w:hAnsi="宋体"/>
          <w:bCs/>
          <w:sz w:val="24"/>
          <w:szCs w:val="24"/>
          <w:lang w:eastAsia="zh-CN"/>
        </w:rPr>
        <w:t>扫描件</w:t>
      </w:r>
      <w:r>
        <w:rPr>
          <w:rFonts w:hint="eastAsia" w:ascii="宋体" w:hAnsi="宋体"/>
          <w:bCs/>
          <w:sz w:val="24"/>
          <w:szCs w:val="24"/>
        </w:rPr>
        <w:t>（投标人如是</w:t>
      </w:r>
      <w:r>
        <w:rPr>
          <w:rFonts w:hint="eastAsia" w:ascii="宋体" w:hAnsi="宋体" w:cs="宋体"/>
          <w:kern w:val="0"/>
          <w:sz w:val="24"/>
          <w:szCs w:val="24"/>
        </w:rPr>
        <w:t>允许以分支机构身份参加投标的，提供投标人分支机构的营业执照</w:t>
      </w:r>
      <w:r>
        <w:rPr>
          <w:rFonts w:hint="eastAsia" w:ascii="宋体" w:hAnsi="宋体" w:cs="宋体"/>
          <w:kern w:val="0"/>
          <w:sz w:val="24"/>
          <w:szCs w:val="24"/>
          <w:lang w:eastAsia="zh-CN"/>
        </w:rPr>
        <w:t>扫描件</w:t>
      </w:r>
      <w:r>
        <w:rPr>
          <w:rFonts w:hint="eastAsia" w:ascii="宋体" w:hAnsi="宋体"/>
          <w:bCs/>
          <w:sz w:val="24"/>
          <w:szCs w:val="24"/>
        </w:rPr>
        <w:t>）；</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）（投标人</w:t>
      </w:r>
      <w:r>
        <w:rPr>
          <w:rFonts w:hint="eastAsia" w:ascii="宋体" w:hAnsi="宋体"/>
          <w:bCs/>
          <w:sz w:val="24"/>
          <w:szCs w:val="24"/>
        </w:rPr>
        <w:t>如是</w:t>
      </w:r>
      <w:r>
        <w:rPr>
          <w:rFonts w:hint="eastAsia" w:ascii="宋体" w:hAnsi="宋体" w:cs="宋体"/>
          <w:kern w:val="0"/>
          <w:sz w:val="24"/>
          <w:szCs w:val="24"/>
        </w:rPr>
        <w:t>允许以分支机构身份参加投标的，请自行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，分支机构投标</w:t>
      </w:r>
      <w:r>
        <w:rPr>
          <w:rFonts w:ascii="宋体" w:hAnsi="宋体" w:cs="宋体"/>
          <w:kern w:val="0"/>
          <w:sz w:val="24"/>
          <w:szCs w:val="24"/>
        </w:rPr>
        <w:t>时</w:t>
      </w:r>
      <w:r>
        <w:rPr>
          <w:rFonts w:hint="eastAsia" w:ascii="宋体" w:hAnsi="宋体" w:cs="宋体"/>
          <w:kern w:val="0"/>
          <w:sz w:val="24"/>
          <w:szCs w:val="24"/>
        </w:rPr>
        <w:t>涉及到招标文件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投标人法定代表人身份证；</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投标人法定代表人授权代表身份证（</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numPr>
          <w:ilvl w:val="1"/>
          <w:numId w:val="6"/>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投标人连续三个月</w:t>
      </w:r>
      <w:r>
        <w:rPr>
          <w:rFonts w:ascii="宋体" w:hAnsi="宋体"/>
          <w:bCs/>
          <w:sz w:val="24"/>
          <w:szCs w:val="24"/>
        </w:rPr>
        <w:t>(</w:t>
      </w:r>
      <w:r>
        <w:rPr>
          <w:rFonts w:hint="eastAsia" w:ascii="宋体" w:hAnsi="宋体"/>
          <w:bCs/>
          <w:sz w:val="24"/>
          <w:szCs w:val="24"/>
        </w:rPr>
        <w:t>至少包含近三个月中任意一个月份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w:t>
      </w:r>
      <w:r>
        <w:rPr>
          <w:rFonts w:hint="eastAsia" w:ascii="宋体" w:hAnsi="宋体"/>
          <w:b/>
          <w:bCs/>
          <w:sz w:val="24"/>
          <w:szCs w:val="24"/>
        </w:rPr>
        <w:t>由相关主管部门出具，新成立公司除外、法定代表人亲自参加投标的除外</w:t>
      </w:r>
      <w:r>
        <w:rPr>
          <w:rFonts w:hint="eastAsia" w:ascii="宋体" w:hAnsi="宋体"/>
          <w:bCs/>
          <w:sz w:val="24"/>
          <w:szCs w:val="24"/>
        </w:rPr>
        <w:t>）；</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6"/>
        </w:numPr>
        <w:tabs>
          <w:tab w:val="left" w:pos="945"/>
          <w:tab w:val="left" w:pos="1276"/>
          <w:tab w:val="clear" w:pos="990"/>
        </w:tabs>
        <w:spacing w:line="360" w:lineRule="auto"/>
        <w:ind w:left="0" w:firstLine="523" w:firstLineChars="218"/>
        <w:rPr>
          <w:rFonts w:hint="eastAsia"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6"/>
        </w:numPr>
        <w:tabs>
          <w:tab w:val="left" w:pos="945"/>
          <w:tab w:val="left" w:pos="1276"/>
          <w:tab w:val="clear" w:pos="990"/>
        </w:tabs>
        <w:spacing w:line="360" w:lineRule="auto"/>
        <w:ind w:left="0" w:firstLine="523" w:firstLineChars="218"/>
        <w:rPr>
          <w:rFonts w:hint="eastAsia" w:ascii="宋体"/>
          <w:bCs/>
          <w:sz w:val="24"/>
          <w:szCs w:val="24"/>
        </w:rPr>
      </w:pPr>
      <w:r>
        <w:rPr>
          <w:rFonts w:hint="eastAsia" w:ascii="宋体" w:hAnsi="宋体"/>
          <w:bCs/>
          <w:sz w:val="24"/>
          <w:szCs w:val="24"/>
        </w:rPr>
        <w:t>采购人要求的特定资质证明（</w:t>
      </w:r>
      <w:r>
        <w:rPr>
          <w:rFonts w:hint="eastAsia" w:ascii="宋体" w:hAnsi="宋体"/>
          <w:b/>
          <w:bCs/>
          <w:sz w:val="24"/>
          <w:szCs w:val="24"/>
        </w:rPr>
        <w:t>详见“投标邀请函”-“投标人资格要求”之3中要求）</w:t>
      </w:r>
      <w:r>
        <w:rPr>
          <w:rFonts w:hint="eastAsia" w:ascii="宋体" w:hAnsi="宋体"/>
          <w:bCs/>
          <w:sz w:val="24"/>
          <w:szCs w:val="24"/>
        </w:rPr>
        <w:t>。</w:t>
      </w:r>
    </w:p>
    <w:p>
      <w:pPr>
        <w:tabs>
          <w:tab w:val="left" w:pos="630"/>
          <w:tab w:val="left" w:pos="945"/>
          <w:tab w:val="left" w:pos="1276"/>
        </w:tabs>
        <w:spacing w:line="360" w:lineRule="auto"/>
        <w:ind w:firstLine="480" w:firstLineChars="200"/>
        <w:rPr>
          <w:rFonts w:ascii="宋体"/>
          <w:bCs/>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明细报价表（</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hint="eastAsia" w:ascii="宋体" w:hAnsi="宋体"/>
          <w:bCs/>
          <w:sz w:val="24"/>
          <w:szCs w:val="24"/>
        </w:rPr>
      </w:pPr>
      <w:r>
        <w:rPr>
          <w:rFonts w:hint="eastAsia" w:ascii="宋体" w:hAnsi="宋体"/>
          <w:bCs/>
          <w:sz w:val="24"/>
          <w:szCs w:val="24"/>
        </w:rPr>
        <w:t>投标偏离表（</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项目技术要求中须提供的证明材料（</w:t>
      </w:r>
      <w:r>
        <w:rPr>
          <w:rFonts w:hint="eastAsia" w:ascii="宋体" w:hAnsi="宋体"/>
          <w:b/>
          <w:bCs/>
          <w:sz w:val="24"/>
          <w:szCs w:val="24"/>
        </w:rPr>
        <w:t>如有自行添加</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6项投标人必须按要求全部提供，否则投标文件无效。</w:t>
      </w:r>
      <w:r>
        <w:rPr>
          <w:rFonts w:hint="eastAsia" w:ascii="Tahoma" w:hAnsi="Tahoma" w:cs="Tahoma"/>
          <w:sz w:val="24"/>
          <w:szCs w:val="24"/>
        </w:rPr>
        <w:t>如上述资格证明文件遇年检、换证，则必须提供法定年检、换证单位出具的有效证明</w:t>
      </w:r>
      <w:r>
        <w:rPr>
          <w:rFonts w:hint="eastAsia" w:ascii="Tahoma" w:hAnsi="Tahoma" w:cs="Tahoma"/>
          <w:sz w:val="24"/>
          <w:szCs w:val="24"/>
          <w:lang w:eastAsia="zh-CN"/>
        </w:rPr>
        <w:t>扫描件</w:t>
      </w:r>
      <w:r>
        <w:rPr>
          <w:rFonts w:hint="eastAsia" w:ascii="Tahoma" w:hAnsi="Tahoma" w:cs="Tahoma"/>
          <w:sz w:val="24"/>
          <w:szCs w:val="24"/>
        </w:rPr>
        <w:t>。如上述资格证明文件第</w:t>
      </w:r>
      <w:r>
        <w:rPr>
          <w:rFonts w:hint="eastAsia" w:ascii="宋体" w:hAnsi="宋体" w:cs="Tahoma"/>
          <w:sz w:val="24"/>
          <w:szCs w:val="24"/>
        </w:rPr>
        <w:t>（6）（</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w:t>
      </w:r>
      <w:r>
        <w:rPr>
          <w:rFonts w:hint="eastAsia" w:ascii="Tahoma" w:hAnsi="Tahoma" w:cs="Tahoma"/>
          <w:sz w:val="24"/>
          <w:szCs w:val="24"/>
          <w:lang w:eastAsia="zh-CN"/>
        </w:rPr>
        <w:t>扫描件</w:t>
      </w:r>
      <w:r>
        <w:rPr>
          <w:rFonts w:hint="eastAsia" w:ascii="Tahoma" w:hAnsi="Tahoma" w:cs="Tahoma"/>
          <w:sz w:val="24"/>
          <w:szCs w:val="24"/>
        </w:rPr>
        <w:t>。</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（六）投标文件的制作：</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投标文件由投标人按要求如实填写，须有投标人（签章）、法定代表人或法定代表人授权代表签章，方为有效，未尽事宜可自行补充。</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投标人应由其法定代表人或法定代表人授权代表在规定的网上投标时间内，凭</w:t>
      </w:r>
      <w:r>
        <w:rPr>
          <w:rFonts w:ascii="宋体" w:hAnsi="宋体"/>
          <w:bCs/>
          <w:sz w:val="24"/>
          <w:szCs w:val="24"/>
        </w:rPr>
        <w:t>CA</w:t>
      </w:r>
      <w:r>
        <w:rPr>
          <w:rFonts w:hint="eastAsia" w:ascii="宋体" w:hAnsi="宋体"/>
          <w:bCs/>
          <w:sz w:val="24"/>
          <w:szCs w:val="24"/>
        </w:rPr>
        <w:t>数字证书登陆政府采购交易管理一体化系统获取招标文件，在投标客户端制作投标文件（电子数据），并在投标截止时间之前上传投标文件。</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投标人按招标文件规定的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投标人应当对招标文件提出的要求和条件作出实质性响应，并在电子投标系统逐条应答。</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投标人应对要求提供的资格证明文件（如资质证书、资格证书）、技术资料（如白皮书、彩页、手册、检测报告等）扫描上传至投标系统。</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投标人进行网上</w:t>
      </w:r>
      <w:r>
        <w:rPr>
          <w:rFonts w:hint="eastAsia" w:ascii="宋体" w:hAnsi="宋体"/>
          <w:sz w:val="24"/>
          <w:szCs w:val="24"/>
        </w:rPr>
        <w:t>投标</w:t>
      </w:r>
      <w:r>
        <w:rPr>
          <w:rFonts w:hint="eastAsia" w:ascii="宋体" w:hAnsi="宋体"/>
          <w:bCs/>
          <w:sz w:val="24"/>
          <w:szCs w:val="24"/>
        </w:rPr>
        <w:t>请参照《</w:t>
      </w:r>
      <w:r>
        <w:rPr>
          <w:rFonts w:hint="eastAsia" w:ascii="宋体" w:hAnsi="宋体"/>
          <w:sz w:val="24"/>
          <w:szCs w:val="24"/>
        </w:rPr>
        <w:t>政府采购项目电子交易管理操作指南-供应商》。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9"/>
        </w:numPr>
        <w:tabs>
          <w:tab w:val="left" w:pos="945"/>
        </w:tabs>
        <w:spacing w:line="360" w:lineRule="auto"/>
        <w:rPr>
          <w:rFonts w:ascii="宋体"/>
          <w:bCs/>
          <w:sz w:val="24"/>
          <w:szCs w:val="24"/>
        </w:rPr>
      </w:pPr>
      <w:r>
        <w:rPr>
          <w:rFonts w:hint="eastAsia" w:ascii="宋体" w:hAnsi="宋体"/>
          <w:sz w:val="24"/>
          <w:szCs w:val="24"/>
        </w:rPr>
        <w:t>未按规定在无锡市政府采购供应商信息库注册的；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投标文件未按规定期限投标的，纸质投标文件（如有）未按规定的期限、地点送达的；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投标文件未按招标文件要求签章的；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投标人未按招标文件要求解密电子投标文件的；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rPr>
          <w:rFonts w:ascii="宋体" w:hAnsi="宋体"/>
          <w:sz w:val="24"/>
          <w:szCs w:val="24"/>
        </w:rPr>
        <w:fldChar w:fldCharType="begin"/>
      </w:r>
      <w:r>
        <w:rPr>
          <w:rFonts w:ascii="宋体" w:hAnsi="宋体"/>
          <w:sz w:val="24"/>
          <w:szCs w:val="24"/>
        </w:rPr>
        <w:instrText xml:space="preserve"> HYPERLINK "http://www.creditchina.gov.cn" </w:instrText>
      </w:r>
      <w:r>
        <w:rPr>
          <w:rFonts w:ascii="宋体" w:hAnsi="宋体"/>
          <w:sz w:val="24"/>
          <w:szCs w:val="24"/>
        </w:rPr>
        <w:fldChar w:fldCharType="separate"/>
      </w:r>
      <w:r>
        <w:rPr>
          <w:rFonts w:hint="eastAsia" w:ascii="宋体" w:hAnsi="宋体"/>
          <w:sz w:val="24"/>
          <w:szCs w:val="24"/>
        </w:rPr>
        <w:t>www.creditchina.gov.cn</w:t>
      </w:r>
      <w:r>
        <w:rPr>
          <w:rFonts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投标文件未按招标文件规定的内容和要求填写的；没有在投标系统指定位置上传对应文件、材料的；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投标文件图片、字迹模糊不清、无法辨认的；</w:t>
      </w:r>
    </w:p>
    <w:p>
      <w:pPr>
        <w:numPr>
          <w:ilvl w:val="0"/>
          <w:numId w:val="9"/>
        </w:numPr>
        <w:tabs>
          <w:tab w:val="left" w:pos="945"/>
        </w:tabs>
        <w:spacing w:line="360" w:lineRule="auto"/>
        <w:ind w:left="1" w:firstLine="523" w:firstLineChars="218"/>
        <w:rPr>
          <w:rFonts w:hint="eastAsia" w:ascii="宋体"/>
          <w:bCs/>
          <w:sz w:val="24"/>
          <w:szCs w:val="24"/>
        </w:rPr>
      </w:pPr>
      <w:r>
        <w:rPr>
          <w:rFonts w:hint="eastAsia" w:ascii="宋体" w:hAnsi="宋体"/>
          <w:bCs/>
          <w:sz w:val="24"/>
          <w:szCs w:val="24"/>
        </w:rPr>
        <w:t>投标文件中有招标文件未允许提供的选择性内容；</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color w:val="000000"/>
          <w:sz w:val="24"/>
          <w:szCs w:val="24"/>
        </w:rPr>
        <w:t>不同投标人的投标文件由同一单位或者个人编制的</w:t>
      </w:r>
      <w:r>
        <w:rPr>
          <w:rFonts w:hint="eastAsia" w:ascii="宋体" w:hAnsi="宋体"/>
          <w:bCs/>
          <w:sz w:val="24"/>
          <w:szCs w:val="24"/>
        </w:rPr>
        <w:t>；</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项目（标段）投标总价超过本项目（标段）预算或最高限价的；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提供虚假材料的（包括工商营业执照、财务报表、资格证明文件等）；</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（九）开标、评标：</w:t>
      </w:r>
    </w:p>
    <w:p>
      <w:pPr>
        <w:numPr>
          <w:ilvl w:val="1"/>
          <w:numId w:val="10"/>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所有投标单位在招标文件规定的时间内解密各自投标文件；</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numPr>
          <w:ilvl w:val="1"/>
          <w:numId w:val="10"/>
        </w:numPr>
        <w:tabs>
          <w:tab w:val="left" w:pos="525"/>
          <w:tab w:val="left" w:pos="945"/>
          <w:tab w:val="clear" w:pos="1290"/>
        </w:tabs>
        <w:spacing w:line="360" w:lineRule="auto"/>
        <w:ind w:left="1" w:firstLine="523" w:firstLineChars="218"/>
        <w:rPr>
          <w:rFonts w:hint="eastAsia" w:ascii="宋体"/>
          <w:bCs/>
          <w:sz w:val="24"/>
          <w:szCs w:val="24"/>
        </w:rPr>
      </w:pPr>
      <w:r>
        <w:rPr>
          <w:rFonts w:hint="eastAsia" w:ascii="宋体" w:hAnsi="宋体"/>
          <w:bCs/>
          <w:sz w:val="24"/>
          <w:szCs w:val="24"/>
        </w:rPr>
        <w:t>开标时，投标文件</w:t>
      </w:r>
      <w:r>
        <w:rPr>
          <w:rFonts w:ascii="宋体" w:hAnsi="宋体"/>
          <w:bCs/>
          <w:sz w:val="24"/>
          <w:szCs w:val="24"/>
        </w:rPr>
        <w:t>报价出现前后不一致的，按照下列规定修正：</w:t>
      </w:r>
    </w:p>
    <w:p>
      <w:pPr>
        <w:numPr>
          <w:ilvl w:val="0"/>
          <w:numId w:val="11"/>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投标文件中开标一览表（报价表）内容与投标文件中相应内容不一致的，以开标一览表（报价表）为准；</w:t>
      </w:r>
    </w:p>
    <w:p>
      <w:pPr>
        <w:numPr>
          <w:ilvl w:val="0"/>
          <w:numId w:val="11"/>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大写金额和小写金额不一致的，以大写金额为准；</w:t>
      </w:r>
    </w:p>
    <w:p>
      <w:pPr>
        <w:numPr>
          <w:ilvl w:val="0"/>
          <w:numId w:val="11"/>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单价金额小数点或者百分比有明显错位的，以开标一览表的总价为准，并修改单价；</w:t>
      </w:r>
    </w:p>
    <w:p>
      <w:pPr>
        <w:numPr>
          <w:ilvl w:val="0"/>
          <w:numId w:val="11"/>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10"/>
        </w:numPr>
        <w:tabs>
          <w:tab w:val="left" w:pos="525"/>
          <w:tab w:val="left" w:pos="945"/>
          <w:tab w:val="clear" w:pos="1290"/>
        </w:tabs>
        <w:spacing w:line="360" w:lineRule="auto"/>
        <w:ind w:left="1" w:firstLine="523" w:firstLineChars="218"/>
        <w:rPr>
          <w:rFonts w:hint="eastAsia" w:ascii="宋体" w:hAnsi="宋体"/>
          <w:bCs/>
          <w:sz w:val="24"/>
          <w:szCs w:val="24"/>
        </w:rPr>
      </w:pPr>
      <w:r>
        <w:rPr>
          <w:rFonts w:hint="eastAsia" w:ascii="宋体" w:hAnsi="宋体"/>
          <w:bCs/>
          <w:sz w:val="24"/>
          <w:szCs w:val="24"/>
        </w:rPr>
        <w:t>电子投标文件与纸质投标文件（如有）不符的，以电子投标文件为准。</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10"/>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评标工作由</w:t>
      </w:r>
      <w:r>
        <w:rPr>
          <w:rFonts w:hint="eastAsia" w:ascii="宋体" w:hAnsi="宋体"/>
          <w:bCs/>
          <w:sz w:val="24"/>
          <w:szCs w:val="24"/>
          <w:lang w:eastAsia="zh-CN"/>
        </w:rPr>
        <w:t>无锡市公共资源交易中心新吴分中心</w:t>
      </w:r>
      <w:r>
        <w:rPr>
          <w:rFonts w:hint="eastAsia" w:ascii="宋体" w:hAnsi="宋体"/>
          <w:bCs/>
          <w:sz w:val="24"/>
          <w:szCs w:val="24"/>
        </w:rPr>
        <w:t>负责组织，具体评标事务由依法组建的评标委员会负责。</w:t>
      </w:r>
    </w:p>
    <w:p>
      <w:pPr>
        <w:numPr>
          <w:ilvl w:val="0"/>
          <w:numId w:val="12"/>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投标文件初审。初审分为资格性检查和符合性检查。</w:t>
      </w:r>
    </w:p>
    <w:p>
      <w:pPr>
        <w:numPr>
          <w:ilvl w:val="0"/>
          <w:numId w:val="13"/>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资格性检查。采购人依据法律法规和招标文件的规定，对投标文件中的资格证明、投标（报价）承诺函等进行审查；</w:t>
      </w:r>
      <w:r>
        <w:rPr>
          <w:rFonts w:hint="eastAsia" w:ascii="宋体" w:hAnsi="宋体"/>
          <w:bCs/>
          <w:sz w:val="24"/>
          <w:szCs w:val="24"/>
        </w:rPr>
        <w:t>通过“信用中国”网站（</w:t>
      </w:r>
      <w:r>
        <w:fldChar w:fldCharType="begin"/>
      </w:r>
      <w:r>
        <w:instrText xml:space="preserve">HYPERLINK "http://www.creditchina.gov.cn"</w:instrText>
      </w:r>
      <w:r>
        <w:fldChar w:fldCharType="separate"/>
      </w:r>
      <w:r>
        <w:rPr>
          <w:rFonts w:hint="eastAsia" w:ascii="宋体" w:hAnsi="宋体"/>
          <w:bCs/>
          <w:sz w:val="24"/>
          <w:szCs w:val="24"/>
        </w:rPr>
        <w:t>www.creditchina.gov.cn</w:t>
      </w:r>
      <w:r>
        <w:fldChar w:fldCharType="end"/>
      </w:r>
      <w:r>
        <w:rPr>
          <w:rFonts w:hint="eastAsia" w:ascii="宋体" w:hAnsi="宋体"/>
          <w:bCs/>
          <w:sz w:val="24"/>
          <w:szCs w:val="24"/>
        </w:rPr>
        <w:t>）、</w:t>
      </w:r>
      <w:r>
        <w:rPr>
          <w:rFonts w:hint="eastAsia" w:ascii="宋体" w:hAnsi="宋体"/>
          <w:sz w:val="24"/>
          <w:szCs w:val="24"/>
        </w:rPr>
        <w:t>中国政府采购网(www.ccgp.gov.cn)</w:t>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以确定投标供应商是否具备投标资格。信用</w:t>
      </w:r>
      <w:r>
        <w:rPr>
          <w:rFonts w:hint="eastAsia" w:ascii="宋体" w:hAnsi="宋体"/>
          <w:sz w:val="24"/>
          <w:szCs w:val="24"/>
        </w:rPr>
        <w:t>查询结果以网页打印的形式留存并归档。</w:t>
      </w:r>
    </w:p>
    <w:p>
      <w:pPr>
        <w:numPr>
          <w:ilvl w:val="0"/>
          <w:numId w:val="13"/>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符合性检查。评标委员会依据招标文件的规定，从投标文件的有效性、完整性和对招标文件的响应程度进行审查，以确定是否对招标文件的实质性要求作出响应。</w:t>
      </w:r>
    </w:p>
    <w:p>
      <w:pPr>
        <w:numPr>
          <w:ilvl w:val="0"/>
          <w:numId w:val="12"/>
        </w:numPr>
        <w:tabs>
          <w:tab w:val="left" w:pos="525"/>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澄清有关问题。对投标文件中含义不明确、同类问题表述不一致或者有明显文字和计算错误的内容，评标委员会可以通过</w:t>
      </w:r>
      <w:r>
        <w:rPr>
          <w:rFonts w:hint="eastAsia" w:ascii="宋体" w:hAnsi="宋体"/>
          <w:bCs/>
          <w:sz w:val="24"/>
          <w:szCs w:val="24"/>
        </w:rPr>
        <w:t>政府采购交易管理一体化系统</w:t>
      </w:r>
      <w:r>
        <w:rPr>
          <w:rFonts w:hint="eastAsia" w:ascii="宋体" w:hAnsi="宋体"/>
          <w:bCs/>
          <w:sz w:val="24"/>
        </w:rPr>
        <w:t>发起询标，要求投标人作出必要的澄清、说明或者纠正。投标人的澄清、说明或者补正应当通过</w:t>
      </w:r>
      <w:r>
        <w:rPr>
          <w:rFonts w:hint="eastAsia" w:ascii="宋体" w:hAnsi="宋体"/>
          <w:bCs/>
          <w:sz w:val="24"/>
          <w:szCs w:val="24"/>
        </w:rPr>
        <w:t>政府采购交易管理一体化系统</w:t>
      </w:r>
      <w:r>
        <w:rPr>
          <w:rFonts w:hint="eastAsia" w:ascii="宋体" w:hAnsi="宋体"/>
          <w:bCs/>
          <w:sz w:val="24"/>
        </w:rPr>
        <w:t>，由其授权的代表应答并加盖电子公章，且不得超出投标文件的范围或者改变投标文件的实质性内容</w:t>
      </w:r>
      <w:r>
        <w:rPr>
          <w:rFonts w:hint="eastAsia" w:ascii="宋体" w:hAnsi="宋体"/>
          <w:bCs/>
          <w:sz w:val="24"/>
          <w:szCs w:val="24"/>
        </w:rPr>
        <w:t>。</w:t>
      </w:r>
    </w:p>
    <w:p>
      <w:pPr>
        <w:numPr>
          <w:ilvl w:val="0"/>
          <w:numId w:val="12"/>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比较与评价。按招标文件中规定的评标方法和标准，对资格性检查和符合性检查合格的投标文件进行商务和技术评估，综合比较与评价</w:t>
      </w:r>
      <w:r>
        <w:rPr>
          <w:rFonts w:hint="eastAsia" w:ascii="宋体" w:hAnsi="宋体"/>
          <w:bCs/>
          <w:sz w:val="24"/>
          <w:szCs w:val="24"/>
        </w:rPr>
        <w:t>。</w:t>
      </w:r>
    </w:p>
    <w:p>
      <w:pPr>
        <w:numPr>
          <w:ilvl w:val="1"/>
          <w:numId w:val="10"/>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bCs/>
          <w:sz w:val="24"/>
          <w:szCs w:val="24"/>
        </w:rPr>
      </w:pPr>
      <w:r>
        <w:rPr>
          <w:rFonts w:hint="eastAsia" w:ascii="宋体" w:hAnsi="宋体"/>
          <w:bCs/>
          <w:sz w:val="24"/>
          <w:szCs w:val="24"/>
        </w:rPr>
        <w:t>投标人通过初审的，方可进入</w:t>
      </w:r>
      <w:r>
        <w:rPr>
          <w:rFonts w:hint="eastAsia" w:ascii="宋体" w:hAnsi="宋体"/>
          <w:bCs/>
          <w:sz w:val="24"/>
        </w:rPr>
        <w:t>比较与评价程序</w:t>
      </w:r>
      <w:r>
        <w:rPr>
          <w:rFonts w:hint="eastAsia" w:ascii="宋体" w:hAnsi="宋体"/>
          <w:bCs/>
          <w:sz w:val="24"/>
          <w:szCs w:val="24"/>
        </w:rPr>
        <w:t>。</w:t>
      </w:r>
    </w:p>
    <w:p>
      <w:pPr>
        <w:tabs>
          <w:tab w:val="left" w:pos="945"/>
        </w:tabs>
        <w:spacing w:line="360" w:lineRule="auto"/>
        <w:ind w:firstLine="523" w:firstLineChars="218"/>
        <w:rPr>
          <w:rFonts w:ascii="宋体"/>
          <w:bCs/>
          <w:sz w:val="24"/>
          <w:szCs w:val="24"/>
        </w:rPr>
      </w:pPr>
      <w:r>
        <w:rPr>
          <w:rFonts w:hint="eastAsia"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525"/>
          <w:tab w:val="left" w:pos="945"/>
        </w:tabs>
        <w:spacing w:line="360" w:lineRule="auto"/>
        <w:ind w:left="524"/>
        <w:rPr>
          <w:rFonts w:ascii="宋体" w:hAnsi="宋体"/>
          <w:bCs/>
          <w:sz w:val="24"/>
          <w:szCs w:val="24"/>
        </w:rPr>
      </w:pPr>
      <w:r>
        <w:rPr>
          <w:rFonts w:hint="eastAsia" w:ascii="宋体" w:hAnsi="宋体"/>
          <w:bCs/>
          <w:sz w:val="24"/>
          <w:szCs w:val="24"/>
        </w:rPr>
        <w:t>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（十）定标：</w:t>
      </w:r>
    </w:p>
    <w:p>
      <w:pPr>
        <w:numPr>
          <w:ilvl w:val="0"/>
          <w:numId w:val="14"/>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评标委员会根据招标文件规定的评标方法和评标标准进行评审，按招标文件的要求依法确定中标供应商。</w:t>
      </w:r>
      <w:r>
        <w:rPr>
          <w:rFonts w:hint="eastAsia" w:ascii="宋体" w:hAnsi="宋体"/>
          <w:bCs/>
          <w:sz w:val="24"/>
          <w:szCs w:val="24"/>
          <w:lang w:eastAsia="zh-CN"/>
        </w:rPr>
        <w:t>无锡市公共资源交易中心新吴分中心</w:t>
      </w:r>
      <w:r>
        <w:rPr>
          <w:rFonts w:hint="eastAsia" w:ascii="宋体" w:hAnsi="宋体"/>
          <w:bCs/>
          <w:sz w:val="24"/>
          <w:szCs w:val="24"/>
        </w:rPr>
        <w:t>将在无锡市公共资源交易中心政府采购专栏、无锡政府采购网、江苏政府采购网和中国政府采购网发布中标公告。如有质疑，应在法定质疑期限内，即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内，以书面形式（原件）送达</w:t>
      </w:r>
      <w:r>
        <w:rPr>
          <w:rFonts w:hint="eastAsia" w:ascii="宋体" w:hAnsi="宋体"/>
          <w:bCs/>
          <w:sz w:val="24"/>
          <w:szCs w:val="24"/>
          <w:lang w:eastAsia="zh-CN"/>
        </w:rPr>
        <w:t>无锡市公共资源交易中心新吴分中心</w:t>
      </w:r>
      <w:r>
        <w:rPr>
          <w:rFonts w:hint="eastAsia" w:ascii="宋体" w:hAnsi="宋体"/>
          <w:bCs/>
          <w:sz w:val="24"/>
          <w:szCs w:val="24"/>
        </w:rPr>
        <w:t>，并且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HYPERLINK "http://download.ccgp.gov.cn/2018/zhiyihanfanben.zip" \t "_blank"</w:instrText>
      </w:r>
      <w:r>
        <w:fldChar w:fldCharType="separate"/>
      </w:r>
      <w:r>
        <w:rPr>
          <w:rFonts w:hint="eastAsia" w:ascii="宋体" w:hAnsi="宋体"/>
          <w:bCs/>
          <w:sz w:val="24"/>
          <w:szCs w:val="24"/>
        </w:rPr>
        <w:t>政府采购供应商质疑函范本</w:t>
      </w:r>
      <w:r>
        <w:fldChar w:fldCharType="end"/>
      </w:r>
      <w:r>
        <w:rPr>
          <w:rFonts w:hint="eastAsia" w:ascii="宋体" w:hAnsi="宋体"/>
          <w:bCs/>
          <w:sz w:val="24"/>
          <w:szCs w:val="24"/>
        </w:rPr>
        <w:t>》）。</w:t>
      </w:r>
      <w:r>
        <w:rPr>
          <w:rFonts w:hint="eastAsia" w:ascii="宋体" w:hAnsi="宋体"/>
          <w:bCs/>
          <w:sz w:val="24"/>
          <w:szCs w:val="24"/>
          <w:lang w:eastAsia="zh-CN"/>
        </w:rPr>
        <w:t>无锡市公共资源交易中心新吴分中心</w:t>
      </w:r>
      <w:r>
        <w:rPr>
          <w:rFonts w:hint="eastAsia" w:ascii="宋体" w:hAnsi="宋体"/>
          <w:bCs/>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hAnsi="宋体"/>
          <w:bCs/>
          <w:sz w:val="24"/>
          <w:szCs w:val="24"/>
          <w:lang w:eastAsia="zh-CN"/>
        </w:rPr>
        <w:t>无锡市公共资源交易中心新吴分中心</w:t>
      </w:r>
      <w:r>
        <w:rPr>
          <w:rFonts w:hint="eastAsia" w:ascii="宋体" w:hAnsi="宋体"/>
          <w:bCs/>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4"/>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向中标供应商发中标通知书。</w:t>
      </w:r>
    </w:p>
    <w:p>
      <w:pPr>
        <w:numPr>
          <w:ilvl w:val="0"/>
          <w:numId w:val="14"/>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投标供应商电子投标文件将作为电子档案保存。</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（十一）废标的确认：</w:t>
      </w:r>
    </w:p>
    <w:p>
      <w:pPr>
        <w:spacing w:line="360" w:lineRule="auto"/>
        <w:ind w:firstLine="480" w:firstLineChars="200"/>
        <w:rPr>
          <w:rFonts w:ascii="宋体"/>
          <w:bCs/>
          <w:sz w:val="24"/>
          <w:szCs w:val="24"/>
        </w:rPr>
      </w:pPr>
      <w:r>
        <w:rPr>
          <w:rFonts w:hint="eastAsia" w:ascii="宋体" w:hAnsi="宋体"/>
          <w:bCs/>
          <w:sz w:val="24"/>
          <w:szCs w:val="24"/>
        </w:rPr>
        <w:t>在招标采购中，出现下列情况之一的，应予废标：</w:t>
      </w:r>
    </w:p>
    <w:p>
      <w:pPr>
        <w:numPr>
          <w:ilvl w:val="0"/>
          <w:numId w:val="15"/>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5"/>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w:t>
      </w:r>
    </w:p>
    <w:p>
      <w:pPr>
        <w:numPr>
          <w:ilvl w:val="0"/>
          <w:numId w:val="15"/>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投标人的报价均超过采购预算，采购人不能支付的；</w:t>
      </w:r>
    </w:p>
    <w:p>
      <w:pPr>
        <w:numPr>
          <w:ilvl w:val="0"/>
          <w:numId w:val="15"/>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（十二）中标无效的确认：</w:t>
      </w:r>
    </w:p>
    <w:p>
      <w:pPr>
        <w:numPr>
          <w:ilvl w:val="0"/>
          <w:numId w:val="16"/>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提供虚假材料谋取中标的；</w:t>
      </w:r>
    </w:p>
    <w:p>
      <w:pPr>
        <w:numPr>
          <w:ilvl w:val="0"/>
          <w:numId w:val="16"/>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采取不正当手段诋毁、排挤其他投标人的；</w:t>
      </w:r>
    </w:p>
    <w:p>
      <w:pPr>
        <w:numPr>
          <w:ilvl w:val="0"/>
          <w:numId w:val="16"/>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与招标采购单位、其他投标人恶意串通的；</w:t>
      </w:r>
    </w:p>
    <w:p>
      <w:pPr>
        <w:numPr>
          <w:ilvl w:val="0"/>
          <w:numId w:val="16"/>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6"/>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6"/>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投标人有上述（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）项情形之一的，中标无效。有上述（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
          <w:sz w:val="24"/>
          <w:szCs w:val="24"/>
        </w:rPr>
      </w:pPr>
      <w:r>
        <w:rPr>
          <w:rFonts w:hint="eastAsia" w:ascii="黑体" w:hAnsi="宋体" w:eastAsia="黑体"/>
          <w:b/>
          <w:sz w:val="24"/>
          <w:szCs w:val="24"/>
        </w:rPr>
        <w:t>（十三）</w:t>
      </w:r>
      <w:r>
        <w:rPr>
          <w:rFonts w:hint="eastAsia" w:ascii="黑体" w:hAnsi="宋体" w:eastAsia="黑体"/>
          <w:bCs/>
          <w:sz w:val="24"/>
          <w:szCs w:val="24"/>
        </w:rPr>
        <w:t>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7"/>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采购人应当自中标通知书发出之日起三十日内（</w:t>
      </w:r>
      <w:r>
        <w:rPr>
          <w:rFonts w:ascii="宋体" w:hAnsi="宋体"/>
          <w:sz w:val="24"/>
          <w:szCs w:val="24"/>
        </w:rPr>
        <w:t>到新冠疫情应急响应解除之日</w:t>
      </w:r>
      <w:r>
        <w:rPr>
          <w:rFonts w:hint="eastAsia" w:ascii="宋体" w:hAnsi="宋体"/>
          <w:sz w:val="24"/>
          <w:szCs w:val="24"/>
        </w:rPr>
        <w:t>前可缩短至十五日内</w:t>
      </w:r>
      <w:r>
        <w:rPr>
          <w:rFonts w:hint="eastAsia" w:ascii="宋体" w:hAnsi="宋体"/>
          <w:bCs/>
          <w:sz w:val="24"/>
          <w:szCs w:val="24"/>
        </w:rPr>
        <w:t>），</w:t>
      </w:r>
      <w:r>
        <w:rPr>
          <w:rFonts w:ascii="宋体" w:hAnsi="宋体"/>
          <w:bCs/>
          <w:sz w:val="24"/>
          <w:szCs w:val="24"/>
        </w:rPr>
        <w:t>按照招标文件和中标供应商投标文件的约定，在</w:t>
      </w:r>
      <w:r>
        <w:rPr>
          <w:rFonts w:hint="eastAsia" w:ascii="宋体" w:hAnsi="宋体"/>
          <w:bCs/>
          <w:sz w:val="24"/>
          <w:szCs w:val="24"/>
          <w:lang w:eastAsia="zh-CN"/>
        </w:rPr>
        <w:t>无锡市公共资源交易中心新吴分中心</w:t>
      </w:r>
      <w:r>
        <w:rPr>
          <w:rFonts w:ascii="宋体" w:hAnsi="宋体"/>
          <w:bCs/>
          <w:sz w:val="24"/>
          <w:szCs w:val="24"/>
        </w:rPr>
        <w:t>就实质性条款见证后，与中标供应商签订合同</w:t>
      </w:r>
      <w:r>
        <w:rPr>
          <w:rFonts w:hint="eastAsia" w:ascii="宋体" w:hAnsi="宋体"/>
          <w:bCs/>
          <w:sz w:val="24"/>
          <w:szCs w:val="24"/>
        </w:rPr>
        <w:t>。所签订的合同不得对招标文件和中标供应商投标文件作实质性修改。采购人不得向中标供应商提出任何不合理的要求，作为签订合同的条件，不得与中标供应商私下订立背离合同实质性内容的协议。</w:t>
      </w:r>
      <w:r>
        <w:rPr>
          <w:rFonts w:hint="eastAsia" w:ascii="宋体" w:hAnsi="宋体"/>
          <w:bCs/>
          <w:sz w:val="24"/>
          <w:szCs w:val="24"/>
          <w:lang w:eastAsia="zh-CN"/>
        </w:rPr>
        <w:t>无锡市公共资源交易中心新吴分中心</w:t>
      </w:r>
      <w:r>
        <w:rPr>
          <w:rFonts w:ascii="宋体" w:hAnsi="宋体"/>
          <w:bCs/>
          <w:sz w:val="24"/>
          <w:szCs w:val="24"/>
        </w:rPr>
        <w:t>见证部分详见招标文件合同书（格式</w:t>
      </w:r>
      <w:r>
        <w:rPr>
          <w:rFonts w:hint="eastAsia" w:ascii="宋体" w:hAnsi="宋体"/>
          <w:bCs/>
          <w:sz w:val="24"/>
          <w:szCs w:val="24"/>
        </w:rPr>
        <w:t>条款</w:t>
      </w:r>
      <w:r>
        <w:rPr>
          <w:rFonts w:ascii="宋体" w:hAnsi="宋体"/>
          <w:bCs/>
          <w:sz w:val="24"/>
          <w:szCs w:val="24"/>
        </w:rPr>
        <w:t>），见证后的格式</w:t>
      </w:r>
      <w:r>
        <w:rPr>
          <w:rFonts w:hint="eastAsia" w:ascii="宋体" w:hAnsi="宋体"/>
          <w:bCs/>
          <w:sz w:val="24"/>
          <w:szCs w:val="24"/>
        </w:rPr>
        <w:t>条款</w:t>
      </w:r>
      <w:r>
        <w:rPr>
          <w:rFonts w:ascii="宋体" w:hAnsi="宋体"/>
          <w:bCs/>
          <w:sz w:val="24"/>
          <w:szCs w:val="24"/>
        </w:rPr>
        <w:t>不得作任何修改。</w:t>
      </w:r>
    </w:p>
    <w:p>
      <w:pPr>
        <w:numPr>
          <w:ilvl w:val="0"/>
          <w:numId w:val="17"/>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中标方非因不可抗力未履行招、投标文件和合同规定的义务，一经查实，</w:t>
      </w:r>
      <w:r>
        <w:rPr>
          <w:rFonts w:hint="eastAsia" w:ascii="宋体" w:hAnsi="宋体"/>
          <w:bCs/>
          <w:sz w:val="24"/>
          <w:szCs w:val="24"/>
          <w:lang w:eastAsia="zh-CN"/>
        </w:rPr>
        <w:t>无锡市公共资源交易中心新吴分中心</w:t>
      </w:r>
      <w:r>
        <w:rPr>
          <w:rFonts w:hint="eastAsia" w:ascii="宋体" w:hAnsi="宋体"/>
          <w:bCs/>
          <w:sz w:val="24"/>
          <w:szCs w:val="24"/>
        </w:rPr>
        <w:t>将根据具体情况提请政府采购管理部门作出相应处理。</w:t>
      </w:r>
    </w:p>
    <w:p>
      <w:pPr>
        <w:numPr>
          <w:ilvl w:val="0"/>
          <w:numId w:val="17"/>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（十四）注意事项：</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numPr>
          <w:ilvl w:val="3"/>
          <w:numId w:val="10"/>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中标后无正当理由不与采购人签订合同的；</w:t>
      </w:r>
    </w:p>
    <w:p>
      <w:pPr>
        <w:numPr>
          <w:ilvl w:val="3"/>
          <w:numId w:val="10"/>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numPr>
          <w:ilvl w:val="3"/>
          <w:numId w:val="10"/>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拒绝履行合同义务的。</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（十五）中标服务费：</w:t>
      </w:r>
    </w:p>
    <w:p>
      <w:pPr>
        <w:spacing w:line="360" w:lineRule="auto"/>
        <w:ind w:firstLine="480" w:firstLineChars="200"/>
        <w:rPr>
          <w:rFonts w:ascii="宋体"/>
          <w:bCs/>
          <w:sz w:val="24"/>
          <w:szCs w:val="24"/>
        </w:rPr>
      </w:pPr>
      <w:r>
        <w:rPr>
          <w:rFonts w:hint="eastAsia" w:ascii="宋体" w:hAnsi="宋体"/>
          <w:bCs/>
          <w:sz w:val="24"/>
          <w:szCs w:val="24"/>
        </w:rPr>
        <w:t>本次招标，</w:t>
      </w:r>
      <w:r>
        <w:rPr>
          <w:rFonts w:hint="eastAsia" w:ascii="宋体" w:hAnsi="宋体"/>
          <w:bCs/>
          <w:sz w:val="24"/>
          <w:szCs w:val="24"/>
          <w:lang w:eastAsia="zh-CN"/>
        </w:rPr>
        <w:t>无锡市公共资源交易中心新吴分中心</w:t>
      </w:r>
      <w:r>
        <w:rPr>
          <w:rFonts w:hint="eastAsia" w:ascii="宋体" w:hAnsi="宋体"/>
          <w:bCs/>
          <w:sz w:val="24"/>
          <w:szCs w:val="24"/>
        </w:rPr>
        <w:t>为中标供应商提供免费服务，不收取中标服务费。</w:t>
      </w:r>
    </w:p>
    <w:p>
      <w:pPr>
        <w:spacing w:line="400" w:lineRule="exact"/>
        <w:jc w:val="center"/>
        <w:rPr>
          <w:rFonts w:ascii="黑体" w:eastAsia="黑体"/>
          <w:bCs/>
          <w:sz w:val="30"/>
          <w:szCs w:val="30"/>
        </w:rPr>
      </w:pPr>
    </w:p>
    <w:p>
      <w:pPr>
        <w:spacing w:line="400" w:lineRule="exact"/>
        <w:jc w:val="center"/>
        <w:rPr>
          <w:rFonts w:hint="eastAsia" w:ascii="黑体" w:eastAsia="黑体"/>
          <w:bCs/>
          <w:sz w:val="30"/>
          <w:szCs w:val="30"/>
        </w:rPr>
      </w:pPr>
    </w:p>
    <w:p>
      <w:pPr>
        <w:spacing w:line="400" w:lineRule="exact"/>
        <w:jc w:val="center"/>
        <w:rPr>
          <w:rFonts w:hint="eastAsia" w:ascii="黑体" w:eastAsia="黑体"/>
          <w:bCs/>
          <w:sz w:val="30"/>
          <w:szCs w:val="30"/>
        </w:rPr>
      </w:pPr>
    </w:p>
    <w:p>
      <w:pPr>
        <w:spacing w:line="400" w:lineRule="exact"/>
        <w:jc w:val="center"/>
        <w:rPr>
          <w:rFonts w:ascii="黑体" w:eastAsia="黑体"/>
          <w:bCs/>
          <w:sz w:val="30"/>
          <w:szCs w:val="30"/>
        </w:rPr>
      </w:pPr>
    </w:p>
    <w:p>
      <w:pPr>
        <w:spacing w:line="360" w:lineRule="auto"/>
        <w:jc w:val="center"/>
        <w:rPr>
          <w:rFonts w:ascii="黑体" w:eastAsia="黑体"/>
          <w:bCs/>
          <w:sz w:val="30"/>
          <w:szCs w:val="30"/>
        </w:rPr>
      </w:pPr>
      <w:r>
        <w:rPr>
          <w:rFonts w:ascii="黑体" w:eastAsia="黑体"/>
          <w:bCs/>
          <w:sz w:val="30"/>
          <w:szCs w:val="30"/>
        </w:rPr>
        <w:br w:type="page"/>
      </w:r>
      <w:r>
        <w:rPr>
          <w:rFonts w:hint="eastAsia" w:ascii="黑体" w:eastAsia="黑体"/>
          <w:bCs/>
          <w:sz w:val="30"/>
          <w:szCs w:val="30"/>
        </w:rPr>
        <w:t>三．</w:t>
      </w:r>
      <w:r>
        <w:rPr>
          <w:rFonts w:hint="eastAsia" w:ascii="黑体" w:eastAsia="黑体"/>
          <w:sz w:val="30"/>
          <w:szCs w:val="30"/>
        </w:rPr>
        <w:t>项目技术要求和有关说明</w:t>
      </w:r>
    </w:p>
    <w:p>
      <w:pPr>
        <w:spacing w:after="5" w:line="360" w:lineRule="auto"/>
        <w:ind w:firstLine="480" w:firstLineChars="200"/>
        <w:rPr>
          <w:rFonts w:hint="eastAsia" w:ascii="黑体" w:eastAsia="黑体"/>
          <w:sz w:val="24"/>
          <w:szCs w:val="24"/>
          <w:u w:val="none" w:color="000000"/>
        </w:rPr>
      </w:pPr>
      <w:r>
        <w:rPr>
          <w:rFonts w:hint="eastAsia" w:ascii="黑体" w:eastAsia="黑体"/>
          <w:sz w:val="24"/>
          <w:szCs w:val="24"/>
          <w:u w:val="none" w:color="000000"/>
        </w:rPr>
        <w:t>（一）项目技术要求：</w:t>
      </w:r>
    </w:p>
    <w:p>
      <w:pPr>
        <w:tabs>
          <w:tab w:val="left" w:pos="525"/>
          <w:tab w:val="left" w:pos="945"/>
          <w:tab w:val="left" w:pos="1050"/>
        </w:tabs>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rPr>
        <w:t>本项目为硕放街道“一眼多维”技防服务项目，具体要求如下，</w:t>
      </w:r>
      <w:r>
        <w:rPr>
          <w:rFonts w:hint="eastAsia" w:ascii="宋体" w:hAnsi="宋体" w:eastAsia="宋体" w:cs="宋体"/>
          <w:bCs/>
          <w:color w:val="000000"/>
          <w:sz w:val="24"/>
          <w:szCs w:val="24"/>
        </w:rPr>
        <w:t>投标人须提供满足以下要求的服务，不得有负偏离。</w:t>
      </w:r>
    </w:p>
    <w:p>
      <w:pPr>
        <w:tabs>
          <w:tab w:val="left" w:pos="525"/>
          <w:tab w:val="left" w:pos="945"/>
          <w:tab w:val="left" w:pos="1050"/>
        </w:tabs>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项目技术要求：</w:t>
      </w:r>
    </w:p>
    <w:p>
      <w:pPr>
        <w:adjustRightInd w:val="0"/>
        <w:spacing w:line="360" w:lineRule="auto"/>
        <w:ind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本项目为</w:t>
      </w:r>
      <w:r>
        <w:rPr>
          <w:rFonts w:hint="eastAsia" w:ascii="宋体" w:hAnsi="宋体" w:eastAsia="宋体" w:cs="宋体"/>
          <w:sz w:val="24"/>
          <w:szCs w:val="24"/>
        </w:rPr>
        <w:t>硕放街道“一眼多维”技防服务项目</w:t>
      </w:r>
      <w:r>
        <w:rPr>
          <w:rFonts w:hint="eastAsia" w:ascii="宋体" w:hAnsi="宋体" w:eastAsia="宋体" w:cs="宋体"/>
          <w:bCs/>
          <w:color w:val="000000"/>
          <w:sz w:val="24"/>
          <w:szCs w:val="24"/>
        </w:rPr>
        <w:t xml:space="preserve">，根据无锡市公安局新吴分局下发的《2023年度“一眼多维”建设任务书》的通知要求，智能感知点位推动市际防控圈查漏补缺、新扩改建道路随路建设，按照“5115”标准检验建设成果，做到全域范围内视频追踪、感知接力“无断点”，数量质量“双提升”；感知微单元全面推进“一眼多维”感知数控子系统建设，“八类场所部位”建设集视觉物联多维感知手段于一体的综合技防单元，全量采集视图、码证、网络活动等各类信息；加大社会面视频资源特别是社会停车场、旅游景区、公复场所等场所单位视频联网汇聚力度。结合派出所现有智能感知点位提升建设，硕放派出所年内需完成90路智能感知设备建设，3个社会面联网。 </w:t>
      </w:r>
    </w:p>
    <w:p>
      <w:pPr>
        <w:adjustRightInd w:val="0"/>
        <w:spacing w:line="360" w:lineRule="auto"/>
        <w:ind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本次</w:t>
      </w:r>
      <w:r>
        <w:rPr>
          <w:rFonts w:hint="eastAsia" w:ascii="宋体" w:hAnsi="宋体" w:eastAsia="宋体" w:cs="宋体"/>
          <w:sz w:val="24"/>
          <w:szCs w:val="24"/>
        </w:rPr>
        <w:t>硕放街道辖区“一眼多维”技防服务项目</w:t>
      </w:r>
      <w:r>
        <w:rPr>
          <w:rFonts w:hint="eastAsia" w:ascii="宋体" w:hAnsi="宋体" w:eastAsia="宋体" w:cs="宋体"/>
          <w:bCs/>
          <w:color w:val="000000"/>
          <w:sz w:val="24"/>
          <w:szCs w:val="24"/>
        </w:rPr>
        <w:t>，本着节约资金、资源整合、落实长效管理、有利于后期运行维护的原则，采用租赁服务模式，为本次硕放街道辖区内的智能感知监控进行补盲。</w:t>
      </w:r>
    </w:p>
    <w:p>
      <w:pPr>
        <w:adjustRightInd w:val="0"/>
        <w:spacing w:line="360" w:lineRule="auto"/>
        <w:ind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系统须支持市、区（县）、街道分级部署模式。共在硕放街道辖区内建设90个双通道结构化智能前端相机和3台联网网关。整个工程规划租用运营商链路、租用云存储、建设90个双通道结构化智能前端相机和3台联网网关前后端全部5年运维服务，项目采用租赁购买服务模式，由中标单位负责建设、维护，前端智能感知设备采集的视频图像、车辆抓拍图片接入新吴区智慧技防视频汇聚平台，并进行存储，其中视频监控图像保存30天，车辆抓拍图片保存180天。前端智能感知设备采集的人脸图片接入新吴区公安人像应用平台内进行存储及应用，人像图片保存不少于180天，实现全城资源的全网共享。</w:t>
      </w:r>
    </w:p>
    <w:p>
      <w:pPr>
        <w:pStyle w:val="106"/>
        <w:spacing w:before="120" w:after="120" w:line="360" w:lineRule="auto"/>
        <w:ind w:firstLine="422"/>
        <w:rPr>
          <w:rFonts w:hint="eastAsia" w:ascii="宋体" w:hAnsi="宋体" w:eastAsia="宋体" w:cs="宋体"/>
          <w:b/>
          <w:sz w:val="24"/>
          <w:szCs w:val="24"/>
        </w:rPr>
      </w:pPr>
      <w:r>
        <w:rPr>
          <w:rFonts w:hint="eastAsia" w:ascii="宋体" w:hAnsi="宋体" w:eastAsia="宋体" w:cs="宋体"/>
          <w:b/>
          <w:color w:val="000000"/>
          <w:sz w:val="24"/>
          <w:szCs w:val="24"/>
        </w:rPr>
        <w:t>2、</w:t>
      </w:r>
      <w:r>
        <w:rPr>
          <w:rFonts w:hint="eastAsia" w:ascii="宋体" w:hAnsi="宋体" w:eastAsia="宋体" w:cs="宋体"/>
          <w:b/>
          <w:sz w:val="24"/>
          <w:szCs w:val="24"/>
        </w:rPr>
        <w:t>建设内容</w:t>
      </w:r>
    </w:p>
    <w:p>
      <w:pPr>
        <w:pStyle w:val="106"/>
        <w:spacing w:before="120" w:after="120" w:line="360" w:lineRule="auto"/>
        <w:ind w:firstLine="422"/>
        <w:rPr>
          <w:rFonts w:hint="eastAsia" w:ascii="宋体" w:hAnsi="宋体" w:eastAsia="宋体" w:cs="宋体"/>
          <w:b/>
          <w:sz w:val="24"/>
          <w:szCs w:val="24"/>
        </w:rPr>
      </w:pPr>
      <w:r>
        <w:rPr>
          <w:rFonts w:hint="eastAsia" w:ascii="宋体" w:hAnsi="宋体" w:eastAsia="宋体" w:cs="宋体"/>
          <w:b/>
          <w:sz w:val="24"/>
          <w:szCs w:val="24"/>
        </w:rPr>
        <w:t>2.1前端智能感知点位建设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视频监控设备前端建设以高清视频监控为主。摄像机应适用不同应用场景的监控现场环境和监控范围，宜选用固定式枪型摄像机，结合目前高清摄像机主流产品及发展方向，本项目主要选型类别包含：400万全结构化双目摄像机、运营商链路、视频云存储系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全结构化双目摄像机应满足用户业务应用需求，双目摄像机上通道看细节，下通道看全景，支持人脸抓拍：支持对运动人脸进行抓拍，支持性别、年龄、年龄段、戴眼镜、戴口罩、表情、戴帽子b) ；支持抓拍人体：支持上衣颜色、下装颜色、性别、戴眼镜、背包、拎东西、戴帽子、戴口罩、长短袖、裤裙、发型属性识别c)；支持抓拍非机动车：支持上衣颜色、性别、戴眼镜、背包、戴帽子、戴口罩、长短袖、发型、骑车类型识别d) 抓拍机动车；支持车牌识别并抓拍：车型、车牌颜色、车身颜色、车牌类型、子品牌车身颜色属性识别。</w:t>
      </w:r>
    </w:p>
    <w:p>
      <w:pPr>
        <w:pStyle w:val="106"/>
        <w:spacing w:before="120" w:after="120" w:line="360" w:lineRule="auto"/>
        <w:ind w:firstLine="422"/>
        <w:rPr>
          <w:rFonts w:hint="eastAsia" w:ascii="宋体" w:hAnsi="宋体" w:eastAsia="宋体" w:cs="宋体"/>
          <w:b/>
          <w:sz w:val="24"/>
          <w:szCs w:val="24"/>
        </w:rPr>
      </w:pPr>
      <w:r>
        <w:rPr>
          <w:rFonts w:hint="eastAsia" w:ascii="宋体" w:hAnsi="宋体" w:eastAsia="宋体" w:cs="宋体"/>
          <w:b/>
          <w:sz w:val="24"/>
          <w:szCs w:val="24"/>
        </w:rPr>
        <w:t>2.2中心云存储设备及运维服务</w:t>
      </w:r>
    </w:p>
    <w:p>
      <w:pPr>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此次硕放街道辖区技防建设云存储系统采用两台云存储管理服务器集群部署方式，管理节点集群部署是一种高可靠性、高稳定性的部署模式，集群部署可以保持规模与性能的线性增长，两台管理服务器集群可以支撑10000路以内的摄像机通道规模，适合硕放街道辖区技防建设的发展趋势。</w:t>
      </w:r>
    </w:p>
    <w:p>
      <w:pPr>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此次视频云存储项目建设需要具备以下功能：</w:t>
      </w:r>
    </w:p>
    <w:p>
      <w:pPr>
        <w:spacing w:line="360" w:lineRule="auto"/>
        <w:ind w:firstLine="480" w:firstLineChars="200"/>
        <w:jc w:val="left"/>
        <w:rPr>
          <w:rFonts w:hint="eastAsia" w:ascii="宋体" w:hAnsi="宋体" w:eastAsia="宋体" w:cs="宋体"/>
          <w:color w:val="000000"/>
          <w:sz w:val="24"/>
          <w:szCs w:val="24"/>
        </w:rPr>
      </w:pPr>
      <w:bookmarkStart w:id="1" w:name="_Toc397087029"/>
      <w:bookmarkStart w:id="2" w:name="_Toc395865349"/>
      <w:r>
        <w:rPr>
          <w:rFonts w:hint="eastAsia" w:ascii="宋体" w:hAnsi="宋体" w:eastAsia="宋体" w:cs="宋体"/>
          <w:b/>
          <w:color w:val="000000"/>
          <w:kern w:val="0"/>
          <w:sz w:val="24"/>
          <w:szCs w:val="24"/>
        </w:rPr>
        <w:t>系统帐户管理</w:t>
      </w:r>
      <w:bookmarkEnd w:id="1"/>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云存储对外提供登陆、认证接口，保证系统安全性。云平台必须配置云存储的用户名和密码之后才能接入到云存储系统。用户通过云存储运维系统进行删除节点，格式化节点等操作时，必须再次输入用户名密码，防止系统被非法破坏。</w:t>
      </w:r>
    </w:p>
    <w:p>
      <w:pPr>
        <w:spacing w:line="360" w:lineRule="auto"/>
        <w:ind w:firstLine="480" w:firstLineChars="200"/>
        <w:jc w:val="left"/>
        <w:rPr>
          <w:rFonts w:hint="eastAsia" w:ascii="宋体" w:hAnsi="宋体" w:eastAsia="宋体" w:cs="宋体"/>
          <w:color w:val="000000"/>
          <w:sz w:val="24"/>
          <w:szCs w:val="24"/>
        </w:rPr>
      </w:pPr>
      <w:bookmarkStart w:id="3" w:name="_Toc397087030"/>
      <w:r>
        <w:rPr>
          <w:rFonts w:hint="eastAsia" w:ascii="宋体" w:hAnsi="宋体" w:eastAsia="宋体" w:cs="宋体"/>
          <w:b/>
          <w:color w:val="000000"/>
          <w:kern w:val="0"/>
          <w:sz w:val="24"/>
          <w:szCs w:val="24"/>
        </w:rPr>
        <w:t>存储空间管理</w:t>
      </w:r>
      <w:bookmarkEnd w:id="2"/>
      <w:bookmarkEnd w:id="3"/>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通过存储虚拟化技术，各种云存储设备被虚拟化成一个统一存储池，提供给多个系统来使用。系统单域可管理256个数据节点，支持16PB空间，10000路高清视频可以存储1个月，多域扩展无上限。通过存储池管理，可以为每个系统或者每个用途划分独立的存储空间来使用。比如可以给视频存储，图片存储，视图库各自划分一个空间，也可以细化到为每个摄像头划分一个空间，可以灵活配置。</w:t>
      </w:r>
    </w:p>
    <w:p>
      <w:pPr>
        <w:spacing w:line="360" w:lineRule="auto"/>
        <w:ind w:firstLine="480" w:firstLineChars="200"/>
        <w:jc w:val="left"/>
        <w:rPr>
          <w:rFonts w:hint="eastAsia" w:ascii="宋体" w:hAnsi="宋体" w:eastAsia="宋体" w:cs="宋体"/>
          <w:color w:val="000000"/>
          <w:sz w:val="24"/>
          <w:szCs w:val="24"/>
        </w:rPr>
      </w:pPr>
      <w:bookmarkStart w:id="4" w:name="_Toc397087031"/>
      <w:r>
        <w:rPr>
          <w:rFonts w:hint="eastAsia" w:ascii="宋体" w:hAnsi="宋体" w:eastAsia="宋体" w:cs="宋体"/>
          <w:b/>
          <w:color w:val="000000"/>
          <w:kern w:val="0"/>
          <w:sz w:val="24"/>
          <w:szCs w:val="24"/>
        </w:rPr>
        <w:t>录像图片写入</w:t>
      </w:r>
      <w:bookmarkEnd w:id="4"/>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录像图片写入流程为，中心管理服务器将录像计划下发到流媒体服务器，流媒体服务器从前端摄像头或者卡口相机获取视频和图片，然后调用流媒体SDK将数据写入到云存储中。流媒体服务器是经过负载均衡选择的，任意一个流媒体服务器都可以接入任意摄像头写入到云存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写入云存储时，流媒体服务器先访问元数据服务器分配存储对象空间，一个对象的空间是由多个存储节点组成的，流媒体SDK会对数据进行分片和EC计算，然后将数据接入到分配好的到多个数据节点中。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数据写入时，会同时写入索引数据，以便后续进行按时间定位录像或图片。同时，流媒体SDK会实现按照空间或者时间删除旧的文件，保证新文件可以持续写入，实现循环覆盖。</w:t>
      </w:r>
      <w:r>
        <w:rPr>
          <w:rFonts w:hint="eastAsia" w:ascii="宋体" w:hAnsi="宋体" w:eastAsia="宋体" w:cs="宋体"/>
          <w:sz w:val="24"/>
          <w:szCs w:val="24"/>
        </w:rPr>
        <w:tab/>
      </w:r>
    </w:p>
    <w:p>
      <w:pPr>
        <w:spacing w:line="360" w:lineRule="auto"/>
        <w:ind w:firstLine="480" w:firstLineChars="200"/>
        <w:jc w:val="left"/>
        <w:rPr>
          <w:rFonts w:hint="eastAsia" w:ascii="宋体" w:hAnsi="宋体" w:eastAsia="宋体" w:cs="宋体"/>
          <w:color w:val="000000"/>
          <w:sz w:val="24"/>
          <w:szCs w:val="24"/>
        </w:rPr>
      </w:pPr>
      <w:bookmarkStart w:id="5" w:name="_Toc397087032"/>
      <w:r>
        <w:rPr>
          <w:rFonts w:hint="eastAsia" w:ascii="宋体" w:hAnsi="宋体" w:eastAsia="宋体" w:cs="宋体"/>
          <w:b/>
          <w:color w:val="000000"/>
          <w:kern w:val="0"/>
          <w:sz w:val="24"/>
          <w:szCs w:val="24"/>
        </w:rPr>
        <w:t>录像图片检索</w:t>
      </w:r>
      <w:bookmarkEnd w:id="5"/>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录像图片查询时，命令先发给负载比较轻的流媒体服务器，任意一个流媒体服务器都可以通过流媒体SDK找到云存储中的任意摄像头的录像记录。按文件查询可以得到文件列表，上层应用可以据此生成时间轴。文件列表一直缓冲在元数据服务器的内存中，所以结果可以秒级呈现给用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检索条件支持监控点编号、录像类型、时间组合、锁定、标注等条件查询录像数据等多种方式。</w:t>
      </w:r>
    </w:p>
    <w:p>
      <w:pPr>
        <w:spacing w:line="360" w:lineRule="auto"/>
        <w:ind w:firstLine="480" w:firstLineChars="200"/>
        <w:jc w:val="left"/>
        <w:rPr>
          <w:rFonts w:hint="eastAsia" w:ascii="宋体" w:hAnsi="宋体" w:eastAsia="宋体" w:cs="宋体"/>
          <w:color w:val="000000"/>
          <w:sz w:val="24"/>
          <w:szCs w:val="24"/>
        </w:rPr>
      </w:pPr>
      <w:bookmarkStart w:id="6" w:name="_Toc397087033"/>
      <w:r>
        <w:rPr>
          <w:rFonts w:hint="eastAsia" w:ascii="宋体" w:hAnsi="宋体" w:eastAsia="宋体" w:cs="宋体"/>
          <w:b/>
          <w:color w:val="000000"/>
          <w:kern w:val="0"/>
          <w:sz w:val="24"/>
          <w:szCs w:val="24"/>
        </w:rPr>
        <w:t>录像图片回放</w:t>
      </w:r>
      <w:bookmarkEnd w:id="6"/>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录像图片读取时，命令也会经由中心管理服务器发给流媒体服务器，包括对应的摄像头和时间点。流媒体服务器会对相关的索引进行缓冲，实现1s内快速定位。最终会根据摄像头名称，ID，时间段，录像类型定位到云存储上的文件及偏移，开始读文件过程。流媒体服务器是经过负载均衡选择的，任意一个流媒体服务器都可以从云存储读取任意摄像头的数据。</w:t>
      </w:r>
    </w:p>
    <w:p>
      <w:pPr>
        <w:spacing w:line="360" w:lineRule="auto"/>
        <w:ind w:firstLine="480" w:firstLineChars="200"/>
        <w:jc w:val="left"/>
        <w:rPr>
          <w:rFonts w:hint="eastAsia" w:ascii="宋体" w:hAnsi="宋体" w:eastAsia="宋体" w:cs="宋体"/>
          <w:color w:val="000000"/>
          <w:sz w:val="24"/>
          <w:szCs w:val="24"/>
        </w:rPr>
      </w:pPr>
      <w:bookmarkStart w:id="7" w:name="_Toc397087034"/>
      <w:r>
        <w:rPr>
          <w:rFonts w:hint="eastAsia" w:ascii="宋体" w:hAnsi="宋体" w:eastAsia="宋体" w:cs="宋体"/>
          <w:b/>
          <w:color w:val="000000"/>
          <w:kern w:val="0"/>
          <w:sz w:val="24"/>
          <w:szCs w:val="24"/>
        </w:rPr>
        <w:t>录像图片下载</w:t>
      </w:r>
      <w:bookmarkEnd w:id="7"/>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录像图片下载和回放流程相识，但下载速度可以放到很大。按时间段下载时，流媒体SDK会把录像图片记录按照需要的时间段进行切割和组合，得到完整的时间段内数据。下载中断时，下载任务还在任务列表中，可以点击进行断点续传下载。</w:t>
      </w:r>
    </w:p>
    <w:p>
      <w:pPr>
        <w:spacing w:line="360" w:lineRule="auto"/>
        <w:ind w:firstLine="480" w:firstLineChars="200"/>
        <w:jc w:val="left"/>
        <w:rPr>
          <w:rFonts w:hint="eastAsia" w:ascii="宋体" w:hAnsi="宋体" w:eastAsia="宋体" w:cs="宋体"/>
          <w:color w:val="000000"/>
          <w:sz w:val="24"/>
          <w:szCs w:val="24"/>
        </w:rPr>
      </w:pPr>
      <w:bookmarkStart w:id="8" w:name="_Toc397087035"/>
      <w:r>
        <w:rPr>
          <w:rFonts w:hint="eastAsia" w:ascii="宋体" w:hAnsi="宋体" w:eastAsia="宋体" w:cs="宋体"/>
          <w:b/>
          <w:color w:val="000000"/>
          <w:kern w:val="0"/>
          <w:sz w:val="24"/>
          <w:szCs w:val="24"/>
        </w:rPr>
        <w:t>录像图片锁定</w:t>
      </w:r>
      <w:bookmarkEnd w:id="8"/>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通过流媒体SDK，可以对重要的录像图片进行锁定，避免被循环覆盖掉，循环覆盖会在剩余的中进行。在录像图片已经备份出去或者已经没有使用价值的时候，可以将文件解锁，释放对应的空间。</w:t>
      </w:r>
    </w:p>
    <w:p>
      <w:pPr>
        <w:spacing w:line="360" w:lineRule="auto"/>
        <w:ind w:firstLine="480" w:firstLineChars="200"/>
        <w:jc w:val="left"/>
        <w:rPr>
          <w:rFonts w:hint="eastAsia" w:ascii="宋体" w:hAnsi="宋体" w:eastAsia="宋体" w:cs="宋体"/>
          <w:color w:val="000000"/>
          <w:sz w:val="24"/>
          <w:szCs w:val="24"/>
        </w:rPr>
      </w:pPr>
      <w:bookmarkStart w:id="9" w:name="_Toc397087036"/>
      <w:bookmarkStart w:id="10" w:name="_Toc395865351"/>
      <w:r>
        <w:rPr>
          <w:rFonts w:hint="eastAsia" w:ascii="宋体" w:hAnsi="宋体" w:eastAsia="宋体" w:cs="宋体"/>
          <w:b/>
          <w:color w:val="000000"/>
          <w:kern w:val="0"/>
          <w:sz w:val="24"/>
          <w:szCs w:val="24"/>
        </w:rPr>
        <w:t>快速数据恢复</w:t>
      </w:r>
      <w:bookmarkEnd w:id="9"/>
      <w:bookmarkEnd w:id="10"/>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文件写入时，数据被分片冗余存储在不同的存储节点上，采用节点间冗余容错机制进行容错，可在组内任意损坏一个存储服务器节点的情况下实现数据完整可靠，降低硬件故障、网络异常等给系统造成的数据丢失风险。</w:t>
      </w:r>
      <w:bookmarkStart w:id="11" w:name="_Toc397087037"/>
      <w:bookmarkStart w:id="12" w:name="_Toc395865352"/>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b/>
          <w:color w:val="000000"/>
          <w:kern w:val="0"/>
          <w:sz w:val="24"/>
          <w:szCs w:val="24"/>
        </w:rPr>
        <w:t>动态负载均衡</w:t>
      </w:r>
      <w:bookmarkEnd w:id="11"/>
      <w:bookmarkEnd w:id="12"/>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一个存储集群内部，众多存储节点组建形成的一个统一空间，从整体性能、避免单点故障、数据热点瓶颈等方面，都需要一个良好的动态负载均衡功能。动态负载均衡指集群内部，自动根据各存储节点的IO负载、空间容量、CPU、内存负载等因素，调度数据流向，实现IO读写的负载均衡。</w:t>
      </w:r>
    </w:p>
    <w:p>
      <w:pPr>
        <w:spacing w:line="360" w:lineRule="auto"/>
        <w:ind w:firstLine="480" w:firstLineChars="200"/>
        <w:jc w:val="left"/>
        <w:rPr>
          <w:rFonts w:hint="eastAsia" w:ascii="宋体" w:hAnsi="宋体" w:eastAsia="宋体" w:cs="宋体"/>
          <w:color w:val="000000"/>
          <w:sz w:val="24"/>
          <w:szCs w:val="24"/>
        </w:rPr>
      </w:pPr>
      <w:bookmarkStart w:id="13" w:name="_Toc395865353"/>
      <w:bookmarkStart w:id="14" w:name="_Toc397087038"/>
      <w:r>
        <w:rPr>
          <w:rFonts w:hint="eastAsia" w:ascii="宋体" w:hAnsi="宋体" w:eastAsia="宋体" w:cs="宋体"/>
          <w:b/>
          <w:color w:val="000000"/>
          <w:kern w:val="0"/>
          <w:sz w:val="24"/>
          <w:szCs w:val="24"/>
        </w:rPr>
        <w:t>在线弹性扩容</w:t>
      </w:r>
      <w:bookmarkEnd w:id="13"/>
      <w:bookmarkEnd w:id="14"/>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云存储支持在线扩容，在线业务持续运行的情况下，可以动态增加或缩小云存储系统的容量，表现业务无感知的增加或删除存储节点。由于云存储系统为一个整体，结合集群管理、数据冗余与恢复等机制，实现了在线动态增加删除节点，对业务层仅表现为存储容量的增加和删除。</w:t>
      </w:r>
    </w:p>
    <w:p>
      <w:pPr>
        <w:spacing w:line="360" w:lineRule="auto"/>
        <w:ind w:firstLine="480" w:firstLineChars="200"/>
        <w:jc w:val="left"/>
        <w:rPr>
          <w:rFonts w:hint="eastAsia" w:ascii="宋体" w:hAnsi="宋体" w:eastAsia="宋体" w:cs="宋体"/>
          <w:color w:val="000000"/>
          <w:sz w:val="24"/>
          <w:szCs w:val="24"/>
        </w:rPr>
      </w:pPr>
      <w:bookmarkStart w:id="15" w:name="_Toc397087039"/>
      <w:bookmarkStart w:id="16" w:name="_Toc395865355"/>
      <w:r>
        <w:rPr>
          <w:rFonts w:hint="eastAsia" w:ascii="宋体" w:hAnsi="宋体" w:eastAsia="宋体" w:cs="宋体"/>
          <w:b/>
          <w:color w:val="000000"/>
          <w:kern w:val="0"/>
          <w:sz w:val="24"/>
          <w:szCs w:val="24"/>
        </w:rPr>
        <w:t>自动失败接管</w:t>
      </w:r>
      <w:bookmarkEnd w:id="15"/>
      <w:bookmarkEnd w:id="16"/>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单数据节点，其由于硬件、磁盘等原因，可用性是难以保证的。形成集群之后，故障率得到了放大，从而表现为集群整体可靠性下降，存储服务可用性较低。但是利用集群管理技术，存储节点错误检测和调度机制，可以实现存储节点错误的透明化，从而实现对客户端而言，提高存储服务的高可用性。</w:t>
      </w:r>
    </w:p>
    <w:p>
      <w:pPr>
        <w:spacing w:line="360" w:lineRule="auto"/>
        <w:ind w:firstLine="480" w:firstLineChars="200"/>
        <w:jc w:val="left"/>
        <w:rPr>
          <w:rFonts w:hint="eastAsia" w:ascii="宋体" w:hAnsi="宋体" w:eastAsia="宋体" w:cs="宋体"/>
          <w:color w:val="000000"/>
          <w:sz w:val="24"/>
          <w:szCs w:val="24"/>
        </w:rPr>
      </w:pPr>
      <w:bookmarkStart w:id="17" w:name="_Toc395865356"/>
      <w:bookmarkStart w:id="18" w:name="_Toc397087040"/>
      <w:r>
        <w:rPr>
          <w:rFonts w:hint="eastAsia" w:ascii="宋体" w:hAnsi="宋体" w:eastAsia="宋体" w:cs="宋体"/>
          <w:b/>
          <w:color w:val="000000"/>
          <w:kern w:val="0"/>
          <w:sz w:val="24"/>
          <w:szCs w:val="24"/>
        </w:rPr>
        <w:t>智能运维管理</w:t>
      </w:r>
      <w:bookmarkEnd w:id="17"/>
      <w:bookmarkEnd w:id="18"/>
      <w:r>
        <w:rPr>
          <w:rFonts w:hint="eastAsia" w:ascii="宋体" w:hAnsi="宋体" w:eastAsia="宋体" w:cs="宋体"/>
          <w:b/>
          <w:color w:val="000000"/>
          <w:kern w:val="0"/>
          <w:sz w:val="24"/>
          <w:szCs w:val="24"/>
        </w:rPr>
        <w:t>。</w:t>
      </w:r>
      <w:r>
        <w:rPr>
          <w:rFonts w:hint="eastAsia" w:ascii="宋体" w:hAnsi="宋体" w:eastAsia="宋体" w:cs="宋体"/>
          <w:color w:val="000000"/>
          <w:sz w:val="24"/>
          <w:szCs w:val="24"/>
        </w:rPr>
        <w:t>运维管理平台为系统管理员提供配置和维护云存储系统的有效工具，提供Web界面，充分体现了系统的可维护性。管理监控中心提供设备管理、系统监控、告警管理、故障管理等功能。设备管理包括设备IP配置、数据格式化、添加设备、删除设备等功能。设备的版本、CPU、内存、网卡、磁盘可以通过运维界面很方便地查看。作为整个云存储系统的管理接口，实现集群管理、维护、监测的友好、简单。</w:t>
      </w:r>
    </w:p>
    <w:p>
      <w:pPr>
        <w:pStyle w:val="106"/>
        <w:spacing w:before="120" w:after="120" w:line="360" w:lineRule="auto"/>
        <w:ind w:firstLine="422"/>
        <w:rPr>
          <w:rFonts w:hint="eastAsia" w:ascii="宋体" w:hAnsi="宋体" w:eastAsia="宋体" w:cs="宋体"/>
          <w:b/>
          <w:sz w:val="24"/>
          <w:szCs w:val="24"/>
        </w:rPr>
      </w:pPr>
      <w:r>
        <w:rPr>
          <w:rFonts w:hint="eastAsia" w:ascii="宋体" w:hAnsi="宋体" w:eastAsia="宋体" w:cs="宋体"/>
          <w:b/>
          <w:sz w:val="24"/>
          <w:szCs w:val="24"/>
        </w:rPr>
        <w:t>2.3与区级汇聚平台（区智慧技防小区视频汇聚平台）联网要求</w:t>
      </w:r>
    </w:p>
    <w:p>
      <w:pPr>
        <w:pStyle w:val="106"/>
        <w:spacing w:before="120" w:after="120" w:line="360" w:lineRule="auto"/>
        <w:rPr>
          <w:b/>
        </w:rPr>
      </w:pPr>
      <w:r>
        <w:drawing>
          <wp:inline distT="0" distB="0" distL="114300" distR="114300">
            <wp:extent cx="4857750" cy="255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857750" cy="2552700"/>
                    </a:xfrm>
                    <a:prstGeom prst="rect">
                      <a:avLst/>
                    </a:prstGeom>
                    <a:noFill/>
                    <a:ln>
                      <a:noFill/>
                    </a:ln>
                  </pic:spPr>
                </pic:pic>
              </a:graphicData>
            </a:graphic>
          </wp:inline>
        </w:drawing>
      </w:r>
    </w:p>
    <w:p>
      <w:pPr>
        <w:spacing w:line="360" w:lineRule="auto"/>
        <w:ind w:firstLine="480"/>
        <w:jc w:val="left"/>
        <w:rPr>
          <w:rFonts w:ascii="宋体" w:hAnsi="宋体"/>
          <w:color w:val="000000"/>
          <w:kern w:val="0"/>
          <w:sz w:val="24"/>
        </w:rPr>
      </w:pPr>
      <w:r>
        <w:rPr>
          <w:rFonts w:hint="eastAsia" w:ascii="宋体" w:hAnsi="宋体"/>
          <w:color w:val="000000"/>
          <w:kern w:val="0"/>
          <w:sz w:val="24"/>
        </w:rPr>
        <w:t>前端建设的高清视频监控采用租赁运营商专用VPN模式，前端所采集的视频图像经过点位户籍化治理服务后，视频数据通过运营商链路上传到新吴区智慧技防小区视频汇聚平台，并推送到公安视频专网，实现全城共享，减少点位的多头建设。</w:t>
      </w:r>
    </w:p>
    <w:p>
      <w:pPr>
        <w:pStyle w:val="107"/>
        <w:spacing w:line="360" w:lineRule="auto"/>
        <w:ind w:firstLine="482"/>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、设备清单</w:t>
      </w:r>
    </w:p>
    <w:p>
      <w:pPr>
        <w:pStyle w:val="2"/>
        <w:spacing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设备清单（本项目所有硬件设备为租赁模式，产权不归采购人。租赁设备参数必须满足以下要求，并填列于技术标《设备清单》中）</w:t>
      </w:r>
    </w:p>
    <w:tbl>
      <w:tblPr>
        <w:tblStyle w:val="23"/>
        <w:tblW w:w="9689" w:type="dxa"/>
        <w:tblInd w:w="0" w:type="dxa"/>
        <w:tblLayout w:type="autofit"/>
        <w:tblCellMar>
          <w:top w:w="0" w:type="dxa"/>
          <w:left w:w="0" w:type="dxa"/>
          <w:bottom w:w="0" w:type="dxa"/>
          <w:right w:w="0" w:type="dxa"/>
        </w:tblCellMar>
      </w:tblPr>
      <w:tblGrid>
        <w:gridCol w:w="646"/>
        <w:gridCol w:w="1305"/>
        <w:gridCol w:w="5896"/>
        <w:gridCol w:w="850"/>
        <w:gridCol w:w="992"/>
      </w:tblGrid>
      <w:tr>
        <w:tblPrEx>
          <w:tblCellMar>
            <w:top w:w="0" w:type="dxa"/>
            <w:left w:w="0" w:type="dxa"/>
            <w:bottom w:w="0" w:type="dxa"/>
            <w:right w:w="0" w:type="dxa"/>
          </w:tblCellMar>
        </w:tblPrEx>
        <w:trPr>
          <w:trHeight w:val="500" w:hRule="atLeast"/>
        </w:trPr>
        <w:tc>
          <w:tcPr>
            <w:tcW w:w="646"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30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设备名称</w:t>
            </w:r>
          </w:p>
        </w:tc>
        <w:tc>
          <w:tcPr>
            <w:tcW w:w="5896"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参数说明</w:t>
            </w:r>
          </w:p>
        </w:tc>
        <w:tc>
          <w:tcPr>
            <w:tcW w:w="85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99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szCs w:val="21"/>
              </w:rPr>
            </w:pPr>
            <w:r>
              <w:rPr>
                <w:rFonts w:hint="eastAsia" w:ascii="宋体" w:hAnsi="宋体" w:cs="微软雅黑"/>
                <w:color w:val="000000"/>
                <w:kern w:val="0"/>
                <w:szCs w:val="21"/>
                <w:lang w:bidi="ar"/>
              </w:rPr>
              <w:t>1</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微软雅黑"/>
                <w:color w:val="000000"/>
                <w:szCs w:val="21"/>
              </w:rPr>
            </w:pPr>
            <w:r>
              <w:rPr>
                <w:rFonts w:hint="eastAsia" w:ascii="宋体" w:hAnsi="宋体" w:cs="微软雅黑"/>
                <w:color w:val="000000"/>
                <w:kern w:val="0"/>
                <w:szCs w:val="21"/>
              </w:rPr>
              <w:t>4</w:t>
            </w:r>
            <w:r>
              <w:rPr>
                <w:rFonts w:ascii="宋体" w:hAnsi="宋体" w:cs="微软雅黑"/>
                <w:color w:val="000000"/>
                <w:kern w:val="0"/>
                <w:szCs w:val="21"/>
              </w:rPr>
              <w:t>00</w:t>
            </w:r>
            <w:r>
              <w:rPr>
                <w:rFonts w:hint="eastAsia" w:ascii="宋体" w:hAnsi="宋体" w:cs="微软雅黑"/>
                <w:color w:val="000000"/>
                <w:kern w:val="0"/>
                <w:szCs w:val="21"/>
              </w:rPr>
              <w:t>万全结构化双目摄像机</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400万 1/1.8" CMOS AI多摄全结构化相机</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专业智能功能:</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AI多摄全结构化双目筒机上通道看细节，下通道看全景，采用双舱一体化设计，由双镜头相机与高性能GPU模块组成，聚合多种专为复杂场景设计的深度学习算法，实现全结构化数据精准采集，具备多场景数据融合分析能力，实现全方位态势感知</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支持4种智能资源模式切换：混合目标检测-全结构化模式（默认）、混合目标检测-比对模式，人脸抓拍，Smart事件</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混合目标检测(抓拍+属性并发提取)：</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a) 抓拍人脸：支持对运动人脸进行抓拍，支持性别、年龄、年龄段、戴眼镜、戴口罩、表情、戴帽子</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b) 抓拍人体：支持上衣颜色、下装颜色、性别、戴眼镜、背包、拎东西、戴帽子、戴口罩、长短袖、裤裙、发型属性识别</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c) 抓拍非机动车：支持上衣颜色、性别、戴眼镜、背包、戴帽子、戴口罩、长短袖、发型、骑车类型识别</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d) 抓拍机动车：支持车牌识别并抓拍。支持车型、车牌颜色、车身颜色、车牌类型、子品牌车身颜色属性识别</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人脸抓拍：</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a) 支持最多120个/帧人脸检测</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b) 支持对运动人脸进行检测、跟踪、抓拍、评分、筛选，输出最优的人脸</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c) 支持人脸去误报、快速抓拍人脸</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混合目标检测（比对模式）：</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a) 支持前端人脸比对；</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b) 支持最多10个人脸库的管理；</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c) 支持最多15万张人脸的导入；</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d) 支持合计人脸库的存储空间最大3 GB，单张人脸不超过300 KB</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e) 支持不同人脸库不同时间布防；</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f) 支持黑名单比对成功报警输出；</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g) 支持人脸瞳距20像素以上的人脸检测；</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h) 支持人脸快速比对多种比对方式设置；</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传感器类型: 通道1：1/1.8" Progressive Scan CMOS; 通道2：1/2.7" Progressive Scan CMOS</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最低照度: </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通道1：彩色：0.0005 Lux @（F1.2，AGC ON） ; 黑白：0.0001 Lux @（F1.2，AGC ON），0 Lux with IR</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通道2：彩色：0.0005 Lux @（F1.0，AGC ON） ; 黑白：0.0001 Lux @（F1.0，AGC ON），0 Lux with IR</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宽动态: 120 dB</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波长范围: 750 nm</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补光距离: </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通道1：混合补光（750+白光）: 人脸：20 m，普通监控：80 m</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通道2：暖白光: 普通监控：30 m</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最大图像尺寸: 通道1：2688 × 1520; 通道2：1920 × 1080</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视频压缩标准: H.265/H.264/MJPEG</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网络存储: 支持标准Micro SD(即TF卡)/Micro SDHC/Micro SDXC（最大256 GB）断网本地存储及断网续传，NAS（NFS，SMB/CIFS均支持） </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报警: 3路输入，2路输出（报警输出最大支持AC24 V或DC24 V，1A）</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音频: 2路输入（3.5 mm）; 1路输出（3.5 mm）; 2个内置麦克风（拾音范围最远10 m），1个内置扬声器（覆盖范围最大100 ㎡）</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1个RS-485</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视频输出: 1 Vpp Composite Output（75Ω/CVBS）</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复位: 支持</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网络: 1个RJ45 10 M/100 M/1000 M自适应以太网口</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电源输出: DC12 V，50 mA，拾音器供电使用</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加热器: 玻璃加热</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存储温湿度: -30 ℃~60 ℃，湿度小于95%（无凝结）</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启动及工作温湿度: -30 ℃~60 ℃，湿度小于95%（无凝结）</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供电方式: DC：12 V ± 20%，支持防反接保护; PoE：802.3at，Class 4</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防护: IP66</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szCs w:val="21"/>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szCs w:val="21"/>
              </w:rPr>
            </w:pPr>
            <w:r>
              <w:rPr>
                <w:rFonts w:hint="eastAsia" w:ascii="宋体" w:hAnsi="宋体" w:cs="微软雅黑"/>
                <w:color w:val="000000"/>
                <w:szCs w:val="21"/>
              </w:rPr>
              <w:t>90</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bookmarkStart w:id="19" w:name="_Hlk101518309"/>
            <w:r>
              <w:rPr>
                <w:rFonts w:hint="eastAsia" w:ascii="宋体" w:hAnsi="宋体" w:cs="微软雅黑"/>
                <w:color w:val="000000"/>
                <w:kern w:val="0"/>
                <w:szCs w:val="21"/>
                <w:lang w:bidi="ar"/>
              </w:rPr>
              <w:t>2</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联网网关</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支持1个10/100Base-TX上行电口、4个10/100Base-TX下行电口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支持不大于15路 720/1080p(4M)高清并发调用千兆</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支持1个10/100/1000Base-TX 上行电口，4个10/100/1000Base-TX 下行电口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支持不大于150路 720/1080p(4M)高清并发调用，支持GA/T 1400.1-2017协议传输</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支持路由遮断功能，两侧网络互相查询不到对端IP地址和路由等网络信息；</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支持包括Onvif、GB/T28181、第三方SDK等协议设备的接入</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支持结构化数据透传</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支持摄像机、DVR、NVR、视频管控平台等多种设备形式接入和管理；</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支持专线、VPN、宽带固定地址</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接入实施不改变社会单位原有网络的IP地址规划架构，设备即插即用，无需特别设置，接入工程量最小化，对平台没有捆绑性，可适用于任何平台；</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支持国内主流视频管控平台的对接互连，支持视频跨平台联网，支持跨行业视频资源整合共享；</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支持端口隔离，区分上行端口和用户端口，并可针对不同端口配置不同安全策略</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支持报文重定向</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防内网攻击、外网攻击</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具备安全功能管理，安全角色管理</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设计数据生成和查阅</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管理与维护：支持XModem/FTP/TFTP加载升级</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支持命令行接口（CLI），Telnet，Console口进行配置</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支持SNMPv1/v2/v3，WEB网管</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独立工作，无需服务器支撑，无缝对接任何视频平台</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工作温度：-20～70℃</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r>
      <w:bookmarkEnd w:id="19"/>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微软雅黑"/>
                <w:color w:val="000000"/>
                <w:kern w:val="0"/>
                <w:szCs w:val="21"/>
              </w:rPr>
            </w:pPr>
            <w:r>
              <w:rPr>
                <w:rFonts w:hint="eastAsia" w:ascii="宋体" w:hAnsi="宋体" w:cs="宋体"/>
                <w:color w:val="000000"/>
                <w:kern w:val="0"/>
                <w:szCs w:val="21"/>
              </w:rPr>
              <w:t>运营商光纤（专线）及组网服务</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网络指标要求</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1）、网络时延上限值为150ms；</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2)、时延抖动上限值为50ms；</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3)、丢包率上限值为1×10-3；</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4)、包误差率上限值1×10-4。</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5)、前端设备与接入监控中心（即接入平台）的信息延迟应≤2000ms；</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6)、前端设备与用户端设备间端到端延迟时间（不含解码缓存的延时），即用户端首次发起点播信令到接收到前端设备视频流数据包的时延应≤2500ms。  </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条</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93</w:t>
            </w:r>
          </w:p>
        </w:tc>
      </w:tr>
      <w:tr>
        <w:tblPrEx>
          <w:tblCellMar>
            <w:top w:w="0" w:type="dxa"/>
            <w:left w:w="0" w:type="dxa"/>
            <w:bottom w:w="0" w:type="dxa"/>
            <w:right w:w="0" w:type="dxa"/>
          </w:tblCellMar>
        </w:tblPrEx>
        <w:trPr>
          <w:trHeight w:val="838"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4</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olor w:val="000000"/>
                <w:szCs w:val="21"/>
              </w:rPr>
              <w:t>视频云存储平台管理服务器</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2U机架式服务器</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处理器：64位多核处理器（核数≧16）</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内存：DDR4，标配32GB内存，最大可扩展至256GB</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内置SSD硬盘：标配2个热插拔960GB SSD硬盘</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网口：2个千兆网口，可扩展万兆口；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其它接口：1个RJ-45网络接口、4个USB 3.0接口，2个2.0接口，1个VGA接口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电源：高效能550W铂金1+1冗余电源</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2</w:t>
            </w:r>
          </w:p>
        </w:tc>
      </w:tr>
      <w:tr>
        <w:tblPrEx>
          <w:tblCellMar>
            <w:top w:w="0" w:type="dxa"/>
            <w:left w:w="0" w:type="dxa"/>
            <w:bottom w:w="0" w:type="dxa"/>
            <w:right w:w="0" w:type="dxa"/>
          </w:tblCellMar>
        </w:tblPrEx>
        <w:trPr>
          <w:trHeight w:val="804"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5</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olor w:val="000000"/>
                <w:szCs w:val="21"/>
              </w:rPr>
              <w:t>视频汇聚平台管理服务器</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kern w:val="0"/>
                <w:sz w:val="21"/>
                <w:szCs w:val="21"/>
              </w:rPr>
            </w:pP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4210R×1/32G DDR4/1.2T 10K  SAS×2(RAID_1)/SAS_HBA/1GbE×2/550W(1+1)/2U/16DIMM</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2U双路标准机架式服务器</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CPU：1颗处理器，核数≥10核，主频≥2.4GHz</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内存：16G*2 DDR4，16根内存插槽，最大支持扩展至2TB内存</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硬盘：2块1.2T 10K 2.5寸 SAS硬盘</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阵列卡：SAS_HBA卡, 支持RAID 0/1/10</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PCIE扩展：最大可支持6个PCIE扩展插槽</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网口：2个千兆电口</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其他接口：1个RJ45管理接口，后置2个USB 3.0接口，前置2个USB2.0接口，1个VGA接口</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电源：标配550W（1+1）高效铂金CRPS冗余电源 </w:t>
            </w:r>
          </w:p>
          <w:p>
            <w:pPr>
              <w:widowControl/>
              <w:jc w:val="left"/>
              <w:textAlignment w:val="center"/>
              <w:rPr>
                <w:rFonts w:hint="eastAsia" w:ascii="宋体" w:hAnsi="宋体" w:eastAsia="宋体" w:cs="宋体"/>
                <w:color w:val="000000"/>
                <w:kern w:val="0"/>
                <w:sz w:val="21"/>
                <w:szCs w:val="21"/>
              </w:rPr>
            </w:pP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6</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视频云存储节点</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8U机架式48盘位/64位多核处理器/16GB缓存/支持SATA硬盘/6个千兆网口/冗余电源/支持网络RAID/48块8T企业级IoT硬盘；</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▲支持云存储系统一键部署，一键部署微视云、标准云环境，一键部署包含组建集群、创建域、自动创建资源池等。</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▲一套云存储系统可对外提供多种类型数据混合存储，同时支持分布式流式存储，分布式对象存储、分布式文件存储、分布式块存储。</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▲支持按照设备可用容量实现负载均衡，各存储节点上存储的数据量在稳定状态下保持均衡，差距小于5%。</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▲支持按照接入任务数实现自动负载均衡，支持前端设备自动分配到存储节点。各节点间读写任务数差距±1。</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 《公安视频图像信息应用系统》中的GA/T1400协议。</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▲支持IPV4/IPV6双栈，支持iscsi、samba、nfs、cifs、ftp、afp协议。</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▲一套云存储系统中，支持的存储节点个数不小于4096个；多云集群系统支持不小于1024个云存储系统。</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▲支持时区设置，支持客户端与云存储设备在不同的时区，录像时间段不受异地时区影响。</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▲云存储支持单机EC方案，即支持以任一存储节点为单位独立设置N+M数据保护，支持多硬盘时，业务不中断，数据不丢失，同时可根据实时接入业务进行负载均衡。</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▲支持在管理节点全部故障、存储节点出现批量故障时，只要存在一台有效的存储，业务就不会中断。</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▲具备节点间容错功能，容忍N-1（N为设备总台数）台存储节点设备同时故障后，只要有1台以上存储节点设备正常，即可保证录像可写入，写入录像依然具备磁盘间容错能力。</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▲支持当磁盘或设备故障时，支持智能数据恢复，对标明重要的特定文件中的数据优先恢复。</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▲存储设备根据自身业务量，自适应重构速度，如当前设备空间资源较为充裕时，重构速度较高，若存储设备读写压力上来后，重构速度自动降低。</w:t>
            </w:r>
          </w:p>
          <w:p>
            <w:pPr>
              <w:widowControl/>
              <w:jc w:val="left"/>
              <w:textAlignment w:val="center"/>
              <w:rPr>
                <w:rFonts w:hint="eastAsia" w:ascii="宋体" w:hAnsi="宋体" w:eastAsia="宋体" w:cs="宋体"/>
                <w:b/>
                <w:sz w:val="21"/>
                <w:szCs w:val="21"/>
              </w:rPr>
            </w:pPr>
            <w:r>
              <w:rPr>
                <w:rFonts w:hint="eastAsia" w:ascii="宋体" w:hAnsi="宋体" w:eastAsia="宋体" w:cs="宋体"/>
                <w:b/>
                <w:sz w:val="21"/>
                <w:szCs w:val="21"/>
              </w:rPr>
              <w:t>▲支持两朵云的数据灾备，可通过同一图片、对象的URL对主、备云上的数据进行访问，客户端无感。</w:t>
            </w:r>
          </w:p>
          <w:p>
            <w:pPr>
              <w:widowControl/>
              <w:jc w:val="left"/>
              <w:textAlignment w:val="center"/>
              <w:rPr>
                <w:rFonts w:hint="eastAsia" w:ascii="宋体" w:hAnsi="宋体" w:eastAsia="宋体" w:cs="宋体"/>
                <w:sz w:val="21"/>
                <w:szCs w:val="21"/>
              </w:rPr>
            </w:pPr>
            <w:r>
              <w:rPr>
                <w:rFonts w:hint="eastAsia" w:ascii="宋体" w:hAnsi="宋体" w:eastAsia="宋体" w:cs="宋体"/>
                <w:b/>
                <w:sz w:val="21"/>
                <w:szCs w:val="21"/>
              </w:rPr>
              <w:t>▲支持通过统一运维一键式部署整个云存储系统，一键升级、格式化系统；支持设备自动发现，支持无需登录设备，即可远程配置IP地址；支持单服务、服务集群一键升级，支持升级包的hash签名加密认证。</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打▲项投标时必须提供公安部检验报告扫描件并加盖原厂商公章。</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7</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szCs w:val="21"/>
              </w:rPr>
              <w:t>图片云存储存储主机</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8U机架式48盘位；双路64位多核处理器；32GB缓存（可扩展256G）；48块6T企业级SATA磁盘；6个千兆网口；冗余电源；支持网络RAID；内置2颗SSD图片加速盘；</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图片文件以缩略图和裁剪图的形式下载；支持图片按URL单张下载；支持图片批量下载；图片按URL地址下载或按时间段批量下载时，均支持按压缩比例、按缩放比例、按区域（坐标、指定宽高）进行裁剪、按指定宽高下载；支持对图片指定区域加马赛克处理</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▲支持采用RESTful协议直存图片到云存储系统中。支持图片写入后1s内回显及下载</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▲支持能将抓拍图片直接在云系统上进行存储，无需配置任何存储转发服务器</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▲支持多种图片类型，jpg、png、gif、bmp实时缩略和裁剪下载，实时下载性能每台节点不小于1000张/s，并支持线性扩展；提供图片格式转换</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▲支持对动态抓拍图片及静态库图片配置不同的缓存策略；静态库图片永久保存在SSD中，以支持高并发、低延时的提取应用</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▲支持IPC编号、时间戳、类型、图片数据等多维度构建图片索引，支持根据多维度索引快速查询并提取图片，多维度索引查询性能无衰减</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打▲项投标时必须提供公安部检验报告扫描件并加盖原厂商公章。</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8</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人脸设备接入服务器</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4210R×1/32G DDR4/1.2T 10K  SAS×2(RAID_1)/SAS_HBA/1GbE×2/550W(1+1)/2U/16DIMM</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2U双路标准机架式服务器</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CPU：1颗处理器，核数≥10核，主频≥2.4GHz</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内存：16G*2 DDR4，16根内存插槽，最大支持扩展至2TB内存</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硬盘：2块1.2T 10K 2.5寸 SAS硬盘</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阵列卡：SAS_HBA卡, 支持RAID 0/1/10</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PCIE扩展：最大可支持6个PCIE扩展插槽</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网口：2个千兆电口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其他接口：1个RJ45管理接口，后置2个USB 3.0接口，前置2个USB2.0接口，1个VGA接口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电源：标配550W（1+1）高效铂金CRPS冗余电源 </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9</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olor w:val="000000"/>
                <w:szCs w:val="21"/>
              </w:rPr>
            </w:pPr>
            <w:r>
              <w:rPr>
                <w:rFonts w:hint="eastAsia" w:ascii="宋体" w:hAnsi="宋体" w:cs="宋体"/>
                <w:color w:val="000000"/>
                <w:kern w:val="0"/>
                <w:szCs w:val="21"/>
              </w:rPr>
              <w:t>融合大数据集群一体机</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CPU：HG7163(16C,2.4GHz)*2，2颗16核 X86架构CPU</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内存：256GB DDR4</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硬盘：240G M.2*1（系统）+240G SSD*1 + 480G SSD*6 + 2T 7.2K SATA *4</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热插拔：支持</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RAID：硬盘组RAID_2G(1个)</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外部接口：OCP 万兆光口（2个）+ 千兆电口（2个）；USB4个；VGA1个；最大支持10个PCIE扩展，含2个专用</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机箱规格：2U 机架式服务器机箱</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电源模块：高效能800W铂金1+1 CRPS冗余电源</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散热模块：最大4个热插拔冗余风扇        </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分布式存储、分布式计算等先进技术的海量数据统一存储与处理系统，能够针对海量的人脸、人体、车辆、WIFI等数据，提供高效的存取、检索、分析、挖掘等服务，为上层应用实现数据的技战法（快速查询、以图搜图、轨迹分析、区域碰撞等）提供基础支撑。支持以集群模式管理整体数据。45个用户并发，查询检索效率不低于4.5亿条数据/s，以图搜图效率不低于2000万条模型/s；支持在正常提供服务的情况下进行集群扩容，即增加集群服务器数量。当集群中任意节点发生故障时，集群可保持正常工作且数据不会丢失；含车辆数据应用服务支撑软件：支撑过车查询、轨迹查询、夜间面部遮挡、卡口流量预测、初次入城、频繁出入、区域碰撞、跟车关联；落脚点、隐匿车、昼伏夜出、空降车、车辆分组统计、以图搜图、套牌车分析、一车一档、模型布控、红名单</w:t>
            </w:r>
          </w:p>
          <w:p>
            <w:pPr>
              <w:widowControl/>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▲单台设备支持存储不少于20亿条数据</w:t>
            </w:r>
          </w:p>
          <w:p>
            <w:pPr>
              <w:widowControl/>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▲支持外部文件系统及大数据平台内部组件数据导入，导入性能单节点不低于100MB/s</w:t>
            </w:r>
          </w:p>
          <w:p>
            <w:pPr>
              <w:widowControl/>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▲支持数据实时写入到ElasticSearch，写入速度不低于30MB/s；支持实时导入数据到HBase，导入速度不低于100 MB/s</w:t>
            </w:r>
          </w:p>
          <w:p>
            <w:pPr>
              <w:widowControl/>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支持存储功能组件：Hadoop（分布式文件系统HDFS）、分布式协调Zookeeper、NoSQL数据库HBase、提供消息订阅Kafka、全文检索ElasticSearch、列式存储Kudu、高性能key-value数据库Redis、时序数据库STARTSDB、图数据库Janusgraph、时空数据库STRACK，日志收集LOGGER、元信息管理atlas</w:t>
            </w:r>
          </w:p>
          <w:p>
            <w:pPr>
              <w:widowControl/>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▲支持监控集群健康状态（组件状态、CPU及内存使用率、网络流量、磁盘空间使用率、磁盘挂载情况、磁盘IOPS等）。支持查看集群中各节点运行状态，组件状态，集群告警信息等</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打▲项投标时必须提供公安部检验报告扫描件并加盖原厂商公章。</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10</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视图库级联网关</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4210R×1/32G DDR4/1.2T 10K  SAS×2(RAID_1)/SAS_HBA/1GbE×2/550W(1+1)/2U/16DIMM</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2U双路标准机架式服务器</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CPU：1颗处理器，核数≥10核，主频≥2.4GHz</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内存：16G*2 DDR4，16根内存插槽，最大支持扩展至2TB内存</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硬盘：2块1.2T 10K 2.5寸 SAS硬盘</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阵列卡：SAS_HBA卡, 支持RAID 0/1/10</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PCIE扩展：最大可支持6个PCIE扩展插槽</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网口：2个千兆电口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其他接口：1个RJ45管理接口，后置2个USB 3.0接口，前置2个USB2.0接口，1个VGA接口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电源：标配550W（1+1）高效铂金CRPS冗余电源</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11</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智能分析服务一体机</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CPU：Hygon3185*1（8C/3.0GHz）</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GPU：4张高性能GPU卡</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内存：16GB DDR4 * 2 </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硬盘：240G SSD * 1（系统盘）</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网口：4个千兆自适应网口，1个1000M/100M自适应管理口</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电源：热插拔高效1+1冗余550W电源模块                              内含人像解析建模算法，采用GPU卡实现对人脸抓拍图片的建模解析，实现算法运行的硬件负载调度管理，实现与云存储系统与大数据系统的数据交互通信。</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1240" w:hRule="atLeast"/>
        </w:trPr>
        <w:tc>
          <w:tcPr>
            <w:tcW w:w="64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12</w:t>
            </w:r>
          </w:p>
        </w:tc>
        <w:tc>
          <w:tcPr>
            <w:tcW w:w="130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人像比对服务一体机</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2颗24核CPU(48线程，2.20GHz）/T4*6/640G DDR4/240G SSD+ 960G SSD+ 4T SATA /1GbE*2/1200W(1+1) </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人脸大数据模型比对功能，采用高性能GPU构架，具备高并发、超大库容等特性，可满足人员身份批量确认、行人打标签等海量人脸模型并发比对需求。实现抓拍图片与主题库、专题库等的比对功能，并可结合档案管理，实现人员归档。</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▲支持对照片进行矫正，提升特定员照片比对效果，误报率1%时的正确率应不低于99.9%;误报率=非同一人识别为同一人的次数/误报率比对总次数*100%；正确率=正确比对的次数/正确率比对总次数*100%</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▲支持单张人脸图片或同一人的多张人脸图片对底库进行人脸比对并输出TOPN人员信息结果和相似度，N支持系统自定义</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▲完成10万人脸聚类的时间不长于50s</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▲3000实名档案的条件下，归档正确大于99%，召回率大于99%；归档正确率=所有归入照片都正确的档案数/总档案数*100%；召回率=归入正确档案的图片数/总抓拍数*100%</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名单库容量4.8亿时，每秒处理不少于120个1:N人脸比对任务；名单库容量2.4亿时，每秒处理不少240个1:N人脸比对任务；名单容量1.2亿时，每秒处理不少于480个1:N人脸比对任务；名单库容量0.6亿时，每秒处理不少于960个1:N人脸比对任务</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▲支持一人一档底库和路人档案库的结构化信息提取、汇聚、导入、按需定期更新和库内相互比对更新功能，一人一档底库和路人档案库可根据人脸评分策略替换评分较低的底图，且支持多底图策略</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▲支持建立不少于512个人脸名单库，总容量不低于4.8亿张图片</w:t>
            </w:r>
          </w:p>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▲支持对不低于80*60像素，瞳间距不小于8像素的照片进行建库，支持JPG、JPEG、PNG、GIF、BMP、TIF格式的照片，支持zip、rar、tar等压缩方式上传建库，建库成功率不小99.9%</w:t>
            </w:r>
          </w:p>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打▲项投标时必须提供公安部检验报告扫描件并加盖原厂商公章</w:t>
            </w:r>
          </w:p>
        </w:tc>
        <w:tc>
          <w:tcPr>
            <w:tcW w:w="8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r>
      <w:tr>
        <w:tblPrEx>
          <w:tblCellMar>
            <w:top w:w="0" w:type="dxa"/>
            <w:left w:w="0" w:type="dxa"/>
            <w:bottom w:w="0" w:type="dxa"/>
            <w:right w:w="0" w:type="dxa"/>
          </w:tblCellMar>
        </w:tblPrEx>
        <w:trPr>
          <w:trHeight w:val="600" w:hRule="atLeast"/>
        </w:trPr>
        <w:tc>
          <w:tcPr>
            <w:tcW w:w="646" w:type="dxa"/>
            <w:vMerge w:val="restart"/>
            <w:tcBorders>
              <w:top w:val="single" w:color="000000" w:sz="4" w:space="0"/>
              <w:left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r>
              <w:rPr>
                <w:rFonts w:hint="eastAsia" w:ascii="宋体" w:hAnsi="宋体" w:cs="微软雅黑"/>
                <w:color w:val="000000"/>
                <w:kern w:val="0"/>
                <w:szCs w:val="21"/>
                <w:lang w:bidi="ar"/>
              </w:rPr>
              <w:t>13</w:t>
            </w:r>
          </w:p>
        </w:tc>
        <w:tc>
          <w:tcPr>
            <w:tcW w:w="1305" w:type="dxa"/>
            <w:vMerge w:val="restart"/>
            <w:tcBorders>
              <w:top w:val="single" w:color="000000" w:sz="4" w:space="0"/>
              <w:left w:val="single" w:color="000000" w:sz="4" w:space="0"/>
              <w:right w:val="single" w:color="000000" w:sz="4" w:space="0"/>
            </w:tcBorders>
            <w:tcMar>
              <w:top w:w="8" w:type="dxa"/>
              <w:left w:w="8" w:type="dxa"/>
              <w:right w:w="8" w:type="dxa"/>
            </w:tcMar>
            <w:vAlign w:val="center"/>
          </w:tcPr>
          <w:p>
            <w:pPr>
              <w:widowControl/>
              <w:spacing w:line="360" w:lineRule="auto"/>
              <w:jc w:val="center"/>
              <w:rPr>
                <w:rFonts w:ascii="宋体" w:hAnsi="宋体" w:cs="宋体"/>
                <w:color w:val="FF0000"/>
                <w:kern w:val="0"/>
                <w:szCs w:val="21"/>
              </w:rPr>
            </w:pPr>
            <w:r>
              <w:rPr>
                <w:rFonts w:hint="eastAsia" w:ascii="宋体" w:hAnsi="宋体" w:cs="宋体"/>
                <w:color w:val="000000"/>
                <w:kern w:val="0"/>
                <w:szCs w:val="21"/>
              </w:rPr>
              <w:t>派出所自建前端点位信息户籍化治理采集实施</w:t>
            </w: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前端点位感知设备、杆件信息收集、整理和上传</w:t>
            </w:r>
          </w:p>
          <w:p>
            <w:pPr>
              <w:widowControl/>
              <w:jc w:val="left"/>
              <w:rPr>
                <w:rFonts w:hint="eastAsia" w:ascii="宋体" w:hAnsi="宋体" w:eastAsia="宋体" w:cs="宋体"/>
                <w:sz w:val="21"/>
                <w:szCs w:val="21"/>
              </w:rPr>
            </w:pPr>
            <w:r>
              <w:rPr>
                <w:rFonts w:hint="eastAsia" w:ascii="宋体" w:hAnsi="宋体" w:eastAsia="宋体" w:cs="宋体"/>
                <w:sz w:val="21"/>
                <w:szCs w:val="21"/>
              </w:rPr>
              <w:t>派遣专业人员完成以下工作：</w:t>
            </w:r>
          </w:p>
          <w:p>
            <w:pPr>
              <w:widowControl/>
              <w:jc w:val="left"/>
              <w:rPr>
                <w:rFonts w:hint="eastAsia" w:ascii="宋体" w:hAnsi="宋体" w:eastAsia="宋体" w:cs="宋体"/>
                <w:sz w:val="21"/>
                <w:szCs w:val="21"/>
              </w:rPr>
            </w:pPr>
            <w:r>
              <w:rPr>
                <w:rFonts w:hint="eastAsia" w:ascii="宋体" w:hAnsi="宋体" w:eastAsia="宋体" w:cs="宋体"/>
                <w:sz w:val="21"/>
                <w:szCs w:val="21"/>
              </w:rPr>
              <w:t>1.收集和整理前端感知设备和点位杆件信息数据；</w:t>
            </w:r>
          </w:p>
          <w:p>
            <w:pPr>
              <w:widowControl/>
              <w:jc w:val="left"/>
              <w:rPr>
                <w:rFonts w:hint="eastAsia" w:ascii="宋体" w:hAnsi="宋体" w:eastAsia="宋体" w:cs="宋体"/>
                <w:sz w:val="21"/>
                <w:szCs w:val="21"/>
              </w:rPr>
            </w:pPr>
            <w:r>
              <w:rPr>
                <w:rFonts w:hint="eastAsia" w:ascii="宋体" w:hAnsi="宋体" w:eastAsia="宋体" w:cs="宋体"/>
                <w:sz w:val="21"/>
                <w:szCs w:val="21"/>
              </w:rPr>
              <w:t>2.根据《新一代雪亮技防专项行动点位户籍化治理数据采集标准规范》要求填写《前端感知设备和点位杆件信息提交表》；</w:t>
            </w:r>
          </w:p>
          <w:p>
            <w:pPr>
              <w:widowControl/>
              <w:jc w:val="left"/>
              <w:rPr>
                <w:rFonts w:hint="eastAsia" w:ascii="宋体" w:hAnsi="宋体" w:eastAsia="宋体" w:cs="宋体"/>
                <w:sz w:val="21"/>
                <w:szCs w:val="21"/>
              </w:rPr>
            </w:pPr>
            <w:r>
              <w:rPr>
                <w:rFonts w:hint="eastAsia" w:ascii="宋体" w:hAnsi="宋体" w:eastAsia="宋体" w:cs="宋体"/>
                <w:sz w:val="21"/>
                <w:szCs w:val="21"/>
              </w:rPr>
              <w:t>3.根据《前端感知设备和点位杆件信息提交表》，提交设备和点位杆件信息至市公安局点位户籍化管理平台，并核实确认上传数据有效。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（备注：1.《前端感知设备和点位杆件信息提交表》由公安局提供。2. 公安局平台管理数据管理员协助核实数据是否合理和完整。3.实施对象为公安自建的前端感知设备和点位。）</w:t>
            </w:r>
          </w:p>
        </w:tc>
        <w:tc>
          <w:tcPr>
            <w:tcW w:w="850" w:type="dxa"/>
            <w:vMerge w:val="restart"/>
            <w:tcBorders>
              <w:top w:val="single" w:color="000000" w:sz="4" w:space="0"/>
              <w:left w:val="single" w:color="000000" w:sz="4" w:space="0"/>
              <w:right w:val="single" w:color="000000" w:sz="4" w:space="0"/>
            </w:tcBorders>
            <w:tcMar>
              <w:top w:w="8" w:type="dxa"/>
              <w:left w:w="8" w:type="dxa"/>
              <w:right w:w="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路</w:t>
            </w:r>
          </w:p>
        </w:tc>
        <w:tc>
          <w:tcPr>
            <w:tcW w:w="992" w:type="dxa"/>
            <w:vMerge w:val="restart"/>
            <w:tcBorders>
              <w:top w:val="single" w:color="000000" w:sz="4" w:space="0"/>
              <w:left w:val="single" w:color="000000" w:sz="4" w:space="0"/>
              <w:right w:val="single" w:color="000000" w:sz="4" w:space="0"/>
            </w:tcBorders>
            <w:tcMar>
              <w:top w:w="8" w:type="dxa"/>
              <w:left w:w="8" w:type="dxa"/>
              <w:right w:w="8"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66</w:t>
            </w:r>
          </w:p>
        </w:tc>
      </w:tr>
      <w:tr>
        <w:tblPrEx>
          <w:tblCellMar>
            <w:top w:w="0" w:type="dxa"/>
            <w:left w:w="0" w:type="dxa"/>
            <w:bottom w:w="0" w:type="dxa"/>
            <w:right w:w="0" w:type="dxa"/>
          </w:tblCellMar>
        </w:tblPrEx>
        <w:trPr>
          <w:trHeight w:val="600" w:hRule="atLeast"/>
        </w:trPr>
        <w:tc>
          <w:tcPr>
            <w:tcW w:w="646" w:type="dxa"/>
            <w:vMerge w:val="continue"/>
            <w:tcBorders>
              <w:left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p>
        </w:tc>
        <w:tc>
          <w:tcPr>
            <w:tcW w:w="1305" w:type="dxa"/>
            <w:vMerge w:val="continue"/>
            <w:tcBorders>
              <w:left w:val="single" w:color="000000" w:sz="4" w:space="0"/>
              <w:right w:val="single" w:color="000000" w:sz="4" w:space="0"/>
            </w:tcBorders>
            <w:tcMar>
              <w:top w:w="8" w:type="dxa"/>
              <w:left w:w="8" w:type="dxa"/>
              <w:right w:w="8" w:type="dxa"/>
            </w:tcMar>
            <w:vAlign w:val="center"/>
          </w:tcPr>
          <w:p>
            <w:pPr>
              <w:widowControl/>
              <w:spacing w:line="360" w:lineRule="auto"/>
              <w:jc w:val="center"/>
              <w:rPr>
                <w:rFonts w:ascii="宋体" w:hAnsi="宋体" w:cs="宋体"/>
                <w:color w:val="000000"/>
                <w:kern w:val="0"/>
                <w:szCs w:val="21"/>
              </w:rPr>
            </w:pP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前端感知点位杆件信息现场采集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派遣专业人员完成以下工作：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1.现场核实前端感知设备信息数据是否正确，修正有误数据并上传至点位户籍化管理平台；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2.张贴前端感知点位杆件二维码标签，关联前端设备，并上传至点位户籍化管理平台；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3.采集杆件的设备，空间和业务属性信息数据，并上传至点位户籍化管理平台；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1.二维码标签由公安局提供；2.现场实施方可以向公安局借用；3.杆件采集实施需按照《新一代雪亮技防专项行动点位信息户籍化治理实施方案》要求实施。4.采集实施对象为公安自建的前端感知设备和点位。）</w:t>
            </w:r>
          </w:p>
        </w:tc>
        <w:tc>
          <w:tcPr>
            <w:tcW w:w="850" w:type="dxa"/>
            <w:vMerge w:val="continue"/>
            <w:tcBorders>
              <w:left w:val="single" w:color="000000" w:sz="4" w:space="0"/>
              <w:right w:val="single" w:color="000000" w:sz="4" w:space="0"/>
            </w:tcBorders>
            <w:tcMar>
              <w:top w:w="8" w:type="dxa"/>
              <w:left w:w="8" w:type="dxa"/>
              <w:right w:w="8" w:type="dxa"/>
            </w:tcMar>
            <w:vAlign w:val="center"/>
          </w:tcPr>
          <w:p>
            <w:pPr>
              <w:spacing w:line="360" w:lineRule="auto"/>
              <w:jc w:val="center"/>
              <w:rPr>
                <w:rFonts w:ascii="宋体" w:hAnsi="宋体" w:cs="宋体"/>
                <w:color w:val="000000"/>
                <w:szCs w:val="21"/>
              </w:rPr>
            </w:pPr>
          </w:p>
        </w:tc>
        <w:tc>
          <w:tcPr>
            <w:tcW w:w="992" w:type="dxa"/>
            <w:vMerge w:val="continue"/>
            <w:tcBorders>
              <w:left w:val="single" w:color="000000" w:sz="4" w:space="0"/>
              <w:right w:val="single" w:color="000000" w:sz="4" w:space="0"/>
            </w:tcBorders>
            <w:tcMar>
              <w:top w:w="8" w:type="dxa"/>
              <w:left w:w="8" w:type="dxa"/>
              <w:right w:w="8" w:type="dxa"/>
            </w:tcMar>
            <w:vAlign w:val="center"/>
          </w:tcPr>
          <w:p>
            <w:pPr>
              <w:widowControl/>
              <w:spacing w:line="360" w:lineRule="auto"/>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600" w:hRule="atLeast"/>
        </w:trPr>
        <w:tc>
          <w:tcPr>
            <w:tcW w:w="646" w:type="dxa"/>
            <w:vMerge w:val="continue"/>
            <w:tcBorders>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cs="微软雅黑"/>
                <w:color w:val="000000"/>
                <w:kern w:val="0"/>
                <w:szCs w:val="21"/>
                <w:lang w:bidi="ar"/>
              </w:rPr>
            </w:pPr>
          </w:p>
        </w:tc>
        <w:tc>
          <w:tcPr>
            <w:tcW w:w="1305" w:type="dxa"/>
            <w:vMerge w:val="continue"/>
            <w:tcBorders>
              <w:left w:val="single" w:color="000000" w:sz="4" w:space="0"/>
              <w:bottom w:val="single" w:color="000000" w:sz="4" w:space="0"/>
              <w:right w:val="single" w:color="000000" w:sz="4" w:space="0"/>
            </w:tcBorders>
            <w:tcMar>
              <w:top w:w="8" w:type="dxa"/>
              <w:left w:w="8" w:type="dxa"/>
              <w:right w:w="8" w:type="dxa"/>
            </w:tcMar>
            <w:vAlign w:val="center"/>
          </w:tcPr>
          <w:p>
            <w:pPr>
              <w:widowControl/>
              <w:spacing w:line="360" w:lineRule="auto"/>
              <w:jc w:val="center"/>
              <w:rPr>
                <w:rFonts w:ascii="宋体" w:hAnsi="宋体" w:cs="宋体"/>
                <w:color w:val="000000"/>
                <w:kern w:val="0"/>
                <w:szCs w:val="21"/>
              </w:rPr>
            </w:pPr>
          </w:p>
        </w:tc>
        <w:tc>
          <w:tcPr>
            <w:tcW w:w="58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上传至点位户籍化管理平台的前端感知设备户籍化信息数据进行抽检核实，如果有偏差，需及时进行重新整理、采集并上传至点位户籍化管理平台。（备注：核实标准按照《新一代雪亮技防专项行动点位信息户籍化治理实施方案》要求实施。）</w:t>
            </w:r>
          </w:p>
        </w:tc>
        <w:tc>
          <w:tcPr>
            <w:tcW w:w="850" w:type="dxa"/>
            <w:vMerge w:val="continue"/>
            <w:tcBorders>
              <w:left w:val="single" w:color="000000" w:sz="4" w:space="0"/>
              <w:bottom w:val="single" w:color="000000" w:sz="4" w:space="0"/>
              <w:right w:val="single" w:color="000000" w:sz="4" w:space="0"/>
            </w:tcBorders>
            <w:tcMar>
              <w:top w:w="8" w:type="dxa"/>
              <w:left w:w="8" w:type="dxa"/>
              <w:right w:w="8" w:type="dxa"/>
            </w:tcMar>
            <w:vAlign w:val="center"/>
          </w:tcPr>
          <w:p>
            <w:pPr>
              <w:spacing w:line="360" w:lineRule="auto"/>
              <w:jc w:val="center"/>
              <w:rPr>
                <w:rFonts w:ascii="宋体" w:hAnsi="宋体" w:cs="宋体"/>
                <w:color w:val="000000"/>
                <w:szCs w:val="21"/>
              </w:rPr>
            </w:pPr>
          </w:p>
        </w:tc>
        <w:tc>
          <w:tcPr>
            <w:tcW w:w="992" w:type="dxa"/>
            <w:vMerge w:val="continue"/>
            <w:tcBorders>
              <w:left w:val="single" w:color="000000" w:sz="4" w:space="0"/>
              <w:bottom w:val="single" w:color="000000" w:sz="4" w:space="0"/>
              <w:right w:val="single" w:color="000000" w:sz="4" w:space="0"/>
            </w:tcBorders>
            <w:tcMar>
              <w:top w:w="8" w:type="dxa"/>
              <w:left w:w="8" w:type="dxa"/>
              <w:right w:w="8" w:type="dxa"/>
            </w:tcMar>
            <w:vAlign w:val="center"/>
          </w:tcPr>
          <w:p>
            <w:pPr>
              <w:widowControl/>
              <w:spacing w:line="360" w:lineRule="auto"/>
              <w:jc w:val="center"/>
              <w:textAlignment w:val="center"/>
              <w:rPr>
                <w:rFonts w:ascii="宋体" w:hAnsi="宋体" w:cs="宋体"/>
                <w:color w:val="000000"/>
                <w:szCs w:val="21"/>
              </w:rPr>
            </w:pPr>
          </w:p>
        </w:tc>
      </w:tr>
    </w:tbl>
    <w:p>
      <w:pPr>
        <w:rPr>
          <w:rFonts w:hint="eastAsia"/>
        </w:rPr>
      </w:pPr>
    </w:p>
    <w:p>
      <w:pPr>
        <w:pStyle w:val="107"/>
        <w:spacing w:line="360" w:lineRule="auto"/>
        <w:ind w:firstLine="482"/>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、设备清单</w:t>
      </w:r>
    </w:p>
    <w:p>
      <w:pPr>
        <w:spacing w:line="360" w:lineRule="auto"/>
        <w:ind w:firstLine="470" w:firstLineChars="196"/>
        <w:rPr>
          <w:rFonts w:hint="eastAsia" w:ascii="宋体" w:hAnsi="宋体" w:eastAsia="宋体" w:cs="宋体"/>
          <w:b/>
          <w:bCs w:val="0"/>
          <w:color w:val="FF0000"/>
          <w:sz w:val="24"/>
          <w:szCs w:val="24"/>
        </w:rPr>
      </w:pPr>
      <w:r>
        <w:rPr>
          <w:rFonts w:hint="eastAsia" w:ascii="宋体" w:hAnsi="宋体" w:eastAsia="宋体" w:cs="宋体"/>
          <w:b/>
          <w:bCs w:val="0"/>
          <w:color w:val="FF0000"/>
          <w:sz w:val="24"/>
          <w:szCs w:val="24"/>
        </w:rPr>
        <w:t>注：以上项目技术要求中所须提供的证明材料已归纳在《证明材料汇总表》（格式见附件），所有证明材料必须按要求提供，否则将被视为无效投标文件。</w:t>
      </w:r>
    </w:p>
    <w:p>
      <w:pPr>
        <w:spacing w:line="360" w:lineRule="auto"/>
        <w:ind w:firstLine="470" w:firstLineChars="196"/>
        <w:rPr>
          <w:rFonts w:ascii="黑体" w:hAnsi="宋体" w:eastAsia="黑体"/>
          <w:bCs/>
          <w:sz w:val="24"/>
          <w:szCs w:val="24"/>
        </w:rPr>
      </w:pPr>
      <w:r>
        <w:rPr>
          <w:rFonts w:hint="eastAsia" w:ascii="黑体" w:hAnsi="宋体" w:eastAsia="黑体"/>
          <w:bCs/>
          <w:sz w:val="24"/>
          <w:szCs w:val="24"/>
        </w:rPr>
        <w:t>（二）有关说明：</w:t>
      </w:r>
    </w:p>
    <w:p>
      <w:pPr>
        <w:numPr>
          <w:ilvl w:val="1"/>
          <w:numId w:val="18"/>
        </w:numPr>
        <w:tabs>
          <w:tab w:val="left" w:pos="525"/>
          <w:tab w:val="left" w:pos="945"/>
          <w:tab w:val="clear" w:pos="780"/>
        </w:tabs>
        <w:spacing w:line="360" w:lineRule="auto"/>
        <w:ind w:left="0" w:firstLine="525"/>
        <w:rPr>
          <w:rFonts w:hint="eastAsia" w:ascii="宋体"/>
          <w:bCs/>
          <w:color w:val="FF0000"/>
          <w:sz w:val="24"/>
          <w:szCs w:val="24"/>
        </w:rPr>
      </w:pPr>
      <w:r>
        <w:rPr>
          <w:rFonts w:hint="eastAsia" w:ascii="宋体" w:hAnsi="宋体"/>
          <w:bCs/>
          <w:sz w:val="24"/>
          <w:szCs w:val="24"/>
        </w:rPr>
        <w:t>投标总报价包括满足本项目要求的所有产品及其配件、包装、运杂、安装调试及售后服务等从项目中标起到项目正式交付以及质保期内所发生的一切费用。</w:t>
      </w:r>
    </w:p>
    <w:p>
      <w:pPr>
        <w:numPr>
          <w:ilvl w:val="1"/>
          <w:numId w:val="18"/>
        </w:numPr>
        <w:tabs>
          <w:tab w:val="left" w:pos="525"/>
          <w:tab w:val="left" w:pos="945"/>
          <w:tab w:val="clear" w:pos="780"/>
        </w:tabs>
        <w:spacing w:line="360" w:lineRule="auto"/>
        <w:ind w:left="0" w:firstLine="525"/>
        <w:rPr>
          <w:rFonts w:hint="eastAsia" w:ascii="宋体"/>
          <w:bCs/>
          <w:color w:val="auto"/>
          <w:sz w:val="24"/>
          <w:szCs w:val="24"/>
        </w:rPr>
      </w:pPr>
      <w:r>
        <w:rPr>
          <w:rFonts w:hint="eastAsia" w:ascii="宋体"/>
          <w:bCs/>
          <w:color w:val="auto"/>
          <w:sz w:val="24"/>
          <w:szCs w:val="24"/>
        </w:rPr>
        <w:t>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18"/>
        </w:numPr>
        <w:tabs>
          <w:tab w:val="left" w:pos="525"/>
          <w:tab w:val="left" w:pos="945"/>
          <w:tab w:val="clear" w:pos="780"/>
        </w:tabs>
        <w:spacing w:line="360" w:lineRule="auto"/>
        <w:ind w:left="0" w:firstLine="525"/>
        <w:rPr>
          <w:rFonts w:hint="eastAsia" w:ascii="宋体"/>
          <w:bCs/>
          <w:color w:val="FF0000"/>
          <w:sz w:val="24"/>
          <w:szCs w:val="24"/>
        </w:rPr>
      </w:pPr>
      <w:r>
        <w:rPr>
          <w:rFonts w:hint="eastAsia" w:ascii="宋体" w:hAnsi="宋体"/>
          <w:bCs/>
          <w:sz w:val="24"/>
          <w:szCs w:val="24"/>
        </w:rPr>
        <w:t>通过中国海关报关验放进入中国境内且产自关境外的产品不在本项目的报价范围。</w:t>
      </w:r>
    </w:p>
    <w:p>
      <w:pPr>
        <w:numPr>
          <w:ilvl w:val="1"/>
          <w:numId w:val="18"/>
        </w:numPr>
        <w:tabs>
          <w:tab w:val="left" w:pos="525"/>
          <w:tab w:val="left" w:pos="945"/>
          <w:tab w:val="clear" w:pos="780"/>
        </w:tabs>
        <w:spacing w:line="360" w:lineRule="auto"/>
        <w:ind w:left="0" w:firstLine="525"/>
        <w:rPr>
          <w:rFonts w:hint="eastAsia" w:ascii="宋体"/>
          <w:bCs/>
          <w:color w:val="auto"/>
          <w:sz w:val="24"/>
          <w:szCs w:val="24"/>
        </w:rPr>
      </w:pPr>
      <w:r>
        <w:rPr>
          <w:rFonts w:hint="eastAsia" w:ascii="宋体"/>
          <w:bCs/>
          <w:color w:val="auto"/>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18"/>
        </w:numPr>
        <w:tabs>
          <w:tab w:val="left" w:pos="525"/>
          <w:tab w:val="left" w:pos="945"/>
          <w:tab w:val="clear" w:pos="780"/>
        </w:tabs>
        <w:spacing w:line="360" w:lineRule="auto"/>
        <w:ind w:left="0" w:firstLine="525"/>
        <w:rPr>
          <w:rFonts w:ascii="宋体"/>
          <w:bCs/>
          <w:sz w:val="24"/>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18"/>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color w:val="auto"/>
          <w:sz w:val="24"/>
          <w:szCs w:val="24"/>
        </w:rPr>
        <w:t>完工期</w:t>
      </w:r>
      <w:r>
        <w:rPr>
          <w:rFonts w:hint="eastAsia" w:ascii="宋体" w:hAnsi="宋体"/>
          <w:bCs/>
          <w:color w:val="auto"/>
          <w:sz w:val="24"/>
          <w:szCs w:val="24"/>
          <w:lang w:eastAsia="zh-CN"/>
        </w:rPr>
        <w:t>：</w:t>
      </w:r>
      <w:r>
        <w:rPr>
          <w:rFonts w:hint="eastAsia" w:ascii="宋体" w:hAnsi="宋体" w:eastAsia="宋体" w:cs="宋体"/>
          <w:color w:val="auto"/>
          <w:sz w:val="24"/>
          <w:szCs w:val="24"/>
        </w:rPr>
        <w:t xml:space="preserve">合同签订生效后60个日历天内交货并安装调试完毕。  </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项目整体质保期：免费保修五年，竣工验收合格之日起算。</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eastAsia="宋体" w:cs="Times New Roman"/>
          <w:bCs/>
          <w:color w:val="000000"/>
          <w:sz w:val="24"/>
          <w:szCs w:val="24"/>
        </w:rPr>
        <w:t>服务响应要求：提供7*24小时免费售后维护服务，服务响应时间应为接到用户故障电话后48小时内上门服务。</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付款方式：项目采用先付费后使用方式，整体验收合格之后，即付合同总金额的20%作为第1年服务费用，后4年服务费用支付参照第1年。</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本项目合同履行地点：无锡市新吴区</w:t>
      </w:r>
      <w:r>
        <w:rPr>
          <w:rFonts w:hint="eastAsia" w:ascii="宋体" w:hAnsi="宋体"/>
          <w:bCs/>
          <w:sz w:val="24"/>
          <w:szCs w:val="24"/>
          <w:lang w:eastAsia="zh-CN"/>
        </w:rPr>
        <w:t>硕放</w:t>
      </w:r>
      <w:r>
        <w:rPr>
          <w:rFonts w:hint="eastAsia" w:ascii="宋体" w:hAnsi="宋体"/>
          <w:bCs/>
          <w:sz w:val="24"/>
          <w:szCs w:val="24"/>
        </w:rPr>
        <w:t>街道，具体地点以合同书约定为准。中标方必须按采购人要求将本项目中货物送到指定地点</w:t>
      </w:r>
      <w:r>
        <w:rPr>
          <w:rFonts w:ascii="宋体" w:hAnsi="宋体"/>
          <w:bCs/>
          <w:sz w:val="24"/>
          <w:szCs w:val="24"/>
        </w:rPr>
        <w:t>(</w:t>
      </w:r>
      <w:r>
        <w:rPr>
          <w:rFonts w:hint="eastAsia" w:ascii="宋体" w:hAnsi="宋体"/>
          <w:bCs/>
          <w:sz w:val="24"/>
          <w:szCs w:val="24"/>
        </w:rPr>
        <w:t>包括可能的分布范围</w:t>
      </w:r>
      <w:r>
        <w:rPr>
          <w:rFonts w:ascii="宋体" w:hAnsi="宋体"/>
          <w:bCs/>
          <w:sz w:val="24"/>
          <w:szCs w:val="24"/>
        </w:rPr>
        <w:t>)</w:t>
      </w:r>
      <w:r>
        <w:rPr>
          <w:rFonts w:hint="eastAsia" w:ascii="宋体" w:hAnsi="宋体"/>
          <w:bCs/>
          <w:sz w:val="24"/>
          <w:szCs w:val="24"/>
        </w:rPr>
        <w:t>，并分地实施安装调试。</w:t>
      </w:r>
    </w:p>
    <w:p>
      <w:pPr>
        <w:numPr>
          <w:ilvl w:val="1"/>
          <w:numId w:val="18"/>
        </w:numPr>
        <w:tabs>
          <w:tab w:val="left" w:pos="525"/>
          <w:tab w:val="left" w:pos="630"/>
          <w:tab w:val="left" w:pos="735"/>
          <w:tab w:val="left" w:pos="945"/>
          <w:tab w:val="clear" w:pos="780"/>
        </w:tabs>
        <w:spacing w:line="360" w:lineRule="auto"/>
        <w:ind w:left="0" w:firstLine="525"/>
        <w:rPr>
          <w:rFonts w:hint="eastAsia" w:ascii="宋体"/>
          <w:bCs/>
          <w:color w:val="auto"/>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r>
        <w:rPr>
          <w:rFonts w:hint="eastAsia" w:ascii="宋体" w:hAnsi="宋体"/>
          <w:bCs/>
          <w:color w:val="auto"/>
          <w:sz w:val="24"/>
          <w:szCs w:val="24"/>
        </w:rPr>
        <w:t>政府向社会公众提供的公共服务项目，验收时应当邀请服务对象参与并出具意见，验收结果应当向社会公告。</w:t>
      </w:r>
    </w:p>
    <w:p>
      <w:pPr>
        <w:numPr>
          <w:ilvl w:val="1"/>
          <w:numId w:val="18"/>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hint="eastAsia"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18"/>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hint="eastAsia"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18"/>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18"/>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18"/>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spacing w:line="360" w:lineRule="auto"/>
        <w:jc w:val="center"/>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pStyle w:val="22"/>
        <w:rPr>
          <w:rFonts w:hint="eastAsia" w:ascii="黑体" w:eastAsia="黑体"/>
          <w:bCs/>
          <w:sz w:val="28"/>
          <w:szCs w:val="28"/>
        </w:rPr>
      </w:pPr>
    </w:p>
    <w:p>
      <w:pPr>
        <w:snapToGrid w:val="0"/>
        <w:spacing w:line="288" w:lineRule="auto"/>
        <w:jc w:val="both"/>
        <w:rPr>
          <w:rFonts w:hint="eastAsia" w:ascii="黑体" w:hAnsi="宋体" w:eastAsia="黑体"/>
          <w:b/>
          <w:sz w:val="28"/>
          <w:szCs w:val="28"/>
        </w:rPr>
      </w:pPr>
      <w:bookmarkStart w:id="20" w:name="五．合同条款"/>
      <w:bookmarkEnd w:id="2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黑体" w:hAnsi="宋体" w:eastAsia="黑体"/>
          <w:sz w:val="28"/>
          <w:szCs w:val="28"/>
        </w:rPr>
      </w:pPr>
      <w:r>
        <w:rPr>
          <w:rFonts w:hint="eastAsia" w:ascii="黑体" w:hAnsi="宋体" w:eastAsia="黑体"/>
          <w:sz w:val="28"/>
          <w:szCs w:val="28"/>
          <w:lang w:val="en-US" w:eastAsia="zh-CN"/>
        </w:rPr>
        <w:t>四．</w:t>
      </w:r>
      <w:r>
        <w:rPr>
          <w:rFonts w:hint="eastAsia" w:ascii="黑体" w:hAnsi="宋体" w:eastAsia="黑体"/>
          <w:sz w:val="28"/>
          <w:szCs w:val="28"/>
        </w:rPr>
        <w:t>合同书（服务）格式条款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黑体" w:eastAsia="黑体"/>
          <w:sz w:val="28"/>
          <w:szCs w:val="28"/>
        </w:rPr>
      </w:pPr>
      <w:r>
        <w:rPr>
          <w:rFonts w:hint="eastAsia" w:ascii="宋体" w:hAnsi="宋体"/>
          <w:sz w:val="24"/>
          <w:szCs w:val="24"/>
        </w:rPr>
        <w:t>根据《中华人民共和国政府采购法》及相关法规、《中华人民共和国民法典》，遵循平等、自愿、公平和诚实信用的原则，供需双方就项目（项目编号：</w:t>
      </w:r>
      <w:r>
        <w:rPr>
          <w:rFonts w:hint="eastAsia" w:ascii="宋体" w:hAnsi="宋体"/>
          <w:sz w:val="24"/>
          <w:szCs w:val="24"/>
          <w:u w:val="single"/>
        </w:rPr>
        <w:t xml:space="preserve">        </w:t>
      </w:r>
      <w:r>
        <w:rPr>
          <w:rFonts w:hint="eastAsia" w:ascii="宋体" w:hAnsi="宋体"/>
          <w:sz w:val="24"/>
          <w:szCs w:val="24"/>
        </w:rPr>
        <w:t xml:space="preserve"> ）实施及有关事项协商一致，共同达成如下协议：</w:t>
      </w:r>
    </w:p>
    <w:p>
      <w:pPr>
        <w:snapToGrid w:val="0"/>
        <w:spacing w:line="288" w:lineRule="auto"/>
        <w:ind w:firstLine="480" w:firstLineChars="200"/>
        <w:rPr>
          <w:rFonts w:ascii="宋体"/>
          <w:bCs/>
          <w:sz w:val="24"/>
          <w:szCs w:val="24"/>
          <w:u w:val="single"/>
        </w:rPr>
      </w:pPr>
      <w:r>
        <w:rPr>
          <w:rFonts w:hint="eastAsia" w:ascii="宋体" w:hAnsi="宋体"/>
          <w:bCs/>
          <w:sz w:val="24"/>
          <w:szCs w:val="24"/>
        </w:rPr>
        <w:t>需方（采购人）：</w:t>
      </w:r>
    </w:p>
    <w:p>
      <w:pPr>
        <w:snapToGrid w:val="0"/>
        <w:spacing w:line="288" w:lineRule="auto"/>
        <w:ind w:firstLine="480" w:firstLineChars="200"/>
        <w:rPr>
          <w:rFonts w:ascii="宋体" w:hAnsi="宋体"/>
          <w:bCs/>
          <w:sz w:val="24"/>
          <w:szCs w:val="24"/>
        </w:rPr>
      </w:pPr>
      <w:r>
        <w:rPr>
          <w:rFonts w:hint="eastAsia" w:ascii="宋体" w:hAnsi="宋体"/>
          <w:bCs/>
          <w:sz w:val="24"/>
          <w:szCs w:val="24"/>
        </w:rPr>
        <w:t>供方（中标方）：</w:t>
      </w:r>
    </w:p>
    <w:p>
      <w:pPr>
        <w:snapToGrid w:val="0"/>
        <w:spacing w:line="288" w:lineRule="auto"/>
        <w:ind w:firstLine="480" w:firstLineChars="200"/>
        <w:rPr>
          <w:rFonts w:ascii="宋体"/>
          <w:bCs/>
          <w:sz w:val="24"/>
          <w:szCs w:val="24"/>
          <w:u w:val="single"/>
        </w:rPr>
      </w:pPr>
      <w:r>
        <w:rPr>
          <w:rFonts w:hint="eastAsia" w:ascii="宋体" w:hAnsi="宋体"/>
          <w:bCs/>
          <w:sz w:val="24"/>
          <w:szCs w:val="24"/>
        </w:rPr>
        <w:t>一、采购项目编号：</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二、采购项目名称：</w:t>
      </w:r>
    </w:p>
    <w:p>
      <w:pPr>
        <w:tabs>
          <w:tab w:val="left" w:pos="210"/>
          <w:tab w:val="left" w:pos="840"/>
          <w:tab w:val="left" w:pos="1260"/>
        </w:tabs>
        <w:snapToGrid w:val="0"/>
        <w:spacing w:line="288" w:lineRule="auto"/>
        <w:ind w:left="420" w:leftChars="200"/>
        <w:rPr>
          <w:rFonts w:ascii="宋体"/>
          <w:bCs/>
          <w:sz w:val="24"/>
          <w:szCs w:val="24"/>
        </w:rPr>
      </w:pPr>
      <w:r>
        <w:rPr>
          <w:rFonts w:hint="eastAsia" w:ascii="宋体" w:hAnsi="宋体"/>
          <w:bCs/>
          <w:sz w:val="24"/>
          <w:szCs w:val="24"/>
        </w:rPr>
        <w:t>三、中标（成交）金额：</w:t>
      </w:r>
      <w:r>
        <w:rPr>
          <w:rFonts w:hint="eastAsia" w:ascii="宋体" w:hAnsi="宋体"/>
          <w:bCs/>
          <w:sz w:val="24"/>
          <w:szCs w:val="24"/>
          <w:u w:val="single"/>
        </w:rPr>
        <w:t xml:space="preserve">                       </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rPr>
        <w:t>（小写）；</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四、项目服务期限：</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七、合同书不可分割部分：</w:t>
      </w:r>
    </w:p>
    <w:p>
      <w:pPr>
        <w:tabs>
          <w:tab w:val="left" w:pos="210"/>
          <w:tab w:val="left" w:pos="420"/>
          <w:tab w:val="left" w:pos="1155"/>
        </w:tabs>
        <w:snapToGrid w:val="0"/>
        <w:spacing w:line="288" w:lineRule="auto"/>
        <w:ind w:firstLine="480" w:firstLineChars="200"/>
        <w:rPr>
          <w:rFonts w:ascii="宋体"/>
          <w:bCs/>
          <w:sz w:val="24"/>
          <w:szCs w:val="24"/>
        </w:rPr>
      </w:pPr>
      <w:r>
        <w:rPr>
          <w:rFonts w:hint="eastAsia" w:ascii="宋体" w:hAnsi="宋体"/>
          <w:bCs/>
          <w:sz w:val="24"/>
          <w:szCs w:val="24"/>
        </w:rPr>
        <w:t>招标（采购）文件、投标（报价）文件、合同条款及中标</w:t>
      </w:r>
      <w:r>
        <w:rPr>
          <w:rFonts w:hint="eastAsia" w:ascii="宋体" w:hAnsi="宋体"/>
          <w:sz w:val="24"/>
          <w:szCs w:val="24"/>
        </w:rPr>
        <w:t>（成交）</w:t>
      </w:r>
      <w:r>
        <w:rPr>
          <w:rFonts w:hint="eastAsia" w:ascii="宋体" w:hAnsi="宋体"/>
          <w:bCs/>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sz w:val="24"/>
          <w:szCs w:val="24"/>
        </w:rPr>
      </w:pPr>
      <w:r>
        <w:rPr>
          <w:rFonts w:hint="eastAsia" w:ascii="宋体" w:hAnsi="宋体"/>
          <w:sz w:val="24"/>
          <w:szCs w:val="24"/>
        </w:rPr>
        <w:t>八、合同书组成：</w:t>
      </w:r>
    </w:p>
    <w:p>
      <w:pPr>
        <w:tabs>
          <w:tab w:val="left" w:pos="210"/>
          <w:tab w:val="left" w:pos="735"/>
          <w:tab w:val="left" w:pos="1155"/>
        </w:tabs>
        <w:snapToGrid w:val="0"/>
        <w:spacing w:line="288" w:lineRule="auto"/>
        <w:ind w:firstLine="480" w:firstLineChars="200"/>
        <w:rPr>
          <w:rFonts w:ascii="宋体" w:hAnsi="宋体"/>
          <w:bCs/>
          <w:sz w:val="24"/>
          <w:szCs w:val="24"/>
        </w:rPr>
      </w:pPr>
      <w:r>
        <w:rPr>
          <w:rFonts w:hint="eastAsia" w:ascii="宋体" w:hAnsi="宋体"/>
          <w:sz w:val="24"/>
          <w:szCs w:val="24"/>
        </w:rPr>
        <w:t>合同书由格式条款</w:t>
      </w:r>
      <w:r>
        <w:rPr>
          <w:rFonts w:hint="eastAsia" w:ascii="宋体" w:hAnsi="宋体"/>
          <w:bCs/>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ascii="宋体" w:hAnsi="宋体" w:cs="宋体"/>
          <w:sz w:val="24"/>
          <w:szCs w:val="24"/>
        </w:rPr>
        <w:t>与履约验收挂钩的资金支付条件及时间</w:t>
      </w:r>
      <w:r>
        <w:rPr>
          <w:rFonts w:hint="eastAsia" w:ascii="宋体" w:hAnsi="宋体"/>
          <w:bCs/>
          <w:sz w:val="24"/>
          <w:szCs w:val="24"/>
        </w:rPr>
        <w:t>，验收、交付标准和方法，质量保修范围和保修期，违约责任与解决争议的方法，供需双方权利与义务，合同分包要求，</w:t>
      </w:r>
      <w:r>
        <w:rPr>
          <w:rFonts w:hint="eastAsia" w:ascii="宋体" w:hAnsi="宋体"/>
          <w:sz w:val="24"/>
          <w:szCs w:val="24"/>
        </w:rPr>
        <w:t>合同类型</w:t>
      </w:r>
      <w:r>
        <w:rPr>
          <w:rFonts w:hint="eastAsia" w:ascii="宋体" w:hAnsi="宋体"/>
          <w:bCs/>
          <w:sz w:val="24"/>
          <w:szCs w:val="24"/>
        </w:rPr>
        <w:t>等。</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九、合同书生效及注意事项：</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numPr>
          <w:ilvl w:val="0"/>
          <w:numId w:val="0"/>
        </w:num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供需双方如有其它要求，可参照招标（采购）文件、投标（报价）文件（采购人不得向供应商提出超出招标文件以外的任何要求作为签订合同的条件，不得与中标供应商订立背离招标文件确定的合同文本以及采购标的、规格型号、采购金额、采购数量、技术和服务要求等实质性内容的协议），并在不违反本合同条款的前提下，供需双方自行拟定补充条款。</w:t>
      </w:r>
    </w:p>
    <w:p>
      <w:pPr>
        <w:numPr>
          <w:ilvl w:val="0"/>
          <w:numId w:val="0"/>
        </w:num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十一、根据《政府采购法》第四十九、五十条规定，供需双方不得擅自变更、中止或终止合同。</w:t>
      </w:r>
    </w:p>
    <w:p>
      <w:pPr>
        <w:snapToGrid w:val="0"/>
        <w:spacing w:line="288" w:lineRule="auto"/>
        <w:jc w:val="right"/>
        <w:rPr>
          <w:rFonts w:ascii="宋体" w:hAnsi="宋体"/>
          <w:bCs/>
          <w:sz w:val="24"/>
          <w:szCs w:val="24"/>
        </w:rPr>
      </w:pPr>
      <w:r>
        <w:rPr>
          <w:rFonts w:hint="eastAsia" w:ascii="宋体" w:hAnsi="宋体"/>
          <w:bCs/>
          <w:sz w:val="24"/>
          <w:szCs w:val="24"/>
        </w:rPr>
        <w:t>见证方：</w:t>
      </w:r>
      <w:r>
        <w:rPr>
          <w:rFonts w:hint="eastAsia" w:ascii="宋体" w:hAnsi="宋体"/>
          <w:bCs/>
          <w:sz w:val="24"/>
          <w:szCs w:val="24"/>
          <w:lang w:eastAsia="zh-CN"/>
        </w:rPr>
        <w:t>无锡市公共资源交易中心新吴分中心</w:t>
      </w:r>
      <w:r>
        <w:rPr>
          <w:rFonts w:hint="eastAsia" w:ascii="宋体" w:hAnsi="宋体"/>
          <w:bCs/>
          <w:sz w:val="24"/>
          <w:szCs w:val="24"/>
        </w:rPr>
        <w:t>（签章）</w:t>
      </w:r>
    </w:p>
    <w:p>
      <w:pPr>
        <w:wordWrap w:val="0"/>
        <w:snapToGrid w:val="0"/>
        <w:spacing w:line="288" w:lineRule="auto"/>
        <w:ind w:right="960"/>
        <w:jc w:val="right"/>
        <w:rPr>
          <w:rFonts w:ascii="宋体" w:hAnsi="宋体"/>
          <w:bCs/>
          <w:sz w:val="24"/>
          <w:szCs w:val="24"/>
        </w:rPr>
      </w:pPr>
      <w:r>
        <w:rPr>
          <w:rFonts w:hint="eastAsia" w:ascii="宋体" w:hAnsi="宋体"/>
          <w:bCs/>
          <w:sz w:val="24"/>
          <w:szCs w:val="24"/>
        </w:rPr>
        <w:t xml:space="preserve">见证人：                  </w:t>
      </w:r>
    </w:p>
    <w:p>
      <w:pPr>
        <w:snapToGrid w:val="0"/>
        <w:spacing w:line="288" w:lineRule="auto"/>
        <w:jc w:val="right"/>
        <w:rPr>
          <w:rFonts w:ascii="宋体" w:hAnsi="宋体"/>
          <w:bCs/>
          <w:sz w:val="24"/>
          <w:szCs w:val="24"/>
        </w:rPr>
      </w:pPr>
      <w:r>
        <w:rPr>
          <w:rFonts w:hint="eastAsia" w:ascii="宋体" w:hAnsi="宋体"/>
          <w:bCs/>
          <w:sz w:val="24"/>
          <w:szCs w:val="24"/>
        </w:rPr>
        <w:t xml:space="preserve">   年   月    日</w:t>
      </w:r>
    </w:p>
    <w:p>
      <w:pPr>
        <w:spacing w:line="440" w:lineRule="exact"/>
        <w:rPr>
          <w:rFonts w:ascii="宋体" w:hAnsi="宋体"/>
          <w:bCs/>
          <w:sz w:val="24"/>
          <w:szCs w:val="24"/>
        </w:rPr>
      </w:pPr>
    </w:p>
    <w:p>
      <w:pPr>
        <w:pStyle w:val="22"/>
        <w:ind w:left="0" w:leftChars="0" w:firstLine="0" w:firstLineChars="0"/>
        <w:rPr>
          <w:rFonts w:ascii="宋体" w:hAnsi="宋体"/>
          <w:bCs/>
          <w:sz w:val="24"/>
          <w:szCs w:val="24"/>
        </w:rPr>
      </w:pPr>
    </w:p>
    <w:p>
      <w:pPr>
        <w:spacing w:line="360" w:lineRule="auto"/>
        <w:jc w:val="center"/>
        <w:rPr>
          <w:rFonts w:ascii="黑体" w:eastAsia="黑体"/>
          <w:bCs/>
          <w:sz w:val="28"/>
          <w:szCs w:val="28"/>
        </w:rPr>
      </w:pPr>
      <w:r>
        <w:rPr>
          <w:rFonts w:hint="eastAsia" w:ascii="黑体" w:eastAsia="黑体"/>
          <w:bCs/>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（根据相关法律规定以及招标文件确定事项订立）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6"/>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6"/>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03"/>
        <w:numPr>
          <w:ilvl w:val="0"/>
          <w:numId w:val="19"/>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w:t>
      </w:r>
      <w:r>
        <w:rPr>
          <w:rFonts w:hint="eastAsia"/>
        </w:rPr>
        <w:t xml:space="preserve"> </w:t>
      </w:r>
      <w:r>
        <w:rPr>
          <w:rFonts w:hint="eastAsia" w:ascii="宋体" w:hAnsi="宋体"/>
          <w:bCs/>
          <w:sz w:val="24"/>
          <w:szCs w:val="24"/>
        </w:rPr>
        <w:t>合同经</w:t>
      </w:r>
      <w:r>
        <w:rPr>
          <w:rFonts w:hint="eastAsia" w:ascii="宋体" w:hAnsi="宋体"/>
          <w:bCs/>
          <w:sz w:val="24"/>
          <w:szCs w:val="24"/>
          <w:lang w:eastAsia="zh-CN"/>
        </w:rPr>
        <w:t>无锡市公共资源交易中心新吴分中心</w:t>
      </w:r>
      <w:r>
        <w:rPr>
          <w:rFonts w:hint="eastAsia" w:ascii="宋体" w:hAnsi="宋体"/>
          <w:bCs/>
          <w:sz w:val="24"/>
          <w:szCs w:val="24"/>
        </w:rPr>
        <w:t>对《合同书（格式条款）》见证后，供需双方代表需签字并盖章后生效。</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rPr>
          <w:rFonts w:ascii="宋体" w:hAnsi="宋体"/>
          <w:bCs/>
          <w:sz w:val="24"/>
          <w:szCs w:val="24"/>
        </w:rPr>
      </w:pPr>
    </w:p>
    <w:p>
      <w:pPr>
        <w:snapToGrid w:val="0"/>
        <w:spacing w:line="336" w:lineRule="auto"/>
        <w:ind w:firstLine="480" w:firstLineChars="200"/>
        <w:jc w:val="center"/>
        <w:rPr>
          <w:rFonts w:ascii="宋体" w:hAnsi="宋体"/>
          <w:bCs/>
          <w:sz w:val="24"/>
          <w:szCs w:val="24"/>
        </w:rPr>
      </w:pPr>
    </w:p>
    <w:p>
      <w:pPr>
        <w:snapToGrid w:val="0"/>
        <w:spacing w:line="336" w:lineRule="auto"/>
        <w:ind w:firstLine="480" w:firstLineChars="200"/>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ind w:firstLine="480" w:firstLineChars="200"/>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ind w:firstLine="480" w:firstLineChars="200"/>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1200" w:firstLineChars="5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供方帐号：</w:t>
      </w:r>
    </w:p>
    <w:p>
      <w:pPr>
        <w:jc w:val="center"/>
        <w:rPr>
          <w:rFonts w:ascii="黑体" w:eastAsia="黑体"/>
          <w:bCs/>
          <w:sz w:val="28"/>
          <w:szCs w:val="28"/>
        </w:rPr>
      </w:pPr>
      <w:r>
        <w:rPr>
          <w:rFonts w:hint="eastAsia" w:ascii="黑体" w:eastAsia="黑体"/>
          <w:bCs/>
          <w:sz w:val="28"/>
          <w:szCs w:val="28"/>
        </w:rPr>
        <w:t>六.附件</w:t>
      </w:r>
    </w:p>
    <w:p>
      <w:pPr>
        <w:jc w:val="left"/>
        <w:rPr>
          <w:rFonts w:ascii="黑体" w:eastAsia="黑体"/>
          <w:bCs/>
          <w:sz w:val="24"/>
          <w:szCs w:val="24"/>
        </w:rPr>
      </w:pPr>
      <w:r>
        <w:rPr>
          <w:rFonts w:hint="eastAsia" w:ascii="黑体" w:eastAsia="黑体"/>
          <w:bCs/>
          <w:sz w:val="24"/>
          <w:szCs w:val="24"/>
        </w:rPr>
        <w:t>附件一：评分标准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（1）价格（</w:t>
      </w:r>
      <w:r>
        <w:rPr>
          <w:rFonts w:hint="eastAsia" w:ascii="宋体" w:hAnsi="宋体"/>
          <w:b/>
          <w:bCs/>
          <w:sz w:val="24"/>
          <w:szCs w:val="24"/>
          <w:lang w:val="en-US" w:eastAsia="zh-CN"/>
        </w:rPr>
        <w:t>30</w:t>
      </w:r>
      <w:r>
        <w:rPr>
          <w:rFonts w:hint="eastAsia" w:ascii="宋体" w:hAnsi="宋体"/>
          <w:b/>
          <w:bCs/>
          <w:sz w:val="24"/>
          <w:szCs w:val="24"/>
        </w:rPr>
        <w:t>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w:t>
      </w:r>
      <w:r>
        <w:rPr>
          <w:rFonts w:hint="eastAsia" w:ascii="宋体" w:hAnsi="宋体"/>
          <w:bCs/>
          <w:sz w:val="24"/>
          <w:szCs w:val="24"/>
          <w:lang w:eastAsia="zh-CN"/>
        </w:rPr>
        <w:t>扫描件</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tabs>
          <w:tab w:val="left" w:pos="945"/>
          <w:tab w:val="left" w:pos="1155"/>
        </w:tabs>
        <w:spacing w:line="360" w:lineRule="auto"/>
        <w:ind w:firstLine="480" w:firstLineChars="200"/>
        <w:rPr>
          <w:rFonts w:ascii="宋体" w:hAnsi="宋体"/>
          <w:b/>
          <w:bCs/>
          <w:sz w:val="24"/>
          <w:szCs w:val="24"/>
        </w:rPr>
      </w:pPr>
      <w:r>
        <w:rPr>
          <w:rFonts w:ascii="宋体" w:hAnsi="宋体"/>
          <w:b/>
          <w:bCs/>
          <w:sz w:val="24"/>
          <w:szCs w:val="24"/>
        </w:rPr>
        <w:t>（2）投标人综合情况（1</w:t>
      </w:r>
      <w:r>
        <w:rPr>
          <w:rFonts w:hint="eastAsia" w:ascii="宋体" w:hAnsi="宋体"/>
          <w:b/>
          <w:bCs/>
          <w:sz w:val="24"/>
          <w:szCs w:val="24"/>
        </w:rPr>
        <w:t>4</w:t>
      </w:r>
      <w:r>
        <w:rPr>
          <w:rFonts w:ascii="宋体" w:hAnsi="宋体"/>
          <w:b/>
          <w:bCs/>
          <w:sz w:val="24"/>
          <w:szCs w:val="24"/>
        </w:rPr>
        <w:t>分）</w:t>
      </w:r>
    </w:p>
    <w:p>
      <w:pPr>
        <w:spacing w:line="360" w:lineRule="auto"/>
        <w:ind w:firstLine="480" w:firstLineChars="200"/>
        <w:rPr>
          <w:rFonts w:ascii="宋体" w:hAnsi="宋体"/>
          <w:b/>
          <w:sz w:val="24"/>
          <w:szCs w:val="24"/>
        </w:rPr>
      </w:pPr>
      <w:r>
        <w:rPr>
          <w:rFonts w:ascii="宋体" w:hAnsi="宋体"/>
          <w:bCs/>
          <w:color w:val="000000"/>
          <w:sz w:val="24"/>
          <w:szCs w:val="24"/>
        </w:rPr>
        <w:t>A、业绩（</w:t>
      </w:r>
      <w:r>
        <w:rPr>
          <w:rFonts w:hint="eastAsia" w:ascii="宋体" w:hAnsi="宋体"/>
          <w:bCs/>
          <w:color w:val="000000"/>
          <w:sz w:val="24"/>
          <w:szCs w:val="24"/>
        </w:rPr>
        <w:t>5</w:t>
      </w:r>
      <w:r>
        <w:rPr>
          <w:rFonts w:ascii="宋体" w:hAnsi="宋体"/>
          <w:bCs/>
          <w:color w:val="000000"/>
          <w:sz w:val="24"/>
          <w:szCs w:val="24"/>
        </w:rPr>
        <w:t>分）：投标人自2017年以来（以合同签订日期为准）具有</w:t>
      </w:r>
      <w:r>
        <w:rPr>
          <w:rFonts w:hint="eastAsia" w:ascii="宋体" w:hAnsi="宋体"/>
          <w:bCs/>
          <w:color w:val="000000"/>
          <w:sz w:val="24"/>
          <w:szCs w:val="24"/>
        </w:rPr>
        <w:t>类似业绩</w:t>
      </w:r>
      <w:r>
        <w:rPr>
          <w:rFonts w:ascii="宋体" w:hAnsi="宋体"/>
          <w:bCs/>
          <w:color w:val="000000"/>
          <w:sz w:val="24"/>
          <w:szCs w:val="24"/>
        </w:rPr>
        <w:t>，每提供一份得1分，最多</w:t>
      </w:r>
      <w:r>
        <w:rPr>
          <w:rFonts w:hint="eastAsia" w:ascii="宋体" w:hAnsi="宋体"/>
          <w:bCs/>
          <w:color w:val="000000"/>
          <w:sz w:val="24"/>
          <w:szCs w:val="24"/>
        </w:rPr>
        <w:t>5</w:t>
      </w:r>
      <w:r>
        <w:rPr>
          <w:rFonts w:ascii="宋体" w:hAnsi="宋体"/>
          <w:bCs/>
          <w:color w:val="000000"/>
          <w:sz w:val="24"/>
          <w:szCs w:val="24"/>
        </w:rPr>
        <w:t>分。</w:t>
      </w:r>
      <w:r>
        <w:rPr>
          <w:rFonts w:hint="eastAsia"/>
          <w:b/>
          <w:bCs/>
          <w:sz w:val="24"/>
          <w:szCs w:val="24"/>
        </w:rPr>
        <w:t>投标时须提供合同扫描件并加盖公章，否则不得分。</w:t>
      </w:r>
    </w:p>
    <w:p>
      <w:pPr>
        <w:spacing w:line="360" w:lineRule="auto"/>
        <w:ind w:firstLine="480" w:firstLineChars="200"/>
        <w:rPr>
          <w:b/>
          <w:bCs/>
          <w:sz w:val="24"/>
          <w:szCs w:val="24"/>
        </w:rPr>
      </w:pPr>
      <w:r>
        <w:rPr>
          <w:rFonts w:ascii="宋体" w:hAnsi="宋体"/>
          <w:bCs/>
          <w:color w:val="000000"/>
          <w:sz w:val="24"/>
          <w:szCs w:val="24"/>
        </w:rPr>
        <w:t>B、管理体系认证（</w:t>
      </w:r>
      <w:r>
        <w:rPr>
          <w:rFonts w:hint="eastAsia" w:ascii="宋体" w:hAnsi="宋体"/>
          <w:bCs/>
          <w:color w:val="000000"/>
          <w:sz w:val="24"/>
          <w:szCs w:val="24"/>
        </w:rPr>
        <w:t>6</w:t>
      </w:r>
      <w:r>
        <w:rPr>
          <w:rFonts w:ascii="宋体" w:hAnsi="宋体"/>
          <w:bCs/>
          <w:color w:val="000000"/>
          <w:sz w:val="24"/>
          <w:szCs w:val="24"/>
        </w:rPr>
        <w:t>分）：投标人具有有效的</w:t>
      </w:r>
      <w:r>
        <w:rPr>
          <w:rFonts w:hint="eastAsia" w:ascii="宋体" w:hAnsi="宋体"/>
          <w:bCs/>
          <w:color w:val="000000"/>
          <w:sz w:val="24"/>
          <w:szCs w:val="24"/>
        </w:rPr>
        <w:t>职业健康安全管理</w:t>
      </w:r>
      <w:r>
        <w:rPr>
          <w:rFonts w:ascii="宋体" w:hAnsi="宋体"/>
          <w:bCs/>
          <w:color w:val="000000"/>
          <w:sz w:val="24"/>
          <w:szCs w:val="24"/>
        </w:rPr>
        <w:t>体系认证证书、</w:t>
      </w:r>
      <w:r>
        <w:rPr>
          <w:rFonts w:hint="eastAsia" w:ascii="宋体" w:hAnsi="宋体"/>
          <w:bCs/>
          <w:color w:val="000000"/>
          <w:sz w:val="24"/>
          <w:szCs w:val="24"/>
        </w:rPr>
        <w:t>环境管理</w:t>
      </w:r>
      <w:r>
        <w:rPr>
          <w:rFonts w:ascii="宋体" w:hAnsi="宋体"/>
          <w:bCs/>
          <w:color w:val="000000"/>
          <w:sz w:val="24"/>
          <w:szCs w:val="24"/>
        </w:rPr>
        <w:t>体系认证证书</w:t>
      </w:r>
      <w:r>
        <w:rPr>
          <w:rFonts w:hint="eastAsia" w:ascii="宋体" w:hAnsi="宋体"/>
          <w:bCs/>
          <w:color w:val="000000"/>
          <w:sz w:val="24"/>
          <w:szCs w:val="24"/>
        </w:rPr>
        <w:t>、</w:t>
      </w:r>
      <w:r>
        <w:rPr>
          <w:rFonts w:ascii="宋体" w:hAnsi="宋体"/>
          <w:bCs/>
          <w:color w:val="000000"/>
          <w:sz w:val="24"/>
          <w:szCs w:val="24"/>
        </w:rPr>
        <w:t>质量管理体系认证</w:t>
      </w:r>
      <w:r>
        <w:rPr>
          <w:rFonts w:hint="eastAsia" w:ascii="宋体" w:hAnsi="宋体"/>
          <w:bCs/>
          <w:color w:val="000000"/>
          <w:sz w:val="24"/>
          <w:szCs w:val="24"/>
        </w:rPr>
        <w:t>证书</w:t>
      </w:r>
      <w:r>
        <w:rPr>
          <w:rFonts w:ascii="宋体" w:hAnsi="宋体"/>
          <w:bCs/>
          <w:color w:val="000000"/>
          <w:sz w:val="24"/>
          <w:szCs w:val="24"/>
        </w:rPr>
        <w:t>。以上每提供一个得2分，最高</w:t>
      </w:r>
      <w:r>
        <w:rPr>
          <w:rFonts w:hint="eastAsia" w:ascii="宋体" w:hAnsi="宋体"/>
          <w:bCs/>
          <w:color w:val="000000"/>
          <w:sz w:val="24"/>
          <w:szCs w:val="24"/>
        </w:rPr>
        <w:t>6</w:t>
      </w:r>
      <w:r>
        <w:rPr>
          <w:rFonts w:ascii="宋体" w:hAnsi="宋体"/>
          <w:bCs/>
          <w:color w:val="000000"/>
          <w:sz w:val="24"/>
          <w:szCs w:val="24"/>
        </w:rPr>
        <w:t>分。</w:t>
      </w:r>
      <w:r>
        <w:rPr>
          <w:rFonts w:ascii="宋体" w:hAnsi="宋体"/>
          <w:b/>
          <w:kern w:val="0"/>
          <w:sz w:val="24"/>
          <w:szCs w:val="24"/>
        </w:rPr>
        <w:t>投标时</w:t>
      </w:r>
      <w:r>
        <w:rPr>
          <w:rFonts w:ascii="宋体" w:hAnsi="宋体"/>
          <w:b/>
          <w:sz w:val="24"/>
          <w:szCs w:val="24"/>
        </w:rPr>
        <w:t>须提供</w:t>
      </w:r>
      <w:r>
        <w:rPr>
          <w:rFonts w:hint="eastAsia" w:ascii="宋体" w:hAnsi="宋体"/>
          <w:b/>
          <w:sz w:val="24"/>
          <w:szCs w:val="24"/>
        </w:rPr>
        <w:t>证明材料扫描</w:t>
      </w:r>
      <w:r>
        <w:rPr>
          <w:rFonts w:ascii="宋体" w:hAnsi="宋体"/>
          <w:b/>
          <w:sz w:val="24"/>
          <w:szCs w:val="24"/>
        </w:rPr>
        <w:t>件</w:t>
      </w:r>
      <w:r>
        <w:rPr>
          <w:rFonts w:hint="eastAsia" w:ascii="宋体" w:hAnsi="宋体"/>
          <w:b/>
          <w:sz w:val="24"/>
          <w:szCs w:val="24"/>
        </w:rPr>
        <w:t>并</w:t>
      </w:r>
      <w:r>
        <w:rPr>
          <w:rFonts w:ascii="宋体" w:hAnsi="宋体"/>
          <w:b/>
          <w:sz w:val="24"/>
          <w:szCs w:val="24"/>
        </w:rPr>
        <w:t>加盖公章</w:t>
      </w:r>
      <w:r>
        <w:rPr>
          <w:rFonts w:hint="eastAsia"/>
          <w:b/>
          <w:bCs/>
          <w:sz w:val="24"/>
          <w:szCs w:val="24"/>
        </w:rPr>
        <w:t>，否则不得分。</w:t>
      </w:r>
    </w:p>
    <w:p>
      <w:pPr>
        <w:spacing w:line="360" w:lineRule="auto"/>
        <w:ind w:firstLine="480" w:firstLineChars="200"/>
        <w:rPr>
          <w:b/>
          <w:bCs/>
          <w:sz w:val="24"/>
          <w:szCs w:val="24"/>
        </w:rPr>
      </w:pPr>
      <w:r>
        <w:rPr>
          <w:rFonts w:ascii="宋体" w:hAnsi="宋体"/>
          <w:bCs/>
          <w:color w:val="000000"/>
          <w:sz w:val="24"/>
          <w:szCs w:val="24"/>
        </w:rPr>
        <w:t>C、</w:t>
      </w:r>
      <w:r>
        <w:rPr>
          <w:rFonts w:hint="eastAsia" w:ascii="宋体" w:hAnsi="宋体"/>
          <w:bCs/>
          <w:color w:val="000000"/>
          <w:sz w:val="24"/>
          <w:szCs w:val="24"/>
        </w:rPr>
        <w:t>本项目所有主机、传输、视频数据存储等中心设备放置在具有市级及以上公安机关备案的DCIM（数据中心基础设施管理系统）信息系统安全等级保护备案的机房内，备案证明第一级得1分，第二级得2分，第三级得3分。</w:t>
      </w:r>
      <w:r>
        <w:rPr>
          <w:rFonts w:ascii="宋体" w:hAnsi="宋体"/>
          <w:b/>
          <w:kern w:val="0"/>
          <w:sz w:val="24"/>
          <w:szCs w:val="24"/>
        </w:rPr>
        <w:t>投标时</w:t>
      </w:r>
      <w:r>
        <w:rPr>
          <w:rFonts w:ascii="宋体" w:hAnsi="宋体"/>
          <w:b/>
          <w:sz w:val="24"/>
          <w:szCs w:val="24"/>
        </w:rPr>
        <w:t>须提供</w:t>
      </w:r>
      <w:r>
        <w:rPr>
          <w:rFonts w:hint="eastAsia" w:ascii="宋体" w:hAnsi="宋体"/>
          <w:b/>
          <w:sz w:val="24"/>
          <w:szCs w:val="24"/>
        </w:rPr>
        <w:t>证明材料扫描</w:t>
      </w:r>
      <w:r>
        <w:rPr>
          <w:rFonts w:ascii="宋体" w:hAnsi="宋体"/>
          <w:b/>
          <w:sz w:val="24"/>
          <w:szCs w:val="24"/>
        </w:rPr>
        <w:t>件</w:t>
      </w:r>
      <w:r>
        <w:rPr>
          <w:rFonts w:hint="eastAsia" w:ascii="宋体" w:hAnsi="宋体"/>
          <w:b/>
          <w:sz w:val="24"/>
          <w:szCs w:val="24"/>
        </w:rPr>
        <w:t>并</w:t>
      </w:r>
      <w:r>
        <w:rPr>
          <w:rFonts w:ascii="宋体" w:hAnsi="宋体"/>
          <w:b/>
          <w:sz w:val="24"/>
          <w:szCs w:val="24"/>
        </w:rPr>
        <w:t>加盖公章</w:t>
      </w:r>
      <w:r>
        <w:rPr>
          <w:rFonts w:hint="eastAsia"/>
          <w:b/>
          <w:bCs/>
          <w:sz w:val="24"/>
          <w:szCs w:val="24"/>
        </w:rPr>
        <w:t>，否则不得分。</w:t>
      </w:r>
    </w:p>
    <w:p>
      <w:pPr>
        <w:spacing w:line="360" w:lineRule="auto"/>
        <w:ind w:firstLine="480" w:firstLineChars="200"/>
        <w:jc w:val="left"/>
        <w:rPr>
          <w:rFonts w:ascii="宋体" w:hAnsi="宋体"/>
          <w:b/>
          <w:bCs/>
          <w:sz w:val="24"/>
          <w:szCs w:val="24"/>
        </w:rPr>
      </w:pPr>
      <w:r>
        <w:rPr>
          <w:rFonts w:ascii="宋体" w:hAnsi="宋体"/>
          <w:b/>
          <w:bCs/>
          <w:sz w:val="24"/>
          <w:szCs w:val="24"/>
        </w:rPr>
        <w:t>（3）实施运维团队资质（1</w:t>
      </w:r>
      <w:r>
        <w:rPr>
          <w:rFonts w:hint="eastAsia" w:ascii="宋体" w:hAnsi="宋体"/>
          <w:b/>
          <w:bCs/>
          <w:sz w:val="24"/>
          <w:szCs w:val="24"/>
        </w:rPr>
        <w:t>1</w:t>
      </w:r>
      <w:r>
        <w:rPr>
          <w:rFonts w:ascii="宋体" w:hAnsi="宋体"/>
          <w:b/>
          <w:bCs/>
          <w:sz w:val="24"/>
          <w:szCs w:val="24"/>
        </w:rPr>
        <w:t>分）</w:t>
      </w:r>
    </w:p>
    <w:p>
      <w:pPr>
        <w:pStyle w:val="107"/>
        <w:tabs>
          <w:tab w:val="left" w:pos="846"/>
          <w:tab w:val="left" w:pos="945"/>
          <w:tab w:val="left" w:pos="1155"/>
        </w:tabs>
        <w:spacing w:line="360" w:lineRule="auto"/>
        <w:ind w:firstLine="480"/>
        <w:rPr>
          <w:rFonts w:ascii="宋体" w:hAnsi="宋体"/>
          <w:b/>
          <w:sz w:val="24"/>
          <w:szCs w:val="24"/>
        </w:rPr>
      </w:pPr>
      <w:r>
        <w:rPr>
          <w:rFonts w:ascii="宋体" w:hAnsi="宋体"/>
          <w:bCs/>
          <w:sz w:val="24"/>
          <w:szCs w:val="24"/>
        </w:rPr>
        <w:t>考察投标人为本项目配备的项目人员情况，以填列的《项目人员配置清单》（格式见附件）为准，按要求提供相关证明资料，《项目人员配置清单》不得低于招标要求。</w:t>
      </w:r>
    </w:p>
    <w:p>
      <w:pPr>
        <w:pStyle w:val="107"/>
        <w:tabs>
          <w:tab w:val="left" w:pos="846"/>
          <w:tab w:val="left" w:pos="945"/>
          <w:tab w:val="left" w:pos="1155"/>
        </w:tabs>
        <w:spacing w:line="360" w:lineRule="auto"/>
        <w:ind w:firstLine="480"/>
        <w:rPr>
          <w:rFonts w:ascii="宋体" w:hAnsi="宋体"/>
          <w:bCs/>
          <w:sz w:val="24"/>
          <w:szCs w:val="24"/>
        </w:rPr>
      </w:pPr>
      <w:r>
        <w:rPr>
          <w:rFonts w:ascii="宋体" w:hAnsi="宋体"/>
          <w:bCs/>
          <w:sz w:val="24"/>
          <w:szCs w:val="24"/>
        </w:rPr>
        <w:t>①项目负责人（3分）：</w:t>
      </w:r>
    </w:p>
    <w:p>
      <w:pPr>
        <w:spacing w:line="360" w:lineRule="auto"/>
        <w:ind w:firstLine="480" w:firstLineChars="200"/>
        <w:jc w:val="left"/>
        <w:rPr>
          <w:rFonts w:ascii="宋体" w:hAnsi="宋体"/>
          <w:bCs/>
          <w:sz w:val="24"/>
          <w:szCs w:val="24"/>
        </w:rPr>
      </w:pPr>
      <w:r>
        <w:rPr>
          <w:rFonts w:ascii="宋体" w:hAnsi="宋体"/>
          <w:bCs/>
          <w:sz w:val="24"/>
          <w:szCs w:val="24"/>
        </w:rPr>
        <w:t>a)具有信息系统项目管理师证书，每提供1个得1分，最多得1分；</w:t>
      </w:r>
    </w:p>
    <w:p>
      <w:pPr>
        <w:spacing w:line="360" w:lineRule="auto"/>
        <w:ind w:firstLine="480" w:firstLineChars="200"/>
        <w:jc w:val="left"/>
        <w:rPr>
          <w:rFonts w:ascii="宋体" w:hAnsi="宋体"/>
          <w:bCs/>
          <w:sz w:val="24"/>
          <w:szCs w:val="24"/>
        </w:rPr>
      </w:pPr>
      <w:r>
        <w:rPr>
          <w:rFonts w:ascii="宋体" w:hAnsi="宋体"/>
          <w:bCs/>
          <w:sz w:val="24"/>
          <w:szCs w:val="24"/>
        </w:rPr>
        <w:t>b)高级系统架构设计师证书，每提供1个得1分，最多得1分；</w:t>
      </w:r>
    </w:p>
    <w:p>
      <w:pPr>
        <w:spacing w:line="360" w:lineRule="auto"/>
        <w:ind w:firstLine="480" w:firstLineChars="200"/>
        <w:jc w:val="left"/>
        <w:rPr>
          <w:rFonts w:ascii="宋体" w:hAnsi="宋体"/>
          <w:bCs/>
          <w:sz w:val="24"/>
          <w:szCs w:val="24"/>
        </w:rPr>
      </w:pPr>
      <w:r>
        <w:rPr>
          <w:rFonts w:ascii="宋体" w:hAnsi="宋体"/>
          <w:bCs/>
          <w:sz w:val="24"/>
          <w:szCs w:val="24"/>
        </w:rPr>
        <w:t>c)项目管理专业人士资格认证（PMP）证书，每提供1个得1分，最多得1分。</w:t>
      </w:r>
    </w:p>
    <w:p>
      <w:pPr>
        <w:spacing w:line="360" w:lineRule="auto"/>
        <w:ind w:firstLine="480" w:firstLineChars="200"/>
        <w:jc w:val="left"/>
        <w:rPr>
          <w:rFonts w:ascii="宋体" w:hAnsi="宋体"/>
          <w:bCs/>
          <w:sz w:val="24"/>
          <w:szCs w:val="24"/>
        </w:rPr>
      </w:pPr>
      <w:r>
        <w:rPr>
          <w:rFonts w:ascii="宋体" w:hAnsi="宋体"/>
          <w:b/>
          <w:sz w:val="24"/>
          <w:szCs w:val="24"/>
        </w:rPr>
        <w:t>每有一份证书得1分，最多得3分。</w:t>
      </w:r>
      <w:r>
        <w:rPr>
          <w:rFonts w:ascii="宋体" w:hAnsi="宋体"/>
          <w:b/>
          <w:kern w:val="0"/>
          <w:sz w:val="24"/>
          <w:szCs w:val="24"/>
        </w:rPr>
        <w:t>投标时</w:t>
      </w:r>
      <w:r>
        <w:rPr>
          <w:rFonts w:ascii="宋体" w:hAnsi="宋体"/>
          <w:b/>
          <w:sz w:val="24"/>
        </w:rPr>
        <w:t>须</w:t>
      </w:r>
      <w:r>
        <w:rPr>
          <w:rFonts w:ascii="宋体" w:hAnsi="宋体"/>
          <w:b/>
          <w:color w:val="000000"/>
          <w:sz w:val="24"/>
          <w:szCs w:val="24"/>
        </w:rPr>
        <w:t>提供相关证书</w:t>
      </w:r>
      <w:r>
        <w:rPr>
          <w:rFonts w:hint="eastAsia" w:ascii="宋体" w:hAnsi="宋体"/>
          <w:b/>
          <w:color w:val="000000"/>
          <w:sz w:val="24"/>
          <w:szCs w:val="24"/>
        </w:rPr>
        <w:t>扫描</w:t>
      </w:r>
      <w:r>
        <w:rPr>
          <w:rFonts w:ascii="宋体" w:hAnsi="宋体"/>
          <w:b/>
          <w:color w:val="000000"/>
          <w:sz w:val="24"/>
          <w:szCs w:val="24"/>
        </w:rPr>
        <w:t>件加盖公章</w:t>
      </w:r>
      <w:r>
        <w:rPr>
          <w:rFonts w:ascii="宋体" w:hAnsi="宋体"/>
          <w:b/>
          <w:sz w:val="24"/>
        </w:rPr>
        <w:t>。</w:t>
      </w:r>
      <w:r>
        <w:rPr>
          <w:rFonts w:ascii="宋体" w:hAnsi="宋体"/>
          <w:b/>
          <w:sz w:val="24"/>
          <w:szCs w:val="24"/>
        </w:rPr>
        <w:t>投标供应商提供连续三个月(至少包含近三个月中任意一个月份(不含投标当月))为持证人员缴纳社保的证明</w:t>
      </w:r>
      <w:r>
        <w:rPr>
          <w:rFonts w:hint="eastAsia" w:ascii="宋体" w:hAnsi="宋体"/>
          <w:b/>
          <w:sz w:val="24"/>
          <w:szCs w:val="24"/>
        </w:rPr>
        <w:t>扫描件</w:t>
      </w:r>
      <w:r>
        <w:rPr>
          <w:rFonts w:ascii="宋体" w:hAnsi="宋体"/>
          <w:b/>
          <w:sz w:val="24"/>
          <w:szCs w:val="24"/>
        </w:rPr>
        <w:t>（由相关主管部门出具，新成立公司除外）。上述材料不提供或提供不全不得分。</w:t>
      </w:r>
    </w:p>
    <w:p>
      <w:pPr>
        <w:keepNext w:val="0"/>
        <w:keepLines w:val="0"/>
        <w:pageBreakBefore w:val="0"/>
        <w:widowControl w:val="0"/>
        <w:tabs>
          <w:tab w:val="left" w:pos="846"/>
          <w:tab w:val="left" w:pos="945"/>
          <w:tab w:val="left" w:pos="1155"/>
        </w:tabs>
        <w:kinsoku/>
        <w:wordWrap/>
        <w:overflowPunct/>
        <w:topLinePunct w:val="0"/>
        <w:autoSpaceDE/>
        <w:autoSpaceDN/>
        <w:bidi w:val="0"/>
        <w:adjustRightInd/>
        <w:snapToGrid/>
        <w:spacing w:line="360" w:lineRule="auto"/>
        <w:ind w:left="630"/>
        <w:textAlignment w:val="auto"/>
        <w:rPr>
          <w:rFonts w:ascii="宋体" w:hAnsi="宋体"/>
          <w:bCs/>
          <w:sz w:val="24"/>
          <w:szCs w:val="24"/>
        </w:rPr>
      </w:pPr>
      <w:r>
        <w:rPr>
          <w:rFonts w:ascii="宋体" w:hAnsi="宋体"/>
          <w:bCs/>
          <w:sz w:val="24"/>
          <w:szCs w:val="24"/>
        </w:rPr>
        <w:t>②其他人员（8分）</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rPr>
      </w:pPr>
      <w:r>
        <w:rPr>
          <w:rFonts w:ascii="宋体" w:hAnsi="宋体"/>
          <w:bCs/>
          <w:sz w:val="24"/>
          <w:szCs w:val="24"/>
        </w:rPr>
        <w:t>a)具有</w:t>
      </w:r>
      <w:r>
        <w:rPr>
          <w:rFonts w:hint="eastAsia" w:ascii="宋体" w:hAnsi="宋体"/>
          <w:bCs/>
          <w:sz w:val="24"/>
          <w:szCs w:val="24"/>
        </w:rPr>
        <w:t>通信工程师证书中级以上的（含中级）</w:t>
      </w:r>
      <w:r>
        <w:rPr>
          <w:rFonts w:ascii="宋体" w:hAnsi="宋体"/>
          <w:bCs/>
          <w:sz w:val="24"/>
          <w:szCs w:val="24"/>
        </w:rPr>
        <w:t>的，每提供1个证书得1分，最多得2分；</w:t>
      </w:r>
    </w:p>
    <w:p>
      <w:pPr>
        <w:keepNext w:val="0"/>
        <w:keepLines w:val="0"/>
        <w:pageBreakBefore w:val="0"/>
        <w:widowControl w:val="0"/>
        <w:tabs>
          <w:tab w:val="left" w:pos="846"/>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rPr>
      </w:pPr>
      <w:r>
        <w:rPr>
          <w:rFonts w:ascii="宋体" w:hAnsi="宋体"/>
          <w:bCs/>
          <w:sz w:val="24"/>
          <w:szCs w:val="24"/>
        </w:rPr>
        <w:t>b)具有ITSS IT服务工程师证书，每提供1个证书得1分，最多得2分；</w:t>
      </w:r>
    </w:p>
    <w:p>
      <w:pPr>
        <w:keepNext w:val="0"/>
        <w:keepLines w:val="0"/>
        <w:pageBreakBefore w:val="0"/>
        <w:widowControl w:val="0"/>
        <w:tabs>
          <w:tab w:val="left" w:pos="846"/>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rPr>
      </w:pPr>
      <w:r>
        <w:rPr>
          <w:rFonts w:ascii="宋体" w:hAnsi="宋体"/>
          <w:bCs/>
          <w:sz w:val="24"/>
          <w:szCs w:val="24"/>
        </w:rPr>
        <w:t>c)具有网络工程师（中级及中级以上），每提供1个证书得1分，最多得2分；</w:t>
      </w:r>
    </w:p>
    <w:p>
      <w:pPr>
        <w:keepNext w:val="0"/>
        <w:keepLines w:val="0"/>
        <w:pageBreakBefore w:val="0"/>
        <w:widowControl w:val="0"/>
        <w:tabs>
          <w:tab w:val="left" w:pos="846"/>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rPr>
      </w:pPr>
      <w:r>
        <w:rPr>
          <w:rFonts w:ascii="宋体" w:hAnsi="宋体"/>
          <w:bCs/>
          <w:sz w:val="24"/>
          <w:szCs w:val="24"/>
        </w:rPr>
        <w:t>d)具有国家重要信息系统保护人员证书（CIIPT），每提供1个证书得1分，最多得2分。</w:t>
      </w:r>
    </w:p>
    <w:p>
      <w:pPr>
        <w:tabs>
          <w:tab w:val="left" w:pos="945"/>
          <w:tab w:val="left" w:pos="1155"/>
        </w:tabs>
        <w:spacing w:line="360" w:lineRule="auto"/>
        <w:ind w:firstLine="480" w:firstLineChars="200"/>
        <w:rPr>
          <w:rFonts w:ascii="宋体" w:hAnsi="宋体"/>
          <w:b/>
        </w:rPr>
      </w:pPr>
      <w:r>
        <w:rPr>
          <w:rFonts w:ascii="宋体" w:hAnsi="宋体"/>
          <w:b/>
          <w:sz w:val="24"/>
          <w:szCs w:val="24"/>
        </w:rPr>
        <w:t>同一人员具有多种证书的只计算一次，不重复得分。</w:t>
      </w:r>
      <w:r>
        <w:rPr>
          <w:rFonts w:ascii="宋体" w:hAnsi="宋体"/>
          <w:b/>
          <w:kern w:val="0"/>
          <w:sz w:val="24"/>
          <w:szCs w:val="24"/>
        </w:rPr>
        <w:t>投标时</w:t>
      </w:r>
      <w:r>
        <w:rPr>
          <w:rFonts w:ascii="宋体" w:hAnsi="宋体"/>
          <w:b/>
          <w:sz w:val="24"/>
          <w:szCs w:val="24"/>
        </w:rPr>
        <w:t>须提供</w:t>
      </w:r>
      <w:r>
        <w:rPr>
          <w:rFonts w:hint="eastAsia" w:ascii="宋体" w:hAnsi="宋体"/>
          <w:b/>
          <w:sz w:val="24"/>
          <w:szCs w:val="24"/>
        </w:rPr>
        <w:t>证明材料扫描</w:t>
      </w:r>
      <w:r>
        <w:rPr>
          <w:rFonts w:ascii="宋体" w:hAnsi="宋体"/>
          <w:b/>
          <w:sz w:val="24"/>
          <w:szCs w:val="24"/>
        </w:rPr>
        <w:t>件</w:t>
      </w:r>
      <w:r>
        <w:rPr>
          <w:rFonts w:hint="eastAsia" w:ascii="宋体" w:hAnsi="宋体"/>
          <w:b/>
          <w:sz w:val="24"/>
          <w:szCs w:val="24"/>
        </w:rPr>
        <w:t>并</w:t>
      </w:r>
      <w:r>
        <w:rPr>
          <w:rFonts w:ascii="宋体" w:hAnsi="宋体"/>
          <w:b/>
          <w:sz w:val="24"/>
          <w:szCs w:val="24"/>
        </w:rPr>
        <w:t>加盖公章</w:t>
      </w:r>
      <w:r>
        <w:rPr>
          <w:rFonts w:hint="eastAsia"/>
          <w:b/>
          <w:bCs/>
          <w:sz w:val="24"/>
          <w:szCs w:val="24"/>
        </w:rPr>
        <w:t>。</w:t>
      </w:r>
      <w:r>
        <w:rPr>
          <w:rFonts w:ascii="宋体" w:hAnsi="宋体"/>
          <w:b/>
          <w:sz w:val="24"/>
          <w:szCs w:val="24"/>
        </w:rPr>
        <w:t>投标供应商提供连续三个月(至少包含近三个月中任意一个月份(不含投标当月))为持证人员缴纳社保的证明</w:t>
      </w:r>
      <w:r>
        <w:rPr>
          <w:rFonts w:hint="eastAsia" w:ascii="宋体" w:hAnsi="宋体"/>
          <w:b/>
          <w:sz w:val="24"/>
          <w:szCs w:val="24"/>
        </w:rPr>
        <w:t>扫描件</w:t>
      </w:r>
      <w:r>
        <w:rPr>
          <w:rFonts w:ascii="宋体" w:hAnsi="宋体"/>
          <w:b/>
          <w:sz w:val="24"/>
          <w:szCs w:val="24"/>
        </w:rPr>
        <w:t>（由相关主管部门出具，新成立公司除外）。上述材料不提供或提供不全不得分。</w:t>
      </w:r>
    </w:p>
    <w:p>
      <w:pPr>
        <w:tabs>
          <w:tab w:val="left" w:pos="846"/>
          <w:tab w:val="left" w:pos="945"/>
          <w:tab w:val="left" w:pos="1155"/>
          <w:tab w:val="left" w:pos="1271"/>
        </w:tabs>
        <w:spacing w:line="360" w:lineRule="auto"/>
        <w:ind w:left="420" w:leftChars="200"/>
        <w:rPr>
          <w:rFonts w:ascii="宋体" w:hAnsi="宋体"/>
          <w:b/>
          <w:bCs/>
          <w:sz w:val="24"/>
          <w:szCs w:val="24"/>
        </w:rPr>
      </w:pPr>
      <w:r>
        <w:rPr>
          <w:rFonts w:ascii="宋体" w:hAnsi="宋体"/>
          <w:b/>
          <w:bCs/>
          <w:sz w:val="24"/>
          <w:szCs w:val="24"/>
        </w:rPr>
        <w:t>（4）投标人综合保障情况（1</w:t>
      </w:r>
      <w:r>
        <w:rPr>
          <w:rFonts w:hint="eastAsia" w:ascii="宋体" w:hAnsi="宋体"/>
          <w:b/>
          <w:bCs/>
          <w:sz w:val="24"/>
          <w:szCs w:val="24"/>
        </w:rPr>
        <w:t>2</w:t>
      </w:r>
      <w:r>
        <w:rPr>
          <w:rFonts w:ascii="宋体" w:hAnsi="宋体"/>
          <w:b/>
          <w:bCs/>
          <w:sz w:val="24"/>
          <w:szCs w:val="24"/>
        </w:rPr>
        <w:t xml:space="preserve">分） </w:t>
      </w:r>
    </w:p>
    <w:p>
      <w:pPr>
        <w:tabs>
          <w:tab w:val="left" w:pos="945"/>
          <w:tab w:val="left" w:pos="1155"/>
        </w:tabs>
        <w:spacing w:line="360" w:lineRule="auto"/>
        <w:ind w:firstLine="480" w:firstLineChars="200"/>
        <w:rPr>
          <w:rFonts w:ascii="宋体" w:hAnsi="宋体"/>
          <w:sz w:val="24"/>
          <w:szCs w:val="24"/>
        </w:rPr>
      </w:pPr>
      <w:r>
        <w:rPr>
          <w:rFonts w:ascii="宋体" w:hAnsi="宋体"/>
          <w:sz w:val="24"/>
          <w:szCs w:val="24"/>
        </w:rPr>
        <w:t>①服务承诺(2分)</w:t>
      </w:r>
    </w:p>
    <w:p>
      <w:pPr>
        <w:tabs>
          <w:tab w:val="left" w:pos="945"/>
          <w:tab w:val="left" w:pos="1155"/>
        </w:tabs>
        <w:spacing w:line="360" w:lineRule="auto"/>
        <w:ind w:firstLine="480" w:firstLineChars="200"/>
        <w:rPr>
          <w:rFonts w:ascii="宋体" w:hAnsi="宋体"/>
          <w:sz w:val="24"/>
          <w:szCs w:val="24"/>
        </w:rPr>
      </w:pPr>
      <w:r>
        <w:rPr>
          <w:rFonts w:ascii="宋体" w:hAnsi="宋体"/>
          <w:bCs/>
          <w:sz w:val="24"/>
          <w:szCs w:val="24"/>
        </w:rPr>
        <w:t>a)</w:t>
      </w:r>
      <w:r>
        <w:rPr>
          <w:rFonts w:ascii="宋体" w:hAnsi="宋体"/>
          <w:sz w:val="24"/>
          <w:szCs w:val="24"/>
        </w:rPr>
        <w:t>承诺中标后提供5×8小时服务的得0.5分，7×24小时服务的得1分，</w:t>
      </w:r>
      <w:r>
        <w:rPr>
          <w:rFonts w:ascii="宋体" w:hAnsi="宋体"/>
          <w:bCs/>
          <w:sz w:val="24"/>
          <w:szCs w:val="24"/>
        </w:rPr>
        <w:t>最多得1分；</w:t>
      </w:r>
    </w:p>
    <w:p>
      <w:pPr>
        <w:tabs>
          <w:tab w:val="left" w:pos="945"/>
          <w:tab w:val="left" w:pos="1155"/>
        </w:tabs>
        <w:spacing w:line="360" w:lineRule="auto"/>
        <w:ind w:firstLine="480" w:firstLineChars="200"/>
        <w:rPr>
          <w:rFonts w:ascii="宋体" w:hAnsi="宋体"/>
          <w:sz w:val="24"/>
          <w:szCs w:val="24"/>
        </w:rPr>
      </w:pPr>
      <w:r>
        <w:rPr>
          <w:rFonts w:ascii="宋体" w:hAnsi="宋体"/>
          <w:bCs/>
          <w:sz w:val="24"/>
          <w:szCs w:val="24"/>
        </w:rPr>
        <w:t>b)</w:t>
      </w:r>
      <w:r>
        <w:rPr>
          <w:rFonts w:ascii="宋体" w:hAnsi="宋体"/>
          <w:sz w:val="24"/>
          <w:szCs w:val="24"/>
        </w:rPr>
        <w:t>承诺中标后每季度巡检一次的得0.5分，每月巡检一次的得1分，</w:t>
      </w:r>
      <w:r>
        <w:rPr>
          <w:rFonts w:ascii="宋体" w:hAnsi="宋体"/>
          <w:bCs/>
          <w:sz w:val="24"/>
          <w:szCs w:val="24"/>
        </w:rPr>
        <w:t>最多得1分</w:t>
      </w:r>
      <w:r>
        <w:rPr>
          <w:rFonts w:ascii="宋体" w:hAnsi="宋体"/>
          <w:sz w:val="24"/>
          <w:szCs w:val="24"/>
        </w:rPr>
        <w:t>。</w:t>
      </w:r>
    </w:p>
    <w:p>
      <w:pPr>
        <w:tabs>
          <w:tab w:val="left" w:pos="945"/>
          <w:tab w:val="left" w:pos="1155"/>
        </w:tabs>
        <w:spacing w:line="360" w:lineRule="auto"/>
        <w:ind w:firstLine="480" w:firstLineChars="200"/>
        <w:rPr>
          <w:rFonts w:ascii="宋体" w:hAnsi="宋体"/>
          <w:sz w:val="24"/>
          <w:szCs w:val="24"/>
        </w:rPr>
      </w:pPr>
      <w:r>
        <w:rPr>
          <w:rFonts w:ascii="宋体" w:hAnsi="宋体"/>
          <w:sz w:val="24"/>
          <w:szCs w:val="24"/>
        </w:rPr>
        <w:t>②升级承诺（</w:t>
      </w:r>
      <w:r>
        <w:rPr>
          <w:rFonts w:hint="eastAsia" w:ascii="宋体" w:hAnsi="宋体"/>
          <w:sz w:val="24"/>
          <w:szCs w:val="24"/>
        </w:rPr>
        <w:t>2</w:t>
      </w:r>
      <w:r>
        <w:rPr>
          <w:rFonts w:ascii="宋体" w:hAnsi="宋体"/>
          <w:sz w:val="24"/>
          <w:szCs w:val="24"/>
        </w:rPr>
        <w:t>分）</w:t>
      </w:r>
    </w:p>
    <w:p>
      <w:pPr>
        <w:tabs>
          <w:tab w:val="left" w:pos="945"/>
          <w:tab w:val="left" w:pos="1155"/>
        </w:tabs>
        <w:spacing w:line="360" w:lineRule="auto"/>
        <w:ind w:firstLine="480" w:firstLineChars="200"/>
        <w:rPr>
          <w:rFonts w:ascii="宋体" w:hAnsi="宋体"/>
          <w:sz w:val="24"/>
          <w:szCs w:val="24"/>
        </w:rPr>
      </w:pPr>
      <w:r>
        <w:rPr>
          <w:rFonts w:ascii="宋体" w:hAnsi="宋体"/>
          <w:sz w:val="24"/>
          <w:szCs w:val="24"/>
        </w:rPr>
        <w:t>投标人承诺中标后所投产品软件系统每年升级为最新版的得2分。</w:t>
      </w:r>
    </w:p>
    <w:p>
      <w:pPr>
        <w:tabs>
          <w:tab w:val="left" w:pos="945"/>
          <w:tab w:val="left" w:pos="1155"/>
        </w:tabs>
        <w:spacing w:line="360" w:lineRule="auto"/>
        <w:ind w:firstLine="480" w:firstLineChars="200"/>
        <w:rPr>
          <w:rFonts w:ascii="宋体" w:hAnsi="宋体"/>
          <w:sz w:val="24"/>
          <w:szCs w:val="24"/>
        </w:rPr>
      </w:pPr>
      <w:r>
        <w:rPr>
          <w:rFonts w:ascii="宋体" w:hAnsi="宋体"/>
          <w:sz w:val="24"/>
          <w:szCs w:val="24"/>
        </w:rPr>
        <w:t>③本地化服务（</w:t>
      </w:r>
      <w:r>
        <w:rPr>
          <w:rFonts w:hint="eastAsia" w:ascii="宋体" w:hAnsi="宋体"/>
          <w:sz w:val="24"/>
          <w:szCs w:val="24"/>
        </w:rPr>
        <w:t>2</w:t>
      </w:r>
      <w:r>
        <w:rPr>
          <w:rFonts w:ascii="宋体" w:hAnsi="宋体"/>
          <w:sz w:val="24"/>
          <w:szCs w:val="24"/>
        </w:rPr>
        <w:t>分）</w:t>
      </w:r>
    </w:p>
    <w:p>
      <w:pPr>
        <w:tabs>
          <w:tab w:val="left" w:pos="945"/>
          <w:tab w:val="left" w:pos="1155"/>
        </w:tabs>
        <w:spacing w:line="360" w:lineRule="auto"/>
        <w:ind w:firstLine="480" w:firstLineChars="200"/>
        <w:rPr>
          <w:rFonts w:ascii="宋体" w:hAnsi="宋体"/>
          <w:bCs/>
          <w:sz w:val="24"/>
          <w:szCs w:val="24"/>
        </w:rPr>
      </w:pPr>
      <w:r>
        <w:rPr>
          <w:rFonts w:ascii="宋体" w:hAnsi="宋体"/>
          <w:sz w:val="24"/>
          <w:szCs w:val="24"/>
        </w:rPr>
        <w:t>投标人承诺中标后，在本地设立常驻售后服务机构或派驻本地服务人员的得</w:t>
      </w:r>
      <w:r>
        <w:rPr>
          <w:rFonts w:hint="eastAsia" w:ascii="宋体" w:hAnsi="宋体"/>
          <w:sz w:val="24"/>
          <w:szCs w:val="24"/>
        </w:rPr>
        <w:t>2</w:t>
      </w:r>
      <w:r>
        <w:rPr>
          <w:rFonts w:ascii="宋体" w:hAnsi="宋体"/>
          <w:sz w:val="24"/>
          <w:szCs w:val="24"/>
        </w:rPr>
        <w:t>分</w:t>
      </w:r>
      <w:r>
        <w:rPr>
          <w:rFonts w:ascii="宋体" w:hAnsi="宋体"/>
          <w:bCs/>
          <w:sz w:val="24"/>
          <w:szCs w:val="24"/>
        </w:rPr>
        <w:t>。投标供应商提供连续三个月(至少包含近三个月中任意一个月份(不含投标当月))为派驻人员缴纳社保的证明</w:t>
      </w:r>
      <w:r>
        <w:rPr>
          <w:rFonts w:hint="eastAsia" w:ascii="宋体" w:hAnsi="宋体"/>
          <w:bCs/>
          <w:sz w:val="24"/>
          <w:szCs w:val="24"/>
        </w:rPr>
        <w:t>扫描件</w:t>
      </w:r>
      <w:r>
        <w:rPr>
          <w:rFonts w:ascii="宋体" w:hAnsi="宋体"/>
          <w:bCs/>
          <w:sz w:val="24"/>
          <w:szCs w:val="24"/>
        </w:rPr>
        <w:t>（由相关主管部门出具，新成立公司除外）。</w:t>
      </w:r>
    </w:p>
    <w:p>
      <w:pPr>
        <w:tabs>
          <w:tab w:val="left" w:pos="945"/>
          <w:tab w:val="left" w:pos="1155"/>
        </w:tabs>
        <w:spacing w:line="360" w:lineRule="auto"/>
        <w:ind w:firstLine="480" w:firstLineChars="200"/>
        <w:rPr>
          <w:rFonts w:ascii="宋体" w:hAnsi="宋体"/>
        </w:rPr>
      </w:pPr>
      <w:r>
        <w:rPr>
          <w:rFonts w:ascii="宋体" w:hAnsi="宋体"/>
          <w:b/>
          <w:bCs/>
          <w:sz w:val="24"/>
          <w:szCs w:val="24"/>
        </w:rPr>
        <w:t>上述承诺书须提供</w:t>
      </w:r>
      <w:r>
        <w:rPr>
          <w:rFonts w:hint="eastAsia" w:ascii="宋体" w:hAnsi="宋体"/>
          <w:b/>
          <w:bCs/>
          <w:sz w:val="24"/>
          <w:szCs w:val="24"/>
        </w:rPr>
        <w:t>扫描件</w:t>
      </w:r>
      <w:r>
        <w:rPr>
          <w:rFonts w:ascii="宋体" w:hAnsi="宋体"/>
          <w:b/>
          <w:bCs/>
          <w:sz w:val="24"/>
          <w:szCs w:val="24"/>
        </w:rPr>
        <w:t>并加盖公章，否则不得分。</w:t>
      </w:r>
    </w:p>
    <w:p>
      <w:pPr>
        <w:tabs>
          <w:tab w:val="left" w:pos="945"/>
          <w:tab w:val="left" w:pos="1155"/>
        </w:tabs>
        <w:spacing w:line="360" w:lineRule="auto"/>
        <w:ind w:firstLine="480" w:firstLineChars="200"/>
        <w:rPr>
          <w:rFonts w:ascii="宋体" w:hAnsi="宋体"/>
          <w:sz w:val="24"/>
          <w:szCs w:val="24"/>
        </w:rPr>
      </w:pPr>
      <w:r>
        <w:rPr>
          <w:rFonts w:ascii="宋体" w:hAnsi="宋体"/>
          <w:sz w:val="24"/>
          <w:szCs w:val="24"/>
        </w:rPr>
        <w:t>④备件备品（2分）</w:t>
      </w:r>
    </w:p>
    <w:p>
      <w:pPr>
        <w:tabs>
          <w:tab w:val="left" w:pos="945"/>
          <w:tab w:val="left" w:pos="1155"/>
        </w:tabs>
        <w:spacing w:line="360" w:lineRule="auto"/>
        <w:ind w:left="478" w:leftChars="228"/>
        <w:rPr>
          <w:rFonts w:ascii="宋体" w:hAnsi="宋体"/>
          <w:b/>
          <w:bCs/>
          <w:sz w:val="24"/>
          <w:szCs w:val="24"/>
        </w:rPr>
      </w:pPr>
      <w:r>
        <w:rPr>
          <w:rFonts w:ascii="宋体" w:hAnsi="宋体"/>
          <w:sz w:val="24"/>
          <w:szCs w:val="24"/>
        </w:rPr>
        <w:t>投标人提供针对本项目的《备件备品清单》（须列明备件备品本地储备情况等内容）得2分。</w:t>
      </w:r>
      <w:r>
        <w:rPr>
          <w:rFonts w:hint="eastAsia" w:ascii="宋体" w:hAnsi="宋体"/>
          <w:b/>
          <w:bCs/>
          <w:sz w:val="24"/>
          <w:szCs w:val="24"/>
        </w:rPr>
        <w:t>投标时</w:t>
      </w:r>
      <w:r>
        <w:rPr>
          <w:rFonts w:hint="eastAsia"/>
          <w:b/>
          <w:bCs/>
          <w:sz w:val="24"/>
          <w:szCs w:val="24"/>
        </w:rPr>
        <w:t>提供</w:t>
      </w:r>
      <w:r>
        <w:rPr>
          <w:rFonts w:ascii="宋体" w:hAnsi="宋体"/>
          <w:b/>
          <w:bCs/>
          <w:sz w:val="24"/>
          <w:szCs w:val="24"/>
        </w:rPr>
        <w:t>《备件备品清单》</w:t>
      </w:r>
      <w:r>
        <w:rPr>
          <w:rFonts w:hint="eastAsia" w:ascii="宋体" w:hAnsi="宋体"/>
          <w:b/>
          <w:bCs/>
          <w:sz w:val="24"/>
          <w:szCs w:val="24"/>
        </w:rPr>
        <w:t>扫描件并</w:t>
      </w:r>
      <w:r>
        <w:rPr>
          <w:rFonts w:ascii="宋体" w:hAnsi="宋体"/>
          <w:b/>
          <w:bCs/>
          <w:sz w:val="24"/>
          <w:szCs w:val="24"/>
        </w:rPr>
        <w:t>加盖公章，否则不得分。</w:t>
      </w:r>
    </w:p>
    <w:p>
      <w:pPr>
        <w:tabs>
          <w:tab w:val="left" w:pos="846"/>
          <w:tab w:val="left" w:pos="945"/>
          <w:tab w:val="left" w:pos="1155"/>
          <w:tab w:val="left" w:pos="1271"/>
        </w:tabs>
        <w:spacing w:line="360" w:lineRule="auto"/>
        <w:ind w:left="420" w:leftChars="200"/>
        <w:rPr>
          <w:rFonts w:ascii="宋体" w:hAnsi="宋体"/>
          <w:sz w:val="24"/>
          <w:szCs w:val="24"/>
        </w:rPr>
      </w:pPr>
      <w:r>
        <w:rPr>
          <w:rFonts w:ascii="宋体" w:hAnsi="宋体"/>
          <w:sz w:val="24"/>
          <w:szCs w:val="24"/>
        </w:rPr>
        <w:t>⑤原厂售后保障（4分）</w:t>
      </w:r>
    </w:p>
    <w:p>
      <w:pPr>
        <w:pStyle w:val="9"/>
        <w:spacing w:line="360" w:lineRule="auto"/>
        <w:ind w:firstLine="480" w:firstLineChars="200"/>
        <w:rPr>
          <w:rFonts w:ascii="宋体" w:hAnsi="宋体"/>
          <w:sz w:val="24"/>
          <w:szCs w:val="24"/>
        </w:rPr>
      </w:pPr>
      <w:r>
        <w:rPr>
          <w:rFonts w:ascii="宋体" w:hAnsi="宋体"/>
          <w:bCs/>
          <w:sz w:val="24"/>
          <w:szCs w:val="24"/>
        </w:rPr>
        <w:t>a)</w:t>
      </w:r>
      <w:r>
        <w:rPr>
          <w:rFonts w:ascii="宋体" w:hAnsi="宋体"/>
          <w:sz w:val="24"/>
          <w:szCs w:val="24"/>
        </w:rPr>
        <w:t>投标人所投</w:t>
      </w:r>
      <w:r>
        <w:rPr>
          <w:rFonts w:hint="eastAsia"/>
          <w:sz w:val="24"/>
          <w:szCs w:val="24"/>
        </w:rPr>
        <w:t>400万全结构化双目摄像机最低照度</w:t>
      </w:r>
      <w:r>
        <w:rPr>
          <w:rFonts w:hint="eastAsia" w:ascii="宋体" w:hAnsi="宋体"/>
          <w:sz w:val="24"/>
          <w:szCs w:val="24"/>
        </w:rPr>
        <w:t>不低于</w:t>
      </w:r>
      <w:r>
        <w:rPr>
          <w:rFonts w:ascii="宋体" w:hAnsi="宋体"/>
          <w:sz w:val="24"/>
          <w:szCs w:val="24"/>
        </w:rPr>
        <w:t>招标文件要求的有一项得1分</w:t>
      </w:r>
      <w:r>
        <w:rPr>
          <w:rFonts w:hint="eastAsia" w:ascii="宋体" w:hAnsi="宋体"/>
          <w:sz w:val="24"/>
          <w:szCs w:val="24"/>
        </w:rPr>
        <w:t>；</w:t>
      </w:r>
      <w:r>
        <w:rPr>
          <w:rFonts w:ascii="宋体" w:hAnsi="宋体"/>
          <w:sz w:val="24"/>
          <w:szCs w:val="24"/>
        </w:rPr>
        <w:t>参数</w:t>
      </w:r>
      <w:r>
        <w:rPr>
          <w:rFonts w:hint="eastAsia" w:ascii="宋体" w:hAnsi="宋体"/>
          <w:sz w:val="24"/>
          <w:szCs w:val="24"/>
        </w:rPr>
        <w:t>中</w:t>
      </w:r>
      <w:r>
        <w:rPr>
          <w:rFonts w:hint="eastAsia"/>
          <w:sz w:val="24"/>
          <w:szCs w:val="24"/>
        </w:rPr>
        <w:t>摄像机补光距离</w:t>
      </w:r>
      <w:r>
        <w:rPr>
          <w:rFonts w:hint="eastAsia" w:ascii="宋体" w:hAnsi="宋体"/>
          <w:sz w:val="24"/>
          <w:szCs w:val="24"/>
        </w:rPr>
        <w:t>不低于</w:t>
      </w:r>
      <w:r>
        <w:rPr>
          <w:rFonts w:ascii="宋体" w:hAnsi="宋体"/>
          <w:sz w:val="24"/>
          <w:szCs w:val="24"/>
        </w:rPr>
        <w:t>招标文件要求的有一项得1分</w:t>
      </w:r>
      <w:r>
        <w:rPr>
          <w:rFonts w:hint="eastAsia" w:ascii="宋体" w:hAnsi="宋体"/>
          <w:sz w:val="24"/>
          <w:szCs w:val="24"/>
        </w:rPr>
        <w:t>，本项</w:t>
      </w:r>
      <w:r>
        <w:rPr>
          <w:rFonts w:ascii="宋体" w:hAnsi="宋体"/>
          <w:sz w:val="24"/>
          <w:szCs w:val="24"/>
        </w:rPr>
        <w:t>最多2分</w:t>
      </w:r>
      <w:r>
        <w:rPr>
          <w:rFonts w:hint="eastAsia" w:ascii="宋体" w:hAnsi="宋体"/>
          <w:sz w:val="24"/>
          <w:szCs w:val="24"/>
        </w:rPr>
        <w:t>。</w:t>
      </w:r>
    </w:p>
    <w:p>
      <w:pPr>
        <w:tabs>
          <w:tab w:val="left" w:pos="846"/>
          <w:tab w:val="left" w:pos="945"/>
          <w:tab w:val="left" w:pos="1155"/>
          <w:tab w:val="left" w:pos="1271"/>
        </w:tabs>
        <w:spacing w:line="360" w:lineRule="auto"/>
        <w:ind w:firstLine="480" w:firstLineChars="200"/>
        <w:rPr>
          <w:rFonts w:ascii="宋体" w:hAnsi="宋体"/>
          <w:sz w:val="24"/>
          <w:szCs w:val="24"/>
        </w:rPr>
      </w:pPr>
      <w:r>
        <w:rPr>
          <w:rFonts w:ascii="宋体" w:hAnsi="宋体"/>
          <w:bCs/>
          <w:sz w:val="24"/>
          <w:szCs w:val="24"/>
        </w:rPr>
        <w:t>b)</w:t>
      </w:r>
      <w:r>
        <w:rPr>
          <w:rFonts w:hint="eastAsia" w:ascii="宋体" w:hAnsi="宋体"/>
          <w:sz w:val="24"/>
          <w:szCs w:val="24"/>
        </w:rPr>
        <w:t>视频云存储节点</w:t>
      </w:r>
      <w:r>
        <w:rPr>
          <w:rFonts w:ascii="宋体" w:hAnsi="宋体"/>
          <w:sz w:val="24"/>
          <w:szCs w:val="24"/>
        </w:rPr>
        <w:t>参数</w:t>
      </w:r>
      <w:r>
        <w:rPr>
          <w:rFonts w:hint="eastAsia" w:ascii="宋体" w:hAnsi="宋体"/>
          <w:sz w:val="24"/>
          <w:szCs w:val="24"/>
        </w:rPr>
        <w:t>中</w:t>
      </w:r>
      <w:r>
        <w:rPr>
          <w:rFonts w:hint="eastAsia"/>
          <w:sz w:val="24"/>
          <w:szCs w:val="24"/>
        </w:rPr>
        <w:t>云存储支持节点数</w:t>
      </w:r>
      <w:r>
        <w:rPr>
          <w:rFonts w:hint="eastAsia" w:ascii="宋体" w:hAnsi="宋体"/>
          <w:sz w:val="24"/>
          <w:szCs w:val="24"/>
        </w:rPr>
        <w:t>不低于</w:t>
      </w:r>
      <w:r>
        <w:rPr>
          <w:rFonts w:ascii="宋体" w:hAnsi="宋体"/>
          <w:sz w:val="24"/>
          <w:szCs w:val="24"/>
        </w:rPr>
        <w:t>招标文件要求的有一项得1分</w:t>
      </w:r>
      <w:r>
        <w:rPr>
          <w:rFonts w:hint="eastAsia" w:ascii="宋体" w:hAnsi="宋体"/>
          <w:sz w:val="24"/>
          <w:szCs w:val="24"/>
        </w:rPr>
        <w:t>；参数中</w:t>
      </w:r>
      <w:r>
        <w:rPr>
          <w:rFonts w:hint="eastAsia"/>
          <w:sz w:val="24"/>
          <w:szCs w:val="24"/>
        </w:rPr>
        <w:t>多云集群系统支持云存储个数</w:t>
      </w:r>
      <w:r>
        <w:rPr>
          <w:rFonts w:hint="eastAsia" w:ascii="宋体" w:hAnsi="宋体"/>
          <w:sz w:val="24"/>
          <w:szCs w:val="24"/>
        </w:rPr>
        <w:t>不低于</w:t>
      </w:r>
      <w:r>
        <w:rPr>
          <w:rFonts w:ascii="宋体" w:hAnsi="宋体"/>
          <w:sz w:val="24"/>
          <w:szCs w:val="24"/>
        </w:rPr>
        <w:t>招标文件要求的有一项得1分</w:t>
      </w:r>
      <w:r>
        <w:rPr>
          <w:rFonts w:hint="eastAsia" w:ascii="宋体" w:hAnsi="宋体"/>
          <w:sz w:val="24"/>
          <w:szCs w:val="24"/>
        </w:rPr>
        <w:t>，本项</w:t>
      </w:r>
      <w:r>
        <w:rPr>
          <w:rFonts w:ascii="宋体" w:hAnsi="宋体"/>
          <w:sz w:val="24"/>
          <w:szCs w:val="24"/>
        </w:rPr>
        <w:t>最多2分。</w:t>
      </w:r>
    </w:p>
    <w:p>
      <w:pPr>
        <w:tabs>
          <w:tab w:val="left" w:pos="846"/>
          <w:tab w:val="left" w:pos="945"/>
          <w:tab w:val="left" w:pos="1155"/>
          <w:tab w:val="left" w:pos="1271"/>
        </w:tabs>
        <w:spacing w:line="360" w:lineRule="auto"/>
        <w:ind w:firstLine="480" w:firstLineChars="200"/>
        <w:rPr>
          <w:rFonts w:ascii="宋体" w:hAnsi="宋体"/>
          <w:b/>
          <w:bCs/>
        </w:rPr>
      </w:pPr>
      <w:r>
        <w:rPr>
          <w:rFonts w:ascii="宋体" w:hAnsi="宋体"/>
          <w:b/>
          <w:bCs/>
          <w:sz w:val="24"/>
          <w:szCs w:val="24"/>
        </w:rPr>
        <w:t>须提供原厂商加盖公章的检测报告</w:t>
      </w:r>
      <w:r>
        <w:rPr>
          <w:rFonts w:hint="eastAsia" w:ascii="宋体" w:hAnsi="宋体"/>
          <w:b/>
          <w:bCs/>
          <w:sz w:val="24"/>
          <w:szCs w:val="24"/>
        </w:rPr>
        <w:t>扫描件</w:t>
      </w:r>
      <w:r>
        <w:rPr>
          <w:rFonts w:ascii="宋体" w:hAnsi="宋体"/>
          <w:b/>
          <w:bCs/>
          <w:sz w:val="24"/>
          <w:szCs w:val="24"/>
        </w:rPr>
        <w:t>，否则不得分。</w:t>
      </w:r>
    </w:p>
    <w:p>
      <w:pPr>
        <w:tabs>
          <w:tab w:val="left" w:pos="846"/>
          <w:tab w:val="left" w:pos="945"/>
          <w:tab w:val="left" w:pos="1155"/>
          <w:tab w:val="left" w:pos="1271"/>
        </w:tabs>
        <w:spacing w:line="360" w:lineRule="auto"/>
        <w:ind w:left="420" w:leftChars="200"/>
        <w:rPr>
          <w:rFonts w:ascii="宋体" w:hAnsi="宋体"/>
          <w:b/>
          <w:bCs/>
          <w:sz w:val="24"/>
          <w:szCs w:val="24"/>
        </w:rPr>
      </w:pPr>
      <w:r>
        <w:rPr>
          <w:rFonts w:ascii="宋体" w:hAnsi="宋体"/>
          <w:b/>
          <w:bCs/>
          <w:sz w:val="24"/>
          <w:szCs w:val="24"/>
        </w:rPr>
        <w:t>（5）项目技术方案（33分）</w:t>
      </w:r>
    </w:p>
    <w:p>
      <w:pPr>
        <w:pStyle w:val="9"/>
        <w:spacing w:line="360" w:lineRule="auto"/>
        <w:ind w:firstLine="480" w:firstLineChars="200"/>
        <w:rPr>
          <w:rFonts w:ascii="宋体" w:hAnsi="宋体"/>
          <w:sz w:val="24"/>
          <w:szCs w:val="24"/>
        </w:rPr>
      </w:pPr>
      <w:r>
        <w:rPr>
          <w:rFonts w:hint="eastAsia" w:ascii="宋体" w:hAnsi="宋体"/>
          <w:sz w:val="24"/>
          <w:szCs w:val="24"/>
        </w:rPr>
        <w:t>①项目技术方案（15分）</w:t>
      </w:r>
    </w:p>
    <w:p>
      <w:pPr>
        <w:pStyle w:val="9"/>
        <w:spacing w:line="360" w:lineRule="auto"/>
        <w:ind w:firstLine="480" w:firstLineChars="200"/>
        <w:rPr>
          <w:rFonts w:ascii="宋体" w:hAnsi="宋体"/>
          <w:sz w:val="24"/>
          <w:szCs w:val="24"/>
        </w:rPr>
      </w:pPr>
      <w:r>
        <w:rPr>
          <w:rFonts w:hint="eastAsia" w:ascii="宋体" w:hAnsi="宋体"/>
          <w:sz w:val="24"/>
          <w:szCs w:val="24"/>
        </w:rPr>
        <w:t>考察投标人的技术方案与现状的结合情况、运维方案的科学合理性、软硬件之间的匹配性及稳定性、平台衔接方案以及如何保障线路接入服务的及时性等方面。</w:t>
      </w:r>
    </w:p>
    <w:p>
      <w:pPr>
        <w:pStyle w:val="9"/>
        <w:spacing w:line="360" w:lineRule="auto"/>
        <w:ind w:firstLine="480" w:firstLineChars="200"/>
        <w:rPr>
          <w:rFonts w:ascii="宋体" w:hAnsi="宋体"/>
          <w:sz w:val="24"/>
          <w:szCs w:val="24"/>
        </w:rPr>
      </w:pPr>
      <w:r>
        <w:rPr>
          <w:rFonts w:hint="eastAsia" w:ascii="宋体" w:hAnsi="宋体"/>
          <w:sz w:val="24"/>
          <w:szCs w:val="24"/>
        </w:rPr>
        <w:t>a)投标人的技术方案中含有与现状的结合情况进行打分（3）；</w:t>
      </w:r>
    </w:p>
    <w:p>
      <w:pPr>
        <w:pStyle w:val="9"/>
        <w:spacing w:line="360" w:lineRule="auto"/>
        <w:ind w:firstLine="480" w:firstLineChars="200"/>
        <w:rPr>
          <w:rFonts w:ascii="宋体" w:hAnsi="宋体"/>
          <w:sz w:val="24"/>
          <w:szCs w:val="24"/>
        </w:rPr>
      </w:pPr>
      <w:r>
        <w:rPr>
          <w:rFonts w:hint="eastAsia" w:ascii="宋体" w:hAnsi="宋体"/>
          <w:sz w:val="24"/>
          <w:szCs w:val="24"/>
        </w:rPr>
        <w:t>b)投标人的技术方案中含运维方案的科学合理性打分（3分）；</w:t>
      </w:r>
    </w:p>
    <w:p>
      <w:pPr>
        <w:pStyle w:val="9"/>
        <w:spacing w:line="360" w:lineRule="auto"/>
        <w:ind w:firstLine="480" w:firstLineChars="200"/>
        <w:rPr>
          <w:rFonts w:ascii="宋体" w:hAnsi="宋体"/>
          <w:sz w:val="24"/>
          <w:szCs w:val="24"/>
        </w:rPr>
      </w:pPr>
      <w:r>
        <w:rPr>
          <w:rFonts w:hint="eastAsia" w:ascii="宋体" w:hAnsi="宋体"/>
          <w:sz w:val="24"/>
          <w:szCs w:val="24"/>
        </w:rPr>
        <w:t>c)投标人的技术方案中含有软硬件之间的匹配性及稳定性打分（3分）；</w:t>
      </w:r>
    </w:p>
    <w:p>
      <w:pPr>
        <w:pStyle w:val="9"/>
        <w:spacing w:line="360" w:lineRule="auto"/>
        <w:ind w:firstLine="480" w:firstLineChars="200"/>
        <w:rPr>
          <w:rFonts w:ascii="宋体" w:hAnsi="宋体"/>
          <w:sz w:val="24"/>
          <w:szCs w:val="24"/>
        </w:rPr>
      </w:pPr>
      <w:r>
        <w:rPr>
          <w:rFonts w:hint="eastAsia" w:ascii="宋体" w:hAnsi="宋体"/>
          <w:sz w:val="24"/>
          <w:szCs w:val="24"/>
        </w:rPr>
        <w:t>d)投标人的技术方案中含有平台衔接方案酌情打分（3）；</w:t>
      </w:r>
    </w:p>
    <w:p>
      <w:pPr>
        <w:pStyle w:val="9"/>
        <w:spacing w:line="360" w:lineRule="auto"/>
        <w:ind w:firstLine="480" w:firstLineChars="200"/>
        <w:rPr>
          <w:rFonts w:ascii="宋体" w:hAnsi="宋体"/>
          <w:sz w:val="24"/>
          <w:szCs w:val="24"/>
        </w:rPr>
      </w:pPr>
      <w:r>
        <w:rPr>
          <w:rFonts w:hint="eastAsia" w:ascii="宋体" w:hAnsi="宋体"/>
          <w:sz w:val="24"/>
          <w:szCs w:val="24"/>
        </w:rPr>
        <w:t>e)投标人的技术方案中含有保障线路接入服务的及时性打分（3分）；</w:t>
      </w:r>
    </w:p>
    <w:p>
      <w:pPr>
        <w:pStyle w:val="9"/>
        <w:spacing w:line="360" w:lineRule="auto"/>
        <w:ind w:firstLine="480" w:firstLineChars="200"/>
        <w:rPr>
          <w:rFonts w:ascii="宋体" w:hAnsi="宋体"/>
          <w:sz w:val="24"/>
          <w:szCs w:val="24"/>
        </w:rPr>
      </w:pPr>
      <w:r>
        <w:rPr>
          <w:rFonts w:hint="eastAsia" w:ascii="宋体" w:hAnsi="宋体"/>
          <w:sz w:val="24"/>
          <w:szCs w:val="24"/>
        </w:rPr>
        <w:t>②组织实施方案（12分）</w:t>
      </w:r>
    </w:p>
    <w:p>
      <w:pPr>
        <w:pStyle w:val="9"/>
        <w:spacing w:line="360" w:lineRule="auto"/>
        <w:ind w:firstLine="480" w:firstLineChars="200"/>
        <w:rPr>
          <w:rFonts w:ascii="宋体" w:hAnsi="宋体"/>
          <w:sz w:val="24"/>
          <w:szCs w:val="24"/>
        </w:rPr>
      </w:pPr>
      <w:r>
        <w:rPr>
          <w:rFonts w:hint="eastAsia" w:ascii="宋体" w:hAnsi="宋体"/>
          <w:sz w:val="24"/>
          <w:szCs w:val="24"/>
        </w:rPr>
        <w:t>考察各投标人提供的组织施工方案。工作进度安排是否合理、工作方案是否切实可行等。</w:t>
      </w:r>
    </w:p>
    <w:p>
      <w:pPr>
        <w:pStyle w:val="9"/>
        <w:spacing w:line="360" w:lineRule="auto"/>
        <w:ind w:firstLine="480" w:firstLineChars="200"/>
        <w:rPr>
          <w:rFonts w:ascii="宋体" w:hAnsi="宋体"/>
          <w:sz w:val="24"/>
          <w:szCs w:val="24"/>
        </w:rPr>
      </w:pPr>
      <w:r>
        <w:rPr>
          <w:rFonts w:hint="eastAsia" w:ascii="宋体" w:hAnsi="宋体"/>
          <w:sz w:val="24"/>
          <w:szCs w:val="24"/>
        </w:rPr>
        <w:t>a)投标人提供组织施工方案（6分）；</w:t>
      </w:r>
    </w:p>
    <w:p>
      <w:pPr>
        <w:pStyle w:val="9"/>
        <w:spacing w:line="360" w:lineRule="auto"/>
        <w:ind w:firstLine="480" w:firstLineChars="200"/>
        <w:rPr>
          <w:rFonts w:ascii="宋体" w:hAnsi="宋体"/>
          <w:sz w:val="24"/>
          <w:szCs w:val="24"/>
        </w:rPr>
      </w:pPr>
      <w:r>
        <w:rPr>
          <w:rFonts w:hint="eastAsia" w:ascii="宋体" w:hAnsi="宋体"/>
          <w:sz w:val="24"/>
          <w:szCs w:val="24"/>
        </w:rPr>
        <w:t>b)投标人提供的组织施工方案中工作进度安排合理（3分）；</w:t>
      </w:r>
    </w:p>
    <w:p>
      <w:pPr>
        <w:pStyle w:val="9"/>
        <w:spacing w:line="360" w:lineRule="auto"/>
        <w:ind w:firstLine="480" w:firstLineChars="200"/>
        <w:rPr>
          <w:rFonts w:ascii="宋体" w:hAnsi="宋体"/>
          <w:sz w:val="24"/>
          <w:szCs w:val="24"/>
        </w:rPr>
      </w:pPr>
      <w:r>
        <w:rPr>
          <w:rFonts w:hint="eastAsia" w:ascii="宋体" w:hAnsi="宋体"/>
          <w:sz w:val="24"/>
          <w:szCs w:val="24"/>
        </w:rPr>
        <w:t>c)投标人提供的组织施工方案中工作方案切实可行（3分）；</w:t>
      </w:r>
    </w:p>
    <w:p>
      <w:pPr>
        <w:tabs>
          <w:tab w:val="left" w:pos="945"/>
          <w:tab w:val="left" w:pos="1155"/>
        </w:tabs>
        <w:spacing w:line="360" w:lineRule="auto"/>
        <w:ind w:firstLine="480" w:firstLineChars="200"/>
        <w:rPr>
          <w:rFonts w:ascii="宋体" w:hAnsi="宋体"/>
          <w:bCs/>
          <w:color w:val="000000"/>
          <w:sz w:val="24"/>
          <w:szCs w:val="24"/>
        </w:rPr>
      </w:pPr>
      <w:r>
        <w:rPr>
          <w:rFonts w:ascii="宋体" w:hAnsi="宋体"/>
          <w:bCs/>
          <w:color w:val="000000"/>
          <w:sz w:val="24"/>
          <w:szCs w:val="24"/>
        </w:rPr>
        <w:t>③项目培训方案（2分）</w:t>
      </w:r>
    </w:p>
    <w:p>
      <w:pPr>
        <w:tabs>
          <w:tab w:val="left" w:pos="945"/>
          <w:tab w:val="left" w:pos="1155"/>
        </w:tabs>
        <w:spacing w:line="360" w:lineRule="auto"/>
        <w:ind w:firstLine="566" w:firstLineChars="236"/>
        <w:rPr>
          <w:rFonts w:ascii="宋体" w:hAnsi="宋体"/>
          <w:bCs/>
          <w:color w:val="000000"/>
          <w:sz w:val="24"/>
          <w:szCs w:val="24"/>
        </w:rPr>
      </w:pPr>
      <w:r>
        <w:rPr>
          <w:rFonts w:ascii="宋体" w:hAnsi="宋体"/>
          <w:bCs/>
          <w:color w:val="000000"/>
          <w:sz w:val="24"/>
          <w:szCs w:val="24"/>
        </w:rPr>
        <w:t>考察投标人的人员培训方案。</w:t>
      </w:r>
    </w:p>
    <w:p>
      <w:pPr>
        <w:tabs>
          <w:tab w:val="left" w:pos="945"/>
          <w:tab w:val="left" w:pos="1155"/>
        </w:tabs>
        <w:spacing w:line="360" w:lineRule="auto"/>
        <w:ind w:firstLine="480" w:firstLineChars="200"/>
        <w:rPr>
          <w:rFonts w:ascii="宋体" w:hAnsi="宋体"/>
          <w:bCs/>
          <w:color w:val="000000"/>
          <w:sz w:val="24"/>
          <w:szCs w:val="24"/>
        </w:rPr>
      </w:pPr>
      <w:r>
        <w:rPr>
          <w:rFonts w:ascii="宋体" w:hAnsi="宋体"/>
          <w:bCs/>
          <w:color w:val="000000"/>
          <w:sz w:val="24"/>
          <w:szCs w:val="24"/>
        </w:rPr>
        <w:t>④项目验收方案（4分）</w:t>
      </w:r>
    </w:p>
    <w:p>
      <w:pPr>
        <w:spacing w:line="360" w:lineRule="auto"/>
        <w:ind w:firstLine="480" w:firstLineChars="200"/>
        <w:rPr>
          <w:rFonts w:ascii="宋体" w:hAnsi="宋体"/>
          <w:b/>
          <w:bCs/>
          <w:sz w:val="24"/>
          <w:szCs w:val="24"/>
        </w:rPr>
      </w:pPr>
      <w:r>
        <w:rPr>
          <w:rFonts w:ascii="宋体" w:hAnsi="宋体"/>
          <w:sz w:val="24"/>
          <w:szCs w:val="24"/>
        </w:rPr>
        <w:t>考察各投标人提供的验收方案。针对本项目的验收方案是否合理、内容是否切实可行等。</w:t>
      </w:r>
    </w:p>
    <w:p>
      <w:pPr>
        <w:tabs>
          <w:tab w:val="left" w:pos="105"/>
          <w:tab w:val="left" w:pos="315"/>
          <w:tab w:val="left" w:pos="525"/>
          <w:tab w:val="left" w:pos="945"/>
        </w:tabs>
        <w:snapToGrid w:val="0"/>
        <w:spacing w:line="336" w:lineRule="auto"/>
        <w:ind w:left="478" w:leftChars="228"/>
        <w:rPr>
          <w:rFonts w:ascii="宋体" w:hAnsi="宋体"/>
          <w:b/>
          <w:bCs w:val="0"/>
          <w:color w:val="000000"/>
          <w:sz w:val="24"/>
          <w:szCs w:val="24"/>
        </w:rPr>
      </w:pPr>
      <w:r>
        <w:rPr>
          <w:rFonts w:ascii="宋体" w:hAnsi="宋体"/>
          <w:b/>
          <w:bCs w:val="0"/>
          <w:color w:val="000000"/>
          <w:sz w:val="24"/>
          <w:szCs w:val="24"/>
        </w:rPr>
        <w:t>90%≤方案完善、详细、安排科学、合理、可操作性强≤100%;</w:t>
      </w:r>
      <w:r>
        <w:rPr>
          <w:rFonts w:ascii="宋体" w:hAnsi="宋体"/>
          <w:b/>
          <w:bCs w:val="0"/>
          <w:color w:val="000000"/>
          <w:sz w:val="24"/>
          <w:szCs w:val="24"/>
        </w:rPr>
        <w:br w:type="textWrapping"/>
      </w:r>
      <w:r>
        <w:rPr>
          <w:rFonts w:ascii="宋体" w:hAnsi="宋体"/>
          <w:b/>
          <w:bCs w:val="0"/>
          <w:color w:val="000000"/>
          <w:sz w:val="24"/>
          <w:szCs w:val="24"/>
        </w:rPr>
        <w:t>80%≤方案较为完善、详细、安排较为科学、合理、可操作性较强&lt;90%;</w:t>
      </w:r>
      <w:r>
        <w:rPr>
          <w:rFonts w:ascii="宋体" w:hAnsi="宋体"/>
          <w:b/>
          <w:bCs w:val="0"/>
          <w:color w:val="000000"/>
          <w:sz w:val="24"/>
          <w:szCs w:val="24"/>
        </w:rPr>
        <w:br w:type="textWrapping"/>
      </w:r>
      <w:r>
        <w:rPr>
          <w:rFonts w:ascii="宋体" w:hAnsi="宋体"/>
          <w:b/>
          <w:bCs w:val="0"/>
          <w:color w:val="000000"/>
          <w:sz w:val="24"/>
          <w:szCs w:val="24"/>
        </w:rPr>
        <w:t>70%≤方案一般、安排一般、可操作性一般＜80%;</w:t>
      </w:r>
      <w:r>
        <w:rPr>
          <w:rFonts w:ascii="宋体" w:hAnsi="宋体"/>
          <w:b/>
          <w:bCs w:val="0"/>
          <w:color w:val="000000"/>
          <w:sz w:val="24"/>
          <w:szCs w:val="24"/>
        </w:rPr>
        <w:br w:type="textWrapping"/>
      </w:r>
      <w:r>
        <w:rPr>
          <w:rFonts w:ascii="宋体" w:hAnsi="宋体"/>
          <w:b/>
          <w:bCs w:val="0"/>
          <w:color w:val="000000"/>
          <w:sz w:val="24"/>
          <w:szCs w:val="24"/>
        </w:rPr>
        <w:t>60%≤方案、安排、可操作性基本满足招标文件要求&lt;70%。</w:t>
      </w:r>
    </w:p>
    <w:p>
      <w:pPr>
        <w:tabs>
          <w:tab w:val="left" w:pos="510"/>
          <w:tab w:val="left" w:pos="945"/>
          <w:tab w:val="left" w:pos="1155"/>
          <w:tab w:val="left" w:pos="3823"/>
        </w:tabs>
        <w:spacing w:line="360" w:lineRule="auto"/>
        <w:ind w:firstLine="480" w:firstLineChars="200"/>
        <w:rPr>
          <w:rFonts w:hint="eastAsia"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6</w:t>
      </w:r>
      <w:r>
        <w:rPr>
          <w:rFonts w:hint="eastAsia" w:ascii="宋体" w:hAnsi="宋体"/>
          <w:b/>
          <w:bCs/>
          <w:sz w:val="24"/>
          <w:szCs w:val="24"/>
        </w:rPr>
        <w:t>）加分因素（3分）：</w:t>
      </w:r>
    </w:p>
    <w:p>
      <w:pPr>
        <w:pStyle w:val="103"/>
        <w:numPr>
          <w:ilvl w:val="0"/>
          <w:numId w:val="20"/>
        </w:numPr>
        <w:tabs>
          <w:tab w:val="left" w:pos="945"/>
          <w:tab w:val="left" w:pos="1155"/>
        </w:tabs>
        <w:spacing w:line="360" w:lineRule="auto"/>
        <w:ind w:left="0" w:firstLine="480"/>
        <w:rPr>
          <w:rFonts w:hint="eastAsia" w:ascii="宋体" w:hAnsi="宋体"/>
          <w:bCs/>
          <w:sz w:val="24"/>
          <w:szCs w:val="24"/>
        </w:rPr>
      </w:pPr>
      <w:r>
        <w:rPr>
          <w:rFonts w:hint="eastAsia" w:ascii="宋体" w:hAnsi="宋体"/>
          <w:bCs/>
          <w:sz w:val="24"/>
          <w:szCs w:val="24"/>
        </w:rPr>
        <w:t>依据财政部、发展改革委发布的《节能产品政府采购品目清单》和财政部、生态环境部发布的《</w:t>
      </w:r>
      <w:r>
        <w:rPr>
          <w:rFonts w:ascii="宋体" w:hAnsi="宋体"/>
          <w:bCs/>
          <w:sz w:val="24"/>
          <w:szCs w:val="24"/>
        </w:rPr>
        <w:t>环境标志产品政府采购品目清单</w:t>
      </w:r>
      <w:r>
        <w:rPr>
          <w:rFonts w:hint="eastAsia" w:ascii="宋体" w:hAnsi="宋体"/>
          <w:bCs/>
          <w:sz w:val="24"/>
          <w:szCs w:val="24"/>
        </w:rPr>
        <w:t>》，投标产品为政府采购节能（政府强制采购节能产品除外）、环保产品分别加1分（投标时须提供所投产品由国家确定的认证机构出具的、处于有效期之内的节能产品认证证书</w:t>
      </w:r>
      <w:r>
        <w:rPr>
          <w:rFonts w:hint="eastAsia" w:ascii="宋体" w:hAnsi="宋体"/>
          <w:bCs/>
          <w:sz w:val="24"/>
          <w:szCs w:val="24"/>
          <w:lang w:eastAsia="zh-CN"/>
        </w:rPr>
        <w:t>扫描件</w:t>
      </w:r>
      <w:r>
        <w:rPr>
          <w:rFonts w:hint="eastAsia" w:ascii="宋体" w:hAnsi="宋体"/>
          <w:bCs/>
          <w:sz w:val="24"/>
          <w:szCs w:val="24"/>
        </w:rPr>
        <w:t>、环境标志产品认证证书</w:t>
      </w:r>
      <w:r>
        <w:rPr>
          <w:rFonts w:hint="eastAsia" w:ascii="宋体" w:hAnsi="宋体"/>
          <w:bCs/>
          <w:sz w:val="24"/>
          <w:szCs w:val="24"/>
          <w:lang w:eastAsia="zh-CN"/>
        </w:rPr>
        <w:t>扫描件</w:t>
      </w:r>
      <w:r>
        <w:rPr>
          <w:rFonts w:hint="eastAsia" w:ascii="宋体" w:hAnsi="宋体"/>
          <w:bCs/>
          <w:sz w:val="24"/>
          <w:szCs w:val="24"/>
        </w:rPr>
        <w:t>，否则不得分</w:t>
      </w:r>
      <w:r>
        <w:rPr>
          <w:rFonts w:ascii="宋体" w:hAnsi="宋体"/>
          <w:bCs/>
          <w:sz w:val="24"/>
          <w:szCs w:val="24"/>
        </w:rPr>
        <w:t>）</w:t>
      </w:r>
      <w:r>
        <w:rPr>
          <w:rFonts w:hint="eastAsia" w:ascii="宋体" w:hAnsi="宋体"/>
          <w:bCs/>
          <w:sz w:val="24"/>
          <w:szCs w:val="24"/>
        </w:rPr>
        <w:t>。</w:t>
      </w:r>
    </w:p>
    <w:p>
      <w:pPr>
        <w:pStyle w:val="103"/>
        <w:numPr>
          <w:ilvl w:val="0"/>
          <w:numId w:val="20"/>
        </w:numPr>
        <w:tabs>
          <w:tab w:val="left" w:pos="945"/>
          <w:tab w:val="left" w:pos="1155"/>
        </w:tabs>
        <w:spacing w:line="360" w:lineRule="auto"/>
        <w:ind w:left="0" w:firstLine="480"/>
        <w:rPr>
          <w:rFonts w:ascii="宋体" w:hAnsi="宋体"/>
          <w:bCs/>
          <w:color w:val="auto"/>
          <w:sz w:val="24"/>
          <w:szCs w:val="24"/>
        </w:rPr>
      </w:pPr>
      <w:r>
        <w:rPr>
          <w:rFonts w:ascii="宋体" w:hAnsi="宋体"/>
          <w:bCs/>
          <w:color w:val="auto"/>
          <w:sz w:val="24"/>
          <w:szCs w:val="24"/>
        </w:rPr>
        <w:t>依据《江苏省财政厅关于加强政府绿色采购有关事项的通知》（苏财购〔2023〕65号），</w:t>
      </w:r>
      <w:r>
        <w:rPr>
          <w:rFonts w:hint="eastAsia" w:ascii="宋体" w:hAnsi="宋体"/>
          <w:bCs/>
          <w:color w:val="auto"/>
          <w:sz w:val="24"/>
          <w:szCs w:val="24"/>
        </w:rPr>
        <w:t>本项目中如有涉及涂料、胶黏剂、油墨、清洗剂等挥发性有机物产品的，属于强制性标准的，供应商应当执行国家和我省</w:t>
      </w:r>
      <w:r>
        <w:rPr>
          <w:rFonts w:ascii="宋体" w:hAnsi="宋体"/>
          <w:bCs/>
          <w:color w:val="auto"/>
          <w:sz w:val="24"/>
          <w:szCs w:val="24"/>
        </w:rPr>
        <w:t>VOCs</w:t>
      </w:r>
      <w:r>
        <w:rPr>
          <w:rFonts w:hint="eastAsia" w:ascii="宋体" w:hAnsi="宋体"/>
          <w:bCs/>
          <w:color w:val="auto"/>
          <w:sz w:val="24"/>
          <w:szCs w:val="24"/>
        </w:rPr>
        <w:t>含量限制标准。</w:t>
      </w:r>
      <w:r>
        <w:rPr>
          <w:rFonts w:ascii="宋体" w:hAnsi="宋体"/>
          <w:bCs/>
          <w:color w:val="auto"/>
          <w:sz w:val="24"/>
          <w:szCs w:val="24"/>
        </w:rPr>
        <w:t>供应商提供符合推荐性标准的涂料、胶黏剂、油墨、清洗剂等挥发性有机物产品的</w:t>
      </w:r>
      <w:r>
        <w:rPr>
          <w:rFonts w:hint="eastAsia" w:ascii="宋体" w:hAnsi="宋体"/>
          <w:bCs/>
          <w:color w:val="auto"/>
          <w:sz w:val="24"/>
          <w:szCs w:val="24"/>
        </w:rPr>
        <w:t>或者</w:t>
      </w:r>
      <w:r>
        <w:rPr>
          <w:rFonts w:ascii="宋体" w:hAnsi="宋体"/>
          <w:bCs/>
          <w:color w:val="auto"/>
          <w:sz w:val="24"/>
          <w:szCs w:val="24"/>
        </w:rPr>
        <w:t>在通用类货物、家具、印刷、公务车辆维修等采购项目中，供应商能够优先使用低挥发性原辅材料的加1分（投标时须提供相应</w:t>
      </w:r>
      <w:r>
        <w:rPr>
          <w:rFonts w:hint="eastAsia" w:ascii="宋体" w:hAnsi="宋体"/>
          <w:bCs/>
          <w:color w:val="auto"/>
          <w:sz w:val="24"/>
          <w:szCs w:val="24"/>
        </w:rPr>
        <w:t>使用低</w:t>
      </w:r>
      <w:r>
        <w:rPr>
          <w:rFonts w:ascii="宋体" w:hAnsi="宋体"/>
          <w:bCs/>
          <w:color w:val="auto"/>
          <w:sz w:val="24"/>
          <w:szCs w:val="24"/>
        </w:rPr>
        <w:t xml:space="preserve">VOCs </w:t>
      </w:r>
      <w:r>
        <w:rPr>
          <w:rFonts w:hint="eastAsia" w:ascii="宋体" w:hAnsi="宋体"/>
          <w:bCs/>
          <w:color w:val="auto"/>
          <w:sz w:val="24"/>
          <w:szCs w:val="24"/>
        </w:rPr>
        <w:t>含量的</w:t>
      </w:r>
      <w:r>
        <w:rPr>
          <w:rFonts w:ascii="宋体" w:hAnsi="宋体"/>
          <w:bCs/>
          <w:color w:val="auto"/>
          <w:sz w:val="24"/>
          <w:szCs w:val="24"/>
        </w:rPr>
        <w:t>有效证明材料，否则不得分）</w:t>
      </w:r>
      <w:r>
        <w:rPr>
          <w:rFonts w:hint="eastAsia" w:ascii="宋体" w:hAnsi="宋体"/>
          <w:bCs/>
          <w:color w:val="auto"/>
          <w:sz w:val="24"/>
          <w:szCs w:val="24"/>
        </w:rPr>
        <w:t>。</w:t>
      </w:r>
    </w:p>
    <w:p>
      <w:pPr>
        <w:spacing w:line="360" w:lineRule="auto"/>
        <w:rPr>
          <w:rFonts w:ascii="宋体" w:hAnsi="宋体" w:cs="宋体"/>
          <w:kern w:val="0"/>
          <w:sz w:val="24"/>
          <w:szCs w:val="24"/>
        </w:rPr>
      </w:pPr>
    </w:p>
    <w:p>
      <w:pPr>
        <w:jc w:val="left"/>
        <w:rPr>
          <w:rFonts w:ascii="黑体" w:eastAsia="黑体"/>
          <w:bCs/>
          <w:sz w:val="24"/>
          <w:szCs w:val="24"/>
        </w:rPr>
      </w:pPr>
      <w:r>
        <w:rPr>
          <w:rFonts w:ascii="黑体" w:eastAsia="黑体"/>
          <w:bCs/>
          <w:sz w:val="24"/>
          <w:szCs w:val="24"/>
        </w:rPr>
        <w:br w:type="page"/>
      </w:r>
      <w:r>
        <w:rPr>
          <w:rFonts w:hint="eastAsia" w:ascii="黑体" w:eastAsia="黑体"/>
          <w:bCs/>
          <w:sz w:val="24"/>
          <w:szCs w:val="24"/>
        </w:rPr>
        <w:t>附件二：投标文件格式</w:t>
      </w:r>
    </w:p>
    <w:p>
      <w:pPr>
        <w:rPr>
          <w:rFonts w:ascii="黑体" w:eastAsia="黑体"/>
          <w:bCs/>
          <w:sz w:val="32"/>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1960" w:firstLineChars="700"/>
        <w:rPr>
          <w:rFonts w:hint="default" w:ascii="黑体" w:eastAsia="黑体"/>
          <w:bCs/>
          <w:sz w:val="28"/>
          <w:szCs w:val="28"/>
          <w:lang w:val="en-US" w:eastAsia="zh-CN"/>
        </w:rPr>
      </w:pPr>
      <w:r>
        <w:rPr>
          <w:rFonts w:hint="eastAsia" w:ascii="黑体" w:eastAsia="黑体"/>
          <w:bCs/>
          <w:sz w:val="28"/>
          <w:szCs w:val="28"/>
        </w:rPr>
        <w:t>采购项目编号：</w:t>
      </w:r>
      <w:r>
        <w:rPr>
          <w:rFonts w:hint="eastAsia" w:ascii="黑体" w:eastAsia="黑体"/>
          <w:bCs/>
          <w:sz w:val="28"/>
          <w:szCs w:val="28"/>
          <w:lang w:eastAsia="zh-CN"/>
        </w:rPr>
        <w:t>WXXWQJC2023-</w:t>
      </w:r>
      <w:r>
        <w:rPr>
          <w:rFonts w:hint="eastAsia" w:ascii="黑体" w:eastAsia="黑体"/>
          <w:bCs/>
          <w:sz w:val="28"/>
          <w:szCs w:val="28"/>
          <w:lang w:val="en-US" w:eastAsia="zh-CN"/>
        </w:rPr>
        <w:t>090</w:t>
      </w:r>
    </w:p>
    <w:p>
      <w:pPr>
        <w:ind w:firstLine="1960" w:firstLineChars="700"/>
        <w:rPr>
          <w:rFonts w:hint="eastAsia" w:ascii="黑体" w:eastAsia="黑体"/>
          <w:bCs/>
          <w:sz w:val="28"/>
          <w:szCs w:val="28"/>
          <w:lang w:eastAsia="zh-CN"/>
        </w:rPr>
      </w:pPr>
      <w:r>
        <w:rPr>
          <w:rFonts w:hint="eastAsia" w:ascii="黑体" w:eastAsia="黑体"/>
          <w:bCs/>
          <w:sz w:val="28"/>
          <w:szCs w:val="28"/>
        </w:rPr>
        <w:t>采购项目名称：</w:t>
      </w:r>
      <w:r>
        <w:rPr>
          <w:rFonts w:hint="eastAsia" w:ascii="黑体" w:eastAsia="黑体"/>
          <w:bCs/>
          <w:sz w:val="28"/>
          <w:szCs w:val="28"/>
          <w:lang w:eastAsia="zh-CN"/>
        </w:rPr>
        <w:t>硕放街道“一眼多维”技防服务项目</w:t>
      </w:r>
    </w:p>
    <w:p>
      <w:pPr>
        <w:ind w:firstLine="1960" w:firstLineChars="700"/>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bookmarkStart w:id="21" w:name="一．报价函（格式）"/>
      <w:bookmarkEnd w:id="21"/>
      <w:r>
        <w:rPr>
          <w:rFonts w:hint="eastAsia" w:ascii="黑体" w:eastAsia="黑体"/>
          <w:bCs/>
          <w:sz w:val="36"/>
          <w:szCs w:val="36"/>
        </w:rPr>
        <w:t>二○</w:t>
      </w:r>
      <w:r>
        <w:rPr>
          <w:rFonts w:hint="eastAsia" w:ascii="黑体" w:eastAsia="黑体"/>
          <w:bCs/>
          <w:sz w:val="36"/>
          <w:szCs w:val="36"/>
          <w:lang w:val="en-US" w:eastAsia="zh-CN"/>
        </w:rPr>
        <w:t>二三</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（一）投标函（格式）：</w:t>
      </w:r>
    </w:p>
    <w:p>
      <w:pPr>
        <w:outlineLvl w:val="0"/>
        <w:rPr>
          <w:rFonts w:ascii="宋体"/>
          <w:b/>
          <w:bCs/>
          <w:sz w:val="24"/>
          <w:szCs w:val="24"/>
        </w:rPr>
      </w:pPr>
    </w:p>
    <w:p>
      <w:pPr>
        <w:spacing w:line="360" w:lineRule="auto"/>
        <w:jc w:val="center"/>
        <w:rPr>
          <w:rFonts w:ascii="宋体"/>
          <w:bCs/>
          <w:sz w:val="24"/>
          <w:szCs w:val="24"/>
        </w:rPr>
      </w:pPr>
      <w:r>
        <w:rPr>
          <w:rFonts w:hint="eastAsia" w:ascii="黑体" w:eastAsia="黑体"/>
          <w:bCs/>
          <w:sz w:val="28"/>
          <w:szCs w:val="28"/>
        </w:rPr>
        <w:t>投标函</w:t>
      </w:r>
    </w:p>
    <w:p>
      <w:pPr>
        <w:spacing w:line="360" w:lineRule="auto"/>
        <w:rPr>
          <w:rFonts w:ascii="宋体"/>
          <w:bCs/>
          <w:sz w:val="24"/>
          <w:szCs w:val="24"/>
        </w:rPr>
      </w:pPr>
      <w:r>
        <w:rPr>
          <w:rFonts w:hint="eastAsia" w:ascii="宋体" w:hAnsi="宋体"/>
          <w:bCs/>
          <w:sz w:val="24"/>
          <w:szCs w:val="24"/>
        </w:rPr>
        <w:t>致</w:t>
      </w: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360" w:lineRule="auto"/>
        <w:ind w:firstLine="480" w:firstLineChars="200"/>
        <w:rPr>
          <w:rFonts w:asci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t>
      </w:r>
      <w:r>
        <w:rPr>
          <w:rFonts w:hint="eastAsia" w:ascii="宋体" w:hAnsi="宋体"/>
          <w:bCs/>
          <w:sz w:val="24"/>
          <w:szCs w:val="24"/>
          <w:lang w:eastAsia="zh-CN"/>
        </w:rPr>
        <w:t>WXXWQJC2023-090</w:t>
      </w:r>
      <w:r>
        <w:rPr>
          <w:rFonts w:hint="eastAsia" w:ascii="宋体" w:hAnsi="宋体"/>
          <w:bCs/>
          <w:sz w:val="24"/>
          <w:szCs w:val="24"/>
        </w:rPr>
        <w:t>招标文件，经仔细阅读和研究，我方决定参加此项目的投标。</w:t>
      </w:r>
    </w:p>
    <w:p>
      <w:pPr>
        <w:numPr>
          <w:ilvl w:val="0"/>
          <w:numId w:val="21"/>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21"/>
        </w:numPr>
        <w:tabs>
          <w:tab w:val="left" w:pos="0"/>
          <w:tab w:val="left" w:pos="315"/>
          <w:tab w:val="left" w:pos="525"/>
          <w:tab w:val="left" w:pos="840"/>
          <w:tab w:val="left" w:pos="945"/>
          <w:tab w:val="left" w:pos="1050"/>
          <w:tab w:val="clear" w:pos="552"/>
        </w:tabs>
        <w:spacing w:line="360" w:lineRule="auto"/>
        <w:ind w:left="0" w:firstLine="523" w:firstLineChars="218"/>
        <w:rPr>
          <w:rStyle w:val="28"/>
          <w:rFonts w:hAnsi="Times New Roman" w:cs="Times New Roman"/>
          <w:bCs/>
        </w:rPr>
      </w:pPr>
      <w:r>
        <w:rPr>
          <w:rFonts w:hint="eastAsia" w:ascii="宋体" w:hAnsi="宋体"/>
          <w:bCs/>
          <w:sz w:val="24"/>
          <w:szCs w:val="24"/>
        </w:rPr>
        <w:t>我方愿意提供</w:t>
      </w:r>
      <w:r>
        <w:rPr>
          <w:rFonts w:hint="eastAsia" w:ascii="宋体" w:hAnsi="宋体"/>
          <w:bCs/>
          <w:sz w:val="24"/>
          <w:szCs w:val="24"/>
          <w:lang w:eastAsia="zh-CN"/>
        </w:rPr>
        <w:t>无锡市公共资源交易中心新吴分中心</w:t>
      </w:r>
      <w:r>
        <w:rPr>
          <w:rFonts w:hint="eastAsia" w:ascii="宋体" w:hAnsi="宋体"/>
          <w:bCs/>
          <w:sz w:val="24"/>
          <w:szCs w:val="24"/>
        </w:rPr>
        <w:t>在招标文件中要求的文件、资料。</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22" w:name="报价方关于资格的声明函（格式）"/>
      <w:bookmarkEnd w:id="22"/>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lang w:eastAsia="zh-CN"/>
        </w:rPr>
        <w:t>WXXWQJC2023-090</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lang w:eastAsia="zh-CN"/>
        </w:rPr>
        <w:t>WXXWQJC2023-090</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3960" w:firstLineChars="1650"/>
        <w:rPr>
          <w:rFonts w:ascii="宋体"/>
          <w:bCs/>
          <w:sz w:val="24"/>
          <w:szCs w:val="24"/>
        </w:rPr>
      </w:pPr>
      <w:r>
        <w:rPr>
          <w:rFonts w:hint="eastAsia" w:ascii="宋体" w:hAnsi="宋体"/>
          <w:bCs/>
          <w:sz w:val="24"/>
          <w:szCs w:val="24"/>
        </w:rPr>
        <w:t>投标人（盖章）：</w:t>
      </w:r>
    </w:p>
    <w:p>
      <w:pPr>
        <w:spacing w:line="480" w:lineRule="auto"/>
        <w:ind w:firstLine="360" w:firstLineChars="15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ind w:firstLine="4920" w:firstLineChars="2050"/>
        <w:rPr>
          <w:rFonts w:ascii="宋体"/>
          <w:bCs/>
          <w:sz w:val="24"/>
          <w:szCs w:val="24"/>
        </w:rPr>
      </w:pPr>
      <w:r>
        <w:rPr>
          <w:rFonts w:hint="eastAsia" w:ascii="宋体" w:hAnsi="宋体"/>
          <w:bCs/>
          <w:sz w:val="24"/>
          <w:szCs w:val="24"/>
        </w:rPr>
        <w:t>采购项目编号：</w:t>
      </w:r>
    </w:p>
    <w:p>
      <w:pPr>
        <w:spacing w:line="480" w:lineRule="auto"/>
        <w:ind w:firstLine="5880" w:firstLineChars="2450"/>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580" w:lineRule="exact"/>
        <w:ind w:firstLine="480" w:firstLineChars="200"/>
        <w:rPr>
          <w:rFonts w:asci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黑体" w:eastAsia="黑体"/>
          <w:bCs/>
          <w:sz w:val="24"/>
          <w:szCs w:val="24"/>
          <w:lang w:eastAsia="zh-CN"/>
        </w:rPr>
        <w:t>WXXWQJC2023-090</w:t>
      </w:r>
      <w:r>
        <w:rPr>
          <w:rFonts w:hint="eastAsia" w:ascii="黑体" w:eastAsia="黑体"/>
          <w:bCs/>
          <w:sz w:val="24"/>
          <w:szCs w:val="24"/>
        </w:rPr>
        <w:t>）</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rPr>
      </w:pPr>
      <w:r>
        <w:rPr>
          <w:rFonts w:hint="eastAsia" w:ascii="宋体" w:hAnsi="宋体"/>
          <w:bCs/>
          <w:sz w:val="24"/>
          <w:szCs w:val="24"/>
        </w:rPr>
        <w:t>姓名：        性别：       电话：</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040" w:firstLineChars="2100"/>
        <w:rPr>
          <w:rFonts w:ascii="宋体"/>
          <w:bCs/>
          <w:sz w:val="24"/>
          <w:szCs w:val="24"/>
        </w:rPr>
      </w:pPr>
      <w:r>
        <w:rPr>
          <w:rFonts w:hint="eastAsia" w:ascii="宋体" w:hAnsi="宋体"/>
          <w:bCs/>
          <w:sz w:val="24"/>
          <w:szCs w:val="24"/>
        </w:rPr>
        <w:t>单位名称（盖章）：</w:t>
      </w:r>
    </w:p>
    <w:p>
      <w:pPr>
        <w:spacing w:line="580" w:lineRule="exact"/>
        <w:ind w:firstLine="4080" w:firstLineChars="170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（四）承诺书（格式）：</w:t>
      </w:r>
    </w:p>
    <w:p>
      <w:pPr>
        <w:outlineLvl w:val="0"/>
        <w:rPr>
          <w:rFonts w:ascii="黑体" w:hAnsi="Times New Roman"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 本公司（单位）</w:t>
      </w:r>
      <w:r>
        <w:rPr>
          <w:rFonts w:hint="eastAsia" w:ascii="宋体" w:hAnsi="宋体"/>
          <w:bCs/>
          <w:sz w:val="24"/>
          <w:szCs w:val="24"/>
        </w:rPr>
        <w:t>对本项目（</w:t>
      </w:r>
      <w:r>
        <w:rPr>
          <w:rFonts w:hint="eastAsia" w:ascii="宋体" w:hAnsi="宋体"/>
          <w:bCs/>
          <w:sz w:val="24"/>
          <w:szCs w:val="24"/>
          <w:lang w:eastAsia="zh-CN"/>
        </w:rPr>
        <w:t>WXXWQJC2023-090</w:t>
      </w:r>
      <w:r>
        <w:rPr>
          <w:rFonts w:hint="eastAsia" w:ascii="宋体" w:hAnsi="宋体"/>
          <w:bCs/>
          <w:sz w:val="24"/>
          <w:szCs w:val="24"/>
        </w:rPr>
        <w:t>）所提供的货物均为原厂全新合格品，提供的服务符合招标文件要求；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HYPERLINK "http://www.creditchina.gov.cn"</w:instrText>
      </w:r>
      <w:r>
        <w:fldChar w:fldCharType="separate"/>
      </w:r>
      <w:r>
        <w:rPr>
          <w:rStyle w:val="29"/>
          <w:rFonts w:hint="eastAsia" w:ascii="宋体" w:hAnsi="宋体"/>
          <w:bCs/>
          <w:sz w:val="24"/>
          <w:szCs w:val="24"/>
        </w:rPr>
        <w:t>www.creditchina.gov.cn</w:t>
      </w:r>
      <w: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投标人（盖章）：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（五）（投标人）中小企业声明函（格式）：</w:t>
      </w:r>
    </w:p>
    <w:p>
      <w:pPr>
        <w:jc w:val="center"/>
        <w:rPr>
          <w:rFonts w:ascii="黑体" w:eastAsia="黑体"/>
          <w:bCs/>
          <w:sz w:val="28"/>
          <w:szCs w:val="28"/>
        </w:rPr>
      </w:pPr>
      <w:r>
        <w:rPr>
          <w:rFonts w:ascii="黑体" w:eastAsia="黑体"/>
          <w:bCs/>
          <w:sz w:val="28"/>
          <w:szCs w:val="28"/>
        </w:rPr>
        <w:t>中小企业声明函（服务）</w:t>
      </w:r>
    </w:p>
    <w:p>
      <w:pPr>
        <w:spacing w:line="580" w:lineRule="exact"/>
        <w:ind w:firstLine="480" w:firstLineChars="20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本企业对上述声明内容的真实性负责。如有虚假，将依法承担相应责任。</w:t>
      </w: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rPr>
          <w:rFonts w:ascii="宋体" w:hAnsi="宋体"/>
          <w:bCs/>
          <w:sz w:val="24"/>
          <w:szCs w:val="24"/>
        </w:rPr>
      </w:pPr>
    </w:p>
    <w:p>
      <w:pPr>
        <w:spacing w:line="360" w:lineRule="auto"/>
      </w:pPr>
      <w:r>
        <w:rPr>
          <w:rFonts w:hint="eastAsia"/>
        </w:rPr>
        <w:t>注：1.</w:t>
      </w:r>
      <w:r>
        <w:t>从业人员、营业收入、资产总额填报上一年度数据，无上一年度数据的新成立企业可不填报。</w:t>
      </w:r>
    </w:p>
    <w:p>
      <w:pPr>
        <w:spacing w:line="360" w:lineRule="auto"/>
        <w:rPr>
          <w:rFonts w:hint="eastAsia" w:ascii="黑体" w:hAnsi="宋体" w:eastAsia="黑体"/>
          <w:bCs/>
          <w:sz w:val="24"/>
          <w:szCs w:val="24"/>
        </w:rPr>
      </w:pPr>
      <w:r>
        <w:rPr>
          <w:rFonts w:hint="eastAsia"/>
        </w:rPr>
        <w:t xml:space="preserve">    2.中标供应商的《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（六）</w:t>
      </w:r>
      <w:bookmarkStart w:id="23" w:name="OLE_LINK13"/>
      <w:bookmarkStart w:id="24" w:name="OLE_LINK14"/>
      <w:r>
        <w:rPr>
          <w:rFonts w:hint="eastAsia" w:ascii="黑体" w:hAnsi="宋体" w:eastAsia="黑体"/>
          <w:bCs/>
          <w:sz w:val="24"/>
          <w:szCs w:val="24"/>
        </w:rPr>
        <w:t>（投标人）残疾人福利性单位声明函（格式）：</w:t>
      </w:r>
    </w:p>
    <w:bookmarkEnd w:id="23"/>
    <w:bookmarkEnd w:id="24"/>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开标一览表</w:t>
      </w:r>
    </w:p>
    <w:p>
      <w:pPr>
        <w:jc w:val="center"/>
        <w:outlineLvl w:val="0"/>
        <w:rPr>
          <w:rFonts w:ascii="黑体" w:eastAsia="黑体"/>
          <w:bCs/>
          <w:sz w:val="28"/>
          <w:szCs w:val="28"/>
        </w:rPr>
      </w:pPr>
    </w:p>
    <w:p>
      <w:pPr>
        <w:spacing w:line="360" w:lineRule="auto"/>
        <w:rPr>
          <w:rFonts w:hint="eastAsia" w:ascii="黑体" w:eastAsia="黑体"/>
          <w:bCs/>
          <w:sz w:val="24"/>
          <w:szCs w:val="24"/>
          <w:lang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WXXWQJC2023-090</w:t>
      </w:r>
    </w:p>
    <w:tbl>
      <w:tblPr>
        <w:tblStyle w:val="2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03" w:type="dxa"/>
            <w:noWrap w:val="0"/>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820" w:type="dxa"/>
            <w:noWrap w:val="0"/>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103" w:type="dxa"/>
            <w:noWrap w:val="0"/>
            <w:vAlign w:val="center"/>
          </w:tcPr>
          <w:p>
            <w:pPr>
              <w:pStyle w:val="99"/>
              <w:spacing w:line="400" w:lineRule="exact"/>
              <w:jc w:val="center"/>
              <w:rPr>
                <w:rFonts w:hAnsi="宋体"/>
                <w:bCs/>
                <w:szCs w:val="24"/>
              </w:rPr>
            </w:pPr>
            <w:r>
              <w:rPr>
                <w:rFonts w:hint="eastAsia" w:hAnsi="宋体" w:cs="Times New Roman"/>
                <w:b/>
                <w:bCs/>
                <w:i w:val="0"/>
                <w:iCs w:val="0"/>
                <w:color w:val="000000"/>
                <w:kern w:val="2"/>
                <w:sz w:val="24"/>
                <w:szCs w:val="24"/>
                <w:u w:val="none"/>
                <w:lang w:val="en-US" w:eastAsia="zh-CN" w:bidi="ar-SA"/>
              </w:rPr>
              <w:t>硕放街道“一眼多维”技防服务项目</w:t>
            </w:r>
          </w:p>
        </w:tc>
        <w:tc>
          <w:tcPr>
            <w:tcW w:w="4820" w:type="dxa"/>
            <w:noWrap w:val="0"/>
            <w:vAlign w:val="center"/>
          </w:tcPr>
          <w:p>
            <w:pPr>
              <w:pStyle w:val="99"/>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23" w:type="dxa"/>
            <w:gridSpan w:val="2"/>
            <w:noWrap w:val="0"/>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val="none" w:color="000000"/>
              </w:rPr>
              <w:t>：　　　</w:t>
            </w:r>
          </w:p>
        </w:tc>
      </w:tr>
    </w:tbl>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ind w:firstLine="480" w:firstLineChars="200"/>
        <w:outlineLvl w:val="0"/>
        <w:rPr>
          <w:rFonts w:ascii="黑体" w:eastAsia="黑体"/>
          <w:bCs/>
          <w:color w:val="000000"/>
          <w:sz w:val="28"/>
          <w:szCs w:val="28"/>
        </w:rPr>
      </w:pPr>
      <w:r>
        <w:rPr>
          <w:rFonts w:ascii="黑体" w:hAnsi="宋体" w:eastAsia="黑体"/>
          <w:bCs/>
          <w:sz w:val="24"/>
          <w:szCs w:val="24"/>
        </w:rPr>
        <w:br w:type="page"/>
      </w:r>
      <w:r>
        <w:rPr>
          <w:rFonts w:hint="eastAsia" w:ascii="黑体" w:hAnsi="宋体" w:eastAsia="黑体"/>
          <w:bCs/>
          <w:sz w:val="24"/>
          <w:szCs w:val="24"/>
        </w:rPr>
        <w:t>（八）明细报价表（格式）：</w:t>
      </w:r>
    </w:p>
    <w:p>
      <w:pPr>
        <w:spacing w:line="400" w:lineRule="exact"/>
        <w:jc w:val="center"/>
        <w:outlineLvl w:val="0"/>
        <w:rPr>
          <w:rFonts w:ascii="黑体" w:eastAsia="黑体"/>
          <w:bCs/>
          <w:color w:val="000000"/>
          <w:sz w:val="28"/>
          <w:szCs w:val="28"/>
        </w:rPr>
      </w:pPr>
      <w:r>
        <w:rPr>
          <w:rFonts w:hint="eastAsia" w:ascii="黑体" w:eastAsia="黑体"/>
          <w:bCs/>
          <w:color w:val="000000"/>
          <w:sz w:val="28"/>
          <w:szCs w:val="28"/>
        </w:rPr>
        <w:t>明细报价表</w:t>
      </w:r>
    </w:p>
    <w:p>
      <w:pPr>
        <w:spacing w:line="400" w:lineRule="exact"/>
        <w:rPr>
          <w:rFonts w:hint="eastAsia" w:ascii="黑体" w:eastAsia="黑体"/>
          <w:bCs/>
          <w:color w:val="000000"/>
          <w:sz w:val="24"/>
          <w:szCs w:val="24"/>
          <w:lang w:val="en-US" w:eastAsia="zh-CN"/>
        </w:rPr>
      </w:pPr>
      <w:r>
        <w:rPr>
          <w:rFonts w:hint="eastAsia" w:ascii="黑体" w:eastAsia="黑体"/>
          <w:bCs/>
          <w:color w:val="000000"/>
          <w:sz w:val="24"/>
          <w:szCs w:val="24"/>
        </w:rPr>
        <w:t>投标人名称（盖章）                                  采购项目编号：</w:t>
      </w:r>
      <w:r>
        <w:rPr>
          <w:rFonts w:hint="eastAsia" w:ascii="黑体" w:eastAsia="黑体"/>
          <w:bCs/>
          <w:color w:val="000000"/>
          <w:sz w:val="24"/>
          <w:szCs w:val="24"/>
          <w:lang w:eastAsia="zh-CN"/>
        </w:rPr>
        <w:t>WXXWQJC2023-090</w:t>
      </w:r>
    </w:p>
    <w:tbl>
      <w:tblPr>
        <w:tblStyle w:val="23"/>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3045"/>
        <w:gridCol w:w="599"/>
        <w:gridCol w:w="1276"/>
        <w:gridCol w:w="992"/>
        <w:gridCol w:w="70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color w:val="000000"/>
                <w:sz w:val="18"/>
              </w:rPr>
            </w:pPr>
            <w:r>
              <w:rPr>
                <w:rFonts w:hint="eastAsia"/>
                <w:color w:val="000000"/>
                <w:sz w:val="18"/>
              </w:rPr>
              <w:t>序号</w:t>
            </w:r>
          </w:p>
        </w:tc>
        <w:tc>
          <w:tcPr>
            <w:tcW w:w="1050" w:type="dxa"/>
            <w:gridSpan w:val="2"/>
            <w:noWrap/>
            <w:tcMar>
              <w:top w:w="15" w:type="dxa"/>
              <w:left w:w="15" w:type="dxa"/>
              <w:bottom w:w="0" w:type="dxa"/>
              <w:right w:w="15" w:type="dxa"/>
            </w:tcMar>
            <w:vAlign w:val="center"/>
          </w:tcPr>
          <w:p>
            <w:pPr>
              <w:spacing w:before="5"/>
              <w:jc w:val="center"/>
              <w:rPr>
                <w:color w:val="000000"/>
                <w:sz w:val="18"/>
                <w:u w:val="none" w:color="FF0000"/>
              </w:rPr>
            </w:pPr>
            <w:r>
              <w:rPr>
                <w:rFonts w:hint="eastAsia"/>
                <w:color w:val="000000"/>
                <w:sz w:val="18"/>
              </w:rPr>
              <w:t>名称</w:t>
            </w:r>
          </w:p>
        </w:tc>
        <w:tc>
          <w:tcPr>
            <w:tcW w:w="945" w:type="dxa"/>
            <w:noWrap/>
            <w:tcMar>
              <w:top w:w="15" w:type="dxa"/>
              <w:left w:w="15" w:type="dxa"/>
              <w:bottom w:w="0" w:type="dxa"/>
              <w:right w:w="15" w:type="dxa"/>
            </w:tcMar>
            <w:vAlign w:val="center"/>
          </w:tcPr>
          <w:p>
            <w:pPr>
              <w:spacing w:before="5"/>
              <w:jc w:val="center"/>
              <w:rPr>
                <w:color w:val="000000"/>
                <w:sz w:val="18"/>
                <w:u w:val="none" w:color="FF0000"/>
              </w:rPr>
            </w:pPr>
            <w:r>
              <w:rPr>
                <w:rFonts w:hint="eastAsia"/>
                <w:color w:val="000000"/>
                <w:sz w:val="18"/>
                <w:u w:val="none" w:color="FF0000"/>
              </w:rPr>
              <w:t>品牌型号</w:t>
            </w:r>
          </w:p>
        </w:tc>
        <w:tc>
          <w:tcPr>
            <w:tcW w:w="3045" w:type="dxa"/>
            <w:noWrap/>
            <w:tcMar>
              <w:top w:w="15" w:type="dxa"/>
              <w:left w:w="15" w:type="dxa"/>
              <w:bottom w:w="0" w:type="dxa"/>
              <w:right w:w="15" w:type="dxa"/>
            </w:tcMar>
            <w:vAlign w:val="center"/>
          </w:tcPr>
          <w:p>
            <w:pPr>
              <w:spacing w:before="5"/>
              <w:jc w:val="center"/>
              <w:rPr>
                <w:color w:val="000000"/>
                <w:sz w:val="18"/>
              </w:rPr>
            </w:pPr>
            <w:r>
              <w:rPr>
                <w:rFonts w:hint="eastAsia"/>
                <w:color w:val="000000"/>
                <w:sz w:val="18"/>
                <w:u w:val="none" w:color="FF0000"/>
              </w:rPr>
              <w:t>性能指标</w:t>
            </w:r>
          </w:p>
        </w:tc>
        <w:tc>
          <w:tcPr>
            <w:tcW w:w="599" w:type="dxa"/>
            <w:noWrap w:val="0"/>
            <w:tcMar>
              <w:top w:w="15" w:type="dxa"/>
              <w:left w:w="15" w:type="dxa"/>
              <w:bottom w:w="0" w:type="dxa"/>
              <w:right w:w="15" w:type="dxa"/>
            </w:tcMar>
            <w:vAlign w:val="center"/>
          </w:tcPr>
          <w:p>
            <w:pPr>
              <w:spacing w:before="5"/>
              <w:jc w:val="center"/>
              <w:rPr>
                <w:color w:val="000000"/>
                <w:sz w:val="18"/>
              </w:rPr>
            </w:pPr>
            <w:r>
              <w:rPr>
                <w:rFonts w:hint="eastAsia"/>
                <w:color w:val="000000"/>
                <w:sz w:val="18"/>
              </w:rPr>
              <w:t>数量</w:t>
            </w:r>
          </w:p>
        </w:tc>
        <w:tc>
          <w:tcPr>
            <w:tcW w:w="1276" w:type="dxa"/>
            <w:noWrap w:val="0"/>
            <w:vAlign w:val="center"/>
          </w:tcPr>
          <w:p>
            <w:pPr>
              <w:spacing w:before="5"/>
              <w:jc w:val="center"/>
              <w:rPr>
                <w:color w:val="000000"/>
                <w:sz w:val="18"/>
              </w:rPr>
            </w:pPr>
            <w:r>
              <w:rPr>
                <w:rFonts w:hint="eastAsia"/>
                <w:color w:val="000000"/>
                <w:sz w:val="18"/>
              </w:rPr>
              <w:t>产地</w:t>
            </w:r>
          </w:p>
        </w:tc>
        <w:tc>
          <w:tcPr>
            <w:tcW w:w="992" w:type="dxa"/>
            <w:noWrap/>
            <w:tcMar>
              <w:top w:w="15" w:type="dxa"/>
              <w:left w:w="15" w:type="dxa"/>
              <w:bottom w:w="0" w:type="dxa"/>
              <w:right w:w="15" w:type="dxa"/>
            </w:tcMar>
            <w:vAlign w:val="center"/>
          </w:tcPr>
          <w:p>
            <w:pPr>
              <w:spacing w:before="5"/>
              <w:jc w:val="center"/>
              <w:rPr>
                <w:color w:val="000000"/>
                <w:sz w:val="18"/>
              </w:rPr>
            </w:pPr>
            <w:r>
              <w:rPr>
                <w:rFonts w:hint="eastAsia"/>
                <w:color w:val="000000"/>
                <w:sz w:val="18"/>
              </w:rPr>
              <w:t>质保期</w:t>
            </w:r>
          </w:p>
        </w:tc>
        <w:tc>
          <w:tcPr>
            <w:tcW w:w="709" w:type="dxa"/>
            <w:noWrap w:val="0"/>
            <w:vAlign w:val="center"/>
          </w:tcPr>
          <w:p>
            <w:pPr>
              <w:spacing w:before="5"/>
              <w:jc w:val="center"/>
              <w:rPr>
                <w:color w:val="000000"/>
                <w:sz w:val="18"/>
              </w:rPr>
            </w:pPr>
            <w:r>
              <w:rPr>
                <w:rFonts w:hint="eastAsia"/>
                <w:color w:val="000000"/>
                <w:sz w:val="18"/>
              </w:rPr>
              <w:t>单报价</w:t>
            </w:r>
          </w:p>
        </w:tc>
        <w:tc>
          <w:tcPr>
            <w:tcW w:w="939" w:type="dxa"/>
            <w:noWrap w:val="0"/>
            <w:vAlign w:val="center"/>
          </w:tcPr>
          <w:p>
            <w:pPr>
              <w:spacing w:before="5"/>
              <w:jc w:val="center"/>
              <w:rPr>
                <w:color w:val="000000"/>
                <w:sz w:val="18"/>
              </w:rPr>
            </w:pPr>
            <w:r>
              <w:rPr>
                <w:rFonts w:hint="eastAsia"/>
                <w:color w:val="000000"/>
                <w:sz w:val="1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noWrap/>
            <w:tcMar>
              <w:top w:w="15" w:type="dxa"/>
              <w:left w:w="15" w:type="dxa"/>
              <w:bottom w:w="0" w:type="dxa"/>
              <w:right w:w="15" w:type="dxa"/>
            </w:tcMar>
            <w:vAlign w:val="center"/>
          </w:tcPr>
          <w:p>
            <w:pPr>
              <w:pStyle w:val="17"/>
              <w:pBdr>
                <w:bottom w:val="none" w:color="auto" w:sz="0" w:space="0"/>
              </w:pBdr>
              <w:tabs>
                <w:tab w:val="clear" w:pos="4153"/>
                <w:tab w:val="clear" w:pos="8306"/>
              </w:tabs>
              <w:snapToGrid/>
              <w:spacing w:before="5"/>
              <w:rPr>
                <w:rFonts w:ascii="宋体"/>
                <w:color w:val="000000"/>
                <w:kern w:val="2"/>
              </w:rPr>
            </w:pPr>
          </w:p>
        </w:tc>
        <w:tc>
          <w:tcPr>
            <w:tcW w:w="1050" w:type="dxa"/>
            <w:gridSpan w:val="2"/>
            <w:noWrap/>
            <w:tcMar>
              <w:top w:w="15" w:type="dxa"/>
              <w:left w:w="15" w:type="dxa"/>
              <w:bottom w:w="0" w:type="dxa"/>
              <w:right w:w="15" w:type="dxa"/>
            </w:tcMar>
            <w:vAlign w:val="center"/>
          </w:tcPr>
          <w:p>
            <w:pPr>
              <w:pStyle w:val="17"/>
              <w:pBdr>
                <w:bottom w:val="none" w:color="auto" w:sz="0" w:space="0"/>
              </w:pBdr>
              <w:tabs>
                <w:tab w:val="clear" w:pos="4153"/>
                <w:tab w:val="clear" w:pos="8306"/>
              </w:tabs>
              <w:snapToGrid/>
              <w:rPr>
                <w:rFonts w:ascii="宋体"/>
                <w:bCs/>
                <w:color w:val="000000"/>
                <w:kern w:val="2"/>
              </w:rPr>
            </w:pPr>
          </w:p>
        </w:tc>
        <w:tc>
          <w:tcPr>
            <w:tcW w:w="945" w:type="dxa"/>
            <w:noWrap w:val="0"/>
            <w:tcMar>
              <w:top w:w="15" w:type="dxa"/>
              <w:left w:w="15" w:type="dxa"/>
              <w:bottom w:w="0" w:type="dxa"/>
              <w:right w:w="15" w:type="dxa"/>
            </w:tcMar>
            <w:vAlign w:val="center"/>
          </w:tcPr>
          <w:p>
            <w:pPr>
              <w:pStyle w:val="17"/>
              <w:pBdr>
                <w:bottom w:val="none" w:color="auto" w:sz="0" w:space="0"/>
              </w:pBdr>
              <w:tabs>
                <w:tab w:val="clear" w:pos="4153"/>
                <w:tab w:val="clear" w:pos="8306"/>
              </w:tabs>
              <w:snapToGrid/>
              <w:rPr>
                <w:rFonts w:ascii="宋体"/>
                <w:bCs/>
                <w:color w:val="000000"/>
                <w:kern w:val="2"/>
              </w:rPr>
            </w:pPr>
          </w:p>
        </w:tc>
        <w:tc>
          <w:tcPr>
            <w:tcW w:w="3045" w:type="dxa"/>
            <w:noWrap w:val="0"/>
            <w:tcMar>
              <w:top w:w="15" w:type="dxa"/>
              <w:left w:w="15" w:type="dxa"/>
              <w:bottom w:w="0" w:type="dxa"/>
              <w:right w:w="15" w:type="dxa"/>
            </w:tcMar>
            <w:vAlign w:val="top"/>
          </w:tcPr>
          <w:p>
            <w:pPr>
              <w:jc w:val="center"/>
              <w:rPr>
                <w:rFonts w:ascii="宋体"/>
                <w:bCs/>
                <w:color w:val="000000"/>
                <w:sz w:val="18"/>
              </w:rPr>
            </w:pPr>
          </w:p>
        </w:tc>
        <w:tc>
          <w:tcPr>
            <w:tcW w:w="599" w:type="dxa"/>
            <w:noWrap w:val="0"/>
            <w:tcMar>
              <w:top w:w="15" w:type="dxa"/>
              <w:left w:w="15" w:type="dxa"/>
              <w:bottom w:w="0" w:type="dxa"/>
              <w:right w:w="15" w:type="dxa"/>
            </w:tcMar>
            <w:vAlign w:val="center"/>
          </w:tcPr>
          <w:p>
            <w:pPr>
              <w:jc w:val="center"/>
              <w:rPr>
                <w:rFonts w:ascii="黑体" w:hAnsi="宋体" w:eastAsia="黑体"/>
                <w:b/>
                <w:bCs/>
                <w:color w:val="000000"/>
                <w:sz w:val="24"/>
                <w:szCs w:val="24"/>
              </w:rPr>
            </w:pPr>
            <w:r>
              <w:rPr>
                <w:rFonts w:hint="eastAsia" w:ascii="黑体" w:eastAsia="黑体"/>
                <w:b/>
                <w:bCs/>
                <w:color w:val="000000"/>
              </w:rPr>
              <w:t>　</w:t>
            </w:r>
          </w:p>
        </w:tc>
        <w:tc>
          <w:tcPr>
            <w:tcW w:w="1276" w:type="dxa"/>
            <w:noWrap w:val="0"/>
            <w:vAlign w:val="center"/>
          </w:tcPr>
          <w:p>
            <w:pPr>
              <w:jc w:val="center"/>
              <w:rPr>
                <w:rFonts w:ascii="黑体" w:hAnsi="宋体" w:eastAsia="黑体"/>
                <w:b/>
                <w:bCs/>
                <w:color w:val="000000"/>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color w:val="000000"/>
                <w:sz w:val="24"/>
                <w:szCs w:val="24"/>
              </w:rPr>
            </w:pPr>
            <w:r>
              <w:rPr>
                <w:rFonts w:hint="eastAsia" w:ascii="黑体" w:eastAsia="黑体"/>
                <w:b/>
                <w:bCs/>
                <w:color w:val="000000"/>
              </w:rPr>
              <w:t>　</w:t>
            </w:r>
          </w:p>
        </w:tc>
        <w:tc>
          <w:tcPr>
            <w:tcW w:w="709" w:type="dxa"/>
            <w:noWrap w:val="0"/>
            <w:vAlign w:val="center"/>
          </w:tcPr>
          <w:p>
            <w:pPr>
              <w:jc w:val="center"/>
              <w:rPr>
                <w:rFonts w:ascii="黑体" w:hAnsi="宋体" w:eastAsia="黑体"/>
                <w:b/>
                <w:bCs/>
                <w:color w:val="000000"/>
                <w:sz w:val="24"/>
                <w:szCs w:val="24"/>
              </w:rPr>
            </w:pPr>
          </w:p>
        </w:tc>
        <w:tc>
          <w:tcPr>
            <w:tcW w:w="939" w:type="dxa"/>
            <w:noWrap w:val="0"/>
            <w:vAlign w:val="center"/>
          </w:tcPr>
          <w:p>
            <w:pPr>
              <w:jc w:val="center"/>
              <w:rPr>
                <w:rFonts w:ascii="黑体" w:hAnsi="宋体" w:eastAsia="黑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noWrap/>
            <w:tcMar>
              <w:top w:w="15" w:type="dxa"/>
              <w:left w:w="15" w:type="dxa"/>
              <w:bottom w:w="0" w:type="dxa"/>
              <w:right w:w="15" w:type="dxa"/>
            </w:tcMar>
            <w:vAlign w:val="center"/>
          </w:tcPr>
          <w:p>
            <w:pPr>
              <w:jc w:val="center"/>
              <w:rPr>
                <w:rFonts w:ascii="宋体"/>
                <w:color w:val="000000"/>
                <w:sz w:val="18"/>
              </w:rPr>
            </w:pPr>
          </w:p>
        </w:tc>
        <w:tc>
          <w:tcPr>
            <w:tcW w:w="1050" w:type="dxa"/>
            <w:gridSpan w:val="2"/>
            <w:noWrap/>
            <w:tcMar>
              <w:top w:w="15" w:type="dxa"/>
              <w:left w:w="15" w:type="dxa"/>
              <w:bottom w:w="0" w:type="dxa"/>
              <w:right w:w="15" w:type="dxa"/>
            </w:tcMar>
            <w:vAlign w:val="center"/>
          </w:tcPr>
          <w:p>
            <w:pPr>
              <w:jc w:val="center"/>
              <w:rPr>
                <w:rFonts w:ascii="宋体"/>
                <w:color w:val="000000"/>
              </w:rPr>
            </w:pPr>
          </w:p>
        </w:tc>
        <w:tc>
          <w:tcPr>
            <w:tcW w:w="945" w:type="dxa"/>
            <w:noWrap w:val="0"/>
            <w:tcMar>
              <w:top w:w="15" w:type="dxa"/>
              <w:left w:w="15" w:type="dxa"/>
              <w:bottom w:w="0" w:type="dxa"/>
              <w:right w:w="15" w:type="dxa"/>
            </w:tcMar>
            <w:vAlign w:val="center"/>
          </w:tcPr>
          <w:p>
            <w:pPr>
              <w:pStyle w:val="17"/>
              <w:pBdr>
                <w:bottom w:val="none" w:color="auto" w:sz="0" w:space="0"/>
              </w:pBdr>
              <w:tabs>
                <w:tab w:val="clear" w:pos="4153"/>
                <w:tab w:val="clear" w:pos="8306"/>
              </w:tabs>
              <w:snapToGrid/>
              <w:rPr>
                <w:rFonts w:ascii="宋体"/>
                <w:bCs/>
                <w:color w:val="000000"/>
                <w:kern w:val="2"/>
              </w:rPr>
            </w:pPr>
          </w:p>
        </w:tc>
        <w:tc>
          <w:tcPr>
            <w:tcW w:w="3045" w:type="dxa"/>
            <w:noWrap w:val="0"/>
            <w:tcMar>
              <w:top w:w="15" w:type="dxa"/>
              <w:left w:w="15" w:type="dxa"/>
              <w:bottom w:w="0" w:type="dxa"/>
              <w:right w:w="15" w:type="dxa"/>
            </w:tcMar>
            <w:vAlign w:val="center"/>
          </w:tcPr>
          <w:p>
            <w:pPr>
              <w:jc w:val="center"/>
              <w:rPr>
                <w:rFonts w:ascii="宋体"/>
                <w:bCs/>
                <w:color w:val="000000"/>
                <w:sz w:val="18"/>
              </w:rPr>
            </w:pPr>
          </w:p>
        </w:tc>
        <w:tc>
          <w:tcPr>
            <w:tcW w:w="599" w:type="dxa"/>
            <w:noWrap w:val="0"/>
            <w:tcMar>
              <w:top w:w="15" w:type="dxa"/>
              <w:left w:w="15" w:type="dxa"/>
              <w:bottom w:w="0" w:type="dxa"/>
              <w:right w:w="15" w:type="dxa"/>
            </w:tcMar>
            <w:vAlign w:val="center"/>
          </w:tcPr>
          <w:p>
            <w:pPr>
              <w:jc w:val="center"/>
              <w:rPr>
                <w:rFonts w:ascii="黑体" w:hAnsi="宋体" w:eastAsia="黑体"/>
                <w:b/>
                <w:bCs/>
                <w:color w:val="000000"/>
                <w:sz w:val="24"/>
                <w:szCs w:val="24"/>
              </w:rPr>
            </w:pPr>
            <w:r>
              <w:rPr>
                <w:rFonts w:hint="eastAsia" w:ascii="黑体" w:eastAsia="黑体"/>
                <w:b/>
                <w:bCs/>
                <w:color w:val="000000"/>
              </w:rPr>
              <w:t>　</w:t>
            </w:r>
          </w:p>
        </w:tc>
        <w:tc>
          <w:tcPr>
            <w:tcW w:w="1276" w:type="dxa"/>
            <w:noWrap w:val="0"/>
            <w:vAlign w:val="center"/>
          </w:tcPr>
          <w:p>
            <w:pPr>
              <w:jc w:val="center"/>
              <w:rPr>
                <w:rFonts w:ascii="黑体" w:hAnsi="宋体" w:eastAsia="黑体"/>
                <w:b/>
                <w:bCs/>
                <w:color w:val="000000"/>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color w:val="000000"/>
                <w:sz w:val="24"/>
                <w:szCs w:val="24"/>
              </w:rPr>
            </w:pPr>
            <w:r>
              <w:rPr>
                <w:rFonts w:hint="eastAsia" w:ascii="黑体" w:eastAsia="黑体"/>
                <w:b/>
                <w:bCs/>
                <w:color w:val="000000"/>
              </w:rPr>
              <w:t>　</w:t>
            </w:r>
          </w:p>
        </w:tc>
        <w:tc>
          <w:tcPr>
            <w:tcW w:w="709" w:type="dxa"/>
            <w:noWrap w:val="0"/>
            <w:vAlign w:val="center"/>
          </w:tcPr>
          <w:p>
            <w:pPr>
              <w:jc w:val="center"/>
              <w:rPr>
                <w:rFonts w:ascii="黑体" w:hAnsi="宋体" w:eastAsia="黑体"/>
                <w:b/>
                <w:bCs/>
                <w:color w:val="000000"/>
                <w:sz w:val="24"/>
                <w:szCs w:val="24"/>
              </w:rPr>
            </w:pPr>
          </w:p>
        </w:tc>
        <w:tc>
          <w:tcPr>
            <w:tcW w:w="939" w:type="dxa"/>
            <w:noWrap w:val="0"/>
            <w:vAlign w:val="center"/>
          </w:tcPr>
          <w:p>
            <w:pPr>
              <w:jc w:val="center"/>
              <w:rPr>
                <w:rFonts w:ascii="黑体" w:hAnsi="宋体" w:eastAsia="黑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7"/>
              <w:pBdr>
                <w:bottom w:val="none" w:color="auto" w:sz="0" w:space="0"/>
              </w:pBdr>
              <w:tabs>
                <w:tab w:val="clear" w:pos="4153"/>
                <w:tab w:val="clear" w:pos="8306"/>
              </w:tabs>
              <w:snapToGrid/>
              <w:rPr>
                <w:rFonts w:ascii="宋体"/>
                <w:b/>
                <w:bCs/>
                <w:color w:val="000000"/>
                <w:kern w:val="2"/>
                <w:sz w:val="24"/>
              </w:rPr>
            </w:pPr>
            <w:r>
              <w:rPr>
                <w:rFonts w:hint="eastAsia" w:ascii="宋体"/>
                <w:b/>
                <w:bCs/>
                <w:color w:val="000000"/>
                <w:sz w:val="24"/>
              </w:rPr>
              <w:t>完工期</w:t>
            </w:r>
          </w:p>
        </w:tc>
        <w:tc>
          <w:tcPr>
            <w:tcW w:w="7560" w:type="dxa"/>
            <w:gridSpan w:val="6"/>
            <w:noWrap w:val="0"/>
            <w:tcMar>
              <w:top w:w="15" w:type="dxa"/>
              <w:left w:w="15" w:type="dxa"/>
              <w:bottom w:w="0" w:type="dxa"/>
              <w:right w:w="15" w:type="dxa"/>
            </w:tcMar>
            <w:vAlign w:val="center"/>
          </w:tcPr>
          <w:p>
            <w:pPr>
              <w:jc w:val="center"/>
              <w:rPr>
                <w:rFonts w:ascii="黑体" w:hAnsi="宋体" w:eastAsia="黑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7"/>
              <w:pBdr>
                <w:bottom w:val="none" w:color="auto" w:sz="0" w:space="0"/>
              </w:pBdr>
              <w:tabs>
                <w:tab w:val="clear" w:pos="4153"/>
                <w:tab w:val="clear" w:pos="8306"/>
              </w:tabs>
              <w:snapToGrid/>
              <w:rPr>
                <w:rFonts w:ascii="宋体"/>
                <w:b/>
                <w:bCs/>
                <w:color w:val="000000"/>
                <w:kern w:val="2"/>
                <w:sz w:val="24"/>
              </w:rPr>
            </w:pPr>
            <w:r>
              <w:rPr>
                <w:rFonts w:hint="eastAsia" w:ascii="宋体"/>
                <w:b/>
                <w:bCs/>
                <w:color w:val="000000"/>
                <w:sz w:val="24"/>
              </w:rPr>
              <w:t>项目整体质保期</w:t>
            </w:r>
          </w:p>
        </w:tc>
        <w:tc>
          <w:tcPr>
            <w:tcW w:w="7560" w:type="dxa"/>
            <w:gridSpan w:val="6"/>
            <w:noWrap w:val="0"/>
            <w:tcMar>
              <w:top w:w="15" w:type="dxa"/>
              <w:left w:w="15" w:type="dxa"/>
              <w:bottom w:w="0" w:type="dxa"/>
              <w:right w:w="15" w:type="dxa"/>
            </w:tcMar>
            <w:vAlign w:val="center"/>
          </w:tcPr>
          <w:p>
            <w:pPr>
              <w:jc w:val="center"/>
              <w:rPr>
                <w:rFonts w:ascii="黑体" w:hAnsi="宋体" w:eastAsia="黑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noWrap w:val="0"/>
            <w:vAlign w:val="center"/>
          </w:tcPr>
          <w:p>
            <w:pPr>
              <w:pStyle w:val="19"/>
              <w:spacing w:line="400" w:lineRule="exact"/>
              <w:ind w:firstLine="120" w:firstLineChars="50"/>
              <w:rPr>
                <w:rFonts w:ascii="宋体"/>
                <w:b/>
                <w:bCs/>
                <w:color w:val="000000"/>
                <w:kern w:val="2"/>
                <w:sz w:val="24"/>
                <w:szCs w:val="24"/>
              </w:rPr>
            </w:pPr>
            <w:r>
              <w:rPr>
                <w:rFonts w:hint="eastAsia" w:ascii="宋体" w:hAnsi="宋体"/>
                <w:b/>
                <w:bCs/>
                <w:color w:val="000000"/>
                <w:kern w:val="2"/>
                <w:sz w:val="24"/>
                <w:szCs w:val="24"/>
              </w:rPr>
              <w:t>服</w:t>
            </w:r>
          </w:p>
          <w:p>
            <w:pPr>
              <w:pStyle w:val="19"/>
              <w:spacing w:line="400" w:lineRule="exact"/>
              <w:rPr>
                <w:rFonts w:ascii="宋体"/>
                <w:b/>
                <w:bCs/>
                <w:color w:val="000000"/>
                <w:kern w:val="2"/>
                <w:sz w:val="24"/>
                <w:szCs w:val="24"/>
              </w:rPr>
            </w:pPr>
          </w:p>
          <w:p>
            <w:pPr>
              <w:pStyle w:val="19"/>
              <w:spacing w:line="400" w:lineRule="exact"/>
              <w:ind w:firstLine="120" w:firstLineChars="50"/>
              <w:rPr>
                <w:rFonts w:ascii="宋体"/>
                <w:b/>
                <w:bCs/>
                <w:color w:val="000000"/>
                <w:kern w:val="2"/>
                <w:sz w:val="24"/>
                <w:szCs w:val="24"/>
              </w:rPr>
            </w:pPr>
            <w:r>
              <w:rPr>
                <w:rFonts w:hint="eastAsia" w:ascii="宋体" w:hAnsi="宋体"/>
                <w:b/>
                <w:bCs/>
                <w:color w:val="000000"/>
                <w:kern w:val="2"/>
                <w:sz w:val="24"/>
                <w:szCs w:val="24"/>
              </w:rPr>
              <w:t>务</w:t>
            </w:r>
          </w:p>
          <w:p>
            <w:pPr>
              <w:pStyle w:val="19"/>
              <w:spacing w:line="400" w:lineRule="exact"/>
              <w:rPr>
                <w:rFonts w:ascii="宋体"/>
                <w:b/>
                <w:bCs/>
                <w:color w:val="000000"/>
                <w:kern w:val="2"/>
                <w:sz w:val="24"/>
                <w:szCs w:val="24"/>
              </w:rPr>
            </w:pPr>
          </w:p>
          <w:p>
            <w:pPr>
              <w:pStyle w:val="19"/>
              <w:spacing w:line="400" w:lineRule="exact"/>
              <w:ind w:firstLine="120" w:firstLineChars="50"/>
              <w:rPr>
                <w:rFonts w:ascii="宋体"/>
                <w:b/>
                <w:bCs/>
                <w:color w:val="000000"/>
                <w:kern w:val="2"/>
                <w:sz w:val="24"/>
                <w:szCs w:val="24"/>
              </w:rPr>
            </w:pPr>
            <w:r>
              <w:rPr>
                <w:rFonts w:hint="eastAsia" w:ascii="宋体" w:hAnsi="宋体"/>
                <w:b/>
                <w:bCs/>
                <w:color w:val="000000"/>
                <w:kern w:val="2"/>
                <w:sz w:val="24"/>
                <w:szCs w:val="24"/>
              </w:rPr>
              <w:t>承</w:t>
            </w:r>
          </w:p>
          <w:p>
            <w:pPr>
              <w:pStyle w:val="19"/>
              <w:spacing w:line="400" w:lineRule="exact"/>
              <w:rPr>
                <w:rFonts w:ascii="宋体"/>
                <w:b/>
                <w:bCs/>
                <w:color w:val="000000"/>
                <w:kern w:val="2"/>
                <w:sz w:val="24"/>
                <w:szCs w:val="24"/>
              </w:rPr>
            </w:pPr>
          </w:p>
          <w:p>
            <w:pPr>
              <w:pStyle w:val="19"/>
              <w:spacing w:line="400" w:lineRule="exact"/>
              <w:ind w:firstLine="120" w:firstLineChars="50"/>
              <w:rPr>
                <w:rFonts w:ascii="宋体"/>
                <w:bCs/>
                <w:color w:val="000000"/>
                <w:kern w:val="2"/>
                <w:sz w:val="24"/>
                <w:szCs w:val="24"/>
              </w:rPr>
            </w:pPr>
            <w:r>
              <w:rPr>
                <w:rFonts w:hint="eastAsia" w:ascii="宋体" w:hAnsi="宋体"/>
                <w:b/>
                <w:bCs/>
                <w:color w:val="000000"/>
                <w:kern w:val="2"/>
                <w:sz w:val="24"/>
                <w:szCs w:val="24"/>
              </w:rPr>
              <w:t>诺</w:t>
            </w:r>
          </w:p>
        </w:tc>
        <w:tc>
          <w:tcPr>
            <w:tcW w:w="9345" w:type="dxa"/>
            <w:gridSpan w:val="8"/>
            <w:noWrap w:val="0"/>
            <w:vAlign w:val="center"/>
          </w:tcPr>
          <w:p>
            <w:pPr>
              <w:numPr>
                <w:ilvl w:val="0"/>
                <w:numId w:val="22"/>
              </w:numPr>
              <w:rPr>
                <w:rFonts w:ascii="宋体"/>
                <w:bCs/>
                <w:color w:val="000000"/>
                <w:sz w:val="24"/>
                <w:szCs w:val="24"/>
              </w:rPr>
            </w:pPr>
            <w:r>
              <w:rPr>
                <w:rFonts w:hint="eastAsia" w:ascii="宋体" w:hAnsi="宋体"/>
                <w:bCs/>
                <w:color w:val="000000"/>
                <w:sz w:val="24"/>
                <w:szCs w:val="24"/>
              </w:rPr>
              <w:t>质量</w:t>
            </w:r>
            <w:r>
              <w:rPr>
                <w:rFonts w:ascii="宋体" w:hAnsi="宋体"/>
                <w:bCs/>
                <w:color w:val="000000"/>
                <w:sz w:val="24"/>
                <w:szCs w:val="24"/>
              </w:rPr>
              <w:t xml:space="preserve"> 2.</w:t>
            </w:r>
            <w:r>
              <w:rPr>
                <w:rFonts w:hint="eastAsia" w:ascii="宋体" w:hAnsi="宋体"/>
                <w:bCs/>
                <w:color w:val="000000"/>
                <w:sz w:val="24"/>
                <w:szCs w:val="24"/>
              </w:rPr>
              <w:t>安装</w:t>
            </w:r>
            <w:r>
              <w:rPr>
                <w:rFonts w:ascii="宋体" w:hAnsi="宋体"/>
                <w:bCs/>
                <w:color w:val="000000"/>
                <w:sz w:val="24"/>
                <w:szCs w:val="24"/>
              </w:rPr>
              <w:t xml:space="preserve"> 3."</w:t>
            </w:r>
            <w:r>
              <w:rPr>
                <w:rFonts w:hint="eastAsia" w:ascii="宋体" w:hAnsi="宋体"/>
                <w:bCs/>
                <w:color w:val="000000"/>
                <w:sz w:val="24"/>
                <w:szCs w:val="24"/>
              </w:rPr>
              <w:t>三包</w:t>
            </w:r>
            <w:r>
              <w:rPr>
                <w:rFonts w:ascii="宋体" w:hAnsi="宋体"/>
                <w:bCs/>
                <w:color w:val="000000"/>
                <w:sz w:val="24"/>
                <w:szCs w:val="24"/>
              </w:rPr>
              <w:t>"(</w:t>
            </w:r>
            <w:r>
              <w:rPr>
                <w:rFonts w:hint="eastAsia" w:ascii="宋体" w:hAnsi="宋体"/>
                <w:bCs/>
                <w:color w:val="000000"/>
                <w:sz w:val="24"/>
                <w:szCs w:val="24"/>
              </w:rPr>
              <w:t>包修、包退、包换</w:t>
            </w:r>
            <w:r>
              <w:rPr>
                <w:rFonts w:ascii="宋体" w:hAnsi="宋体"/>
                <w:bCs/>
                <w:color w:val="000000"/>
                <w:sz w:val="24"/>
                <w:szCs w:val="24"/>
              </w:rPr>
              <w:t>)4</w:t>
            </w:r>
            <w:r>
              <w:rPr>
                <w:rFonts w:ascii="宋体"/>
                <w:bCs/>
                <w:color w:val="000000"/>
                <w:sz w:val="24"/>
                <w:szCs w:val="24"/>
              </w:rPr>
              <w:t>.</w:t>
            </w:r>
            <w:r>
              <w:rPr>
                <w:rFonts w:hint="eastAsia" w:ascii="宋体" w:hAnsi="宋体"/>
                <w:bCs/>
                <w:color w:val="000000"/>
                <w:sz w:val="24"/>
                <w:szCs w:val="24"/>
              </w:rPr>
              <w:t>其他承诺</w:t>
            </w:r>
          </w:p>
          <w:p>
            <w:pPr>
              <w:rPr>
                <w:rFonts w:ascii="宋体"/>
                <w:bCs/>
                <w:color w:val="000000"/>
                <w:sz w:val="24"/>
                <w:szCs w:val="24"/>
              </w:rPr>
            </w:pPr>
            <w:r>
              <w:rPr>
                <w:rFonts w:hint="eastAsia" w:ascii="宋体" w:hAnsi="宋体"/>
                <w:bCs/>
                <w:color w:val="000000"/>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630" w:type="dxa"/>
            <w:gridSpan w:val="2"/>
            <w:vMerge w:val="continue"/>
            <w:noWrap w:val="0"/>
            <w:vAlign w:val="center"/>
          </w:tcPr>
          <w:p>
            <w:pPr>
              <w:pStyle w:val="19"/>
              <w:spacing w:line="400" w:lineRule="exact"/>
              <w:rPr>
                <w:rFonts w:ascii="宋体"/>
                <w:bCs/>
                <w:color w:val="000000"/>
                <w:kern w:val="2"/>
                <w:sz w:val="24"/>
                <w:szCs w:val="24"/>
              </w:rPr>
            </w:pPr>
          </w:p>
        </w:tc>
        <w:tc>
          <w:tcPr>
            <w:tcW w:w="9345" w:type="dxa"/>
            <w:gridSpan w:val="8"/>
            <w:noWrap w:val="0"/>
            <w:vAlign w:val="center"/>
          </w:tcPr>
          <w:p>
            <w:pPr>
              <w:rPr>
                <w:rFonts w:ascii="宋体"/>
                <w:bCs/>
                <w:color w:val="000000"/>
                <w:sz w:val="24"/>
                <w:szCs w:val="24"/>
              </w:rPr>
            </w:pPr>
          </w:p>
        </w:tc>
      </w:tr>
    </w:tbl>
    <w:p>
      <w:pPr>
        <w:spacing w:before="5" w:line="560" w:lineRule="atLeast"/>
        <w:rPr>
          <w:b/>
          <w:bCs/>
          <w:color w:val="000000"/>
          <w:sz w:val="24"/>
          <w:szCs w:val="24"/>
        </w:rPr>
      </w:pPr>
      <w:r>
        <w:rPr>
          <w:rFonts w:hint="eastAsia"/>
          <w:b/>
          <w:bCs/>
          <w:color w:val="000000"/>
          <w:sz w:val="24"/>
          <w:szCs w:val="24"/>
        </w:rPr>
        <w:t>法定代表人或法定代表人授权代表签字或盖章：</w:t>
      </w:r>
    </w:p>
    <w:p>
      <w:pPr>
        <w:spacing w:line="400" w:lineRule="exact"/>
        <w:outlineLvl w:val="0"/>
        <w:rPr>
          <w:rFonts w:ascii="宋体"/>
          <w:bCs/>
          <w:color w:val="000000"/>
          <w:szCs w:val="21"/>
        </w:rPr>
      </w:pPr>
      <w:r>
        <w:rPr>
          <w:rFonts w:hint="eastAsia" w:ascii="宋体" w:hAnsi="宋体"/>
          <w:b/>
          <w:color w:val="000000"/>
          <w:szCs w:val="21"/>
        </w:rPr>
        <w:t>注：</w:t>
      </w:r>
      <w:r>
        <w:rPr>
          <w:rFonts w:hint="eastAsia" w:ascii="宋体" w:hAnsi="宋体"/>
          <w:bCs/>
          <w:color w:val="000000"/>
          <w:szCs w:val="21"/>
        </w:rPr>
        <w:t>（</w:t>
      </w:r>
      <w:r>
        <w:rPr>
          <w:rFonts w:ascii="宋体" w:hAnsi="宋体"/>
          <w:bCs/>
          <w:color w:val="000000"/>
          <w:szCs w:val="21"/>
        </w:rPr>
        <w:t>1</w:t>
      </w:r>
      <w:r>
        <w:rPr>
          <w:rFonts w:hint="eastAsia" w:ascii="宋体" w:hAnsi="宋体"/>
          <w:bCs/>
          <w:color w:val="000000"/>
          <w:szCs w:val="21"/>
        </w:rPr>
        <w:t>）</w:t>
      </w:r>
      <w:r>
        <w:rPr>
          <w:rFonts w:hint="eastAsia" w:ascii="宋体"/>
          <w:bCs/>
          <w:color w:val="000000"/>
          <w:szCs w:val="21"/>
        </w:rPr>
        <w:t>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由省级以上监狱管理局、戒毒管理局(含新疆生产建设兵团)出具的投标人属于监狱企业的证明文件</w:t>
      </w:r>
      <w:r>
        <w:rPr>
          <w:rFonts w:hint="eastAsia" w:ascii="宋体"/>
          <w:bCs/>
          <w:color w:val="000000"/>
          <w:szCs w:val="21"/>
          <w:lang w:eastAsia="zh-CN"/>
        </w:rPr>
        <w:t>扫描件</w:t>
      </w:r>
      <w:r>
        <w:rPr>
          <w:rFonts w:hint="eastAsia" w:ascii="宋体"/>
          <w:bCs/>
          <w:color w:val="000000"/>
          <w:szCs w:val="21"/>
        </w:rPr>
        <w:t>；或提供投标人《残疾人福利性单位声明函》。如未按要求填写和提供有效证明或相关内容表述不清的，不得享受价格扣除。投标人对所报相关数据的真实性负责，无锡市公共资源交易中心新吴分中心有权将相关内容进行公示；</w:t>
      </w:r>
    </w:p>
    <w:p>
      <w:pPr>
        <w:spacing w:line="400" w:lineRule="exact"/>
        <w:ind w:firstLine="315" w:firstLineChars="150"/>
        <w:outlineLvl w:val="0"/>
        <w:rPr>
          <w:rFonts w:asci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）投标人应当根据“项目技术要求和有关说明”的内容在上表中详细填写；</w:t>
      </w:r>
    </w:p>
    <w:p>
      <w:pPr>
        <w:spacing w:line="400" w:lineRule="exact"/>
        <w:ind w:firstLine="315" w:firstLineChars="150"/>
        <w:outlineLvl w:val="0"/>
        <w:rPr>
          <w:rFonts w:hint="eastAsia" w:ascii="宋体" w:hAnsi="宋体"/>
          <w:bCs/>
          <w:color w:val="000000"/>
          <w:szCs w:val="21"/>
        </w:rPr>
      </w:pPr>
      <w:r>
        <w:rPr>
          <w:rFonts w:hint="eastAsia" w:ascii="宋体" w:hAnsi="宋体"/>
          <w:bCs/>
          <w:color w:val="000000"/>
          <w:szCs w:val="21"/>
        </w:rPr>
        <w:t>（</w:t>
      </w:r>
      <w:r>
        <w:rPr>
          <w:rFonts w:ascii="宋体" w:hAnsi="宋体"/>
          <w:bCs/>
          <w:color w:val="000000"/>
          <w:szCs w:val="21"/>
        </w:rPr>
        <w:t>3</w:t>
      </w:r>
      <w:r>
        <w:rPr>
          <w:rFonts w:hint="eastAsia" w:ascii="宋体" w:hAnsi="宋体"/>
          <w:bCs/>
          <w:color w:val="000000"/>
          <w:szCs w:val="21"/>
        </w:rPr>
        <w:t>）表格不够可自行延长。</w:t>
      </w:r>
    </w:p>
    <w:p>
      <w:pPr>
        <w:spacing w:line="400" w:lineRule="exact"/>
        <w:ind w:firstLine="315" w:firstLineChars="150"/>
        <w:outlineLvl w:val="0"/>
        <w:rPr>
          <w:rFonts w:hint="eastAsia" w:ascii="宋体" w:hAnsi="宋体"/>
          <w:bCs/>
          <w:color w:val="000000"/>
          <w:szCs w:val="21"/>
        </w:rPr>
      </w:pPr>
    </w:p>
    <w:p>
      <w:pPr>
        <w:ind w:firstLine="420" w:firstLineChars="175"/>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（九）投标偏离表（格式）：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WXXWQJC2023-</w:t>
      </w:r>
      <w:r>
        <w:rPr>
          <w:rFonts w:hint="eastAsia" w:ascii="黑体" w:eastAsia="黑体"/>
          <w:bCs/>
          <w:sz w:val="24"/>
          <w:szCs w:val="24"/>
          <w:lang w:val="en-US" w:eastAsia="zh-CN"/>
        </w:rPr>
        <w:t>090</w:t>
      </w:r>
    </w:p>
    <w:p>
      <w:pPr>
        <w:spacing w:line="400" w:lineRule="exact"/>
        <w:rPr>
          <w:rFonts w:ascii="黑体" w:eastAsia="黑体"/>
          <w:bCs/>
          <w:sz w:val="24"/>
          <w:szCs w:val="24"/>
        </w:rPr>
      </w:pPr>
    </w:p>
    <w:tbl>
      <w:tblPr>
        <w:tblStyle w:val="2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rFonts w:hint="eastAsia" w:ascii="宋体" w:hAnsi="宋体"/>
          <w:bCs/>
          <w:sz w:val="24"/>
          <w:szCs w:val="24"/>
        </w:rPr>
      </w:pPr>
      <w:r>
        <w:rPr>
          <w:rFonts w:hint="eastAsia" w:ascii="宋体" w:hAnsi="宋体"/>
          <w:bCs/>
          <w:sz w:val="24"/>
          <w:szCs w:val="24"/>
        </w:rPr>
        <w:t xml:space="preserve">   （3）如有技术偏离项，请于本表中列明偏离内容，如需要可自行延长，其余无偏离内容不须赘述。</w:t>
      </w: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ind w:firstLine="420" w:firstLineChars="175"/>
        <w:outlineLvl w:val="0"/>
        <w:rPr>
          <w:rFonts w:hint="eastAsia" w:ascii="宋体" w:hAnsi="宋体"/>
          <w:bCs/>
          <w:sz w:val="24"/>
          <w:szCs w:val="24"/>
        </w:rPr>
      </w:pPr>
    </w:p>
    <w:p>
      <w:pPr>
        <w:pStyle w:val="22"/>
        <w:ind w:left="0" w:leftChars="0" w:firstLine="0" w:firstLineChars="0"/>
        <w:rPr>
          <w:color w:val="000000"/>
          <w:sz w:val="24"/>
          <w:szCs w:val="24"/>
        </w:rPr>
      </w:pPr>
    </w:p>
    <w:p>
      <w:pPr>
        <w:ind w:firstLine="480" w:firstLineChars="200"/>
        <w:outlineLvl w:val="0"/>
        <w:rPr>
          <w:rFonts w:ascii="黑体" w:hAnsi="宋体" w:eastAsia="黑体"/>
          <w:bCs/>
          <w:color w:val="000000"/>
          <w:sz w:val="24"/>
          <w:szCs w:val="24"/>
        </w:rPr>
      </w:pPr>
      <w:r>
        <w:rPr>
          <w:rFonts w:hint="eastAsia" w:ascii="黑体" w:hAnsi="宋体" w:eastAsia="黑体"/>
          <w:bCs/>
          <w:color w:val="000000"/>
          <w:sz w:val="24"/>
          <w:szCs w:val="24"/>
        </w:rPr>
        <w:t>（十）项目人员配置清单（格式）</w:t>
      </w:r>
    </w:p>
    <w:p>
      <w:pPr>
        <w:spacing w:line="400" w:lineRule="exact"/>
        <w:jc w:val="center"/>
        <w:rPr>
          <w:rFonts w:ascii="黑体" w:eastAsia="黑体"/>
          <w:bCs/>
          <w:color w:val="000000"/>
          <w:sz w:val="28"/>
          <w:szCs w:val="28"/>
        </w:rPr>
      </w:pPr>
    </w:p>
    <w:p>
      <w:pPr>
        <w:pStyle w:val="22"/>
      </w:pPr>
    </w:p>
    <w:p>
      <w:pPr>
        <w:ind w:firstLine="480" w:firstLineChars="200"/>
        <w:rPr>
          <w:rFonts w:hint="eastAsia" w:ascii="黑体" w:eastAsia="黑体"/>
          <w:bCs/>
          <w:sz w:val="24"/>
          <w:szCs w:val="24"/>
        </w:rPr>
      </w:pPr>
    </w:p>
    <w:p>
      <w:pPr>
        <w:ind w:firstLine="480" w:firstLineChars="200"/>
        <w:rPr>
          <w:rFonts w:hint="eastAsia" w:ascii="黑体" w:eastAsia="黑体"/>
          <w:bCs/>
          <w:sz w:val="24"/>
          <w:szCs w:val="24"/>
          <w:lang w:val="en-US" w:eastAsia="zh-CN"/>
        </w:rPr>
      </w:pPr>
      <w:r>
        <w:rPr>
          <w:rFonts w:hint="eastAsia" w:ascii="黑体" w:eastAsia="黑体"/>
          <w:bCs/>
          <w:sz w:val="24"/>
          <w:szCs w:val="24"/>
        </w:rPr>
        <w:t xml:space="preserve">投标人名称（盖章）                   </w:t>
      </w:r>
      <w:r>
        <w:rPr>
          <w:rFonts w:hint="eastAsia" w:ascii="黑体" w:eastAsia="黑体"/>
          <w:bCs/>
          <w:sz w:val="24"/>
          <w:szCs w:val="24"/>
          <w:lang w:val="en-US" w:eastAsia="zh-CN"/>
        </w:rPr>
        <w:t xml:space="preserve">       </w:t>
      </w:r>
      <w:r>
        <w:rPr>
          <w:rFonts w:hint="eastAsia" w:ascii="黑体" w:eastAsia="黑体"/>
          <w:bCs/>
          <w:sz w:val="24"/>
          <w:szCs w:val="24"/>
        </w:rPr>
        <w:t xml:space="preserve"> 采购项目编号：</w:t>
      </w:r>
      <w:r>
        <w:rPr>
          <w:rFonts w:ascii="黑体" w:eastAsia="黑体"/>
          <w:bCs/>
          <w:sz w:val="24"/>
          <w:szCs w:val="24"/>
        </w:rPr>
        <w:t>WXXWQJC</w:t>
      </w:r>
      <w:r>
        <w:rPr>
          <w:rFonts w:hint="eastAsia" w:ascii="黑体" w:eastAsia="黑体"/>
          <w:bCs/>
          <w:sz w:val="24"/>
          <w:szCs w:val="24"/>
          <w:lang w:eastAsia="zh-CN"/>
        </w:rPr>
        <w:t>2023</w:t>
      </w:r>
      <w:r>
        <w:rPr>
          <w:rFonts w:ascii="黑体" w:eastAsia="黑体"/>
          <w:bCs/>
          <w:sz w:val="24"/>
          <w:szCs w:val="24"/>
        </w:rPr>
        <w:t>-</w:t>
      </w:r>
      <w:r>
        <w:rPr>
          <w:rFonts w:hint="eastAsia" w:ascii="黑体" w:eastAsia="黑体"/>
          <w:bCs/>
          <w:sz w:val="24"/>
          <w:szCs w:val="24"/>
          <w:lang w:eastAsia="zh-CN"/>
        </w:rPr>
        <w:t>090</w:t>
      </w:r>
    </w:p>
    <w:tbl>
      <w:tblPr>
        <w:tblStyle w:val="2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04"/>
        <w:gridCol w:w="1057"/>
        <w:gridCol w:w="1348"/>
        <w:gridCol w:w="1729"/>
        <w:gridCol w:w="141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rPr>
            </w:pPr>
            <w:r>
              <w:rPr>
                <w:b/>
                <w:color w:val="000000"/>
                <w:sz w:val="24"/>
              </w:rPr>
              <w:t>序号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rPr>
            </w:pPr>
            <w:r>
              <w:rPr>
                <w:b/>
                <w:color w:val="000000"/>
                <w:sz w:val="24"/>
              </w:rPr>
              <w:t>姓名</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rPr>
            </w:pPr>
            <w:r>
              <w:rPr>
                <w:b/>
                <w:color w:val="000000"/>
                <w:sz w:val="24"/>
              </w:rPr>
              <w:t>年龄</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rPr>
            </w:pPr>
            <w:r>
              <w:rPr>
                <w:b/>
                <w:color w:val="000000"/>
                <w:sz w:val="24"/>
              </w:rPr>
              <w:t>职责</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rPr>
            </w:pPr>
            <w:r>
              <w:rPr>
                <w:b/>
                <w:color w:val="000000"/>
                <w:sz w:val="24"/>
              </w:rPr>
              <w:t>项目经验</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rPr>
            </w:pPr>
            <w:r>
              <w:rPr>
                <w:b/>
                <w:color w:val="000000"/>
                <w:sz w:val="24"/>
              </w:rPr>
              <w:t>学历</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4"/>
              </w:rPr>
            </w:pPr>
            <w:r>
              <w:rPr>
                <w:b/>
                <w:color w:val="000000"/>
                <w:sz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jc w:val="center"/>
              <w:rPr>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jc w:val="center"/>
              <w:rPr>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jc w:val="center"/>
              <w:rPr>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jc w:val="center"/>
              <w:rPr>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jc w:val="center"/>
              <w:rPr>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color w:val="000000"/>
                <w:sz w:val="24"/>
              </w:rPr>
            </w:pPr>
          </w:p>
        </w:tc>
      </w:tr>
    </w:tbl>
    <w:p>
      <w:pPr>
        <w:rPr>
          <w:b/>
          <w:bCs/>
          <w:sz w:val="24"/>
          <w:szCs w:val="24"/>
        </w:rPr>
      </w:pPr>
      <w:r>
        <w:rPr>
          <w:rFonts w:hint="eastAsia"/>
          <w:b/>
          <w:bCs/>
          <w:sz w:val="24"/>
          <w:szCs w:val="24"/>
        </w:rPr>
        <w:t>法定代表人或法定代表人授权代表签字或盖章：</w:t>
      </w:r>
    </w:p>
    <w:p>
      <w:pPr>
        <w:rPr>
          <w:rFonts w:ascii="宋体" w:hAnsi="宋体"/>
          <w:bCs/>
          <w:szCs w:val="21"/>
        </w:rPr>
      </w:pPr>
      <w:r>
        <w:rPr>
          <w:rFonts w:hint="eastAsia" w:ascii="宋体" w:hAnsi="宋体"/>
          <w:bCs/>
          <w:szCs w:val="21"/>
        </w:rPr>
        <w:t>注：1. 表格不够可自行延长。</w:t>
      </w:r>
    </w:p>
    <w:p>
      <w:pPr>
        <w:ind w:firstLine="420" w:firstLineChars="200"/>
      </w:pPr>
      <w:r>
        <w:rPr>
          <w:rFonts w:hint="eastAsia" w:ascii="宋体" w:hAnsi="宋体"/>
          <w:bCs/>
          <w:szCs w:val="21"/>
        </w:rPr>
        <w:t>2.上表内容须提供连续三个月(至少包含近三个月中任意一个月份(不含投标当月))经社保部门确认的社保缴纳名单</w:t>
      </w:r>
      <w:r>
        <w:rPr>
          <w:rFonts w:hint="eastAsia" w:ascii="宋体" w:hAnsi="宋体"/>
          <w:bCs/>
          <w:szCs w:val="21"/>
          <w:lang w:eastAsia="zh-CN"/>
        </w:rPr>
        <w:t>扫描件</w:t>
      </w:r>
      <w:r>
        <w:rPr>
          <w:rFonts w:hint="eastAsia" w:ascii="宋体" w:hAnsi="宋体"/>
          <w:bCs/>
          <w:szCs w:val="21"/>
        </w:rPr>
        <w:t>（标注各人员所处位置）和相关证书</w:t>
      </w:r>
      <w:r>
        <w:rPr>
          <w:rFonts w:hint="eastAsia" w:ascii="宋体" w:hAnsi="宋体"/>
          <w:bCs/>
          <w:szCs w:val="21"/>
          <w:lang w:eastAsia="zh-CN"/>
        </w:rPr>
        <w:t>扫描件</w:t>
      </w:r>
      <w:r>
        <w:rPr>
          <w:rFonts w:hint="eastAsia" w:ascii="宋体" w:hAnsi="宋体"/>
          <w:bCs/>
          <w:szCs w:val="21"/>
        </w:rPr>
        <w:t>作为填列证明材料，证明材料请附在本表之后。</w:t>
      </w:r>
    </w:p>
    <w:p>
      <w:pPr>
        <w:outlineLvl w:val="0"/>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rPr>
          <w:rFonts w:hint="eastAsia" w:ascii="宋体" w:hAnsi="宋体"/>
          <w:bCs/>
          <w:sz w:val="24"/>
          <w:szCs w:val="24"/>
        </w:rPr>
      </w:pPr>
    </w:p>
    <w:p>
      <w:pPr>
        <w:pStyle w:val="22"/>
        <w:keepNext w:val="0"/>
        <w:keepLines w:val="0"/>
        <w:pageBreakBefore w:val="0"/>
        <w:widowControl w:val="0"/>
        <w:numPr>
          <w:ilvl w:val="0"/>
          <w:numId w:val="23"/>
        </w:numPr>
        <w:kinsoku/>
        <w:wordWrap/>
        <w:overflowPunct/>
        <w:topLinePunct w:val="0"/>
        <w:autoSpaceDE/>
        <w:autoSpaceDN/>
        <w:bidi w:val="0"/>
        <w:adjustRightInd/>
        <w:snapToGrid/>
        <w:spacing w:line="360" w:lineRule="auto"/>
        <w:textAlignment w:val="auto"/>
        <w:rPr>
          <w:bCs/>
          <w:color w:val="000000"/>
          <w:sz w:val="24"/>
        </w:rPr>
      </w:pPr>
      <w:r>
        <w:rPr>
          <w:rFonts w:hint="eastAsia" w:ascii="宋体" w:hAnsi="宋体"/>
          <w:bCs/>
          <w:sz w:val="24"/>
          <w:szCs w:val="24"/>
          <w:lang w:val="en-US" w:eastAsia="zh-CN"/>
        </w:rPr>
        <w:t>证明材料汇总表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b/>
          <w:bCs w:val="0"/>
          <w:color w:val="000000"/>
          <w:sz w:val="24"/>
        </w:rPr>
      </w:pPr>
      <w:r>
        <w:rPr>
          <w:b/>
          <w:bCs w:val="0"/>
          <w:color w:val="000000"/>
          <w:sz w:val="24"/>
        </w:rPr>
        <w:t xml:space="preserve">投标人名称（盖章）                            </w:t>
      </w:r>
      <w:r>
        <w:rPr>
          <w:rFonts w:hint="eastAsia"/>
          <w:b/>
          <w:bCs w:val="0"/>
          <w:color w:val="000000"/>
          <w:sz w:val="24"/>
          <w:lang w:val="en-US" w:eastAsia="zh-CN"/>
        </w:rPr>
        <w:t xml:space="preserve">   </w:t>
      </w:r>
      <w:r>
        <w:rPr>
          <w:b/>
          <w:bCs w:val="0"/>
          <w:color w:val="000000"/>
          <w:sz w:val="24"/>
        </w:rPr>
        <w:t>采购项目编号：</w:t>
      </w: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13"/>
        <w:gridCol w:w="4332"/>
        <w:gridCol w:w="2512"/>
        <w:gridCol w:w="60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75" w:type="dxa"/>
            <w:shd w:val="clear" w:color="000000" w:fill="FFFFFF"/>
            <w:vAlign w:val="center"/>
          </w:tcPr>
          <w:p>
            <w:pPr>
              <w:jc w:val="center"/>
              <w:outlineLvl w:val="0"/>
              <w:rPr>
                <w:bCs/>
                <w:color w:val="000000"/>
                <w:sz w:val="24"/>
                <w:szCs w:val="24"/>
              </w:rPr>
            </w:pPr>
            <w:r>
              <w:rPr>
                <w:bCs/>
                <w:color w:val="000000"/>
                <w:sz w:val="24"/>
                <w:szCs w:val="24"/>
              </w:rPr>
              <w:t>序号</w:t>
            </w:r>
          </w:p>
        </w:tc>
        <w:tc>
          <w:tcPr>
            <w:tcW w:w="913" w:type="dxa"/>
            <w:shd w:val="clear" w:color="000000" w:fill="FFFFFF"/>
            <w:vAlign w:val="center"/>
          </w:tcPr>
          <w:p>
            <w:pPr>
              <w:jc w:val="center"/>
              <w:outlineLvl w:val="0"/>
              <w:rPr>
                <w:bCs/>
                <w:color w:val="000000"/>
                <w:sz w:val="24"/>
                <w:szCs w:val="24"/>
              </w:rPr>
            </w:pPr>
            <w:r>
              <w:rPr>
                <w:bCs/>
                <w:color w:val="000000"/>
                <w:sz w:val="24"/>
                <w:szCs w:val="24"/>
              </w:rPr>
              <w:t>设备名称</w:t>
            </w:r>
          </w:p>
        </w:tc>
        <w:tc>
          <w:tcPr>
            <w:tcW w:w="4332" w:type="dxa"/>
            <w:shd w:val="clear" w:color="000000" w:fill="FFFFFF"/>
            <w:vAlign w:val="center"/>
          </w:tcPr>
          <w:p>
            <w:pPr>
              <w:jc w:val="center"/>
              <w:outlineLvl w:val="0"/>
              <w:rPr>
                <w:bCs/>
                <w:color w:val="000000"/>
                <w:sz w:val="24"/>
                <w:szCs w:val="24"/>
              </w:rPr>
            </w:pPr>
            <w:r>
              <w:rPr>
                <w:bCs/>
                <w:color w:val="000000"/>
                <w:sz w:val="24"/>
                <w:szCs w:val="24"/>
              </w:rPr>
              <w:t>参数要求</w:t>
            </w:r>
          </w:p>
        </w:tc>
        <w:tc>
          <w:tcPr>
            <w:tcW w:w="2512" w:type="dxa"/>
            <w:shd w:val="clear" w:color="000000" w:fill="FFFFFF"/>
            <w:vAlign w:val="center"/>
          </w:tcPr>
          <w:p>
            <w:pPr>
              <w:jc w:val="center"/>
              <w:outlineLvl w:val="0"/>
              <w:rPr>
                <w:bCs/>
                <w:color w:val="000000"/>
                <w:sz w:val="24"/>
                <w:szCs w:val="24"/>
              </w:rPr>
            </w:pPr>
            <w:r>
              <w:rPr>
                <w:bCs/>
                <w:color w:val="000000"/>
                <w:sz w:val="24"/>
                <w:szCs w:val="24"/>
              </w:rPr>
              <w:t>证明材料</w:t>
            </w:r>
          </w:p>
        </w:tc>
        <w:tc>
          <w:tcPr>
            <w:tcW w:w="607" w:type="dxa"/>
            <w:shd w:val="clear" w:color="000000" w:fill="FFFFFF"/>
            <w:vAlign w:val="center"/>
          </w:tcPr>
          <w:p>
            <w:pPr>
              <w:jc w:val="center"/>
              <w:outlineLvl w:val="0"/>
              <w:rPr>
                <w:bCs/>
                <w:color w:val="000000"/>
                <w:sz w:val="24"/>
                <w:szCs w:val="24"/>
              </w:rPr>
            </w:pPr>
            <w:r>
              <w:rPr>
                <w:bCs/>
                <w:color w:val="000000"/>
                <w:sz w:val="24"/>
                <w:szCs w:val="24"/>
              </w:rPr>
              <w:t>是否提供</w:t>
            </w:r>
          </w:p>
        </w:tc>
        <w:tc>
          <w:tcPr>
            <w:tcW w:w="708" w:type="dxa"/>
            <w:shd w:val="clear" w:color="000000" w:fill="FFFFFF"/>
            <w:vAlign w:val="center"/>
          </w:tcPr>
          <w:p>
            <w:pPr>
              <w:jc w:val="center"/>
              <w:outlineLvl w:val="0"/>
              <w:rPr>
                <w:bCs/>
                <w:color w:val="000000"/>
                <w:sz w:val="24"/>
                <w:szCs w:val="24"/>
              </w:rPr>
            </w:pPr>
            <w:r>
              <w:rPr>
                <w:bCs/>
                <w:color w:val="00000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restart"/>
            <w:vAlign w:val="center"/>
          </w:tcPr>
          <w:p>
            <w:pPr>
              <w:jc w:val="center"/>
              <w:outlineLvl w:val="0"/>
              <w:rPr>
                <w:bCs/>
                <w:color w:val="000000"/>
                <w:sz w:val="24"/>
                <w:szCs w:val="24"/>
              </w:rPr>
            </w:pPr>
            <w:r>
              <w:rPr>
                <w:bCs/>
                <w:color w:val="000000"/>
                <w:sz w:val="24"/>
                <w:szCs w:val="24"/>
              </w:rPr>
              <w:t>1</w:t>
            </w:r>
          </w:p>
        </w:tc>
        <w:tc>
          <w:tcPr>
            <w:tcW w:w="913" w:type="dxa"/>
            <w:vMerge w:val="restart"/>
            <w:vAlign w:val="center"/>
          </w:tcPr>
          <w:p>
            <w:pPr>
              <w:jc w:val="center"/>
              <w:outlineLvl w:val="0"/>
              <w:rPr>
                <w:bCs/>
                <w:color w:val="000000"/>
                <w:sz w:val="24"/>
                <w:szCs w:val="24"/>
              </w:rPr>
            </w:pPr>
            <w:r>
              <w:rPr>
                <w:rFonts w:hint="eastAsia" w:ascii="宋体" w:hAnsi="宋体" w:cs="宋体"/>
                <w:color w:val="000000"/>
                <w:kern w:val="0"/>
                <w:szCs w:val="21"/>
              </w:rPr>
              <w:t>视频云存储节点</w:t>
            </w: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▲支持云存储系统一键部署，一键部署微视云、标准云环境，一键部署包含组建集群、创建域、自动创建资源池等。</w:t>
            </w:r>
          </w:p>
        </w:tc>
        <w:tc>
          <w:tcPr>
            <w:tcW w:w="2512" w:type="dxa"/>
            <w:vMerge w:val="restart"/>
          </w:tcPr>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outlineLvl w:val="0"/>
              <w:rPr>
                <w:color w:val="FF0000"/>
                <w:szCs w:val="21"/>
              </w:rPr>
            </w:pPr>
          </w:p>
          <w:p>
            <w:pPr>
              <w:pStyle w:val="22"/>
              <w:ind w:firstLine="400"/>
              <w:rPr>
                <w:color w:val="FF0000"/>
                <w:szCs w:val="21"/>
              </w:rPr>
            </w:pPr>
          </w:p>
          <w:p>
            <w:pPr>
              <w:pStyle w:val="22"/>
              <w:ind w:firstLine="400"/>
              <w:rPr>
                <w:color w:val="FF0000"/>
                <w:szCs w:val="21"/>
              </w:rPr>
            </w:pPr>
          </w:p>
          <w:p>
            <w:pPr>
              <w:pStyle w:val="22"/>
              <w:ind w:firstLine="400"/>
              <w:rPr>
                <w:color w:val="FF0000"/>
                <w:szCs w:val="21"/>
              </w:rPr>
            </w:pPr>
          </w:p>
          <w:p>
            <w:pPr>
              <w:outlineLvl w:val="0"/>
              <w:rPr>
                <w:color w:val="FF0000"/>
                <w:szCs w:val="21"/>
              </w:rPr>
            </w:pPr>
          </w:p>
          <w:p>
            <w:pPr>
              <w:outlineLvl w:val="0"/>
              <w:rPr>
                <w:rFonts w:hint="eastAsia" w:eastAsia="宋体"/>
                <w:bCs/>
                <w:color w:val="000000"/>
                <w:szCs w:val="21"/>
                <w:lang w:eastAsia="zh-CN"/>
              </w:rPr>
            </w:pPr>
            <w:r>
              <w:rPr>
                <w:color w:val="FF0000"/>
                <w:szCs w:val="21"/>
              </w:rPr>
              <w:t>投标时必须提供公安部检验报告</w:t>
            </w:r>
            <w:r>
              <w:rPr>
                <w:rFonts w:hint="eastAsia"/>
                <w:color w:val="FF0000"/>
                <w:szCs w:val="21"/>
                <w:lang w:eastAsia="zh-CN"/>
              </w:rPr>
              <w:t>扫描件</w:t>
            </w:r>
            <w:r>
              <w:rPr>
                <w:color w:val="FF0000"/>
                <w:szCs w:val="21"/>
              </w:rPr>
              <w:t>并加盖原厂商公章</w:t>
            </w:r>
            <w:r>
              <w:rPr>
                <w:rFonts w:hint="eastAsia"/>
                <w:color w:val="FF0000"/>
                <w:szCs w:val="21"/>
                <w:lang w:eastAsia="zh-CN"/>
              </w:rPr>
              <w:t>。</w:t>
            </w: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▲一套云存储系统可对外提供多种类型数据混合存储，同时支持分布式流式存储，分布式对象存储、分布式文件存储、分布式块存储。</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▲支持按照设备可用容量实现负载均衡，各存储节点上存储的数据量在稳定状态下保持均衡，差距小于5%。</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▲支持按照接入任务数实现自动负载均衡，支持前端设备自动分配到存储节点。各节点间读写任务数差距±1。</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 《公安视频图像信息应用系统》中的GA/T1400协议。</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color w:val="000000"/>
                <w:sz w:val="21"/>
                <w:szCs w:val="21"/>
              </w:rPr>
            </w:pPr>
            <w:r>
              <w:rPr>
                <w:rFonts w:hint="eastAsia" w:ascii="宋体" w:hAnsi="宋体" w:eastAsia="宋体" w:cs="宋体"/>
                <w:b/>
                <w:sz w:val="21"/>
                <w:szCs w:val="21"/>
              </w:rPr>
              <w:t>▲支持IPV4/IPV6双栈，支持iscsi、samba、nfs、cifs、ftp、afp协议。</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▲一套云存储系统中，支持的存储节点个数不小于4096个；多云集群系统支持不小于1024个云存储系统。</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▲支持时区设置，支持客户端与云存储设备在不同的时区，录像时间段不受异地时区影响。</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▲云存储支持单机EC方案，即支持以任一存储节点为单位独立设置N+M数据保护，支持多硬盘时，业务不中断，数据不丢失，同时可根据实时接入业务进行负载均衡。</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▲支持在管理节点全部故障、存储节点出现批量故障时，只要存在一台有效的存储，业务就不会中断。</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▲具备节点间容错功能，容忍N-1（N为设备总台数）台存储节点设备同时故障后，只要有1台以上存储节点设备正常，即可保证录像可写入，写入录像依然具备磁盘间容错能力。</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▲支持当磁盘或设备故障时，支持智能数据恢复，对标明重要的特定文件中的数据优先恢复。</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▲存储设备根据自身业务量，自适应重构速度，如当前设备空间资源较为充裕时，重构速度较高，若存储设备读写压力上来后，重构速度自动降低。</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▲支持两朵云的数据灾备，可通过同一图片、对象的URL对主、备云上的数据进行访问，客户端无感。</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
                <w:sz w:val="21"/>
                <w:szCs w:val="21"/>
              </w:rPr>
              <w:t>▲支持通过统一运维一键式部署整个云存储系统，一键升级、格式化系统；支持设备自动发现，支持无需登录设备，即可远程配置IP地址；支持单服务、服务集群一键升级，支持升级包的hash签名加密认证。</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left"/>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5" w:type="dxa"/>
            <w:vMerge w:val="restart"/>
            <w:vAlign w:val="center"/>
          </w:tcPr>
          <w:p>
            <w:pPr>
              <w:jc w:val="center"/>
              <w:outlineLvl w:val="0"/>
              <w:rPr>
                <w:bCs/>
                <w:color w:val="000000"/>
                <w:sz w:val="24"/>
                <w:szCs w:val="24"/>
              </w:rPr>
            </w:pPr>
            <w:r>
              <w:rPr>
                <w:bCs/>
                <w:color w:val="000000"/>
                <w:sz w:val="24"/>
                <w:szCs w:val="24"/>
              </w:rPr>
              <w:t>2</w:t>
            </w:r>
          </w:p>
        </w:tc>
        <w:tc>
          <w:tcPr>
            <w:tcW w:w="913" w:type="dxa"/>
            <w:vMerge w:val="restart"/>
            <w:vAlign w:val="center"/>
          </w:tcPr>
          <w:p>
            <w:pPr>
              <w:jc w:val="center"/>
              <w:outlineLvl w:val="0"/>
              <w:rPr>
                <w:bCs/>
                <w:color w:val="000000"/>
                <w:sz w:val="24"/>
                <w:szCs w:val="24"/>
              </w:rPr>
            </w:pPr>
            <w:r>
              <w:rPr>
                <w:rFonts w:hint="eastAsia" w:ascii="宋体" w:hAnsi="宋体" w:cs="宋体"/>
                <w:szCs w:val="21"/>
              </w:rPr>
              <w:t>图片云存储存储主机</w:t>
            </w: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图片文件以缩略图和裁剪图的形式下载；支持图片按URL单张下载；支持图片批量下载；图片按URL地址下载或按时间段批量下载时，均支持按压缩比例、按缩放比例、按区域（坐标、指定宽高）进行裁剪、按指定宽高下载；支持对图片指定区域加马赛克处理</w:t>
            </w:r>
          </w:p>
        </w:tc>
        <w:tc>
          <w:tcPr>
            <w:tcW w:w="2512" w:type="dxa"/>
            <w:vMerge w:val="restart"/>
          </w:tcPr>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rFonts w:hint="eastAsia" w:eastAsia="宋体"/>
                <w:bCs/>
                <w:color w:val="000000"/>
                <w:sz w:val="24"/>
                <w:szCs w:val="24"/>
                <w:lang w:eastAsia="zh-CN"/>
              </w:rPr>
            </w:pPr>
            <w:r>
              <w:rPr>
                <w:color w:val="FF0000"/>
                <w:szCs w:val="21"/>
              </w:rPr>
              <w:t>投标时必须提供公安部检验报告</w:t>
            </w:r>
            <w:r>
              <w:rPr>
                <w:rFonts w:hint="eastAsia"/>
                <w:color w:val="FF0000"/>
                <w:szCs w:val="21"/>
                <w:lang w:eastAsia="zh-CN"/>
              </w:rPr>
              <w:t>扫描件</w:t>
            </w:r>
            <w:r>
              <w:rPr>
                <w:color w:val="FF0000"/>
                <w:szCs w:val="21"/>
              </w:rPr>
              <w:t>并加盖原厂商公章</w:t>
            </w:r>
            <w:r>
              <w:rPr>
                <w:rFonts w:hint="eastAsia"/>
                <w:color w:val="FF0000"/>
                <w:szCs w:val="21"/>
                <w:lang w:eastAsia="zh-CN"/>
              </w:rPr>
              <w:t>。</w:t>
            </w: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▲支持采用RESTful协议直存图片到云存储系统中。支持图片写入后1s内回显及下载</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▲支持能将抓拍图片直接在云系统上进行存储，无需配置任何存储转发服务器</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▲支持多种图片类型，jpg、png、gif、bmp实时缩略和裁剪下载，实时下载性能每台节点不小于1000张/s，并支持线性扩展；提供图片格式转换</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▲支持对动态抓拍图片及静态库图片配置不同的缓存策略；静态库图片永久保存在SSD中，以支持高并发、低延时的提取应用</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▲支持IPC编号、时间戳、类型、图片数据等多维度构建图片索引，支持根据多维度索引快速查询并提取图片，多维度索引查询性能无衰减</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5" w:type="dxa"/>
            <w:vMerge w:val="restart"/>
            <w:vAlign w:val="center"/>
          </w:tcPr>
          <w:p>
            <w:pPr>
              <w:jc w:val="center"/>
              <w:outlineLvl w:val="0"/>
              <w:rPr>
                <w:bCs/>
                <w:color w:val="000000"/>
                <w:sz w:val="24"/>
                <w:szCs w:val="24"/>
              </w:rPr>
            </w:pPr>
            <w:r>
              <w:rPr>
                <w:rFonts w:hint="eastAsia"/>
                <w:bCs/>
                <w:color w:val="000000"/>
                <w:sz w:val="24"/>
                <w:szCs w:val="24"/>
              </w:rPr>
              <w:t>3</w:t>
            </w:r>
          </w:p>
        </w:tc>
        <w:tc>
          <w:tcPr>
            <w:tcW w:w="913" w:type="dxa"/>
            <w:vMerge w:val="restart"/>
            <w:vAlign w:val="center"/>
          </w:tcPr>
          <w:p>
            <w:pPr>
              <w:jc w:val="center"/>
              <w:outlineLvl w:val="0"/>
              <w:rPr>
                <w:bCs/>
                <w:color w:val="000000"/>
                <w:sz w:val="24"/>
                <w:szCs w:val="24"/>
              </w:rPr>
            </w:pPr>
            <w:r>
              <w:rPr>
                <w:rFonts w:hint="eastAsia" w:ascii="宋体" w:hAnsi="宋体" w:cs="宋体"/>
                <w:color w:val="000000"/>
                <w:kern w:val="0"/>
                <w:szCs w:val="21"/>
              </w:rPr>
              <w:t>融合大数据集群一体机</w:t>
            </w: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▲单台设备支持存储不少于20亿条数据</w:t>
            </w:r>
          </w:p>
        </w:tc>
        <w:tc>
          <w:tcPr>
            <w:tcW w:w="2512" w:type="dxa"/>
            <w:vMerge w:val="restart"/>
          </w:tcPr>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000000"/>
                <w:sz w:val="24"/>
                <w:szCs w:val="24"/>
              </w:rPr>
            </w:pPr>
            <w:r>
              <w:rPr>
                <w:color w:val="FF0000"/>
                <w:szCs w:val="21"/>
              </w:rPr>
              <w:t>投标时必须提供公安部检验报告</w:t>
            </w:r>
            <w:r>
              <w:rPr>
                <w:rFonts w:hint="eastAsia"/>
                <w:color w:val="FF0000"/>
                <w:szCs w:val="21"/>
                <w:lang w:eastAsia="zh-CN"/>
              </w:rPr>
              <w:t>扫描件</w:t>
            </w:r>
            <w:r>
              <w:rPr>
                <w:color w:val="FF0000"/>
                <w:szCs w:val="21"/>
              </w:rPr>
              <w:t>并加盖原厂商公章</w:t>
            </w:r>
            <w:r>
              <w:rPr>
                <w:rFonts w:hint="eastAsia"/>
                <w:color w:val="FF0000"/>
                <w:szCs w:val="21"/>
              </w:rPr>
              <w:t>。</w:t>
            </w: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▲支持外部文件系统及大数据平台内部组件数据导入，导入性能单节点不低于100MB/s</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▲支持数据实时写入到ElasticSearch，写入速度不低于30MB/s；支持实时导入数据到HBase，导入速度不低于100 MB/s</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存储功能组件：Hadoop（分布式文件系统HDFS）、分布式协调Zookeeper、NoSQL数据库HBase、提供消息订阅Kafka、全文检索ElasticSearch、列式存储Kudu、高性能key-value数据库Redis、时序数据库STARTSDB、图数据库Janusgraph、时空数据库STRACK，日志收集LOGGER、元信息管理atlas</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▲支持监控集群健康状态（组件状态、CPU及内存使用率、网络流量、磁盘空间使用率、磁盘挂载情况、磁盘IOPS等）。支持查看集群中各节点运行状态，组件状态，集群告警信息等</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5" w:type="dxa"/>
            <w:vMerge w:val="restart"/>
            <w:vAlign w:val="center"/>
          </w:tcPr>
          <w:p>
            <w:pPr>
              <w:jc w:val="center"/>
              <w:outlineLvl w:val="0"/>
              <w:rPr>
                <w:bCs/>
                <w:color w:val="000000"/>
                <w:sz w:val="24"/>
                <w:szCs w:val="24"/>
              </w:rPr>
            </w:pPr>
            <w:r>
              <w:rPr>
                <w:rFonts w:hint="eastAsia"/>
                <w:bCs/>
                <w:color w:val="000000"/>
                <w:sz w:val="24"/>
                <w:szCs w:val="24"/>
              </w:rPr>
              <w:t>4</w:t>
            </w:r>
          </w:p>
        </w:tc>
        <w:tc>
          <w:tcPr>
            <w:tcW w:w="913" w:type="dxa"/>
            <w:vMerge w:val="restart"/>
            <w:vAlign w:val="center"/>
          </w:tcPr>
          <w:p>
            <w:pPr>
              <w:jc w:val="center"/>
              <w:outlineLvl w:val="0"/>
              <w:rPr>
                <w:bCs/>
                <w:color w:val="000000"/>
                <w:sz w:val="24"/>
                <w:szCs w:val="24"/>
              </w:rPr>
            </w:pPr>
            <w:r>
              <w:rPr>
                <w:rFonts w:hint="eastAsia" w:ascii="宋体" w:hAnsi="宋体" w:cs="宋体"/>
                <w:color w:val="000000"/>
                <w:kern w:val="0"/>
                <w:szCs w:val="21"/>
              </w:rPr>
              <w:t>人像比对服务一体机</w:t>
            </w: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▲支持对照片进行矫正，提升特定员照片比对效果，误报率1%时的正确率应不低于99.9%;误报率=非同一人识别为同一人的次数/误报率比对总次数*100%；正确率=正确比对的次数/正确率比对总次数*100%</w:t>
            </w:r>
          </w:p>
        </w:tc>
        <w:tc>
          <w:tcPr>
            <w:tcW w:w="2512" w:type="dxa"/>
            <w:vMerge w:val="restart"/>
          </w:tcPr>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FF0000"/>
                <w:szCs w:val="21"/>
              </w:rPr>
            </w:pPr>
          </w:p>
          <w:p>
            <w:pPr>
              <w:outlineLvl w:val="0"/>
              <w:rPr>
                <w:bCs/>
                <w:color w:val="000000"/>
                <w:sz w:val="24"/>
                <w:szCs w:val="24"/>
              </w:rPr>
            </w:pPr>
            <w:r>
              <w:rPr>
                <w:color w:val="FF0000"/>
                <w:szCs w:val="21"/>
              </w:rPr>
              <w:t>投标时必须提供公安部检验报告</w:t>
            </w:r>
            <w:r>
              <w:rPr>
                <w:rFonts w:hint="eastAsia"/>
                <w:color w:val="FF0000"/>
                <w:szCs w:val="21"/>
                <w:lang w:eastAsia="zh-CN"/>
              </w:rPr>
              <w:t>扫描件</w:t>
            </w:r>
            <w:r>
              <w:rPr>
                <w:color w:val="FF0000"/>
                <w:szCs w:val="21"/>
              </w:rPr>
              <w:t>并加盖原厂商公章</w:t>
            </w:r>
            <w:r>
              <w:rPr>
                <w:rFonts w:hint="eastAsia"/>
                <w:color w:val="FF0000"/>
                <w:szCs w:val="21"/>
              </w:rPr>
              <w:t>。</w:t>
            </w: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▲支持单张人脸图片或同一人的多张人脸图片对底库进行人脸比对并输出TOPN人员信息结果和相似度，N支持系统自定义</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▲完成10万人脸聚类的时间不长于50s</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▲3000实名档案的条件下，归档正确大于99%，召回率大于99%；归档正确率=所有归入照片都正确的档案数/总档案数*100%；召回率=归入正确档案的图片数/总抓拍数*100%</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名单库容量4.8亿时，每秒处理不少于120个1:N人脸比对任务；名单库容量2.4亿时，每秒处理不少240个1:N人脸比对任务；名单容量1.2亿时，每秒处理不少于480个1:N人脸比对任务；名单库容量0.6亿时，每秒处理不少于960个1:N人脸比对任务</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▲支持一人一档底库和路人档案库的结构化信息提取、汇聚、导入、按需定期更新和库内相互比对更新功能，一人一档底库和路人档案库可根据人脸评分策略替换评分较低的底图，且支持多底图策略</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Cs/>
                <w:sz w:val="21"/>
                <w:szCs w:val="21"/>
              </w:rPr>
            </w:pPr>
            <w:r>
              <w:rPr>
                <w:rFonts w:hint="eastAsia" w:ascii="宋体" w:hAnsi="宋体" w:eastAsia="宋体" w:cs="宋体"/>
                <w:b/>
                <w:sz w:val="21"/>
                <w:szCs w:val="21"/>
              </w:rPr>
              <w:t>▲支持建立不少于512个人脸名单库，总容量不低于4.8亿张图片</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pPr>
              <w:jc w:val="center"/>
              <w:outlineLvl w:val="0"/>
              <w:rPr>
                <w:bCs/>
                <w:color w:val="000000"/>
                <w:sz w:val="24"/>
                <w:szCs w:val="24"/>
              </w:rPr>
            </w:pPr>
          </w:p>
        </w:tc>
        <w:tc>
          <w:tcPr>
            <w:tcW w:w="913" w:type="dxa"/>
            <w:vMerge w:val="continue"/>
            <w:vAlign w:val="center"/>
          </w:tcPr>
          <w:p>
            <w:pPr>
              <w:jc w:val="center"/>
              <w:outlineLvl w:val="0"/>
              <w:rPr>
                <w:bCs/>
                <w:color w:val="000000"/>
                <w:sz w:val="24"/>
                <w:szCs w:val="24"/>
              </w:rPr>
            </w:pPr>
          </w:p>
        </w:tc>
        <w:tc>
          <w:tcPr>
            <w:tcW w:w="4332" w:type="dxa"/>
            <w:vAlign w:val="center"/>
          </w:tcPr>
          <w:p>
            <w:pPr>
              <w:pStyle w:val="22"/>
              <w:ind w:firstLine="0" w:firstLineChars="0"/>
              <w:rPr>
                <w:rFonts w:hint="eastAsia" w:ascii="宋体" w:hAnsi="宋体" w:eastAsia="宋体" w:cs="宋体"/>
                <w:b/>
                <w:sz w:val="21"/>
                <w:szCs w:val="21"/>
              </w:rPr>
            </w:pPr>
            <w:r>
              <w:rPr>
                <w:rFonts w:hint="eastAsia" w:ascii="宋体" w:hAnsi="宋体" w:eastAsia="宋体" w:cs="宋体"/>
                <w:b/>
                <w:sz w:val="21"/>
                <w:szCs w:val="21"/>
              </w:rPr>
              <w:t>▲支持对不低于80*60像素，瞳间距不小于8像素的照片进行建库，支持JPG、JPEG、PNG、GIF、BMP、TIF格式的照片，支持zip、rar、tar等压缩方式上传建库，建库成功率不小99.9%</w:t>
            </w:r>
          </w:p>
        </w:tc>
        <w:tc>
          <w:tcPr>
            <w:tcW w:w="2512" w:type="dxa"/>
            <w:vMerge w:val="continue"/>
          </w:tcPr>
          <w:p>
            <w:pPr>
              <w:outlineLvl w:val="0"/>
              <w:rPr>
                <w:bCs/>
                <w:color w:val="000000"/>
                <w:sz w:val="24"/>
                <w:szCs w:val="24"/>
              </w:rPr>
            </w:pPr>
          </w:p>
        </w:tc>
        <w:tc>
          <w:tcPr>
            <w:tcW w:w="607" w:type="dxa"/>
            <w:noWrap/>
            <w:vAlign w:val="center"/>
          </w:tcPr>
          <w:p>
            <w:pPr>
              <w:outlineLvl w:val="0"/>
              <w:rPr>
                <w:bCs/>
                <w:color w:val="000000"/>
                <w:sz w:val="24"/>
                <w:szCs w:val="24"/>
              </w:rPr>
            </w:pPr>
          </w:p>
        </w:tc>
        <w:tc>
          <w:tcPr>
            <w:tcW w:w="708" w:type="dxa"/>
            <w:noWrap/>
            <w:vAlign w:val="center"/>
          </w:tcPr>
          <w:p>
            <w:pPr>
              <w:jc w:val="center"/>
              <w:outlineLvl w:val="0"/>
              <w:rPr>
                <w:bCs/>
                <w:color w:val="000000"/>
                <w:sz w:val="24"/>
                <w:szCs w:val="24"/>
              </w:rPr>
            </w:pPr>
          </w:p>
        </w:tc>
      </w:tr>
    </w:tbl>
    <w:p>
      <w:pPr>
        <w:pStyle w:val="22"/>
        <w:numPr>
          <w:ilvl w:val="0"/>
          <w:numId w:val="0"/>
        </w:numPr>
        <w:ind w:leftChars="200"/>
        <w:rPr>
          <w:rFonts w:hint="default" w:ascii="宋体" w:hAnsi="宋体"/>
          <w:bCs/>
          <w:sz w:val="24"/>
          <w:szCs w:val="24"/>
          <w:lang w:val="en-US" w:eastAsia="zh-CN"/>
        </w:rPr>
      </w:pPr>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ascii="华文新魏" w:eastAsia="华文新魏"/>
        <w:lang w:eastAsia="zh-CN"/>
      </w:rPr>
    </w:pPr>
    <w:r>
      <w:rPr>
        <w:rFonts w:hint="eastAsia" w:ascii="华文新魏" w:eastAsia="华文新魏"/>
        <w:sz w:val="21"/>
        <w:lang w:eastAsia="zh-CN"/>
      </w:rPr>
      <w:t>WXXWQJC2023-</w:t>
    </w:r>
    <w:r>
      <w:rPr>
        <w:rFonts w:hint="eastAsia" w:ascii="华文新魏" w:eastAsia="华文新魏"/>
        <w:sz w:val="21"/>
        <w:lang w:val="en-US" w:eastAsia="zh-CN"/>
      </w:rPr>
      <w:t>090</w:t>
    </w:r>
    <w:r>
      <w:rPr>
        <w:rFonts w:hint="eastAsia" w:ascii="华文新魏" w:eastAsia="华文新魏"/>
        <w:sz w:val="21"/>
      </w:rPr>
      <w:t xml:space="preserve"> </w:t>
    </w:r>
    <w:r>
      <w:rPr>
        <w:rFonts w:hint="eastAsia" w:ascii="华文新魏" w:eastAsia="华文新魏"/>
        <w:sz w:val="21"/>
        <w:szCs w:val="21"/>
      </w:rPr>
      <w:t>硕放街道“一眼多维”技防服务项目</w:t>
    </w:r>
    <w:r>
      <w:rPr>
        <w:rFonts w:hint="eastAsia" w:ascii="华文新魏" w:eastAsia="华文新魏"/>
        <w:sz w:val="21"/>
        <w:szCs w:val="21"/>
        <w:lang w:val="en-US" w:eastAsia="zh-CN"/>
      </w:rPr>
      <w:t xml:space="preserve">       </w:t>
    </w:r>
    <w:r>
      <w:rPr>
        <w:rFonts w:hint="eastAsia" w:ascii="华文新魏" w:eastAsia="华文新魏"/>
        <w:sz w:val="21"/>
      </w:rPr>
      <w:t xml:space="preserve">    </w:t>
    </w:r>
    <w:r>
      <w:rPr>
        <w:rFonts w:hint="eastAsia" w:ascii="华文新魏" w:eastAsia="华文新魏"/>
        <w:sz w:val="21"/>
        <w:lang w:eastAsia="zh-CN"/>
      </w:rPr>
      <w:t>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D01E"/>
    <w:multiLevelType w:val="singleLevel"/>
    <w:tmpl w:val="F2BCD01E"/>
    <w:lvl w:ilvl="0" w:tentative="0">
      <w:start w:val="1"/>
      <w:numFmt w:val="decimal"/>
      <w:lvlText w:val="%1."/>
      <w:lvlJc w:val="left"/>
      <w:pPr>
        <w:tabs>
          <w:tab w:val="left" w:pos="312"/>
        </w:tabs>
      </w:p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4">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6">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7">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8">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9">
    <w:nsid w:val="3DBBDABD"/>
    <w:multiLevelType w:val="singleLevel"/>
    <w:tmpl w:val="3DBBDABD"/>
    <w:lvl w:ilvl="0" w:tentative="0">
      <w:start w:val="11"/>
      <w:numFmt w:val="chineseCounting"/>
      <w:suff w:val="nothing"/>
      <w:lvlText w:val="（%1）"/>
      <w:lvlJc w:val="left"/>
      <w:rPr>
        <w:rFonts w:hint="eastAsia"/>
      </w:rPr>
    </w:lvl>
  </w:abstractNum>
  <w:abstractNum w:abstractNumId="10">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1">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2">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3">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14">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6C57FCD"/>
    <w:multiLevelType w:val="multilevel"/>
    <w:tmpl w:val="56C57FCD"/>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7">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9">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0">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1">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21"/>
  </w:num>
  <w:num w:numId="2">
    <w:abstractNumId w:val="0"/>
  </w:num>
  <w:num w:numId="3">
    <w:abstractNumId w:val="19"/>
  </w:num>
  <w:num w:numId="4">
    <w:abstractNumId w:val="13"/>
  </w:num>
  <w:num w:numId="5">
    <w:abstractNumId w:val="11"/>
  </w:num>
  <w:num w:numId="6">
    <w:abstractNumId w:val="1"/>
  </w:num>
  <w:num w:numId="7">
    <w:abstractNumId w:val="4"/>
  </w:num>
  <w:num w:numId="8">
    <w:abstractNumId w:val="22"/>
  </w:num>
  <w:num w:numId="9">
    <w:abstractNumId w:val="8"/>
  </w:num>
  <w:num w:numId="10">
    <w:abstractNumId w:val="16"/>
  </w:num>
  <w:num w:numId="11">
    <w:abstractNumId w:val="14"/>
  </w:num>
  <w:num w:numId="12">
    <w:abstractNumId w:val="3"/>
  </w:num>
  <w:num w:numId="13">
    <w:abstractNumId w:val="12"/>
  </w:num>
  <w:num w:numId="14">
    <w:abstractNumId w:val="5"/>
  </w:num>
  <w:num w:numId="15">
    <w:abstractNumId w:val="20"/>
  </w:num>
  <w:num w:numId="16">
    <w:abstractNumId w:val="18"/>
  </w:num>
  <w:num w:numId="17">
    <w:abstractNumId w:val="7"/>
  </w:num>
  <w:num w:numId="18">
    <w:abstractNumId w:val="2"/>
  </w:num>
  <w:num w:numId="19">
    <w:abstractNumId w:val="10"/>
  </w:num>
  <w:num w:numId="20">
    <w:abstractNumId w:val="15"/>
  </w:num>
  <w:num w:numId="21">
    <w:abstractNumId w:val="17"/>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2RmMTdkZTE5ODFlNjc4MmE0ZGRkNmEzYzczNmIifQ=="/>
  </w:docVars>
  <w:rsids>
    <w:rsidRoot w:val="07CF36F3"/>
    <w:rsid w:val="00005586"/>
    <w:rsid w:val="00023F37"/>
    <w:rsid w:val="00025CDA"/>
    <w:rsid w:val="00027136"/>
    <w:rsid w:val="00032E99"/>
    <w:rsid w:val="00035979"/>
    <w:rsid w:val="0003756D"/>
    <w:rsid w:val="000467D6"/>
    <w:rsid w:val="00055659"/>
    <w:rsid w:val="00057274"/>
    <w:rsid w:val="000578D9"/>
    <w:rsid w:val="00060525"/>
    <w:rsid w:val="0006261F"/>
    <w:rsid w:val="00064F9E"/>
    <w:rsid w:val="00071CFE"/>
    <w:rsid w:val="00072395"/>
    <w:rsid w:val="0007466C"/>
    <w:rsid w:val="00077854"/>
    <w:rsid w:val="0008406E"/>
    <w:rsid w:val="00096B78"/>
    <w:rsid w:val="000A01C4"/>
    <w:rsid w:val="000A45A7"/>
    <w:rsid w:val="000A611A"/>
    <w:rsid w:val="000A7034"/>
    <w:rsid w:val="000B1029"/>
    <w:rsid w:val="000B7845"/>
    <w:rsid w:val="000C394C"/>
    <w:rsid w:val="000D03DF"/>
    <w:rsid w:val="000D2C40"/>
    <w:rsid w:val="000D7793"/>
    <w:rsid w:val="000E7562"/>
    <w:rsid w:val="000E792B"/>
    <w:rsid w:val="000F13DD"/>
    <w:rsid w:val="000F18E1"/>
    <w:rsid w:val="000F1F9B"/>
    <w:rsid w:val="000F3F52"/>
    <w:rsid w:val="000F4EF1"/>
    <w:rsid w:val="000F50FD"/>
    <w:rsid w:val="00101B15"/>
    <w:rsid w:val="0010264E"/>
    <w:rsid w:val="0010690C"/>
    <w:rsid w:val="001111BA"/>
    <w:rsid w:val="00112084"/>
    <w:rsid w:val="0012047C"/>
    <w:rsid w:val="00123E77"/>
    <w:rsid w:val="001313B9"/>
    <w:rsid w:val="0013250F"/>
    <w:rsid w:val="00133344"/>
    <w:rsid w:val="00133FEA"/>
    <w:rsid w:val="001370A3"/>
    <w:rsid w:val="0013765A"/>
    <w:rsid w:val="001407D4"/>
    <w:rsid w:val="00140AAC"/>
    <w:rsid w:val="00153F19"/>
    <w:rsid w:val="0016004B"/>
    <w:rsid w:val="001609B9"/>
    <w:rsid w:val="00161F11"/>
    <w:rsid w:val="001638FA"/>
    <w:rsid w:val="001645F2"/>
    <w:rsid w:val="001717CF"/>
    <w:rsid w:val="001746FA"/>
    <w:rsid w:val="00174BAF"/>
    <w:rsid w:val="0018434D"/>
    <w:rsid w:val="00197209"/>
    <w:rsid w:val="001A1478"/>
    <w:rsid w:val="001B32DD"/>
    <w:rsid w:val="001B42EF"/>
    <w:rsid w:val="001B448F"/>
    <w:rsid w:val="001B76D5"/>
    <w:rsid w:val="001C0741"/>
    <w:rsid w:val="001C0A24"/>
    <w:rsid w:val="001C0B47"/>
    <w:rsid w:val="001C0DBC"/>
    <w:rsid w:val="001C274F"/>
    <w:rsid w:val="001C4DBD"/>
    <w:rsid w:val="001D5192"/>
    <w:rsid w:val="001E4668"/>
    <w:rsid w:val="001E7CA2"/>
    <w:rsid w:val="001F75B9"/>
    <w:rsid w:val="00202940"/>
    <w:rsid w:val="0020399D"/>
    <w:rsid w:val="00203A18"/>
    <w:rsid w:val="00204689"/>
    <w:rsid w:val="00207EEF"/>
    <w:rsid w:val="002229CC"/>
    <w:rsid w:val="00230D81"/>
    <w:rsid w:val="002356FA"/>
    <w:rsid w:val="00242E47"/>
    <w:rsid w:val="002520C9"/>
    <w:rsid w:val="00255030"/>
    <w:rsid w:val="00255DB0"/>
    <w:rsid w:val="00263EEA"/>
    <w:rsid w:val="00274DB6"/>
    <w:rsid w:val="00275E0E"/>
    <w:rsid w:val="00280BDD"/>
    <w:rsid w:val="00283305"/>
    <w:rsid w:val="002946D4"/>
    <w:rsid w:val="002A7AF7"/>
    <w:rsid w:val="002C400E"/>
    <w:rsid w:val="002D03B7"/>
    <w:rsid w:val="002D2751"/>
    <w:rsid w:val="002D3797"/>
    <w:rsid w:val="002D4D0B"/>
    <w:rsid w:val="002D6B2A"/>
    <w:rsid w:val="002E1F11"/>
    <w:rsid w:val="002F0EEE"/>
    <w:rsid w:val="002F2892"/>
    <w:rsid w:val="00301DEA"/>
    <w:rsid w:val="00305056"/>
    <w:rsid w:val="00305E08"/>
    <w:rsid w:val="00313467"/>
    <w:rsid w:val="0032309C"/>
    <w:rsid w:val="003245E2"/>
    <w:rsid w:val="0033294C"/>
    <w:rsid w:val="003373D3"/>
    <w:rsid w:val="00346850"/>
    <w:rsid w:val="00357C24"/>
    <w:rsid w:val="003608B8"/>
    <w:rsid w:val="00362634"/>
    <w:rsid w:val="00362894"/>
    <w:rsid w:val="003631D4"/>
    <w:rsid w:val="0037196B"/>
    <w:rsid w:val="003765A2"/>
    <w:rsid w:val="00394D86"/>
    <w:rsid w:val="003960A6"/>
    <w:rsid w:val="003A164E"/>
    <w:rsid w:val="003A2B32"/>
    <w:rsid w:val="003A30AE"/>
    <w:rsid w:val="003B5F7B"/>
    <w:rsid w:val="003C227F"/>
    <w:rsid w:val="003C3EE6"/>
    <w:rsid w:val="003C46E2"/>
    <w:rsid w:val="003C64FC"/>
    <w:rsid w:val="003D33EB"/>
    <w:rsid w:val="003D532E"/>
    <w:rsid w:val="003D6537"/>
    <w:rsid w:val="003E2FFD"/>
    <w:rsid w:val="003F53C7"/>
    <w:rsid w:val="0040123D"/>
    <w:rsid w:val="00402E79"/>
    <w:rsid w:val="004049FA"/>
    <w:rsid w:val="00410F06"/>
    <w:rsid w:val="004136A0"/>
    <w:rsid w:val="004173ED"/>
    <w:rsid w:val="0042230C"/>
    <w:rsid w:val="00423344"/>
    <w:rsid w:val="00423A2F"/>
    <w:rsid w:val="00423DCF"/>
    <w:rsid w:val="004279B7"/>
    <w:rsid w:val="00433266"/>
    <w:rsid w:val="0043343C"/>
    <w:rsid w:val="004345F2"/>
    <w:rsid w:val="00436E3D"/>
    <w:rsid w:val="00437A48"/>
    <w:rsid w:val="004449B8"/>
    <w:rsid w:val="004466E4"/>
    <w:rsid w:val="00457796"/>
    <w:rsid w:val="004718BF"/>
    <w:rsid w:val="00476318"/>
    <w:rsid w:val="004829BA"/>
    <w:rsid w:val="00483830"/>
    <w:rsid w:val="00490A1F"/>
    <w:rsid w:val="00491052"/>
    <w:rsid w:val="0049174D"/>
    <w:rsid w:val="00492E1F"/>
    <w:rsid w:val="00494555"/>
    <w:rsid w:val="00496AAC"/>
    <w:rsid w:val="004972B1"/>
    <w:rsid w:val="0049762D"/>
    <w:rsid w:val="004A5848"/>
    <w:rsid w:val="004B5D69"/>
    <w:rsid w:val="004C35F3"/>
    <w:rsid w:val="004C571C"/>
    <w:rsid w:val="004D2241"/>
    <w:rsid w:val="004D48F5"/>
    <w:rsid w:val="004D7D32"/>
    <w:rsid w:val="004E3317"/>
    <w:rsid w:val="004E3412"/>
    <w:rsid w:val="004F08E1"/>
    <w:rsid w:val="004F1692"/>
    <w:rsid w:val="0050247F"/>
    <w:rsid w:val="00513459"/>
    <w:rsid w:val="005154B8"/>
    <w:rsid w:val="005175EA"/>
    <w:rsid w:val="00521C9B"/>
    <w:rsid w:val="0052245F"/>
    <w:rsid w:val="00522535"/>
    <w:rsid w:val="0052438C"/>
    <w:rsid w:val="0052530E"/>
    <w:rsid w:val="0052630E"/>
    <w:rsid w:val="005263C1"/>
    <w:rsid w:val="00526615"/>
    <w:rsid w:val="00526B1D"/>
    <w:rsid w:val="00530AA9"/>
    <w:rsid w:val="0053577E"/>
    <w:rsid w:val="005430CC"/>
    <w:rsid w:val="00543C1B"/>
    <w:rsid w:val="005447F9"/>
    <w:rsid w:val="00545525"/>
    <w:rsid w:val="00551654"/>
    <w:rsid w:val="00551ADC"/>
    <w:rsid w:val="00553339"/>
    <w:rsid w:val="005549F7"/>
    <w:rsid w:val="00560D22"/>
    <w:rsid w:val="00561A77"/>
    <w:rsid w:val="00562836"/>
    <w:rsid w:val="00567411"/>
    <w:rsid w:val="005718D8"/>
    <w:rsid w:val="00582153"/>
    <w:rsid w:val="005856CE"/>
    <w:rsid w:val="00586D52"/>
    <w:rsid w:val="005913F0"/>
    <w:rsid w:val="00592696"/>
    <w:rsid w:val="0059393F"/>
    <w:rsid w:val="005A00E5"/>
    <w:rsid w:val="005A5D34"/>
    <w:rsid w:val="005B0158"/>
    <w:rsid w:val="005B1C3B"/>
    <w:rsid w:val="005B25A8"/>
    <w:rsid w:val="005C05C5"/>
    <w:rsid w:val="005C1267"/>
    <w:rsid w:val="005C1D5D"/>
    <w:rsid w:val="005C2F0F"/>
    <w:rsid w:val="005C4041"/>
    <w:rsid w:val="005E10BA"/>
    <w:rsid w:val="005E4D9F"/>
    <w:rsid w:val="005E53C9"/>
    <w:rsid w:val="005E5A41"/>
    <w:rsid w:val="005E5BA9"/>
    <w:rsid w:val="005F270A"/>
    <w:rsid w:val="005F3C8D"/>
    <w:rsid w:val="005F6732"/>
    <w:rsid w:val="00604B3B"/>
    <w:rsid w:val="0061201B"/>
    <w:rsid w:val="00612E01"/>
    <w:rsid w:val="00613CEF"/>
    <w:rsid w:val="00614E3A"/>
    <w:rsid w:val="00616B3E"/>
    <w:rsid w:val="006172A8"/>
    <w:rsid w:val="00625DB5"/>
    <w:rsid w:val="00634FB9"/>
    <w:rsid w:val="00635596"/>
    <w:rsid w:val="00637D30"/>
    <w:rsid w:val="00647192"/>
    <w:rsid w:val="00647216"/>
    <w:rsid w:val="006539D6"/>
    <w:rsid w:val="006604B8"/>
    <w:rsid w:val="006605B2"/>
    <w:rsid w:val="00660C5F"/>
    <w:rsid w:val="0066634E"/>
    <w:rsid w:val="00671394"/>
    <w:rsid w:val="00671BEB"/>
    <w:rsid w:val="00680DF5"/>
    <w:rsid w:val="00681A6B"/>
    <w:rsid w:val="00683309"/>
    <w:rsid w:val="00684228"/>
    <w:rsid w:val="00691240"/>
    <w:rsid w:val="00691BDA"/>
    <w:rsid w:val="00697621"/>
    <w:rsid w:val="006A2F15"/>
    <w:rsid w:val="006B06E5"/>
    <w:rsid w:val="006B2BC3"/>
    <w:rsid w:val="006C3A97"/>
    <w:rsid w:val="006C68A2"/>
    <w:rsid w:val="006D1C29"/>
    <w:rsid w:val="006D29B2"/>
    <w:rsid w:val="006D2A51"/>
    <w:rsid w:val="006D3F61"/>
    <w:rsid w:val="006D66E5"/>
    <w:rsid w:val="006F545D"/>
    <w:rsid w:val="006F6F4A"/>
    <w:rsid w:val="0070333F"/>
    <w:rsid w:val="00704DB6"/>
    <w:rsid w:val="007061C1"/>
    <w:rsid w:val="00714A3D"/>
    <w:rsid w:val="00716D66"/>
    <w:rsid w:val="00722856"/>
    <w:rsid w:val="00723F71"/>
    <w:rsid w:val="007301CF"/>
    <w:rsid w:val="00731841"/>
    <w:rsid w:val="00733BB2"/>
    <w:rsid w:val="0073514C"/>
    <w:rsid w:val="00736C20"/>
    <w:rsid w:val="007373EE"/>
    <w:rsid w:val="00743825"/>
    <w:rsid w:val="00743D67"/>
    <w:rsid w:val="007461A4"/>
    <w:rsid w:val="0074784E"/>
    <w:rsid w:val="00747BFB"/>
    <w:rsid w:val="00750061"/>
    <w:rsid w:val="007559FF"/>
    <w:rsid w:val="007570D1"/>
    <w:rsid w:val="00757131"/>
    <w:rsid w:val="00761377"/>
    <w:rsid w:val="00762816"/>
    <w:rsid w:val="00763E37"/>
    <w:rsid w:val="00766C58"/>
    <w:rsid w:val="007710F6"/>
    <w:rsid w:val="00771974"/>
    <w:rsid w:val="00772BD7"/>
    <w:rsid w:val="007736C6"/>
    <w:rsid w:val="007756F3"/>
    <w:rsid w:val="00787860"/>
    <w:rsid w:val="00796065"/>
    <w:rsid w:val="007A3804"/>
    <w:rsid w:val="007B273D"/>
    <w:rsid w:val="007C200A"/>
    <w:rsid w:val="007D13A4"/>
    <w:rsid w:val="007D1F93"/>
    <w:rsid w:val="007D38F6"/>
    <w:rsid w:val="007D4221"/>
    <w:rsid w:val="007D4FDA"/>
    <w:rsid w:val="007E06C1"/>
    <w:rsid w:val="007F0718"/>
    <w:rsid w:val="007F08D6"/>
    <w:rsid w:val="007F265F"/>
    <w:rsid w:val="007F29CE"/>
    <w:rsid w:val="00805A17"/>
    <w:rsid w:val="008063CF"/>
    <w:rsid w:val="00807505"/>
    <w:rsid w:val="00812E0E"/>
    <w:rsid w:val="00813408"/>
    <w:rsid w:val="008134AF"/>
    <w:rsid w:val="008214F7"/>
    <w:rsid w:val="00824AC5"/>
    <w:rsid w:val="008333AB"/>
    <w:rsid w:val="00845C3C"/>
    <w:rsid w:val="00845F45"/>
    <w:rsid w:val="0084602D"/>
    <w:rsid w:val="00850E0B"/>
    <w:rsid w:val="00862560"/>
    <w:rsid w:val="00865EF6"/>
    <w:rsid w:val="008712A3"/>
    <w:rsid w:val="008740A6"/>
    <w:rsid w:val="0087411F"/>
    <w:rsid w:val="00876B1C"/>
    <w:rsid w:val="0087730C"/>
    <w:rsid w:val="0088055F"/>
    <w:rsid w:val="0088562E"/>
    <w:rsid w:val="0089731A"/>
    <w:rsid w:val="008A15DF"/>
    <w:rsid w:val="008A22E0"/>
    <w:rsid w:val="008A4AAC"/>
    <w:rsid w:val="008A6AEF"/>
    <w:rsid w:val="008B0C6D"/>
    <w:rsid w:val="008B5A58"/>
    <w:rsid w:val="008C2239"/>
    <w:rsid w:val="008C308D"/>
    <w:rsid w:val="008C3E2E"/>
    <w:rsid w:val="008C6D18"/>
    <w:rsid w:val="008C6F75"/>
    <w:rsid w:val="008C70EF"/>
    <w:rsid w:val="008D075F"/>
    <w:rsid w:val="008D1CFF"/>
    <w:rsid w:val="008D480A"/>
    <w:rsid w:val="008D5B1F"/>
    <w:rsid w:val="008F1893"/>
    <w:rsid w:val="0090009F"/>
    <w:rsid w:val="00901172"/>
    <w:rsid w:val="009141DF"/>
    <w:rsid w:val="009207E4"/>
    <w:rsid w:val="00924DDB"/>
    <w:rsid w:val="00931C16"/>
    <w:rsid w:val="0093404F"/>
    <w:rsid w:val="009409F6"/>
    <w:rsid w:val="00942491"/>
    <w:rsid w:val="00942E16"/>
    <w:rsid w:val="009434F7"/>
    <w:rsid w:val="009438D9"/>
    <w:rsid w:val="0094394D"/>
    <w:rsid w:val="00945C18"/>
    <w:rsid w:val="00945F39"/>
    <w:rsid w:val="009530F9"/>
    <w:rsid w:val="00956710"/>
    <w:rsid w:val="00973B72"/>
    <w:rsid w:val="009761DC"/>
    <w:rsid w:val="00981606"/>
    <w:rsid w:val="0099412D"/>
    <w:rsid w:val="00994A86"/>
    <w:rsid w:val="00996D2E"/>
    <w:rsid w:val="009A7279"/>
    <w:rsid w:val="009C7E4A"/>
    <w:rsid w:val="009D7C01"/>
    <w:rsid w:val="009F4E7D"/>
    <w:rsid w:val="00A04361"/>
    <w:rsid w:val="00A044A8"/>
    <w:rsid w:val="00A058AB"/>
    <w:rsid w:val="00A11D6B"/>
    <w:rsid w:val="00A12125"/>
    <w:rsid w:val="00A17C62"/>
    <w:rsid w:val="00A2653F"/>
    <w:rsid w:val="00A33178"/>
    <w:rsid w:val="00A33281"/>
    <w:rsid w:val="00A347FF"/>
    <w:rsid w:val="00A36AB2"/>
    <w:rsid w:val="00A40AB1"/>
    <w:rsid w:val="00A45208"/>
    <w:rsid w:val="00A46F3C"/>
    <w:rsid w:val="00A47566"/>
    <w:rsid w:val="00A5128C"/>
    <w:rsid w:val="00A53ED0"/>
    <w:rsid w:val="00A654DD"/>
    <w:rsid w:val="00A70373"/>
    <w:rsid w:val="00A7070F"/>
    <w:rsid w:val="00A74EB5"/>
    <w:rsid w:val="00A74F2C"/>
    <w:rsid w:val="00A75069"/>
    <w:rsid w:val="00A76753"/>
    <w:rsid w:val="00A800DA"/>
    <w:rsid w:val="00A81174"/>
    <w:rsid w:val="00A90FEA"/>
    <w:rsid w:val="00A915B3"/>
    <w:rsid w:val="00A95566"/>
    <w:rsid w:val="00A97430"/>
    <w:rsid w:val="00AA7EB8"/>
    <w:rsid w:val="00AB2031"/>
    <w:rsid w:val="00AB6D8C"/>
    <w:rsid w:val="00AC5887"/>
    <w:rsid w:val="00AC7777"/>
    <w:rsid w:val="00AD1AA5"/>
    <w:rsid w:val="00AD4EDB"/>
    <w:rsid w:val="00AD4F7A"/>
    <w:rsid w:val="00AD5B45"/>
    <w:rsid w:val="00AE18A3"/>
    <w:rsid w:val="00AE5A89"/>
    <w:rsid w:val="00B03CF7"/>
    <w:rsid w:val="00B0737E"/>
    <w:rsid w:val="00B1059A"/>
    <w:rsid w:val="00B15B38"/>
    <w:rsid w:val="00B20C8D"/>
    <w:rsid w:val="00B21D6F"/>
    <w:rsid w:val="00B278AB"/>
    <w:rsid w:val="00B310D0"/>
    <w:rsid w:val="00B33BE3"/>
    <w:rsid w:val="00B340F0"/>
    <w:rsid w:val="00B40679"/>
    <w:rsid w:val="00B42CFB"/>
    <w:rsid w:val="00B45504"/>
    <w:rsid w:val="00B56849"/>
    <w:rsid w:val="00B64E85"/>
    <w:rsid w:val="00B658F3"/>
    <w:rsid w:val="00B67BE4"/>
    <w:rsid w:val="00B70A48"/>
    <w:rsid w:val="00B73078"/>
    <w:rsid w:val="00B853C0"/>
    <w:rsid w:val="00B92615"/>
    <w:rsid w:val="00B94FAF"/>
    <w:rsid w:val="00B96226"/>
    <w:rsid w:val="00BA3FC9"/>
    <w:rsid w:val="00BA708B"/>
    <w:rsid w:val="00BB1984"/>
    <w:rsid w:val="00BB4992"/>
    <w:rsid w:val="00BD3F67"/>
    <w:rsid w:val="00BD4706"/>
    <w:rsid w:val="00BD4E1B"/>
    <w:rsid w:val="00BE0257"/>
    <w:rsid w:val="00BE19AC"/>
    <w:rsid w:val="00BF00D8"/>
    <w:rsid w:val="00BF1524"/>
    <w:rsid w:val="00BF2E28"/>
    <w:rsid w:val="00BF4DA0"/>
    <w:rsid w:val="00BF67D7"/>
    <w:rsid w:val="00C005AF"/>
    <w:rsid w:val="00C112CC"/>
    <w:rsid w:val="00C12842"/>
    <w:rsid w:val="00C16A66"/>
    <w:rsid w:val="00C175E7"/>
    <w:rsid w:val="00C20E61"/>
    <w:rsid w:val="00C23002"/>
    <w:rsid w:val="00C23FAA"/>
    <w:rsid w:val="00C3084B"/>
    <w:rsid w:val="00C32179"/>
    <w:rsid w:val="00C365AA"/>
    <w:rsid w:val="00C365B7"/>
    <w:rsid w:val="00C40ACA"/>
    <w:rsid w:val="00C47772"/>
    <w:rsid w:val="00C50959"/>
    <w:rsid w:val="00C52244"/>
    <w:rsid w:val="00C534FC"/>
    <w:rsid w:val="00C61B6C"/>
    <w:rsid w:val="00C65F6C"/>
    <w:rsid w:val="00C729BC"/>
    <w:rsid w:val="00C72DE7"/>
    <w:rsid w:val="00C738E2"/>
    <w:rsid w:val="00C76A65"/>
    <w:rsid w:val="00C776CD"/>
    <w:rsid w:val="00C82C3C"/>
    <w:rsid w:val="00C84452"/>
    <w:rsid w:val="00C93603"/>
    <w:rsid w:val="00C9443E"/>
    <w:rsid w:val="00CA001C"/>
    <w:rsid w:val="00CA228C"/>
    <w:rsid w:val="00CA2707"/>
    <w:rsid w:val="00CA3223"/>
    <w:rsid w:val="00CA34B4"/>
    <w:rsid w:val="00CA37BC"/>
    <w:rsid w:val="00CA5F95"/>
    <w:rsid w:val="00CB3300"/>
    <w:rsid w:val="00CB454A"/>
    <w:rsid w:val="00CB481B"/>
    <w:rsid w:val="00CC4C52"/>
    <w:rsid w:val="00CD0B46"/>
    <w:rsid w:val="00CE012D"/>
    <w:rsid w:val="00CE0132"/>
    <w:rsid w:val="00CE79DC"/>
    <w:rsid w:val="00CE7B2C"/>
    <w:rsid w:val="00CF0698"/>
    <w:rsid w:val="00CF08AD"/>
    <w:rsid w:val="00CF4EF4"/>
    <w:rsid w:val="00CF6FBD"/>
    <w:rsid w:val="00D05F26"/>
    <w:rsid w:val="00D219B1"/>
    <w:rsid w:val="00D21C8D"/>
    <w:rsid w:val="00D2693E"/>
    <w:rsid w:val="00D26E15"/>
    <w:rsid w:val="00D30EAE"/>
    <w:rsid w:val="00D3615A"/>
    <w:rsid w:val="00D42742"/>
    <w:rsid w:val="00D44D9B"/>
    <w:rsid w:val="00D459B7"/>
    <w:rsid w:val="00D51698"/>
    <w:rsid w:val="00D54ADF"/>
    <w:rsid w:val="00D56FB3"/>
    <w:rsid w:val="00D57AF9"/>
    <w:rsid w:val="00D711FC"/>
    <w:rsid w:val="00D7259C"/>
    <w:rsid w:val="00D73609"/>
    <w:rsid w:val="00D758C9"/>
    <w:rsid w:val="00D83146"/>
    <w:rsid w:val="00D838FF"/>
    <w:rsid w:val="00D85A4A"/>
    <w:rsid w:val="00D908E2"/>
    <w:rsid w:val="00D976A2"/>
    <w:rsid w:val="00DA4302"/>
    <w:rsid w:val="00DB0A68"/>
    <w:rsid w:val="00DB23AA"/>
    <w:rsid w:val="00DC0D6D"/>
    <w:rsid w:val="00DC3799"/>
    <w:rsid w:val="00DD0983"/>
    <w:rsid w:val="00DD1D86"/>
    <w:rsid w:val="00DD4FBA"/>
    <w:rsid w:val="00DE0C70"/>
    <w:rsid w:val="00DE4146"/>
    <w:rsid w:val="00DE6763"/>
    <w:rsid w:val="00DF25DE"/>
    <w:rsid w:val="00DF26E9"/>
    <w:rsid w:val="00DF6083"/>
    <w:rsid w:val="00DF62AF"/>
    <w:rsid w:val="00DF7896"/>
    <w:rsid w:val="00E03BC0"/>
    <w:rsid w:val="00E04524"/>
    <w:rsid w:val="00E06AA0"/>
    <w:rsid w:val="00E10501"/>
    <w:rsid w:val="00E2007C"/>
    <w:rsid w:val="00E2091D"/>
    <w:rsid w:val="00E20BAC"/>
    <w:rsid w:val="00E317AE"/>
    <w:rsid w:val="00E3335C"/>
    <w:rsid w:val="00E33445"/>
    <w:rsid w:val="00E35D3B"/>
    <w:rsid w:val="00E35EC1"/>
    <w:rsid w:val="00E3647A"/>
    <w:rsid w:val="00E37852"/>
    <w:rsid w:val="00E37DCF"/>
    <w:rsid w:val="00E4203F"/>
    <w:rsid w:val="00E42213"/>
    <w:rsid w:val="00E425F8"/>
    <w:rsid w:val="00E43858"/>
    <w:rsid w:val="00E5094A"/>
    <w:rsid w:val="00E50CEC"/>
    <w:rsid w:val="00E53251"/>
    <w:rsid w:val="00E57E8F"/>
    <w:rsid w:val="00E60042"/>
    <w:rsid w:val="00E62A9E"/>
    <w:rsid w:val="00E7387E"/>
    <w:rsid w:val="00E748C6"/>
    <w:rsid w:val="00E80A61"/>
    <w:rsid w:val="00E82488"/>
    <w:rsid w:val="00E83D0E"/>
    <w:rsid w:val="00E84B8A"/>
    <w:rsid w:val="00E8606B"/>
    <w:rsid w:val="00E926BC"/>
    <w:rsid w:val="00E9764E"/>
    <w:rsid w:val="00EB0BC5"/>
    <w:rsid w:val="00EC4578"/>
    <w:rsid w:val="00ED1BF6"/>
    <w:rsid w:val="00ED297E"/>
    <w:rsid w:val="00ED2D47"/>
    <w:rsid w:val="00ED3C01"/>
    <w:rsid w:val="00ED5D78"/>
    <w:rsid w:val="00EE3926"/>
    <w:rsid w:val="00EF0017"/>
    <w:rsid w:val="00EF048E"/>
    <w:rsid w:val="00EF33C0"/>
    <w:rsid w:val="00EF3D99"/>
    <w:rsid w:val="00EF4C18"/>
    <w:rsid w:val="00EF4C52"/>
    <w:rsid w:val="00EF53AE"/>
    <w:rsid w:val="00EF5AB0"/>
    <w:rsid w:val="00EF5DF2"/>
    <w:rsid w:val="00EF5E3B"/>
    <w:rsid w:val="00EF6F57"/>
    <w:rsid w:val="00EF7CF5"/>
    <w:rsid w:val="00F037C6"/>
    <w:rsid w:val="00F143FB"/>
    <w:rsid w:val="00F20093"/>
    <w:rsid w:val="00F203B6"/>
    <w:rsid w:val="00F204B5"/>
    <w:rsid w:val="00F20CFF"/>
    <w:rsid w:val="00F375C7"/>
    <w:rsid w:val="00F50A8E"/>
    <w:rsid w:val="00F60771"/>
    <w:rsid w:val="00F62BB8"/>
    <w:rsid w:val="00F65F81"/>
    <w:rsid w:val="00F66FD0"/>
    <w:rsid w:val="00F67465"/>
    <w:rsid w:val="00F67DA1"/>
    <w:rsid w:val="00F71B33"/>
    <w:rsid w:val="00F81001"/>
    <w:rsid w:val="00F862F8"/>
    <w:rsid w:val="00F95B8A"/>
    <w:rsid w:val="00F974A4"/>
    <w:rsid w:val="00FA300B"/>
    <w:rsid w:val="00FA71A7"/>
    <w:rsid w:val="00FA7242"/>
    <w:rsid w:val="00FB1F91"/>
    <w:rsid w:val="00FB4E2F"/>
    <w:rsid w:val="00FB5B17"/>
    <w:rsid w:val="00FB75CE"/>
    <w:rsid w:val="00FC071E"/>
    <w:rsid w:val="00FD2A56"/>
    <w:rsid w:val="00FD3223"/>
    <w:rsid w:val="00FD5962"/>
    <w:rsid w:val="00FE684C"/>
    <w:rsid w:val="00FE719E"/>
    <w:rsid w:val="00FF323F"/>
    <w:rsid w:val="00FF543C"/>
    <w:rsid w:val="0159301C"/>
    <w:rsid w:val="07902EE6"/>
    <w:rsid w:val="07CF36F3"/>
    <w:rsid w:val="092E6F1B"/>
    <w:rsid w:val="0D38267F"/>
    <w:rsid w:val="1C772FE3"/>
    <w:rsid w:val="1D130524"/>
    <w:rsid w:val="278845A8"/>
    <w:rsid w:val="2D6230D5"/>
    <w:rsid w:val="388D4D76"/>
    <w:rsid w:val="43F22F06"/>
    <w:rsid w:val="44072B8E"/>
    <w:rsid w:val="44801105"/>
    <w:rsid w:val="4F7418C5"/>
    <w:rsid w:val="5B740446"/>
    <w:rsid w:val="5DFE6042"/>
    <w:rsid w:val="61B362BB"/>
    <w:rsid w:val="62B95FD9"/>
    <w:rsid w:val="6BEE37AA"/>
    <w:rsid w:val="76281479"/>
    <w:rsid w:val="7E2941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9"/>
    <w:pPr>
      <w:keepNext/>
      <w:jc w:val="center"/>
      <w:outlineLvl w:val="0"/>
    </w:pPr>
    <w:rPr>
      <w:rFonts w:ascii="楷体_GB2312" w:hAnsi="Times New Roman" w:eastAsia="楷体_GB2312" w:cs="Times New Roman"/>
      <w:b/>
      <w:kern w:val="0"/>
      <w:sz w:val="28"/>
      <w:szCs w:val="20"/>
    </w:rPr>
  </w:style>
  <w:style w:type="paragraph" w:styleId="3">
    <w:name w:val="heading 2"/>
    <w:basedOn w:val="1"/>
    <w:next w:val="1"/>
    <w:link w:val="32"/>
    <w:qFormat/>
    <w:uiPriority w:val="99"/>
    <w:pPr>
      <w:keepNext/>
      <w:jc w:val="center"/>
      <w:outlineLvl w:val="1"/>
    </w:pPr>
    <w:rPr>
      <w:rFonts w:ascii="楷体_GB2312" w:hAnsi="Times New Roman" w:eastAsia="楷体_GB2312" w:cs="Times New Roman"/>
      <w:b/>
      <w:bCs/>
      <w:kern w:val="0"/>
      <w:sz w:val="18"/>
      <w:szCs w:val="20"/>
    </w:rPr>
  </w:style>
  <w:style w:type="paragraph" w:styleId="4">
    <w:name w:val="heading 3"/>
    <w:basedOn w:val="1"/>
    <w:next w:val="1"/>
    <w:link w:val="33"/>
    <w:qFormat/>
    <w:uiPriority w:val="99"/>
    <w:pPr>
      <w:keepNext/>
      <w:jc w:val="center"/>
      <w:outlineLvl w:val="2"/>
    </w:pPr>
    <w:rPr>
      <w:rFonts w:ascii="Times New Roman" w:hAnsi="Times New Roman" w:eastAsia="楷体_GB2312" w:cs="Times New Roman"/>
      <w:b/>
      <w:bCs/>
      <w:kern w:val="0"/>
      <w:sz w:val="15"/>
      <w:szCs w:val="20"/>
    </w:rPr>
  </w:style>
  <w:style w:type="paragraph" w:styleId="5">
    <w:name w:val="heading 4"/>
    <w:basedOn w:val="1"/>
    <w:next w:val="1"/>
    <w:link w:val="34"/>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35"/>
    <w:qFormat/>
    <w:uiPriority w:val="99"/>
    <w:pPr>
      <w:keepNext/>
      <w:numPr>
        <w:ilvl w:val="0"/>
        <w:numId w:val="1"/>
      </w:numPr>
      <w:outlineLvl w:val="4"/>
    </w:pPr>
    <w:rPr>
      <w:rFonts w:ascii="楷体_GB2312" w:hAnsi="Times New Roman" w:eastAsia="楷体_GB2312" w:cs="Times New Roman"/>
      <w:bCs/>
      <w:kern w:val="0"/>
      <w:sz w:val="28"/>
      <w:szCs w:val="20"/>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8">
    <w:name w:val="Document Map"/>
    <w:basedOn w:val="1"/>
    <w:link w:val="36"/>
    <w:semiHidden/>
    <w:qFormat/>
    <w:uiPriority w:val="99"/>
    <w:pPr>
      <w:shd w:val="clear" w:color="auto" w:fill="000080"/>
    </w:pPr>
    <w:rPr>
      <w:rFonts w:ascii="Times New Roman" w:hAnsi="Times New Roman" w:eastAsia="宋体" w:cs="Times New Roman"/>
      <w:kern w:val="0"/>
      <w:sz w:val="20"/>
      <w:szCs w:val="20"/>
    </w:rPr>
  </w:style>
  <w:style w:type="paragraph" w:styleId="9">
    <w:name w:val="annotation text"/>
    <w:basedOn w:val="1"/>
    <w:link w:val="37"/>
    <w:unhideWhenUsed/>
    <w:qFormat/>
    <w:uiPriority w:val="99"/>
    <w:pPr>
      <w:jc w:val="left"/>
    </w:pPr>
  </w:style>
  <w:style w:type="paragraph" w:styleId="10">
    <w:name w:val="Body Text"/>
    <w:basedOn w:val="1"/>
    <w:next w:val="1"/>
    <w:link w:val="38"/>
    <w:qFormat/>
    <w:uiPriority w:val="99"/>
    <w:rPr>
      <w:rFonts w:ascii="华文中宋" w:hAnsi="Times New Roman" w:eastAsia="华文中宋" w:cs="Times New Roman"/>
      <w:bCs/>
      <w:kern w:val="0"/>
      <w:sz w:val="28"/>
      <w:szCs w:val="20"/>
    </w:rPr>
  </w:style>
  <w:style w:type="paragraph" w:styleId="11">
    <w:name w:val="Body Text Indent"/>
    <w:basedOn w:val="1"/>
    <w:link w:val="39"/>
    <w:qFormat/>
    <w:uiPriority w:val="99"/>
    <w:pPr>
      <w:ind w:firstLine="576"/>
    </w:pPr>
    <w:rPr>
      <w:rFonts w:ascii="Times New Roman" w:hAnsi="Times New Roman" w:eastAsia="宋体" w:cs="Times New Roman"/>
      <w:b/>
      <w:kern w:val="0"/>
      <w:sz w:val="30"/>
      <w:szCs w:val="20"/>
    </w:rPr>
  </w:style>
  <w:style w:type="paragraph" w:styleId="12">
    <w:name w:val="Date"/>
    <w:basedOn w:val="1"/>
    <w:next w:val="1"/>
    <w:link w:val="40"/>
    <w:qFormat/>
    <w:uiPriority w:val="99"/>
    <w:rPr>
      <w:rFonts w:ascii="Times New Roman" w:hAnsi="Times New Roman" w:eastAsia="黑体" w:cs="Times New Roman"/>
      <w:b/>
      <w:kern w:val="0"/>
      <w:sz w:val="36"/>
      <w:szCs w:val="20"/>
    </w:rPr>
  </w:style>
  <w:style w:type="paragraph" w:styleId="13">
    <w:name w:val="Body Text Indent 2"/>
    <w:basedOn w:val="1"/>
    <w:link w:val="41"/>
    <w:qFormat/>
    <w:uiPriority w:val="99"/>
    <w:pPr>
      <w:ind w:left="900"/>
    </w:pPr>
    <w:rPr>
      <w:rFonts w:ascii="楷体_GB2312" w:hAnsi="Times New Roman" w:eastAsia="楷体_GB2312" w:cs="Times New Roman"/>
      <w:b/>
      <w:kern w:val="0"/>
      <w:sz w:val="28"/>
      <w:szCs w:val="20"/>
    </w:rPr>
  </w:style>
  <w:style w:type="paragraph" w:styleId="14">
    <w:name w:val="Balloon Text"/>
    <w:basedOn w:val="1"/>
    <w:link w:val="42"/>
    <w:unhideWhenUsed/>
    <w:qFormat/>
    <w:uiPriority w:val="99"/>
    <w:rPr>
      <w:rFonts w:ascii="Times New Roman" w:hAnsi="Times New Roman" w:eastAsia="宋体" w:cs="Times New Roman"/>
      <w:sz w:val="18"/>
      <w:szCs w:val="18"/>
    </w:rPr>
  </w:style>
  <w:style w:type="paragraph" w:styleId="15">
    <w:name w:val="footer"/>
    <w:basedOn w:val="1"/>
    <w:link w:val="43"/>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16">
    <w:name w:val="envelope return"/>
    <w:basedOn w:val="1"/>
    <w:unhideWhenUsed/>
    <w:qFormat/>
    <w:uiPriority w:val="99"/>
    <w:pPr>
      <w:snapToGrid w:val="0"/>
    </w:pPr>
    <w:rPr>
      <w:rFonts w:hint="eastAsia" w:ascii="Arial" w:hAnsi="Arial"/>
      <w:sz w:val="24"/>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18">
    <w:name w:val="Body Text Indent 3"/>
    <w:basedOn w:val="1"/>
    <w:link w:val="45"/>
    <w:qFormat/>
    <w:uiPriority w:val="99"/>
    <w:pPr>
      <w:ind w:left="359" w:leftChars="171" w:firstLine="359" w:firstLineChars="171"/>
    </w:pPr>
    <w:rPr>
      <w:rFonts w:ascii="Times New Roman" w:hAnsi="Times New Roman" w:eastAsia="宋体" w:cs="Times New Roman"/>
      <w:kern w:val="0"/>
      <w:sz w:val="20"/>
      <w:szCs w:val="20"/>
    </w:rPr>
  </w:style>
  <w:style w:type="paragraph" w:styleId="19">
    <w:name w:val="Body Text 2"/>
    <w:basedOn w:val="1"/>
    <w:link w:val="46"/>
    <w:qFormat/>
    <w:uiPriority w:val="99"/>
    <w:pPr>
      <w:spacing w:after="120" w:line="480" w:lineRule="auto"/>
    </w:pPr>
    <w:rPr>
      <w:rFonts w:ascii="Times New Roman" w:hAnsi="Times New Roman" w:eastAsia="宋体" w:cs="Times New Roman"/>
      <w:kern w:val="0"/>
      <w:sz w:val="20"/>
      <w:szCs w:val="20"/>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9"/>
    <w:next w:val="9"/>
    <w:link w:val="47"/>
    <w:unhideWhenUsed/>
    <w:qFormat/>
    <w:uiPriority w:val="99"/>
    <w:rPr>
      <w:b/>
      <w:bCs/>
    </w:rPr>
  </w:style>
  <w:style w:type="paragraph" w:styleId="22">
    <w:name w:val="Body Text First Indent 2"/>
    <w:basedOn w:val="11"/>
    <w:unhideWhenUsed/>
    <w:qFormat/>
    <w:uiPriority w:val="99"/>
    <w:pPr>
      <w:spacing w:after="0"/>
      <w:ind w:left="0" w:leftChars="0" w:firstLine="420" w:firstLineChars="200"/>
    </w:pPr>
    <w:rPr>
      <w:rFonts w:ascii="Times New Roman" w:hAnsi="Times New Roman"/>
      <w:kern w:val="0"/>
      <w:sz w:val="20"/>
      <w:szCs w:val="20"/>
    </w:rPr>
  </w:style>
  <w:style w:type="character" w:styleId="25">
    <w:name w:val="Strong"/>
    <w:qFormat/>
    <w:uiPriority w:val="99"/>
    <w:rPr>
      <w:rFonts w:cs="Times New Roman"/>
      <w:b/>
      <w:bCs/>
    </w:rPr>
  </w:style>
  <w:style w:type="character" w:styleId="26">
    <w:name w:val="page number"/>
    <w:qFormat/>
    <w:uiPriority w:val="99"/>
    <w:rPr>
      <w:rFonts w:cs="Times New Roman"/>
    </w:rPr>
  </w:style>
  <w:style w:type="character" w:styleId="27">
    <w:name w:val="FollowedHyperlink"/>
    <w:unhideWhenUsed/>
    <w:qFormat/>
    <w:uiPriority w:val="99"/>
    <w:rPr>
      <w:color w:val="800080"/>
      <w:u w:val="single"/>
    </w:rPr>
  </w:style>
  <w:style w:type="character" w:styleId="28">
    <w:name w:val="HTML Typewriter"/>
    <w:qFormat/>
    <w:uiPriority w:val="99"/>
    <w:rPr>
      <w:rFonts w:ascii="宋体" w:hAnsi="宋体" w:eastAsia="宋体" w:cs="宋体"/>
      <w:sz w:val="24"/>
      <w:szCs w:val="24"/>
    </w:rPr>
  </w:style>
  <w:style w:type="character" w:styleId="29">
    <w:name w:val="Hyperlink"/>
    <w:qFormat/>
    <w:uiPriority w:val="99"/>
    <w:rPr>
      <w:rFonts w:cs="Times New Roman"/>
      <w:color w:val="auto"/>
      <w:u w:val="none"/>
    </w:rPr>
  </w:style>
  <w:style w:type="character" w:styleId="30">
    <w:name w:val="annotation reference"/>
    <w:basedOn w:val="24"/>
    <w:unhideWhenUsed/>
    <w:qFormat/>
    <w:uiPriority w:val="99"/>
    <w:rPr>
      <w:sz w:val="21"/>
      <w:szCs w:val="21"/>
    </w:rPr>
  </w:style>
  <w:style w:type="character" w:customStyle="1" w:styleId="31">
    <w:name w:val="标题 1 Char"/>
    <w:basedOn w:val="24"/>
    <w:link w:val="2"/>
    <w:qFormat/>
    <w:uiPriority w:val="99"/>
    <w:rPr>
      <w:rFonts w:ascii="楷体_GB2312" w:hAnsi="Times New Roman" w:eastAsia="楷体_GB2312" w:cs="Times New Roman"/>
      <w:b/>
      <w:kern w:val="0"/>
      <w:sz w:val="28"/>
      <w:szCs w:val="20"/>
    </w:rPr>
  </w:style>
  <w:style w:type="character" w:customStyle="1" w:styleId="32">
    <w:name w:val="标题 2 Char"/>
    <w:basedOn w:val="24"/>
    <w:link w:val="3"/>
    <w:qFormat/>
    <w:uiPriority w:val="99"/>
    <w:rPr>
      <w:rFonts w:ascii="楷体_GB2312" w:hAnsi="Times New Roman" w:eastAsia="楷体_GB2312" w:cs="Times New Roman"/>
      <w:b/>
      <w:bCs/>
      <w:kern w:val="0"/>
      <w:sz w:val="18"/>
      <w:szCs w:val="20"/>
    </w:rPr>
  </w:style>
  <w:style w:type="character" w:customStyle="1" w:styleId="33">
    <w:name w:val="标题 3 Char"/>
    <w:basedOn w:val="24"/>
    <w:link w:val="4"/>
    <w:qFormat/>
    <w:uiPriority w:val="99"/>
    <w:rPr>
      <w:rFonts w:ascii="Times New Roman" w:hAnsi="Times New Roman" w:eastAsia="楷体_GB2312" w:cs="Times New Roman"/>
      <w:b/>
      <w:bCs/>
      <w:kern w:val="0"/>
      <w:sz w:val="15"/>
      <w:szCs w:val="20"/>
    </w:rPr>
  </w:style>
  <w:style w:type="character" w:customStyle="1" w:styleId="34">
    <w:name w:val="标题 4 Char"/>
    <w:basedOn w:val="24"/>
    <w:link w:val="5"/>
    <w:qFormat/>
    <w:uiPriority w:val="99"/>
    <w:rPr>
      <w:rFonts w:ascii="Times New Roman" w:hAnsi="Times New Roman" w:eastAsia="楷体_GB2312" w:cs="Times New Roman"/>
      <w:b/>
      <w:bCs/>
      <w:kern w:val="0"/>
      <w:sz w:val="13"/>
      <w:szCs w:val="20"/>
    </w:rPr>
  </w:style>
  <w:style w:type="character" w:customStyle="1" w:styleId="35">
    <w:name w:val="标题 5 Char"/>
    <w:basedOn w:val="24"/>
    <w:link w:val="6"/>
    <w:qFormat/>
    <w:uiPriority w:val="99"/>
    <w:rPr>
      <w:rFonts w:ascii="楷体_GB2312" w:hAnsi="Times New Roman" w:eastAsia="楷体_GB2312" w:cs="Times New Roman"/>
      <w:bCs/>
      <w:kern w:val="0"/>
      <w:sz w:val="28"/>
      <w:szCs w:val="20"/>
    </w:rPr>
  </w:style>
  <w:style w:type="character" w:customStyle="1" w:styleId="36">
    <w:name w:val="文档结构图 Char"/>
    <w:basedOn w:val="24"/>
    <w:link w:val="8"/>
    <w:semiHidden/>
    <w:qFormat/>
    <w:uiPriority w:val="99"/>
    <w:rPr>
      <w:rFonts w:ascii="Times New Roman" w:hAnsi="Times New Roman" w:eastAsia="宋体" w:cs="Times New Roman"/>
      <w:kern w:val="0"/>
      <w:sz w:val="20"/>
      <w:szCs w:val="20"/>
      <w:shd w:val="clear" w:color="auto" w:fill="000080"/>
    </w:rPr>
  </w:style>
  <w:style w:type="character" w:customStyle="1" w:styleId="37">
    <w:name w:val="批注文字 Char"/>
    <w:basedOn w:val="24"/>
    <w:link w:val="9"/>
    <w:qFormat/>
    <w:uiPriority w:val="99"/>
  </w:style>
  <w:style w:type="character" w:customStyle="1" w:styleId="38">
    <w:name w:val="正文文本 Char"/>
    <w:basedOn w:val="24"/>
    <w:link w:val="10"/>
    <w:qFormat/>
    <w:uiPriority w:val="99"/>
    <w:rPr>
      <w:rFonts w:ascii="华文中宋" w:hAnsi="Times New Roman" w:eastAsia="华文中宋" w:cs="Times New Roman"/>
      <w:bCs/>
      <w:kern w:val="0"/>
      <w:sz w:val="28"/>
      <w:szCs w:val="20"/>
    </w:rPr>
  </w:style>
  <w:style w:type="character" w:customStyle="1" w:styleId="39">
    <w:name w:val="正文文本缩进 Char"/>
    <w:basedOn w:val="24"/>
    <w:link w:val="11"/>
    <w:qFormat/>
    <w:uiPriority w:val="99"/>
    <w:rPr>
      <w:rFonts w:ascii="Times New Roman" w:hAnsi="Times New Roman" w:eastAsia="宋体" w:cs="Times New Roman"/>
      <w:b/>
      <w:kern w:val="0"/>
      <w:sz w:val="30"/>
      <w:szCs w:val="20"/>
    </w:rPr>
  </w:style>
  <w:style w:type="character" w:customStyle="1" w:styleId="40">
    <w:name w:val="日期 Char"/>
    <w:basedOn w:val="24"/>
    <w:link w:val="12"/>
    <w:qFormat/>
    <w:uiPriority w:val="99"/>
    <w:rPr>
      <w:rFonts w:ascii="Times New Roman" w:hAnsi="Times New Roman" w:eastAsia="黑体" w:cs="Times New Roman"/>
      <w:b/>
      <w:kern w:val="0"/>
      <w:sz w:val="36"/>
      <w:szCs w:val="20"/>
    </w:rPr>
  </w:style>
  <w:style w:type="character" w:customStyle="1" w:styleId="41">
    <w:name w:val="正文文本缩进 2 Char"/>
    <w:basedOn w:val="24"/>
    <w:link w:val="13"/>
    <w:qFormat/>
    <w:uiPriority w:val="99"/>
    <w:rPr>
      <w:rFonts w:ascii="楷体_GB2312" w:hAnsi="Times New Roman" w:eastAsia="楷体_GB2312" w:cs="Times New Roman"/>
      <w:b/>
      <w:kern w:val="0"/>
      <w:sz w:val="28"/>
      <w:szCs w:val="20"/>
    </w:rPr>
  </w:style>
  <w:style w:type="character" w:customStyle="1" w:styleId="42">
    <w:name w:val="批注框文本 Char"/>
    <w:basedOn w:val="24"/>
    <w:link w:val="14"/>
    <w:semiHidden/>
    <w:qFormat/>
    <w:uiPriority w:val="99"/>
    <w:rPr>
      <w:rFonts w:ascii="Times New Roman" w:hAnsi="Times New Roman" w:eastAsia="宋体" w:cs="Times New Roman"/>
      <w:sz w:val="18"/>
      <w:szCs w:val="18"/>
    </w:rPr>
  </w:style>
  <w:style w:type="character" w:customStyle="1" w:styleId="43">
    <w:name w:val="页脚 Char"/>
    <w:basedOn w:val="24"/>
    <w:link w:val="15"/>
    <w:qFormat/>
    <w:uiPriority w:val="99"/>
    <w:rPr>
      <w:rFonts w:ascii="Times New Roman" w:hAnsi="Times New Roman" w:eastAsia="宋体" w:cs="Times New Roman"/>
      <w:kern w:val="0"/>
      <w:sz w:val="18"/>
      <w:szCs w:val="20"/>
    </w:rPr>
  </w:style>
  <w:style w:type="character" w:customStyle="1" w:styleId="44">
    <w:name w:val="页眉 Char"/>
    <w:basedOn w:val="24"/>
    <w:link w:val="17"/>
    <w:qFormat/>
    <w:uiPriority w:val="99"/>
    <w:rPr>
      <w:rFonts w:ascii="Times New Roman" w:hAnsi="Times New Roman" w:eastAsia="宋体" w:cs="Times New Roman"/>
      <w:kern w:val="0"/>
      <w:sz w:val="18"/>
      <w:szCs w:val="20"/>
    </w:rPr>
  </w:style>
  <w:style w:type="character" w:customStyle="1" w:styleId="45">
    <w:name w:val="正文文本缩进 3 Char"/>
    <w:basedOn w:val="24"/>
    <w:link w:val="18"/>
    <w:qFormat/>
    <w:uiPriority w:val="99"/>
    <w:rPr>
      <w:rFonts w:ascii="Times New Roman" w:hAnsi="Times New Roman" w:eastAsia="宋体" w:cs="Times New Roman"/>
      <w:kern w:val="0"/>
      <w:sz w:val="20"/>
      <w:szCs w:val="20"/>
    </w:rPr>
  </w:style>
  <w:style w:type="character" w:customStyle="1" w:styleId="46">
    <w:name w:val="正文文本 2 Char"/>
    <w:basedOn w:val="24"/>
    <w:link w:val="19"/>
    <w:qFormat/>
    <w:uiPriority w:val="99"/>
    <w:rPr>
      <w:rFonts w:ascii="Times New Roman" w:hAnsi="Times New Roman" w:eastAsia="宋体" w:cs="Times New Roman"/>
      <w:kern w:val="0"/>
      <w:sz w:val="20"/>
      <w:szCs w:val="20"/>
    </w:rPr>
  </w:style>
  <w:style w:type="character" w:customStyle="1" w:styleId="47">
    <w:name w:val="批注主题 Char"/>
    <w:basedOn w:val="37"/>
    <w:link w:val="21"/>
    <w:semiHidden/>
    <w:qFormat/>
    <w:uiPriority w:val="99"/>
    <w:rPr>
      <w:b/>
      <w:bCs/>
    </w:rPr>
  </w:style>
  <w:style w:type="paragraph" w:customStyle="1" w:styleId="48">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49">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0">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1">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2">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5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5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5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59">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6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6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67">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6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2">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3">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4">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5">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76">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77">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78">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79">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0">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1">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2">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3">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4">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5">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6">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87">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88">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89">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0">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1">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3">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4">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95">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96">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97">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98">
    <w:name w:val="case31"/>
    <w:qFormat/>
    <w:uiPriority w:val="99"/>
    <w:rPr>
      <w:rFonts w:cs="Times New Roman"/>
      <w:spacing w:val="390"/>
      <w:sz w:val="21"/>
      <w:szCs w:val="21"/>
    </w:rPr>
  </w:style>
  <w:style w:type="paragraph" w:customStyle="1" w:styleId="99">
    <w:name w:val="普通文字"/>
    <w:basedOn w:val="1"/>
    <w:next w:val="1"/>
    <w:qFormat/>
    <w:uiPriority w:val="99"/>
    <w:rPr>
      <w:rFonts w:ascii="宋体" w:hAnsi="Times New Roman" w:eastAsia="宋体" w:cs="Times New Roman"/>
      <w:kern w:val="0"/>
      <w:sz w:val="24"/>
      <w:szCs w:val="20"/>
      <w:u w:val="none" w:color="000000"/>
    </w:rPr>
  </w:style>
  <w:style w:type="paragraph" w:customStyle="1" w:styleId="100">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paragraph" w:customStyle="1" w:styleId="101">
    <w:name w:val="Char Char Char Char"/>
    <w:basedOn w:val="8"/>
    <w:qFormat/>
    <w:uiPriority w:val="99"/>
    <w:pPr>
      <w:adjustRightInd w:val="0"/>
      <w:snapToGrid w:val="0"/>
      <w:spacing w:line="360" w:lineRule="auto"/>
    </w:pPr>
    <w:rPr>
      <w:rFonts w:ascii="Tahoma" w:hAnsi="Tahoma"/>
      <w:sz w:val="24"/>
      <w:szCs w:val="24"/>
    </w:rPr>
  </w:style>
  <w:style w:type="paragraph" w:customStyle="1" w:styleId="102">
    <w:name w:val="Char Char1 Char Char Char Char"/>
    <w:basedOn w:val="8"/>
    <w:qFormat/>
    <w:uiPriority w:val="99"/>
    <w:pPr>
      <w:adjustRightInd w:val="0"/>
      <w:spacing w:line="436" w:lineRule="exact"/>
      <w:ind w:left="357"/>
      <w:jc w:val="left"/>
      <w:outlineLvl w:val="3"/>
    </w:pPr>
    <w:rPr>
      <w:rFonts w:ascii="Tahoma" w:hAnsi="Tahoma"/>
      <w:b/>
      <w:sz w:val="24"/>
      <w:szCs w:val="24"/>
    </w:rPr>
  </w:style>
  <w:style w:type="paragraph" w:styleId="103">
    <w:name w:val="List Paragraph"/>
    <w:basedOn w:val="1"/>
    <w:qFormat/>
    <w:uiPriority w:val="99"/>
    <w:pPr>
      <w:ind w:firstLine="420" w:firstLineChars="200"/>
    </w:pPr>
    <w:rPr>
      <w:rFonts w:ascii="Times New Roman" w:hAnsi="Times New Roman" w:eastAsia="宋体" w:cs="Times New Roman"/>
      <w:szCs w:val="20"/>
    </w:rPr>
  </w:style>
  <w:style w:type="paragraph" w:customStyle="1" w:styleId="104">
    <w:name w:val="修订1"/>
    <w:semiHidden/>
    <w:qFormat/>
    <w:uiPriority w:val="99"/>
    <w:rPr>
      <w:rFonts w:ascii="Times New Roman" w:hAnsi="Times New Roman" w:eastAsia="宋体" w:cs="Times New Roman"/>
      <w:kern w:val="2"/>
      <w:sz w:val="21"/>
      <w:lang w:val="en-US" w:eastAsia="zh-CN" w:bidi="ar-SA"/>
    </w:rPr>
  </w:style>
  <w:style w:type="paragraph" w:customStyle="1" w:styleId="105">
    <w:name w:val="列出段落2"/>
    <w:basedOn w:val="1"/>
    <w:qFormat/>
    <w:uiPriority w:val="0"/>
    <w:pPr>
      <w:ind w:firstLine="420" w:firstLineChars="200"/>
    </w:pPr>
  </w:style>
  <w:style w:type="paragraph" w:customStyle="1" w:styleId="106">
    <w:name w:val="列出段落1"/>
    <w:basedOn w:val="1"/>
    <w:qFormat/>
    <w:uiPriority w:val="0"/>
    <w:pPr>
      <w:ind w:firstLine="420" w:firstLineChars="200"/>
    </w:pPr>
    <w:rPr>
      <w:rFonts w:ascii="Times New Roman" w:hAnsi="Times New Roman" w:eastAsia="宋体" w:cs="Times New Roman"/>
      <w:szCs w:val="20"/>
    </w:rPr>
  </w:style>
  <w:style w:type="paragraph" w:customStyle="1" w:styleId="107">
    <w:name w:val="列出段落3"/>
    <w:basedOn w:val="1"/>
    <w:qFormat/>
    <w:uiPriority w:val="0"/>
    <w:pPr>
      <w:ind w:firstLine="420" w:firstLineChars="200"/>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494;&#20449;\&#25991;&#26723;\WeChat%20Files\wxid_eipbrcc88o7512\FileStorage\File\2023-07\&#20844;&#24320;&#25307;&#26631;&#25991;&#20214;&#26032;&#27169;&#26495;&#65288;&#26032;&#21556;&#2130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公开招标文件新模板（新吴区）.dot</Template>
  <Pages>42</Pages>
  <Words>25700</Words>
  <Characters>27640</Characters>
  <Lines>164</Lines>
  <Paragraphs>46</Paragraphs>
  <TotalTime>111</TotalTime>
  <ScaleCrop>false</ScaleCrop>
  <LinksUpToDate>false</LinksUpToDate>
  <CharactersWithSpaces>28501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2023-07-04T07:39:00Z</dcterms:created>
  <dc:creator>方钰</dc:creator>
  <cp:lastModifiedBy>方钰</cp:lastModifiedBy>
  <dcterms:modified xsi:type="dcterms:W3CDTF">2023-09-01T01:57:14Z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A7DA231C9A3745E7AFBAB1DD7566C7DD_13</vt:lpwstr>
  </property>
</Properties>
</file>