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楷体_GB2312" w:eastAsia="楷体_GB2312"/>
          <w:bCs/>
          <w:color w:val="auto"/>
          <w:sz w:val="30"/>
          <w:highlight w:val="none"/>
        </w:rPr>
      </w:pPr>
      <w:bookmarkStart w:id="4" w:name="_GoBack"/>
      <w:bookmarkEnd w:id="4"/>
    </w:p>
    <w:p>
      <w:pPr>
        <w:rPr>
          <w:rFonts w:hint="eastAsia" w:ascii="楷体_GB2312" w:eastAsia="楷体_GB2312"/>
          <w:bCs/>
          <w:color w:val="auto"/>
          <w:sz w:val="30"/>
          <w:highlight w:val="none"/>
        </w:rPr>
      </w:pPr>
    </w:p>
    <w:p>
      <w:pPr>
        <w:rPr>
          <w:rFonts w:hint="eastAsia" w:ascii="楷体_GB2312" w:eastAsia="楷体_GB2312"/>
          <w:bCs/>
          <w:color w:val="auto"/>
          <w:sz w:val="30"/>
          <w:highlight w:val="none"/>
        </w:rPr>
      </w:pPr>
    </w:p>
    <w:p>
      <w:pPr>
        <w:spacing w:before="156" w:beforeLines="50" w:after="156" w:afterLines="50" w:line="480" w:lineRule="auto"/>
        <w:jc w:val="center"/>
        <w:rPr>
          <w:rFonts w:hint="eastAsia" w:ascii="华文中宋" w:hAnsi="华文中宋" w:eastAsia="华文中宋"/>
          <w:b/>
          <w:bCs/>
          <w:color w:val="auto"/>
          <w:spacing w:val="20"/>
          <w:sz w:val="52"/>
          <w:szCs w:val="52"/>
          <w:highlight w:val="none"/>
        </w:rPr>
      </w:pPr>
      <w:r>
        <w:rPr>
          <w:rFonts w:hint="eastAsia" w:ascii="华文中宋" w:hAnsi="华文中宋" w:eastAsia="华文中宋"/>
          <w:b/>
          <w:bCs/>
          <w:color w:val="auto"/>
          <w:spacing w:val="20"/>
          <w:sz w:val="52"/>
          <w:szCs w:val="52"/>
          <w:highlight w:val="none"/>
        </w:rPr>
        <w:t>无锡市城乡居民大病保险项目</w:t>
      </w:r>
    </w:p>
    <w:p>
      <w:pPr>
        <w:rPr>
          <w:rFonts w:hint="eastAsia" w:ascii="华文中宋" w:hAnsi="华文中宋" w:eastAsia="华文中宋"/>
          <w:b/>
          <w:bCs/>
          <w:color w:val="auto"/>
          <w:sz w:val="48"/>
          <w:szCs w:val="48"/>
          <w:highlight w:val="none"/>
        </w:rPr>
      </w:pPr>
    </w:p>
    <w:p>
      <w:pPr>
        <w:rPr>
          <w:rFonts w:hint="eastAsia" w:ascii="华文中宋" w:hAnsi="华文中宋" w:eastAsia="华文中宋"/>
          <w:b/>
          <w:bCs/>
          <w:color w:val="auto"/>
          <w:sz w:val="48"/>
          <w:szCs w:val="48"/>
          <w:highlight w:val="none"/>
        </w:rPr>
      </w:pPr>
    </w:p>
    <w:p>
      <w:pPr>
        <w:rPr>
          <w:rFonts w:hint="eastAsia" w:ascii="华文中宋" w:hAnsi="华文中宋" w:eastAsia="华文中宋"/>
          <w:b/>
          <w:bCs/>
          <w:color w:val="auto"/>
          <w:sz w:val="48"/>
          <w:szCs w:val="48"/>
          <w:highlight w:val="none"/>
        </w:rPr>
      </w:pPr>
    </w:p>
    <w:p>
      <w:pPr>
        <w:jc w:val="center"/>
        <w:rPr>
          <w:rFonts w:hint="eastAsia" w:ascii="华文中宋" w:hAnsi="华文中宋" w:eastAsia="华文中宋"/>
          <w:b/>
          <w:bCs/>
          <w:color w:val="auto"/>
          <w:spacing w:val="20"/>
          <w:sz w:val="52"/>
          <w:szCs w:val="52"/>
          <w:highlight w:val="none"/>
        </w:rPr>
      </w:pPr>
      <w:r>
        <w:rPr>
          <w:rFonts w:hint="eastAsia" w:ascii="华文中宋" w:hAnsi="华文中宋" w:eastAsia="华文中宋"/>
          <w:b/>
          <w:bCs/>
          <w:color w:val="auto"/>
          <w:spacing w:val="20"/>
          <w:sz w:val="52"/>
          <w:szCs w:val="52"/>
          <w:highlight w:val="none"/>
        </w:rPr>
        <mc:AlternateContent>
          <mc:Choice Requires="wps">
            <w:drawing>
              <wp:anchor distT="0" distB="0" distL="114300" distR="114300" simplePos="0" relativeHeight="251659264" behindDoc="0" locked="0" layoutInCell="0" allowOverlap="1">
                <wp:simplePos x="0" y="0"/>
                <wp:positionH relativeFrom="column">
                  <wp:posOffset>-114300</wp:posOffset>
                </wp:positionH>
                <wp:positionV relativeFrom="paragraph">
                  <wp:posOffset>198120</wp:posOffset>
                </wp:positionV>
                <wp:extent cx="635" cy="0"/>
                <wp:effectExtent l="9525" t="7620" r="8890" b="11430"/>
                <wp:wrapNone/>
                <wp:docPr id="37" name="直线 7"/>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ln>
                      </wps:spPr>
                      <wps:bodyPr/>
                    </wps:wsp>
                  </a:graphicData>
                </a:graphic>
              </wp:anchor>
            </w:drawing>
          </mc:Choice>
          <mc:Fallback>
            <w:pict>
              <v:line id="直线 7" o:spid="_x0000_s1026" o:spt="20" style="position:absolute;left:0pt;margin-left:-9pt;margin-top:15.6pt;height:0pt;width:0.05pt;z-index:251659264;mso-width-relative:page;mso-height-relative:page;" filled="f" stroked="t" coordsize="21600,21600" o:allowincell="f" o:gfxdata="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YL9/61wAAAAkBAAAPAAAAAAAAAAEAIAAA&#10;ACIAAABkcnMvZG93bnJldi54bWxQSwECFAAUAAAACACHTuJAN1WlK9QBAACeAwAADgAAAAAAAAAB&#10;ACAAAAAmAQAAZHJzL2Uyb0RvYy54bWxQSwUGAAAAAAYABgBZAQAAbAUAAAAA&#10;">
                <v:fill on="f" focussize="0,0"/>
                <v:stroke color="#000000" joinstyle="round"/>
                <v:imagedata o:title=""/>
                <o:lock v:ext="edit" aspectratio="f"/>
              </v:line>
            </w:pict>
          </mc:Fallback>
        </mc:AlternateContent>
      </w:r>
      <w:r>
        <w:rPr>
          <w:rFonts w:hint="eastAsia" w:ascii="华文中宋" w:hAnsi="华文中宋" w:eastAsia="华文中宋"/>
          <w:b/>
          <w:bCs/>
          <w:color w:val="auto"/>
          <w:spacing w:val="20"/>
          <w:sz w:val="52"/>
          <w:szCs w:val="52"/>
          <w:highlight w:val="none"/>
        </w:rPr>
        <w:t>招 标 文 件</w:t>
      </w:r>
    </w:p>
    <w:p>
      <w:pPr>
        <w:rPr>
          <w:rFonts w:ascii="华文中宋" w:hAnsi="华文中宋" w:eastAsia="华文中宋"/>
          <w:bCs/>
          <w:color w:val="auto"/>
          <w:sz w:val="30"/>
          <w:highlight w:val="none"/>
        </w:rPr>
      </w:pPr>
    </w:p>
    <w:p>
      <w:pPr>
        <w:tabs>
          <w:tab w:val="left" w:pos="9921"/>
        </w:tabs>
        <w:jc w:val="center"/>
        <w:rPr>
          <w:rFonts w:hint="eastAsia" w:ascii="华文中宋" w:hAnsi="华文中宋" w:eastAsia="华文中宋"/>
          <w:bCs/>
          <w:color w:val="auto"/>
          <w:sz w:val="30"/>
          <w:highlight w:val="none"/>
        </w:rPr>
      </w:pPr>
    </w:p>
    <w:p>
      <w:pPr>
        <w:rPr>
          <w:rFonts w:hint="eastAsia" w:ascii="华文中宋" w:hAnsi="华文中宋" w:eastAsia="华文中宋"/>
          <w:bCs/>
          <w:color w:val="auto"/>
          <w:sz w:val="30"/>
          <w:highlight w:val="none"/>
        </w:rPr>
      </w:pPr>
    </w:p>
    <w:p>
      <w:pPr>
        <w:ind w:firstLine="2080" w:firstLineChars="650"/>
        <w:rPr>
          <w:rFonts w:hint="eastAsia" w:ascii="华文中宋" w:hAnsi="华文中宋" w:eastAsia="华文中宋"/>
          <w:b/>
          <w:bCs/>
          <w:color w:val="auto"/>
          <w:sz w:val="32"/>
          <w:szCs w:val="32"/>
          <w:highlight w:val="none"/>
        </w:rPr>
      </w:pPr>
      <w:r>
        <w:rPr>
          <w:rFonts w:hint="eastAsia" w:ascii="华文中宋" w:hAnsi="华文中宋" w:eastAsia="华文中宋"/>
          <w:b/>
          <w:bCs/>
          <w:color w:val="auto"/>
          <w:sz w:val="32"/>
          <w:szCs w:val="32"/>
          <w:highlight w:val="none"/>
        </w:rPr>
        <w:t>编        号：HTBXJJCG2023-01</w:t>
      </w:r>
    </w:p>
    <w:p>
      <w:pPr>
        <w:spacing w:before="156" w:beforeLines="50" w:after="156" w:afterLines="50" w:line="480" w:lineRule="auto"/>
        <w:ind w:firstLine="2080" w:firstLineChars="650"/>
        <w:rPr>
          <w:rFonts w:hint="eastAsia" w:ascii="华文中宋" w:hAnsi="华文中宋" w:eastAsia="华文中宋"/>
          <w:b/>
          <w:bCs/>
          <w:color w:val="auto"/>
          <w:spacing w:val="20"/>
          <w:sz w:val="30"/>
          <w:szCs w:val="30"/>
          <w:highlight w:val="none"/>
        </w:rPr>
      </w:pPr>
      <w:r>
        <w:rPr>
          <w:rFonts w:hint="eastAsia" w:ascii="华文中宋" w:hAnsi="华文中宋" w:eastAsia="华文中宋"/>
          <w:b/>
          <w:bCs/>
          <w:color w:val="auto"/>
          <w:sz w:val="32"/>
          <w:szCs w:val="32"/>
          <w:highlight w:val="none"/>
        </w:rPr>
        <w:t>采购代理机构：恒泰保险经纪有限公司</w:t>
      </w:r>
    </w:p>
    <w:p>
      <w:pPr>
        <w:rPr>
          <w:rFonts w:hint="eastAsia" w:ascii="华文中宋" w:hAnsi="华文中宋" w:eastAsia="华文中宋"/>
          <w:b/>
          <w:bCs/>
          <w:color w:val="auto"/>
          <w:sz w:val="32"/>
          <w:highlight w:val="none"/>
        </w:rPr>
      </w:pPr>
    </w:p>
    <w:p>
      <w:pPr>
        <w:rPr>
          <w:rFonts w:hint="eastAsia" w:ascii="华文中宋" w:hAnsi="华文中宋" w:eastAsia="华文中宋"/>
          <w:bCs/>
          <w:color w:val="auto"/>
          <w:sz w:val="30"/>
          <w:highlight w:val="none"/>
        </w:rPr>
      </w:pPr>
    </w:p>
    <w:p>
      <w:pPr>
        <w:rPr>
          <w:rFonts w:hint="eastAsia" w:ascii="华文中宋" w:hAnsi="华文中宋" w:eastAsia="华文中宋"/>
          <w:bCs/>
          <w:color w:val="auto"/>
          <w:sz w:val="30"/>
          <w:highlight w:val="none"/>
        </w:rPr>
      </w:pPr>
    </w:p>
    <w:p>
      <w:pPr>
        <w:rPr>
          <w:rFonts w:hint="eastAsia" w:ascii="华文中宋" w:hAnsi="华文中宋" w:eastAsia="华文中宋"/>
          <w:bCs/>
          <w:color w:val="auto"/>
          <w:sz w:val="30"/>
          <w:highlight w:val="none"/>
        </w:rPr>
      </w:pPr>
    </w:p>
    <w:p>
      <w:pPr>
        <w:spacing w:before="156" w:beforeLines="50" w:after="156" w:afterLines="50" w:line="480" w:lineRule="auto"/>
        <w:jc w:val="center"/>
        <w:rPr>
          <w:rFonts w:hint="eastAsia" w:ascii="华文中宋" w:hAnsi="华文中宋" w:eastAsia="华文中宋"/>
          <w:b/>
          <w:bCs/>
          <w:color w:val="auto"/>
          <w:sz w:val="32"/>
          <w:szCs w:val="32"/>
          <w:highlight w:val="none"/>
        </w:rPr>
      </w:pPr>
      <w:r>
        <w:rPr>
          <w:rFonts w:hint="eastAsia" w:ascii="华文中宋" w:hAnsi="华文中宋" w:eastAsia="华文中宋"/>
          <w:b/>
          <w:bCs/>
          <w:color w:val="auto"/>
          <w:sz w:val="32"/>
          <w:szCs w:val="32"/>
          <w:highlight w:val="none"/>
        </w:rPr>
        <w:t xml:space="preserve">  二○二三年二月</w:t>
      </w:r>
    </w:p>
    <w:p>
      <w:pPr>
        <w:jc w:val="center"/>
        <w:rPr>
          <w:rStyle w:val="37"/>
          <w:rFonts w:hint="eastAsia" w:eastAsia="黑体"/>
          <w:bCs/>
          <w:color w:val="auto"/>
          <w:sz w:val="48"/>
          <w:highlight w:val="none"/>
        </w:rPr>
      </w:pPr>
    </w:p>
    <w:p>
      <w:pPr>
        <w:jc w:val="center"/>
        <w:rPr>
          <w:rStyle w:val="37"/>
          <w:rFonts w:hint="eastAsia" w:eastAsia="黑体"/>
          <w:bCs/>
          <w:color w:val="auto"/>
          <w:sz w:val="48"/>
          <w:highlight w:val="none"/>
        </w:rPr>
      </w:pPr>
    </w:p>
    <w:p>
      <w:pPr>
        <w:jc w:val="center"/>
        <w:rPr>
          <w:rStyle w:val="37"/>
          <w:rFonts w:hint="eastAsia" w:eastAsia="黑体"/>
          <w:bCs/>
          <w:color w:val="auto"/>
          <w:sz w:val="48"/>
          <w:highlight w:val="none"/>
        </w:rPr>
      </w:pPr>
      <w:r>
        <w:rPr>
          <w:rStyle w:val="37"/>
          <w:rFonts w:hint="eastAsia" w:eastAsia="黑体"/>
          <w:bCs/>
          <w:color w:val="auto"/>
          <w:sz w:val="48"/>
          <w:highlight w:val="none"/>
        </w:rPr>
        <w:t>目     录</w:t>
      </w:r>
    </w:p>
    <w:p>
      <w:pPr>
        <w:jc w:val="center"/>
        <w:rPr>
          <w:rFonts w:hint="eastAsia" w:ascii="黑体" w:eastAsia="黑体"/>
          <w:bCs/>
          <w:color w:val="auto"/>
          <w:sz w:val="30"/>
          <w:highlight w:val="none"/>
        </w:rPr>
      </w:pPr>
    </w:p>
    <w:p>
      <w:pPr>
        <w:spacing w:line="720" w:lineRule="auto"/>
        <w:ind w:firstLine="450" w:firstLineChars="150"/>
        <w:rPr>
          <w:rFonts w:hint="eastAsia" w:ascii="宋体" w:hAnsi="宋体"/>
          <w:bCs/>
          <w:color w:val="auto"/>
          <w:sz w:val="30"/>
          <w:szCs w:val="30"/>
          <w:highlight w:val="none"/>
        </w:rPr>
      </w:pPr>
      <w:r>
        <w:rPr>
          <w:rFonts w:hint="eastAsia" w:ascii="宋体" w:hAnsi="宋体"/>
          <w:bCs/>
          <w:color w:val="auto"/>
          <w:sz w:val="30"/>
          <w:szCs w:val="30"/>
          <w:highlight w:val="none"/>
        </w:rPr>
        <w:t>一、投标邀请函-----------------------------------------(2)</w:t>
      </w:r>
    </w:p>
    <w:p>
      <w:pPr>
        <w:spacing w:line="720" w:lineRule="auto"/>
        <w:ind w:firstLine="450" w:firstLineChars="150"/>
        <w:rPr>
          <w:rFonts w:hint="eastAsia" w:ascii="宋体" w:hAnsi="宋体"/>
          <w:bCs/>
          <w:color w:val="auto"/>
          <w:sz w:val="30"/>
          <w:szCs w:val="30"/>
          <w:highlight w:val="none"/>
        </w:rPr>
      </w:pPr>
      <w:r>
        <w:rPr>
          <w:rFonts w:hint="eastAsia" w:ascii="宋体" w:hAnsi="宋体"/>
          <w:bCs/>
          <w:color w:val="auto"/>
          <w:sz w:val="30"/>
          <w:szCs w:val="30"/>
          <w:highlight w:val="none"/>
        </w:rPr>
        <w:t>二、投标人须知-----------------------------------------(3)</w:t>
      </w:r>
    </w:p>
    <w:p>
      <w:pPr>
        <w:spacing w:line="720" w:lineRule="auto"/>
        <w:ind w:firstLine="450" w:firstLineChars="150"/>
        <w:rPr>
          <w:rFonts w:hint="eastAsia" w:ascii="宋体" w:hAnsi="宋体"/>
          <w:bCs/>
          <w:color w:val="auto"/>
          <w:sz w:val="30"/>
          <w:szCs w:val="30"/>
          <w:highlight w:val="none"/>
        </w:rPr>
      </w:pPr>
      <w:r>
        <w:rPr>
          <w:rFonts w:hint="eastAsia" w:ascii="宋体" w:hAnsi="宋体"/>
          <w:bCs/>
          <w:color w:val="auto"/>
          <w:sz w:val="30"/>
          <w:szCs w:val="30"/>
          <w:highlight w:val="none"/>
        </w:rPr>
        <w:t>三、项目需求及有关说明--------------------------------(</w:t>
      </w:r>
      <w:r>
        <w:rPr>
          <w:rFonts w:ascii="宋体" w:hAnsi="宋体"/>
          <w:bCs/>
          <w:color w:val="auto"/>
          <w:sz w:val="30"/>
          <w:szCs w:val="30"/>
          <w:highlight w:val="none"/>
        </w:rPr>
        <w:t>18</w:t>
      </w:r>
      <w:r>
        <w:rPr>
          <w:rFonts w:hint="eastAsia" w:ascii="宋体" w:hAnsi="宋体"/>
          <w:bCs/>
          <w:color w:val="auto"/>
          <w:sz w:val="30"/>
          <w:szCs w:val="30"/>
          <w:highlight w:val="none"/>
        </w:rPr>
        <w:t>)</w:t>
      </w:r>
    </w:p>
    <w:p>
      <w:pPr>
        <w:spacing w:line="720" w:lineRule="auto"/>
        <w:ind w:firstLine="450" w:firstLineChars="150"/>
        <w:rPr>
          <w:rFonts w:hint="eastAsia" w:ascii="宋体" w:hAnsi="宋体"/>
          <w:bCs/>
          <w:color w:val="auto"/>
          <w:sz w:val="30"/>
          <w:szCs w:val="30"/>
          <w:highlight w:val="none"/>
        </w:rPr>
      </w:pPr>
      <w:r>
        <w:rPr>
          <w:rFonts w:hint="eastAsia" w:ascii="宋体" w:hAnsi="宋体"/>
          <w:bCs/>
          <w:color w:val="auto"/>
          <w:sz w:val="30"/>
          <w:szCs w:val="30"/>
          <w:highlight w:val="none"/>
        </w:rPr>
        <w:t>四、保险合同------------------------------------------(30)</w:t>
      </w:r>
    </w:p>
    <w:p>
      <w:pPr>
        <w:spacing w:line="720" w:lineRule="auto"/>
        <w:ind w:firstLine="450" w:firstLineChars="150"/>
        <w:rPr>
          <w:rFonts w:hint="eastAsia" w:ascii="宋体" w:hAnsi="宋体"/>
          <w:bCs/>
          <w:color w:val="auto"/>
          <w:sz w:val="30"/>
          <w:szCs w:val="30"/>
          <w:highlight w:val="none"/>
        </w:rPr>
      </w:pPr>
      <w:r>
        <w:rPr>
          <w:rFonts w:hint="eastAsia" w:ascii="宋体" w:hAnsi="宋体"/>
          <w:bCs/>
          <w:color w:val="auto"/>
          <w:sz w:val="30"/>
          <w:szCs w:val="30"/>
          <w:highlight w:val="none"/>
        </w:rPr>
        <w:t>五、投标文件格式（商务标·明标）----------------------(34)</w:t>
      </w:r>
    </w:p>
    <w:p>
      <w:pPr>
        <w:spacing w:line="720" w:lineRule="auto"/>
        <w:ind w:firstLine="450" w:firstLineChars="150"/>
        <w:rPr>
          <w:rFonts w:hint="eastAsia" w:ascii="宋体" w:hAnsi="宋体"/>
          <w:bCs/>
          <w:color w:val="auto"/>
          <w:sz w:val="30"/>
          <w:szCs w:val="30"/>
          <w:highlight w:val="none"/>
        </w:rPr>
      </w:pPr>
      <w:r>
        <w:rPr>
          <w:rFonts w:hint="eastAsia" w:ascii="宋体" w:hAnsi="宋体"/>
          <w:bCs/>
          <w:color w:val="auto"/>
          <w:sz w:val="30"/>
          <w:szCs w:val="30"/>
          <w:highlight w:val="none"/>
        </w:rPr>
        <w:t>六、投标文件格式（技术标·暗标）----------------------(59)</w:t>
      </w:r>
    </w:p>
    <w:p>
      <w:pPr>
        <w:spacing w:line="720" w:lineRule="auto"/>
        <w:rPr>
          <w:rFonts w:hint="eastAsia" w:ascii="宋体" w:hAnsi="宋体"/>
          <w:bCs/>
          <w:color w:val="auto"/>
          <w:sz w:val="30"/>
          <w:highlight w:val="none"/>
        </w:rPr>
      </w:pPr>
    </w:p>
    <w:p>
      <w:pPr>
        <w:spacing w:line="480" w:lineRule="auto"/>
        <w:rPr>
          <w:rFonts w:hint="eastAsia" w:ascii="宋体" w:hAnsi="宋体"/>
          <w:bCs/>
          <w:color w:val="auto"/>
          <w:sz w:val="30"/>
          <w:highlight w:val="none"/>
        </w:rPr>
      </w:pPr>
    </w:p>
    <w:p>
      <w:pPr>
        <w:rPr>
          <w:rFonts w:hint="eastAsia" w:ascii="宋体" w:hAnsi="宋体"/>
          <w:bCs/>
          <w:color w:val="auto"/>
          <w:sz w:val="28"/>
          <w:highlight w:val="none"/>
        </w:rPr>
      </w:pPr>
    </w:p>
    <w:p>
      <w:pPr>
        <w:rPr>
          <w:rFonts w:hint="eastAsia" w:ascii="宋体" w:hAnsi="宋体"/>
          <w:bCs/>
          <w:color w:val="auto"/>
          <w:sz w:val="32"/>
          <w:highlight w:val="none"/>
        </w:rPr>
      </w:pPr>
    </w:p>
    <w:p>
      <w:pPr>
        <w:jc w:val="center"/>
        <w:rPr>
          <w:rFonts w:hint="eastAsia" w:ascii="黑体" w:eastAsia="黑体"/>
          <w:bCs/>
          <w:color w:val="auto"/>
          <w:sz w:val="28"/>
          <w:szCs w:val="28"/>
          <w:highlight w:val="none"/>
        </w:rPr>
      </w:pPr>
      <w:bookmarkStart w:id="0" w:name="报价方须知前附表"/>
      <w:bookmarkEnd w:id="0"/>
      <w:r>
        <w:rPr>
          <w:rFonts w:ascii="宋体" w:hAnsi="宋体"/>
          <w:bCs/>
          <w:color w:val="auto"/>
          <w:sz w:val="32"/>
          <w:highlight w:val="none"/>
        </w:rPr>
        <w:br w:type="page"/>
      </w:r>
      <w:r>
        <w:rPr>
          <w:rFonts w:hint="eastAsia" w:ascii="黑体" w:eastAsia="黑体"/>
          <w:bCs/>
          <w:color w:val="auto"/>
          <w:sz w:val="28"/>
          <w:szCs w:val="28"/>
          <w:highlight w:val="none"/>
        </w:rPr>
        <w:t>一、投标邀请函</w:t>
      </w:r>
    </w:p>
    <w:p>
      <w:pPr>
        <w:ind w:firstLine="480" w:firstLineChars="200"/>
        <w:rPr>
          <w:rFonts w:hint="eastAsia" w:ascii="宋体" w:hAnsi="宋体"/>
          <w:bCs/>
          <w:color w:val="auto"/>
          <w:sz w:val="24"/>
          <w:szCs w:val="24"/>
          <w:highlight w:val="none"/>
        </w:rPr>
      </w:pPr>
      <w:r>
        <w:rPr>
          <w:rFonts w:hint="eastAsia" w:ascii="宋体" w:hAnsi="宋体"/>
          <w:bCs/>
          <w:color w:val="auto"/>
          <w:sz w:val="24"/>
          <w:szCs w:val="24"/>
          <w:highlight w:val="none"/>
        </w:rPr>
        <w:t>我公司受无锡市医疗保障基金管理中心委托，对无锡市城乡居民大病保险项目进行公开招标，欢迎你单位参加投标并提请注意下表中的相关事项：</w:t>
      </w:r>
    </w:p>
    <w:tbl>
      <w:tblPr>
        <w:tblStyle w:val="24"/>
        <w:tblW w:w="98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9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35" w:type="dxa"/>
          </w:tcPr>
          <w:p>
            <w:pPr>
              <w:spacing w:line="360" w:lineRule="exact"/>
              <w:jc w:val="center"/>
              <w:rPr>
                <w:rFonts w:hint="eastAsia" w:ascii="宋体" w:hAnsi="宋体"/>
                <w:bCs/>
                <w:color w:val="auto"/>
                <w:sz w:val="24"/>
                <w:szCs w:val="24"/>
                <w:highlight w:val="none"/>
              </w:rPr>
            </w:pPr>
            <w:r>
              <w:rPr>
                <w:rFonts w:hint="eastAsia" w:ascii="宋体" w:hAnsi="宋体"/>
                <w:bCs/>
                <w:color w:val="auto"/>
                <w:sz w:val="24"/>
                <w:szCs w:val="24"/>
                <w:highlight w:val="none"/>
              </w:rPr>
              <w:t>序号</w:t>
            </w:r>
          </w:p>
        </w:tc>
        <w:tc>
          <w:tcPr>
            <w:tcW w:w="9135" w:type="dxa"/>
          </w:tcPr>
          <w:p>
            <w:pPr>
              <w:spacing w:line="360" w:lineRule="exact"/>
              <w:jc w:val="center"/>
              <w:rPr>
                <w:rFonts w:hint="eastAsia" w:ascii="宋体" w:hAnsi="宋体"/>
                <w:bCs/>
                <w:color w:val="auto"/>
                <w:sz w:val="24"/>
                <w:szCs w:val="24"/>
                <w:highlight w:val="none"/>
              </w:rPr>
            </w:pPr>
            <w:r>
              <w:rPr>
                <w:rFonts w:hint="eastAsia" w:ascii="宋体" w:hAnsi="宋体"/>
                <w:bCs/>
                <w:color w:val="auto"/>
                <w:sz w:val="24"/>
                <w:szCs w:val="24"/>
                <w:highlight w:val="none"/>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735" w:type="dxa"/>
            <w:vAlign w:val="center"/>
          </w:tcPr>
          <w:p>
            <w:pPr>
              <w:spacing w:line="276" w:lineRule="auto"/>
              <w:jc w:val="center"/>
              <w:rPr>
                <w:rFonts w:hint="eastAsia" w:ascii="宋体" w:hAnsi="宋体"/>
                <w:bCs/>
                <w:color w:val="auto"/>
                <w:sz w:val="24"/>
                <w:szCs w:val="24"/>
                <w:highlight w:val="none"/>
              </w:rPr>
            </w:pPr>
            <w:r>
              <w:rPr>
                <w:rFonts w:hint="eastAsia" w:ascii="宋体" w:hAnsi="宋体"/>
                <w:bCs/>
                <w:color w:val="auto"/>
                <w:sz w:val="24"/>
                <w:szCs w:val="24"/>
                <w:highlight w:val="none"/>
              </w:rPr>
              <w:t>1</w:t>
            </w:r>
          </w:p>
        </w:tc>
        <w:tc>
          <w:tcPr>
            <w:tcW w:w="9135" w:type="dxa"/>
            <w:vAlign w:val="center"/>
          </w:tcPr>
          <w:p>
            <w:pPr>
              <w:spacing w:line="276" w:lineRule="auto"/>
              <w:rPr>
                <w:rFonts w:hint="eastAsia" w:ascii="宋体" w:hAnsi="宋体"/>
                <w:bCs/>
                <w:color w:val="auto"/>
                <w:szCs w:val="21"/>
                <w:highlight w:val="none"/>
              </w:rPr>
            </w:pPr>
            <w:r>
              <w:rPr>
                <w:rFonts w:hint="eastAsia" w:ascii="宋体" w:hAnsi="宋体"/>
                <w:bCs/>
                <w:color w:val="auto"/>
                <w:szCs w:val="21"/>
                <w:highlight w:val="none"/>
              </w:rPr>
              <w:t>项目名称：无锡市城乡居民大病保险项目</w:t>
            </w:r>
          </w:p>
          <w:p>
            <w:pPr>
              <w:spacing w:line="276" w:lineRule="auto"/>
              <w:rPr>
                <w:rFonts w:hint="eastAsia" w:ascii="宋体" w:hAnsi="宋体"/>
                <w:bCs/>
                <w:color w:val="auto"/>
                <w:szCs w:val="21"/>
                <w:highlight w:val="none"/>
              </w:rPr>
            </w:pPr>
            <w:r>
              <w:rPr>
                <w:rFonts w:hint="eastAsia" w:ascii="宋体" w:hAnsi="宋体"/>
                <w:bCs/>
                <w:color w:val="auto"/>
                <w:szCs w:val="21"/>
                <w:highlight w:val="none"/>
              </w:rPr>
              <w:t>编    号：HTBXJJCG2023-01</w:t>
            </w:r>
          </w:p>
          <w:p>
            <w:pPr>
              <w:spacing w:line="276" w:lineRule="auto"/>
              <w:rPr>
                <w:rFonts w:hint="eastAsia" w:ascii="宋体" w:hAnsi="宋体"/>
                <w:bCs/>
                <w:color w:val="auto"/>
                <w:szCs w:val="21"/>
                <w:highlight w:val="none"/>
              </w:rPr>
            </w:pPr>
            <w:r>
              <w:rPr>
                <w:rFonts w:hint="eastAsia" w:ascii="宋体" w:hAnsi="宋体"/>
                <w:bCs/>
                <w:color w:val="auto"/>
                <w:szCs w:val="21"/>
                <w:highlight w:val="none"/>
              </w:rPr>
              <w:t>定点时间：两年九个月（自2023年4月1日起，至2025年12月31日止）</w:t>
            </w:r>
          </w:p>
          <w:p>
            <w:pPr>
              <w:spacing w:line="276" w:lineRule="auto"/>
              <w:rPr>
                <w:rFonts w:hint="eastAsia" w:ascii="宋体" w:hAnsi="宋体"/>
                <w:bCs/>
                <w:color w:val="auto"/>
                <w:szCs w:val="21"/>
                <w:highlight w:val="none"/>
              </w:rPr>
            </w:pPr>
            <w:r>
              <w:rPr>
                <w:rFonts w:hint="eastAsia" w:ascii="宋体" w:hAnsi="宋体"/>
                <w:bCs/>
                <w:color w:val="auto"/>
                <w:szCs w:val="21"/>
                <w:highlight w:val="none"/>
              </w:rPr>
              <w:t>采 购 人：无锡市医疗保障基金管理中心</w:t>
            </w:r>
          </w:p>
          <w:p>
            <w:pPr>
              <w:spacing w:line="276" w:lineRule="auto"/>
              <w:rPr>
                <w:rFonts w:hint="eastAsia" w:ascii="宋体" w:hAnsi="宋体"/>
                <w:bCs/>
                <w:color w:val="auto"/>
                <w:szCs w:val="21"/>
                <w:highlight w:val="none"/>
              </w:rPr>
            </w:pPr>
            <w:r>
              <w:rPr>
                <w:rFonts w:hint="eastAsia" w:ascii="宋体" w:hAnsi="宋体"/>
                <w:bCs/>
                <w:color w:val="auto"/>
                <w:szCs w:val="21"/>
                <w:highlight w:val="none"/>
              </w:rPr>
              <w:t>采购方式：公开招标</w:t>
            </w:r>
          </w:p>
          <w:p>
            <w:pPr>
              <w:spacing w:line="276" w:lineRule="auto"/>
              <w:rPr>
                <w:rFonts w:hint="eastAsia" w:ascii="宋体" w:hAnsi="宋体"/>
                <w:bCs/>
                <w:color w:val="auto"/>
                <w:szCs w:val="21"/>
                <w:highlight w:val="none"/>
              </w:rPr>
            </w:pPr>
            <w:r>
              <w:rPr>
                <w:rFonts w:hint="eastAsia" w:ascii="宋体" w:hAnsi="宋体"/>
                <w:bCs/>
                <w:color w:val="auto"/>
                <w:szCs w:val="21"/>
                <w:highlight w:val="none"/>
              </w:rPr>
              <w:t>采购预算：</w:t>
            </w:r>
          </w:p>
          <w:p>
            <w:pPr>
              <w:spacing w:line="276" w:lineRule="auto"/>
              <w:ind w:firstLine="420" w:firstLineChars="200"/>
              <w:rPr>
                <w:rFonts w:hint="eastAsia" w:ascii="宋体" w:hAnsi="宋体"/>
                <w:bCs/>
                <w:color w:val="auto"/>
                <w:szCs w:val="21"/>
                <w:highlight w:val="none"/>
              </w:rPr>
            </w:pPr>
            <w:r>
              <w:rPr>
                <w:rFonts w:hint="eastAsia" w:ascii="宋体" w:hAnsi="宋体"/>
                <w:bCs/>
                <w:color w:val="auto"/>
                <w:szCs w:val="21"/>
                <w:highlight w:val="none"/>
              </w:rPr>
              <w:t>第一年（9个月）：44410.5万元，其中标段一：27571.8万元；标段二：10084.8万元；标段三：6753.9万元；</w:t>
            </w:r>
          </w:p>
          <w:p>
            <w:pPr>
              <w:spacing w:line="276" w:lineRule="auto"/>
              <w:ind w:firstLine="420" w:firstLineChars="200"/>
              <w:rPr>
                <w:rFonts w:hint="eastAsia" w:ascii="宋体" w:hAnsi="宋体"/>
                <w:bCs/>
                <w:color w:val="auto"/>
                <w:szCs w:val="21"/>
                <w:highlight w:val="none"/>
              </w:rPr>
            </w:pPr>
            <w:r>
              <w:rPr>
                <w:rFonts w:hint="eastAsia" w:ascii="宋体" w:hAnsi="宋体"/>
                <w:bCs/>
                <w:color w:val="auto"/>
                <w:szCs w:val="21"/>
                <w:highlight w:val="none"/>
              </w:rPr>
              <w:t>第二年：59454.4万元，其中标段一：37020万元；标段二：13458.4万元；标段三：8976万元；</w:t>
            </w:r>
          </w:p>
          <w:p>
            <w:pPr>
              <w:spacing w:line="276" w:lineRule="auto"/>
              <w:ind w:firstLine="420" w:firstLineChars="200"/>
              <w:rPr>
                <w:rFonts w:hint="eastAsia" w:ascii="宋体" w:hAnsi="宋体"/>
                <w:bCs/>
                <w:color w:val="auto"/>
                <w:szCs w:val="21"/>
                <w:highlight w:val="none"/>
              </w:rPr>
            </w:pPr>
            <w:r>
              <w:rPr>
                <w:rFonts w:hint="eastAsia" w:ascii="宋体" w:hAnsi="宋体"/>
                <w:bCs/>
                <w:color w:val="auto"/>
                <w:szCs w:val="21"/>
                <w:highlight w:val="none"/>
              </w:rPr>
              <w:t>第三年：59699.6万元，其中标段一：37272万元；标段二：13471.6万元；标段三：8956万元；</w:t>
            </w:r>
          </w:p>
          <w:p>
            <w:pPr>
              <w:spacing w:line="276" w:lineRule="auto"/>
              <w:ind w:firstLine="420" w:firstLineChars="200"/>
              <w:rPr>
                <w:rFonts w:hint="eastAsia" w:ascii="宋体" w:hAnsi="宋体"/>
                <w:bCs/>
                <w:color w:val="auto"/>
                <w:szCs w:val="21"/>
                <w:highlight w:val="none"/>
              </w:rPr>
            </w:pPr>
            <w:r>
              <w:rPr>
                <w:rFonts w:hint="eastAsia" w:ascii="宋体" w:hAnsi="宋体"/>
                <w:bCs/>
                <w:color w:val="auto"/>
                <w:szCs w:val="21"/>
                <w:highlight w:val="none"/>
              </w:rPr>
              <w:t>采购预算合计：163564.5万元。</w:t>
            </w:r>
          </w:p>
          <w:p>
            <w:pPr>
              <w:spacing w:line="276" w:lineRule="auto"/>
              <w:ind w:firstLine="420" w:firstLineChars="200"/>
              <w:rPr>
                <w:rFonts w:hint="eastAsia" w:ascii="宋体" w:hAnsi="宋体"/>
                <w:b/>
                <w:color w:val="auto"/>
                <w:szCs w:val="21"/>
                <w:highlight w:val="none"/>
              </w:rPr>
            </w:pPr>
            <w:r>
              <w:rPr>
                <w:rFonts w:hint="eastAsia" w:ascii="宋体" w:hAnsi="宋体"/>
                <w:b/>
                <w:color w:val="auto"/>
                <w:szCs w:val="21"/>
                <w:highlight w:val="none"/>
              </w:rPr>
              <w:t>备注：若我市大病保险政策调整，则采购预算可作相应调整。</w:t>
            </w:r>
          </w:p>
          <w:p>
            <w:pPr>
              <w:spacing w:line="276" w:lineRule="auto"/>
              <w:rPr>
                <w:rFonts w:ascii="宋体" w:hAnsi="宋体"/>
                <w:bCs/>
                <w:color w:val="auto"/>
                <w:szCs w:val="21"/>
                <w:highlight w:val="none"/>
              </w:rPr>
            </w:pPr>
            <w:r>
              <w:rPr>
                <w:rFonts w:hint="eastAsia" w:ascii="宋体" w:hAnsi="宋体"/>
                <w:bCs/>
                <w:color w:val="auto"/>
                <w:szCs w:val="21"/>
                <w:highlight w:val="none"/>
              </w:rPr>
              <w:t>标的行业：其它未列明行业</w:t>
            </w:r>
          </w:p>
          <w:p>
            <w:pPr>
              <w:spacing w:line="276" w:lineRule="auto"/>
              <w:rPr>
                <w:rFonts w:hint="eastAsia" w:ascii="宋体" w:hAnsi="宋体"/>
                <w:bCs/>
                <w:color w:val="auto"/>
                <w:szCs w:val="21"/>
                <w:highlight w:val="none"/>
              </w:rPr>
            </w:pPr>
            <w:r>
              <w:rPr>
                <w:rFonts w:hint="eastAsia" w:ascii="宋体" w:hAnsi="宋体"/>
                <w:bCs/>
                <w:color w:val="auto"/>
                <w:szCs w:val="21"/>
                <w:highlight w:val="none"/>
              </w:rPr>
              <w:t>本项目是否专门面向中小企业采购：否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735" w:type="dxa"/>
            <w:vAlign w:val="center"/>
          </w:tcPr>
          <w:p>
            <w:pPr>
              <w:spacing w:line="276" w:lineRule="auto"/>
              <w:jc w:val="center"/>
              <w:rPr>
                <w:rFonts w:hint="eastAsia" w:ascii="宋体" w:hAnsi="宋体"/>
                <w:bCs/>
                <w:color w:val="auto"/>
                <w:sz w:val="24"/>
                <w:szCs w:val="24"/>
                <w:highlight w:val="none"/>
              </w:rPr>
            </w:pPr>
            <w:r>
              <w:rPr>
                <w:rFonts w:hint="eastAsia" w:ascii="宋体" w:hAnsi="宋体"/>
                <w:bCs/>
                <w:color w:val="auto"/>
                <w:sz w:val="24"/>
                <w:szCs w:val="24"/>
                <w:highlight w:val="none"/>
              </w:rPr>
              <w:t>2</w:t>
            </w:r>
          </w:p>
        </w:tc>
        <w:tc>
          <w:tcPr>
            <w:tcW w:w="9135" w:type="dxa"/>
            <w:vAlign w:val="center"/>
          </w:tcPr>
          <w:p>
            <w:pPr>
              <w:spacing w:line="276" w:lineRule="auto"/>
              <w:rPr>
                <w:rFonts w:hint="eastAsia" w:ascii="宋体" w:hAnsi="宋体"/>
                <w:bCs/>
                <w:color w:val="auto"/>
                <w:szCs w:val="21"/>
                <w:highlight w:val="none"/>
              </w:rPr>
            </w:pPr>
            <w:r>
              <w:rPr>
                <w:rFonts w:hint="eastAsia" w:ascii="宋体" w:hAnsi="宋体"/>
                <w:bCs/>
                <w:color w:val="auto"/>
                <w:szCs w:val="21"/>
                <w:highlight w:val="none"/>
              </w:rPr>
              <w:t>采购代理机构：恒泰保险经纪有限公司</w:t>
            </w:r>
          </w:p>
          <w:p>
            <w:pPr>
              <w:spacing w:line="276" w:lineRule="auto"/>
              <w:rPr>
                <w:rFonts w:hint="eastAsia" w:ascii="宋体" w:hAnsi="宋体"/>
                <w:bCs/>
                <w:color w:val="auto"/>
                <w:szCs w:val="21"/>
                <w:highlight w:val="none"/>
              </w:rPr>
            </w:pPr>
            <w:r>
              <w:rPr>
                <w:rFonts w:hint="eastAsia" w:ascii="宋体" w:hAnsi="宋体"/>
                <w:bCs/>
                <w:color w:val="auto"/>
                <w:szCs w:val="21"/>
                <w:highlight w:val="none"/>
              </w:rPr>
              <w:t>地        址：南京市中山北路30号益来国际广场12层</w:t>
            </w:r>
          </w:p>
          <w:p>
            <w:pPr>
              <w:spacing w:line="276" w:lineRule="auto"/>
              <w:rPr>
                <w:rFonts w:hint="eastAsia" w:ascii="宋体" w:hAnsi="宋体"/>
                <w:bCs/>
                <w:color w:val="auto"/>
                <w:szCs w:val="21"/>
                <w:highlight w:val="none"/>
              </w:rPr>
            </w:pPr>
            <w:r>
              <w:rPr>
                <w:rFonts w:hint="eastAsia" w:ascii="宋体" w:hAnsi="宋体"/>
                <w:bCs/>
                <w:color w:val="auto"/>
                <w:szCs w:val="21"/>
                <w:highlight w:val="none"/>
              </w:rPr>
              <w:t>分 支 机  构：恒泰保险经纪有限公司无锡分公司</w:t>
            </w:r>
          </w:p>
          <w:p>
            <w:pPr>
              <w:spacing w:line="276" w:lineRule="auto"/>
              <w:rPr>
                <w:rFonts w:hint="eastAsia" w:ascii="宋体" w:hAnsi="宋体"/>
                <w:bCs/>
                <w:color w:val="auto"/>
                <w:szCs w:val="21"/>
                <w:highlight w:val="none"/>
              </w:rPr>
            </w:pPr>
            <w:r>
              <w:rPr>
                <w:rFonts w:hint="eastAsia" w:ascii="宋体" w:hAnsi="宋体"/>
                <w:bCs/>
                <w:color w:val="auto"/>
                <w:szCs w:val="21"/>
                <w:highlight w:val="none"/>
              </w:rPr>
              <w:t>地        址：无锡市滨湖区中南西路369号路劲天御售楼部2楼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5" w:hRule="atLeast"/>
        </w:trPr>
        <w:tc>
          <w:tcPr>
            <w:tcW w:w="735" w:type="dxa"/>
            <w:vAlign w:val="center"/>
          </w:tcPr>
          <w:p>
            <w:pPr>
              <w:spacing w:line="276" w:lineRule="auto"/>
              <w:jc w:val="center"/>
              <w:rPr>
                <w:rFonts w:hint="eastAsia" w:ascii="宋体" w:hAnsi="宋体"/>
                <w:bCs/>
                <w:color w:val="auto"/>
                <w:sz w:val="24"/>
                <w:szCs w:val="24"/>
                <w:highlight w:val="none"/>
              </w:rPr>
            </w:pPr>
            <w:r>
              <w:rPr>
                <w:rFonts w:hint="eastAsia" w:ascii="宋体" w:hAnsi="宋体"/>
                <w:bCs/>
                <w:color w:val="auto"/>
                <w:sz w:val="24"/>
                <w:szCs w:val="24"/>
                <w:highlight w:val="none"/>
              </w:rPr>
              <w:t>3</w:t>
            </w:r>
          </w:p>
        </w:tc>
        <w:tc>
          <w:tcPr>
            <w:tcW w:w="9135" w:type="dxa"/>
            <w:vAlign w:val="center"/>
          </w:tcPr>
          <w:p>
            <w:pPr>
              <w:spacing w:line="276" w:lineRule="auto"/>
              <w:rPr>
                <w:bCs/>
                <w:color w:val="auto"/>
                <w:szCs w:val="21"/>
                <w:highlight w:val="none"/>
              </w:rPr>
            </w:pPr>
            <w:r>
              <w:rPr>
                <w:rFonts w:hint="eastAsia"/>
                <w:bCs/>
                <w:color w:val="auto"/>
                <w:szCs w:val="21"/>
                <w:highlight w:val="none"/>
              </w:rPr>
              <w:t>投标人条件：投标人参加本次采购活动除应当符合《中华人民共和国政府采购法》第二十二条的规定外，还必须具备以下条件：</w:t>
            </w:r>
          </w:p>
          <w:p>
            <w:pPr>
              <w:spacing w:line="276" w:lineRule="auto"/>
              <w:rPr>
                <w:rFonts w:hint="eastAsia"/>
                <w:bCs/>
                <w:color w:val="auto"/>
                <w:szCs w:val="21"/>
                <w:highlight w:val="none"/>
              </w:rPr>
            </w:pPr>
            <w:r>
              <w:rPr>
                <w:rFonts w:hint="eastAsia"/>
                <w:bCs/>
                <w:color w:val="auto"/>
                <w:szCs w:val="21"/>
                <w:highlight w:val="none"/>
              </w:rPr>
              <w:t>A.投标人必须是经国家市场监督行政管理机关注册的企业法人，应为保险公司总公司，或经保险公司总公司授权的地市级及以上分支机构可以代表保险公司总公司参加投标，且应具有在大病保险统筹地区提供便捷高效服务的能力；</w:t>
            </w:r>
          </w:p>
          <w:p>
            <w:pPr>
              <w:spacing w:line="276" w:lineRule="auto"/>
              <w:rPr>
                <w:rFonts w:hint="eastAsia"/>
                <w:bCs/>
                <w:color w:val="auto"/>
                <w:szCs w:val="21"/>
                <w:highlight w:val="none"/>
              </w:rPr>
            </w:pPr>
            <w:r>
              <w:rPr>
                <w:rFonts w:hint="eastAsia"/>
                <w:bCs/>
                <w:color w:val="auto"/>
                <w:szCs w:val="21"/>
                <w:highlight w:val="none"/>
              </w:rPr>
              <w:t>B.具有中国银行保险监督管理委员会核发的《中华人民共和国保险许可证》；</w:t>
            </w:r>
          </w:p>
          <w:p>
            <w:pPr>
              <w:spacing w:line="276" w:lineRule="auto"/>
              <w:rPr>
                <w:rFonts w:hint="eastAsia"/>
                <w:bCs/>
                <w:color w:val="auto"/>
                <w:szCs w:val="21"/>
                <w:highlight w:val="none"/>
              </w:rPr>
            </w:pPr>
            <w:r>
              <w:rPr>
                <w:rFonts w:hint="eastAsia"/>
                <w:bCs/>
                <w:color w:val="auto"/>
                <w:szCs w:val="21"/>
                <w:highlight w:val="none"/>
              </w:rPr>
              <w:t xml:space="preserve">C.根据中国银保监会《关于印发保险公司城乡居民大病保险业务管理办法的通知》（银保监发〔2021〕12号）的文件规定，须经江苏银保监局公示的具有承办江苏省辖内大病保险经营资质的保险公司； </w:t>
            </w:r>
          </w:p>
          <w:p>
            <w:pPr>
              <w:spacing w:line="276" w:lineRule="auto"/>
              <w:rPr>
                <w:rFonts w:hint="eastAsia"/>
                <w:bCs/>
                <w:color w:val="auto"/>
                <w:szCs w:val="21"/>
                <w:highlight w:val="none"/>
              </w:rPr>
            </w:pPr>
            <w:r>
              <w:rPr>
                <w:rFonts w:hint="eastAsia"/>
                <w:bCs/>
                <w:color w:val="auto"/>
                <w:szCs w:val="21"/>
                <w:highlight w:val="none"/>
              </w:rPr>
              <w:t xml:space="preserve">D.本项目不接受联合体投标。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1" w:hRule="atLeast"/>
        </w:trPr>
        <w:tc>
          <w:tcPr>
            <w:tcW w:w="735" w:type="dxa"/>
            <w:vAlign w:val="center"/>
          </w:tcPr>
          <w:p>
            <w:pPr>
              <w:spacing w:line="360" w:lineRule="exact"/>
              <w:jc w:val="center"/>
              <w:rPr>
                <w:rFonts w:hint="eastAsia" w:ascii="宋体" w:hAnsi="宋体"/>
                <w:bCs/>
                <w:color w:val="auto"/>
                <w:sz w:val="24"/>
                <w:szCs w:val="24"/>
                <w:highlight w:val="none"/>
              </w:rPr>
            </w:pPr>
            <w:r>
              <w:rPr>
                <w:rFonts w:hint="eastAsia" w:ascii="宋体" w:hAnsi="宋体"/>
                <w:bCs/>
                <w:color w:val="auto"/>
                <w:sz w:val="24"/>
                <w:szCs w:val="24"/>
                <w:highlight w:val="none"/>
              </w:rPr>
              <w:t>4</w:t>
            </w:r>
          </w:p>
        </w:tc>
        <w:tc>
          <w:tcPr>
            <w:tcW w:w="9135" w:type="dxa"/>
            <w:vAlign w:val="center"/>
          </w:tcPr>
          <w:p>
            <w:pPr>
              <w:spacing w:line="276" w:lineRule="auto"/>
              <w:rPr>
                <w:rFonts w:hint="eastAsia"/>
                <w:bCs/>
                <w:color w:val="auto"/>
                <w:szCs w:val="21"/>
                <w:highlight w:val="none"/>
              </w:rPr>
            </w:pPr>
            <w:r>
              <w:rPr>
                <w:rFonts w:hint="eastAsia"/>
                <w:bCs/>
                <w:color w:val="auto"/>
                <w:szCs w:val="21"/>
                <w:highlight w:val="none"/>
              </w:rPr>
              <w:t>招标文件提供期限：2</w:t>
            </w:r>
            <w:r>
              <w:rPr>
                <w:bCs/>
                <w:color w:val="auto"/>
                <w:szCs w:val="21"/>
                <w:highlight w:val="none"/>
              </w:rPr>
              <w:t>02</w:t>
            </w:r>
            <w:r>
              <w:rPr>
                <w:rFonts w:hint="eastAsia"/>
                <w:bCs/>
                <w:color w:val="auto"/>
                <w:szCs w:val="21"/>
                <w:highlight w:val="none"/>
              </w:rPr>
              <w:t>3年2月27日至2</w:t>
            </w:r>
            <w:r>
              <w:rPr>
                <w:bCs/>
                <w:color w:val="auto"/>
                <w:szCs w:val="21"/>
                <w:highlight w:val="none"/>
              </w:rPr>
              <w:t>02</w:t>
            </w:r>
            <w:r>
              <w:rPr>
                <w:rFonts w:hint="eastAsia"/>
                <w:bCs/>
                <w:color w:val="auto"/>
                <w:szCs w:val="21"/>
                <w:highlight w:val="none"/>
              </w:rPr>
              <w:t>3年3月3日</w:t>
            </w:r>
            <w:r>
              <w:rPr>
                <w:bCs/>
                <w:color w:val="auto"/>
                <w:szCs w:val="21"/>
                <w:highlight w:val="none"/>
              </w:rPr>
              <w:t>（上午</w:t>
            </w:r>
            <w:r>
              <w:rPr>
                <w:rFonts w:hint="eastAsia"/>
                <w:bCs/>
                <w:color w:val="auto"/>
                <w:szCs w:val="21"/>
                <w:highlight w:val="none"/>
              </w:rPr>
              <w:t>8</w:t>
            </w:r>
            <w:r>
              <w:rPr>
                <w:bCs/>
                <w:color w:val="auto"/>
                <w:szCs w:val="21"/>
                <w:highlight w:val="none"/>
              </w:rPr>
              <w:t>：</w:t>
            </w:r>
            <w:r>
              <w:rPr>
                <w:rFonts w:hint="eastAsia"/>
                <w:bCs/>
                <w:color w:val="auto"/>
                <w:szCs w:val="21"/>
                <w:highlight w:val="none"/>
              </w:rPr>
              <w:t>3</w:t>
            </w:r>
            <w:r>
              <w:rPr>
                <w:bCs/>
                <w:color w:val="auto"/>
                <w:szCs w:val="21"/>
                <w:highlight w:val="none"/>
              </w:rPr>
              <w:t>0-11：30，下午13：30-17：00）。</w:t>
            </w:r>
            <w:r>
              <w:rPr>
                <w:rFonts w:hint="eastAsia"/>
                <w:bCs/>
                <w:color w:val="auto"/>
                <w:szCs w:val="21"/>
                <w:highlight w:val="none"/>
              </w:rPr>
              <w:t>（北京时间，法定节假日除外）</w:t>
            </w:r>
          </w:p>
          <w:p>
            <w:pPr>
              <w:rPr>
                <w:rFonts w:ascii="宋体" w:hAnsi="宋体"/>
                <w:bCs/>
                <w:color w:val="auto"/>
                <w:szCs w:val="21"/>
                <w:highlight w:val="none"/>
              </w:rPr>
            </w:pPr>
            <w:r>
              <w:rPr>
                <w:rFonts w:hint="eastAsia" w:ascii="宋体" w:hAnsi="宋体"/>
                <w:bCs/>
                <w:color w:val="auto"/>
                <w:szCs w:val="21"/>
                <w:highlight w:val="none"/>
              </w:rPr>
              <w:t>售价：捌佰元/份（不接受现金），招标文件售后不退。（</w:t>
            </w:r>
            <w:r>
              <w:rPr>
                <w:rFonts w:hint="eastAsia" w:ascii="宋体" w:hAnsi="宋体"/>
                <w:b/>
                <w:bCs/>
                <w:color w:val="auto"/>
                <w:szCs w:val="21"/>
                <w:highlight w:val="none"/>
              </w:rPr>
              <w:t>获取招标文件时，投标人提供营业执照副本复印件</w:t>
            </w:r>
            <w:r>
              <w:rPr>
                <w:rFonts w:hint="eastAsia" w:ascii="宋体" w:hAnsi="宋体"/>
                <w:bCs/>
                <w:color w:val="auto"/>
                <w:szCs w:val="21"/>
                <w:highlight w:val="none"/>
              </w:rPr>
              <w:t>）</w:t>
            </w:r>
          </w:p>
          <w:p>
            <w:pPr>
              <w:spacing w:line="276" w:lineRule="auto"/>
              <w:rPr>
                <w:rFonts w:hint="eastAsia" w:ascii="宋体" w:hAnsi="宋体"/>
                <w:bCs/>
                <w:color w:val="auto"/>
                <w:szCs w:val="21"/>
                <w:highlight w:val="none"/>
              </w:rPr>
            </w:pPr>
            <w:r>
              <w:rPr>
                <w:rFonts w:hint="eastAsia" w:ascii="宋体" w:hAnsi="宋体"/>
                <w:bCs/>
                <w:color w:val="auto"/>
                <w:szCs w:val="21"/>
                <w:highlight w:val="none"/>
              </w:rPr>
              <w:t>收款单位：恒泰保险经纪有限公司</w:t>
            </w:r>
          </w:p>
          <w:p>
            <w:pPr>
              <w:spacing w:line="276" w:lineRule="auto"/>
              <w:rPr>
                <w:rFonts w:hint="eastAsia" w:ascii="宋体" w:hAnsi="宋体"/>
                <w:bCs/>
                <w:color w:val="auto"/>
                <w:szCs w:val="21"/>
                <w:highlight w:val="none"/>
              </w:rPr>
            </w:pPr>
            <w:r>
              <w:rPr>
                <w:rFonts w:hint="eastAsia" w:ascii="宋体" w:hAnsi="宋体"/>
                <w:bCs/>
                <w:color w:val="auto"/>
                <w:szCs w:val="21"/>
                <w:highlight w:val="none"/>
              </w:rPr>
              <w:t>开户银行：中国工商银行南京城北支行</w:t>
            </w:r>
          </w:p>
          <w:p>
            <w:pPr>
              <w:spacing w:line="276" w:lineRule="auto"/>
              <w:rPr>
                <w:rFonts w:hint="eastAsia" w:ascii="宋体" w:hAnsi="宋体"/>
                <w:bCs/>
                <w:color w:val="auto"/>
                <w:szCs w:val="21"/>
                <w:highlight w:val="none"/>
              </w:rPr>
            </w:pPr>
            <w:r>
              <w:rPr>
                <w:rFonts w:hint="eastAsia" w:ascii="宋体" w:hAnsi="宋体"/>
                <w:bCs/>
                <w:color w:val="auto"/>
                <w:szCs w:val="21"/>
                <w:highlight w:val="none"/>
              </w:rPr>
              <w:t>账号：4301010919100529942</w:t>
            </w:r>
          </w:p>
          <w:p>
            <w:pPr>
              <w:spacing w:line="276" w:lineRule="auto"/>
              <w:rPr>
                <w:rFonts w:hint="eastAsia" w:ascii="宋体" w:hAnsi="宋体"/>
                <w:bCs/>
                <w:color w:val="auto"/>
                <w:szCs w:val="21"/>
                <w:highlight w:val="none"/>
              </w:rPr>
            </w:pPr>
            <w:r>
              <w:rPr>
                <w:rFonts w:hint="eastAsia" w:ascii="宋体" w:hAnsi="宋体"/>
                <w:bCs/>
                <w:color w:val="auto"/>
                <w:szCs w:val="21"/>
                <w:highlight w:val="none"/>
              </w:rPr>
              <w:t>获取招标文件地点：无锡市滨湖区中南西路369号路劲天御售楼部2楼综合办公室202</w:t>
            </w:r>
          </w:p>
          <w:p>
            <w:pPr>
              <w:spacing w:line="276" w:lineRule="auto"/>
              <w:rPr>
                <w:rFonts w:hint="eastAsia" w:ascii="宋体" w:hAnsi="宋体"/>
                <w:bCs/>
                <w:color w:val="auto"/>
                <w:szCs w:val="21"/>
                <w:highlight w:val="none"/>
              </w:rPr>
            </w:pPr>
            <w:r>
              <w:rPr>
                <w:rFonts w:hint="eastAsia" w:ascii="宋体" w:hAnsi="宋体"/>
                <w:b/>
                <w:color w:val="auto"/>
                <w:szCs w:val="21"/>
                <w:highlight w:val="none"/>
              </w:rPr>
              <w:t>备注：对于同一个大病保险标段，同一保险集团公司参与投标的子公司仅限一家；且投标人只能选择一个标段进行投标。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35" w:type="dxa"/>
            <w:vAlign w:val="center"/>
          </w:tcPr>
          <w:p>
            <w:pPr>
              <w:spacing w:line="360" w:lineRule="exact"/>
              <w:jc w:val="center"/>
              <w:rPr>
                <w:rFonts w:hint="eastAsia" w:ascii="宋体" w:hAnsi="宋体"/>
                <w:bCs/>
                <w:color w:val="auto"/>
                <w:sz w:val="24"/>
                <w:szCs w:val="24"/>
                <w:highlight w:val="none"/>
              </w:rPr>
            </w:pPr>
            <w:r>
              <w:rPr>
                <w:rFonts w:hint="eastAsia" w:ascii="宋体" w:hAnsi="宋体"/>
                <w:bCs/>
                <w:color w:val="auto"/>
                <w:sz w:val="24"/>
                <w:szCs w:val="24"/>
                <w:highlight w:val="none"/>
              </w:rPr>
              <w:t>5</w:t>
            </w:r>
          </w:p>
        </w:tc>
        <w:tc>
          <w:tcPr>
            <w:tcW w:w="9135" w:type="dxa"/>
            <w:vAlign w:val="center"/>
          </w:tcPr>
          <w:p>
            <w:pPr>
              <w:spacing w:line="276" w:lineRule="auto"/>
              <w:rPr>
                <w:rFonts w:hint="eastAsia" w:ascii="宋体" w:hAnsi="宋体" w:eastAsia="宋体"/>
                <w:bCs/>
                <w:color w:val="auto"/>
                <w:szCs w:val="21"/>
                <w:highlight w:val="none"/>
                <w:lang w:val="en-US" w:eastAsia="zh-CN"/>
              </w:rPr>
            </w:pPr>
            <w:r>
              <w:rPr>
                <w:rFonts w:hint="eastAsia" w:ascii="宋体" w:hAnsi="宋体"/>
                <w:bCs/>
                <w:color w:val="auto"/>
                <w:szCs w:val="21"/>
                <w:highlight w:val="none"/>
              </w:rPr>
              <w:t>公开答疑会时间：2023年3月7日上午9：30。投标人请于2023年3月6日上午10：00前，将需答疑事项以电子邮件及传真件形式发送给投标文件接收人。</w:t>
            </w:r>
          </w:p>
          <w:p>
            <w:pPr>
              <w:spacing w:line="276" w:lineRule="auto"/>
              <w:rPr>
                <w:rFonts w:hint="eastAsia" w:ascii="宋体" w:hAnsi="宋体"/>
                <w:bCs/>
                <w:color w:val="auto"/>
                <w:szCs w:val="21"/>
                <w:highlight w:val="none"/>
              </w:rPr>
            </w:pPr>
            <w:r>
              <w:rPr>
                <w:rFonts w:hint="eastAsia" w:ascii="宋体" w:hAnsi="宋体"/>
                <w:bCs/>
                <w:color w:val="auto"/>
                <w:szCs w:val="21"/>
                <w:highlight w:val="none"/>
              </w:rPr>
              <w:t>邮箱地址：guzq@jsgx.net</w:t>
            </w:r>
          </w:p>
          <w:p>
            <w:pPr>
              <w:spacing w:line="276" w:lineRule="auto"/>
              <w:rPr>
                <w:rFonts w:hint="eastAsia" w:ascii="宋体" w:hAnsi="宋体"/>
                <w:bCs/>
                <w:color w:val="auto"/>
                <w:szCs w:val="21"/>
                <w:highlight w:val="none"/>
              </w:rPr>
            </w:pPr>
            <w:r>
              <w:rPr>
                <w:rFonts w:hint="eastAsia" w:ascii="宋体" w:hAnsi="宋体"/>
                <w:bCs/>
                <w:color w:val="auto"/>
                <w:szCs w:val="21"/>
                <w:highlight w:val="none"/>
              </w:rPr>
              <w:t>传真号：0510-81833895</w:t>
            </w:r>
          </w:p>
          <w:p>
            <w:pPr>
              <w:spacing w:line="276" w:lineRule="auto"/>
              <w:rPr>
                <w:rFonts w:hint="eastAsia" w:ascii="宋体" w:hAnsi="宋体"/>
                <w:bCs/>
                <w:color w:val="auto"/>
                <w:szCs w:val="21"/>
                <w:highlight w:val="none"/>
              </w:rPr>
            </w:pPr>
            <w:r>
              <w:rPr>
                <w:rFonts w:hint="eastAsia" w:ascii="宋体" w:hAnsi="宋体"/>
                <w:bCs/>
                <w:color w:val="auto"/>
                <w:szCs w:val="21"/>
                <w:highlight w:val="none"/>
              </w:rPr>
              <w:t>公开答疑会地点：无锡市滨湖区中南西路369号路劲天御售楼部2楼201室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735" w:type="dxa"/>
            <w:vAlign w:val="center"/>
          </w:tcPr>
          <w:p>
            <w:pPr>
              <w:spacing w:line="360" w:lineRule="exact"/>
              <w:jc w:val="center"/>
              <w:rPr>
                <w:rFonts w:hint="eastAsia" w:ascii="宋体" w:hAnsi="宋体"/>
                <w:bCs/>
                <w:color w:val="auto"/>
                <w:sz w:val="24"/>
                <w:szCs w:val="24"/>
                <w:highlight w:val="none"/>
              </w:rPr>
            </w:pPr>
            <w:r>
              <w:rPr>
                <w:rFonts w:hint="eastAsia" w:ascii="宋体" w:hAnsi="宋体"/>
                <w:bCs/>
                <w:color w:val="auto"/>
                <w:sz w:val="24"/>
                <w:szCs w:val="24"/>
                <w:highlight w:val="none"/>
              </w:rPr>
              <w:t>6</w:t>
            </w:r>
          </w:p>
        </w:tc>
        <w:tc>
          <w:tcPr>
            <w:tcW w:w="9135" w:type="dxa"/>
            <w:vAlign w:val="center"/>
          </w:tcPr>
          <w:p>
            <w:pPr>
              <w:spacing w:line="276" w:lineRule="auto"/>
              <w:rPr>
                <w:rFonts w:hint="eastAsia" w:ascii="宋体" w:hAnsi="宋体"/>
                <w:bCs/>
                <w:color w:val="auto"/>
                <w:szCs w:val="21"/>
                <w:highlight w:val="none"/>
              </w:rPr>
            </w:pPr>
            <w:r>
              <w:rPr>
                <w:rFonts w:hint="eastAsia" w:ascii="宋体" w:hAnsi="宋体"/>
                <w:bCs/>
                <w:color w:val="auto"/>
                <w:szCs w:val="21"/>
                <w:highlight w:val="none"/>
              </w:rPr>
              <w:t>投标保证金:无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spacing w:line="360" w:lineRule="exact"/>
              <w:jc w:val="center"/>
              <w:rPr>
                <w:rFonts w:hint="eastAsia" w:ascii="宋体" w:hAnsi="宋体"/>
                <w:bCs/>
                <w:color w:val="auto"/>
                <w:sz w:val="24"/>
                <w:szCs w:val="24"/>
                <w:highlight w:val="none"/>
              </w:rPr>
            </w:pPr>
            <w:r>
              <w:rPr>
                <w:rFonts w:hint="eastAsia" w:ascii="宋体" w:hAnsi="宋体"/>
                <w:bCs/>
                <w:color w:val="auto"/>
                <w:sz w:val="24"/>
                <w:szCs w:val="24"/>
                <w:highlight w:val="none"/>
              </w:rPr>
              <w:t>7</w:t>
            </w:r>
          </w:p>
        </w:tc>
        <w:tc>
          <w:tcPr>
            <w:tcW w:w="9135" w:type="dxa"/>
            <w:vAlign w:val="center"/>
          </w:tcPr>
          <w:p>
            <w:pPr>
              <w:spacing w:line="276" w:lineRule="auto"/>
              <w:rPr>
                <w:rFonts w:hint="eastAsia" w:ascii="宋体" w:hAnsi="宋体"/>
                <w:bCs/>
                <w:color w:val="auto"/>
                <w:szCs w:val="21"/>
                <w:highlight w:val="none"/>
              </w:rPr>
            </w:pPr>
            <w:r>
              <w:rPr>
                <w:rFonts w:hint="eastAsia" w:ascii="宋体" w:hAnsi="宋体"/>
                <w:bCs/>
                <w:color w:val="auto"/>
                <w:szCs w:val="21"/>
                <w:highlight w:val="none"/>
              </w:rPr>
              <w:t>投标有效期：提交投标文件的截止之日起90天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735" w:type="dxa"/>
            <w:vAlign w:val="center"/>
          </w:tcPr>
          <w:p>
            <w:pPr>
              <w:spacing w:line="360" w:lineRule="exact"/>
              <w:jc w:val="center"/>
              <w:rPr>
                <w:rFonts w:hint="eastAsia" w:ascii="宋体" w:hAnsi="宋体"/>
                <w:bCs/>
                <w:color w:val="auto"/>
                <w:sz w:val="24"/>
                <w:szCs w:val="24"/>
                <w:highlight w:val="none"/>
              </w:rPr>
            </w:pPr>
            <w:r>
              <w:rPr>
                <w:rFonts w:hint="eastAsia" w:ascii="宋体" w:hAnsi="宋体"/>
                <w:bCs/>
                <w:color w:val="auto"/>
                <w:sz w:val="24"/>
                <w:szCs w:val="24"/>
                <w:highlight w:val="none"/>
              </w:rPr>
              <w:t>8</w:t>
            </w:r>
          </w:p>
        </w:tc>
        <w:tc>
          <w:tcPr>
            <w:tcW w:w="9135" w:type="dxa"/>
            <w:vAlign w:val="center"/>
          </w:tcPr>
          <w:p>
            <w:pPr>
              <w:spacing w:line="276" w:lineRule="auto"/>
              <w:rPr>
                <w:rFonts w:hint="eastAsia" w:ascii="宋体" w:hAnsi="宋体"/>
                <w:bCs/>
                <w:color w:val="auto"/>
                <w:szCs w:val="21"/>
                <w:highlight w:val="none"/>
              </w:rPr>
            </w:pPr>
            <w:r>
              <w:rPr>
                <w:rFonts w:hint="eastAsia" w:ascii="宋体" w:hAnsi="宋体"/>
                <w:bCs/>
                <w:color w:val="auto"/>
                <w:szCs w:val="21"/>
                <w:highlight w:val="none"/>
              </w:rPr>
              <w:t>投标时间：2023年3月20日12:30至13：00截止，截止期后的投标文件恕不接受。</w:t>
            </w:r>
          </w:p>
          <w:p>
            <w:pPr>
              <w:spacing w:line="276" w:lineRule="auto"/>
              <w:rPr>
                <w:rFonts w:hint="eastAsia" w:ascii="宋体" w:hAnsi="宋体"/>
                <w:bCs/>
                <w:color w:val="auto"/>
                <w:szCs w:val="21"/>
                <w:highlight w:val="none"/>
              </w:rPr>
            </w:pPr>
            <w:r>
              <w:rPr>
                <w:rFonts w:hint="eastAsia" w:ascii="宋体" w:hAnsi="宋体"/>
                <w:bCs/>
                <w:color w:val="auto"/>
                <w:szCs w:val="21"/>
                <w:highlight w:val="none"/>
              </w:rPr>
              <w:t>投标地点：无锡市滨湖区中南西路369号路劲天御售楼部2楼201室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35" w:type="dxa"/>
            <w:vAlign w:val="center"/>
          </w:tcPr>
          <w:p>
            <w:pPr>
              <w:spacing w:line="360" w:lineRule="exact"/>
              <w:jc w:val="center"/>
              <w:rPr>
                <w:rFonts w:hint="eastAsia" w:ascii="宋体" w:hAnsi="宋体"/>
                <w:bCs/>
                <w:color w:val="auto"/>
                <w:sz w:val="24"/>
                <w:szCs w:val="24"/>
                <w:highlight w:val="none"/>
              </w:rPr>
            </w:pPr>
            <w:r>
              <w:rPr>
                <w:rFonts w:hint="eastAsia" w:ascii="宋体" w:hAnsi="宋体"/>
                <w:bCs/>
                <w:color w:val="auto"/>
                <w:sz w:val="24"/>
                <w:szCs w:val="24"/>
                <w:highlight w:val="none"/>
              </w:rPr>
              <w:t>9</w:t>
            </w:r>
          </w:p>
        </w:tc>
        <w:tc>
          <w:tcPr>
            <w:tcW w:w="9135" w:type="dxa"/>
            <w:vAlign w:val="center"/>
          </w:tcPr>
          <w:p>
            <w:pPr>
              <w:spacing w:line="276" w:lineRule="auto"/>
              <w:rPr>
                <w:rFonts w:hint="eastAsia" w:ascii="宋体" w:hAnsi="宋体"/>
                <w:bCs/>
                <w:color w:val="auto"/>
                <w:szCs w:val="21"/>
                <w:highlight w:val="none"/>
              </w:rPr>
            </w:pPr>
            <w:r>
              <w:rPr>
                <w:rFonts w:hint="eastAsia" w:ascii="宋体" w:hAnsi="宋体"/>
                <w:bCs/>
                <w:color w:val="auto"/>
                <w:szCs w:val="21"/>
                <w:highlight w:val="none"/>
              </w:rPr>
              <w:t>开标时间：2023年3月20日13:00</w:t>
            </w:r>
          </w:p>
          <w:p>
            <w:pPr>
              <w:spacing w:line="276" w:lineRule="auto"/>
              <w:rPr>
                <w:rFonts w:hint="eastAsia" w:ascii="宋体" w:hAnsi="宋体"/>
                <w:bCs/>
                <w:color w:val="auto"/>
                <w:szCs w:val="21"/>
                <w:highlight w:val="none"/>
              </w:rPr>
            </w:pPr>
            <w:r>
              <w:rPr>
                <w:rFonts w:hint="eastAsia" w:ascii="宋体" w:hAnsi="宋体"/>
                <w:bCs/>
                <w:color w:val="auto"/>
                <w:szCs w:val="21"/>
                <w:highlight w:val="none"/>
              </w:rPr>
              <w:t>开标地点：无锡市滨湖区中南西路369号路劲天御售楼部2楼201室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35" w:type="dxa"/>
            <w:vAlign w:val="center"/>
          </w:tcPr>
          <w:p>
            <w:pPr>
              <w:spacing w:line="360" w:lineRule="exact"/>
              <w:jc w:val="center"/>
              <w:rPr>
                <w:rFonts w:hint="eastAsia" w:ascii="宋体" w:hAnsi="宋体"/>
                <w:bCs/>
                <w:color w:val="auto"/>
                <w:sz w:val="24"/>
                <w:szCs w:val="24"/>
                <w:highlight w:val="none"/>
              </w:rPr>
            </w:pPr>
            <w:r>
              <w:rPr>
                <w:rFonts w:hint="eastAsia" w:ascii="宋体" w:hAnsi="宋体"/>
                <w:bCs/>
                <w:color w:val="auto"/>
                <w:sz w:val="24"/>
                <w:szCs w:val="24"/>
                <w:highlight w:val="none"/>
              </w:rPr>
              <w:t>10</w:t>
            </w:r>
          </w:p>
        </w:tc>
        <w:tc>
          <w:tcPr>
            <w:tcW w:w="9135" w:type="dxa"/>
            <w:vAlign w:val="center"/>
          </w:tcPr>
          <w:p>
            <w:pPr>
              <w:spacing w:line="276" w:lineRule="auto"/>
              <w:rPr>
                <w:rFonts w:hint="eastAsia" w:ascii="宋体" w:hAnsi="宋体"/>
                <w:bCs/>
                <w:color w:val="auto"/>
                <w:szCs w:val="21"/>
                <w:highlight w:val="none"/>
              </w:rPr>
            </w:pPr>
            <w:r>
              <w:rPr>
                <w:rFonts w:hint="eastAsia" w:ascii="宋体" w:hAnsi="宋体"/>
                <w:bCs/>
                <w:color w:val="auto"/>
                <w:szCs w:val="21"/>
                <w:highlight w:val="none"/>
              </w:rPr>
              <w:t>定标时间：2023年3月20日评标结束后</w:t>
            </w:r>
          </w:p>
          <w:p>
            <w:pPr>
              <w:spacing w:line="276" w:lineRule="auto"/>
              <w:rPr>
                <w:rFonts w:hint="eastAsia" w:ascii="宋体" w:hAnsi="宋体"/>
                <w:bCs/>
                <w:color w:val="auto"/>
                <w:szCs w:val="21"/>
                <w:highlight w:val="none"/>
              </w:rPr>
            </w:pPr>
            <w:r>
              <w:rPr>
                <w:rFonts w:hint="eastAsia" w:ascii="宋体" w:hAnsi="宋体"/>
                <w:bCs/>
                <w:color w:val="auto"/>
                <w:szCs w:val="21"/>
                <w:highlight w:val="none"/>
              </w:rPr>
              <w:t>定标地点：无锡市滨湖区中南西路369号路劲天御售楼部2楼201室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35" w:type="dxa"/>
            <w:vAlign w:val="center"/>
          </w:tcPr>
          <w:p>
            <w:pPr>
              <w:spacing w:line="360" w:lineRule="exact"/>
              <w:jc w:val="center"/>
              <w:rPr>
                <w:rFonts w:hint="eastAsia" w:ascii="宋体" w:hAnsi="宋体"/>
                <w:bCs/>
                <w:color w:val="auto"/>
                <w:sz w:val="24"/>
                <w:szCs w:val="24"/>
                <w:highlight w:val="none"/>
              </w:rPr>
            </w:pPr>
            <w:r>
              <w:rPr>
                <w:rFonts w:hint="eastAsia" w:ascii="宋体" w:hAnsi="宋体"/>
                <w:bCs/>
                <w:color w:val="auto"/>
                <w:sz w:val="24"/>
                <w:szCs w:val="24"/>
                <w:highlight w:val="none"/>
              </w:rPr>
              <w:t>11</w:t>
            </w:r>
          </w:p>
        </w:tc>
        <w:tc>
          <w:tcPr>
            <w:tcW w:w="9135" w:type="dxa"/>
            <w:vAlign w:val="center"/>
          </w:tcPr>
          <w:p>
            <w:pPr>
              <w:spacing w:line="276" w:lineRule="auto"/>
              <w:rPr>
                <w:rFonts w:hint="eastAsia" w:ascii="宋体" w:hAnsi="宋体"/>
                <w:bCs/>
                <w:color w:val="auto"/>
                <w:szCs w:val="21"/>
                <w:highlight w:val="none"/>
              </w:rPr>
            </w:pPr>
            <w:r>
              <w:rPr>
                <w:rFonts w:hint="eastAsia" w:ascii="宋体" w:hAnsi="宋体"/>
                <w:bCs/>
                <w:color w:val="auto"/>
                <w:szCs w:val="21"/>
                <w:highlight w:val="none"/>
              </w:rPr>
              <w:t>投标文件：</w:t>
            </w:r>
          </w:p>
          <w:p>
            <w:pPr>
              <w:spacing w:line="276" w:lineRule="auto"/>
              <w:rPr>
                <w:rFonts w:hint="eastAsia" w:ascii="宋体" w:hAnsi="宋体"/>
                <w:bCs/>
                <w:color w:val="auto"/>
                <w:szCs w:val="21"/>
                <w:highlight w:val="none"/>
              </w:rPr>
            </w:pPr>
            <w:r>
              <w:rPr>
                <w:rFonts w:hint="eastAsia" w:ascii="宋体" w:hAnsi="宋体"/>
                <w:bCs/>
                <w:color w:val="auto"/>
                <w:szCs w:val="21"/>
                <w:highlight w:val="none"/>
              </w:rPr>
              <w:t>明标正本份数一份，副本份数二份；</w:t>
            </w:r>
            <w:r>
              <w:rPr>
                <w:rFonts w:hint="eastAsia" w:ascii="宋体" w:hAnsi="宋体"/>
                <w:b/>
                <w:color w:val="auto"/>
                <w:szCs w:val="21"/>
                <w:highlight w:val="none"/>
              </w:rPr>
              <w:t>价格响应函、运营成本和控费奖励比例另行各制作一份；</w:t>
            </w:r>
            <w:r>
              <w:rPr>
                <w:rFonts w:hint="eastAsia" w:ascii="宋体" w:hAnsi="宋体"/>
                <w:bCs/>
                <w:color w:val="auto"/>
                <w:szCs w:val="21"/>
                <w:highlight w:val="none"/>
              </w:rPr>
              <w:t xml:space="preserve"> </w:t>
            </w:r>
          </w:p>
          <w:p>
            <w:pPr>
              <w:spacing w:line="276" w:lineRule="auto"/>
              <w:rPr>
                <w:rFonts w:hint="eastAsia" w:ascii="宋体" w:hAnsi="宋体"/>
                <w:bCs/>
                <w:color w:val="auto"/>
                <w:szCs w:val="21"/>
                <w:highlight w:val="none"/>
              </w:rPr>
            </w:pPr>
            <w:r>
              <w:rPr>
                <w:rFonts w:hint="eastAsia" w:ascii="宋体" w:hAnsi="宋体"/>
                <w:bCs/>
                <w:color w:val="auto"/>
                <w:szCs w:val="21"/>
                <w:highlight w:val="none"/>
              </w:rPr>
              <w:t>暗标正本份数一份，副本份数柒份。</w:t>
            </w:r>
            <w:r>
              <w:rPr>
                <w:rFonts w:hint="eastAsia" w:ascii="宋体" w:hAnsi="宋体"/>
                <w:b/>
                <w:color w:val="auto"/>
                <w:szCs w:val="21"/>
                <w:highlight w:val="none"/>
              </w:rPr>
              <w:t>投标文件电子档不加密（word文档，U盘或光盘一份）。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8" w:hRule="atLeast"/>
        </w:trPr>
        <w:tc>
          <w:tcPr>
            <w:tcW w:w="735" w:type="dxa"/>
            <w:vAlign w:val="center"/>
          </w:tcPr>
          <w:p>
            <w:pPr>
              <w:spacing w:line="360" w:lineRule="exact"/>
              <w:jc w:val="center"/>
              <w:rPr>
                <w:rFonts w:hint="eastAsia" w:ascii="宋体" w:hAnsi="宋体"/>
                <w:bCs/>
                <w:color w:val="auto"/>
                <w:sz w:val="24"/>
                <w:szCs w:val="24"/>
                <w:highlight w:val="none"/>
              </w:rPr>
            </w:pPr>
            <w:r>
              <w:rPr>
                <w:rFonts w:hint="eastAsia" w:ascii="宋体" w:hAnsi="宋体"/>
                <w:bCs/>
                <w:color w:val="auto"/>
                <w:sz w:val="24"/>
                <w:szCs w:val="24"/>
                <w:highlight w:val="none"/>
              </w:rPr>
              <w:t>12</w:t>
            </w:r>
          </w:p>
        </w:tc>
        <w:tc>
          <w:tcPr>
            <w:tcW w:w="9135" w:type="dxa"/>
            <w:vAlign w:val="center"/>
          </w:tcPr>
          <w:p>
            <w:pPr>
              <w:spacing w:line="276" w:lineRule="auto"/>
              <w:rPr>
                <w:rFonts w:hint="eastAsia" w:ascii="宋体" w:hAnsi="宋体"/>
                <w:bCs/>
                <w:color w:val="auto"/>
                <w:szCs w:val="21"/>
                <w:highlight w:val="none"/>
              </w:rPr>
            </w:pPr>
            <w:r>
              <w:rPr>
                <w:rFonts w:hint="eastAsia" w:ascii="宋体" w:hAnsi="宋体"/>
                <w:bCs/>
                <w:color w:val="auto"/>
                <w:szCs w:val="21"/>
                <w:highlight w:val="none"/>
              </w:rPr>
              <w:t>有关本次招标活动程序方面的问题</w:t>
            </w:r>
            <w:r>
              <w:rPr>
                <w:rFonts w:ascii="宋体" w:hAnsi="宋体"/>
                <w:bCs/>
                <w:color w:val="auto"/>
                <w:szCs w:val="21"/>
                <w:highlight w:val="none"/>
              </w:rPr>
              <w:t>,</w:t>
            </w:r>
            <w:r>
              <w:rPr>
                <w:rFonts w:hint="eastAsia" w:ascii="宋体" w:hAnsi="宋体"/>
                <w:bCs/>
                <w:color w:val="auto"/>
                <w:szCs w:val="21"/>
                <w:highlight w:val="none"/>
              </w:rPr>
              <w:t>可来人、来函（传真）或电话联系。</w:t>
            </w:r>
          </w:p>
          <w:p>
            <w:pPr>
              <w:spacing w:line="276" w:lineRule="auto"/>
              <w:rPr>
                <w:rFonts w:ascii="宋体" w:hAnsi="宋体"/>
                <w:bCs/>
                <w:color w:val="auto"/>
                <w:szCs w:val="21"/>
                <w:highlight w:val="none"/>
              </w:rPr>
            </w:pPr>
            <w:r>
              <w:rPr>
                <w:rFonts w:hint="eastAsia" w:ascii="宋体" w:hAnsi="宋体"/>
                <w:bCs/>
                <w:color w:val="auto"/>
                <w:szCs w:val="21"/>
                <w:highlight w:val="none"/>
              </w:rPr>
              <w:t>联系地址：无锡市滨湖区中南西路369号路劲天御售楼部2楼202综合办公室</w:t>
            </w:r>
          </w:p>
          <w:p>
            <w:pPr>
              <w:spacing w:line="276" w:lineRule="auto"/>
              <w:rPr>
                <w:rFonts w:hint="eastAsia" w:ascii="宋体" w:hAnsi="宋体"/>
                <w:bCs/>
                <w:color w:val="auto"/>
                <w:szCs w:val="21"/>
                <w:highlight w:val="none"/>
              </w:rPr>
            </w:pPr>
            <w:r>
              <w:rPr>
                <w:rFonts w:hint="eastAsia" w:ascii="宋体" w:hAnsi="宋体"/>
                <w:bCs/>
                <w:color w:val="auto"/>
                <w:szCs w:val="21"/>
                <w:highlight w:val="none"/>
              </w:rPr>
              <w:t>联 系 人：商亭悦、杜 元、顾正勤</w:t>
            </w:r>
          </w:p>
          <w:p>
            <w:pPr>
              <w:spacing w:line="276" w:lineRule="auto"/>
              <w:rPr>
                <w:rFonts w:hint="eastAsia" w:ascii="宋体" w:hAnsi="宋体"/>
                <w:bCs/>
                <w:color w:val="auto"/>
                <w:szCs w:val="21"/>
                <w:highlight w:val="none"/>
              </w:rPr>
            </w:pPr>
            <w:r>
              <w:rPr>
                <w:rFonts w:hint="eastAsia" w:ascii="宋体" w:hAnsi="宋体"/>
                <w:bCs/>
                <w:color w:val="auto"/>
                <w:szCs w:val="21"/>
                <w:highlight w:val="none"/>
              </w:rPr>
              <w:t>联系电话：0510-81833895</w:t>
            </w:r>
          </w:p>
          <w:p>
            <w:pPr>
              <w:spacing w:line="276" w:lineRule="auto"/>
              <w:rPr>
                <w:rFonts w:hint="eastAsia" w:ascii="宋体" w:hAnsi="宋体"/>
                <w:bCs/>
                <w:color w:val="auto"/>
                <w:szCs w:val="21"/>
                <w:highlight w:val="none"/>
              </w:rPr>
            </w:pPr>
            <w:r>
              <w:rPr>
                <w:rFonts w:hint="eastAsia" w:ascii="宋体" w:hAnsi="宋体"/>
                <w:bCs/>
                <w:color w:val="auto"/>
                <w:szCs w:val="21"/>
                <w:highlight w:val="none"/>
              </w:rPr>
              <w:t>传    真：0510-81833895</w:t>
            </w:r>
          </w:p>
        </w:tc>
      </w:tr>
    </w:tbl>
    <w:p>
      <w:pPr>
        <w:spacing w:line="490" w:lineRule="exact"/>
        <w:jc w:val="center"/>
        <w:rPr>
          <w:rFonts w:hint="eastAsia" w:ascii="黑体" w:eastAsia="黑体"/>
          <w:bCs/>
          <w:color w:val="auto"/>
          <w:sz w:val="28"/>
          <w:szCs w:val="28"/>
          <w:highlight w:val="none"/>
        </w:rPr>
      </w:pPr>
      <w:bookmarkStart w:id="1" w:name="二．报价方须知"/>
      <w:bookmarkEnd w:id="1"/>
    </w:p>
    <w:p>
      <w:pPr>
        <w:spacing w:line="490" w:lineRule="exact"/>
        <w:jc w:val="center"/>
        <w:rPr>
          <w:rFonts w:hint="eastAsia" w:ascii="黑体" w:eastAsia="黑体"/>
          <w:bCs/>
          <w:color w:val="auto"/>
          <w:sz w:val="28"/>
          <w:szCs w:val="28"/>
          <w:highlight w:val="none"/>
        </w:rPr>
      </w:pPr>
      <w:r>
        <w:rPr>
          <w:rFonts w:hint="eastAsia" w:ascii="黑体" w:eastAsia="黑体"/>
          <w:bCs/>
          <w:color w:val="auto"/>
          <w:sz w:val="28"/>
          <w:szCs w:val="28"/>
          <w:highlight w:val="none"/>
        </w:rPr>
        <w:t>二、投标人须知</w:t>
      </w:r>
    </w:p>
    <w:p>
      <w:pPr>
        <w:numPr>
          <w:ilvl w:val="0"/>
          <w:numId w:val="2"/>
        </w:numPr>
        <w:tabs>
          <w:tab w:val="left" w:pos="735"/>
          <w:tab w:val="clear" w:pos="855"/>
        </w:tabs>
        <w:spacing w:line="360" w:lineRule="auto"/>
        <w:ind w:left="0" w:firstLine="420"/>
        <w:rPr>
          <w:rFonts w:hint="eastAsia" w:ascii="黑体" w:hAnsi="宋体" w:eastAsia="黑体"/>
          <w:bCs/>
          <w:color w:val="auto"/>
          <w:sz w:val="24"/>
          <w:szCs w:val="24"/>
          <w:highlight w:val="none"/>
        </w:rPr>
      </w:pPr>
      <w:bookmarkStart w:id="2" w:name="三．项目技术配置和有关说明"/>
      <w:bookmarkEnd w:id="2"/>
      <w:bookmarkStart w:id="3" w:name="四．合同书"/>
      <w:bookmarkEnd w:id="3"/>
      <w:r>
        <w:rPr>
          <w:rFonts w:hint="eastAsia" w:ascii="黑体" w:hAnsi="宋体" w:eastAsia="黑体"/>
          <w:bCs/>
          <w:color w:val="auto"/>
          <w:sz w:val="24"/>
          <w:szCs w:val="24"/>
          <w:highlight w:val="none"/>
        </w:rPr>
        <w:t>遵循原则</w:t>
      </w:r>
    </w:p>
    <w:p>
      <w:pPr>
        <w:spacing w:line="360" w:lineRule="auto"/>
        <w:ind w:firstLine="523" w:firstLineChars="218"/>
        <w:rPr>
          <w:rFonts w:hint="eastAsia" w:ascii="宋体" w:hAnsi="宋体"/>
          <w:bCs/>
          <w:color w:val="auto"/>
          <w:sz w:val="24"/>
          <w:szCs w:val="24"/>
          <w:highlight w:val="none"/>
        </w:rPr>
      </w:pPr>
      <w:r>
        <w:rPr>
          <w:rFonts w:hint="eastAsia" w:ascii="宋体" w:hAnsi="宋体"/>
          <w:bCs/>
          <w:color w:val="auto"/>
          <w:sz w:val="24"/>
          <w:szCs w:val="24"/>
          <w:highlight w:val="none"/>
        </w:rPr>
        <w:t>公开透明原则、公平竞争原则、公正原则和诚实信用原则。</w:t>
      </w:r>
    </w:p>
    <w:p>
      <w:pPr>
        <w:numPr>
          <w:ilvl w:val="0"/>
          <w:numId w:val="2"/>
        </w:numPr>
        <w:tabs>
          <w:tab w:val="left" w:pos="735"/>
          <w:tab w:val="clear" w:pos="855"/>
        </w:tabs>
        <w:spacing w:line="360" w:lineRule="auto"/>
        <w:ind w:left="0" w:firstLine="420"/>
        <w:rPr>
          <w:rFonts w:hint="eastAsia" w:ascii="黑体" w:hAnsi="宋体" w:eastAsia="黑体"/>
          <w:bCs/>
          <w:color w:val="auto"/>
          <w:sz w:val="24"/>
          <w:szCs w:val="24"/>
          <w:highlight w:val="none"/>
        </w:rPr>
      </w:pPr>
      <w:r>
        <w:rPr>
          <w:rFonts w:hint="eastAsia" w:ascii="黑体" w:hAnsi="宋体" w:eastAsia="黑体"/>
          <w:bCs/>
          <w:color w:val="auto"/>
          <w:sz w:val="24"/>
          <w:szCs w:val="24"/>
          <w:highlight w:val="none"/>
        </w:rPr>
        <w:t>招标文件</w:t>
      </w:r>
    </w:p>
    <w:p>
      <w:pPr>
        <w:tabs>
          <w:tab w:val="left" w:pos="1050"/>
        </w:tabs>
        <w:spacing w:line="360" w:lineRule="auto"/>
        <w:ind w:firstLine="480" w:firstLineChars="200"/>
        <w:rPr>
          <w:rFonts w:hint="eastAsia" w:ascii="宋体" w:hAnsi="宋体"/>
          <w:bCs/>
          <w:color w:val="auto"/>
          <w:sz w:val="24"/>
          <w:szCs w:val="24"/>
          <w:highlight w:val="none"/>
        </w:rPr>
      </w:pPr>
      <w:r>
        <w:rPr>
          <w:rFonts w:hint="eastAsia" w:ascii="宋体" w:hAnsi="宋体"/>
          <w:bCs/>
          <w:color w:val="auto"/>
          <w:sz w:val="24"/>
          <w:szCs w:val="24"/>
          <w:highlight w:val="none"/>
        </w:rPr>
        <w:t>1.招标文件包括本文件目录所列全部内容，投标人应仔细阅读，并在投标文件中充分反映招标文件的所有要求；</w:t>
      </w:r>
    </w:p>
    <w:p>
      <w:pPr>
        <w:tabs>
          <w:tab w:val="left" w:pos="1050"/>
        </w:tabs>
        <w:spacing w:line="360" w:lineRule="auto"/>
        <w:ind w:firstLine="480" w:firstLineChars="200"/>
        <w:rPr>
          <w:rFonts w:hint="eastAsia" w:ascii="宋体" w:hAnsi="宋体"/>
          <w:bCs/>
          <w:color w:val="auto"/>
          <w:sz w:val="24"/>
          <w:szCs w:val="24"/>
          <w:highlight w:val="none"/>
        </w:rPr>
      </w:pPr>
      <w:r>
        <w:rPr>
          <w:rFonts w:hint="eastAsia" w:ascii="宋体" w:hAnsi="宋体"/>
          <w:bCs/>
          <w:color w:val="auto"/>
          <w:sz w:val="24"/>
          <w:szCs w:val="24"/>
          <w:highlight w:val="none"/>
        </w:rPr>
        <w:t>2.投标人应向采购代理机构购买招标文件及有关资料，按招标文件要求提交全部资料并对招标文件各项内容做出实质性响应，否则投标无效；</w:t>
      </w:r>
    </w:p>
    <w:p>
      <w:pPr>
        <w:tabs>
          <w:tab w:val="left" w:pos="525"/>
          <w:tab w:val="left" w:pos="1050"/>
        </w:tabs>
        <w:spacing w:line="360" w:lineRule="auto"/>
        <w:ind w:firstLine="480" w:firstLineChars="200"/>
        <w:rPr>
          <w:rFonts w:hint="eastAsia" w:ascii="宋体" w:hAnsi="宋体"/>
          <w:bCs/>
          <w:color w:val="auto"/>
          <w:sz w:val="24"/>
          <w:szCs w:val="24"/>
          <w:highlight w:val="none"/>
        </w:rPr>
      </w:pPr>
      <w:r>
        <w:rPr>
          <w:rFonts w:hint="eastAsia" w:ascii="宋体" w:hAnsi="宋体"/>
          <w:bCs/>
          <w:color w:val="auto"/>
          <w:sz w:val="24"/>
          <w:szCs w:val="24"/>
          <w:highlight w:val="none"/>
        </w:rPr>
        <w:t>3.投标人一旦参加本项目投标，即表明承诺接受了本招标文件中的所有条件和规定；</w:t>
      </w:r>
    </w:p>
    <w:p>
      <w:pPr>
        <w:tabs>
          <w:tab w:val="left" w:pos="525"/>
          <w:tab w:val="left" w:pos="1050"/>
        </w:tabs>
        <w:spacing w:line="360" w:lineRule="auto"/>
        <w:ind w:firstLine="480" w:firstLineChars="200"/>
        <w:rPr>
          <w:rFonts w:hint="eastAsia" w:ascii="宋体" w:hAnsi="宋体"/>
          <w:bCs/>
          <w:color w:val="auto"/>
          <w:sz w:val="24"/>
          <w:szCs w:val="24"/>
          <w:highlight w:val="none"/>
        </w:rPr>
      </w:pPr>
      <w:r>
        <w:rPr>
          <w:rFonts w:hint="eastAsia" w:ascii="宋体" w:hAnsi="宋体"/>
          <w:bCs/>
          <w:color w:val="auto"/>
          <w:sz w:val="24"/>
          <w:szCs w:val="24"/>
          <w:highlight w:val="none"/>
        </w:rPr>
        <w:t>4.招标文件一经售出、一律不退，且仅作为本次招投标使用。</w:t>
      </w:r>
    </w:p>
    <w:p>
      <w:pPr>
        <w:tabs>
          <w:tab w:val="left" w:pos="630"/>
        </w:tabs>
        <w:spacing w:line="360" w:lineRule="auto"/>
        <w:ind w:left="-2" w:leftChars="-1" w:firstLine="420" w:firstLineChars="175"/>
        <w:rPr>
          <w:rFonts w:hint="eastAsia" w:ascii="黑体" w:hAnsi="宋体" w:eastAsia="黑体"/>
          <w:bCs/>
          <w:color w:val="auto"/>
          <w:sz w:val="24"/>
          <w:szCs w:val="24"/>
          <w:highlight w:val="none"/>
        </w:rPr>
      </w:pPr>
      <w:r>
        <w:rPr>
          <w:rFonts w:hint="eastAsia" w:ascii="黑体" w:hAnsi="宋体" w:eastAsia="黑体"/>
          <w:bCs/>
          <w:color w:val="auto"/>
          <w:sz w:val="24"/>
          <w:szCs w:val="24"/>
          <w:highlight w:val="none"/>
        </w:rPr>
        <w:t>（三） 招标文件的解释</w:t>
      </w:r>
    </w:p>
    <w:p>
      <w:pPr>
        <w:tabs>
          <w:tab w:val="left" w:pos="1050"/>
        </w:tabs>
        <w:spacing w:line="360" w:lineRule="auto"/>
        <w:ind w:firstLine="480" w:firstLineChars="200"/>
        <w:rPr>
          <w:rFonts w:hint="eastAsia" w:ascii="宋体" w:hAnsi="宋体"/>
          <w:bCs/>
          <w:color w:val="auto"/>
          <w:sz w:val="24"/>
          <w:szCs w:val="24"/>
          <w:highlight w:val="none"/>
        </w:rPr>
      </w:pPr>
      <w:r>
        <w:rPr>
          <w:rFonts w:hint="eastAsia" w:ascii="宋体" w:hAnsi="宋体"/>
          <w:bCs/>
          <w:color w:val="auto"/>
          <w:sz w:val="24"/>
          <w:szCs w:val="24"/>
          <w:highlight w:val="none"/>
        </w:rPr>
        <w:t>1.采购人、采购代理机构将于</w:t>
      </w:r>
      <w:r>
        <w:rPr>
          <w:rFonts w:hint="eastAsia" w:ascii="宋体" w:hAnsi="宋体"/>
          <w:bCs/>
          <w:color w:val="auto"/>
          <w:sz w:val="24"/>
          <w:szCs w:val="24"/>
          <w:highlight w:val="none"/>
        </w:rPr>
        <w:t>20</w:t>
      </w:r>
      <w:r>
        <w:rPr>
          <w:rFonts w:ascii="宋体" w:hAnsi="宋体"/>
          <w:bCs/>
          <w:color w:val="auto"/>
          <w:sz w:val="24"/>
          <w:szCs w:val="24"/>
          <w:highlight w:val="none"/>
        </w:rPr>
        <w:t>2</w:t>
      </w:r>
      <w:r>
        <w:rPr>
          <w:rFonts w:hint="eastAsia" w:ascii="宋体" w:hAnsi="宋体"/>
          <w:bCs/>
          <w:color w:val="auto"/>
          <w:sz w:val="24"/>
          <w:szCs w:val="24"/>
          <w:highlight w:val="none"/>
        </w:rPr>
        <w:t>3年3月7日上午9：30在</w:t>
      </w:r>
      <w:r>
        <w:rPr>
          <w:rFonts w:hint="eastAsia" w:ascii="宋体" w:hAnsi="宋体"/>
          <w:bCs/>
          <w:color w:val="auto"/>
          <w:sz w:val="24"/>
          <w:szCs w:val="24"/>
          <w:highlight w:val="none"/>
        </w:rPr>
        <w:t>无锡市滨湖区中南西路369号路劲天御售楼部2楼</w:t>
      </w:r>
      <w:r>
        <w:rPr>
          <w:rFonts w:ascii="宋体" w:hAnsi="宋体"/>
          <w:bCs/>
          <w:color w:val="auto"/>
          <w:sz w:val="24"/>
          <w:szCs w:val="24"/>
          <w:highlight w:val="none"/>
        </w:rPr>
        <w:t>201</w:t>
      </w:r>
      <w:r>
        <w:rPr>
          <w:rFonts w:hint="eastAsia" w:ascii="宋体" w:hAnsi="宋体"/>
          <w:bCs/>
          <w:color w:val="auto"/>
          <w:sz w:val="24"/>
          <w:szCs w:val="24"/>
          <w:highlight w:val="none"/>
        </w:rPr>
        <w:t xml:space="preserve">室，对投标人针对招标文件书面提出的要求澄清的问题进行公开答疑； </w:t>
      </w:r>
    </w:p>
    <w:p>
      <w:pPr>
        <w:spacing w:line="360" w:lineRule="auto"/>
        <w:ind w:left="-58" w:leftChars="-28" w:firstLine="480" w:firstLineChars="200"/>
        <w:rPr>
          <w:rFonts w:hint="eastAsia" w:ascii="黑体" w:hAnsi="黑体" w:eastAsia="黑体" w:cs="宋体"/>
          <w:color w:val="auto"/>
          <w:kern w:val="0"/>
          <w:sz w:val="24"/>
          <w:szCs w:val="24"/>
          <w:highlight w:val="none"/>
        </w:rPr>
      </w:pPr>
      <w:r>
        <w:rPr>
          <w:rFonts w:hint="eastAsia" w:ascii="宋体" w:hAnsi="宋体"/>
          <w:bCs/>
          <w:color w:val="auto"/>
          <w:sz w:val="24"/>
          <w:szCs w:val="24"/>
          <w:highlight w:val="none"/>
        </w:rPr>
        <w:t>2.投标人如有需要对招标文件要求澄清的问题，请以电子邮件或传真件形式提出“HTBXJJCG2023-01项目需澄清问题”，于20</w:t>
      </w:r>
      <w:r>
        <w:rPr>
          <w:rFonts w:ascii="宋体" w:hAnsi="宋体"/>
          <w:bCs/>
          <w:color w:val="auto"/>
          <w:sz w:val="24"/>
          <w:szCs w:val="24"/>
          <w:highlight w:val="none"/>
        </w:rPr>
        <w:t>2</w:t>
      </w:r>
      <w:r>
        <w:rPr>
          <w:rFonts w:hint="eastAsia" w:ascii="宋体" w:hAnsi="宋体"/>
          <w:bCs/>
          <w:color w:val="auto"/>
          <w:sz w:val="24"/>
          <w:szCs w:val="24"/>
          <w:highlight w:val="none"/>
        </w:rPr>
        <w:t>3</w:t>
      </w:r>
      <w:r>
        <w:rPr>
          <w:rFonts w:hint="eastAsia" w:ascii="宋体" w:hAnsi="宋体"/>
          <w:bCs/>
          <w:color w:val="auto"/>
          <w:sz w:val="24"/>
          <w:szCs w:val="24"/>
          <w:highlight w:val="none"/>
        </w:rPr>
        <w:t>年3月6日</w:t>
      </w:r>
      <w:r>
        <w:rPr>
          <w:rFonts w:hint="eastAsia" w:ascii="宋体" w:hAnsi="宋体"/>
          <w:bCs/>
          <w:color w:val="auto"/>
          <w:sz w:val="24"/>
          <w:szCs w:val="24"/>
          <w:highlight w:val="none"/>
        </w:rPr>
        <w:t>上午10：00前发至采购代理机构邮箱（</w:t>
      </w:r>
      <w:r>
        <w:rPr>
          <w:color w:val="auto"/>
          <w:highlight w:val="none"/>
        </w:rPr>
        <w:fldChar w:fldCharType="begin"/>
      </w:r>
      <w:r>
        <w:rPr>
          <w:color w:val="auto"/>
          <w:highlight w:val="none"/>
        </w:rPr>
        <w:instrText xml:space="preserve"> HYPERLINK "mailto:guzq@jsgx.net），传真号为0510-81833895" </w:instrText>
      </w:r>
      <w:r>
        <w:rPr>
          <w:color w:val="auto"/>
          <w:highlight w:val="none"/>
        </w:rPr>
        <w:fldChar w:fldCharType="separate"/>
      </w:r>
      <w:r>
        <w:rPr>
          <w:rFonts w:hint="eastAsia" w:ascii="宋体" w:hAnsi="宋体"/>
          <w:bCs/>
          <w:color w:val="auto"/>
          <w:highlight w:val="none"/>
        </w:rPr>
        <w:t>guzq@jsgx.net</w:t>
      </w:r>
      <w:r>
        <w:rPr>
          <w:rFonts w:ascii="宋体" w:hAnsi="宋体"/>
          <w:bCs/>
          <w:color w:val="auto"/>
          <w:sz w:val="24"/>
          <w:szCs w:val="24"/>
          <w:highlight w:val="none"/>
        </w:rPr>
        <w:t>）</w:t>
      </w:r>
      <w:r>
        <w:rPr>
          <w:rFonts w:hint="eastAsia" w:ascii="宋体" w:hAnsi="宋体"/>
          <w:bCs/>
          <w:color w:val="auto"/>
          <w:sz w:val="24"/>
          <w:szCs w:val="24"/>
          <w:highlight w:val="none"/>
        </w:rPr>
        <w:t>，传真号为0510-81833895</w:t>
      </w:r>
      <w:r>
        <w:rPr>
          <w:rFonts w:hint="eastAsia" w:ascii="宋体" w:hAnsi="宋体"/>
          <w:bCs/>
          <w:color w:val="auto"/>
          <w:sz w:val="24"/>
          <w:szCs w:val="24"/>
          <w:highlight w:val="none"/>
        </w:rPr>
        <w:fldChar w:fldCharType="end"/>
      </w:r>
      <w:r>
        <w:rPr>
          <w:rFonts w:hint="eastAsia" w:ascii="宋体" w:hAnsi="宋体"/>
          <w:bCs/>
          <w:color w:val="auto"/>
          <w:sz w:val="24"/>
          <w:szCs w:val="24"/>
          <w:highlight w:val="none"/>
        </w:rPr>
        <w:t>，并于答疑会时递交盖章原件；</w:t>
      </w:r>
    </w:p>
    <w:p>
      <w:pPr>
        <w:tabs>
          <w:tab w:val="left" w:pos="1050"/>
        </w:tabs>
        <w:spacing w:line="360" w:lineRule="auto"/>
        <w:ind w:firstLine="480" w:firstLineChars="200"/>
        <w:rPr>
          <w:rFonts w:hint="eastAsia" w:ascii="宋体" w:hAnsi="宋体"/>
          <w:bCs/>
          <w:color w:val="auto"/>
          <w:sz w:val="24"/>
          <w:szCs w:val="24"/>
          <w:highlight w:val="none"/>
        </w:rPr>
      </w:pPr>
      <w:r>
        <w:rPr>
          <w:rFonts w:hint="eastAsia" w:ascii="宋体" w:hAnsi="宋体"/>
          <w:bCs/>
          <w:color w:val="auto"/>
          <w:sz w:val="24"/>
          <w:szCs w:val="24"/>
          <w:highlight w:val="none"/>
        </w:rPr>
        <w:t>3.本文件的最终解释权归采购人。</w:t>
      </w:r>
    </w:p>
    <w:p>
      <w:pPr>
        <w:spacing w:line="360" w:lineRule="auto"/>
        <w:ind w:left="-2" w:leftChars="-1" w:firstLine="420" w:firstLineChars="175"/>
        <w:rPr>
          <w:rFonts w:hint="eastAsia" w:ascii="黑体" w:hAnsi="宋体" w:eastAsia="黑体"/>
          <w:bCs/>
          <w:color w:val="auto"/>
          <w:sz w:val="24"/>
          <w:szCs w:val="24"/>
          <w:highlight w:val="none"/>
        </w:rPr>
      </w:pPr>
      <w:r>
        <w:rPr>
          <w:rFonts w:hint="eastAsia" w:ascii="黑体" w:hAnsi="宋体" w:eastAsia="黑体"/>
          <w:bCs/>
          <w:color w:val="auto"/>
          <w:sz w:val="24"/>
          <w:szCs w:val="24"/>
          <w:highlight w:val="none"/>
        </w:rPr>
        <w:t>（四） 招标文件的</w:t>
      </w:r>
      <w:r>
        <w:rPr>
          <w:rFonts w:hint="eastAsia" w:ascii="黑体" w:hAnsi="黑体" w:eastAsia="黑体"/>
          <w:bCs/>
          <w:color w:val="auto"/>
          <w:sz w:val="24"/>
          <w:szCs w:val="24"/>
          <w:highlight w:val="none"/>
        </w:rPr>
        <w:t>澄清或修改</w:t>
      </w:r>
    </w:p>
    <w:p>
      <w:pPr>
        <w:spacing w:line="360" w:lineRule="auto"/>
        <w:ind w:firstLine="523" w:firstLineChars="218"/>
        <w:rPr>
          <w:bCs/>
          <w:color w:val="auto"/>
          <w:sz w:val="24"/>
          <w:szCs w:val="24"/>
          <w:highlight w:val="none"/>
        </w:rPr>
      </w:pPr>
      <w:r>
        <w:rPr>
          <w:bCs/>
          <w:color w:val="auto"/>
          <w:sz w:val="24"/>
          <w:szCs w:val="24"/>
          <w:highlight w:val="none"/>
        </w:rPr>
        <w:t>1.采购人或者采购代理机构可以对已发出的招标文件进行必要的澄清或者修改，澄清或者修改将在原公告发布媒体上发布澄清公告，澄清或者修改的内容为招标文件的组成部分</w:t>
      </w:r>
      <w:r>
        <w:rPr>
          <w:rFonts w:hint="eastAsia"/>
          <w:bCs/>
          <w:color w:val="auto"/>
          <w:sz w:val="24"/>
          <w:szCs w:val="24"/>
          <w:highlight w:val="none"/>
        </w:rPr>
        <w:t>；</w:t>
      </w:r>
    </w:p>
    <w:p>
      <w:pPr>
        <w:spacing w:line="360" w:lineRule="auto"/>
        <w:ind w:firstLine="523" w:firstLineChars="218"/>
        <w:rPr>
          <w:bCs/>
          <w:color w:val="auto"/>
          <w:sz w:val="24"/>
          <w:szCs w:val="24"/>
          <w:highlight w:val="none"/>
        </w:rPr>
      </w:pPr>
      <w:r>
        <w:rPr>
          <w:bCs/>
          <w:color w:val="auto"/>
          <w:sz w:val="24"/>
          <w:szCs w:val="24"/>
          <w:highlight w:val="none"/>
        </w:rPr>
        <w:t>2.澄清或者修改的内容如果影响投标文件编制的，采购代理机构将在投标截止时间至少15日前发布公告，并以书面形式通知所有获取招标文件的潜在投标</w:t>
      </w:r>
      <w:r>
        <w:rPr>
          <w:rFonts w:hint="eastAsia"/>
          <w:bCs/>
          <w:color w:val="auto"/>
          <w:sz w:val="24"/>
          <w:szCs w:val="24"/>
          <w:highlight w:val="none"/>
        </w:rPr>
        <w:t>人</w:t>
      </w:r>
      <w:r>
        <w:rPr>
          <w:bCs/>
          <w:color w:val="auto"/>
          <w:sz w:val="24"/>
          <w:szCs w:val="24"/>
          <w:highlight w:val="none"/>
        </w:rPr>
        <w:t>；不足15日的，采购代理机构将顺延提交投标文件的截止时间；</w:t>
      </w:r>
    </w:p>
    <w:p>
      <w:pPr>
        <w:spacing w:line="360" w:lineRule="auto"/>
        <w:ind w:firstLine="523" w:firstLineChars="218"/>
        <w:rPr>
          <w:rFonts w:hint="eastAsia"/>
          <w:bCs/>
          <w:color w:val="auto"/>
          <w:sz w:val="24"/>
          <w:szCs w:val="24"/>
          <w:highlight w:val="none"/>
        </w:rPr>
      </w:pPr>
      <w:r>
        <w:rPr>
          <w:bCs/>
          <w:color w:val="auto"/>
          <w:sz w:val="24"/>
          <w:szCs w:val="24"/>
          <w:highlight w:val="none"/>
        </w:rPr>
        <w:t>3.请招标文件的收受人收到采购代理机构的书面通知后，于投标截止日前书面回函（传真件）采购代理机构，传真：0510-</w:t>
      </w:r>
      <w:r>
        <w:rPr>
          <w:rFonts w:hint="eastAsia"/>
          <w:bCs/>
          <w:color w:val="auto"/>
          <w:sz w:val="24"/>
          <w:szCs w:val="24"/>
          <w:highlight w:val="none"/>
        </w:rPr>
        <w:t>81833895</w:t>
      </w:r>
      <w:r>
        <w:rPr>
          <w:bCs/>
          <w:color w:val="auto"/>
          <w:sz w:val="24"/>
          <w:szCs w:val="24"/>
          <w:highlight w:val="none"/>
        </w:rPr>
        <w:t>，逾期不回视同收到此书面通知。因投标</w:t>
      </w:r>
      <w:r>
        <w:rPr>
          <w:rFonts w:hint="eastAsia"/>
          <w:bCs/>
          <w:color w:val="auto"/>
          <w:sz w:val="24"/>
          <w:szCs w:val="24"/>
          <w:highlight w:val="none"/>
        </w:rPr>
        <w:t>人</w:t>
      </w:r>
      <w:r>
        <w:rPr>
          <w:bCs/>
          <w:color w:val="auto"/>
          <w:sz w:val="24"/>
          <w:szCs w:val="24"/>
          <w:highlight w:val="none"/>
        </w:rPr>
        <w:t>未尽注意义务，未及时全面地关注澄清或修改内容导致其提交的投标材料不符合采购代理机构要求，而造成的损失及风险（包括但不限于未中标）由投标</w:t>
      </w:r>
      <w:r>
        <w:rPr>
          <w:rFonts w:hint="eastAsia"/>
          <w:bCs/>
          <w:color w:val="auto"/>
          <w:sz w:val="24"/>
          <w:szCs w:val="24"/>
          <w:highlight w:val="none"/>
        </w:rPr>
        <w:t>人</w:t>
      </w:r>
      <w:r>
        <w:rPr>
          <w:bCs/>
          <w:color w:val="auto"/>
          <w:sz w:val="24"/>
          <w:szCs w:val="24"/>
          <w:highlight w:val="none"/>
        </w:rPr>
        <w:t>自行承担。</w:t>
      </w:r>
    </w:p>
    <w:p>
      <w:pPr>
        <w:spacing w:line="360" w:lineRule="auto"/>
        <w:ind w:firstLine="480" w:firstLineChars="200"/>
        <w:rPr>
          <w:rFonts w:hint="eastAsia" w:ascii="宋体" w:hAnsi="宋体"/>
          <w:bCs/>
          <w:color w:val="auto"/>
          <w:sz w:val="24"/>
          <w:szCs w:val="24"/>
          <w:highlight w:val="none"/>
        </w:rPr>
      </w:pPr>
      <w:r>
        <w:rPr>
          <w:rFonts w:hint="eastAsia" w:ascii="黑体" w:hAnsi="宋体" w:eastAsia="黑体"/>
          <w:bCs/>
          <w:color w:val="auto"/>
          <w:sz w:val="24"/>
          <w:szCs w:val="24"/>
          <w:highlight w:val="none"/>
        </w:rPr>
        <w:t>（五） 投标文件的组成</w:t>
      </w:r>
    </w:p>
    <w:p>
      <w:pPr>
        <w:tabs>
          <w:tab w:val="left" w:pos="525"/>
        </w:tabs>
        <w:spacing w:line="360" w:lineRule="auto"/>
        <w:ind w:firstLine="480" w:firstLineChars="200"/>
        <w:rPr>
          <w:rFonts w:hint="eastAsia" w:ascii="黑体" w:hAnsi="宋体" w:eastAsia="黑体"/>
          <w:bCs/>
          <w:color w:val="auto"/>
          <w:sz w:val="24"/>
          <w:szCs w:val="24"/>
          <w:highlight w:val="none"/>
        </w:rPr>
      </w:pPr>
      <w:r>
        <w:rPr>
          <w:rFonts w:hint="eastAsia" w:ascii="黑体" w:hAnsi="宋体" w:eastAsia="黑体"/>
          <w:bCs/>
          <w:color w:val="auto"/>
          <w:sz w:val="24"/>
          <w:szCs w:val="24"/>
          <w:highlight w:val="none"/>
        </w:rPr>
        <w:t>投标文件分为商务标和技术标两部分，商务标为明标，技术标为暗标。</w:t>
      </w:r>
    </w:p>
    <w:p>
      <w:pPr>
        <w:tabs>
          <w:tab w:val="left" w:pos="525"/>
        </w:tabs>
        <w:spacing w:line="360" w:lineRule="auto"/>
        <w:ind w:firstLine="480" w:firstLineChars="200"/>
        <w:rPr>
          <w:rFonts w:hint="eastAsia" w:ascii="宋体" w:hAnsi="宋体"/>
          <w:bCs/>
          <w:color w:val="auto"/>
          <w:sz w:val="24"/>
          <w:szCs w:val="24"/>
          <w:highlight w:val="none"/>
        </w:rPr>
      </w:pPr>
      <w:r>
        <w:rPr>
          <w:rFonts w:hint="eastAsia" w:ascii="黑体" w:hAnsi="宋体" w:eastAsia="黑体"/>
          <w:bCs/>
          <w:color w:val="auto"/>
          <w:sz w:val="24"/>
          <w:szCs w:val="24"/>
          <w:highlight w:val="none"/>
        </w:rPr>
        <w:t>1.商务标（明标）的组成</w:t>
      </w:r>
    </w:p>
    <w:p>
      <w:pPr>
        <w:tabs>
          <w:tab w:val="left" w:pos="525"/>
        </w:tabs>
        <w:spacing w:line="360" w:lineRule="auto"/>
        <w:ind w:firstLine="480" w:firstLineChars="200"/>
        <w:rPr>
          <w:rFonts w:hint="eastAsia" w:ascii="宋体" w:hAnsi="宋体"/>
          <w:bCs/>
          <w:color w:val="auto"/>
          <w:sz w:val="24"/>
          <w:szCs w:val="24"/>
          <w:highlight w:val="none"/>
        </w:rPr>
      </w:pPr>
      <w:r>
        <w:rPr>
          <w:rFonts w:hint="eastAsia" w:ascii="宋体" w:hAnsi="宋体"/>
          <w:bCs/>
          <w:color w:val="auto"/>
          <w:sz w:val="24"/>
          <w:szCs w:val="24"/>
          <w:highlight w:val="none"/>
        </w:rPr>
        <w:t>（1）投标函（</w:t>
      </w:r>
      <w:r>
        <w:rPr>
          <w:rFonts w:hint="eastAsia" w:ascii="宋体" w:hAnsi="宋体"/>
          <w:b/>
          <w:bCs/>
          <w:color w:val="auto"/>
          <w:sz w:val="24"/>
          <w:szCs w:val="24"/>
          <w:highlight w:val="none"/>
        </w:rPr>
        <w:t>格式见附件）</w:t>
      </w:r>
    </w:p>
    <w:p>
      <w:pPr>
        <w:tabs>
          <w:tab w:val="left" w:pos="525"/>
          <w:tab w:val="left" w:pos="1050"/>
        </w:tabs>
        <w:spacing w:line="360" w:lineRule="auto"/>
        <w:ind w:firstLine="480" w:firstLineChars="200"/>
        <w:rPr>
          <w:rFonts w:hint="eastAsia" w:ascii="宋体" w:hAnsi="宋体"/>
          <w:bCs/>
          <w:color w:val="auto"/>
          <w:sz w:val="24"/>
          <w:szCs w:val="24"/>
          <w:highlight w:val="none"/>
        </w:rPr>
      </w:pPr>
      <w:r>
        <w:rPr>
          <w:rFonts w:hint="eastAsia" w:ascii="宋体" w:hAnsi="宋体"/>
          <w:bCs/>
          <w:color w:val="auto"/>
          <w:sz w:val="24"/>
          <w:szCs w:val="24"/>
          <w:highlight w:val="none"/>
        </w:rPr>
        <w:t>（2）证明文件</w:t>
      </w:r>
    </w:p>
    <w:p>
      <w:pPr>
        <w:tabs>
          <w:tab w:val="left" w:pos="525"/>
          <w:tab w:val="left" w:pos="1050"/>
        </w:tabs>
        <w:spacing w:line="360" w:lineRule="auto"/>
        <w:ind w:firstLine="480" w:firstLineChars="200"/>
        <w:rPr>
          <w:rFonts w:hint="eastAsia" w:ascii="宋体" w:hAnsi="宋体"/>
          <w:bCs/>
          <w:color w:val="auto"/>
          <w:sz w:val="24"/>
          <w:szCs w:val="24"/>
          <w:highlight w:val="none"/>
        </w:rPr>
      </w:pPr>
      <w:r>
        <w:rPr>
          <w:rFonts w:hint="eastAsia" w:ascii="宋体" w:hAnsi="宋体"/>
          <w:bCs/>
          <w:color w:val="auto"/>
          <w:sz w:val="24"/>
          <w:szCs w:val="24"/>
          <w:highlight w:val="none"/>
        </w:rPr>
        <w:t>1）资格、资信证明文件</w:t>
      </w:r>
    </w:p>
    <w:p>
      <w:pPr>
        <w:tabs>
          <w:tab w:val="left" w:pos="525"/>
          <w:tab w:val="left" w:pos="1050"/>
        </w:tabs>
        <w:spacing w:line="360" w:lineRule="auto"/>
        <w:ind w:firstLine="480" w:firstLineChars="200"/>
        <w:rPr>
          <w:rFonts w:hint="eastAsia" w:ascii="宋体" w:hAnsi="宋体"/>
          <w:bCs/>
          <w:color w:val="auto"/>
          <w:sz w:val="24"/>
          <w:szCs w:val="24"/>
          <w:highlight w:val="none"/>
        </w:rPr>
      </w:pPr>
      <w:r>
        <w:rPr>
          <w:rFonts w:hint="eastAsia" w:ascii="宋体" w:hAnsi="宋体"/>
          <w:bCs/>
          <w:color w:val="auto"/>
          <w:sz w:val="24"/>
          <w:szCs w:val="24"/>
          <w:highlight w:val="none"/>
        </w:rPr>
        <w:t>①关于资格的声明函</w:t>
      </w:r>
      <w:r>
        <w:rPr>
          <w:rFonts w:hint="eastAsia" w:ascii="宋体" w:hAnsi="宋体"/>
          <w:b/>
          <w:bCs/>
          <w:color w:val="auto"/>
          <w:sz w:val="24"/>
          <w:szCs w:val="24"/>
          <w:highlight w:val="none"/>
        </w:rPr>
        <w:t>（格式见附件）</w:t>
      </w:r>
    </w:p>
    <w:p>
      <w:pPr>
        <w:tabs>
          <w:tab w:val="left" w:pos="525"/>
          <w:tab w:val="left" w:pos="1050"/>
        </w:tabs>
        <w:spacing w:line="360" w:lineRule="auto"/>
        <w:ind w:firstLine="480" w:firstLineChars="200"/>
        <w:rPr>
          <w:rFonts w:hint="eastAsia" w:ascii="宋体" w:hAnsi="宋体"/>
          <w:bCs/>
          <w:color w:val="auto"/>
          <w:sz w:val="24"/>
          <w:szCs w:val="24"/>
          <w:highlight w:val="none"/>
        </w:rPr>
      </w:pPr>
      <w:r>
        <w:rPr>
          <w:rFonts w:hint="eastAsia" w:ascii="宋体" w:hAnsi="宋体"/>
          <w:bCs/>
          <w:color w:val="auto"/>
          <w:sz w:val="24"/>
          <w:szCs w:val="24"/>
          <w:highlight w:val="none"/>
        </w:rPr>
        <w:t>②投标人有效期内营业执照副本</w:t>
      </w:r>
      <w:r>
        <w:rPr>
          <w:rFonts w:hint="eastAsia" w:ascii="宋体" w:hAnsi="宋体"/>
          <w:b/>
          <w:bCs/>
          <w:color w:val="auto"/>
          <w:sz w:val="24"/>
          <w:szCs w:val="24"/>
          <w:highlight w:val="none"/>
        </w:rPr>
        <w:t>复印件或扫描件</w:t>
      </w:r>
      <w:r>
        <w:rPr>
          <w:rFonts w:hint="eastAsia" w:ascii="宋体" w:hAnsi="宋体"/>
          <w:bCs/>
          <w:color w:val="auto"/>
          <w:sz w:val="24"/>
          <w:szCs w:val="24"/>
          <w:highlight w:val="none"/>
        </w:rPr>
        <w:t>，如投标人是被授权的分支机构还须另行提供出具授权书的企业法人有效期内营业执照副本</w:t>
      </w:r>
      <w:r>
        <w:rPr>
          <w:rFonts w:hint="eastAsia" w:ascii="宋体" w:hAnsi="宋体"/>
          <w:b/>
          <w:bCs/>
          <w:color w:val="auto"/>
          <w:sz w:val="24"/>
          <w:szCs w:val="24"/>
          <w:highlight w:val="none"/>
        </w:rPr>
        <w:t xml:space="preserve">复印件或扫描件（复印件或扫描件均须加盖各自公章）； </w:t>
      </w:r>
    </w:p>
    <w:p>
      <w:pPr>
        <w:tabs>
          <w:tab w:val="left" w:pos="525"/>
        </w:tabs>
        <w:spacing w:line="360" w:lineRule="auto"/>
        <w:ind w:firstLine="465"/>
        <w:rPr>
          <w:rFonts w:ascii="宋体" w:hAnsi="宋体"/>
          <w:b/>
          <w:bCs/>
          <w:color w:val="auto"/>
          <w:sz w:val="24"/>
          <w:szCs w:val="24"/>
          <w:highlight w:val="none"/>
        </w:rPr>
      </w:pPr>
      <w:r>
        <w:rPr>
          <w:rFonts w:hint="eastAsia" w:ascii="宋体" w:hAnsi="宋体"/>
          <w:bCs/>
          <w:color w:val="auto"/>
          <w:sz w:val="24"/>
          <w:szCs w:val="24"/>
          <w:highlight w:val="none"/>
        </w:rPr>
        <w:t>③委托投标授权书</w:t>
      </w:r>
      <w:r>
        <w:rPr>
          <w:rFonts w:hint="eastAsia" w:ascii="宋体" w:hAnsi="宋体"/>
          <w:b/>
          <w:bCs/>
          <w:color w:val="auto"/>
          <w:sz w:val="24"/>
          <w:szCs w:val="24"/>
          <w:highlight w:val="none"/>
        </w:rPr>
        <w:t>并加盖公章</w:t>
      </w:r>
      <w:r>
        <w:rPr>
          <w:rFonts w:hint="eastAsia" w:ascii="宋体" w:hAnsi="宋体"/>
          <w:bCs/>
          <w:color w:val="auto"/>
          <w:sz w:val="24"/>
          <w:szCs w:val="24"/>
          <w:highlight w:val="none"/>
        </w:rPr>
        <w:t>（投标人为企业法人的除外，</w:t>
      </w:r>
      <w:r>
        <w:rPr>
          <w:rFonts w:hint="eastAsia" w:ascii="宋体" w:hAnsi="宋体"/>
          <w:b/>
          <w:bCs/>
          <w:color w:val="auto"/>
          <w:sz w:val="24"/>
          <w:szCs w:val="24"/>
          <w:highlight w:val="none"/>
        </w:rPr>
        <w:t>格式见附件</w:t>
      </w:r>
      <w:r>
        <w:rPr>
          <w:rFonts w:hint="eastAsia" w:ascii="宋体" w:hAnsi="宋体"/>
          <w:bCs/>
          <w:color w:val="auto"/>
          <w:sz w:val="24"/>
          <w:szCs w:val="24"/>
          <w:highlight w:val="none"/>
        </w:rPr>
        <w:t>)；</w:t>
      </w:r>
    </w:p>
    <w:p>
      <w:pPr>
        <w:tabs>
          <w:tab w:val="left" w:pos="525"/>
        </w:tabs>
        <w:spacing w:line="360" w:lineRule="auto"/>
        <w:ind w:firstLine="465"/>
        <w:rPr>
          <w:rFonts w:ascii="宋体" w:hAnsi="宋体"/>
          <w:bCs/>
          <w:color w:val="auto"/>
          <w:sz w:val="24"/>
          <w:szCs w:val="24"/>
          <w:highlight w:val="none"/>
        </w:rPr>
      </w:pPr>
      <w:r>
        <w:rPr>
          <w:rFonts w:hint="eastAsia" w:ascii="宋体" w:hAnsi="宋体"/>
          <w:bCs/>
          <w:color w:val="auto"/>
          <w:sz w:val="24"/>
          <w:szCs w:val="24"/>
          <w:highlight w:val="none"/>
        </w:rPr>
        <w:t>④投标人法定代表人授权委托书副本复印件或扫描件，</w:t>
      </w:r>
      <w:r>
        <w:rPr>
          <w:rFonts w:hint="eastAsia" w:ascii="宋体" w:hAnsi="宋体"/>
          <w:b/>
          <w:bCs/>
          <w:color w:val="auto"/>
          <w:sz w:val="24"/>
          <w:szCs w:val="24"/>
          <w:highlight w:val="none"/>
        </w:rPr>
        <w:t>并加盖公章</w:t>
      </w:r>
      <w:r>
        <w:rPr>
          <w:rFonts w:hint="eastAsia" w:ascii="宋体" w:hAnsi="宋体"/>
          <w:bCs/>
          <w:color w:val="auto"/>
          <w:sz w:val="24"/>
          <w:szCs w:val="24"/>
          <w:highlight w:val="none"/>
        </w:rPr>
        <w:t>（法定代表人亲自参与投标的除外，</w:t>
      </w:r>
      <w:r>
        <w:rPr>
          <w:rFonts w:hint="eastAsia" w:ascii="宋体" w:hAnsi="宋体"/>
          <w:b/>
          <w:bCs/>
          <w:color w:val="auto"/>
          <w:sz w:val="24"/>
          <w:szCs w:val="24"/>
          <w:highlight w:val="none"/>
        </w:rPr>
        <w:t>格式见附件</w:t>
      </w:r>
      <w:r>
        <w:rPr>
          <w:rFonts w:hint="eastAsia" w:ascii="宋体" w:hAnsi="宋体"/>
          <w:bCs/>
          <w:color w:val="auto"/>
          <w:sz w:val="24"/>
          <w:szCs w:val="24"/>
          <w:highlight w:val="none"/>
        </w:rPr>
        <w:t>,投标人如为分支机构的，请自行将 “法定代表人”更改为“负责人”，如分支机构投标时涉及到招标文件中“法定代表人”要求的部分，其具体要求视同本条规定，《委托投标授权书》中的“法定代表人”除外）；</w:t>
      </w:r>
    </w:p>
    <w:p>
      <w:pPr>
        <w:tabs>
          <w:tab w:val="left" w:pos="525"/>
        </w:tabs>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⑤投标人的法定代表人身份证复印件及被授权代表身份证复印件或扫描件正反面</w:t>
      </w:r>
      <w:r>
        <w:rPr>
          <w:rFonts w:hint="eastAsia" w:ascii="宋体" w:hAnsi="宋体"/>
          <w:color w:val="auto"/>
          <w:sz w:val="24"/>
          <w:szCs w:val="24"/>
          <w:highlight w:val="none"/>
        </w:rPr>
        <w:t>（</w:t>
      </w:r>
      <w:r>
        <w:rPr>
          <w:rFonts w:hint="eastAsia" w:ascii="宋体" w:hAnsi="宋体"/>
          <w:b/>
          <w:bCs/>
          <w:color w:val="auto"/>
          <w:sz w:val="24"/>
          <w:szCs w:val="24"/>
          <w:highlight w:val="none"/>
        </w:rPr>
        <w:t>投标时必须携带被授权代表有效身份证明原件备查，法定代表人或无锡市级机构负责人亲自参与投标的必须携带有效身份证明原件备查</w:t>
      </w:r>
      <w:r>
        <w:rPr>
          <w:rFonts w:hint="eastAsia" w:ascii="宋体" w:hAnsi="宋体"/>
          <w:color w:val="auto"/>
          <w:sz w:val="24"/>
          <w:szCs w:val="24"/>
          <w:highlight w:val="none"/>
        </w:rPr>
        <w:t>）</w:t>
      </w:r>
      <w:r>
        <w:rPr>
          <w:rFonts w:hint="eastAsia" w:ascii="宋体" w:hAnsi="宋体"/>
          <w:bCs/>
          <w:color w:val="auto"/>
          <w:sz w:val="24"/>
          <w:szCs w:val="24"/>
          <w:highlight w:val="none"/>
        </w:rPr>
        <w:t>；</w:t>
      </w:r>
    </w:p>
    <w:p>
      <w:pPr>
        <w:tabs>
          <w:tab w:val="left" w:pos="525"/>
        </w:tabs>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⑥投标人有效期内的《中华人民共和国保险许可证》</w:t>
      </w:r>
      <w:r>
        <w:rPr>
          <w:rFonts w:hint="eastAsia" w:ascii="宋体" w:hAnsi="宋体"/>
          <w:b/>
          <w:bCs/>
          <w:color w:val="auto"/>
          <w:sz w:val="24"/>
          <w:szCs w:val="24"/>
          <w:highlight w:val="none"/>
        </w:rPr>
        <w:t>复印件或扫描件</w:t>
      </w:r>
      <w:r>
        <w:rPr>
          <w:rFonts w:hint="eastAsia" w:ascii="宋体" w:hAnsi="宋体"/>
          <w:bCs/>
          <w:color w:val="auto"/>
          <w:sz w:val="24"/>
          <w:szCs w:val="24"/>
          <w:highlight w:val="none"/>
        </w:rPr>
        <w:t>；</w:t>
      </w:r>
    </w:p>
    <w:p>
      <w:pPr>
        <w:tabs>
          <w:tab w:val="left" w:pos="525"/>
        </w:tabs>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⑦投标人投标前六个月（不含投标当月）中任一个月的纳税情况证明（</w:t>
      </w:r>
      <w:r>
        <w:rPr>
          <w:rFonts w:hint="eastAsia" w:ascii="宋体" w:hAnsi="宋体"/>
          <w:b/>
          <w:bCs/>
          <w:color w:val="auto"/>
          <w:sz w:val="24"/>
          <w:szCs w:val="24"/>
          <w:highlight w:val="none"/>
        </w:rPr>
        <w:t>提供相关主管部门证明或银行代扣证明）复印件或扫描件</w:t>
      </w:r>
      <w:r>
        <w:rPr>
          <w:rFonts w:hint="eastAsia" w:ascii="宋体" w:hAnsi="宋体"/>
          <w:bCs/>
          <w:color w:val="auto"/>
          <w:sz w:val="24"/>
          <w:szCs w:val="24"/>
          <w:highlight w:val="none"/>
        </w:rPr>
        <w:t>；</w:t>
      </w:r>
    </w:p>
    <w:p>
      <w:pPr>
        <w:tabs>
          <w:tab w:val="left" w:pos="525"/>
        </w:tabs>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⑧投标人投标前六个月（不含投标当月）中任意一个月的社会保险缴纳证明（</w:t>
      </w:r>
      <w:r>
        <w:rPr>
          <w:rFonts w:hint="eastAsia" w:ascii="宋体" w:hAnsi="宋体"/>
          <w:b/>
          <w:bCs/>
          <w:color w:val="auto"/>
          <w:sz w:val="24"/>
          <w:szCs w:val="24"/>
          <w:highlight w:val="none"/>
        </w:rPr>
        <w:t>提供相关主管部门证明或银行代扣证明）复印件或扫描件</w:t>
      </w:r>
      <w:r>
        <w:rPr>
          <w:rFonts w:hint="eastAsia" w:ascii="宋体" w:hAnsi="宋体"/>
          <w:bCs/>
          <w:color w:val="auto"/>
          <w:sz w:val="24"/>
          <w:szCs w:val="24"/>
          <w:highlight w:val="none"/>
        </w:rPr>
        <w:t>；</w:t>
      </w:r>
    </w:p>
    <w:p>
      <w:pPr>
        <w:tabs>
          <w:tab w:val="left" w:pos="600"/>
        </w:tabs>
        <w:spacing w:line="360" w:lineRule="auto"/>
        <w:ind w:firstLine="480" w:firstLineChars="200"/>
        <w:rPr>
          <w:rFonts w:ascii="宋体" w:hAnsi="宋体"/>
          <w:b/>
          <w:bCs/>
          <w:color w:val="auto"/>
          <w:sz w:val="24"/>
          <w:szCs w:val="24"/>
          <w:highlight w:val="none"/>
        </w:rPr>
      </w:pPr>
      <w:r>
        <w:rPr>
          <w:rFonts w:hint="eastAsia" w:ascii="宋体" w:hAnsi="宋体"/>
          <w:bCs/>
          <w:color w:val="auto"/>
          <w:sz w:val="24"/>
          <w:szCs w:val="24"/>
          <w:highlight w:val="none"/>
        </w:rPr>
        <w:t>⑨被授权代表由本企业缴纳的投标前六个月中（不含投标当月）任意一个月社会保险缴纳证明（</w:t>
      </w:r>
      <w:r>
        <w:rPr>
          <w:rFonts w:hint="eastAsia" w:ascii="宋体" w:hAnsi="宋体"/>
          <w:b/>
          <w:bCs/>
          <w:color w:val="auto"/>
          <w:sz w:val="24"/>
          <w:szCs w:val="24"/>
          <w:highlight w:val="none"/>
        </w:rPr>
        <w:t>提供相关主管部门证明或银行代扣证明）复印件或扫描件</w:t>
      </w:r>
      <w:r>
        <w:rPr>
          <w:rFonts w:hint="eastAsia" w:ascii="宋体" w:hAnsi="宋体"/>
          <w:bCs/>
          <w:color w:val="auto"/>
          <w:sz w:val="24"/>
          <w:szCs w:val="24"/>
          <w:highlight w:val="none"/>
        </w:rPr>
        <w:t>；</w:t>
      </w:r>
    </w:p>
    <w:p>
      <w:pPr>
        <w:tabs>
          <w:tab w:val="left" w:pos="600"/>
        </w:tabs>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⑩经第三方专业机构审计的总公司2021年度审计报告</w:t>
      </w:r>
      <w:r>
        <w:rPr>
          <w:rFonts w:hint="eastAsia" w:ascii="宋体" w:hAnsi="宋体"/>
          <w:b/>
          <w:bCs/>
          <w:color w:val="auto"/>
          <w:sz w:val="24"/>
          <w:szCs w:val="24"/>
          <w:highlight w:val="none"/>
        </w:rPr>
        <w:t>（</w:t>
      </w:r>
      <w:r>
        <w:rPr>
          <w:rFonts w:hint="eastAsia" w:ascii="宋体" w:hAnsi="宋体"/>
          <w:bCs/>
          <w:color w:val="auto"/>
          <w:sz w:val="24"/>
          <w:szCs w:val="24"/>
          <w:highlight w:val="none"/>
        </w:rPr>
        <w:t>所附资产负债表、利润表）和偿付能力状况表(</w:t>
      </w:r>
      <w:r>
        <w:rPr>
          <w:rFonts w:hint="eastAsia" w:ascii="宋体" w:hAnsi="宋体"/>
          <w:b/>
          <w:bCs/>
          <w:color w:val="auto"/>
          <w:sz w:val="24"/>
          <w:szCs w:val="24"/>
          <w:highlight w:val="none"/>
        </w:rPr>
        <w:t>复印件或扫描件</w:t>
      </w:r>
      <w:r>
        <w:rPr>
          <w:rFonts w:hint="eastAsia" w:ascii="宋体" w:hAnsi="宋体"/>
          <w:bCs/>
          <w:color w:val="auto"/>
          <w:sz w:val="24"/>
          <w:szCs w:val="24"/>
          <w:highlight w:val="none"/>
        </w:rPr>
        <w:t>)；</w:t>
      </w:r>
    </w:p>
    <w:p>
      <w:pPr>
        <w:spacing w:line="360" w:lineRule="auto"/>
        <w:ind w:firstLine="480" w:firstLineChars="200"/>
        <w:rPr>
          <w:rFonts w:ascii="宋体" w:hAnsi="宋体"/>
          <w:bCs/>
          <w:color w:val="auto"/>
          <w:sz w:val="24"/>
          <w:szCs w:val="24"/>
          <w:highlight w:val="none"/>
        </w:rPr>
      </w:pPr>
      <w:r>
        <w:rPr>
          <w:rFonts w:ascii="宋体" w:hAnsi="宋体"/>
          <w:bCs/>
          <w:color w:val="auto"/>
          <w:sz w:val="24"/>
          <w:szCs w:val="24"/>
          <w:highlight w:val="none"/>
        </w:rPr>
        <w:t>⑪</w:t>
      </w:r>
      <w:r>
        <w:rPr>
          <w:rFonts w:hint="eastAsia" w:ascii="宋体" w:hAnsi="宋体"/>
          <w:bCs/>
          <w:color w:val="auto"/>
          <w:sz w:val="24"/>
          <w:szCs w:val="24"/>
          <w:highlight w:val="none"/>
        </w:rPr>
        <w:t>投标人的法人或投标人基本账户开户许可证或基本存款信息</w:t>
      </w:r>
      <w:r>
        <w:rPr>
          <w:rFonts w:hint="eastAsia" w:ascii="宋体" w:hAnsi="宋体"/>
          <w:b/>
          <w:bCs/>
          <w:color w:val="auto"/>
          <w:sz w:val="24"/>
          <w:szCs w:val="24"/>
          <w:highlight w:val="none"/>
        </w:rPr>
        <w:t>复印件或扫描件</w:t>
      </w:r>
      <w:r>
        <w:rPr>
          <w:rFonts w:hint="eastAsia" w:ascii="宋体" w:hAnsi="宋体"/>
          <w:bCs/>
          <w:color w:val="auto"/>
          <w:sz w:val="24"/>
          <w:szCs w:val="24"/>
          <w:highlight w:val="none"/>
        </w:rPr>
        <w:t>；</w:t>
      </w:r>
    </w:p>
    <w:p>
      <w:pPr>
        <w:spacing w:line="360" w:lineRule="auto"/>
        <w:ind w:firstLine="480" w:firstLineChars="200"/>
        <w:rPr>
          <w:rFonts w:hint="eastAsia" w:ascii="宋体" w:hAnsi="宋体"/>
          <w:b/>
          <w:bCs/>
          <w:color w:val="auto"/>
          <w:sz w:val="24"/>
          <w:szCs w:val="24"/>
          <w:highlight w:val="none"/>
        </w:rPr>
      </w:pPr>
      <w:r>
        <w:rPr>
          <w:rFonts w:ascii="宋体" w:hAnsi="宋体"/>
          <w:bCs/>
          <w:color w:val="auto"/>
          <w:sz w:val="24"/>
          <w:szCs w:val="24"/>
          <w:highlight w:val="none"/>
        </w:rPr>
        <w:t>⑫</w:t>
      </w:r>
      <w:r>
        <w:rPr>
          <w:rFonts w:hint="eastAsia" w:ascii="宋体" w:hAnsi="宋体"/>
          <w:bCs/>
          <w:color w:val="auto"/>
          <w:sz w:val="24"/>
          <w:szCs w:val="24"/>
          <w:highlight w:val="none"/>
        </w:rPr>
        <w:t>经第三方专业机构核实的2021年度投标人的《履约能力调查报告书》精简版</w:t>
      </w:r>
      <w:r>
        <w:rPr>
          <w:rFonts w:hint="eastAsia" w:ascii="宋体" w:hAnsi="宋体"/>
          <w:b/>
          <w:bCs/>
          <w:color w:val="auto"/>
          <w:sz w:val="24"/>
          <w:szCs w:val="24"/>
          <w:highlight w:val="none"/>
        </w:rPr>
        <w:t>复印件或扫描件</w:t>
      </w:r>
      <w:r>
        <w:rPr>
          <w:rFonts w:hint="eastAsia" w:ascii="宋体" w:hAnsi="宋体"/>
          <w:color w:val="auto"/>
          <w:sz w:val="24"/>
          <w:szCs w:val="24"/>
          <w:highlight w:val="none"/>
        </w:rPr>
        <w:t>；</w:t>
      </w:r>
      <w:r>
        <w:rPr>
          <w:rFonts w:hint="eastAsia" w:ascii="宋体" w:hAnsi="宋体"/>
          <w:b/>
          <w:bCs/>
          <w:color w:val="auto"/>
          <w:sz w:val="24"/>
          <w:szCs w:val="24"/>
          <w:highlight w:val="none"/>
        </w:rPr>
        <w:t xml:space="preserve"> </w:t>
      </w:r>
    </w:p>
    <w:p>
      <w:pPr>
        <w:tabs>
          <w:tab w:val="left" w:pos="525"/>
          <w:tab w:val="left" w:pos="1050"/>
        </w:tabs>
        <w:spacing w:line="360" w:lineRule="auto"/>
        <w:ind w:firstLine="480" w:firstLineChars="200"/>
        <w:rPr>
          <w:rFonts w:hint="eastAsia" w:ascii="宋体" w:hAnsi="宋体" w:cs="宋体"/>
          <w:bCs/>
          <w:color w:val="auto"/>
          <w:sz w:val="24"/>
          <w:szCs w:val="24"/>
          <w:highlight w:val="none"/>
        </w:rPr>
      </w:pPr>
      <w:r>
        <w:rPr>
          <w:rFonts w:ascii="宋体" w:hAnsi="宋体"/>
          <w:bCs/>
          <w:color w:val="auto"/>
          <w:sz w:val="24"/>
          <w:szCs w:val="24"/>
          <w:highlight w:val="none"/>
        </w:rPr>
        <w:t>⑬</w:t>
      </w:r>
      <w:r>
        <w:rPr>
          <w:rFonts w:hint="eastAsia" w:ascii="宋体" w:hAnsi="宋体" w:cs="宋体"/>
          <w:bCs/>
          <w:color w:val="auto"/>
          <w:sz w:val="24"/>
          <w:szCs w:val="24"/>
          <w:highlight w:val="none"/>
        </w:rPr>
        <w:t>承诺书（</w:t>
      </w:r>
      <w:r>
        <w:rPr>
          <w:rFonts w:hint="eastAsia" w:ascii="宋体" w:hAnsi="宋体" w:cs="宋体"/>
          <w:b/>
          <w:bCs/>
          <w:color w:val="auto"/>
          <w:sz w:val="24"/>
          <w:szCs w:val="24"/>
          <w:highlight w:val="none"/>
        </w:rPr>
        <w:t>格式见附件</w:t>
      </w:r>
      <w:r>
        <w:rPr>
          <w:rFonts w:hint="eastAsia" w:ascii="宋体" w:hAnsi="宋体" w:cs="宋体"/>
          <w:bCs/>
          <w:color w:val="auto"/>
          <w:sz w:val="24"/>
          <w:szCs w:val="24"/>
          <w:highlight w:val="none"/>
        </w:rPr>
        <w:t>）</w:t>
      </w:r>
    </w:p>
    <w:p>
      <w:pPr>
        <w:spacing w:line="360" w:lineRule="auto"/>
        <w:ind w:firstLine="480" w:firstLineChars="200"/>
        <w:rPr>
          <w:rFonts w:hint="eastAsia" w:ascii="宋体" w:hAnsi="宋体"/>
          <w:color w:val="auto"/>
          <w:sz w:val="32"/>
          <w:szCs w:val="32"/>
          <w:highlight w:val="none"/>
        </w:rPr>
      </w:pPr>
      <w:r>
        <w:rPr>
          <w:rFonts w:ascii="宋体" w:hAnsi="宋体"/>
          <w:bCs/>
          <w:color w:val="auto"/>
          <w:sz w:val="24"/>
          <w:szCs w:val="24"/>
          <w:highlight w:val="none"/>
        </w:rPr>
        <w:t>⑭</w:t>
      </w:r>
      <w:r>
        <w:rPr>
          <w:rFonts w:hint="eastAsia" w:ascii="宋体" w:hAnsi="宋体"/>
          <w:bCs/>
          <w:color w:val="auto"/>
          <w:sz w:val="24"/>
          <w:szCs w:val="24"/>
          <w:highlight w:val="none"/>
        </w:rPr>
        <w:t>投标人的投标文件应经总公司审核同意，并由总公司出具的精算意见书、法律意见书（</w:t>
      </w:r>
      <w:r>
        <w:rPr>
          <w:rFonts w:hint="eastAsia" w:ascii="宋体" w:hAnsi="宋体"/>
          <w:b/>
          <w:color w:val="auto"/>
          <w:sz w:val="24"/>
          <w:szCs w:val="24"/>
          <w:highlight w:val="none"/>
        </w:rPr>
        <w:t>审核文件及两份意见书的复印件或扫描件</w:t>
      </w:r>
      <w:r>
        <w:rPr>
          <w:rFonts w:hint="eastAsia" w:ascii="宋体" w:hAnsi="宋体"/>
          <w:bCs/>
          <w:color w:val="auto"/>
          <w:sz w:val="24"/>
          <w:szCs w:val="24"/>
          <w:highlight w:val="none"/>
        </w:rPr>
        <w:t>）。</w:t>
      </w:r>
    </w:p>
    <w:p>
      <w:pPr>
        <w:spacing w:line="360" w:lineRule="auto"/>
        <w:ind w:firstLine="480" w:firstLineChars="200"/>
        <w:jc w:val="left"/>
        <w:rPr>
          <w:rFonts w:ascii="宋体" w:hAnsi="宋体"/>
          <w:color w:val="auto"/>
          <w:sz w:val="24"/>
          <w:szCs w:val="24"/>
          <w:highlight w:val="none"/>
        </w:rPr>
      </w:pPr>
      <w:r>
        <w:rPr>
          <w:rFonts w:hint="eastAsia" w:ascii="宋体" w:hAnsi="宋体"/>
          <w:bCs/>
          <w:color w:val="auto"/>
          <w:sz w:val="24"/>
          <w:szCs w:val="24"/>
          <w:highlight w:val="none"/>
        </w:rPr>
        <w:t>注：投标供应商如已按《无锡市政府采购供应商注册登记管理办法》要求加入供应商库的，可注册入库（详见http://cz.wuxi.gov.cn/doc/2012/10/11/51585.shtml）成功后，从网上下载打印《无锡市政府采购注册供应商资格信息登记表》（以下简称信息登记表），并经法定代表人签字和加盖公章后,可作为供应商投标文件的有效组成部分提交采购代理机构。信息登记表所记录的信息如能反映投标人具备对应资格条件项的，在本项目评审时，可凭该信息登记表免于提供相应的资格证明材料的原件或公证件，否则必须按要求提供相应的资格证明材料原件或公证件。</w:t>
      </w:r>
    </w:p>
    <w:p>
      <w:pPr>
        <w:tabs>
          <w:tab w:val="left" w:pos="525"/>
          <w:tab w:val="left" w:pos="1050"/>
        </w:tabs>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上述证明文件中的</w:t>
      </w:r>
      <w:r>
        <w:rPr>
          <w:rFonts w:hint="eastAsia" w:ascii="宋体" w:hAnsi="宋体"/>
          <w:b/>
          <w:bCs/>
          <w:color w:val="auto"/>
          <w:sz w:val="24"/>
          <w:szCs w:val="24"/>
          <w:highlight w:val="none"/>
        </w:rPr>
        <w:t>资格、资信证明文件必须</w:t>
      </w:r>
      <w:r>
        <w:rPr>
          <w:rFonts w:hint="eastAsia" w:ascii="宋体" w:hAnsi="宋体"/>
          <w:bCs/>
          <w:color w:val="auto"/>
          <w:sz w:val="24"/>
          <w:szCs w:val="24"/>
          <w:highlight w:val="none"/>
        </w:rPr>
        <w:t>全部提供。</w:t>
      </w:r>
      <w:r>
        <w:rPr>
          <w:rFonts w:hint="eastAsia" w:ascii="宋体" w:hAnsi="宋体"/>
          <w:b/>
          <w:bCs/>
          <w:color w:val="auto"/>
          <w:sz w:val="24"/>
          <w:szCs w:val="24"/>
          <w:highlight w:val="none"/>
        </w:rPr>
        <w:t>其中要求提交的原件或公证件必须与响应文件同时提交</w:t>
      </w:r>
      <w:r>
        <w:rPr>
          <w:rFonts w:hint="eastAsia" w:ascii="宋体" w:hAnsi="宋体"/>
          <w:bCs/>
          <w:color w:val="auto"/>
          <w:sz w:val="24"/>
          <w:szCs w:val="24"/>
          <w:highlight w:val="none"/>
        </w:rPr>
        <w:t>，如果原件正在年检（或换证），则必须提供法定年检（或换证）单位出具的有效证明原件。投标人法定代表人或法定代表人授权代表为外籍、港、澳、台地区人士的，其身份证明须提供有效的护照或港澳同胞来往内地通行证、台湾同胞来往大陆通行证，或其它可中国大陆有效居留的许可证明。否则必须提供原件或公证件来予以证明。投标人所提交的证明文件的完整与否，将直接影响其响应文件的审核和评分结果。</w:t>
      </w:r>
    </w:p>
    <w:p>
      <w:pPr>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2）补充性文件</w:t>
      </w:r>
    </w:p>
    <w:p>
      <w:pPr>
        <w:tabs>
          <w:tab w:val="left" w:pos="525"/>
          <w:tab w:val="left" w:pos="1050"/>
        </w:tabs>
        <w:spacing w:line="360" w:lineRule="auto"/>
        <w:ind w:firstLine="480" w:firstLineChars="200"/>
        <w:rPr>
          <w:rFonts w:hint="eastAsia" w:ascii="宋体" w:hAnsi="宋体"/>
          <w:bCs/>
          <w:color w:val="auto"/>
          <w:sz w:val="24"/>
          <w:szCs w:val="24"/>
          <w:highlight w:val="none"/>
        </w:rPr>
      </w:pPr>
      <w:r>
        <w:rPr>
          <w:rFonts w:hint="eastAsia" w:ascii="宋体" w:hAnsi="宋体"/>
          <w:bCs/>
          <w:color w:val="auto"/>
          <w:sz w:val="24"/>
          <w:szCs w:val="24"/>
          <w:highlight w:val="none"/>
        </w:rPr>
        <w:t>①中小企业声明函（</w:t>
      </w:r>
      <w:r>
        <w:rPr>
          <w:rFonts w:hint="eastAsia" w:ascii="宋体" w:hAnsi="宋体"/>
          <w:b/>
          <w:bCs/>
          <w:color w:val="auto"/>
          <w:sz w:val="24"/>
          <w:szCs w:val="24"/>
          <w:highlight w:val="none"/>
        </w:rPr>
        <w:t>格式见附件</w:t>
      </w:r>
      <w:r>
        <w:rPr>
          <w:rFonts w:hint="eastAsia" w:ascii="宋体" w:hAnsi="宋体"/>
          <w:bCs/>
          <w:color w:val="auto"/>
          <w:sz w:val="24"/>
          <w:szCs w:val="24"/>
          <w:highlight w:val="none"/>
        </w:rPr>
        <w:t>）</w:t>
      </w:r>
    </w:p>
    <w:p>
      <w:pPr>
        <w:tabs>
          <w:tab w:val="left" w:pos="525"/>
          <w:tab w:val="left" w:pos="1050"/>
        </w:tabs>
        <w:spacing w:line="360" w:lineRule="auto"/>
        <w:ind w:firstLine="480" w:firstLineChars="200"/>
        <w:rPr>
          <w:rFonts w:hint="eastAsia" w:ascii="宋体" w:hAnsi="宋体"/>
          <w:bCs/>
          <w:color w:val="auto"/>
          <w:sz w:val="24"/>
          <w:szCs w:val="24"/>
          <w:highlight w:val="none"/>
        </w:rPr>
      </w:pPr>
      <w:r>
        <w:rPr>
          <w:rFonts w:hint="eastAsia" w:ascii="宋体" w:hAnsi="宋体"/>
          <w:bCs/>
          <w:color w:val="auto"/>
          <w:sz w:val="24"/>
          <w:szCs w:val="24"/>
          <w:highlight w:val="none"/>
        </w:rPr>
        <w:t>②残疾人福利性单位声明函（</w:t>
      </w:r>
      <w:r>
        <w:rPr>
          <w:rFonts w:hint="eastAsia" w:ascii="宋体" w:hAnsi="宋体"/>
          <w:b/>
          <w:bCs/>
          <w:color w:val="auto"/>
          <w:sz w:val="24"/>
          <w:szCs w:val="24"/>
          <w:highlight w:val="none"/>
        </w:rPr>
        <w:t>格式见附件</w:t>
      </w:r>
      <w:r>
        <w:rPr>
          <w:rFonts w:hint="eastAsia" w:ascii="宋体" w:hAnsi="宋体"/>
          <w:bCs/>
          <w:color w:val="auto"/>
          <w:sz w:val="24"/>
          <w:szCs w:val="24"/>
          <w:highlight w:val="none"/>
        </w:rPr>
        <w:t>）</w:t>
      </w:r>
    </w:p>
    <w:p>
      <w:pPr>
        <w:tabs>
          <w:tab w:val="left" w:pos="525"/>
          <w:tab w:val="left" w:pos="1050"/>
        </w:tabs>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③投标人基本状况一览表（</w:t>
      </w:r>
      <w:r>
        <w:rPr>
          <w:rFonts w:hint="eastAsia" w:ascii="宋体" w:hAnsi="宋体"/>
          <w:b/>
          <w:bCs/>
          <w:color w:val="auto"/>
          <w:sz w:val="24"/>
          <w:szCs w:val="24"/>
          <w:highlight w:val="none"/>
        </w:rPr>
        <w:t>格式见附件</w:t>
      </w:r>
      <w:r>
        <w:rPr>
          <w:rFonts w:hint="eastAsia" w:ascii="宋体" w:hAnsi="宋体"/>
          <w:bCs/>
          <w:color w:val="auto"/>
          <w:sz w:val="24"/>
          <w:szCs w:val="24"/>
          <w:highlight w:val="none"/>
        </w:rPr>
        <w:t>）</w:t>
      </w:r>
    </w:p>
    <w:p>
      <w:pPr>
        <w:tabs>
          <w:tab w:val="left" w:pos="1050"/>
        </w:tabs>
        <w:spacing w:line="360" w:lineRule="auto"/>
        <w:ind w:firstLine="480" w:firstLineChars="200"/>
        <w:rPr>
          <w:rFonts w:hint="eastAsia" w:ascii="宋体" w:hAnsi="宋体"/>
          <w:bCs/>
          <w:color w:val="auto"/>
          <w:sz w:val="24"/>
          <w:szCs w:val="24"/>
          <w:highlight w:val="none"/>
        </w:rPr>
      </w:pPr>
      <w:r>
        <w:rPr>
          <w:rFonts w:hint="eastAsia" w:ascii="宋体" w:hAnsi="宋体"/>
          <w:bCs/>
          <w:color w:val="auto"/>
          <w:sz w:val="24"/>
          <w:szCs w:val="24"/>
          <w:highlight w:val="none"/>
        </w:rPr>
        <w:t>④投标人简介</w:t>
      </w:r>
    </w:p>
    <w:p>
      <w:pPr>
        <w:tabs>
          <w:tab w:val="left" w:pos="1050"/>
        </w:tabs>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a.主要介绍本地机构的组织机构、人员、技术力量、主要负责人；</w:t>
      </w:r>
    </w:p>
    <w:p>
      <w:pPr>
        <w:tabs>
          <w:tab w:val="left" w:pos="1050"/>
        </w:tabs>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b.投标人认为有必要提供的声明和文件；</w:t>
      </w:r>
    </w:p>
    <w:p>
      <w:pPr>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c.其他。</w:t>
      </w:r>
    </w:p>
    <w:p>
      <w:pPr>
        <w:tabs>
          <w:tab w:val="left" w:pos="1050"/>
        </w:tabs>
        <w:spacing w:line="360" w:lineRule="auto"/>
        <w:ind w:firstLine="480" w:firstLineChars="200"/>
        <w:rPr>
          <w:rFonts w:hint="eastAsia" w:ascii="宋体" w:hAnsi="宋体"/>
          <w:bCs/>
          <w:color w:val="auto"/>
          <w:sz w:val="24"/>
          <w:szCs w:val="24"/>
          <w:highlight w:val="none"/>
        </w:rPr>
      </w:pPr>
      <w:r>
        <w:rPr>
          <w:rFonts w:hint="eastAsia" w:ascii="宋体" w:hAnsi="宋体"/>
          <w:bCs/>
          <w:color w:val="auto"/>
          <w:sz w:val="24"/>
          <w:szCs w:val="24"/>
          <w:highlight w:val="none"/>
        </w:rPr>
        <w:t>3）价格响应函（</w:t>
      </w:r>
      <w:r>
        <w:rPr>
          <w:rFonts w:hint="eastAsia" w:ascii="宋体" w:hAnsi="宋体"/>
          <w:b/>
          <w:bCs/>
          <w:color w:val="auto"/>
          <w:sz w:val="24"/>
          <w:szCs w:val="24"/>
          <w:highlight w:val="none"/>
        </w:rPr>
        <w:t>格式见附件</w:t>
      </w:r>
      <w:r>
        <w:rPr>
          <w:rFonts w:hint="eastAsia" w:ascii="宋体" w:hAnsi="宋体"/>
          <w:bCs/>
          <w:color w:val="auto"/>
          <w:sz w:val="24"/>
          <w:szCs w:val="24"/>
          <w:highlight w:val="none"/>
        </w:rPr>
        <w:t>）</w:t>
      </w:r>
    </w:p>
    <w:p>
      <w:pPr>
        <w:tabs>
          <w:tab w:val="left" w:pos="1050"/>
        </w:tabs>
        <w:spacing w:line="360" w:lineRule="auto"/>
        <w:ind w:firstLine="480" w:firstLineChars="200"/>
        <w:rPr>
          <w:rFonts w:hint="eastAsia" w:ascii="宋体" w:hAnsi="宋体"/>
          <w:b/>
          <w:bCs/>
          <w:color w:val="auto"/>
          <w:sz w:val="24"/>
          <w:szCs w:val="24"/>
          <w:highlight w:val="none"/>
        </w:rPr>
      </w:pPr>
      <w:r>
        <w:rPr>
          <w:rFonts w:hint="eastAsia" w:ascii="宋体" w:hAnsi="宋体"/>
          <w:bCs/>
          <w:color w:val="auto"/>
          <w:sz w:val="24"/>
          <w:szCs w:val="24"/>
          <w:highlight w:val="none"/>
        </w:rPr>
        <w:t>4）运营成本、控费奖励比例</w:t>
      </w:r>
      <w:r>
        <w:rPr>
          <w:rFonts w:hint="eastAsia" w:ascii="宋体" w:hAnsi="宋体"/>
          <w:b/>
          <w:bCs/>
          <w:color w:val="auto"/>
          <w:sz w:val="24"/>
          <w:szCs w:val="24"/>
          <w:highlight w:val="none"/>
        </w:rPr>
        <w:t>（格式见附件）</w:t>
      </w:r>
    </w:p>
    <w:p>
      <w:pPr>
        <w:tabs>
          <w:tab w:val="left" w:pos="1050"/>
        </w:tabs>
        <w:spacing w:line="360" w:lineRule="auto"/>
        <w:ind w:firstLine="480" w:firstLineChars="200"/>
        <w:rPr>
          <w:rFonts w:hint="eastAsia" w:ascii="宋体" w:hAnsi="宋体"/>
          <w:b/>
          <w:bCs/>
          <w:color w:val="auto"/>
          <w:sz w:val="24"/>
          <w:szCs w:val="24"/>
          <w:highlight w:val="none"/>
        </w:rPr>
      </w:pPr>
      <w:r>
        <w:rPr>
          <w:rFonts w:hint="eastAsia" w:ascii="宋体" w:hAnsi="宋体"/>
          <w:bCs/>
          <w:color w:val="auto"/>
          <w:sz w:val="24"/>
          <w:szCs w:val="24"/>
          <w:highlight w:val="none"/>
        </w:rPr>
        <w:t>5）亏损比例承诺</w:t>
      </w:r>
      <w:r>
        <w:rPr>
          <w:rFonts w:hint="eastAsia" w:ascii="宋体" w:hAnsi="宋体"/>
          <w:b/>
          <w:bCs/>
          <w:color w:val="auto"/>
          <w:sz w:val="24"/>
          <w:szCs w:val="24"/>
          <w:highlight w:val="none"/>
        </w:rPr>
        <w:t>（格式见附件）</w:t>
      </w:r>
    </w:p>
    <w:p>
      <w:pPr>
        <w:tabs>
          <w:tab w:val="left" w:pos="1050"/>
        </w:tabs>
        <w:spacing w:line="360" w:lineRule="auto"/>
        <w:ind w:firstLine="480" w:firstLineChars="200"/>
        <w:rPr>
          <w:rFonts w:hint="eastAsia" w:ascii="宋体" w:hAnsi="宋体"/>
          <w:b/>
          <w:bCs/>
          <w:color w:val="auto"/>
          <w:sz w:val="24"/>
          <w:szCs w:val="24"/>
          <w:highlight w:val="none"/>
        </w:rPr>
      </w:pPr>
      <w:r>
        <w:rPr>
          <w:rFonts w:hint="eastAsia" w:ascii="宋体" w:hAnsi="宋体"/>
          <w:color w:val="auto"/>
          <w:sz w:val="24"/>
          <w:szCs w:val="24"/>
          <w:highlight w:val="none"/>
        </w:rPr>
        <w:t>6）</w:t>
      </w:r>
      <w:r>
        <w:rPr>
          <w:rFonts w:hint="eastAsia" w:ascii="宋体" w:hAnsi="宋体"/>
          <w:bCs/>
          <w:color w:val="auto"/>
          <w:sz w:val="24"/>
          <w:szCs w:val="24"/>
          <w:highlight w:val="none"/>
        </w:rPr>
        <w:t>人员配置承诺书</w:t>
      </w:r>
      <w:r>
        <w:rPr>
          <w:rFonts w:hint="eastAsia" w:ascii="宋体" w:hAnsi="宋体"/>
          <w:b/>
          <w:bCs/>
          <w:color w:val="auto"/>
          <w:sz w:val="24"/>
          <w:szCs w:val="24"/>
          <w:highlight w:val="none"/>
        </w:rPr>
        <w:t>（格式见附件）</w:t>
      </w:r>
    </w:p>
    <w:p>
      <w:pPr>
        <w:tabs>
          <w:tab w:val="left" w:pos="1050"/>
        </w:tabs>
        <w:spacing w:line="360" w:lineRule="auto"/>
        <w:ind w:firstLine="480" w:firstLineChars="200"/>
        <w:rPr>
          <w:rFonts w:hint="eastAsia" w:ascii="黑体" w:hAnsi="宋体" w:eastAsia="黑体"/>
          <w:bCs/>
          <w:color w:val="auto"/>
          <w:sz w:val="24"/>
          <w:szCs w:val="24"/>
          <w:highlight w:val="none"/>
        </w:rPr>
      </w:pPr>
      <w:r>
        <w:rPr>
          <w:rFonts w:ascii="黑体" w:hAnsi="宋体" w:eastAsia="黑体"/>
          <w:bCs/>
          <w:color w:val="auto"/>
          <w:sz w:val="24"/>
          <w:szCs w:val="24"/>
          <w:highlight w:val="none"/>
        </w:rPr>
        <w:t>2.</w:t>
      </w:r>
      <w:r>
        <w:rPr>
          <w:rFonts w:hint="eastAsia" w:ascii="黑体" w:hAnsi="宋体" w:eastAsia="黑体"/>
          <w:bCs/>
          <w:color w:val="auto"/>
          <w:sz w:val="24"/>
          <w:szCs w:val="24"/>
          <w:highlight w:val="none"/>
        </w:rPr>
        <w:t>技术标（暗标）的组成</w:t>
      </w:r>
    </w:p>
    <w:p>
      <w:pPr>
        <w:spacing w:line="360" w:lineRule="auto"/>
        <w:ind w:firstLine="480" w:firstLineChars="200"/>
        <w:rPr>
          <w:rFonts w:hint="eastAsia" w:ascii="宋体" w:hAnsi="宋体"/>
          <w:bCs/>
          <w:color w:val="auto"/>
          <w:sz w:val="24"/>
          <w:szCs w:val="24"/>
          <w:highlight w:val="none"/>
        </w:rPr>
      </w:pPr>
      <w:r>
        <w:rPr>
          <w:rFonts w:hint="eastAsia" w:ascii="宋体" w:hAnsi="宋体"/>
          <w:bCs/>
          <w:color w:val="auto"/>
          <w:sz w:val="24"/>
          <w:szCs w:val="24"/>
          <w:highlight w:val="none"/>
        </w:rPr>
        <w:t>（1）保险方案</w:t>
      </w:r>
    </w:p>
    <w:p>
      <w:pPr>
        <w:spacing w:line="360" w:lineRule="auto"/>
        <w:ind w:firstLine="480" w:firstLineChars="200"/>
        <w:rPr>
          <w:rFonts w:hint="eastAsia" w:ascii="宋体" w:hAnsi="宋体"/>
          <w:bCs/>
          <w:color w:val="auto"/>
          <w:sz w:val="24"/>
          <w:szCs w:val="24"/>
          <w:highlight w:val="none"/>
        </w:rPr>
      </w:pPr>
      <w:r>
        <w:rPr>
          <w:rFonts w:hint="eastAsia" w:ascii="宋体" w:hAnsi="宋体"/>
          <w:bCs/>
          <w:color w:val="auto"/>
          <w:sz w:val="24"/>
          <w:szCs w:val="24"/>
          <w:highlight w:val="none"/>
        </w:rPr>
        <w:t>（2）管理方案</w:t>
      </w:r>
    </w:p>
    <w:p>
      <w:pPr>
        <w:spacing w:line="360" w:lineRule="auto"/>
        <w:ind w:firstLine="480" w:firstLineChars="200"/>
        <w:rPr>
          <w:rFonts w:hint="eastAsia" w:ascii="宋体" w:hAnsi="宋体"/>
          <w:bCs/>
          <w:color w:val="auto"/>
          <w:sz w:val="24"/>
          <w:szCs w:val="24"/>
          <w:highlight w:val="none"/>
        </w:rPr>
      </w:pPr>
      <w:r>
        <w:rPr>
          <w:rFonts w:hint="eastAsia" w:ascii="宋体" w:hAnsi="宋体"/>
          <w:bCs/>
          <w:color w:val="auto"/>
          <w:sz w:val="24"/>
          <w:szCs w:val="24"/>
          <w:highlight w:val="none"/>
        </w:rPr>
        <w:t>（3）创新性方案</w:t>
      </w:r>
    </w:p>
    <w:p>
      <w:pPr>
        <w:spacing w:line="360" w:lineRule="auto"/>
        <w:ind w:firstLine="480" w:firstLineChars="200"/>
        <w:rPr>
          <w:rFonts w:hint="eastAsia" w:ascii="宋体" w:hAnsi="宋体"/>
          <w:bCs/>
          <w:color w:val="auto"/>
          <w:sz w:val="24"/>
          <w:szCs w:val="24"/>
          <w:highlight w:val="none"/>
        </w:rPr>
      </w:pPr>
      <w:r>
        <w:rPr>
          <w:rFonts w:hint="eastAsia" w:ascii="黑体" w:hAnsi="宋体" w:eastAsia="黑体"/>
          <w:bCs/>
          <w:color w:val="auto"/>
          <w:sz w:val="24"/>
          <w:szCs w:val="24"/>
          <w:highlight w:val="none"/>
        </w:rPr>
        <w:t>(六) 投标文件的要求</w:t>
      </w:r>
    </w:p>
    <w:p>
      <w:pPr>
        <w:tabs>
          <w:tab w:val="left" w:pos="1050"/>
        </w:tabs>
        <w:spacing w:line="360" w:lineRule="auto"/>
        <w:ind w:firstLine="720" w:firstLineChars="300"/>
        <w:rPr>
          <w:rFonts w:ascii="宋体" w:hAnsi="宋体"/>
          <w:b/>
          <w:bCs/>
          <w:color w:val="auto"/>
          <w:sz w:val="24"/>
          <w:szCs w:val="24"/>
          <w:highlight w:val="none"/>
        </w:rPr>
      </w:pPr>
      <w:r>
        <w:rPr>
          <w:rFonts w:hint="eastAsia" w:ascii="宋体" w:hAnsi="宋体"/>
          <w:b/>
          <w:bCs/>
          <w:color w:val="auto"/>
          <w:sz w:val="24"/>
          <w:szCs w:val="24"/>
          <w:highlight w:val="none"/>
        </w:rPr>
        <w:t>1.投标文件的共性要求</w:t>
      </w:r>
    </w:p>
    <w:p>
      <w:pPr>
        <w:tabs>
          <w:tab w:val="left" w:pos="1050"/>
        </w:tabs>
        <w:spacing w:line="360" w:lineRule="auto"/>
        <w:ind w:firstLine="480" w:firstLineChars="200"/>
        <w:rPr>
          <w:rFonts w:hint="eastAsia" w:ascii="宋体" w:hAnsi="宋体"/>
          <w:bCs/>
          <w:color w:val="auto"/>
          <w:sz w:val="24"/>
          <w:szCs w:val="24"/>
          <w:highlight w:val="none"/>
        </w:rPr>
      </w:pPr>
      <w:r>
        <w:rPr>
          <w:rFonts w:hint="eastAsia" w:ascii="宋体" w:hAnsi="宋体"/>
          <w:bCs/>
          <w:color w:val="auto"/>
          <w:sz w:val="24"/>
          <w:szCs w:val="24"/>
          <w:highlight w:val="none"/>
        </w:rPr>
        <w:t>（1）投标文件应为纸质文件,所有文件、往来函件均应使用简体中文（规格、型号辅助符号例外）；</w:t>
      </w:r>
    </w:p>
    <w:p>
      <w:pPr>
        <w:tabs>
          <w:tab w:val="left" w:pos="1050"/>
        </w:tabs>
        <w:spacing w:line="360" w:lineRule="auto"/>
        <w:ind w:firstLine="480" w:firstLineChars="200"/>
        <w:rPr>
          <w:rFonts w:hint="eastAsia" w:ascii="宋体" w:hAnsi="宋体"/>
          <w:bCs/>
          <w:color w:val="auto"/>
          <w:sz w:val="24"/>
          <w:szCs w:val="24"/>
          <w:highlight w:val="none"/>
        </w:rPr>
      </w:pPr>
      <w:r>
        <w:rPr>
          <w:rFonts w:hint="eastAsia" w:ascii="宋体" w:hAnsi="宋体"/>
          <w:bCs/>
          <w:color w:val="auto"/>
          <w:sz w:val="24"/>
          <w:szCs w:val="24"/>
          <w:highlight w:val="none"/>
        </w:rPr>
        <w:t>（2）投标文件由投标人按给定格式如实填写（编写）。投标文件打印一律使用</w:t>
      </w:r>
      <w:r>
        <w:rPr>
          <w:rFonts w:hint="eastAsia" w:ascii="宋体" w:hAnsi="宋体"/>
          <w:b/>
          <w:bCs/>
          <w:color w:val="auto"/>
          <w:sz w:val="24"/>
          <w:szCs w:val="24"/>
          <w:highlight w:val="none"/>
        </w:rPr>
        <w:t>A4，竖排版面（包括封面、封底、正文），双面打印；</w:t>
      </w:r>
    </w:p>
    <w:p>
      <w:pPr>
        <w:tabs>
          <w:tab w:val="left" w:pos="1050"/>
        </w:tabs>
        <w:spacing w:line="360" w:lineRule="auto"/>
        <w:ind w:firstLine="480" w:firstLineChars="200"/>
        <w:rPr>
          <w:rFonts w:hint="eastAsia" w:ascii="宋体" w:hAnsi="宋体"/>
          <w:bCs/>
          <w:color w:val="auto"/>
          <w:sz w:val="24"/>
          <w:szCs w:val="24"/>
          <w:highlight w:val="none"/>
        </w:rPr>
      </w:pPr>
      <w:r>
        <w:rPr>
          <w:rFonts w:hint="eastAsia" w:ascii="宋体" w:hAnsi="宋体"/>
          <w:bCs/>
          <w:color w:val="auto"/>
          <w:sz w:val="24"/>
          <w:szCs w:val="24"/>
          <w:highlight w:val="none"/>
        </w:rPr>
        <w:t>（3）投标文件格式附件，</w:t>
      </w:r>
      <w:r>
        <w:rPr>
          <w:rFonts w:hint="eastAsia" w:ascii="宋体" w:hAnsi="宋体"/>
          <w:b/>
          <w:bCs/>
          <w:color w:val="auto"/>
          <w:sz w:val="24"/>
          <w:szCs w:val="24"/>
          <w:highlight w:val="none"/>
        </w:rPr>
        <w:t>应由投标人按招标文件给定格式提供</w:t>
      </w:r>
      <w:r>
        <w:rPr>
          <w:rFonts w:hint="eastAsia" w:ascii="宋体" w:hAnsi="宋体"/>
          <w:bCs/>
          <w:color w:val="auto"/>
          <w:sz w:val="24"/>
          <w:szCs w:val="24"/>
          <w:highlight w:val="none"/>
        </w:rPr>
        <w:t>；</w:t>
      </w:r>
    </w:p>
    <w:p>
      <w:pPr>
        <w:tabs>
          <w:tab w:val="left" w:pos="1050"/>
        </w:tabs>
        <w:spacing w:line="360" w:lineRule="auto"/>
        <w:ind w:firstLine="480" w:firstLineChars="200"/>
        <w:rPr>
          <w:rFonts w:hint="eastAsia" w:ascii="宋体" w:hAnsi="宋体"/>
          <w:bCs/>
          <w:color w:val="auto"/>
          <w:sz w:val="24"/>
          <w:szCs w:val="24"/>
          <w:highlight w:val="none"/>
        </w:rPr>
      </w:pPr>
      <w:r>
        <w:rPr>
          <w:rFonts w:hint="eastAsia" w:ascii="宋体" w:hAnsi="宋体"/>
          <w:bCs/>
          <w:color w:val="auto"/>
          <w:sz w:val="24"/>
          <w:szCs w:val="24"/>
          <w:highlight w:val="none"/>
        </w:rPr>
        <w:t>（4）</w:t>
      </w:r>
      <w:r>
        <w:rPr>
          <w:rFonts w:hint="eastAsia" w:ascii="宋体" w:hAnsi="宋体"/>
          <w:b/>
          <w:bCs/>
          <w:color w:val="auto"/>
          <w:sz w:val="24"/>
          <w:szCs w:val="24"/>
          <w:highlight w:val="none"/>
        </w:rPr>
        <w:t>投标文件封袋的封口处加盖投标人公章或有投标人单位全称的封口章</w:t>
      </w:r>
      <w:r>
        <w:rPr>
          <w:rFonts w:hint="eastAsia" w:ascii="宋体" w:hAnsi="宋体"/>
          <w:bCs/>
          <w:color w:val="auto"/>
          <w:sz w:val="24"/>
          <w:szCs w:val="24"/>
          <w:highlight w:val="none"/>
        </w:rPr>
        <w:t>；</w:t>
      </w:r>
    </w:p>
    <w:p>
      <w:pPr>
        <w:tabs>
          <w:tab w:val="left" w:pos="1050"/>
        </w:tabs>
        <w:spacing w:line="360" w:lineRule="auto"/>
        <w:ind w:firstLine="480" w:firstLineChars="200"/>
        <w:rPr>
          <w:rFonts w:hint="eastAsia" w:ascii="宋体" w:hAnsi="宋体"/>
          <w:b/>
          <w:bCs/>
          <w:color w:val="auto"/>
          <w:sz w:val="24"/>
          <w:szCs w:val="24"/>
          <w:highlight w:val="none"/>
        </w:rPr>
      </w:pPr>
      <w:r>
        <w:rPr>
          <w:rFonts w:hint="eastAsia" w:ascii="宋体" w:hAnsi="宋体"/>
          <w:b/>
          <w:bCs/>
          <w:color w:val="auto"/>
          <w:sz w:val="24"/>
          <w:szCs w:val="24"/>
          <w:highlight w:val="none"/>
        </w:rPr>
        <w:t>（5）投标文件的正本、副本应加盖公章处均需加盖公章。</w:t>
      </w:r>
    </w:p>
    <w:p>
      <w:pPr>
        <w:tabs>
          <w:tab w:val="left" w:pos="1050"/>
        </w:tabs>
        <w:spacing w:line="360" w:lineRule="auto"/>
        <w:ind w:firstLine="720" w:firstLineChars="300"/>
        <w:rPr>
          <w:rFonts w:hint="eastAsia" w:ascii="宋体" w:hAnsi="宋体"/>
          <w:b/>
          <w:bCs/>
          <w:color w:val="auto"/>
          <w:sz w:val="24"/>
          <w:szCs w:val="24"/>
          <w:highlight w:val="none"/>
        </w:rPr>
      </w:pPr>
      <w:r>
        <w:rPr>
          <w:rFonts w:hint="eastAsia" w:ascii="宋体" w:hAnsi="宋体"/>
          <w:b/>
          <w:bCs/>
          <w:color w:val="auto"/>
          <w:sz w:val="24"/>
          <w:szCs w:val="24"/>
          <w:highlight w:val="none"/>
        </w:rPr>
        <w:t>2.商务标（明标）投标文件的要求</w:t>
      </w:r>
    </w:p>
    <w:p>
      <w:pPr>
        <w:tabs>
          <w:tab w:val="left" w:pos="1050"/>
        </w:tabs>
        <w:spacing w:line="360" w:lineRule="auto"/>
        <w:ind w:firstLine="480" w:firstLineChars="200"/>
        <w:rPr>
          <w:rFonts w:hint="eastAsia" w:ascii="宋体" w:hAnsi="宋体"/>
          <w:bCs/>
          <w:color w:val="auto"/>
          <w:sz w:val="24"/>
          <w:szCs w:val="24"/>
          <w:highlight w:val="none"/>
        </w:rPr>
      </w:pPr>
      <w:r>
        <w:rPr>
          <w:rFonts w:hint="eastAsia" w:ascii="宋体" w:hAnsi="宋体"/>
          <w:bCs/>
          <w:color w:val="auto"/>
          <w:sz w:val="24"/>
          <w:szCs w:val="24"/>
          <w:highlight w:val="none"/>
        </w:rPr>
        <w:t>（1）投标文件未尽事宜可自行补充；</w:t>
      </w:r>
    </w:p>
    <w:p>
      <w:pPr>
        <w:tabs>
          <w:tab w:val="left" w:pos="1050"/>
        </w:tabs>
        <w:spacing w:line="360" w:lineRule="auto"/>
        <w:ind w:firstLine="480" w:firstLineChars="200"/>
        <w:rPr>
          <w:rFonts w:hint="eastAsia" w:ascii="宋体" w:hAnsi="宋体"/>
          <w:b/>
          <w:bCs/>
          <w:color w:val="auto"/>
          <w:sz w:val="24"/>
          <w:szCs w:val="24"/>
          <w:highlight w:val="none"/>
        </w:rPr>
      </w:pPr>
      <w:r>
        <w:rPr>
          <w:rFonts w:hint="eastAsia" w:ascii="宋体" w:hAnsi="宋体"/>
          <w:bCs/>
          <w:color w:val="auto"/>
          <w:sz w:val="24"/>
          <w:szCs w:val="24"/>
          <w:highlight w:val="none"/>
        </w:rPr>
        <w:t>（2）</w:t>
      </w:r>
      <w:r>
        <w:rPr>
          <w:rFonts w:hint="eastAsia" w:ascii="宋体" w:hAnsi="宋体"/>
          <w:b/>
          <w:bCs/>
          <w:color w:val="auto"/>
          <w:sz w:val="24"/>
          <w:szCs w:val="24"/>
          <w:highlight w:val="none"/>
        </w:rPr>
        <w:t>投标文件应双面打印或不褪色的黑色墨水书写；</w:t>
      </w:r>
    </w:p>
    <w:p>
      <w:pPr>
        <w:tabs>
          <w:tab w:val="left" w:pos="1050"/>
        </w:tabs>
        <w:spacing w:line="360" w:lineRule="auto"/>
        <w:ind w:firstLine="480" w:firstLineChars="200"/>
        <w:rPr>
          <w:rFonts w:hint="eastAsia" w:ascii="宋体" w:hAnsi="宋体"/>
          <w:bCs/>
          <w:color w:val="auto"/>
          <w:sz w:val="24"/>
          <w:szCs w:val="24"/>
          <w:highlight w:val="none"/>
        </w:rPr>
      </w:pPr>
      <w:r>
        <w:rPr>
          <w:rFonts w:hint="eastAsia" w:ascii="宋体" w:hAnsi="宋体"/>
          <w:bCs/>
          <w:color w:val="auto"/>
          <w:sz w:val="24"/>
          <w:szCs w:val="24"/>
          <w:highlight w:val="none"/>
        </w:rPr>
        <w:t>（3）投标文件统一按照投标函格式中的顺序制作，并请编制目录及页码；</w:t>
      </w:r>
    </w:p>
    <w:p>
      <w:pPr>
        <w:tabs>
          <w:tab w:val="left" w:pos="1050"/>
        </w:tabs>
        <w:spacing w:line="360" w:lineRule="auto"/>
        <w:ind w:firstLine="480" w:firstLineChars="200"/>
        <w:rPr>
          <w:rFonts w:hint="eastAsia" w:ascii="宋体" w:hAnsi="宋体"/>
          <w:bCs/>
          <w:color w:val="auto"/>
          <w:sz w:val="24"/>
          <w:szCs w:val="24"/>
          <w:highlight w:val="none"/>
        </w:rPr>
      </w:pPr>
      <w:r>
        <w:rPr>
          <w:rFonts w:hint="eastAsia" w:ascii="宋体" w:hAnsi="宋体"/>
          <w:bCs/>
          <w:color w:val="auto"/>
          <w:sz w:val="24"/>
          <w:szCs w:val="24"/>
          <w:highlight w:val="none"/>
        </w:rPr>
        <w:t>（4）投标文件份数为正本壹份，副本贰份，共叁份,</w:t>
      </w:r>
      <w:r>
        <w:rPr>
          <w:rFonts w:hint="eastAsia" w:ascii="宋体" w:hAnsi="宋体"/>
          <w:b/>
          <w:bCs/>
          <w:color w:val="auto"/>
          <w:sz w:val="24"/>
          <w:szCs w:val="24"/>
          <w:highlight w:val="none"/>
        </w:rPr>
        <w:t>须双面打印并各自装订成册</w:t>
      </w:r>
      <w:r>
        <w:rPr>
          <w:rFonts w:hint="eastAsia" w:ascii="宋体" w:hAnsi="宋体"/>
          <w:bCs/>
          <w:color w:val="auto"/>
          <w:sz w:val="24"/>
          <w:szCs w:val="24"/>
          <w:highlight w:val="none"/>
        </w:rPr>
        <w:t>。</w:t>
      </w:r>
      <w:r>
        <w:rPr>
          <w:rFonts w:hint="eastAsia" w:ascii="宋体" w:hAnsi="宋体"/>
          <w:b/>
          <w:bCs/>
          <w:color w:val="auto"/>
          <w:sz w:val="24"/>
          <w:szCs w:val="24"/>
          <w:highlight w:val="none"/>
        </w:rPr>
        <w:t>叁份投标文件统一密封在同一个标袋中</w:t>
      </w:r>
      <w:r>
        <w:rPr>
          <w:rFonts w:hint="eastAsia" w:ascii="宋体" w:hAnsi="宋体"/>
          <w:bCs/>
          <w:color w:val="auto"/>
          <w:sz w:val="24"/>
          <w:szCs w:val="24"/>
          <w:highlight w:val="none"/>
        </w:rPr>
        <w:t>；</w:t>
      </w:r>
    </w:p>
    <w:p>
      <w:pPr>
        <w:tabs>
          <w:tab w:val="left" w:pos="1050"/>
        </w:tabs>
        <w:spacing w:line="360" w:lineRule="auto"/>
        <w:ind w:firstLine="480" w:firstLineChars="200"/>
        <w:rPr>
          <w:rFonts w:hint="eastAsia" w:ascii="宋体" w:hAnsi="宋体"/>
          <w:bCs/>
          <w:color w:val="auto"/>
          <w:sz w:val="24"/>
          <w:szCs w:val="24"/>
          <w:highlight w:val="none"/>
        </w:rPr>
      </w:pPr>
      <w:r>
        <w:rPr>
          <w:rFonts w:hint="eastAsia" w:ascii="宋体" w:hAnsi="宋体"/>
          <w:bCs/>
          <w:color w:val="auto"/>
          <w:sz w:val="24"/>
          <w:szCs w:val="24"/>
          <w:highlight w:val="none"/>
        </w:rPr>
        <w:t>（5）上述投标文件在标袋上注明 “商务标（明标）”,写明招标编号、项目名称及投标人名称；</w:t>
      </w:r>
    </w:p>
    <w:p>
      <w:pPr>
        <w:tabs>
          <w:tab w:val="left" w:pos="1050"/>
        </w:tabs>
        <w:spacing w:line="360" w:lineRule="auto"/>
        <w:ind w:firstLine="480" w:firstLineChars="200"/>
        <w:rPr>
          <w:rFonts w:hint="eastAsia" w:ascii="宋体" w:hAnsi="宋体"/>
          <w:bCs/>
          <w:color w:val="auto"/>
          <w:sz w:val="24"/>
          <w:szCs w:val="24"/>
          <w:highlight w:val="none"/>
        </w:rPr>
      </w:pPr>
      <w:r>
        <w:rPr>
          <w:rFonts w:hint="eastAsia" w:ascii="宋体" w:hAnsi="宋体"/>
          <w:bCs/>
          <w:color w:val="auto"/>
          <w:sz w:val="24"/>
          <w:szCs w:val="24"/>
          <w:highlight w:val="none"/>
        </w:rPr>
        <w:t>（6）投标文件不应有涂改、增删和潦草之处，如有必须修改时，修改处必须有法定代表人或分支机构负责人或被授权代表的签字或盖章；</w:t>
      </w:r>
    </w:p>
    <w:p>
      <w:pPr>
        <w:tabs>
          <w:tab w:val="left" w:pos="1050"/>
        </w:tabs>
        <w:spacing w:line="360" w:lineRule="auto"/>
        <w:ind w:firstLine="600" w:firstLineChars="250"/>
        <w:rPr>
          <w:rFonts w:hint="eastAsia" w:ascii="宋体" w:hAnsi="宋体"/>
          <w:b/>
          <w:bCs/>
          <w:color w:val="auto"/>
          <w:sz w:val="24"/>
          <w:szCs w:val="24"/>
          <w:highlight w:val="none"/>
        </w:rPr>
      </w:pPr>
      <w:r>
        <w:rPr>
          <w:rFonts w:hint="eastAsia" w:ascii="宋体" w:hAnsi="宋体"/>
          <w:b/>
          <w:bCs/>
          <w:color w:val="auto"/>
          <w:sz w:val="24"/>
          <w:szCs w:val="24"/>
          <w:highlight w:val="none"/>
        </w:rPr>
        <w:t>3.技术标（暗标）投标文件的要求</w:t>
      </w:r>
    </w:p>
    <w:p>
      <w:pPr>
        <w:tabs>
          <w:tab w:val="left" w:pos="1050"/>
        </w:tabs>
        <w:spacing w:line="360" w:lineRule="auto"/>
        <w:ind w:firstLine="360" w:firstLineChars="150"/>
        <w:rPr>
          <w:rFonts w:hint="eastAsia" w:ascii="宋体" w:hAnsi="宋体"/>
          <w:bCs/>
          <w:color w:val="auto"/>
          <w:sz w:val="24"/>
          <w:szCs w:val="24"/>
          <w:highlight w:val="none"/>
        </w:rPr>
      </w:pPr>
      <w:r>
        <w:rPr>
          <w:rFonts w:hint="eastAsia" w:ascii="宋体" w:hAnsi="宋体"/>
          <w:bCs/>
          <w:color w:val="auto"/>
          <w:sz w:val="24"/>
          <w:szCs w:val="24"/>
          <w:highlight w:val="none"/>
        </w:rPr>
        <w:t>（1）</w:t>
      </w:r>
      <w:r>
        <w:rPr>
          <w:rFonts w:hint="eastAsia" w:ascii="宋体" w:hAnsi="宋体"/>
          <w:b/>
          <w:bCs/>
          <w:color w:val="auto"/>
          <w:sz w:val="24"/>
          <w:szCs w:val="24"/>
          <w:highlight w:val="none"/>
        </w:rPr>
        <w:t>投标文件应双面打印，不得单面打印及手工书写</w:t>
      </w:r>
      <w:r>
        <w:rPr>
          <w:rFonts w:hint="eastAsia" w:ascii="宋体" w:hAnsi="宋体"/>
          <w:bCs/>
          <w:color w:val="auto"/>
          <w:sz w:val="24"/>
          <w:szCs w:val="24"/>
          <w:highlight w:val="none"/>
        </w:rPr>
        <w:t>；</w:t>
      </w:r>
    </w:p>
    <w:p>
      <w:pPr>
        <w:tabs>
          <w:tab w:val="left" w:pos="525"/>
        </w:tabs>
        <w:spacing w:line="360" w:lineRule="auto"/>
        <w:ind w:firstLine="360" w:firstLineChars="150"/>
        <w:rPr>
          <w:rFonts w:hint="eastAsia" w:ascii="宋体" w:hAnsi="宋体"/>
          <w:bCs/>
          <w:color w:val="auto"/>
          <w:sz w:val="24"/>
          <w:szCs w:val="24"/>
          <w:highlight w:val="none"/>
        </w:rPr>
      </w:pPr>
      <w:r>
        <w:rPr>
          <w:rFonts w:hint="eastAsia" w:ascii="宋体" w:hAnsi="宋体"/>
          <w:bCs/>
          <w:color w:val="auto"/>
          <w:sz w:val="24"/>
          <w:szCs w:val="24"/>
          <w:highlight w:val="none"/>
        </w:rPr>
        <w:t>（2）投标文件按照技术标（暗标）的组成规定的顺序制作，</w:t>
      </w:r>
      <w:r>
        <w:rPr>
          <w:rFonts w:hint="eastAsia" w:ascii="宋体" w:hAnsi="宋体"/>
          <w:b/>
          <w:bCs/>
          <w:color w:val="auto"/>
          <w:sz w:val="24"/>
          <w:szCs w:val="24"/>
          <w:highlight w:val="none"/>
        </w:rPr>
        <w:t>并制作目录，页码从目录页开始连续编制，具体要求如下：</w:t>
      </w:r>
    </w:p>
    <w:p>
      <w:pPr>
        <w:tabs>
          <w:tab w:val="left" w:pos="525"/>
        </w:tabs>
        <w:spacing w:line="360" w:lineRule="auto"/>
        <w:ind w:firstLine="480" w:firstLineChars="200"/>
        <w:rPr>
          <w:rFonts w:hint="eastAsia" w:ascii="宋体" w:hAnsi="宋体"/>
          <w:bCs/>
          <w:color w:val="auto"/>
          <w:sz w:val="24"/>
          <w:szCs w:val="24"/>
          <w:highlight w:val="none"/>
        </w:rPr>
      </w:pPr>
      <w:r>
        <w:rPr>
          <w:rFonts w:hint="eastAsia" w:ascii="宋体" w:hAnsi="宋体"/>
          <w:bCs/>
          <w:color w:val="auto"/>
          <w:sz w:val="24"/>
          <w:szCs w:val="24"/>
          <w:highlight w:val="none"/>
        </w:rPr>
        <w:t>①</w:t>
      </w:r>
      <w:r>
        <w:rPr>
          <w:rFonts w:hint="eastAsia" w:ascii="宋体" w:hAnsi="宋体"/>
          <w:b/>
          <w:bCs/>
          <w:color w:val="auto"/>
          <w:sz w:val="24"/>
          <w:szCs w:val="24"/>
          <w:highlight w:val="none"/>
        </w:rPr>
        <w:t>字体及字号要求：除给定格式外（封面），其余输入的文字字体为宋体,字号为小3号,不加粗。</w:t>
      </w:r>
    </w:p>
    <w:p>
      <w:pPr>
        <w:tabs>
          <w:tab w:val="left" w:pos="525"/>
        </w:tabs>
        <w:spacing w:line="360" w:lineRule="auto"/>
        <w:ind w:firstLine="480" w:firstLineChars="200"/>
        <w:rPr>
          <w:rFonts w:hint="eastAsia" w:ascii="宋体" w:hAnsi="宋体"/>
          <w:b/>
          <w:bCs/>
          <w:color w:val="auto"/>
          <w:sz w:val="24"/>
          <w:szCs w:val="24"/>
          <w:highlight w:val="none"/>
        </w:rPr>
      </w:pPr>
      <w:r>
        <w:rPr>
          <w:rFonts w:hint="eastAsia" w:ascii="宋体" w:hAnsi="宋体"/>
          <w:color w:val="auto"/>
          <w:sz w:val="24"/>
          <w:szCs w:val="24"/>
          <w:highlight w:val="none"/>
        </w:rPr>
        <w:t>②</w:t>
      </w:r>
      <w:r>
        <w:rPr>
          <w:rFonts w:hint="eastAsia" w:ascii="宋体" w:hAnsi="宋体"/>
          <w:b/>
          <w:bCs/>
          <w:color w:val="auto"/>
          <w:sz w:val="24"/>
          <w:szCs w:val="24"/>
          <w:highlight w:val="none"/>
        </w:rPr>
        <w:t>不得有任何加粗、斜体、下划线、边框、底纹、阴影、填充颜色和项目符号等显示投标主体的标志（仅保险条款费率表、伤残比例赔付标准表可用表格式）</w:t>
      </w:r>
      <w:r>
        <w:rPr>
          <w:rFonts w:hint="eastAsia" w:ascii="宋体" w:hAnsi="宋体"/>
          <w:bCs/>
          <w:color w:val="auto"/>
          <w:sz w:val="24"/>
          <w:szCs w:val="24"/>
          <w:highlight w:val="none"/>
        </w:rPr>
        <w:t>；</w:t>
      </w:r>
    </w:p>
    <w:p>
      <w:pPr>
        <w:tabs>
          <w:tab w:val="left" w:pos="525"/>
        </w:tabs>
        <w:spacing w:line="360" w:lineRule="auto"/>
        <w:ind w:firstLine="480" w:firstLineChars="200"/>
        <w:rPr>
          <w:rFonts w:hint="eastAsia" w:ascii="宋体" w:hAnsi="宋体"/>
          <w:b/>
          <w:bCs/>
          <w:color w:val="auto"/>
          <w:sz w:val="24"/>
          <w:szCs w:val="24"/>
          <w:highlight w:val="none"/>
        </w:rPr>
      </w:pPr>
      <w:r>
        <w:rPr>
          <w:rFonts w:hint="eastAsia" w:ascii="宋体" w:hAnsi="宋体"/>
          <w:bCs/>
          <w:color w:val="auto"/>
          <w:sz w:val="24"/>
          <w:szCs w:val="24"/>
          <w:highlight w:val="none"/>
        </w:rPr>
        <w:t>③</w:t>
      </w:r>
      <w:r>
        <w:rPr>
          <w:rFonts w:hint="eastAsia" w:ascii="宋体" w:hAnsi="宋体"/>
          <w:b/>
          <w:bCs/>
          <w:color w:val="auto"/>
          <w:sz w:val="24"/>
          <w:szCs w:val="24"/>
          <w:highlight w:val="none"/>
        </w:rPr>
        <w:t>本技术标封面和封底由招标代理机构统一提供 (格式见附件)；</w:t>
      </w:r>
    </w:p>
    <w:p>
      <w:pPr>
        <w:tabs>
          <w:tab w:val="left" w:pos="525"/>
        </w:tabs>
        <w:spacing w:line="360" w:lineRule="auto"/>
        <w:ind w:firstLine="480" w:firstLineChars="200"/>
        <w:rPr>
          <w:rFonts w:hint="eastAsia" w:ascii="宋体" w:hAnsi="宋体"/>
          <w:bCs/>
          <w:color w:val="auto"/>
          <w:sz w:val="24"/>
          <w:szCs w:val="24"/>
          <w:highlight w:val="none"/>
        </w:rPr>
      </w:pPr>
      <w:r>
        <w:rPr>
          <w:rFonts w:hint="eastAsia" w:ascii="宋体" w:hAnsi="宋体"/>
          <w:bCs/>
          <w:color w:val="auto"/>
          <w:sz w:val="24"/>
          <w:szCs w:val="24"/>
          <w:highlight w:val="none"/>
        </w:rPr>
        <w:t>④</w:t>
      </w:r>
      <w:r>
        <w:rPr>
          <w:rFonts w:hint="eastAsia" w:ascii="宋体" w:hAnsi="宋体"/>
          <w:b/>
          <w:bCs/>
          <w:color w:val="auto"/>
          <w:sz w:val="24"/>
          <w:szCs w:val="24"/>
          <w:highlight w:val="none"/>
        </w:rPr>
        <w:t>投标文件统一使用“白铁皮盖板式装订夹”，左侧装订，由采购代理机构提供8个。</w:t>
      </w:r>
    </w:p>
    <w:p>
      <w:pPr>
        <w:tabs>
          <w:tab w:val="left" w:pos="525"/>
        </w:tabs>
        <w:spacing w:line="360" w:lineRule="auto"/>
        <w:ind w:firstLine="480" w:firstLineChars="200"/>
        <w:rPr>
          <w:rFonts w:hint="eastAsia" w:ascii="宋体" w:hAnsi="宋体"/>
          <w:bCs/>
          <w:color w:val="auto"/>
          <w:sz w:val="24"/>
          <w:szCs w:val="24"/>
          <w:highlight w:val="none"/>
        </w:rPr>
      </w:pPr>
      <w:r>
        <w:rPr>
          <w:rFonts w:hint="eastAsia" w:ascii="宋体" w:hAnsi="宋体"/>
          <w:bCs/>
          <w:color w:val="auto"/>
          <w:sz w:val="24"/>
          <w:szCs w:val="24"/>
          <w:highlight w:val="none"/>
        </w:rPr>
        <w:t>（3）</w:t>
      </w:r>
      <w:r>
        <w:rPr>
          <w:rFonts w:hint="eastAsia" w:ascii="宋体" w:hAnsi="宋体"/>
          <w:b/>
          <w:bCs/>
          <w:color w:val="auto"/>
          <w:sz w:val="24"/>
          <w:szCs w:val="24"/>
          <w:highlight w:val="none"/>
        </w:rPr>
        <w:t>投标文件份数为正本壹份，副本柒份，共捌份，须各自装订成册，正本一份单独密封在一个标袋中，柒份副本密封在另一个标袋中，均需在标袋密封处盖投标人公章或有投标人单位全称的封口章</w:t>
      </w:r>
      <w:r>
        <w:rPr>
          <w:rFonts w:hint="eastAsia" w:ascii="宋体" w:hAnsi="宋体"/>
          <w:bCs/>
          <w:color w:val="auto"/>
          <w:sz w:val="24"/>
          <w:szCs w:val="24"/>
          <w:highlight w:val="none"/>
        </w:rPr>
        <w:t>；</w:t>
      </w:r>
    </w:p>
    <w:p>
      <w:pPr>
        <w:tabs>
          <w:tab w:val="left" w:pos="525"/>
        </w:tabs>
        <w:spacing w:line="360" w:lineRule="auto"/>
        <w:ind w:firstLine="480" w:firstLineChars="200"/>
        <w:rPr>
          <w:rFonts w:hint="eastAsia" w:ascii="宋体" w:hAnsi="宋体"/>
          <w:bCs/>
          <w:color w:val="auto"/>
          <w:sz w:val="24"/>
          <w:szCs w:val="24"/>
          <w:highlight w:val="none"/>
        </w:rPr>
      </w:pPr>
      <w:r>
        <w:rPr>
          <w:rFonts w:hint="eastAsia" w:ascii="宋体" w:hAnsi="宋体"/>
          <w:bCs/>
          <w:color w:val="auto"/>
          <w:sz w:val="24"/>
          <w:szCs w:val="24"/>
          <w:highlight w:val="none"/>
        </w:rPr>
        <w:t>（4）投标文件仅在标袋上分别注明“技术标（暗标）正本”、“技术标（暗标）副本”字样，同时在标袋上写明</w:t>
      </w:r>
      <w:r>
        <w:rPr>
          <w:rFonts w:hint="eastAsia" w:ascii="宋体" w:hAnsi="宋体"/>
          <w:b/>
          <w:bCs/>
          <w:color w:val="auto"/>
          <w:sz w:val="24"/>
          <w:szCs w:val="24"/>
          <w:highlight w:val="none"/>
        </w:rPr>
        <w:t>招标编号、标段号、项目名称及投标人名称</w:t>
      </w:r>
      <w:r>
        <w:rPr>
          <w:rFonts w:hint="eastAsia" w:ascii="宋体" w:hAnsi="宋体"/>
          <w:bCs/>
          <w:color w:val="auto"/>
          <w:sz w:val="24"/>
          <w:szCs w:val="24"/>
          <w:highlight w:val="none"/>
        </w:rPr>
        <w:t>；</w:t>
      </w:r>
    </w:p>
    <w:p>
      <w:pPr>
        <w:tabs>
          <w:tab w:val="left" w:pos="525"/>
        </w:tabs>
        <w:spacing w:line="360" w:lineRule="auto"/>
        <w:ind w:firstLine="480" w:firstLineChars="200"/>
        <w:rPr>
          <w:rFonts w:hint="eastAsia" w:ascii="宋体" w:hAnsi="宋体"/>
          <w:bCs/>
          <w:color w:val="auto"/>
          <w:sz w:val="24"/>
          <w:szCs w:val="24"/>
          <w:highlight w:val="none"/>
        </w:rPr>
      </w:pPr>
      <w:r>
        <w:rPr>
          <w:rFonts w:hint="eastAsia" w:ascii="宋体" w:hAnsi="宋体"/>
          <w:bCs/>
          <w:color w:val="auto"/>
          <w:sz w:val="24"/>
          <w:szCs w:val="24"/>
          <w:highlight w:val="none"/>
        </w:rPr>
        <w:t>（5）投标文件应当版面整洁、字迹清楚、不许涂改，不得在文件内作任何标识或暗示该投标人单位名称或人员姓名的标记，也不得采用任何不符合常规、有别于其他投标人的特殊做法。涉及所有内容不得出现公司名称、简称、人员姓名、徽标、商标、电话号码等其他暗示性标志，否则为无效投标文件。</w:t>
      </w:r>
    </w:p>
    <w:p>
      <w:pPr>
        <w:spacing w:line="360" w:lineRule="auto"/>
        <w:ind w:firstLine="480" w:firstLineChars="200"/>
        <w:rPr>
          <w:rFonts w:hint="eastAsia" w:ascii="黑体" w:hAnsi="宋体" w:eastAsia="黑体"/>
          <w:bCs/>
          <w:color w:val="auto"/>
          <w:sz w:val="24"/>
          <w:szCs w:val="24"/>
          <w:highlight w:val="none"/>
        </w:rPr>
      </w:pPr>
      <w:r>
        <w:rPr>
          <w:rFonts w:hint="eastAsia" w:ascii="黑体" w:hAnsi="宋体" w:eastAsia="黑体"/>
          <w:bCs/>
          <w:color w:val="auto"/>
          <w:sz w:val="24"/>
          <w:szCs w:val="24"/>
          <w:highlight w:val="none"/>
        </w:rPr>
        <w:t>（七）无效投标文件的确认</w:t>
      </w:r>
    </w:p>
    <w:p>
      <w:pPr>
        <w:spacing w:line="360" w:lineRule="auto"/>
        <w:ind w:firstLine="480" w:firstLineChars="200"/>
        <w:rPr>
          <w:rFonts w:ascii="黑体" w:hAnsi="宋体" w:eastAsia="黑体"/>
          <w:bCs/>
          <w:color w:val="auto"/>
          <w:sz w:val="24"/>
          <w:szCs w:val="24"/>
          <w:highlight w:val="none"/>
        </w:rPr>
      </w:pPr>
      <w:r>
        <w:rPr>
          <w:rFonts w:hint="eastAsia" w:ascii="宋体" w:hAnsi="宋体"/>
          <w:bCs/>
          <w:color w:val="auto"/>
          <w:sz w:val="24"/>
          <w:szCs w:val="24"/>
          <w:highlight w:val="none"/>
        </w:rPr>
        <w:t>投标人有下列情况之一者，投标文件无效：</w:t>
      </w:r>
    </w:p>
    <w:p>
      <w:pPr>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1.投标人不遵循公平竞争的原则，恶意串通其他投标人，故意哄抬价格的；</w:t>
      </w:r>
    </w:p>
    <w:p>
      <w:pPr>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2.不同投标人的投标文件由同一单位或者个人编制；</w:t>
      </w:r>
    </w:p>
    <w:p>
      <w:pPr>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3.不同投标人委托同一单位或者个人办理投标事宜；</w:t>
      </w:r>
    </w:p>
    <w:p>
      <w:pPr>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4.不同投标人的投标文件载明的项目管理成员或者联系人员为同一人；</w:t>
      </w:r>
    </w:p>
    <w:p>
      <w:pPr>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5.不同投标人的投标文件异常一致或者投标报价呈规律性差异；</w:t>
      </w:r>
    </w:p>
    <w:p>
      <w:pPr>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6.不同投标人的投标文件相互混装；</w:t>
      </w:r>
    </w:p>
    <w:p>
      <w:pPr>
        <w:spacing w:line="360" w:lineRule="auto"/>
        <w:ind w:firstLine="480" w:firstLineChars="200"/>
        <w:rPr>
          <w:rFonts w:ascii="宋体" w:hAnsi="宋体"/>
          <w:bCs/>
          <w:color w:val="auto"/>
          <w:sz w:val="24"/>
          <w:szCs w:val="24"/>
          <w:highlight w:val="none"/>
        </w:rPr>
      </w:pPr>
      <w:r>
        <w:rPr>
          <w:rFonts w:ascii="宋体" w:hAnsi="宋体"/>
          <w:bCs/>
          <w:color w:val="auto"/>
          <w:sz w:val="24"/>
          <w:szCs w:val="24"/>
          <w:highlight w:val="none"/>
        </w:rPr>
        <w:t>7</w:t>
      </w:r>
      <w:r>
        <w:rPr>
          <w:rFonts w:hint="eastAsia" w:ascii="宋体" w:hAnsi="宋体"/>
          <w:bCs/>
          <w:color w:val="auto"/>
          <w:sz w:val="24"/>
          <w:szCs w:val="24"/>
          <w:highlight w:val="none"/>
        </w:rPr>
        <w:t>.投标人的报价明显低于其他通过符合性审查投标人的报价，有可能影响产品质量或者不能诚信履约的，并且在评标现场合理的时间内提供的书面说明及证明材料不能证明其报价合理性的；</w:t>
      </w:r>
    </w:p>
    <w:p>
      <w:pPr>
        <w:spacing w:line="360" w:lineRule="auto"/>
        <w:ind w:firstLine="480" w:firstLineChars="200"/>
        <w:rPr>
          <w:rFonts w:ascii="宋体" w:hAnsi="宋体"/>
          <w:bCs/>
          <w:color w:val="auto"/>
          <w:sz w:val="24"/>
          <w:szCs w:val="24"/>
          <w:highlight w:val="none"/>
        </w:rPr>
      </w:pPr>
      <w:r>
        <w:rPr>
          <w:rFonts w:ascii="宋体" w:hAnsi="宋体"/>
          <w:bCs/>
          <w:color w:val="auto"/>
          <w:sz w:val="24"/>
          <w:szCs w:val="24"/>
          <w:highlight w:val="none"/>
        </w:rPr>
        <w:t>8</w:t>
      </w:r>
      <w:r>
        <w:rPr>
          <w:rFonts w:hint="eastAsia" w:ascii="宋体" w:hAnsi="宋体"/>
          <w:bCs/>
          <w:color w:val="auto"/>
          <w:sz w:val="24"/>
          <w:szCs w:val="24"/>
          <w:highlight w:val="none"/>
        </w:rPr>
        <w:t>.投标文件未按招标文件要求密封、签署、盖章的；</w:t>
      </w:r>
    </w:p>
    <w:p>
      <w:pPr>
        <w:spacing w:line="360" w:lineRule="auto"/>
        <w:ind w:firstLine="480" w:firstLineChars="200"/>
        <w:rPr>
          <w:rFonts w:ascii="宋体" w:hAnsi="宋体"/>
          <w:bCs/>
          <w:color w:val="auto"/>
          <w:sz w:val="24"/>
          <w:szCs w:val="24"/>
          <w:highlight w:val="none"/>
        </w:rPr>
      </w:pPr>
      <w:r>
        <w:rPr>
          <w:rFonts w:ascii="宋体" w:hAnsi="宋体"/>
          <w:bCs/>
          <w:color w:val="auto"/>
          <w:sz w:val="24"/>
          <w:szCs w:val="24"/>
          <w:highlight w:val="none"/>
        </w:rPr>
        <w:t>9</w:t>
      </w:r>
      <w:r>
        <w:rPr>
          <w:rFonts w:hint="eastAsia" w:ascii="宋体" w:hAnsi="宋体"/>
          <w:bCs/>
          <w:color w:val="auto"/>
          <w:sz w:val="24"/>
          <w:szCs w:val="24"/>
          <w:highlight w:val="none"/>
        </w:rPr>
        <w:t>.不具备招标文件中规定的资格要求的；</w:t>
      </w:r>
    </w:p>
    <w:p>
      <w:pPr>
        <w:spacing w:line="360" w:lineRule="auto"/>
        <w:ind w:firstLine="480" w:firstLineChars="200"/>
        <w:rPr>
          <w:rFonts w:ascii="宋体" w:hAnsi="宋体"/>
          <w:bCs/>
          <w:color w:val="auto"/>
          <w:sz w:val="24"/>
          <w:szCs w:val="24"/>
          <w:highlight w:val="none"/>
        </w:rPr>
      </w:pPr>
      <w:r>
        <w:rPr>
          <w:rFonts w:ascii="宋体" w:hAnsi="宋体"/>
          <w:bCs/>
          <w:color w:val="auto"/>
          <w:sz w:val="24"/>
          <w:szCs w:val="24"/>
          <w:highlight w:val="none"/>
        </w:rPr>
        <w:t>10</w:t>
      </w:r>
      <w:r>
        <w:rPr>
          <w:rFonts w:hint="eastAsia" w:ascii="宋体" w:hAnsi="宋体"/>
          <w:bCs/>
          <w:color w:val="auto"/>
          <w:sz w:val="24"/>
          <w:szCs w:val="24"/>
          <w:highlight w:val="none"/>
        </w:rPr>
        <w:t>.报价超过招标文件中规定的预算金额或者最高限价的；</w:t>
      </w:r>
    </w:p>
    <w:p>
      <w:pPr>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1</w:t>
      </w:r>
      <w:r>
        <w:rPr>
          <w:rFonts w:ascii="宋体" w:hAnsi="宋体"/>
          <w:bCs/>
          <w:color w:val="auto"/>
          <w:sz w:val="24"/>
          <w:szCs w:val="24"/>
          <w:highlight w:val="none"/>
        </w:rPr>
        <w:t>1</w:t>
      </w:r>
      <w:r>
        <w:rPr>
          <w:rFonts w:hint="eastAsia" w:ascii="宋体" w:hAnsi="宋体"/>
          <w:bCs/>
          <w:color w:val="auto"/>
          <w:sz w:val="24"/>
          <w:szCs w:val="24"/>
          <w:highlight w:val="none"/>
        </w:rPr>
        <w:t>.投标文件含有采购人不能接受的附加条件的；</w:t>
      </w:r>
    </w:p>
    <w:p>
      <w:pPr>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1</w:t>
      </w:r>
      <w:r>
        <w:rPr>
          <w:rFonts w:ascii="宋体" w:hAnsi="宋体"/>
          <w:bCs/>
          <w:color w:val="auto"/>
          <w:sz w:val="24"/>
          <w:szCs w:val="24"/>
          <w:highlight w:val="none"/>
        </w:rPr>
        <w:t>2</w:t>
      </w:r>
      <w:r>
        <w:rPr>
          <w:rFonts w:hint="eastAsia" w:ascii="宋体" w:hAnsi="宋体"/>
          <w:bCs/>
          <w:color w:val="auto"/>
          <w:sz w:val="24"/>
          <w:szCs w:val="24"/>
          <w:highlight w:val="none"/>
        </w:rPr>
        <w:t>.投标人被列入失信被执行人、重大税收违法案件当事人名单、政府采购严重违法失信行为记录名单及其他不符合《中华人民共和国政府采购法》第二十二条规定条件的；</w:t>
      </w:r>
    </w:p>
    <w:p>
      <w:pPr>
        <w:tabs>
          <w:tab w:val="left" w:pos="1061"/>
        </w:tabs>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1</w:t>
      </w:r>
      <w:r>
        <w:rPr>
          <w:rFonts w:ascii="宋体" w:hAnsi="宋体"/>
          <w:bCs/>
          <w:color w:val="auto"/>
          <w:sz w:val="24"/>
          <w:szCs w:val="24"/>
          <w:highlight w:val="none"/>
        </w:rPr>
        <w:t>3</w:t>
      </w:r>
      <w:r>
        <w:rPr>
          <w:rFonts w:hint="eastAsia" w:ascii="宋体" w:hAnsi="宋体"/>
          <w:bCs/>
          <w:color w:val="auto"/>
          <w:sz w:val="24"/>
          <w:szCs w:val="24"/>
          <w:highlight w:val="none"/>
        </w:rPr>
        <w:t>.商务标（明标）和技术标（暗标）未按招标文件要求制作、装订、包装的；</w:t>
      </w:r>
    </w:p>
    <w:p>
      <w:pPr>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1</w:t>
      </w:r>
      <w:r>
        <w:rPr>
          <w:rFonts w:ascii="宋体" w:hAnsi="宋体"/>
          <w:bCs/>
          <w:color w:val="auto"/>
          <w:sz w:val="24"/>
          <w:szCs w:val="24"/>
          <w:highlight w:val="none"/>
        </w:rPr>
        <w:t>4</w:t>
      </w:r>
      <w:r>
        <w:rPr>
          <w:rFonts w:hint="eastAsia" w:ascii="宋体" w:hAnsi="宋体"/>
          <w:bCs/>
          <w:color w:val="auto"/>
          <w:sz w:val="24"/>
          <w:szCs w:val="24"/>
          <w:highlight w:val="none"/>
        </w:rPr>
        <w:t>.投标文件未按招标文件规定的格式、内容和要求填写、制作的；</w:t>
      </w:r>
    </w:p>
    <w:p>
      <w:pPr>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1</w:t>
      </w:r>
      <w:r>
        <w:rPr>
          <w:rFonts w:ascii="宋体" w:hAnsi="宋体"/>
          <w:bCs/>
          <w:color w:val="auto"/>
          <w:sz w:val="24"/>
          <w:szCs w:val="24"/>
          <w:highlight w:val="none"/>
        </w:rPr>
        <w:t>5</w:t>
      </w:r>
      <w:r>
        <w:rPr>
          <w:rFonts w:hint="eastAsia" w:ascii="宋体" w:hAnsi="宋体"/>
          <w:bCs/>
          <w:color w:val="auto"/>
          <w:sz w:val="24"/>
          <w:szCs w:val="24"/>
          <w:highlight w:val="none"/>
        </w:rPr>
        <w:t>.投标文件书写潦草、字迹模糊不清、无法辨认的；</w:t>
      </w:r>
    </w:p>
    <w:p>
      <w:pPr>
        <w:tabs>
          <w:tab w:val="left" w:pos="1061"/>
        </w:tabs>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1</w:t>
      </w:r>
      <w:r>
        <w:rPr>
          <w:rFonts w:ascii="宋体" w:hAnsi="宋体"/>
          <w:bCs/>
          <w:color w:val="auto"/>
          <w:sz w:val="24"/>
          <w:szCs w:val="24"/>
          <w:highlight w:val="none"/>
        </w:rPr>
        <w:t>6</w:t>
      </w:r>
      <w:r>
        <w:rPr>
          <w:rFonts w:hint="eastAsia" w:ascii="宋体" w:hAnsi="宋体"/>
          <w:bCs/>
          <w:color w:val="auto"/>
          <w:sz w:val="24"/>
          <w:szCs w:val="24"/>
          <w:highlight w:val="none"/>
        </w:rPr>
        <w:t>.投标文件内容不全或不符合法律法规和招标文件中规定的其它实质性要求的；</w:t>
      </w:r>
    </w:p>
    <w:p>
      <w:pPr>
        <w:tabs>
          <w:tab w:val="left" w:pos="1061"/>
        </w:tabs>
        <w:spacing w:line="360" w:lineRule="auto"/>
        <w:ind w:firstLine="480" w:firstLineChars="200"/>
        <w:rPr>
          <w:rFonts w:ascii="宋体" w:hAnsi="宋体"/>
          <w:bCs/>
          <w:color w:val="auto"/>
          <w:sz w:val="24"/>
          <w:szCs w:val="24"/>
          <w:highlight w:val="none"/>
        </w:rPr>
      </w:pPr>
      <w:r>
        <w:rPr>
          <w:rFonts w:ascii="宋体" w:hAnsi="宋体"/>
          <w:bCs/>
          <w:color w:val="auto"/>
          <w:sz w:val="24"/>
          <w:szCs w:val="24"/>
          <w:highlight w:val="none"/>
        </w:rPr>
        <w:t>17</w:t>
      </w:r>
      <w:r>
        <w:rPr>
          <w:rFonts w:hint="eastAsia" w:ascii="宋体" w:hAnsi="宋体"/>
          <w:bCs/>
          <w:color w:val="auto"/>
          <w:sz w:val="24"/>
          <w:szCs w:val="24"/>
          <w:highlight w:val="none"/>
        </w:rPr>
        <w:t>.不同投标人聘请同一人为其投标提供技术或经济咨询服务的；</w:t>
      </w:r>
    </w:p>
    <w:p>
      <w:pPr>
        <w:spacing w:line="360" w:lineRule="auto"/>
        <w:ind w:firstLine="480" w:firstLineChars="200"/>
        <w:rPr>
          <w:rFonts w:ascii="宋体" w:hAnsi="宋体"/>
          <w:bCs/>
          <w:color w:val="auto"/>
          <w:sz w:val="24"/>
          <w:szCs w:val="24"/>
          <w:highlight w:val="none"/>
        </w:rPr>
      </w:pPr>
      <w:r>
        <w:rPr>
          <w:rFonts w:ascii="宋体" w:hAnsi="宋体"/>
          <w:bCs/>
          <w:color w:val="auto"/>
          <w:sz w:val="24"/>
          <w:szCs w:val="24"/>
          <w:highlight w:val="none"/>
        </w:rPr>
        <w:t>18</w:t>
      </w:r>
      <w:r>
        <w:rPr>
          <w:rFonts w:hint="eastAsia" w:ascii="宋体" w:hAnsi="宋体"/>
          <w:bCs/>
          <w:color w:val="auto"/>
          <w:sz w:val="24"/>
          <w:szCs w:val="24"/>
          <w:highlight w:val="none"/>
        </w:rPr>
        <w:t>.不同投标人的投标文件的装订形式、纸张情况、目录序号、排版格式、文字风格等存在明显的相似性或一致性，特征显示由同一单位或者同一个人编制的；</w:t>
      </w:r>
    </w:p>
    <w:p>
      <w:pPr>
        <w:spacing w:line="360" w:lineRule="auto"/>
        <w:ind w:firstLine="480" w:firstLineChars="200"/>
        <w:rPr>
          <w:rFonts w:ascii="宋体" w:hAnsi="宋体"/>
          <w:bCs/>
          <w:color w:val="auto"/>
          <w:sz w:val="24"/>
          <w:szCs w:val="24"/>
          <w:highlight w:val="none"/>
        </w:rPr>
      </w:pPr>
      <w:r>
        <w:rPr>
          <w:rFonts w:ascii="宋体" w:hAnsi="宋体"/>
          <w:bCs/>
          <w:color w:val="auto"/>
          <w:sz w:val="24"/>
          <w:szCs w:val="24"/>
          <w:highlight w:val="none"/>
        </w:rPr>
        <w:t>19</w:t>
      </w:r>
      <w:r>
        <w:rPr>
          <w:rFonts w:hint="eastAsia" w:ascii="宋体" w:hAnsi="宋体"/>
          <w:bCs/>
          <w:color w:val="auto"/>
          <w:sz w:val="24"/>
          <w:szCs w:val="24"/>
          <w:highlight w:val="none"/>
        </w:rPr>
        <w:t>.不同投标人投标文件内容存在非正常一致、项目组成员出现同一人、投标文件中错误（或异常）一致或雷同、电子文档信息一致或雷同的；</w:t>
      </w:r>
    </w:p>
    <w:p>
      <w:pPr>
        <w:spacing w:line="360" w:lineRule="auto"/>
        <w:ind w:firstLine="480" w:firstLineChars="200"/>
        <w:rPr>
          <w:rFonts w:ascii="宋体" w:hAnsi="宋体"/>
          <w:bCs/>
          <w:color w:val="auto"/>
          <w:sz w:val="24"/>
          <w:szCs w:val="24"/>
          <w:highlight w:val="none"/>
        </w:rPr>
      </w:pPr>
      <w:r>
        <w:rPr>
          <w:rFonts w:ascii="宋体" w:hAnsi="宋体"/>
          <w:bCs/>
          <w:color w:val="auto"/>
          <w:sz w:val="24"/>
          <w:szCs w:val="24"/>
          <w:highlight w:val="none"/>
        </w:rPr>
        <w:t>20</w:t>
      </w:r>
      <w:r>
        <w:rPr>
          <w:rFonts w:hint="eastAsia" w:ascii="宋体" w:hAnsi="宋体"/>
          <w:bCs/>
          <w:color w:val="auto"/>
          <w:sz w:val="24"/>
          <w:szCs w:val="24"/>
          <w:highlight w:val="none"/>
        </w:rPr>
        <w:t>.不同投标人的投标资料相互混装、不同投标人的委托代理人、项目负责人以及其他相关人员有在同一个单位缴纳社会保险、同一投标文件中单位名称落款与公章不是同一单位的；</w:t>
      </w:r>
    </w:p>
    <w:p>
      <w:pPr>
        <w:tabs>
          <w:tab w:val="left" w:pos="1061"/>
        </w:tabs>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2</w:t>
      </w:r>
      <w:r>
        <w:rPr>
          <w:rFonts w:ascii="宋体" w:hAnsi="宋体"/>
          <w:bCs/>
          <w:color w:val="auto"/>
          <w:sz w:val="24"/>
          <w:szCs w:val="24"/>
          <w:highlight w:val="none"/>
        </w:rPr>
        <w:t>1</w:t>
      </w:r>
      <w:r>
        <w:rPr>
          <w:rFonts w:hint="eastAsia" w:ascii="宋体" w:hAnsi="宋体"/>
          <w:bCs/>
          <w:color w:val="auto"/>
          <w:sz w:val="24"/>
          <w:szCs w:val="24"/>
          <w:highlight w:val="none"/>
        </w:rPr>
        <w:t>.提供虚假材料的（</w:t>
      </w:r>
      <w:r>
        <w:rPr>
          <w:rFonts w:hint="eastAsia" w:ascii="宋体" w:hAnsi="宋体"/>
          <w:b/>
          <w:bCs/>
          <w:color w:val="auto"/>
          <w:sz w:val="24"/>
          <w:szCs w:val="24"/>
          <w:highlight w:val="none"/>
        </w:rPr>
        <w:t>资格、资信证明文件等</w:t>
      </w:r>
      <w:r>
        <w:rPr>
          <w:rFonts w:hint="eastAsia" w:ascii="宋体" w:hAnsi="宋体"/>
          <w:bCs/>
          <w:color w:val="auto"/>
          <w:sz w:val="24"/>
          <w:szCs w:val="24"/>
          <w:highlight w:val="none"/>
        </w:rPr>
        <w:t>）；</w:t>
      </w:r>
    </w:p>
    <w:p>
      <w:pPr>
        <w:tabs>
          <w:tab w:val="left" w:pos="1061"/>
        </w:tabs>
        <w:spacing w:line="360" w:lineRule="auto"/>
        <w:ind w:firstLine="480" w:firstLineChars="200"/>
        <w:rPr>
          <w:rFonts w:ascii="宋体" w:hAnsi="宋体"/>
          <w:b/>
          <w:bCs/>
          <w:color w:val="auto"/>
          <w:sz w:val="24"/>
          <w:szCs w:val="24"/>
          <w:highlight w:val="none"/>
        </w:rPr>
      </w:pPr>
      <w:r>
        <w:rPr>
          <w:rFonts w:hint="eastAsia" w:ascii="宋体" w:hAnsi="宋体"/>
          <w:bCs/>
          <w:color w:val="auto"/>
          <w:sz w:val="24"/>
          <w:szCs w:val="24"/>
          <w:highlight w:val="none"/>
        </w:rPr>
        <w:t>2</w:t>
      </w:r>
      <w:r>
        <w:rPr>
          <w:rFonts w:ascii="宋体" w:hAnsi="宋体"/>
          <w:bCs/>
          <w:color w:val="auto"/>
          <w:sz w:val="24"/>
          <w:szCs w:val="24"/>
          <w:highlight w:val="none"/>
        </w:rPr>
        <w:t>2</w:t>
      </w:r>
      <w:r>
        <w:rPr>
          <w:rFonts w:hint="eastAsia" w:ascii="宋体" w:hAnsi="宋体"/>
          <w:bCs/>
          <w:color w:val="auto"/>
          <w:sz w:val="24"/>
          <w:szCs w:val="24"/>
          <w:highlight w:val="none"/>
        </w:rPr>
        <w:t>.</w:t>
      </w:r>
      <w:r>
        <w:rPr>
          <w:rFonts w:hint="eastAsia" w:ascii="宋体" w:hAnsi="宋体"/>
          <w:b/>
          <w:bCs/>
          <w:color w:val="auto"/>
          <w:sz w:val="24"/>
          <w:szCs w:val="24"/>
          <w:highlight w:val="none"/>
        </w:rPr>
        <w:t>技术标（暗标）投标文件中出现该投标人单位名称、简称、人员姓名、徽标、商标、电话号码等任何标识标记以及其他暗示性标志的；</w:t>
      </w:r>
    </w:p>
    <w:p>
      <w:pPr>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2</w:t>
      </w:r>
      <w:r>
        <w:rPr>
          <w:rFonts w:ascii="宋体" w:hAnsi="宋体"/>
          <w:bCs/>
          <w:color w:val="auto"/>
          <w:sz w:val="24"/>
          <w:szCs w:val="24"/>
          <w:highlight w:val="none"/>
        </w:rPr>
        <w:t>3</w:t>
      </w:r>
      <w:r>
        <w:rPr>
          <w:rFonts w:hint="eastAsia" w:ascii="宋体" w:hAnsi="宋体"/>
          <w:bCs/>
          <w:color w:val="auto"/>
          <w:sz w:val="24"/>
          <w:szCs w:val="24"/>
          <w:highlight w:val="none"/>
        </w:rPr>
        <w:t>. 投标人的保险主条款出现选择性方案且未注明以哪一个为准的；</w:t>
      </w:r>
    </w:p>
    <w:p>
      <w:pPr>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2</w:t>
      </w:r>
      <w:r>
        <w:rPr>
          <w:rFonts w:ascii="宋体" w:hAnsi="宋体"/>
          <w:bCs/>
          <w:color w:val="auto"/>
          <w:sz w:val="24"/>
          <w:szCs w:val="24"/>
          <w:highlight w:val="none"/>
        </w:rPr>
        <w:t>4</w:t>
      </w:r>
      <w:r>
        <w:rPr>
          <w:rFonts w:hint="eastAsia" w:ascii="宋体" w:hAnsi="宋体"/>
          <w:bCs/>
          <w:color w:val="auto"/>
          <w:sz w:val="24"/>
          <w:szCs w:val="24"/>
          <w:highlight w:val="none"/>
        </w:rPr>
        <w:t>. 投标人提供的保险主条款及其附加条款、特别约定等未响应本项目基本要求的；</w:t>
      </w:r>
    </w:p>
    <w:p>
      <w:pPr>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2</w:t>
      </w:r>
      <w:r>
        <w:rPr>
          <w:rFonts w:ascii="宋体" w:hAnsi="宋体"/>
          <w:bCs/>
          <w:color w:val="auto"/>
          <w:sz w:val="24"/>
          <w:szCs w:val="24"/>
          <w:highlight w:val="none"/>
        </w:rPr>
        <w:t>5</w:t>
      </w:r>
      <w:r>
        <w:rPr>
          <w:rFonts w:hint="eastAsia" w:ascii="宋体" w:hAnsi="宋体"/>
          <w:bCs/>
          <w:color w:val="auto"/>
          <w:sz w:val="24"/>
          <w:szCs w:val="24"/>
          <w:highlight w:val="none"/>
        </w:rPr>
        <w:t>.未按要求提供技术标（暗标）文件，技术标（暗标）文件编制粗糙、缺漏项、格式混乱、条例不清、页数少于</w:t>
      </w:r>
      <w:r>
        <w:rPr>
          <w:rFonts w:ascii="宋体" w:hAnsi="宋体"/>
          <w:bCs/>
          <w:color w:val="auto"/>
          <w:sz w:val="24"/>
          <w:szCs w:val="24"/>
          <w:highlight w:val="none"/>
        </w:rPr>
        <w:t>30</w:t>
      </w:r>
      <w:r>
        <w:rPr>
          <w:rFonts w:hint="eastAsia" w:ascii="宋体" w:hAnsi="宋体"/>
          <w:bCs/>
          <w:color w:val="auto"/>
          <w:sz w:val="24"/>
          <w:szCs w:val="24"/>
          <w:highlight w:val="none"/>
        </w:rPr>
        <w:t>页的；</w:t>
      </w:r>
    </w:p>
    <w:p>
      <w:pPr>
        <w:tabs>
          <w:tab w:val="left" w:pos="1050"/>
        </w:tabs>
        <w:spacing w:line="360" w:lineRule="auto"/>
        <w:ind w:firstLine="480" w:firstLineChars="200"/>
        <w:jc w:val="left"/>
        <w:rPr>
          <w:rFonts w:ascii="宋体" w:hAnsi="宋体"/>
          <w:bCs/>
          <w:color w:val="auto"/>
          <w:sz w:val="24"/>
          <w:szCs w:val="24"/>
          <w:highlight w:val="none"/>
        </w:rPr>
      </w:pPr>
      <w:r>
        <w:rPr>
          <w:rFonts w:hint="eastAsia" w:ascii="宋体" w:hAnsi="宋体"/>
          <w:bCs/>
          <w:color w:val="auto"/>
          <w:sz w:val="24"/>
          <w:szCs w:val="24"/>
          <w:highlight w:val="none"/>
        </w:rPr>
        <w:t>2</w:t>
      </w:r>
      <w:r>
        <w:rPr>
          <w:rFonts w:ascii="宋体" w:hAnsi="宋体"/>
          <w:bCs/>
          <w:color w:val="auto"/>
          <w:sz w:val="24"/>
          <w:szCs w:val="24"/>
          <w:highlight w:val="none"/>
        </w:rPr>
        <w:t>6</w:t>
      </w:r>
      <w:r>
        <w:rPr>
          <w:rFonts w:hint="eastAsia" w:ascii="宋体" w:hAnsi="宋体"/>
          <w:bCs/>
          <w:color w:val="auto"/>
          <w:sz w:val="24"/>
          <w:szCs w:val="24"/>
          <w:highlight w:val="none"/>
        </w:rPr>
        <w:t xml:space="preserve">.商务标（明标）和技术标（暗标），其中某一标被本项目评委确认为无效投标文件的，均同为无效； </w:t>
      </w:r>
    </w:p>
    <w:p>
      <w:pPr>
        <w:tabs>
          <w:tab w:val="left" w:pos="840"/>
          <w:tab w:val="left" w:pos="1050"/>
        </w:tabs>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2</w:t>
      </w:r>
      <w:r>
        <w:rPr>
          <w:rFonts w:ascii="宋体" w:hAnsi="宋体"/>
          <w:bCs/>
          <w:color w:val="auto"/>
          <w:sz w:val="24"/>
          <w:szCs w:val="24"/>
          <w:highlight w:val="none"/>
        </w:rPr>
        <w:t>7</w:t>
      </w:r>
      <w:r>
        <w:rPr>
          <w:rFonts w:hint="eastAsia" w:ascii="宋体" w:hAnsi="宋体"/>
          <w:bCs/>
          <w:color w:val="auto"/>
          <w:sz w:val="24"/>
          <w:szCs w:val="24"/>
          <w:highlight w:val="none"/>
        </w:rPr>
        <w:t>.单位负责人为同一人或存在直接控股、管理关系的不同供应商；</w:t>
      </w:r>
    </w:p>
    <w:p>
      <w:pPr>
        <w:spacing w:line="360" w:lineRule="auto"/>
        <w:ind w:firstLine="480" w:firstLineChars="200"/>
        <w:rPr>
          <w:rFonts w:hint="eastAsia" w:ascii="宋体" w:hAnsi="宋体"/>
          <w:b/>
          <w:bCs/>
          <w:color w:val="auto"/>
          <w:sz w:val="24"/>
          <w:szCs w:val="24"/>
          <w:highlight w:val="none"/>
        </w:rPr>
      </w:pPr>
      <w:r>
        <w:rPr>
          <w:rFonts w:ascii="宋体" w:hAnsi="宋体"/>
          <w:bCs/>
          <w:color w:val="auto"/>
          <w:sz w:val="24"/>
          <w:szCs w:val="24"/>
          <w:highlight w:val="none"/>
        </w:rPr>
        <w:t>28</w:t>
      </w:r>
      <w:r>
        <w:rPr>
          <w:rFonts w:hint="eastAsia" w:ascii="宋体" w:hAnsi="宋体"/>
          <w:bCs/>
          <w:color w:val="auto"/>
          <w:sz w:val="24"/>
          <w:szCs w:val="24"/>
          <w:highlight w:val="none"/>
        </w:rPr>
        <w:t>.对</w:t>
      </w:r>
      <w:r>
        <w:rPr>
          <w:rFonts w:hint="eastAsia" w:ascii="宋体" w:hAnsi="宋体"/>
          <w:b/>
          <w:bCs/>
          <w:color w:val="auto"/>
          <w:sz w:val="24"/>
          <w:szCs w:val="24"/>
          <w:highlight w:val="none"/>
        </w:rPr>
        <w:t>于同一个大病保险标段，同一保险集团公司参与投标的子公司不止一家；且投标人选择多个标段进行投标；</w:t>
      </w:r>
    </w:p>
    <w:p>
      <w:pPr>
        <w:spacing w:line="360" w:lineRule="auto"/>
        <w:ind w:firstLine="480" w:firstLineChars="200"/>
        <w:rPr>
          <w:rFonts w:hint="eastAsia" w:ascii="宋体" w:hAnsi="宋体"/>
          <w:bCs/>
          <w:color w:val="auto"/>
          <w:sz w:val="24"/>
          <w:szCs w:val="24"/>
          <w:highlight w:val="none"/>
        </w:rPr>
      </w:pPr>
      <w:r>
        <w:rPr>
          <w:rFonts w:hint="eastAsia" w:ascii="宋体" w:hAnsi="宋体"/>
          <w:bCs/>
          <w:color w:val="auto"/>
          <w:sz w:val="24"/>
          <w:szCs w:val="24"/>
          <w:highlight w:val="none"/>
        </w:rPr>
        <w:t>29.投标人为本项目提供整体设计、规范编制或者项目管理、监理、检测等服务的；</w:t>
      </w:r>
    </w:p>
    <w:p>
      <w:pPr>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30.法律、法规和招标文件规定的其他无效情形</w:t>
      </w:r>
      <w:r>
        <w:rPr>
          <w:rFonts w:hint="eastAsia"/>
          <w:color w:val="auto"/>
          <w:highlight w:val="none"/>
        </w:rPr>
        <w:t>。</w:t>
      </w:r>
    </w:p>
    <w:p>
      <w:pPr>
        <w:spacing w:line="360" w:lineRule="auto"/>
        <w:ind w:firstLine="360" w:firstLineChars="150"/>
        <w:rPr>
          <w:rFonts w:hint="eastAsia" w:ascii="黑体" w:hAnsi="宋体" w:eastAsia="黑体"/>
          <w:bCs/>
          <w:color w:val="auto"/>
          <w:sz w:val="24"/>
          <w:szCs w:val="24"/>
          <w:highlight w:val="none"/>
        </w:rPr>
      </w:pPr>
      <w:r>
        <w:rPr>
          <w:rFonts w:hint="eastAsia" w:ascii="宋体" w:hAnsi="宋体"/>
          <w:bCs/>
          <w:color w:val="auto"/>
          <w:sz w:val="24"/>
          <w:szCs w:val="24"/>
          <w:highlight w:val="none"/>
        </w:rPr>
        <w:t>（八）</w:t>
      </w:r>
      <w:r>
        <w:rPr>
          <w:rFonts w:hint="eastAsia" w:ascii="黑体" w:hAnsi="宋体" w:eastAsia="黑体"/>
          <w:bCs/>
          <w:color w:val="auto"/>
          <w:sz w:val="24"/>
          <w:szCs w:val="24"/>
          <w:highlight w:val="none"/>
        </w:rPr>
        <w:t>开标、评标</w:t>
      </w:r>
    </w:p>
    <w:p>
      <w:pPr>
        <w:tabs>
          <w:tab w:val="left" w:pos="525"/>
        </w:tabs>
        <w:spacing w:line="360" w:lineRule="auto"/>
        <w:ind w:firstLine="480" w:firstLineChars="200"/>
        <w:rPr>
          <w:rFonts w:ascii="宋体" w:hAnsi="宋体"/>
          <w:b/>
          <w:bCs/>
          <w:color w:val="auto"/>
          <w:sz w:val="24"/>
          <w:szCs w:val="24"/>
          <w:highlight w:val="none"/>
        </w:rPr>
      </w:pPr>
      <w:r>
        <w:rPr>
          <w:rFonts w:hint="eastAsia" w:ascii="宋体" w:hAnsi="宋体"/>
          <w:b/>
          <w:bCs/>
          <w:color w:val="auto"/>
          <w:sz w:val="24"/>
          <w:szCs w:val="24"/>
          <w:highlight w:val="none"/>
        </w:rPr>
        <w:t>1.开标</w:t>
      </w:r>
    </w:p>
    <w:p>
      <w:pPr>
        <w:tabs>
          <w:tab w:val="left" w:pos="525"/>
        </w:tabs>
        <w:spacing w:line="360" w:lineRule="auto"/>
        <w:ind w:firstLine="352" w:firstLineChars="147"/>
        <w:rPr>
          <w:rFonts w:ascii="宋体" w:hAnsi="宋体"/>
          <w:b/>
          <w:bCs/>
          <w:color w:val="auto"/>
          <w:sz w:val="24"/>
          <w:szCs w:val="24"/>
          <w:highlight w:val="none"/>
        </w:rPr>
      </w:pPr>
      <w:r>
        <w:rPr>
          <w:rFonts w:hint="eastAsia" w:ascii="宋体" w:hAnsi="宋体"/>
          <w:b/>
          <w:bCs/>
          <w:color w:val="auto"/>
          <w:sz w:val="24"/>
          <w:szCs w:val="24"/>
          <w:highlight w:val="none"/>
        </w:rPr>
        <w:t>（1）开标相关规定</w:t>
      </w:r>
    </w:p>
    <w:p>
      <w:pPr>
        <w:tabs>
          <w:tab w:val="left" w:pos="525"/>
        </w:tabs>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1）</w:t>
      </w:r>
      <w:r>
        <w:rPr>
          <w:rFonts w:ascii="宋体" w:hAnsi="宋体"/>
          <w:bCs/>
          <w:color w:val="auto"/>
          <w:sz w:val="24"/>
          <w:szCs w:val="24"/>
          <w:highlight w:val="none"/>
        </w:rPr>
        <w:t>开标在提交投标文件截止时间的同一时间进行</w:t>
      </w:r>
      <w:r>
        <w:rPr>
          <w:rFonts w:hint="eastAsia" w:ascii="宋体" w:hAnsi="宋体"/>
          <w:bCs/>
          <w:color w:val="auto"/>
          <w:sz w:val="24"/>
          <w:szCs w:val="24"/>
          <w:highlight w:val="none"/>
        </w:rPr>
        <w:t>；</w:t>
      </w:r>
    </w:p>
    <w:p>
      <w:pPr>
        <w:tabs>
          <w:tab w:val="left" w:pos="525"/>
        </w:tabs>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2）开标过程由采购代理机构主持并负责记录；</w:t>
      </w:r>
    </w:p>
    <w:p>
      <w:pPr>
        <w:tabs>
          <w:tab w:val="left" w:pos="525"/>
        </w:tabs>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3）投标人对开标过程和开标记录如有疑义，或认为采购代理机构相关工作人员有需要回避的，应当场提出询问或者回避申请，采购代理机构对投标人提出的询问或者回避申请将及时处理。</w:t>
      </w:r>
    </w:p>
    <w:p>
      <w:pPr>
        <w:tabs>
          <w:tab w:val="left" w:pos="840"/>
          <w:tab w:val="left" w:pos="1050"/>
        </w:tabs>
        <w:spacing w:line="360" w:lineRule="auto"/>
        <w:ind w:firstLine="352" w:firstLineChars="147"/>
        <w:rPr>
          <w:rFonts w:ascii="宋体" w:hAnsi="宋体"/>
          <w:b/>
          <w:bCs/>
          <w:color w:val="auto"/>
          <w:sz w:val="24"/>
          <w:szCs w:val="24"/>
          <w:highlight w:val="none"/>
        </w:rPr>
      </w:pPr>
      <w:r>
        <w:rPr>
          <w:rFonts w:hint="eastAsia" w:ascii="宋体" w:hAnsi="宋体"/>
          <w:b/>
          <w:bCs/>
          <w:color w:val="auto"/>
          <w:sz w:val="24"/>
          <w:szCs w:val="24"/>
          <w:highlight w:val="none"/>
        </w:rPr>
        <w:t>（2）密封性检查</w:t>
      </w:r>
    </w:p>
    <w:p>
      <w:pPr>
        <w:tabs>
          <w:tab w:val="left" w:pos="840"/>
          <w:tab w:val="left" w:pos="1050"/>
        </w:tabs>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由投标人推选的2名代表检查投标文件的密封情况。</w:t>
      </w:r>
    </w:p>
    <w:p>
      <w:pPr>
        <w:tabs>
          <w:tab w:val="left" w:pos="840"/>
          <w:tab w:val="left" w:pos="1050"/>
        </w:tabs>
        <w:spacing w:line="360" w:lineRule="auto"/>
        <w:ind w:firstLine="352" w:firstLineChars="147"/>
        <w:rPr>
          <w:rFonts w:ascii="宋体" w:hAnsi="宋体"/>
          <w:b/>
          <w:bCs/>
          <w:color w:val="auto"/>
          <w:sz w:val="24"/>
          <w:szCs w:val="24"/>
          <w:highlight w:val="none"/>
        </w:rPr>
      </w:pPr>
      <w:r>
        <w:rPr>
          <w:rFonts w:hint="eastAsia" w:ascii="宋体" w:hAnsi="宋体"/>
          <w:b/>
          <w:bCs/>
          <w:color w:val="auto"/>
          <w:sz w:val="24"/>
          <w:szCs w:val="24"/>
          <w:highlight w:val="none"/>
        </w:rPr>
        <w:t>（3）初步资格性审查</w:t>
      </w:r>
    </w:p>
    <w:p>
      <w:pPr>
        <w:tabs>
          <w:tab w:val="left" w:pos="840"/>
          <w:tab w:val="left" w:pos="1050"/>
        </w:tabs>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由采购代理机构工作人员，按照投标人签到时间顺序进行。</w:t>
      </w:r>
    </w:p>
    <w:p>
      <w:pPr>
        <w:tabs>
          <w:tab w:val="left" w:pos="840"/>
          <w:tab w:val="left" w:pos="1050"/>
        </w:tabs>
        <w:spacing w:line="360" w:lineRule="auto"/>
        <w:ind w:firstLine="480" w:firstLineChars="200"/>
        <w:rPr>
          <w:rFonts w:ascii="宋体" w:hAnsi="宋体"/>
          <w:bCs/>
          <w:color w:val="auto"/>
          <w:sz w:val="24"/>
          <w:szCs w:val="24"/>
          <w:highlight w:val="none"/>
        </w:rPr>
      </w:pPr>
      <w:r>
        <w:rPr>
          <w:rFonts w:ascii="宋体" w:hAnsi="宋体"/>
          <w:bCs/>
          <w:color w:val="auto"/>
          <w:sz w:val="24"/>
          <w:szCs w:val="24"/>
          <w:highlight w:val="none"/>
        </w:rPr>
        <w:t>1</w:t>
      </w:r>
      <w:r>
        <w:rPr>
          <w:rFonts w:hint="eastAsia" w:ascii="宋体" w:hAnsi="宋体"/>
          <w:bCs/>
          <w:color w:val="auto"/>
          <w:sz w:val="24"/>
          <w:szCs w:val="24"/>
          <w:highlight w:val="none"/>
        </w:rPr>
        <w:t>）投标人的投标文件是否按规定的期限、地点送达；</w:t>
      </w:r>
    </w:p>
    <w:p>
      <w:pPr>
        <w:tabs>
          <w:tab w:val="left" w:pos="840"/>
          <w:tab w:val="left" w:pos="1050"/>
        </w:tabs>
        <w:spacing w:line="360" w:lineRule="auto"/>
        <w:ind w:firstLine="480" w:firstLineChars="200"/>
        <w:rPr>
          <w:rFonts w:ascii="宋体" w:hAnsi="宋体"/>
          <w:bCs/>
          <w:color w:val="auto"/>
          <w:sz w:val="24"/>
          <w:szCs w:val="24"/>
          <w:highlight w:val="none"/>
        </w:rPr>
      </w:pPr>
      <w:r>
        <w:rPr>
          <w:rFonts w:ascii="宋体" w:hAnsi="宋体"/>
          <w:bCs/>
          <w:color w:val="auto"/>
          <w:sz w:val="24"/>
          <w:szCs w:val="24"/>
          <w:highlight w:val="none"/>
        </w:rPr>
        <w:t>2</w:t>
      </w:r>
      <w:r>
        <w:rPr>
          <w:rFonts w:hint="eastAsia" w:ascii="宋体" w:hAnsi="宋体"/>
          <w:bCs/>
          <w:color w:val="auto"/>
          <w:sz w:val="24"/>
          <w:szCs w:val="24"/>
          <w:highlight w:val="none"/>
        </w:rPr>
        <w:t>）投标人的法定代表人或负责人或被授权代表是否提供有效的身份证明或法定代表人授权委托书。</w:t>
      </w:r>
    </w:p>
    <w:p>
      <w:pPr>
        <w:tabs>
          <w:tab w:val="left" w:pos="840"/>
          <w:tab w:val="left" w:pos="1050"/>
        </w:tabs>
        <w:spacing w:line="360" w:lineRule="auto"/>
        <w:ind w:firstLine="352" w:firstLineChars="147"/>
        <w:rPr>
          <w:rFonts w:ascii="宋体" w:hAnsi="宋体"/>
          <w:b/>
          <w:bCs/>
          <w:color w:val="auto"/>
          <w:sz w:val="24"/>
          <w:szCs w:val="24"/>
          <w:highlight w:val="none"/>
        </w:rPr>
      </w:pPr>
      <w:r>
        <w:rPr>
          <w:rFonts w:hint="eastAsia" w:ascii="宋体" w:hAnsi="宋体"/>
          <w:b/>
          <w:bCs/>
          <w:color w:val="auto"/>
          <w:sz w:val="24"/>
          <w:szCs w:val="24"/>
          <w:highlight w:val="none"/>
        </w:rPr>
        <w:t>（4）唱标</w:t>
      </w:r>
    </w:p>
    <w:p>
      <w:pPr>
        <w:tabs>
          <w:tab w:val="left" w:pos="840"/>
          <w:tab w:val="left" w:pos="1050"/>
        </w:tabs>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1）经确认无误后的投标文件，由采购代理机构工作人员在监督人员监督下，按照投标人签到时间顺序,当众拆封对应价格响应函，由投标人自行唱标价格响应函中的相应报价数据(</w:t>
      </w:r>
      <w:r>
        <w:rPr>
          <w:rFonts w:hint="eastAsia" w:ascii="宋体" w:hAnsi="宋体"/>
          <w:b/>
          <w:bCs/>
          <w:color w:val="auto"/>
          <w:sz w:val="24"/>
          <w:szCs w:val="24"/>
          <w:highlight w:val="none"/>
        </w:rPr>
        <w:t>唱两遍</w:t>
      </w:r>
      <w:r>
        <w:rPr>
          <w:rFonts w:hint="eastAsia" w:ascii="宋体" w:hAnsi="宋体"/>
          <w:bCs/>
          <w:color w:val="auto"/>
          <w:sz w:val="24"/>
          <w:szCs w:val="24"/>
          <w:highlight w:val="none"/>
        </w:rPr>
        <w:t>)，采购代理机构工作人员记录相应报价；</w:t>
      </w:r>
    </w:p>
    <w:p>
      <w:pPr>
        <w:tabs>
          <w:tab w:val="left" w:pos="840"/>
          <w:tab w:val="left" w:pos="1050"/>
        </w:tabs>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2）唱标内容仅涉及价格响应函。</w:t>
      </w:r>
    </w:p>
    <w:p>
      <w:pPr>
        <w:tabs>
          <w:tab w:val="left" w:pos="525"/>
        </w:tabs>
        <w:spacing w:line="360" w:lineRule="auto"/>
        <w:ind w:firstLine="424" w:firstLineChars="177"/>
        <w:rPr>
          <w:rFonts w:ascii="宋体" w:hAnsi="宋体"/>
          <w:bCs/>
          <w:color w:val="auto"/>
          <w:sz w:val="24"/>
          <w:szCs w:val="24"/>
          <w:highlight w:val="none"/>
        </w:rPr>
      </w:pPr>
      <w:r>
        <w:rPr>
          <w:rFonts w:hint="eastAsia" w:ascii="宋体" w:hAnsi="宋体"/>
          <w:b/>
          <w:bCs/>
          <w:color w:val="auto"/>
          <w:sz w:val="24"/>
          <w:szCs w:val="24"/>
          <w:highlight w:val="none"/>
        </w:rPr>
        <w:t>（5）唱标结束后清场，投标人及采购代理机构工作人员均退场。</w:t>
      </w:r>
    </w:p>
    <w:p>
      <w:pPr>
        <w:tabs>
          <w:tab w:val="left" w:pos="840"/>
          <w:tab w:val="left" w:pos="1050"/>
        </w:tabs>
        <w:spacing w:line="360" w:lineRule="auto"/>
        <w:ind w:firstLine="424" w:firstLineChars="177"/>
        <w:rPr>
          <w:rFonts w:ascii="宋体" w:hAnsi="宋体"/>
          <w:b/>
          <w:bCs/>
          <w:color w:val="auto"/>
          <w:sz w:val="24"/>
          <w:szCs w:val="24"/>
          <w:highlight w:val="none"/>
        </w:rPr>
      </w:pPr>
      <w:r>
        <w:rPr>
          <w:rFonts w:hint="eastAsia" w:ascii="宋体" w:hAnsi="宋体"/>
          <w:b/>
          <w:bCs/>
          <w:color w:val="auto"/>
          <w:sz w:val="24"/>
          <w:szCs w:val="24"/>
          <w:highlight w:val="none"/>
        </w:rPr>
        <w:t>（6）投标文件技术标(暗标)随机编号</w:t>
      </w:r>
    </w:p>
    <w:p>
      <w:pPr>
        <w:tabs>
          <w:tab w:val="left" w:pos="840"/>
          <w:tab w:val="left" w:pos="1050"/>
        </w:tabs>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1）由监督人员对各标段的投标文件技术标（暗标）进行随机编号，并按随机编号对投标文件技术标（暗标）副本粘贴相应编号。其中技术标（暗标）正本不拆封，由监督人员当众装箱密封；</w:t>
      </w:r>
    </w:p>
    <w:p>
      <w:pPr>
        <w:tabs>
          <w:tab w:val="left" w:pos="840"/>
          <w:tab w:val="left" w:pos="1050"/>
        </w:tabs>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2）随机编号由监督人员保管封存。</w:t>
      </w:r>
    </w:p>
    <w:p>
      <w:pPr>
        <w:tabs>
          <w:tab w:val="left" w:pos="840"/>
          <w:tab w:val="left" w:pos="1050"/>
        </w:tabs>
        <w:spacing w:line="360" w:lineRule="auto"/>
        <w:ind w:firstLine="352" w:firstLineChars="147"/>
        <w:rPr>
          <w:rFonts w:ascii="宋体" w:hAnsi="宋体"/>
          <w:b/>
          <w:bCs/>
          <w:color w:val="auto"/>
          <w:sz w:val="24"/>
          <w:szCs w:val="24"/>
          <w:highlight w:val="none"/>
        </w:rPr>
      </w:pPr>
      <w:r>
        <w:rPr>
          <w:rFonts w:hint="eastAsia" w:ascii="宋体" w:hAnsi="宋体"/>
          <w:b/>
          <w:bCs/>
          <w:color w:val="auto"/>
          <w:sz w:val="24"/>
          <w:szCs w:val="24"/>
          <w:highlight w:val="none"/>
        </w:rPr>
        <w:t>（7）信用证明审查</w:t>
      </w:r>
    </w:p>
    <w:p>
      <w:pPr>
        <w:tabs>
          <w:tab w:val="left" w:pos="840"/>
          <w:tab w:val="left" w:pos="1050"/>
        </w:tabs>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1）投标人提供信用状况</w:t>
      </w:r>
    </w:p>
    <w:p>
      <w:pPr>
        <w:tabs>
          <w:tab w:val="left" w:pos="840"/>
          <w:tab w:val="left" w:pos="1050"/>
        </w:tabs>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采购人或采购代理机构在2023年3月20日上午10：00前通过信用中国网站(www.creditchina.gov.cn)、中国政府采购网(</w:t>
      </w:r>
      <w:r>
        <w:rPr>
          <w:color w:val="auto"/>
          <w:highlight w:val="none"/>
        </w:rPr>
        <w:fldChar w:fldCharType="begin"/>
      </w:r>
      <w:r>
        <w:rPr>
          <w:color w:val="auto"/>
          <w:highlight w:val="none"/>
        </w:rPr>
        <w:instrText xml:space="preserve"> HYPERLINK "http://www.ccgp.gov.cn" </w:instrText>
      </w:r>
      <w:r>
        <w:rPr>
          <w:color w:val="auto"/>
          <w:highlight w:val="none"/>
        </w:rPr>
        <w:fldChar w:fldCharType="separate"/>
      </w:r>
      <w:r>
        <w:rPr>
          <w:rFonts w:hint="eastAsia" w:ascii="宋体" w:hAnsi="宋体"/>
          <w:color w:val="auto"/>
          <w:sz w:val="24"/>
          <w:szCs w:val="24"/>
          <w:highlight w:val="none"/>
        </w:rPr>
        <w:t>www.ccgp.gov.cn</w:t>
      </w:r>
      <w:r>
        <w:rPr>
          <w:rFonts w:hint="eastAsia" w:ascii="宋体" w:hAnsi="宋体"/>
          <w:color w:val="auto"/>
          <w:sz w:val="24"/>
          <w:szCs w:val="24"/>
          <w:highlight w:val="none"/>
        </w:rPr>
        <w:fldChar w:fldCharType="end"/>
      </w:r>
      <w:r>
        <w:rPr>
          <w:rFonts w:hint="eastAsia" w:ascii="宋体" w:hAnsi="宋体"/>
          <w:bCs/>
          <w:color w:val="auto"/>
          <w:sz w:val="24"/>
          <w:szCs w:val="24"/>
          <w:highlight w:val="none"/>
        </w:rPr>
        <w:t>)等渠道查询相关供应商主体信用记录，对列入失信被执行人、重大税收违法案件当事人名单、政府采购严重违法失信行为记录名单及其他不符合《中华人民共和国政府采购法》第二十二条规定条件的供应商，拒绝其参与政府采购活动；</w:t>
      </w:r>
    </w:p>
    <w:p>
      <w:pPr>
        <w:tabs>
          <w:tab w:val="left" w:pos="840"/>
          <w:tab w:val="left" w:pos="1050"/>
        </w:tabs>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2）采购人或采购代理机构通过相关渠道查询的投标人主体信用记录，与项目其他采购资料一并保存。</w:t>
      </w:r>
    </w:p>
    <w:p>
      <w:pPr>
        <w:tabs>
          <w:tab w:val="left" w:pos="840"/>
          <w:tab w:val="left" w:pos="1050"/>
        </w:tabs>
        <w:spacing w:line="360" w:lineRule="auto"/>
        <w:ind w:firstLine="352" w:firstLineChars="147"/>
        <w:rPr>
          <w:rFonts w:ascii="宋体" w:hAnsi="宋体"/>
          <w:bCs/>
          <w:color w:val="auto"/>
          <w:sz w:val="24"/>
          <w:szCs w:val="24"/>
          <w:highlight w:val="none"/>
        </w:rPr>
      </w:pPr>
      <w:r>
        <w:rPr>
          <w:rFonts w:hint="eastAsia" w:ascii="宋体" w:hAnsi="宋体"/>
          <w:b/>
          <w:bCs/>
          <w:color w:val="auto"/>
          <w:sz w:val="24"/>
          <w:szCs w:val="24"/>
          <w:highlight w:val="none"/>
        </w:rPr>
        <w:t>（8）资格性审查：</w:t>
      </w:r>
      <w:r>
        <w:rPr>
          <w:rFonts w:ascii="宋体" w:hAnsi="宋体"/>
          <w:b/>
          <w:bCs/>
          <w:color w:val="auto"/>
          <w:sz w:val="24"/>
          <w:highlight w:val="none"/>
        </w:rPr>
        <w:t>投标文件资格</w:t>
      </w:r>
      <w:r>
        <w:rPr>
          <w:rFonts w:hint="eastAsia" w:ascii="宋体" w:hAnsi="宋体"/>
          <w:b/>
          <w:bCs/>
          <w:color w:val="auto"/>
          <w:sz w:val="24"/>
          <w:highlight w:val="none"/>
        </w:rPr>
        <w:t>性审</w:t>
      </w:r>
      <w:r>
        <w:rPr>
          <w:rFonts w:ascii="宋体" w:hAnsi="宋体"/>
          <w:b/>
          <w:bCs/>
          <w:color w:val="auto"/>
          <w:sz w:val="24"/>
          <w:highlight w:val="none"/>
        </w:rPr>
        <w:t>查</w:t>
      </w:r>
      <w:r>
        <w:rPr>
          <w:rFonts w:hint="eastAsia" w:ascii="宋体" w:hAnsi="宋体"/>
          <w:b/>
          <w:bCs/>
          <w:color w:val="auto"/>
          <w:sz w:val="24"/>
          <w:highlight w:val="none"/>
        </w:rPr>
        <w:t>由</w:t>
      </w:r>
      <w:r>
        <w:rPr>
          <w:rFonts w:hint="eastAsia" w:ascii="宋体" w:hAnsi="宋体"/>
          <w:b/>
          <w:bCs/>
          <w:color w:val="auto"/>
          <w:sz w:val="24"/>
          <w:szCs w:val="24"/>
          <w:highlight w:val="none"/>
        </w:rPr>
        <w:t>采购代理机构负责，对投标人投标文件中的资信证明文件进行审查。</w:t>
      </w:r>
    </w:p>
    <w:p>
      <w:pPr>
        <w:tabs>
          <w:tab w:val="left" w:pos="840"/>
          <w:tab w:val="left" w:pos="1050"/>
        </w:tabs>
        <w:spacing w:line="360" w:lineRule="auto"/>
        <w:ind w:firstLine="480" w:firstLineChars="200"/>
        <w:rPr>
          <w:rFonts w:ascii="宋体" w:hAnsi="宋体"/>
          <w:b/>
          <w:bCs/>
          <w:color w:val="auto"/>
          <w:sz w:val="24"/>
          <w:highlight w:val="none"/>
        </w:rPr>
      </w:pPr>
      <w:r>
        <w:rPr>
          <w:rFonts w:hint="eastAsia" w:ascii="宋体" w:hAnsi="宋体"/>
          <w:b/>
          <w:bCs/>
          <w:color w:val="auto"/>
          <w:sz w:val="24"/>
          <w:highlight w:val="none"/>
        </w:rPr>
        <w:t>2.</w:t>
      </w:r>
      <w:r>
        <w:rPr>
          <w:rFonts w:ascii="宋体" w:hAnsi="宋体"/>
          <w:b/>
          <w:bCs/>
          <w:color w:val="auto"/>
          <w:sz w:val="24"/>
          <w:highlight w:val="none"/>
        </w:rPr>
        <w:t>评标</w:t>
      </w:r>
    </w:p>
    <w:p>
      <w:pPr>
        <w:tabs>
          <w:tab w:val="left" w:pos="630"/>
          <w:tab w:val="left" w:pos="1050"/>
        </w:tabs>
        <w:spacing w:line="360" w:lineRule="auto"/>
        <w:ind w:firstLine="352" w:firstLineChars="147"/>
        <w:rPr>
          <w:rFonts w:ascii="宋体" w:hAnsi="宋体"/>
          <w:b/>
          <w:bCs/>
          <w:color w:val="auto"/>
          <w:sz w:val="24"/>
          <w:szCs w:val="24"/>
          <w:highlight w:val="none"/>
        </w:rPr>
      </w:pPr>
      <w:r>
        <w:rPr>
          <w:rFonts w:hint="eastAsia" w:ascii="宋体" w:hAnsi="宋体"/>
          <w:b/>
          <w:bCs/>
          <w:color w:val="auto"/>
          <w:sz w:val="24"/>
          <w:szCs w:val="24"/>
          <w:highlight w:val="none"/>
        </w:rPr>
        <w:t>（1）由专家组成评标委员会，并实行回避制度</w:t>
      </w:r>
      <w:r>
        <w:rPr>
          <w:rFonts w:hint="eastAsia" w:ascii="宋体" w:hAnsi="宋体"/>
          <w:bCs/>
          <w:color w:val="auto"/>
          <w:sz w:val="24"/>
          <w:szCs w:val="24"/>
          <w:highlight w:val="none"/>
        </w:rPr>
        <w:t>。</w:t>
      </w:r>
    </w:p>
    <w:p>
      <w:pPr>
        <w:tabs>
          <w:tab w:val="left" w:pos="630"/>
          <w:tab w:val="left" w:pos="1050"/>
        </w:tabs>
        <w:spacing w:line="360" w:lineRule="auto"/>
        <w:ind w:firstLine="352" w:firstLineChars="147"/>
        <w:rPr>
          <w:rFonts w:ascii="宋体" w:hAnsi="宋体"/>
          <w:b/>
          <w:bCs/>
          <w:color w:val="auto"/>
          <w:sz w:val="24"/>
          <w:szCs w:val="24"/>
          <w:highlight w:val="none"/>
        </w:rPr>
      </w:pPr>
      <w:r>
        <w:rPr>
          <w:rFonts w:hint="eastAsia" w:ascii="宋体" w:hAnsi="宋体"/>
          <w:b/>
          <w:bCs/>
          <w:color w:val="auto"/>
          <w:sz w:val="24"/>
          <w:szCs w:val="24"/>
          <w:highlight w:val="none"/>
        </w:rPr>
        <w:t>（2）投标文件出现不一致情形的处理</w:t>
      </w:r>
    </w:p>
    <w:p>
      <w:pPr>
        <w:tabs>
          <w:tab w:val="left" w:pos="840"/>
          <w:tab w:val="left" w:pos="1050"/>
        </w:tabs>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1）商务标（明标）和技术标（暗标）的投标文件,正本与副本不符，以正本为准；</w:t>
      </w:r>
    </w:p>
    <w:p>
      <w:pPr>
        <w:tabs>
          <w:tab w:val="left" w:pos="840"/>
          <w:tab w:val="left" w:pos="1050"/>
        </w:tabs>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2)投标文件报价出现前后不一致，按下列规定修正：</w:t>
      </w:r>
    </w:p>
    <w:p>
      <w:pPr>
        <w:tabs>
          <w:tab w:val="left" w:pos="840"/>
          <w:tab w:val="left" w:pos="1050"/>
        </w:tabs>
        <w:spacing w:line="360" w:lineRule="auto"/>
        <w:ind w:firstLine="525" w:firstLineChars="250"/>
        <w:rPr>
          <w:rFonts w:hint="eastAsia" w:ascii="宋体" w:hAnsi="宋体"/>
          <w:bCs/>
          <w:color w:val="auto"/>
          <w:sz w:val="24"/>
          <w:szCs w:val="24"/>
          <w:highlight w:val="none"/>
        </w:rPr>
      </w:pPr>
      <w:r>
        <w:rPr>
          <w:rFonts w:hint="eastAsia"/>
          <w:color w:val="auto"/>
          <w:highlight w:val="none"/>
        </w:rPr>
        <w:t>①</w:t>
      </w:r>
      <w:r>
        <w:rPr>
          <w:rFonts w:hint="eastAsia" w:ascii="宋体" w:hAnsi="宋体"/>
          <w:bCs/>
          <w:color w:val="auto"/>
          <w:sz w:val="24"/>
          <w:szCs w:val="24"/>
          <w:highlight w:val="none"/>
        </w:rPr>
        <w:t>投标文件中开标一览表内容与投标文件中相应内容不一致的，以开标一览表为准；</w:t>
      </w:r>
    </w:p>
    <w:p>
      <w:pPr>
        <w:tabs>
          <w:tab w:val="left" w:pos="840"/>
          <w:tab w:val="left" w:pos="1050"/>
        </w:tabs>
        <w:spacing w:line="360" w:lineRule="auto"/>
        <w:ind w:firstLine="525" w:firstLineChars="250"/>
        <w:rPr>
          <w:rFonts w:hint="eastAsia" w:ascii="宋体" w:hAnsi="宋体"/>
          <w:bCs/>
          <w:color w:val="auto"/>
          <w:sz w:val="24"/>
          <w:szCs w:val="24"/>
          <w:highlight w:val="none"/>
        </w:rPr>
      </w:pPr>
      <w:r>
        <w:rPr>
          <w:rFonts w:hint="eastAsia"/>
          <w:color w:val="auto"/>
          <w:highlight w:val="none"/>
        </w:rPr>
        <w:t>②</w:t>
      </w:r>
      <w:r>
        <w:rPr>
          <w:rFonts w:hint="eastAsia" w:ascii="宋体" w:hAnsi="宋体"/>
          <w:bCs/>
          <w:color w:val="auto"/>
          <w:sz w:val="24"/>
          <w:szCs w:val="24"/>
          <w:highlight w:val="none"/>
        </w:rPr>
        <w:t>大写金额和小写金额不一致的，以大写金额为准；</w:t>
      </w:r>
    </w:p>
    <w:p>
      <w:pPr>
        <w:tabs>
          <w:tab w:val="left" w:pos="840"/>
          <w:tab w:val="left" w:pos="1050"/>
        </w:tabs>
        <w:spacing w:line="360" w:lineRule="auto"/>
        <w:ind w:firstLine="525" w:firstLineChars="250"/>
        <w:rPr>
          <w:rFonts w:ascii="宋体" w:hAnsi="宋体"/>
          <w:bCs/>
          <w:color w:val="auto"/>
          <w:sz w:val="24"/>
          <w:szCs w:val="24"/>
          <w:highlight w:val="none"/>
        </w:rPr>
      </w:pPr>
      <w:r>
        <w:rPr>
          <w:rFonts w:hint="eastAsia"/>
          <w:color w:val="auto"/>
          <w:highlight w:val="none"/>
        </w:rPr>
        <w:t>③</w:t>
      </w:r>
      <w:r>
        <w:rPr>
          <w:rFonts w:hint="eastAsia" w:ascii="宋体" w:hAnsi="宋体"/>
          <w:bCs/>
          <w:color w:val="auto"/>
          <w:sz w:val="24"/>
          <w:szCs w:val="24"/>
          <w:highlight w:val="none"/>
        </w:rPr>
        <w:t>单价金额小数点或者百分比有明显错位的，以开标一览表的总价为准，并修改单价；</w:t>
      </w:r>
    </w:p>
    <w:p>
      <w:pPr>
        <w:tabs>
          <w:tab w:val="left" w:pos="840"/>
          <w:tab w:val="left" w:pos="1050"/>
        </w:tabs>
        <w:spacing w:line="360" w:lineRule="auto"/>
        <w:ind w:firstLine="525" w:firstLineChars="250"/>
        <w:rPr>
          <w:rFonts w:ascii="宋体" w:hAnsi="宋体"/>
          <w:bCs/>
          <w:color w:val="auto"/>
          <w:sz w:val="24"/>
          <w:szCs w:val="24"/>
          <w:highlight w:val="none"/>
        </w:rPr>
      </w:pPr>
      <w:r>
        <w:rPr>
          <w:rFonts w:hint="eastAsia"/>
          <w:color w:val="auto"/>
          <w:highlight w:val="none"/>
        </w:rPr>
        <w:t>④</w:t>
      </w:r>
      <w:r>
        <w:rPr>
          <w:rFonts w:hint="eastAsia" w:ascii="宋体" w:hAnsi="宋体"/>
          <w:bCs/>
          <w:color w:val="auto"/>
          <w:sz w:val="24"/>
          <w:szCs w:val="24"/>
          <w:highlight w:val="none"/>
        </w:rPr>
        <w:t>总价金额与按单价汇总金额不一致的，以单价金额计算结果为准；</w:t>
      </w:r>
    </w:p>
    <w:p>
      <w:pPr>
        <w:tabs>
          <w:tab w:val="left" w:pos="840"/>
          <w:tab w:val="left" w:pos="1050"/>
        </w:tabs>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投标文件中的报价同时出现两种以上不一致的，按照以上规定的顺序修正。修正后的报价须投标人确认加盖公章、或者由法定代表人或其被授权的代表签字，如投标人不确认的，其投标无效。</w:t>
      </w:r>
    </w:p>
    <w:p>
      <w:pPr>
        <w:tabs>
          <w:tab w:val="left" w:pos="1365"/>
        </w:tabs>
        <w:spacing w:line="360" w:lineRule="auto"/>
        <w:ind w:firstLine="352" w:firstLineChars="147"/>
        <w:rPr>
          <w:rFonts w:ascii="宋体" w:hAnsi="宋体"/>
          <w:b/>
          <w:bCs/>
          <w:color w:val="auto"/>
          <w:sz w:val="24"/>
          <w:szCs w:val="24"/>
          <w:highlight w:val="none"/>
        </w:rPr>
      </w:pPr>
      <w:r>
        <w:rPr>
          <w:rFonts w:hint="eastAsia" w:ascii="宋体" w:hAnsi="宋体"/>
          <w:b/>
          <w:bCs/>
          <w:color w:val="auto"/>
          <w:sz w:val="24"/>
          <w:szCs w:val="24"/>
          <w:highlight w:val="none"/>
        </w:rPr>
        <w:t>（3）投标文件符合性审查</w:t>
      </w:r>
    </w:p>
    <w:p>
      <w:pPr>
        <w:tabs>
          <w:tab w:val="left" w:pos="525"/>
        </w:tabs>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评标委员会对符合资格的投标人的投标文件进行符合性审查，以确定其是否满足招标文件的实质性要求。</w:t>
      </w:r>
    </w:p>
    <w:p>
      <w:pPr>
        <w:tabs>
          <w:tab w:val="left" w:pos="525"/>
        </w:tabs>
        <w:spacing w:line="360" w:lineRule="auto"/>
        <w:ind w:firstLine="352" w:firstLineChars="147"/>
        <w:rPr>
          <w:rFonts w:ascii="宋体" w:hAnsi="宋体"/>
          <w:b/>
          <w:bCs/>
          <w:color w:val="auto"/>
          <w:sz w:val="24"/>
          <w:szCs w:val="24"/>
          <w:highlight w:val="none"/>
        </w:rPr>
      </w:pPr>
      <w:r>
        <w:rPr>
          <w:rFonts w:hint="eastAsia" w:ascii="宋体" w:hAnsi="宋体"/>
          <w:b/>
          <w:bCs/>
          <w:color w:val="auto"/>
          <w:sz w:val="24"/>
          <w:szCs w:val="24"/>
          <w:highlight w:val="none"/>
        </w:rPr>
        <w:t>（4）询标</w:t>
      </w:r>
    </w:p>
    <w:p>
      <w:pPr>
        <w:tabs>
          <w:tab w:val="left" w:pos="525"/>
        </w:tabs>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评标委员会认为投标文件中有含义不明确、同类问题表述不一致或者有明显文字和计算错误的，应以书面形式提出询标内容，要求投标人作出必要的澄清、说明或者补正。投标人的澄清、说明或者补正采用书面形式。询标内容属于明标部分的应加盖公章，或者由法定代表人或其授权的代表签字；暗标部分由法定代表人或其授权的代表摁手印代替签字，在评标委员会确认签字时，签署“×（技术标编号 ）号投标人”。</w:t>
      </w:r>
    </w:p>
    <w:p>
      <w:pPr>
        <w:tabs>
          <w:tab w:val="left" w:pos="1365"/>
        </w:tabs>
        <w:spacing w:line="360" w:lineRule="auto"/>
        <w:ind w:firstLine="352" w:firstLineChars="147"/>
        <w:rPr>
          <w:rFonts w:ascii="宋体" w:hAnsi="宋体"/>
          <w:b/>
          <w:bCs/>
          <w:color w:val="auto"/>
          <w:sz w:val="24"/>
          <w:highlight w:val="none"/>
        </w:rPr>
      </w:pPr>
      <w:r>
        <w:rPr>
          <w:rFonts w:ascii="宋体" w:hAnsi="宋体"/>
          <w:b/>
          <w:bCs/>
          <w:color w:val="auto"/>
          <w:sz w:val="24"/>
          <w:highlight w:val="none"/>
        </w:rPr>
        <w:t>（</w:t>
      </w:r>
      <w:r>
        <w:rPr>
          <w:rFonts w:hint="eastAsia" w:ascii="宋体" w:hAnsi="宋体"/>
          <w:b/>
          <w:bCs/>
          <w:color w:val="auto"/>
          <w:sz w:val="24"/>
          <w:highlight w:val="none"/>
        </w:rPr>
        <w:t>5</w:t>
      </w:r>
      <w:r>
        <w:rPr>
          <w:rFonts w:ascii="宋体" w:hAnsi="宋体"/>
          <w:b/>
          <w:bCs/>
          <w:color w:val="auto"/>
          <w:sz w:val="24"/>
          <w:highlight w:val="none"/>
        </w:rPr>
        <w:t>）比较与评价</w:t>
      </w:r>
    </w:p>
    <w:p>
      <w:pPr>
        <w:tabs>
          <w:tab w:val="left" w:pos="1365"/>
        </w:tabs>
        <w:spacing w:line="360" w:lineRule="auto"/>
        <w:ind w:firstLine="480" w:firstLineChars="200"/>
        <w:rPr>
          <w:rFonts w:ascii="宋体" w:hAnsi="宋体"/>
          <w:bCs/>
          <w:color w:val="auto"/>
          <w:sz w:val="24"/>
          <w:highlight w:val="none"/>
        </w:rPr>
      </w:pPr>
      <w:r>
        <w:rPr>
          <w:rFonts w:ascii="宋体" w:hAnsi="宋体"/>
          <w:bCs/>
          <w:color w:val="auto"/>
          <w:sz w:val="24"/>
          <w:highlight w:val="none"/>
        </w:rPr>
        <w:t>投标文件资格性</w:t>
      </w:r>
      <w:r>
        <w:rPr>
          <w:rFonts w:hint="eastAsia" w:ascii="宋体" w:hAnsi="宋体"/>
          <w:bCs/>
          <w:color w:val="auto"/>
          <w:sz w:val="24"/>
          <w:highlight w:val="none"/>
        </w:rPr>
        <w:t>、</w:t>
      </w:r>
      <w:r>
        <w:rPr>
          <w:rFonts w:hint="eastAsia" w:ascii="宋体" w:hAnsi="宋体"/>
          <w:bCs/>
          <w:color w:val="auto"/>
          <w:sz w:val="24"/>
          <w:szCs w:val="24"/>
          <w:highlight w:val="none"/>
        </w:rPr>
        <w:t>符合性检</w:t>
      </w:r>
      <w:r>
        <w:rPr>
          <w:rFonts w:ascii="宋体" w:hAnsi="宋体"/>
          <w:bCs/>
          <w:color w:val="auto"/>
          <w:sz w:val="24"/>
          <w:szCs w:val="24"/>
          <w:highlight w:val="none"/>
        </w:rPr>
        <w:t>查</w:t>
      </w:r>
      <w:r>
        <w:rPr>
          <w:rFonts w:hint="eastAsia" w:ascii="宋体" w:hAnsi="宋体"/>
          <w:bCs/>
          <w:color w:val="auto"/>
          <w:sz w:val="24"/>
          <w:szCs w:val="24"/>
          <w:highlight w:val="none"/>
        </w:rPr>
        <w:t>结束后，</w:t>
      </w:r>
      <w:r>
        <w:rPr>
          <w:rFonts w:ascii="宋体" w:hAnsi="宋体"/>
          <w:bCs/>
          <w:color w:val="auto"/>
          <w:sz w:val="24"/>
          <w:highlight w:val="none"/>
        </w:rPr>
        <w:t>按招标文件中规定的评标方法和标准，</w:t>
      </w:r>
      <w:r>
        <w:rPr>
          <w:rFonts w:hint="eastAsia" w:ascii="宋体" w:hAnsi="宋体"/>
          <w:bCs/>
          <w:color w:val="auto"/>
          <w:sz w:val="24"/>
          <w:highlight w:val="none"/>
        </w:rPr>
        <w:t>进行</w:t>
      </w:r>
      <w:r>
        <w:rPr>
          <w:rFonts w:ascii="宋体" w:hAnsi="宋体"/>
          <w:bCs/>
          <w:color w:val="auto"/>
          <w:sz w:val="24"/>
          <w:highlight w:val="none"/>
        </w:rPr>
        <w:t>比较与评价</w:t>
      </w:r>
      <w:r>
        <w:rPr>
          <w:rFonts w:hint="eastAsia" w:ascii="宋体" w:hAnsi="宋体"/>
          <w:bCs/>
          <w:color w:val="auto"/>
          <w:sz w:val="24"/>
          <w:highlight w:val="none"/>
        </w:rPr>
        <w:t>。</w:t>
      </w:r>
    </w:p>
    <w:p>
      <w:pPr>
        <w:tabs>
          <w:tab w:val="left" w:pos="1365"/>
        </w:tabs>
        <w:spacing w:line="360" w:lineRule="auto"/>
        <w:ind w:firstLine="480" w:firstLineChars="200"/>
        <w:rPr>
          <w:rFonts w:ascii="宋体" w:hAnsi="宋体"/>
          <w:bCs/>
          <w:color w:val="auto"/>
          <w:sz w:val="24"/>
          <w:highlight w:val="none"/>
        </w:rPr>
      </w:pPr>
      <w:r>
        <w:rPr>
          <w:rFonts w:hint="eastAsia" w:ascii="宋体" w:hAnsi="宋体"/>
          <w:bCs/>
          <w:color w:val="auto"/>
          <w:sz w:val="24"/>
          <w:highlight w:val="none"/>
        </w:rPr>
        <w:t>1）明标评审小组负责对商务标（明标）投标文件进行比较和评价。</w:t>
      </w:r>
    </w:p>
    <w:p>
      <w:pPr>
        <w:tabs>
          <w:tab w:val="left" w:pos="1365"/>
        </w:tabs>
        <w:spacing w:line="360" w:lineRule="auto"/>
        <w:ind w:firstLine="480" w:firstLineChars="200"/>
        <w:rPr>
          <w:rFonts w:ascii="宋体" w:hAnsi="宋体"/>
          <w:bCs/>
          <w:color w:val="auto"/>
          <w:sz w:val="24"/>
          <w:highlight w:val="none"/>
        </w:rPr>
      </w:pPr>
      <w:r>
        <w:rPr>
          <w:rFonts w:hint="eastAsia" w:ascii="宋体" w:hAnsi="宋体"/>
          <w:bCs/>
          <w:color w:val="auto"/>
          <w:sz w:val="24"/>
          <w:highlight w:val="none"/>
        </w:rPr>
        <w:t>2）暗标评审小组负责对技术标（暗标）部分内容进行比较和评价。</w:t>
      </w:r>
    </w:p>
    <w:p>
      <w:pPr>
        <w:tabs>
          <w:tab w:val="left" w:pos="1365"/>
        </w:tabs>
        <w:spacing w:line="360" w:lineRule="auto"/>
        <w:ind w:firstLine="480" w:firstLineChars="200"/>
        <w:rPr>
          <w:rFonts w:ascii="宋体" w:hAnsi="宋体"/>
          <w:bCs/>
          <w:color w:val="auto"/>
          <w:sz w:val="24"/>
          <w:highlight w:val="none"/>
        </w:rPr>
      </w:pPr>
      <w:r>
        <w:rPr>
          <w:rFonts w:hint="eastAsia" w:ascii="宋体" w:hAnsi="宋体"/>
          <w:bCs/>
          <w:color w:val="auto"/>
          <w:sz w:val="24"/>
          <w:highlight w:val="none"/>
        </w:rPr>
        <w:t>评审中，暗标评审小组成员不接触明标商务标文本。需要对照、查阅明标商务标（明标）有关内容的，由工作人员在监督下查阅告知。</w:t>
      </w:r>
    </w:p>
    <w:p>
      <w:pPr>
        <w:tabs>
          <w:tab w:val="left" w:pos="1365"/>
        </w:tabs>
        <w:spacing w:line="360" w:lineRule="auto"/>
        <w:ind w:firstLine="480" w:firstLineChars="200"/>
        <w:rPr>
          <w:rFonts w:ascii="宋体" w:hAnsi="宋体"/>
          <w:bCs/>
          <w:color w:val="auto"/>
          <w:sz w:val="24"/>
          <w:highlight w:val="none"/>
        </w:rPr>
      </w:pPr>
      <w:r>
        <w:rPr>
          <w:rFonts w:hint="eastAsia" w:ascii="宋体" w:hAnsi="宋体"/>
          <w:bCs/>
          <w:color w:val="auto"/>
          <w:sz w:val="24"/>
          <w:highlight w:val="none"/>
        </w:rPr>
        <w:t>3）技术标（暗标）和商务标（明标）评审全部结束后，由工作人员在监督人员的监督下，在评标室当场核对、公布各标段</w:t>
      </w:r>
      <w:r>
        <w:rPr>
          <w:rFonts w:hint="eastAsia" w:ascii="宋体" w:hAnsi="宋体"/>
          <w:bCs/>
          <w:color w:val="auto"/>
          <w:sz w:val="24"/>
          <w:szCs w:val="24"/>
          <w:highlight w:val="none"/>
        </w:rPr>
        <w:t>投标人</w:t>
      </w:r>
      <w:r>
        <w:rPr>
          <w:rFonts w:hint="eastAsia" w:ascii="宋体" w:hAnsi="宋体"/>
          <w:bCs/>
          <w:color w:val="auto"/>
          <w:sz w:val="24"/>
          <w:highlight w:val="none"/>
        </w:rPr>
        <w:t>技术标编号，汇总各</w:t>
      </w:r>
      <w:r>
        <w:rPr>
          <w:rFonts w:hint="eastAsia" w:ascii="宋体" w:hAnsi="宋体"/>
          <w:bCs/>
          <w:color w:val="auto"/>
          <w:sz w:val="24"/>
          <w:szCs w:val="24"/>
          <w:highlight w:val="none"/>
        </w:rPr>
        <w:t>投标人</w:t>
      </w:r>
      <w:r>
        <w:rPr>
          <w:rFonts w:hint="eastAsia" w:ascii="宋体" w:hAnsi="宋体"/>
          <w:bCs/>
          <w:color w:val="auto"/>
          <w:sz w:val="24"/>
          <w:highlight w:val="none"/>
        </w:rPr>
        <w:t>商务标和技术标得分，确定各</w:t>
      </w:r>
      <w:r>
        <w:rPr>
          <w:rFonts w:hint="eastAsia" w:ascii="宋体" w:hAnsi="宋体"/>
          <w:bCs/>
          <w:color w:val="auto"/>
          <w:sz w:val="24"/>
          <w:szCs w:val="24"/>
          <w:highlight w:val="none"/>
        </w:rPr>
        <w:t>投标人</w:t>
      </w:r>
      <w:r>
        <w:rPr>
          <w:rFonts w:hint="eastAsia" w:ascii="宋体" w:hAnsi="宋体"/>
          <w:bCs/>
          <w:color w:val="auto"/>
          <w:sz w:val="24"/>
          <w:highlight w:val="none"/>
        </w:rPr>
        <w:t>总分和最终排序。</w:t>
      </w:r>
    </w:p>
    <w:p>
      <w:pPr>
        <w:spacing w:line="360" w:lineRule="auto"/>
        <w:ind w:firstLine="480" w:firstLineChars="200"/>
        <w:rPr>
          <w:rFonts w:ascii="宋体" w:hAnsi="宋体"/>
          <w:bCs/>
          <w:color w:val="auto"/>
          <w:sz w:val="24"/>
          <w:highlight w:val="none"/>
        </w:rPr>
      </w:pPr>
      <w:r>
        <w:rPr>
          <w:rFonts w:hint="eastAsia" w:ascii="宋体" w:hAnsi="宋体"/>
          <w:bCs/>
          <w:color w:val="auto"/>
          <w:sz w:val="24"/>
          <w:highlight w:val="none"/>
        </w:rPr>
        <w:t>4）评标方法与评审标准</w:t>
      </w:r>
    </w:p>
    <w:p>
      <w:pPr>
        <w:tabs>
          <w:tab w:val="left" w:pos="1365"/>
        </w:tabs>
        <w:spacing w:line="360" w:lineRule="auto"/>
        <w:ind w:firstLine="480" w:firstLineChars="200"/>
        <w:rPr>
          <w:rFonts w:hint="eastAsia" w:ascii="宋体" w:hAnsi="宋体"/>
          <w:bCs/>
          <w:color w:val="auto"/>
          <w:sz w:val="24"/>
          <w:highlight w:val="none"/>
        </w:rPr>
      </w:pPr>
      <w:r>
        <w:rPr>
          <w:rFonts w:hint="eastAsia" w:ascii="宋体" w:hAnsi="宋体"/>
          <w:bCs/>
          <w:color w:val="auto"/>
          <w:sz w:val="24"/>
          <w:highlight w:val="none"/>
        </w:rPr>
        <w:t>本次评标采用综合评分法，即在最大限度地满足招标文件实质性要求前提下，按照招标文件中规定的各项评审因素进行综合评审，评标结果</w:t>
      </w:r>
      <w:r>
        <w:rPr>
          <w:rFonts w:ascii="宋体" w:hAnsi="宋体"/>
          <w:bCs/>
          <w:color w:val="auto"/>
          <w:sz w:val="24"/>
          <w:highlight w:val="none"/>
        </w:rPr>
        <w:t>按评审后得分由高到低顺序排列</w:t>
      </w:r>
      <w:r>
        <w:rPr>
          <w:rFonts w:hint="eastAsia" w:ascii="宋体" w:hAnsi="宋体"/>
          <w:bCs/>
          <w:color w:val="auto"/>
          <w:sz w:val="24"/>
          <w:highlight w:val="none"/>
        </w:rPr>
        <w:t>。</w:t>
      </w:r>
      <w:r>
        <w:rPr>
          <w:rFonts w:ascii="宋体" w:hAnsi="宋体"/>
          <w:bCs/>
          <w:color w:val="auto"/>
          <w:sz w:val="24"/>
          <w:highlight w:val="none"/>
        </w:rPr>
        <w:t>得分相同的，按</w:t>
      </w:r>
      <w:r>
        <w:rPr>
          <w:rFonts w:hint="eastAsia" w:ascii="宋体" w:hAnsi="宋体"/>
          <w:bCs/>
          <w:color w:val="auto"/>
          <w:sz w:val="24"/>
          <w:highlight w:val="none"/>
        </w:rPr>
        <w:t>投标报价由低到高顺序排列。得分且投标报价相同的并列，由采购人确定。投标文件满足招标文件全部实质性要求，且按照评审因素的量化指标优劣排序。本次评标评分保留小数点后两位。</w:t>
      </w:r>
    </w:p>
    <w:p>
      <w:pPr>
        <w:spacing w:line="360" w:lineRule="auto"/>
        <w:ind w:firstLine="480" w:firstLineChars="200"/>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3.评分标准（评标委员会分别对标段一、标段二和标段三进行评审打分）</w:t>
      </w:r>
    </w:p>
    <w:p>
      <w:pPr>
        <w:spacing w:line="360" w:lineRule="auto"/>
        <w:ind w:firstLine="480" w:firstLineChars="200"/>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本项目分值共计100分，其中商务标（明标）</w:t>
      </w:r>
      <w:r>
        <w:rPr>
          <w:rFonts w:hint="eastAsia" w:ascii="宋体" w:hAnsi="宋体" w:cs="宋体"/>
          <w:b/>
          <w:bCs/>
          <w:color w:val="auto"/>
          <w:sz w:val="24"/>
          <w:szCs w:val="24"/>
          <w:highlight w:val="none"/>
        </w:rPr>
        <w:t>为34分</w:t>
      </w:r>
      <w:r>
        <w:rPr>
          <w:rFonts w:hint="eastAsia" w:ascii="宋体" w:hAnsi="宋体" w:cs="宋体"/>
          <w:b/>
          <w:bCs/>
          <w:color w:val="auto"/>
          <w:sz w:val="24"/>
          <w:szCs w:val="24"/>
          <w:highlight w:val="none"/>
        </w:rPr>
        <w:t>，技术标（暗标）</w:t>
      </w:r>
      <w:r>
        <w:rPr>
          <w:rFonts w:hint="eastAsia" w:ascii="宋体" w:hAnsi="宋体" w:cs="宋体"/>
          <w:b/>
          <w:bCs/>
          <w:color w:val="auto"/>
          <w:sz w:val="24"/>
          <w:szCs w:val="24"/>
          <w:highlight w:val="none"/>
        </w:rPr>
        <w:t>为66分。</w:t>
      </w:r>
    </w:p>
    <w:p>
      <w:pPr>
        <w:spacing w:line="360" w:lineRule="auto"/>
        <w:ind w:firstLine="480" w:firstLineChars="200"/>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（1）商务标（明标）共</w:t>
      </w:r>
      <w:r>
        <w:rPr>
          <w:rFonts w:hint="eastAsia" w:ascii="宋体" w:hAnsi="宋体" w:cs="宋体"/>
          <w:b/>
          <w:bCs/>
          <w:color w:val="auto"/>
          <w:sz w:val="24"/>
          <w:szCs w:val="24"/>
          <w:highlight w:val="none"/>
        </w:rPr>
        <w:t>计34分</w:t>
      </w:r>
      <w:r>
        <w:rPr>
          <w:rFonts w:hint="eastAsia" w:ascii="宋体" w:hAnsi="宋体" w:cs="宋体"/>
          <w:b/>
          <w:bCs/>
          <w:color w:val="auto"/>
          <w:sz w:val="24"/>
          <w:szCs w:val="24"/>
          <w:highlight w:val="none"/>
        </w:rPr>
        <w:t>，其中运营成本4分，控费奖励比例5分，亏损金额4分，综合实力</w:t>
      </w:r>
      <w:r>
        <w:rPr>
          <w:rFonts w:hint="eastAsia" w:ascii="宋体" w:hAnsi="宋体" w:cs="宋体"/>
          <w:b/>
          <w:bCs/>
          <w:color w:val="auto"/>
          <w:sz w:val="24"/>
          <w:szCs w:val="24"/>
          <w:highlight w:val="none"/>
        </w:rPr>
        <w:t>21分。</w:t>
      </w:r>
    </w:p>
    <w:p>
      <w:pPr>
        <w:pStyle w:val="69"/>
        <w:spacing w:line="360" w:lineRule="auto"/>
        <w:ind w:firstLine="482"/>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1）价格分</w:t>
      </w:r>
    </w:p>
    <w:p>
      <w:pPr>
        <w:spacing w:line="360" w:lineRule="auto"/>
        <w:ind w:firstLine="480" w:firstLineChars="200"/>
        <w:outlineLvl w:val="0"/>
        <w:rPr>
          <w:rFonts w:hint="eastAsia" w:ascii="宋体" w:hAnsi="宋体" w:cs="宋体"/>
          <w:bCs/>
          <w:color w:val="auto"/>
          <w:sz w:val="24"/>
          <w:szCs w:val="24"/>
          <w:highlight w:val="none"/>
        </w:rPr>
      </w:pPr>
      <w:r>
        <w:rPr>
          <w:rFonts w:hint="eastAsia" w:ascii="宋体" w:hAnsi="宋体" w:cs="宋体"/>
          <w:bCs/>
          <w:color w:val="auto"/>
          <w:sz w:val="24"/>
          <w:szCs w:val="24"/>
          <w:highlight w:val="none"/>
        </w:rPr>
        <w:t>2023年大病保险筹资标准暂定为居民医保每人每年40元，职工医保每人每年120元，2024</w:t>
      </w:r>
      <w:r>
        <w:rPr>
          <w:rFonts w:hint="eastAsia" w:ascii="微软雅黑" w:hAnsi="微软雅黑" w:eastAsia="微软雅黑"/>
          <w:color w:val="auto"/>
          <w:sz w:val="28"/>
          <w:highlight w:val="none"/>
          <w:shd w:val="clear" w:color="auto" w:fill="FFFFFF"/>
        </w:rPr>
        <w:t>~</w:t>
      </w:r>
      <w:r>
        <w:rPr>
          <w:rFonts w:hint="eastAsia" w:ascii="宋体" w:hAnsi="宋体" w:cs="宋体"/>
          <w:bCs/>
          <w:color w:val="auto"/>
          <w:sz w:val="24"/>
          <w:szCs w:val="24"/>
          <w:highlight w:val="none"/>
        </w:rPr>
        <w:t>2025年期间的筹资标准，由市医疗保障局会同市财政局每年根据国家和省规定的最低标准，同时结合各区域经济社会发展水平、医疗保险筹资能力、患大病发生高额医疗费用的情况、基本医疗保险补偿水平，以及大病保险保障水平等因素确定。</w:t>
      </w:r>
    </w:p>
    <w:p>
      <w:pPr>
        <w:spacing w:line="360" w:lineRule="auto"/>
        <w:ind w:firstLine="480" w:firstLineChars="200"/>
        <w:outlineLvl w:val="0"/>
        <w:rPr>
          <w:rFonts w:hint="eastAsia" w:ascii="宋体" w:hAnsi="宋体" w:cs="宋体"/>
          <w:bCs/>
          <w:color w:val="auto"/>
          <w:sz w:val="24"/>
          <w:szCs w:val="24"/>
          <w:highlight w:val="none"/>
        </w:rPr>
      </w:pPr>
      <w:r>
        <w:rPr>
          <w:rFonts w:hint="eastAsia" w:ascii="宋体" w:hAnsi="宋体" w:cs="宋体"/>
          <w:bCs/>
          <w:color w:val="auto"/>
          <w:sz w:val="24"/>
          <w:szCs w:val="24"/>
          <w:highlight w:val="none"/>
        </w:rPr>
        <w:t>在我市政府部门未发布2024年、2025年筹资标准之前，暂按上一年度筹资标准执行：居民医保每人每年40元，职工医保每人每年120元。</w:t>
      </w:r>
    </w:p>
    <w:p>
      <w:pPr>
        <w:spacing w:line="360" w:lineRule="auto"/>
        <w:ind w:firstLine="480" w:firstLineChars="200"/>
        <w:rPr>
          <w:rFonts w:hint="eastAsia" w:ascii="宋体" w:hAnsi="宋体" w:cs="宋体"/>
          <w:bCs/>
          <w:color w:val="auto"/>
          <w:sz w:val="24"/>
          <w:szCs w:val="24"/>
          <w:highlight w:val="none"/>
        </w:rPr>
      </w:pPr>
      <w:r>
        <w:rPr>
          <w:rFonts w:hint="eastAsia" w:ascii="宋体" w:hAnsi="宋体" w:cs="宋体"/>
          <w:bCs/>
          <w:color w:val="auto"/>
          <w:sz w:val="24"/>
          <w:szCs w:val="24"/>
          <w:highlight w:val="none"/>
        </w:rPr>
        <w:t>价格分部分根据《政府采购货物和服务招标投标管理办法》财政部第87号令第五十五条规定，“执行国家统一定价标准和采用固定价格采购的项目，其价格不列为评分因素。”</w:t>
      </w:r>
    </w:p>
    <w:p>
      <w:pPr>
        <w:tabs>
          <w:tab w:val="left" w:pos="1365"/>
        </w:tabs>
        <w:spacing w:line="360" w:lineRule="auto"/>
        <w:ind w:firstLine="480" w:firstLineChars="200"/>
        <w:rPr>
          <w:rFonts w:hint="eastAsia" w:ascii="宋体" w:hAnsi="宋体" w:cs="宋体"/>
          <w:bCs/>
          <w:color w:val="auto"/>
          <w:sz w:val="24"/>
          <w:szCs w:val="24"/>
          <w:highlight w:val="none"/>
        </w:rPr>
      </w:pPr>
      <w:r>
        <w:rPr>
          <w:rFonts w:hint="eastAsia" w:ascii="宋体" w:hAnsi="宋体" w:cs="宋体"/>
          <w:bCs/>
          <w:color w:val="auto"/>
          <w:sz w:val="24"/>
          <w:szCs w:val="24"/>
          <w:highlight w:val="none"/>
        </w:rPr>
        <w:t>备注：对小型和微型企业、残疾人福利性单位、监狱企业产品的价格给予10%的扣除，用扣除后的价格进行评审，同一供应商，上述三项价格扣除优惠不得重复享受。</w:t>
      </w:r>
    </w:p>
    <w:p>
      <w:pPr>
        <w:tabs>
          <w:tab w:val="left" w:pos="1365"/>
        </w:tabs>
        <w:spacing w:line="360" w:lineRule="auto"/>
        <w:ind w:firstLine="480" w:firstLineChars="200"/>
        <w:rPr>
          <w:rFonts w:hint="eastAsia" w:ascii="宋体" w:hAnsi="宋体" w:cs="宋体"/>
          <w:bCs/>
          <w:color w:val="auto"/>
          <w:sz w:val="24"/>
          <w:szCs w:val="24"/>
          <w:highlight w:val="none"/>
        </w:rPr>
      </w:pPr>
      <w:r>
        <w:rPr>
          <w:rFonts w:hint="eastAsia" w:ascii="宋体" w:hAnsi="宋体" w:cs="宋体"/>
          <w:bCs/>
          <w:color w:val="auto"/>
          <w:sz w:val="24"/>
          <w:szCs w:val="24"/>
          <w:highlight w:val="none"/>
        </w:rPr>
        <w:t>参与政府采购活动的供应商对其企业规模实行承诺制，由企业自行对照国家《关于印发中小企业划型标准规定的通知》工信部联企业〔2011〕300号文件内容诚信确定自身企业规模，按照《政府采购促进中小企业发展管理办法》（财库〔2020〕46号）的规定提供《中小企业声明函》（格式见附件），对其声明的真实性承担法律责任，在资格性审查和评审过程中无需提供证明其企业规模的其他材料。</w:t>
      </w:r>
    </w:p>
    <w:p>
      <w:pPr>
        <w:tabs>
          <w:tab w:val="left" w:pos="1365"/>
        </w:tabs>
        <w:spacing w:line="360" w:lineRule="auto"/>
        <w:ind w:firstLine="480" w:firstLineChars="200"/>
        <w:rPr>
          <w:rFonts w:hint="eastAsia" w:ascii="宋体" w:hAnsi="宋体" w:cs="宋体"/>
          <w:bCs/>
          <w:color w:val="auto"/>
          <w:sz w:val="24"/>
          <w:szCs w:val="24"/>
          <w:highlight w:val="none"/>
        </w:rPr>
      </w:pPr>
      <w:r>
        <w:rPr>
          <w:rFonts w:hint="eastAsia" w:ascii="宋体" w:hAnsi="宋体" w:cs="宋体"/>
          <w:bCs/>
          <w:color w:val="auto"/>
          <w:sz w:val="24"/>
          <w:szCs w:val="24"/>
          <w:highlight w:val="none"/>
        </w:rPr>
        <w:t>参加投标的残疾人福利性单位，应当按照《财政部民政部中国残疾人联合会关于促进残疾人就业政府采购政策的通知》（财库〔2017〕141号）的规定填写《残疾人福利性单位声明函》。</w:t>
      </w:r>
    </w:p>
    <w:p>
      <w:pPr>
        <w:tabs>
          <w:tab w:val="left" w:pos="1365"/>
        </w:tabs>
        <w:spacing w:line="360" w:lineRule="auto"/>
        <w:ind w:firstLine="480" w:firstLineChars="200"/>
        <w:rPr>
          <w:rFonts w:hint="eastAsia" w:ascii="宋体" w:hAnsi="宋体" w:cs="宋体"/>
          <w:bCs/>
          <w:color w:val="auto"/>
          <w:sz w:val="24"/>
          <w:szCs w:val="24"/>
          <w:highlight w:val="none"/>
        </w:rPr>
      </w:pPr>
      <w:r>
        <w:rPr>
          <w:rFonts w:hint="eastAsia" w:ascii="宋体" w:hAnsi="宋体" w:cs="宋体"/>
          <w:bCs/>
          <w:color w:val="auto"/>
          <w:sz w:val="24"/>
          <w:szCs w:val="24"/>
          <w:highlight w:val="none"/>
        </w:rPr>
        <w:t>参加投标的监狱企业，应当按照《关于政府采购支持监狱企业发展有关问题的通知》（财库〔2014〕68号）的规定提供由省级以上监狱管理局、戒毒管理局(含新疆生产建设兵团)出具的属于监狱企业的证明文件复印件。</w:t>
      </w:r>
    </w:p>
    <w:p>
      <w:pPr>
        <w:tabs>
          <w:tab w:val="left" w:pos="1365"/>
        </w:tabs>
        <w:spacing w:line="360" w:lineRule="auto"/>
        <w:ind w:firstLine="480" w:firstLineChars="200"/>
        <w:rPr>
          <w:rFonts w:hint="eastAsia" w:ascii="宋体" w:hAnsi="宋体" w:cs="宋体"/>
          <w:bCs/>
          <w:color w:val="auto"/>
          <w:sz w:val="24"/>
          <w:szCs w:val="24"/>
          <w:highlight w:val="none"/>
        </w:rPr>
      </w:pPr>
      <w:r>
        <w:rPr>
          <w:rFonts w:hint="eastAsia" w:ascii="宋体" w:hAnsi="宋体" w:cs="宋体"/>
          <w:bCs/>
          <w:color w:val="auto"/>
          <w:sz w:val="24"/>
          <w:szCs w:val="24"/>
          <w:highlight w:val="none"/>
        </w:rPr>
        <w:t>按属于小、微型企业、监狱企业、残疾人福利性单位产品细目报价表认真填写，如未按要求填写和提供有效证明或相关内容表述不清的，不得享受价格扣除。</w:t>
      </w:r>
    </w:p>
    <w:p>
      <w:pPr>
        <w:spacing w:line="360" w:lineRule="auto"/>
        <w:ind w:firstLine="480" w:firstLineChars="200"/>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2）运营成本（4分）</w:t>
      </w:r>
    </w:p>
    <w:p>
      <w:pPr>
        <w:spacing w:line="360" w:lineRule="auto"/>
        <w:ind w:firstLine="480" w:firstLineChars="200"/>
        <w:rPr>
          <w:rFonts w:hint="eastAsia" w:ascii="宋体" w:hAnsi="宋体" w:cs="宋体"/>
          <w:bCs/>
          <w:color w:val="auto"/>
          <w:sz w:val="24"/>
          <w:szCs w:val="24"/>
          <w:highlight w:val="none"/>
        </w:rPr>
      </w:pPr>
      <w:r>
        <w:rPr>
          <w:rFonts w:hint="eastAsia" w:ascii="宋体" w:hAnsi="宋体" w:cs="宋体"/>
          <w:color w:val="auto"/>
          <w:sz w:val="24"/>
          <w:szCs w:val="24"/>
          <w:highlight w:val="none"/>
        </w:rPr>
        <w:t>①</w:t>
      </w:r>
      <w:r>
        <w:rPr>
          <w:rFonts w:hint="eastAsia" w:ascii="宋体" w:hAnsi="宋体" w:cs="宋体"/>
          <w:bCs/>
          <w:color w:val="auto"/>
          <w:sz w:val="24"/>
          <w:szCs w:val="24"/>
          <w:highlight w:val="none"/>
        </w:rPr>
        <w:t>评分内容为标段内各投标人的年度运营成本报价</w:t>
      </w:r>
    </w:p>
    <w:p>
      <w:pPr>
        <w:spacing w:line="360" w:lineRule="auto"/>
        <w:ind w:firstLine="480" w:firstLineChars="200"/>
        <w:rPr>
          <w:rFonts w:hint="eastAsia" w:ascii="宋体" w:hAnsi="宋体" w:cs="宋体"/>
          <w:bCs/>
          <w:color w:val="auto"/>
          <w:sz w:val="24"/>
          <w:szCs w:val="24"/>
          <w:highlight w:val="none"/>
        </w:rPr>
      </w:pPr>
      <w:r>
        <w:rPr>
          <w:rFonts w:hint="eastAsia" w:ascii="宋体" w:hAnsi="宋体" w:cs="宋体"/>
          <w:bCs/>
          <w:color w:val="auto"/>
          <w:sz w:val="24"/>
          <w:szCs w:val="24"/>
          <w:highlight w:val="none"/>
        </w:rPr>
        <w:t>标段一：年度运营成本最高限价为1565万元；</w:t>
      </w:r>
    </w:p>
    <w:p>
      <w:pPr>
        <w:spacing w:line="360" w:lineRule="auto"/>
        <w:ind w:firstLine="480" w:firstLineChars="200"/>
        <w:rPr>
          <w:rFonts w:hint="eastAsia" w:ascii="宋体" w:hAnsi="宋体" w:cs="宋体"/>
          <w:bCs/>
          <w:color w:val="auto"/>
          <w:sz w:val="24"/>
          <w:szCs w:val="24"/>
          <w:highlight w:val="none"/>
        </w:rPr>
      </w:pPr>
      <w:r>
        <w:rPr>
          <w:rFonts w:hint="eastAsia" w:ascii="宋体" w:hAnsi="宋体" w:cs="宋体"/>
          <w:bCs/>
          <w:color w:val="auto"/>
          <w:sz w:val="24"/>
          <w:szCs w:val="24"/>
          <w:highlight w:val="none"/>
        </w:rPr>
        <w:t>标段二：年度运营成本最高限价590万元；</w:t>
      </w:r>
    </w:p>
    <w:p>
      <w:pPr>
        <w:spacing w:line="360" w:lineRule="auto"/>
        <w:ind w:firstLine="480" w:firstLineChars="200"/>
        <w:rPr>
          <w:rFonts w:hint="eastAsia" w:ascii="宋体" w:hAnsi="宋体" w:cs="宋体"/>
          <w:bCs/>
          <w:color w:val="auto"/>
          <w:sz w:val="24"/>
          <w:szCs w:val="24"/>
          <w:highlight w:val="none"/>
        </w:rPr>
      </w:pPr>
      <w:r>
        <w:rPr>
          <w:rFonts w:hint="eastAsia" w:ascii="宋体" w:hAnsi="宋体" w:cs="宋体"/>
          <w:bCs/>
          <w:color w:val="auto"/>
          <w:sz w:val="24"/>
          <w:szCs w:val="24"/>
          <w:highlight w:val="none"/>
        </w:rPr>
        <w:t>标段三：年度运营成本最高限价为452.4万元。</w:t>
      </w:r>
    </w:p>
    <w:p>
      <w:pPr>
        <w:spacing w:line="360" w:lineRule="auto"/>
        <w:ind w:firstLine="480" w:firstLineChars="200"/>
        <w:rPr>
          <w:rFonts w:hint="eastAsia" w:ascii="宋体" w:hAnsi="宋体" w:cs="宋体"/>
          <w:bCs/>
          <w:color w:val="auto"/>
          <w:sz w:val="24"/>
          <w:szCs w:val="24"/>
          <w:highlight w:val="none"/>
        </w:rPr>
      </w:pPr>
      <w:r>
        <w:rPr>
          <w:rFonts w:hint="eastAsia" w:ascii="宋体" w:hAnsi="宋体" w:cs="宋体"/>
          <w:bCs/>
          <w:color w:val="auto"/>
          <w:sz w:val="24"/>
          <w:szCs w:val="24"/>
          <w:highlight w:val="none"/>
        </w:rPr>
        <w:t>②计算方式</w:t>
      </w:r>
    </w:p>
    <w:p>
      <w:pPr>
        <w:spacing w:line="360" w:lineRule="auto"/>
        <w:ind w:firstLine="480" w:firstLineChars="200"/>
        <w:rPr>
          <w:rFonts w:hint="eastAsia" w:ascii="宋体" w:hAnsi="宋体" w:cs="宋体"/>
          <w:bCs/>
          <w:color w:val="auto"/>
          <w:sz w:val="24"/>
          <w:szCs w:val="24"/>
          <w:highlight w:val="none"/>
        </w:rPr>
      </w:pPr>
      <w:r>
        <w:rPr>
          <w:rFonts w:hint="eastAsia" w:ascii="宋体" w:hAnsi="宋体" w:cs="宋体"/>
          <w:bCs/>
          <w:color w:val="auto"/>
          <w:sz w:val="24"/>
          <w:szCs w:val="24"/>
          <w:highlight w:val="none"/>
        </w:rPr>
        <w:t>各投标人所报年度运营成本高于最高限价的，不得分；在此基础上每降低一个百分点，加0.5分，最高得4分。</w:t>
      </w:r>
    </w:p>
    <w:p>
      <w:pPr>
        <w:spacing w:line="360" w:lineRule="auto"/>
        <w:ind w:firstLine="480" w:firstLineChars="200"/>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3) 控费奖励比例（5分）</w:t>
      </w:r>
    </w:p>
    <w:p>
      <w:pPr>
        <w:spacing w:line="360" w:lineRule="auto"/>
        <w:ind w:firstLine="480" w:firstLineChars="200"/>
        <w:rPr>
          <w:rFonts w:hint="eastAsia" w:ascii="宋体" w:hAnsi="宋体" w:cs="宋体"/>
          <w:bCs/>
          <w:color w:val="auto"/>
          <w:sz w:val="24"/>
          <w:szCs w:val="24"/>
          <w:highlight w:val="none"/>
        </w:rPr>
      </w:pPr>
      <w:r>
        <w:rPr>
          <w:rFonts w:hint="eastAsia" w:ascii="宋体" w:hAnsi="宋体" w:cs="宋体"/>
          <w:color w:val="auto"/>
          <w:sz w:val="24"/>
          <w:szCs w:val="24"/>
          <w:highlight w:val="none"/>
        </w:rPr>
        <w:t>①</w:t>
      </w:r>
      <w:r>
        <w:rPr>
          <w:rFonts w:hint="eastAsia" w:ascii="宋体" w:hAnsi="宋体" w:cs="宋体"/>
          <w:bCs/>
          <w:color w:val="auto"/>
          <w:sz w:val="24"/>
          <w:szCs w:val="24"/>
          <w:highlight w:val="none"/>
        </w:rPr>
        <w:t>评分内容：控费奖励比例</w:t>
      </w:r>
    </w:p>
    <w:p>
      <w:pPr>
        <w:spacing w:line="360" w:lineRule="auto"/>
        <w:ind w:firstLine="480" w:firstLineChars="200"/>
        <w:rPr>
          <w:rFonts w:hint="eastAsia" w:ascii="宋体" w:hAnsi="宋体" w:cs="宋体"/>
          <w:bCs/>
          <w:color w:val="auto"/>
          <w:sz w:val="24"/>
          <w:szCs w:val="24"/>
          <w:highlight w:val="none"/>
        </w:rPr>
      </w:pPr>
      <w:r>
        <w:rPr>
          <w:rFonts w:hint="eastAsia" w:ascii="宋体" w:hAnsi="宋体" w:cs="宋体"/>
          <w:bCs/>
          <w:color w:val="auto"/>
          <w:sz w:val="24"/>
          <w:szCs w:val="24"/>
          <w:highlight w:val="none"/>
        </w:rPr>
        <w:t>控费奖励最高限价为采购人确认的，经投标人拒赔、核减等减少支出费用的10%。</w:t>
      </w:r>
    </w:p>
    <w:p>
      <w:pPr>
        <w:spacing w:line="360" w:lineRule="auto"/>
        <w:ind w:firstLine="480" w:firstLineChars="200"/>
        <w:rPr>
          <w:rFonts w:hint="eastAsia" w:ascii="宋体" w:hAnsi="宋体" w:cs="宋体"/>
          <w:bCs/>
          <w:color w:val="auto"/>
          <w:sz w:val="24"/>
          <w:szCs w:val="24"/>
          <w:highlight w:val="none"/>
        </w:rPr>
      </w:pPr>
      <w:r>
        <w:rPr>
          <w:rFonts w:hint="eastAsia" w:ascii="宋体" w:hAnsi="宋体" w:cs="宋体"/>
          <w:bCs/>
          <w:color w:val="auto"/>
          <w:sz w:val="24"/>
          <w:szCs w:val="24"/>
          <w:highlight w:val="none"/>
        </w:rPr>
        <w:t>②计算方式</w:t>
      </w:r>
    </w:p>
    <w:p>
      <w:pPr>
        <w:spacing w:line="360" w:lineRule="auto"/>
        <w:ind w:firstLine="480" w:firstLineChars="200"/>
        <w:rPr>
          <w:rFonts w:hint="eastAsia" w:ascii="宋体" w:hAnsi="宋体" w:cs="宋体"/>
          <w:bCs/>
          <w:color w:val="auto"/>
          <w:sz w:val="24"/>
          <w:szCs w:val="24"/>
          <w:highlight w:val="none"/>
        </w:rPr>
      </w:pPr>
      <w:r>
        <w:rPr>
          <w:rFonts w:hint="eastAsia" w:ascii="宋体" w:hAnsi="宋体" w:cs="宋体"/>
          <w:bCs/>
          <w:color w:val="auto"/>
          <w:sz w:val="24"/>
          <w:szCs w:val="24"/>
          <w:highlight w:val="none"/>
        </w:rPr>
        <w:t>标段内各投标人所报控费奖励比例等于或高于最高限价的，不得分；在此基础上每降低一个百分点，加1分，最高得5分。</w:t>
      </w:r>
    </w:p>
    <w:p>
      <w:pPr>
        <w:spacing w:line="360" w:lineRule="auto"/>
        <w:ind w:firstLine="480" w:firstLineChars="200"/>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4）亏损比例承诺（4分）</w:t>
      </w:r>
    </w:p>
    <w:p>
      <w:pPr>
        <w:pStyle w:val="69"/>
        <w:spacing w:line="360" w:lineRule="auto"/>
        <w:ind w:firstLineChars="0"/>
        <w:rPr>
          <w:rFonts w:hint="eastAsia" w:ascii="宋体" w:hAnsi="宋体" w:cs="宋体"/>
          <w:color w:val="auto"/>
          <w:sz w:val="24"/>
          <w:szCs w:val="24"/>
          <w:highlight w:val="none"/>
        </w:rPr>
      </w:pPr>
      <w:r>
        <w:rPr>
          <w:rFonts w:hint="eastAsia" w:ascii="宋体" w:hAnsi="宋体" w:cs="宋体"/>
          <w:color w:val="auto"/>
          <w:sz w:val="24"/>
          <w:szCs w:val="24"/>
          <w:highlight w:val="none"/>
        </w:rPr>
        <w:t>每个保险年度内，若因非政策性因素发生亏损的，运营成本由投标人自行承担，由采购人核算亏损金额（年度亏损金额=年度总赔款－年度总保费），各投标人对亏损部分作如下承诺：</w:t>
      </w:r>
    </w:p>
    <w:p>
      <w:pPr>
        <w:spacing w:line="360" w:lineRule="auto"/>
        <w:ind w:firstLine="480" w:firstLineChars="200"/>
        <w:rPr>
          <w:rFonts w:hint="eastAsia" w:ascii="宋体" w:hAnsi="宋体"/>
          <w:bCs/>
          <w:color w:val="auto"/>
          <w:sz w:val="24"/>
          <w:szCs w:val="24"/>
          <w:highlight w:val="none"/>
        </w:rPr>
      </w:pPr>
      <w:r>
        <w:rPr>
          <w:rFonts w:hint="eastAsia" w:ascii="宋体" w:hAnsi="宋体"/>
          <w:bCs/>
          <w:color w:val="auto"/>
          <w:sz w:val="24"/>
          <w:szCs w:val="24"/>
          <w:highlight w:val="none"/>
        </w:rPr>
        <w:t>①</w:t>
      </w:r>
      <w:r>
        <w:rPr>
          <w:rFonts w:hint="eastAsia" w:ascii="宋体" w:hAnsi="宋体"/>
          <w:color w:val="auto"/>
          <w:sz w:val="24"/>
          <w:szCs w:val="24"/>
          <w:highlight w:val="none"/>
        </w:rPr>
        <w:t>若</w:t>
      </w:r>
      <w:r>
        <w:rPr>
          <w:rFonts w:hint="eastAsia" w:ascii="宋体" w:hAnsi="宋体"/>
          <w:bCs/>
          <w:color w:val="auto"/>
          <w:sz w:val="24"/>
          <w:szCs w:val="24"/>
          <w:highlight w:val="none"/>
        </w:rPr>
        <w:t>（年度亏损</w:t>
      </w:r>
      <w:r>
        <w:rPr>
          <w:rFonts w:hint="eastAsia" w:ascii="宋体" w:hAnsi="宋体" w:cs="宋体"/>
          <w:color w:val="auto"/>
          <w:sz w:val="24"/>
          <w:szCs w:val="24"/>
          <w:highlight w:val="none"/>
        </w:rPr>
        <w:t>金</w:t>
      </w:r>
      <w:r>
        <w:rPr>
          <w:rFonts w:hint="eastAsia" w:ascii="宋体" w:hAnsi="宋体"/>
          <w:bCs/>
          <w:color w:val="auto"/>
          <w:sz w:val="24"/>
          <w:szCs w:val="24"/>
          <w:highlight w:val="none"/>
        </w:rPr>
        <w:t>额÷年度</w:t>
      </w:r>
      <w:r>
        <w:rPr>
          <w:rFonts w:hint="eastAsia" w:ascii="宋体" w:hAnsi="宋体" w:cs="宋体"/>
          <w:color w:val="auto"/>
          <w:sz w:val="24"/>
          <w:szCs w:val="24"/>
          <w:highlight w:val="none"/>
        </w:rPr>
        <w:t>总</w:t>
      </w:r>
      <w:r>
        <w:rPr>
          <w:rFonts w:hint="eastAsia" w:ascii="宋体" w:hAnsi="宋体"/>
          <w:bCs/>
          <w:color w:val="auto"/>
          <w:sz w:val="24"/>
          <w:szCs w:val="24"/>
          <w:highlight w:val="none"/>
        </w:rPr>
        <w:t xml:space="preserve">保费）×100%≤5%，投标人承诺全部承担（1分）； </w:t>
      </w:r>
    </w:p>
    <w:p>
      <w:pPr>
        <w:spacing w:line="360" w:lineRule="auto"/>
        <w:ind w:firstLine="480" w:firstLineChars="200"/>
        <w:rPr>
          <w:rFonts w:hint="eastAsia" w:ascii="宋体" w:hAnsi="宋体"/>
          <w:bCs/>
          <w:color w:val="auto"/>
          <w:sz w:val="24"/>
          <w:szCs w:val="24"/>
          <w:highlight w:val="none"/>
        </w:rPr>
      </w:pPr>
      <w:r>
        <w:rPr>
          <w:rFonts w:hint="eastAsia" w:ascii="宋体" w:hAnsi="宋体"/>
          <w:bCs/>
          <w:color w:val="auto"/>
          <w:sz w:val="24"/>
          <w:szCs w:val="24"/>
          <w:highlight w:val="none"/>
        </w:rPr>
        <w:t>②</w:t>
      </w:r>
      <w:r>
        <w:rPr>
          <w:rFonts w:hint="eastAsia" w:ascii="宋体" w:hAnsi="宋体"/>
          <w:color w:val="auto"/>
          <w:sz w:val="24"/>
          <w:szCs w:val="24"/>
          <w:highlight w:val="none"/>
        </w:rPr>
        <w:t>若</w:t>
      </w:r>
      <w:r>
        <w:rPr>
          <w:rFonts w:hint="eastAsia" w:ascii="宋体" w:hAnsi="宋体"/>
          <w:bCs/>
          <w:color w:val="auto"/>
          <w:sz w:val="24"/>
          <w:szCs w:val="24"/>
          <w:highlight w:val="none"/>
        </w:rPr>
        <w:t>5%＜（年度亏损</w:t>
      </w:r>
      <w:r>
        <w:rPr>
          <w:rFonts w:hint="eastAsia" w:ascii="宋体" w:hAnsi="宋体" w:cs="宋体"/>
          <w:color w:val="auto"/>
          <w:sz w:val="24"/>
          <w:szCs w:val="24"/>
          <w:highlight w:val="none"/>
        </w:rPr>
        <w:t>金</w:t>
      </w:r>
      <w:r>
        <w:rPr>
          <w:rFonts w:hint="eastAsia" w:ascii="宋体" w:hAnsi="宋体"/>
          <w:bCs/>
          <w:color w:val="auto"/>
          <w:sz w:val="24"/>
          <w:szCs w:val="24"/>
          <w:highlight w:val="none"/>
        </w:rPr>
        <w:t>额÷年度</w:t>
      </w:r>
      <w:r>
        <w:rPr>
          <w:rFonts w:hint="eastAsia" w:ascii="宋体" w:hAnsi="宋体" w:cs="宋体"/>
          <w:color w:val="auto"/>
          <w:sz w:val="24"/>
          <w:szCs w:val="24"/>
          <w:highlight w:val="none"/>
        </w:rPr>
        <w:t>总</w:t>
      </w:r>
      <w:r>
        <w:rPr>
          <w:rFonts w:hint="eastAsia" w:ascii="宋体" w:hAnsi="宋体"/>
          <w:bCs/>
          <w:color w:val="auto"/>
          <w:sz w:val="24"/>
          <w:szCs w:val="24"/>
          <w:highlight w:val="none"/>
        </w:rPr>
        <w:t xml:space="preserve">保费）×100%≤10%，投标人承诺承担50%的亏损（1分）； </w:t>
      </w:r>
    </w:p>
    <w:p>
      <w:pPr>
        <w:spacing w:line="360" w:lineRule="auto"/>
        <w:ind w:firstLine="480" w:firstLineChars="200"/>
        <w:rPr>
          <w:rFonts w:hint="eastAsia" w:ascii="宋体" w:hAnsi="宋体"/>
          <w:bCs/>
          <w:color w:val="auto"/>
          <w:sz w:val="24"/>
          <w:szCs w:val="24"/>
          <w:highlight w:val="none"/>
        </w:rPr>
      </w:pPr>
      <w:r>
        <w:rPr>
          <w:rFonts w:hint="eastAsia" w:ascii="宋体" w:hAnsi="宋体"/>
          <w:bCs/>
          <w:color w:val="auto"/>
          <w:sz w:val="24"/>
          <w:szCs w:val="24"/>
          <w:highlight w:val="none"/>
        </w:rPr>
        <w:t>③</w:t>
      </w:r>
      <w:r>
        <w:rPr>
          <w:rFonts w:hint="eastAsia" w:ascii="宋体" w:hAnsi="宋体"/>
          <w:color w:val="auto"/>
          <w:sz w:val="24"/>
          <w:szCs w:val="24"/>
          <w:highlight w:val="none"/>
        </w:rPr>
        <w:t>若</w:t>
      </w:r>
      <w:r>
        <w:rPr>
          <w:rFonts w:hint="eastAsia" w:ascii="宋体" w:hAnsi="宋体"/>
          <w:bCs/>
          <w:color w:val="auto"/>
          <w:sz w:val="24"/>
          <w:szCs w:val="24"/>
          <w:highlight w:val="none"/>
        </w:rPr>
        <w:t>10%＜（年度亏损</w:t>
      </w:r>
      <w:r>
        <w:rPr>
          <w:rFonts w:hint="eastAsia" w:ascii="宋体" w:hAnsi="宋体" w:cs="宋体"/>
          <w:color w:val="auto"/>
          <w:sz w:val="24"/>
          <w:szCs w:val="24"/>
          <w:highlight w:val="none"/>
        </w:rPr>
        <w:t>金</w:t>
      </w:r>
      <w:r>
        <w:rPr>
          <w:rFonts w:hint="eastAsia" w:ascii="宋体" w:hAnsi="宋体"/>
          <w:bCs/>
          <w:color w:val="auto"/>
          <w:sz w:val="24"/>
          <w:szCs w:val="24"/>
          <w:highlight w:val="none"/>
        </w:rPr>
        <w:t>额÷年度</w:t>
      </w:r>
      <w:r>
        <w:rPr>
          <w:rFonts w:hint="eastAsia" w:ascii="宋体" w:hAnsi="宋体" w:cs="宋体"/>
          <w:color w:val="auto"/>
          <w:sz w:val="24"/>
          <w:szCs w:val="24"/>
          <w:highlight w:val="none"/>
        </w:rPr>
        <w:t>总</w:t>
      </w:r>
      <w:r>
        <w:rPr>
          <w:rFonts w:hint="eastAsia" w:ascii="宋体" w:hAnsi="宋体"/>
          <w:bCs/>
          <w:color w:val="auto"/>
          <w:sz w:val="24"/>
          <w:szCs w:val="24"/>
          <w:highlight w:val="none"/>
        </w:rPr>
        <w:t xml:space="preserve">保费）×100%≤20%，投标人承诺承担30%的亏损（1分）； </w:t>
      </w:r>
    </w:p>
    <w:p>
      <w:pPr>
        <w:spacing w:line="360" w:lineRule="auto"/>
        <w:ind w:firstLine="480" w:firstLineChars="200"/>
        <w:rPr>
          <w:rFonts w:hint="eastAsia" w:ascii="宋体" w:hAnsi="宋体"/>
          <w:bCs/>
          <w:color w:val="auto"/>
          <w:sz w:val="24"/>
          <w:szCs w:val="24"/>
          <w:highlight w:val="none"/>
        </w:rPr>
      </w:pPr>
      <w:r>
        <w:rPr>
          <w:rFonts w:hint="eastAsia" w:ascii="宋体" w:hAnsi="宋体"/>
          <w:bCs/>
          <w:color w:val="auto"/>
          <w:sz w:val="24"/>
          <w:szCs w:val="24"/>
          <w:highlight w:val="none"/>
        </w:rPr>
        <w:t>④</w:t>
      </w:r>
      <w:r>
        <w:rPr>
          <w:rFonts w:hint="eastAsia" w:ascii="宋体" w:hAnsi="宋体"/>
          <w:color w:val="auto"/>
          <w:sz w:val="24"/>
          <w:szCs w:val="24"/>
          <w:highlight w:val="none"/>
        </w:rPr>
        <w:t>若</w:t>
      </w:r>
      <w:r>
        <w:rPr>
          <w:rFonts w:hint="eastAsia" w:ascii="宋体" w:hAnsi="宋体"/>
          <w:bCs/>
          <w:color w:val="auto"/>
          <w:sz w:val="24"/>
          <w:szCs w:val="24"/>
          <w:highlight w:val="none"/>
        </w:rPr>
        <w:t>（年度亏损</w:t>
      </w:r>
      <w:r>
        <w:rPr>
          <w:rFonts w:hint="eastAsia" w:ascii="宋体" w:hAnsi="宋体" w:cs="宋体"/>
          <w:color w:val="auto"/>
          <w:sz w:val="24"/>
          <w:szCs w:val="24"/>
          <w:highlight w:val="none"/>
        </w:rPr>
        <w:t>金</w:t>
      </w:r>
      <w:r>
        <w:rPr>
          <w:rFonts w:hint="eastAsia" w:ascii="宋体" w:hAnsi="宋体"/>
          <w:bCs/>
          <w:color w:val="auto"/>
          <w:sz w:val="24"/>
          <w:szCs w:val="24"/>
          <w:highlight w:val="none"/>
        </w:rPr>
        <w:t>额÷年度</w:t>
      </w:r>
      <w:r>
        <w:rPr>
          <w:rFonts w:hint="eastAsia" w:ascii="宋体" w:hAnsi="宋体" w:cs="宋体"/>
          <w:color w:val="auto"/>
          <w:sz w:val="24"/>
          <w:szCs w:val="24"/>
          <w:highlight w:val="none"/>
        </w:rPr>
        <w:t>总</w:t>
      </w:r>
      <w:r>
        <w:rPr>
          <w:rFonts w:hint="eastAsia" w:ascii="宋体" w:hAnsi="宋体"/>
          <w:bCs/>
          <w:color w:val="auto"/>
          <w:sz w:val="24"/>
          <w:szCs w:val="24"/>
          <w:highlight w:val="none"/>
        </w:rPr>
        <w:t>保费）×100%＞20%，投标人承诺承担20%的亏损（最高得1分）。</w:t>
      </w:r>
    </w:p>
    <w:p>
      <w:pPr>
        <w:spacing w:line="360" w:lineRule="auto"/>
        <w:ind w:firstLine="480" w:firstLineChars="200"/>
        <w:rPr>
          <w:rFonts w:hint="eastAsia" w:ascii="宋体" w:hAnsi="宋体" w:cs="宋体"/>
          <w:bCs/>
          <w:color w:val="auto"/>
          <w:sz w:val="24"/>
          <w:szCs w:val="24"/>
          <w:highlight w:val="none"/>
        </w:rPr>
      </w:pPr>
      <w:r>
        <w:rPr>
          <w:rFonts w:hint="eastAsia" w:ascii="宋体" w:hAnsi="宋体" w:cs="宋体"/>
          <w:b/>
          <w:bCs/>
          <w:color w:val="auto"/>
          <w:sz w:val="24"/>
          <w:szCs w:val="24"/>
          <w:highlight w:val="none"/>
        </w:rPr>
        <w:t>5）综合实力（22分）</w:t>
      </w:r>
    </w:p>
    <w:p>
      <w:pPr>
        <w:spacing w:line="360" w:lineRule="auto"/>
        <w:ind w:firstLine="480" w:firstLineChars="200"/>
        <w:rPr>
          <w:rFonts w:hint="eastAsia" w:ascii="宋体" w:hAnsi="宋体" w:cs="宋体"/>
          <w:bCs/>
          <w:color w:val="auto"/>
          <w:sz w:val="24"/>
          <w:szCs w:val="24"/>
          <w:highlight w:val="none"/>
        </w:rPr>
      </w:pPr>
      <w:r>
        <w:rPr>
          <w:rFonts w:hint="eastAsia" w:ascii="宋体" w:hAnsi="宋体" w:cs="宋体"/>
          <w:color w:val="auto"/>
          <w:sz w:val="24"/>
          <w:szCs w:val="24"/>
          <w:highlight w:val="none"/>
        </w:rPr>
        <w:t>①</w:t>
      </w:r>
      <w:r>
        <w:rPr>
          <w:rFonts w:hint="eastAsia" w:ascii="宋体" w:hAnsi="宋体" w:cs="宋体"/>
          <w:bCs/>
          <w:color w:val="auto"/>
          <w:sz w:val="24"/>
          <w:szCs w:val="24"/>
          <w:highlight w:val="none"/>
        </w:rPr>
        <w:t>总公司2021年度综合偿付能力充足率(2分)；</w:t>
      </w:r>
      <w:r>
        <w:rPr>
          <w:rFonts w:hint="eastAsia" w:ascii="宋体" w:hAnsi="宋体" w:cs="宋体"/>
          <w:color w:val="auto"/>
          <w:sz w:val="24"/>
          <w:szCs w:val="24"/>
          <w:highlight w:val="none"/>
        </w:rPr>
        <w:t>（</w:t>
      </w:r>
      <w:r>
        <w:rPr>
          <w:rFonts w:hint="eastAsia" w:ascii="宋体" w:hAnsi="宋体" w:cs="宋体"/>
          <w:bCs/>
          <w:color w:val="auto"/>
          <w:sz w:val="24"/>
          <w:szCs w:val="24"/>
          <w:highlight w:val="none"/>
        </w:rPr>
        <w:t>综合</w:t>
      </w:r>
      <w:r>
        <w:rPr>
          <w:rFonts w:hint="eastAsia" w:ascii="宋体" w:hAnsi="宋体" w:cs="宋体"/>
          <w:color w:val="auto"/>
          <w:sz w:val="24"/>
          <w:szCs w:val="24"/>
          <w:highlight w:val="none"/>
        </w:rPr>
        <w:t>偿付能力</w:t>
      </w:r>
      <w:r>
        <w:rPr>
          <w:rFonts w:hint="eastAsia" w:ascii="宋体" w:hAnsi="宋体"/>
          <w:bCs/>
          <w:color w:val="auto"/>
          <w:sz w:val="24"/>
          <w:szCs w:val="24"/>
          <w:highlight w:val="none"/>
        </w:rPr>
        <w:t>＜</w:t>
      </w:r>
      <w:r>
        <w:rPr>
          <w:rFonts w:hint="eastAsia" w:ascii="宋体" w:hAnsi="宋体" w:cs="宋体"/>
          <w:color w:val="auto"/>
          <w:sz w:val="24"/>
          <w:szCs w:val="24"/>
          <w:highlight w:val="none"/>
        </w:rPr>
        <w:t>100%不得分； 100%</w:t>
      </w:r>
      <w:r>
        <w:rPr>
          <w:rFonts w:hint="eastAsia" w:ascii="宋体" w:hAnsi="宋体" w:cs="宋体"/>
          <w:bCs/>
          <w:color w:val="auto"/>
          <w:sz w:val="24"/>
          <w:szCs w:val="24"/>
          <w:highlight w:val="none"/>
        </w:rPr>
        <w:t>≤综合</w:t>
      </w:r>
      <w:r>
        <w:rPr>
          <w:rFonts w:hint="eastAsia" w:ascii="宋体" w:hAnsi="宋体" w:cs="宋体"/>
          <w:color w:val="auto"/>
          <w:sz w:val="24"/>
          <w:szCs w:val="24"/>
          <w:highlight w:val="none"/>
        </w:rPr>
        <w:t>偿付能力</w:t>
      </w:r>
      <w:r>
        <w:rPr>
          <w:rFonts w:hint="eastAsia" w:ascii="宋体" w:hAnsi="宋体"/>
          <w:bCs/>
          <w:color w:val="auto"/>
          <w:sz w:val="24"/>
          <w:szCs w:val="24"/>
          <w:highlight w:val="none"/>
        </w:rPr>
        <w:t>＜</w:t>
      </w:r>
      <w:r>
        <w:rPr>
          <w:rFonts w:hint="eastAsia" w:ascii="宋体" w:hAnsi="宋体" w:cs="宋体"/>
          <w:color w:val="auto"/>
          <w:sz w:val="24"/>
          <w:szCs w:val="24"/>
          <w:highlight w:val="none"/>
        </w:rPr>
        <w:t>150%，最高得1分；150%</w:t>
      </w:r>
      <w:r>
        <w:rPr>
          <w:rFonts w:hint="eastAsia" w:ascii="宋体" w:hAnsi="宋体" w:cs="宋体"/>
          <w:bCs/>
          <w:color w:val="auto"/>
          <w:sz w:val="24"/>
          <w:szCs w:val="24"/>
          <w:highlight w:val="none"/>
        </w:rPr>
        <w:t>≤综合</w:t>
      </w:r>
      <w:r>
        <w:rPr>
          <w:rFonts w:hint="eastAsia" w:ascii="宋体" w:hAnsi="宋体" w:cs="宋体"/>
          <w:color w:val="auto"/>
          <w:sz w:val="24"/>
          <w:szCs w:val="24"/>
          <w:highlight w:val="none"/>
        </w:rPr>
        <w:t>偿付能力</w:t>
      </w:r>
      <w:r>
        <w:rPr>
          <w:rFonts w:hint="eastAsia" w:ascii="宋体" w:hAnsi="宋体"/>
          <w:bCs/>
          <w:color w:val="auto"/>
          <w:sz w:val="24"/>
          <w:szCs w:val="24"/>
          <w:highlight w:val="none"/>
        </w:rPr>
        <w:t>＜</w:t>
      </w:r>
      <w:r>
        <w:rPr>
          <w:rFonts w:hint="eastAsia" w:ascii="宋体" w:hAnsi="宋体" w:cs="宋体"/>
          <w:color w:val="auto"/>
          <w:sz w:val="24"/>
          <w:szCs w:val="24"/>
          <w:highlight w:val="none"/>
        </w:rPr>
        <w:t>200%，最高得1.5分；</w:t>
      </w:r>
      <w:r>
        <w:rPr>
          <w:rFonts w:hint="eastAsia" w:ascii="宋体" w:hAnsi="宋体" w:cs="宋体"/>
          <w:bCs/>
          <w:color w:val="auto"/>
          <w:sz w:val="24"/>
          <w:szCs w:val="24"/>
          <w:highlight w:val="none"/>
        </w:rPr>
        <w:t>综合</w:t>
      </w:r>
      <w:r>
        <w:rPr>
          <w:rFonts w:hint="eastAsia" w:ascii="宋体" w:hAnsi="宋体" w:cs="宋体"/>
          <w:color w:val="auto"/>
          <w:sz w:val="24"/>
          <w:szCs w:val="24"/>
          <w:highlight w:val="none"/>
        </w:rPr>
        <w:t>偿付能力≥200%，最高得2分）</w:t>
      </w:r>
    </w:p>
    <w:p>
      <w:pPr>
        <w:spacing w:line="360" w:lineRule="auto"/>
        <w:ind w:firstLine="480" w:firstLineChars="200"/>
        <w:rPr>
          <w:rFonts w:hint="eastAsia" w:ascii="宋体" w:hAnsi="宋体" w:cs="宋体"/>
          <w:bCs/>
          <w:color w:val="auto"/>
          <w:sz w:val="24"/>
          <w:szCs w:val="24"/>
          <w:highlight w:val="none"/>
        </w:rPr>
      </w:pPr>
      <w:r>
        <w:rPr>
          <w:rFonts w:hint="eastAsia" w:ascii="宋体" w:hAnsi="宋体" w:cs="宋体"/>
          <w:color w:val="auto"/>
          <w:sz w:val="24"/>
          <w:szCs w:val="24"/>
          <w:highlight w:val="none"/>
        </w:rPr>
        <w:t>②投标人所属分支机构及经营部数量（4分）；（</w:t>
      </w:r>
      <w:r>
        <w:rPr>
          <w:rFonts w:hint="eastAsia" w:ascii="宋体" w:hAnsi="宋体" w:cs="宋体"/>
          <w:bCs/>
          <w:color w:val="auto"/>
          <w:sz w:val="24"/>
          <w:szCs w:val="24"/>
          <w:highlight w:val="none"/>
        </w:rPr>
        <w:t>以营业执照副本复印件或扫描件为准，所属</w:t>
      </w:r>
      <w:r>
        <w:rPr>
          <w:rFonts w:hint="eastAsia" w:ascii="宋体" w:hAnsi="宋体" w:cs="宋体"/>
          <w:color w:val="auto"/>
          <w:sz w:val="24"/>
          <w:szCs w:val="24"/>
          <w:highlight w:val="none"/>
        </w:rPr>
        <w:t>分支机构有1个得0.3分，经营部有1个得0.1分，累计得4分）</w:t>
      </w:r>
    </w:p>
    <w:p>
      <w:pPr>
        <w:spacing w:line="360" w:lineRule="auto"/>
        <w:ind w:firstLine="480" w:firstLineChars="200"/>
        <w:rPr>
          <w:rFonts w:hint="eastAsia" w:ascii="宋体" w:hAnsi="宋体" w:cs="宋体"/>
          <w:bCs/>
          <w:color w:val="auto"/>
          <w:sz w:val="24"/>
          <w:szCs w:val="24"/>
          <w:highlight w:val="none"/>
        </w:rPr>
      </w:pPr>
      <w:r>
        <w:rPr>
          <w:rFonts w:hint="eastAsia" w:ascii="宋体" w:hAnsi="宋体" w:cs="宋体"/>
          <w:color w:val="auto"/>
          <w:sz w:val="24"/>
          <w:szCs w:val="24"/>
          <w:highlight w:val="none"/>
        </w:rPr>
        <w:t>③</w:t>
      </w:r>
      <w:r>
        <w:rPr>
          <w:rFonts w:hint="eastAsia" w:ascii="宋体" w:hAnsi="宋体" w:cs="宋体"/>
          <w:bCs/>
          <w:color w:val="auto"/>
          <w:sz w:val="24"/>
          <w:szCs w:val="24"/>
          <w:highlight w:val="none"/>
        </w:rPr>
        <w:t>业务经验（4分）</w:t>
      </w:r>
    </w:p>
    <w:p>
      <w:pPr>
        <w:spacing w:line="360" w:lineRule="auto"/>
        <w:ind w:firstLine="480" w:firstLineChars="200"/>
        <w:rPr>
          <w:rFonts w:hint="eastAsia" w:ascii="宋体" w:hAnsi="宋体" w:cs="宋体"/>
          <w:bCs/>
          <w:color w:val="auto"/>
          <w:sz w:val="24"/>
          <w:szCs w:val="24"/>
          <w:highlight w:val="none"/>
        </w:rPr>
      </w:pPr>
      <w:r>
        <w:rPr>
          <w:rFonts w:hint="eastAsia" w:ascii="宋体" w:hAnsi="宋体" w:cs="宋体"/>
          <w:bCs/>
          <w:color w:val="auto"/>
          <w:sz w:val="24"/>
          <w:szCs w:val="24"/>
          <w:highlight w:val="none"/>
        </w:rPr>
        <w:t>近二年（2021年1月至今）省公司系统内已经完成或正在履行的类似项目经验（4分）；</w:t>
      </w:r>
    </w:p>
    <w:p>
      <w:pPr>
        <w:spacing w:line="360" w:lineRule="auto"/>
        <w:ind w:firstLine="480" w:firstLineChars="200"/>
        <w:contextualSpacing/>
        <w:rPr>
          <w:rFonts w:hint="eastAsia" w:ascii="宋体" w:hAnsi="宋体" w:cs="宋体"/>
          <w:bCs/>
          <w:color w:val="auto"/>
          <w:sz w:val="24"/>
          <w:szCs w:val="24"/>
          <w:highlight w:val="none"/>
        </w:rPr>
      </w:pPr>
      <w:r>
        <w:rPr>
          <w:rFonts w:hint="eastAsia" w:ascii="宋体" w:hAnsi="宋体" w:cs="宋体"/>
          <w:bCs/>
          <w:color w:val="auto"/>
          <w:sz w:val="24"/>
          <w:szCs w:val="24"/>
          <w:highlight w:val="none"/>
        </w:rPr>
        <w:t>（以中标合同或中标通知书复印件或扫描件为准，首席承保或独家承保的有一个，得0.5分，作为从共保体成员单位承保的有一个得0.3分，联合体业绩视为从共保体成员单位承保业绩，有一个得0.3分，</w:t>
      </w:r>
      <w:r>
        <w:rPr>
          <w:rFonts w:hint="eastAsia" w:ascii="宋体" w:hAnsi="宋体" w:cs="宋体"/>
          <w:color w:val="auto"/>
          <w:sz w:val="24"/>
          <w:szCs w:val="24"/>
          <w:highlight w:val="none"/>
        </w:rPr>
        <w:t>累计得</w:t>
      </w:r>
      <w:r>
        <w:rPr>
          <w:rFonts w:hint="eastAsia" w:ascii="宋体" w:hAnsi="宋体" w:cs="宋体"/>
          <w:bCs/>
          <w:color w:val="auto"/>
          <w:sz w:val="24"/>
          <w:szCs w:val="24"/>
          <w:highlight w:val="none"/>
        </w:rPr>
        <w:t>4分）</w:t>
      </w:r>
      <w:r>
        <w:rPr>
          <w:rFonts w:hint="eastAsia" w:ascii="宋体" w:hAnsi="宋体" w:cs="宋体"/>
          <w:bCs/>
          <w:color w:val="auto"/>
          <w:sz w:val="24"/>
          <w:szCs w:val="24"/>
          <w:highlight w:val="none"/>
        </w:rPr>
        <w:t xml:space="preserve"> </w:t>
      </w:r>
    </w:p>
    <w:p>
      <w:pPr>
        <w:spacing w:line="360" w:lineRule="auto"/>
        <w:ind w:firstLine="480" w:firstLineChars="200"/>
        <w:rPr>
          <w:rFonts w:hint="eastAsia" w:ascii="宋体" w:hAnsi="宋体" w:cs="宋体"/>
          <w:bCs/>
          <w:color w:val="auto"/>
          <w:sz w:val="24"/>
          <w:szCs w:val="24"/>
          <w:highlight w:val="none"/>
        </w:rPr>
      </w:pPr>
      <w:r>
        <w:rPr>
          <w:rFonts w:hint="eastAsia" w:ascii="宋体" w:hAnsi="宋体" w:cs="宋体"/>
          <w:bCs/>
          <w:color w:val="auto"/>
          <w:sz w:val="24"/>
          <w:szCs w:val="24"/>
          <w:highlight w:val="none"/>
        </w:rPr>
        <w:t>④投标人拟为本项目配备的专业团队人员（人员配置承诺书见格式）（4分）</w:t>
      </w:r>
    </w:p>
    <w:p>
      <w:pPr>
        <w:spacing w:line="360" w:lineRule="auto"/>
        <w:ind w:firstLine="480" w:firstLineChars="200"/>
        <w:rPr>
          <w:rFonts w:hint="eastAsia" w:ascii="宋体" w:hAnsi="宋体" w:cs="宋体"/>
          <w:bCs/>
          <w:color w:val="auto"/>
          <w:sz w:val="24"/>
          <w:szCs w:val="24"/>
          <w:highlight w:val="none"/>
        </w:rPr>
      </w:pPr>
      <w:r>
        <w:rPr>
          <w:rFonts w:hint="eastAsia" w:ascii="宋体" w:hAnsi="宋体" w:cs="宋体"/>
          <w:bCs/>
          <w:color w:val="auto"/>
          <w:sz w:val="24"/>
          <w:szCs w:val="24"/>
          <w:highlight w:val="none"/>
        </w:rPr>
        <w:t>（投标人承诺保险合同生效45日内，响应投标标段的第一个服务包、第二个服务包和第三个服务包人员配置基本要求的，得1分；在基本需求基础上每个服务包服务人员总数均增加1人的，得3分，任何一个服务包没有人数增加，不得分。累计得4分）</w:t>
      </w:r>
    </w:p>
    <w:p>
      <w:pPr>
        <w:pStyle w:val="69"/>
        <w:tabs>
          <w:tab w:val="left" w:pos="840"/>
          <w:tab w:val="left" w:pos="1050"/>
        </w:tabs>
        <w:spacing w:line="360" w:lineRule="auto"/>
        <w:ind w:firstLine="480"/>
        <w:rPr>
          <w:rFonts w:hint="eastAsia" w:ascii="宋体" w:hAnsi="宋体" w:cs="宋体"/>
          <w:bCs/>
          <w:color w:val="auto"/>
          <w:sz w:val="24"/>
          <w:szCs w:val="24"/>
          <w:highlight w:val="none"/>
        </w:rPr>
      </w:pPr>
      <w:r>
        <w:rPr>
          <w:rFonts w:hint="eastAsia" w:ascii="宋体" w:hAnsi="宋体" w:cs="宋体"/>
          <w:color w:val="auto"/>
          <w:sz w:val="24"/>
          <w:szCs w:val="24"/>
          <w:highlight w:val="none"/>
        </w:rPr>
        <w:t>⑤</w:t>
      </w:r>
      <w:r>
        <w:rPr>
          <w:rFonts w:hint="eastAsia" w:ascii="宋体" w:hAnsi="宋体" w:cs="宋体"/>
          <w:bCs/>
          <w:color w:val="auto"/>
          <w:sz w:val="24"/>
          <w:szCs w:val="24"/>
          <w:highlight w:val="none"/>
        </w:rPr>
        <w:t>合规经营（1分）</w:t>
      </w:r>
    </w:p>
    <w:p>
      <w:pPr>
        <w:spacing w:line="360" w:lineRule="auto"/>
        <w:ind w:firstLine="480" w:firstLineChars="200"/>
        <w:rPr>
          <w:rFonts w:hint="eastAsia" w:ascii="宋体" w:hAnsi="宋体" w:cs="宋体"/>
          <w:bCs/>
          <w:color w:val="auto"/>
          <w:sz w:val="24"/>
          <w:szCs w:val="24"/>
          <w:highlight w:val="none"/>
        </w:rPr>
      </w:pPr>
      <w:r>
        <w:rPr>
          <w:rFonts w:hint="eastAsia" w:ascii="宋体" w:hAnsi="宋体" w:cs="宋体"/>
          <w:bCs/>
          <w:color w:val="auto"/>
          <w:sz w:val="24"/>
          <w:szCs w:val="24"/>
          <w:highlight w:val="none"/>
        </w:rPr>
        <w:t>投标人提供2021～2022年内有无受到银保监部门处罚情况；（以银保监部门的处罚文件为准，有处罚的，不得分；没有处罚的，得1分，投标人提供2021～2022年内有无受到国家、省、设区市三级银保监部门处罚的承诺书）</w:t>
      </w:r>
    </w:p>
    <w:p>
      <w:pPr>
        <w:pStyle w:val="69"/>
        <w:tabs>
          <w:tab w:val="left" w:pos="840"/>
          <w:tab w:val="left" w:pos="1050"/>
        </w:tabs>
        <w:spacing w:line="360" w:lineRule="auto"/>
        <w:ind w:firstLineChars="0"/>
        <w:rPr>
          <w:rFonts w:hint="eastAsia" w:ascii="宋体" w:hAnsi="宋体" w:cs="宋体"/>
          <w:bCs/>
          <w:color w:val="auto"/>
          <w:sz w:val="24"/>
          <w:szCs w:val="24"/>
          <w:highlight w:val="none"/>
        </w:rPr>
      </w:pPr>
      <w:r>
        <w:rPr>
          <w:rFonts w:hint="eastAsia" w:ascii="宋体" w:hAnsi="宋体" w:cs="宋体"/>
          <w:color w:val="auto"/>
          <w:sz w:val="24"/>
          <w:szCs w:val="24"/>
          <w:highlight w:val="none"/>
        </w:rPr>
        <w:t>⑥</w:t>
      </w:r>
      <w:r>
        <w:rPr>
          <w:rFonts w:hint="eastAsia" w:ascii="宋体" w:hAnsi="宋体" w:cs="宋体"/>
          <w:bCs/>
          <w:color w:val="auto"/>
          <w:sz w:val="24"/>
          <w:szCs w:val="24"/>
          <w:highlight w:val="none"/>
        </w:rPr>
        <w:t>风险综合评级(4分)</w:t>
      </w:r>
    </w:p>
    <w:p>
      <w:pPr>
        <w:tabs>
          <w:tab w:val="left" w:pos="840"/>
          <w:tab w:val="left" w:pos="1050"/>
        </w:tabs>
        <w:spacing w:line="360" w:lineRule="auto"/>
        <w:ind w:firstLine="480" w:firstLineChars="200"/>
        <w:rPr>
          <w:rFonts w:hint="eastAsia" w:ascii="宋体" w:hAnsi="宋体" w:cs="宋体"/>
          <w:bCs/>
          <w:color w:val="auto"/>
          <w:sz w:val="24"/>
          <w:szCs w:val="24"/>
          <w:highlight w:val="none"/>
        </w:rPr>
      </w:pPr>
      <w:r>
        <w:rPr>
          <w:rFonts w:hint="eastAsia" w:ascii="宋体" w:hAnsi="宋体" w:cs="宋体"/>
          <w:bCs/>
          <w:color w:val="auto"/>
          <w:sz w:val="24"/>
          <w:szCs w:val="24"/>
          <w:highlight w:val="none"/>
        </w:rPr>
        <w:t>投标人总公司四个季度（2021年1季度至2021年4季度）偿二代风险综合评级评定:均为A级的，得4分；每出现一个B级的，扣0.5分；C级及以下的不得分。（提供2021年1季度至2021年4季度中国保险行业协会公示的评价等级相关材料，未提供上述相关证明材料，不得分）</w:t>
      </w:r>
    </w:p>
    <w:p>
      <w:pPr>
        <w:spacing w:line="360" w:lineRule="auto"/>
        <w:ind w:firstLine="480" w:firstLineChars="200"/>
        <w:rPr>
          <w:rFonts w:hint="eastAsia" w:ascii="宋体" w:hAnsi="宋体" w:cs="宋体"/>
          <w:bCs/>
          <w:color w:val="auto"/>
          <w:sz w:val="24"/>
          <w:szCs w:val="24"/>
          <w:highlight w:val="none"/>
        </w:rPr>
      </w:pPr>
      <w:r>
        <w:rPr>
          <w:rFonts w:hint="eastAsia" w:ascii="宋体" w:hAnsi="宋体" w:cs="宋体"/>
          <w:bCs/>
          <w:color w:val="auto"/>
          <w:sz w:val="24"/>
          <w:szCs w:val="24"/>
          <w:highlight w:val="none"/>
        </w:rPr>
        <w:t>⑦2020~2021年投标人获得政府及其他相关部门有关金融保险方面集体类奖励（2分）；（提供的相关证明材料，证明材料中要显示投标人的名称，有1次，得1分；累计得2分）</w:t>
      </w:r>
    </w:p>
    <w:p>
      <w:pPr>
        <w:pStyle w:val="69"/>
        <w:tabs>
          <w:tab w:val="left" w:pos="0"/>
          <w:tab w:val="left" w:pos="840"/>
        </w:tabs>
        <w:spacing w:line="360" w:lineRule="auto"/>
        <w:ind w:firstLine="482"/>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（2）技术标（暗标）共</w:t>
      </w:r>
      <w:r>
        <w:rPr>
          <w:rFonts w:hint="eastAsia" w:ascii="宋体" w:hAnsi="宋体" w:cs="宋体"/>
          <w:b/>
          <w:bCs/>
          <w:color w:val="auto"/>
          <w:sz w:val="24"/>
          <w:szCs w:val="24"/>
          <w:highlight w:val="none"/>
        </w:rPr>
        <w:t>计66分</w:t>
      </w:r>
      <w:r>
        <w:rPr>
          <w:rFonts w:hint="eastAsia" w:ascii="宋体" w:hAnsi="宋体" w:cs="宋体"/>
          <w:b/>
          <w:bCs/>
          <w:color w:val="auto"/>
          <w:sz w:val="24"/>
          <w:szCs w:val="24"/>
          <w:highlight w:val="none"/>
        </w:rPr>
        <w:t>，其中保险方案2分、管理方</w:t>
      </w:r>
      <w:r>
        <w:rPr>
          <w:rFonts w:hint="eastAsia" w:ascii="宋体" w:hAnsi="宋体" w:cs="宋体"/>
          <w:b/>
          <w:bCs/>
          <w:color w:val="auto"/>
          <w:sz w:val="24"/>
          <w:szCs w:val="24"/>
          <w:highlight w:val="none"/>
        </w:rPr>
        <w:t>案62分</w:t>
      </w:r>
      <w:r>
        <w:rPr>
          <w:rFonts w:hint="eastAsia" w:ascii="宋体" w:hAnsi="宋体" w:cs="宋体"/>
          <w:b/>
          <w:bCs/>
          <w:color w:val="auto"/>
          <w:sz w:val="24"/>
          <w:szCs w:val="24"/>
          <w:highlight w:val="none"/>
        </w:rPr>
        <w:t>、创新性方案2分。</w:t>
      </w:r>
    </w:p>
    <w:p>
      <w:pPr>
        <w:tabs>
          <w:tab w:val="left" w:pos="840"/>
          <w:tab w:val="left" w:pos="1050"/>
        </w:tabs>
        <w:spacing w:line="360" w:lineRule="auto"/>
        <w:ind w:firstLine="480" w:firstLineChars="200"/>
        <w:rPr>
          <w:rFonts w:hint="eastAsia" w:ascii="宋体" w:hAnsi="宋体" w:cs="宋体"/>
          <w:b/>
          <w:color w:val="auto"/>
          <w:sz w:val="24"/>
          <w:szCs w:val="24"/>
          <w:highlight w:val="none"/>
        </w:rPr>
      </w:pPr>
      <w:r>
        <w:rPr>
          <w:rFonts w:hint="eastAsia" w:ascii="宋体" w:hAnsi="宋体" w:cs="宋体"/>
          <w:b/>
          <w:bCs/>
          <w:color w:val="auto"/>
          <w:sz w:val="24"/>
          <w:szCs w:val="24"/>
          <w:highlight w:val="none"/>
        </w:rPr>
        <w:t>投标文件中无对应评分项内容的，该评分项不得分。</w:t>
      </w:r>
    </w:p>
    <w:p>
      <w:pPr>
        <w:spacing w:line="360" w:lineRule="auto"/>
        <w:ind w:firstLine="480" w:firstLineChars="200"/>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1）保险方案（2分）</w:t>
      </w:r>
    </w:p>
    <w:p>
      <w:pPr>
        <w:spacing w:line="360" w:lineRule="auto"/>
        <w:ind w:firstLine="480" w:firstLineChars="200"/>
        <w:rPr>
          <w:rFonts w:hint="eastAsia" w:ascii="宋体" w:hAnsi="宋体" w:cs="宋体"/>
          <w:b/>
          <w:bCs/>
          <w:color w:val="auto"/>
          <w:sz w:val="24"/>
          <w:szCs w:val="24"/>
          <w:highlight w:val="none"/>
        </w:rPr>
      </w:pPr>
      <w:r>
        <w:rPr>
          <w:rFonts w:hint="eastAsia" w:ascii="宋体" w:hAnsi="宋体" w:cs="宋体"/>
          <w:bCs/>
          <w:color w:val="auto"/>
          <w:sz w:val="24"/>
          <w:szCs w:val="24"/>
          <w:highlight w:val="none"/>
        </w:rPr>
        <w:t>对招标文件保险条款基本要求响应的（2分）</w:t>
      </w:r>
    </w:p>
    <w:p>
      <w:pPr>
        <w:spacing w:line="360" w:lineRule="auto"/>
        <w:ind w:firstLine="480" w:firstLineChars="200"/>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2）管理方案（61分）</w:t>
      </w:r>
    </w:p>
    <w:p>
      <w:pPr>
        <w:spacing w:line="360" w:lineRule="auto"/>
        <w:ind w:firstLine="480" w:firstLineChars="200"/>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①项目总体实施方案（5分）</w:t>
      </w:r>
    </w:p>
    <w:p>
      <w:pPr>
        <w:spacing w:line="360" w:lineRule="auto"/>
        <w:ind w:firstLine="480" w:firstLineChars="200"/>
        <w:rPr>
          <w:rFonts w:hint="eastAsia" w:ascii="宋体" w:hAnsi="宋体" w:cs="宋体"/>
          <w:bCs/>
          <w:color w:val="auto"/>
          <w:sz w:val="24"/>
          <w:szCs w:val="24"/>
          <w:highlight w:val="none"/>
        </w:rPr>
      </w:pPr>
      <w:r>
        <w:rPr>
          <w:rFonts w:hint="eastAsia" w:ascii="宋体" w:hAnsi="宋体" w:cs="宋体"/>
          <w:bCs/>
          <w:color w:val="auto"/>
          <w:sz w:val="24"/>
          <w:szCs w:val="24"/>
          <w:highlight w:val="none"/>
        </w:rPr>
        <w:t>a.项目概述和整体工作计划（2分）</w:t>
      </w:r>
    </w:p>
    <w:p>
      <w:pPr>
        <w:spacing w:line="360" w:lineRule="auto"/>
        <w:ind w:firstLine="480" w:firstLineChars="200"/>
        <w:rPr>
          <w:rFonts w:hint="eastAsia" w:ascii="宋体" w:hAnsi="宋体" w:cs="宋体"/>
          <w:bCs/>
          <w:color w:val="auto"/>
          <w:sz w:val="24"/>
          <w:szCs w:val="24"/>
          <w:highlight w:val="none"/>
        </w:rPr>
      </w:pPr>
      <w:r>
        <w:rPr>
          <w:rFonts w:hint="eastAsia" w:ascii="宋体" w:hAnsi="宋体" w:cs="宋体"/>
          <w:bCs/>
          <w:color w:val="auto"/>
          <w:sz w:val="24"/>
          <w:szCs w:val="24"/>
          <w:highlight w:val="none"/>
        </w:rPr>
        <w:t>b.组织实施方案（3分）</w:t>
      </w:r>
    </w:p>
    <w:p>
      <w:pPr>
        <w:spacing w:line="360" w:lineRule="auto"/>
        <w:ind w:firstLine="480" w:firstLineChars="200"/>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②常规管理方案（22分）</w:t>
      </w:r>
    </w:p>
    <w:p>
      <w:pPr>
        <w:tabs>
          <w:tab w:val="left" w:pos="1985"/>
        </w:tabs>
        <w:spacing w:line="360" w:lineRule="auto"/>
        <w:ind w:firstLine="480" w:firstLineChars="200"/>
        <w:rPr>
          <w:rFonts w:hint="eastAsia" w:ascii="宋体" w:hAnsi="宋体" w:cs="宋体"/>
          <w:bCs/>
          <w:color w:val="auto"/>
          <w:sz w:val="24"/>
          <w:szCs w:val="24"/>
          <w:highlight w:val="none"/>
        </w:rPr>
      </w:pPr>
      <w:r>
        <w:rPr>
          <w:rFonts w:hint="eastAsia" w:ascii="宋体" w:hAnsi="宋体" w:cs="宋体"/>
          <w:bCs/>
          <w:color w:val="auto"/>
          <w:sz w:val="24"/>
          <w:szCs w:val="24"/>
          <w:highlight w:val="none"/>
        </w:rPr>
        <w:t>a.本项目的管理制度建设方案（3分）</w:t>
      </w:r>
    </w:p>
    <w:p>
      <w:pPr>
        <w:pStyle w:val="69"/>
        <w:spacing w:line="360" w:lineRule="auto"/>
        <w:ind w:firstLine="480"/>
        <w:rPr>
          <w:rFonts w:hint="eastAsia" w:ascii="宋体" w:hAnsi="宋体" w:cs="宋体"/>
          <w:bCs/>
          <w:color w:val="auto"/>
          <w:sz w:val="24"/>
          <w:szCs w:val="24"/>
          <w:highlight w:val="none"/>
        </w:rPr>
      </w:pPr>
      <w:r>
        <w:rPr>
          <w:rFonts w:hint="eastAsia" w:ascii="宋体" w:hAnsi="宋体" w:cs="宋体"/>
          <w:bCs/>
          <w:color w:val="auto"/>
          <w:sz w:val="24"/>
          <w:szCs w:val="24"/>
          <w:highlight w:val="none"/>
        </w:rPr>
        <w:t>b.</w:t>
      </w:r>
      <w:r>
        <w:rPr>
          <w:rFonts w:hint="eastAsia" w:ascii="宋体" w:hAnsi="宋体"/>
          <w:bCs/>
          <w:color w:val="auto"/>
          <w:sz w:val="24"/>
          <w:szCs w:val="24"/>
          <w:highlight w:val="none"/>
        </w:rPr>
        <w:t>大病保险资金的专户存储、专款核算和专款专用方案，配合采购人开展季度预清算、年度清算、结算利息方案（3分）</w:t>
      </w:r>
    </w:p>
    <w:p>
      <w:pPr>
        <w:pStyle w:val="69"/>
        <w:spacing w:line="360" w:lineRule="auto"/>
        <w:ind w:firstLine="480"/>
        <w:rPr>
          <w:rFonts w:hint="eastAsia" w:ascii="宋体" w:hAnsi="宋体" w:cs="宋体"/>
          <w:bCs/>
          <w:color w:val="auto"/>
          <w:sz w:val="24"/>
          <w:szCs w:val="24"/>
          <w:highlight w:val="none"/>
        </w:rPr>
      </w:pPr>
      <w:r>
        <w:rPr>
          <w:rFonts w:hint="eastAsia" w:ascii="宋体" w:hAnsi="宋体" w:cs="宋体"/>
          <w:bCs/>
          <w:color w:val="auto"/>
          <w:sz w:val="24"/>
          <w:szCs w:val="24"/>
          <w:highlight w:val="none"/>
        </w:rPr>
        <w:t>c.团队管理方案（4分）</w:t>
      </w:r>
    </w:p>
    <w:p>
      <w:pPr>
        <w:pStyle w:val="69"/>
        <w:spacing w:line="360" w:lineRule="auto"/>
        <w:ind w:firstLine="480"/>
        <w:rPr>
          <w:rFonts w:ascii="宋体" w:hAnsi="宋体" w:cs="宋体"/>
          <w:bCs/>
          <w:color w:val="auto"/>
          <w:sz w:val="24"/>
          <w:szCs w:val="24"/>
          <w:highlight w:val="none"/>
        </w:rPr>
      </w:pPr>
      <w:r>
        <w:rPr>
          <w:rFonts w:hint="eastAsia" w:ascii="宋体" w:hAnsi="宋体" w:cs="宋体"/>
          <w:bCs/>
          <w:color w:val="auto"/>
          <w:sz w:val="24"/>
          <w:szCs w:val="24"/>
          <w:highlight w:val="none"/>
        </w:rPr>
        <w:t>d.项目运营分析方案（1分）</w:t>
      </w:r>
    </w:p>
    <w:p>
      <w:pPr>
        <w:pStyle w:val="69"/>
        <w:spacing w:line="360" w:lineRule="auto"/>
        <w:ind w:firstLine="480"/>
        <w:rPr>
          <w:rFonts w:ascii="宋体" w:hAnsi="宋体" w:cs="宋体"/>
          <w:bCs/>
          <w:color w:val="auto"/>
          <w:sz w:val="24"/>
          <w:szCs w:val="24"/>
          <w:highlight w:val="none"/>
        </w:rPr>
      </w:pPr>
      <w:r>
        <w:rPr>
          <w:rFonts w:hint="eastAsia" w:ascii="宋体" w:hAnsi="宋体" w:cs="宋体"/>
          <w:bCs/>
          <w:color w:val="auto"/>
          <w:sz w:val="24"/>
          <w:szCs w:val="24"/>
          <w:highlight w:val="none"/>
        </w:rPr>
        <w:t>e.服务期前工作交接、服务期后过渡及合同终止后衔接方案（3分）</w:t>
      </w:r>
    </w:p>
    <w:p>
      <w:pPr>
        <w:pStyle w:val="69"/>
        <w:spacing w:line="360" w:lineRule="auto"/>
        <w:ind w:firstLine="480"/>
        <w:rPr>
          <w:rFonts w:ascii="宋体" w:hAnsi="宋体" w:cs="宋体"/>
          <w:bCs/>
          <w:color w:val="auto"/>
          <w:sz w:val="24"/>
          <w:szCs w:val="24"/>
          <w:highlight w:val="none"/>
        </w:rPr>
      </w:pPr>
      <w:r>
        <w:rPr>
          <w:rFonts w:hint="eastAsia" w:ascii="宋体" w:hAnsi="宋体" w:cs="宋体"/>
          <w:bCs/>
          <w:color w:val="auto"/>
          <w:sz w:val="24"/>
          <w:szCs w:val="24"/>
          <w:highlight w:val="none"/>
        </w:rPr>
        <w:t>f.配合采购人按纪检监察、审计等部门对本项目提出的整改要求执行方案（2分）</w:t>
      </w:r>
    </w:p>
    <w:p>
      <w:pPr>
        <w:pStyle w:val="69"/>
        <w:spacing w:line="360" w:lineRule="auto"/>
        <w:ind w:firstLine="480"/>
        <w:rPr>
          <w:rFonts w:ascii="宋体" w:hAnsi="宋体" w:cs="宋体"/>
          <w:bCs/>
          <w:color w:val="auto"/>
          <w:sz w:val="24"/>
          <w:szCs w:val="24"/>
          <w:highlight w:val="none"/>
        </w:rPr>
      </w:pPr>
      <w:r>
        <w:rPr>
          <w:rFonts w:hint="eastAsia" w:ascii="宋体" w:hAnsi="宋体" w:cs="宋体"/>
          <w:bCs/>
          <w:color w:val="auto"/>
          <w:sz w:val="24"/>
          <w:szCs w:val="24"/>
          <w:highlight w:val="none"/>
        </w:rPr>
        <w:t>g.各类应急方案（4分）</w:t>
      </w:r>
    </w:p>
    <w:p>
      <w:pPr>
        <w:pStyle w:val="69"/>
        <w:spacing w:line="360" w:lineRule="auto"/>
        <w:ind w:firstLine="480"/>
        <w:rPr>
          <w:rFonts w:ascii="宋体" w:hAnsi="宋体" w:cs="宋体"/>
          <w:bCs/>
          <w:color w:val="auto"/>
          <w:sz w:val="24"/>
          <w:szCs w:val="24"/>
          <w:highlight w:val="none"/>
        </w:rPr>
      </w:pPr>
      <w:r>
        <w:rPr>
          <w:rFonts w:hint="eastAsia" w:ascii="宋体" w:hAnsi="宋体" w:cs="宋体"/>
          <w:bCs/>
          <w:color w:val="auto"/>
          <w:sz w:val="24"/>
          <w:szCs w:val="24"/>
          <w:highlight w:val="none"/>
        </w:rPr>
        <w:t>h.医保政策宣传方案（1分）</w:t>
      </w:r>
    </w:p>
    <w:p>
      <w:pPr>
        <w:pStyle w:val="69"/>
        <w:spacing w:line="360" w:lineRule="auto"/>
        <w:ind w:firstLine="480"/>
        <w:rPr>
          <w:rFonts w:ascii="宋体" w:hAnsi="宋体" w:cs="宋体"/>
          <w:bCs/>
          <w:color w:val="auto"/>
          <w:sz w:val="24"/>
          <w:szCs w:val="24"/>
          <w:highlight w:val="none"/>
        </w:rPr>
      </w:pPr>
      <w:r>
        <w:rPr>
          <w:rFonts w:hint="eastAsia" w:ascii="宋体" w:hAnsi="宋体" w:cs="宋体"/>
          <w:bCs/>
          <w:color w:val="auto"/>
          <w:sz w:val="24"/>
          <w:szCs w:val="24"/>
          <w:highlight w:val="none"/>
        </w:rPr>
        <w:t>i.满意度调查方案（1分）</w:t>
      </w:r>
    </w:p>
    <w:p>
      <w:pPr>
        <w:spacing w:line="360" w:lineRule="auto"/>
        <w:ind w:firstLine="480" w:firstLineChars="200"/>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③第一个服务包：巡查稽核、派员驻点、外伤控制核查等方案（15分）</w:t>
      </w:r>
    </w:p>
    <w:p>
      <w:pPr>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a.高额医疗费用手工（零星）报销真实性、疑点病例核查和外伤调查方案（4分）</w:t>
      </w:r>
    </w:p>
    <w:p>
      <w:pPr>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b.医保服务站建设、驻院服务、管理和监督方案（4分）</w:t>
      </w:r>
    </w:p>
    <w:p>
      <w:pPr>
        <w:spacing w:line="360" w:lineRule="auto"/>
        <w:ind w:firstLine="480" w:firstLineChars="200"/>
        <w:rPr>
          <w:rFonts w:ascii="宋体" w:hAnsi="宋体"/>
          <w:bCs/>
          <w:color w:val="auto"/>
          <w:sz w:val="24"/>
          <w:szCs w:val="24"/>
          <w:highlight w:val="none"/>
        </w:rPr>
      </w:pPr>
      <w:r>
        <w:rPr>
          <w:rFonts w:hint="eastAsia" w:ascii="宋体" w:hAnsi="宋体" w:cs="宋体"/>
          <w:color w:val="auto"/>
          <w:kern w:val="0"/>
          <w:sz w:val="24"/>
          <w:szCs w:val="24"/>
          <w:highlight w:val="none"/>
        </w:rPr>
        <w:t>c.</w:t>
      </w:r>
      <w:r>
        <w:rPr>
          <w:rFonts w:hint="eastAsia" w:ascii="宋体" w:hAnsi="宋体"/>
          <w:bCs/>
          <w:color w:val="auto"/>
          <w:sz w:val="24"/>
          <w:szCs w:val="24"/>
          <w:highlight w:val="none"/>
        </w:rPr>
        <w:t>定点医疗机构（包含一、二、三级医疗机构和社区卫生服务机构）流动巡查方案（4分）</w:t>
      </w:r>
    </w:p>
    <w:p>
      <w:pPr>
        <w:spacing w:line="360" w:lineRule="auto"/>
        <w:ind w:firstLine="480" w:firstLineChars="200"/>
        <w:rPr>
          <w:rFonts w:ascii="宋体" w:hAnsi="宋体"/>
          <w:bCs/>
          <w:color w:val="auto"/>
          <w:sz w:val="24"/>
          <w:szCs w:val="24"/>
          <w:highlight w:val="none"/>
        </w:rPr>
      </w:pPr>
      <w:r>
        <w:rPr>
          <w:rFonts w:hint="eastAsia" w:ascii="宋体" w:hAnsi="宋体" w:cs="宋体"/>
          <w:color w:val="auto"/>
          <w:kern w:val="0"/>
          <w:sz w:val="24"/>
          <w:szCs w:val="24"/>
          <w:highlight w:val="none"/>
        </w:rPr>
        <w:t>d.</w:t>
      </w:r>
      <w:r>
        <w:rPr>
          <w:rFonts w:hint="eastAsia" w:ascii="宋体" w:hAnsi="宋体"/>
          <w:bCs/>
          <w:color w:val="auto"/>
          <w:sz w:val="24"/>
          <w:szCs w:val="24"/>
          <w:highlight w:val="none"/>
        </w:rPr>
        <w:t>病案审核方案（3分）</w:t>
      </w:r>
      <w:r>
        <w:rPr>
          <w:rFonts w:ascii="宋体" w:hAnsi="宋体"/>
          <w:bCs/>
          <w:color w:val="auto"/>
          <w:sz w:val="24"/>
          <w:szCs w:val="24"/>
          <w:highlight w:val="none"/>
        </w:rPr>
        <w:t xml:space="preserve"> </w:t>
      </w:r>
    </w:p>
    <w:p>
      <w:pPr>
        <w:spacing w:line="360" w:lineRule="auto"/>
        <w:ind w:firstLine="470" w:firstLineChars="196"/>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④第二个服务包：定点康复机构、定点护理院的出入院鉴定、定点医药机构协议管理和大病保险困难群众的管理工作方案</w:t>
      </w:r>
      <w:r>
        <w:rPr>
          <w:rFonts w:hint="eastAsia" w:ascii="宋体" w:hAnsi="宋体" w:cs="宋体"/>
          <w:b/>
          <w:bCs/>
          <w:color w:val="auto"/>
          <w:sz w:val="24"/>
          <w:szCs w:val="24"/>
          <w:highlight w:val="none"/>
        </w:rPr>
        <w:t>（11分）</w:t>
      </w:r>
    </w:p>
    <w:p>
      <w:pPr>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a.定点康复机构的出入院鉴定管理方案（2分）</w:t>
      </w:r>
    </w:p>
    <w:p>
      <w:pPr>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b.定点护理院的出入院鉴定管理方案（2分）</w:t>
      </w:r>
    </w:p>
    <w:p>
      <w:pPr>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c.定点医药机构日常协议管理方案（2分）</w:t>
      </w:r>
    </w:p>
    <w:p>
      <w:pPr>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d.除第一服务包巡查之外的所有定点医药机构开展流动巡查管理方案</w:t>
      </w:r>
      <w:r>
        <w:rPr>
          <w:rFonts w:hint="eastAsia" w:ascii="宋体" w:hAnsi="宋体"/>
          <w:bCs/>
          <w:color w:val="auto"/>
          <w:sz w:val="24"/>
          <w:szCs w:val="24"/>
          <w:highlight w:val="none"/>
        </w:rPr>
        <w:t>（4分）</w:t>
      </w:r>
    </w:p>
    <w:p>
      <w:pPr>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e.大病保险困难群众的管理方案（1分）</w:t>
      </w:r>
    </w:p>
    <w:p>
      <w:pPr>
        <w:spacing w:line="360" w:lineRule="auto"/>
        <w:ind w:firstLine="480" w:firstLineChars="200"/>
        <w:rPr>
          <w:rFonts w:hint="eastAsia" w:ascii="宋体" w:hAnsi="宋体" w:cs="宋体"/>
          <w:bCs/>
          <w:color w:val="auto"/>
          <w:sz w:val="24"/>
          <w:szCs w:val="24"/>
          <w:highlight w:val="none"/>
        </w:rPr>
      </w:pPr>
      <w:r>
        <w:rPr>
          <w:rFonts w:hint="eastAsia" w:ascii="宋体" w:hAnsi="宋体" w:cs="宋体"/>
          <w:b/>
          <w:bCs/>
          <w:color w:val="auto"/>
          <w:sz w:val="24"/>
          <w:szCs w:val="24"/>
          <w:highlight w:val="none"/>
        </w:rPr>
        <w:t>⑤第三个服务包：医保管理及窗口服务方案（5分）</w:t>
      </w:r>
    </w:p>
    <w:p>
      <w:pPr>
        <w:spacing w:line="360" w:lineRule="auto"/>
        <w:ind w:firstLine="480" w:firstLineChars="200"/>
        <w:rPr>
          <w:rFonts w:hint="eastAsia" w:ascii="宋体" w:hAnsi="宋体" w:cs="宋体"/>
          <w:bCs/>
          <w:color w:val="auto"/>
          <w:sz w:val="24"/>
          <w:szCs w:val="24"/>
          <w:highlight w:val="none"/>
        </w:rPr>
      </w:pPr>
      <w:r>
        <w:rPr>
          <w:rFonts w:hint="eastAsia" w:ascii="宋体" w:hAnsi="宋体" w:cs="宋体"/>
          <w:bCs/>
          <w:color w:val="auto"/>
          <w:sz w:val="24"/>
          <w:szCs w:val="24"/>
          <w:highlight w:val="none"/>
        </w:rPr>
        <w:t>a.医保管理、监督协助工作方案（3分）</w:t>
      </w:r>
    </w:p>
    <w:p>
      <w:pPr>
        <w:spacing w:line="360" w:lineRule="auto"/>
        <w:ind w:firstLine="480" w:firstLineChars="200"/>
        <w:rPr>
          <w:rFonts w:hint="eastAsia" w:ascii="宋体" w:hAnsi="宋体" w:cs="宋体"/>
          <w:bCs/>
          <w:color w:val="auto"/>
          <w:sz w:val="24"/>
          <w:szCs w:val="24"/>
          <w:highlight w:val="none"/>
        </w:rPr>
      </w:pPr>
      <w:r>
        <w:rPr>
          <w:rFonts w:hint="eastAsia" w:ascii="宋体" w:hAnsi="宋体" w:cs="宋体"/>
          <w:bCs/>
          <w:color w:val="auto"/>
          <w:sz w:val="24"/>
          <w:szCs w:val="24"/>
          <w:highlight w:val="none"/>
        </w:rPr>
        <w:t>b.窗口服务方案（2分）</w:t>
      </w:r>
    </w:p>
    <w:p>
      <w:pPr>
        <w:spacing w:line="360" w:lineRule="auto"/>
        <w:ind w:left="54" w:leftChars="26" w:firstLine="436" w:firstLineChars="182"/>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⑥管理协同方案（4分）</w:t>
      </w:r>
    </w:p>
    <w:p>
      <w:pPr>
        <w:spacing w:line="360" w:lineRule="auto"/>
        <w:ind w:firstLine="480" w:firstLineChars="200"/>
        <w:rPr>
          <w:rFonts w:hint="eastAsia" w:ascii="宋体" w:hAnsi="宋体" w:cs="宋体"/>
          <w:bCs/>
          <w:color w:val="auto"/>
          <w:sz w:val="24"/>
          <w:szCs w:val="24"/>
          <w:highlight w:val="none"/>
        </w:rPr>
      </w:pPr>
      <w:r>
        <w:rPr>
          <w:rFonts w:hint="eastAsia" w:ascii="宋体" w:hAnsi="宋体" w:cs="宋体"/>
          <w:bCs/>
          <w:color w:val="auto"/>
          <w:sz w:val="24"/>
          <w:szCs w:val="24"/>
          <w:highlight w:val="none"/>
        </w:rPr>
        <w:t>a.如何做好与采购人的协同（2分）</w:t>
      </w:r>
    </w:p>
    <w:p>
      <w:pPr>
        <w:spacing w:line="360" w:lineRule="auto"/>
        <w:ind w:firstLine="480" w:firstLineChars="200"/>
        <w:rPr>
          <w:rFonts w:hint="eastAsia" w:ascii="宋体" w:hAnsi="宋体" w:cs="宋体"/>
          <w:bCs/>
          <w:color w:val="auto"/>
          <w:sz w:val="24"/>
          <w:szCs w:val="24"/>
          <w:highlight w:val="none"/>
        </w:rPr>
      </w:pPr>
      <w:r>
        <w:rPr>
          <w:rFonts w:hint="eastAsia" w:ascii="宋体" w:hAnsi="宋体" w:cs="宋体"/>
          <w:bCs/>
          <w:color w:val="auto"/>
          <w:sz w:val="24"/>
          <w:szCs w:val="24"/>
          <w:highlight w:val="none"/>
        </w:rPr>
        <w:t>b.如何做好与履约管理机构的协同（1分）</w:t>
      </w:r>
    </w:p>
    <w:p>
      <w:pPr>
        <w:spacing w:line="360" w:lineRule="auto"/>
        <w:ind w:firstLine="480" w:firstLineChars="200"/>
        <w:rPr>
          <w:rFonts w:hint="eastAsia" w:ascii="宋体" w:hAnsi="宋体" w:cs="宋体"/>
          <w:bCs/>
          <w:color w:val="auto"/>
          <w:sz w:val="24"/>
          <w:szCs w:val="24"/>
          <w:highlight w:val="none"/>
        </w:rPr>
      </w:pPr>
      <w:r>
        <w:rPr>
          <w:rFonts w:hint="eastAsia" w:ascii="宋体" w:hAnsi="宋体" w:cs="宋体"/>
          <w:bCs/>
          <w:color w:val="auto"/>
          <w:sz w:val="24"/>
          <w:szCs w:val="24"/>
          <w:highlight w:val="none"/>
        </w:rPr>
        <w:t>c.如何做好标段内共保体成员之间的内部协同（1分）</w:t>
      </w:r>
    </w:p>
    <w:p>
      <w:pPr>
        <w:spacing w:line="360" w:lineRule="auto"/>
        <w:ind w:firstLine="480" w:firstLineChars="200"/>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3）创新性方案（2分）</w:t>
      </w:r>
    </w:p>
    <w:p>
      <w:pPr>
        <w:tabs>
          <w:tab w:val="left" w:pos="840"/>
          <w:tab w:val="left" w:pos="1050"/>
        </w:tabs>
        <w:spacing w:line="360" w:lineRule="auto"/>
        <w:ind w:firstLine="480" w:firstLineChars="200"/>
        <w:rPr>
          <w:rFonts w:hint="eastAsia" w:ascii="宋体" w:hAnsi="宋体" w:cs="宋体"/>
          <w:bCs/>
          <w:color w:val="auto"/>
          <w:sz w:val="24"/>
          <w:szCs w:val="24"/>
          <w:highlight w:val="none"/>
        </w:rPr>
      </w:pPr>
      <w:r>
        <w:rPr>
          <w:rFonts w:hint="eastAsia" w:ascii="宋体" w:hAnsi="宋体" w:cs="宋体"/>
          <w:bCs/>
          <w:color w:val="auto"/>
          <w:sz w:val="24"/>
          <w:szCs w:val="24"/>
          <w:highlight w:val="none"/>
        </w:rPr>
        <w:t>有利于本项目开展的其他增值方案，方案应具有创新性、前瞻性及可操作性（经评标委员会认定实质有效的方案，有一项得1分，最高得2分）</w:t>
      </w:r>
    </w:p>
    <w:p>
      <w:pPr>
        <w:tabs>
          <w:tab w:val="left" w:pos="840"/>
          <w:tab w:val="left" w:pos="1050"/>
        </w:tabs>
        <w:spacing w:line="360" w:lineRule="auto"/>
        <w:ind w:firstLine="480" w:firstLineChars="200"/>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（九）定标</w:t>
      </w:r>
    </w:p>
    <w:p>
      <w:pPr>
        <w:tabs>
          <w:tab w:val="left" w:pos="709"/>
          <w:tab w:val="left" w:pos="1050"/>
          <w:tab w:val="left" w:pos="1418"/>
        </w:tabs>
        <w:spacing w:line="360" w:lineRule="auto"/>
        <w:ind w:firstLine="480" w:firstLineChars="200"/>
        <w:rPr>
          <w:rFonts w:hint="eastAsia" w:ascii="宋体" w:hAnsi="宋体"/>
          <w:bCs/>
          <w:color w:val="auto"/>
          <w:sz w:val="24"/>
          <w:szCs w:val="24"/>
          <w:highlight w:val="none"/>
        </w:rPr>
      </w:pPr>
      <w:r>
        <w:rPr>
          <w:rFonts w:hint="eastAsia" w:ascii="宋体" w:hAnsi="宋体" w:cs="宋体"/>
          <w:bCs/>
          <w:color w:val="auto"/>
          <w:sz w:val="24"/>
          <w:szCs w:val="24"/>
          <w:highlight w:val="none"/>
        </w:rPr>
        <w:t>1.本项目中标供应商共9名,其中</w:t>
      </w:r>
      <w:r>
        <w:rPr>
          <w:rFonts w:hint="eastAsia" w:ascii="宋体" w:hAnsi="宋体"/>
          <w:bCs/>
          <w:color w:val="auto"/>
          <w:sz w:val="24"/>
          <w:szCs w:val="24"/>
          <w:highlight w:val="none"/>
        </w:rPr>
        <w:t>标段一取3名,标段二取3名,标段三取3名；</w:t>
      </w:r>
    </w:p>
    <w:p>
      <w:pPr>
        <w:spacing w:line="360" w:lineRule="auto"/>
        <w:ind w:firstLine="480" w:firstLineChars="200"/>
        <w:rPr>
          <w:rFonts w:hint="eastAsia" w:ascii="宋体" w:hAnsi="宋体"/>
          <w:bCs/>
          <w:color w:val="auto"/>
          <w:sz w:val="24"/>
          <w:szCs w:val="24"/>
          <w:highlight w:val="none"/>
        </w:rPr>
      </w:pPr>
      <w:r>
        <w:rPr>
          <w:rFonts w:hint="eastAsia" w:ascii="宋体" w:hAnsi="宋体"/>
          <w:bCs/>
          <w:color w:val="auto"/>
          <w:sz w:val="24"/>
          <w:szCs w:val="24"/>
          <w:highlight w:val="none"/>
        </w:rPr>
        <w:t>2.各标段商务标（明标）和技术标（暗标）评审全部结束后,由采购代理机构工作人员在监督人员监督下在评标室当场核对汇总。确定每个标段各投标人总分，按分数高低进行排序，由评标专家推荐前3名为各标段中标候选人。采购人按推荐的每标段中标候选人顺序确定首席保险公司及另2名共保体成员单位；经资格性审查、符合性审查后，符合条件的每标段投标人仅有3家的，视同中标；</w:t>
      </w:r>
    </w:p>
    <w:p>
      <w:pPr>
        <w:spacing w:line="360" w:lineRule="auto"/>
        <w:ind w:firstLine="480" w:firstLineChars="200"/>
        <w:rPr>
          <w:rFonts w:hint="eastAsia" w:ascii="宋体" w:hAnsi="宋体"/>
          <w:bCs/>
          <w:color w:val="auto"/>
          <w:sz w:val="24"/>
          <w:szCs w:val="24"/>
          <w:highlight w:val="none"/>
        </w:rPr>
      </w:pPr>
      <w:r>
        <w:rPr>
          <w:rFonts w:hint="eastAsia" w:ascii="宋体" w:hAnsi="宋体"/>
          <w:bCs/>
          <w:color w:val="auto"/>
          <w:sz w:val="24"/>
          <w:szCs w:val="24"/>
          <w:highlight w:val="none"/>
        </w:rPr>
        <w:t>3.采购代理机构在评标结束后2个工作日内将评标报告送采购人，采购人在收到评标报告5个工作日内，在评标报告确定的中标候选人名单中按顺序确定中标人；</w:t>
      </w:r>
    </w:p>
    <w:p>
      <w:pPr>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 xml:space="preserve">4.采购代理机构在财政部门指定的政府采购信息发布媒体上发布中标公告的同时，采购代理机构将向中标单位发中标通知书； </w:t>
      </w:r>
    </w:p>
    <w:p>
      <w:pPr>
        <w:spacing w:line="360" w:lineRule="auto"/>
        <w:ind w:right="211" w:firstLine="480" w:firstLineChars="200"/>
        <w:rPr>
          <w:rFonts w:ascii="宋体" w:hAnsi="宋体"/>
          <w:bCs/>
          <w:color w:val="auto"/>
          <w:sz w:val="24"/>
          <w:szCs w:val="24"/>
          <w:highlight w:val="none"/>
        </w:rPr>
      </w:pPr>
      <w:r>
        <w:rPr>
          <w:rFonts w:hint="eastAsia" w:ascii="宋体" w:hAnsi="宋体"/>
          <w:bCs/>
          <w:color w:val="auto"/>
          <w:sz w:val="24"/>
          <w:szCs w:val="24"/>
          <w:highlight w:val="none"/>
        </w:rPr>
        <w:t>5.投标</w:t>
      </w:r>
      <w:r>
        <w:rPr>
          <w:rFonts w:hint="eastAsia" w:ascii="宋体" w:hAnsi="宋体"/>
          <w:bCs/>
          <w:color w:val="auto"/>
          <w:sz w:val="24"/>
          <w:highlight w:val="none"/>
        </w:rPr>
        <w:t>人</w:t>
      </w:r>
      <w:r>
        <w:rPr>
          <w:rFonts w:hint="eastAsia" w:ascii="宋体" w:hAnsi="宋体"/>
          <w:bCs/>
          <w:color w:val="auto"/>
          <w:sz w:val="24"/>
          <w:szCs w:val="24"/>
          <w:highlight w:val="none"/>
        </w:rPr>
        <w:t>如有质疑，按《中华人民共和国政府采购法》《政府采购货物和服务招标投标管理办法》（财政部第87号令）等有关法规处理；</w:t>
      </w:r>
    </w:p>
    <w:p>
      <w:pPr>
        <w:spacing w:line="360" w:lineRule="auto"/>
        <w:ind w:right="211" w:firstLine="480" w:firstLineChars="200"/>
        <w:rPr>
          <w:rFonts w:hint="eastAsia" w:ascii="宋体" w:hAnsi="宋体"/>
          <w:bCs/>
          <w:color w:val="auto"/>
          <w:sz w:val="24"/>
          <w:szCs w:val="24"/>
          <w:highlight w:val="none"/>
        </w:rPr>
      </w:pPr>
      <w:r>
        <w:rPr>
          <w:rFonts w:hint="eastAsia" w:ascii="宋体" w:hAnsi="宋体"/>
          <w:bCs/>
          <w:color w:val="auto"/>
          <w:sz w:val="24"/>
          <w:szCs w:val="24"/>
          <w:highlight w:val="none"/>
        </w:rPr>
        <w:t>6.投标、开标及定标的整个过程均由监督人员进行现场监督，并同时接受无锡市政府采购监督管理部门的监督。</w:t>
      </w:r>
    </w:p>
    <w:p>
      <w:pPr>
        <w:spacing w:line="360" w:lineRule="auto"/>
        <w:ind w:firstLine="360" w:firstLineChars="150"/>
        <w:rPr>
          <w:rFonts w:hint="eastAsia" w:ascii="黑体" w:hAnsi="宋体" w:eastAsia="黑体"/>
          <w:bCs/>
          <w:color w:val="auto"/>
          <w:sz w:val="24"/>
          <w:szCs w:val="24"/>
          <w:highlight w:val="none"/>
        </w:rPr>
      </w:pPr>
      <w:r>
        <w:rPr>
          <w:rFonts w:hint="eastAsia" w:ascii="黑体" w:hAnsi="宋体" w:eastAsia="黑体"/>
          <w:bCs/>
          <w:color w:val="auto"/>
          <w:sz w:val="24"/>
          <w:szCs w:val="24"/>
          <w:highlight w:val="none"/>
        </w:rPr>
        <w:t>（十）签订、履行合同</w:t>
      </w:r>
    </w:p>
    <w:p>
      <w:pPr>
        <w:tabs>
          <w:tab w:val="left" w:pos="780"/>
          <w:tab w:val="left" w:pos="1050"/>
          <w:tab w:val="left" w:pos="1140"/>
        </w:tabs>
        <w:spacing w:line="360" w:lineRule="auto"/>
        <w:ind w:firstLine="480" w:firstLineChars="200"/>
        <w:outlineLvl w:val="0"/>
        <w:rPr>
          <w:rFonts w:hint="eastAsia" w:ascii="宋体" w:hAnsi="宋体"/>
          <w:bCs/>
          <w:color w:val="auto"/>
          <w:sz w:val="24"/>
          <w:szCs w:val="24"/>
          <w:highlight w:val="none"/>
        </w:rPr>
      </w:pPr>
      <w:r>
        <w:rPr>
          <w:rFonts w:hint="eastAsia" w:ascii="宋体" w:hAnsi="宋体"/>
          <w:bCs/>
          <w:color w:val="auto"/>
          <w:sz w:val="24"/>
          <w:szCs w:val="24"/>
          <w:highlight w:val="none"/>
        </w:rPr>
        <w:t>1.采购代理机构宣布中标结果，</w:t>
      </w:r>
      <w:r>
        <w:rPr>
          <w:rFonts w:ascii="宋体" w:hAnsi="宋体"/>
          <w:bCs/>
          <w:color w:val="auto"/>
          <w:sz w:val="24"/>
          <w:szCs w:val="24"/>
          <w:highlight w:val="none"/>
        </w:rPr>
        <w:t>按照</w:t>
      </w:r>
      <w:r>
        <w:rPr>
          <w:rFonts w:hint="eastAsia" w:ascii="宋体" w:hAnsi="宋体"/>
          <w:bCs/>
          <w:color w:val="auto"/>
          <w:sz w:val="24"/>
          <w:szCs w:val="24"/>
          <w:highlight w:val="none"/>
        </w:rPr>
        <w:t>本</w:t>
      </w:r>
      <w:r>
        <w:rPr>
          <w:rFonts w:ascii="宋体" w:hAnsi="宋体"/>
          <w:bCs/>
          <w:color w:val="auto"/>
          <w:sz w:val="24"/>
          <w:szCs w:val="24"/>
          <w:highlight w:val="none"/>
        </w:rPr>
        <w:t>招标文件</w:t>
      </w:r>
      <w:r>
        <w:rPr>
          <w:rFonts w:hint="eastAsia" w:ascii="宋体" w:hAnsi="宋体"/>
          <w:bCs/>
          <w:color w:val="auto"/>
          <w:sz w:val="24"/>
          <w:szCs w:val="24"/>
          <w:highlight w:val="none"/>
        </w:rPr>
        <w:t>和</w:t>
      </w:r>
      <w:r>
        <w:rPr>
          <w:rFonts w:ascii="宋体" w:hAnsi="宋体"/>
          <w:bCs/>
          <w:color w:val="auto"/>
          <w:sz w:val="24"/>
          <w:szCs w:val="24"/>
          <w:highlight w:val="none"/>
        </w:rPr>
        <w:t>中标</w:t>
      </w:r>
      <w:r>
        <w:rPr>
          <w:rFonts w:hint="eastAsia" w:ascii="宋体" w:hAnsi="宋体"/>
          <w:bCs/>
          <w:color w:val="auto"/>
          <w:sz w:val="24"/>
          <w:szCs w:val="24"/>
          <w:highlight w:val="none"/>
        </w:rPr>
        <w:t>单位</w:t>
      </w:r>
      <w:r>
        <w:rPr>
          <w:rFonts w:ascii="宋体" w:hAnsi="宋体"/>
          <w:bCs/>
          <w:color w:val="auto"/>
          <w:sz w:val="24"/>
          <w:szCs w:val="24"/>
          <w:highlight w:val="none"/>
        </w:rPr>
        <w:t>投标文件的约定，</w:t>
      </w:r>
      <w:r>
        <w:rPr>
          <w:rFonts w:hint="eastAsia" w:ascii="宋体" w:hAnsi="宋体"/>
          <w:bCs/>
          <w:color w:val="auto"/>
          <w:sz w:val="24"/>
          <w:szCs w:val="24"/>
          <w:highlight w:val="none"/>
        </w:rPr>
        <w:t>采购人</w:t>
      </w:r>
      <w:r>
        <w:rPr>
          <w:rFonts w:ascii="宋体" w:hAnsi="宋体"/>
          <w:bCs/>
          <w:color w:val="auto"/>
          <w:sz w:val="24"/>
          <w:szCs w:val="24"/>
          <w:highlight w:val="none"/>
        </w:rPr>
        <w:t>应当自中标通知书发出之日起</w:t>
      </w:r>
      <w:r>
        <w:rPr>
          <w:rFonts w:hint="eastAsia" w:ascii="宋体" w:hAnsi="宋体"/>
          <w:bCs/>
          <w:color w:val="auto"/>
          <w:sz w:val="24"/>
          <w:szCs w:val="24"/>
          <w:highlight w:val="none"/>
        </w:rPr>
        <w:t>三十</w:t>
      </w:r>
      <w:r>
        <w:rPr>
          <w:rFonts w:ascii="宋体" w:hAnsi="宋体"/>
          <w:bCs/>
          <w:color w:val="auto"/>
          <w:sz w:val="24"/>
          <w:szCs w:val="24"/>
          <w:highlight w:val="none"/>
        </w:rPr>
        <w:t>日内，</w:t>
      </w:r>
      <w:r>
        <w:rPr>
          <w:rFonts w:hint="eastAsia" w:ascii="宋体" w:hAnsi="宋体"/>
          <w:bCs/>
          <w:color w:val="auto"/>
          <w:sz w:val="24"/>
          <w:szCs w:val="24"/>
          <w:highlight w:val="none"/>
        </w:rPr>
        <w:t>按照招标文件和投标</w:t>
      </w:r>
      <w:r>
        <w:rPr>
          <w:rFonts w:hint="eastAsia" w:ascii="宋体" w:hAnsi="宋体"/>
          <w:bCs/>
          <w:color w:val="auto"/>
          <w:sz w:val="24"/>
          <w:highlight w:val="none"/>
        </w:rPr>
        <w:t>人</w:t>
      </w:r>
      <w:r>
        <w:rPr>
          <w:rFonts w:hint="eastAsia" w:ascii="宋体" w:hAnsi="宋体"/>
          <w:bCs/>
          <w:color w:val="auto"/>
          <w:sz w:val="24"/>
          <w:szCs w:val="24"/>
          <w:highlight w:val="none"/>
        </w:rPr>
        <w:t>投标文件的约定，与中标单位</w:t>
      </w:r>
      <w:r>
        <w:rPr>
          <w:rFonts w:ascii="宋体" w:hAnsi="宋体"/>
          <w:bCs/>
          <w:color w:val="auto"/>
          <w:sz w:val="24"/>
          <w:szCs w:val="24"/>
          <w:highlight w:val="none"/>
        </w:rPr>
        <w:t>签订书面合同。所签订的合同不得对招标文件</w:t>
      </w:r>
      <w:r>
        <w:rPr>
          <w:rFonts w:hint="eastAsia" w:ascii="宋体" w:hAnsi="宋体"/>
          <w:bCs/>
          <w:color w:val="auto"/>
          <w:sz w:val="24"/>
          <w:szCs w:val="24"/>
          <w:highlight w:val="none"/>
        </w:rPr>
        <w:t>确定的事项</w:t>
      </w:r>
      <w:r>
        <w:rPr>
          <w:rFonts w:ascii="宋体" w:hAnsi="宋体"/>
          <w:bCs/>
          <w:color w:val="auto"/>
          <w:sz w:val="24"/>
          <w:szCs w:val="24"/>
          <w:highlight w:val="none"/>
        </w:rPr>
        <w:t>和中标</w:t>
      </w:r>
      <w:r>
        <w:rPr>
          <w:rFonts w:hint="eastAsia" w:ascii="宋体" w:hAnsi="宋体"/>
          <w:bCs/>
          <w:color w:val="auto"/>
          <w:sz w:val="24"/>
          <w:szCs w:val="24"/>
          <w:highlight w:val="none"/>
        </w:rPr>
        <w:t>单位</w:t>
      </w:r>
      <w:r>
        <w:rPr>
          <w:rFonts w:ascii="宋体" w:hAnsi="宋体"/>
          <w:bCs/>
          <w:color w:val="auto"/>
          <w:sz w:val="24"/>
          <w:szCs w:val="24"/>
          <w:highlight w:val="none"/>
        </w:rPr>
        <w:t>投标文件作实质性修改</w:t>
      </w:r>
      <w:r>
        <w:rPr>
          <w:rFonts w:hint="eastAsia" w:ascii="宋体" w:hAnsi="宋体"/>
          <w:bCs/>
          <w:color w:val="auto"/>
          <w:sz w:val="24"/>
          <w:szCs w:val="24"/>
          <w:highlight w:val="none"/>
        </w:rPr>
        <w:t>；</w:t>
      </w:r>
    </w:p>
    <w:p>
      <w:pPr>
        <w:tabs>
          <w:tab w:val="left" w:pos="780"/>
          <w:tab w:val="left" w:pos="1050"/>
          <w:tab w:val="left" w:pos="1140"/>
        </w:tabs>
        <w:spacing w:line="360" w:lineRule="auto"/>
        <w:ind w:firstLine="480" w:firstLineChars="200"/>
        <w:outlineLvl w:val="0"/>
        <w:rPr>
          <w:rFonts w:ascii="宋体" w:hAnsi="宋体"/>
          <w:bCs/>
          <w:color w:val="auto"/>
          <w:sz w:val="24"/>
          <w:szCs w:val="24"/>
          <w:highlight w:val="none"/>
        </w:rPr>
      </w:pPr>
      <w:r>
        <w:rPr>
          <w:rFonts w:hint="eastAsia" w:ascii="宋体" w:hAnsi="宋体"/>
          <w:bCs/>
          <w:color w:val="auto"/>
          <w:sz w:val="24"/>
          <w:szCs w:val="24"/>
          <w:highlight w:val="none"/>
        </w:rPr>
        <w:t>2.履约保证金：无。</w:t>
      </w:r>
    </w:p>
    <w:p>
      <w:pPr>
        <w:tabs>
          <w:tab w:val="left" w:pos="780"/>
          <w:tab w:val="left" w:pos="1050"/>
          <w:tab w:val="left" w:pos="1140"/>
        </w:tabs>
        <w:spacing w:line="360" w:lineRule="auto"/>
        <w:ind w:firstLine="283" w:firstLineChars="118"/>
        <w:outlineLvl w:val="0"/>
        <w:rPr>
          <w:rFonts w:hint="eastAsia" w:ascii="宋体" w:hAnsi="宋体"/>
          <w:bCs/>
          <w:color w:val="auto"/>
          <w:sz w:val="24"/>
          <w:szCs w:val="24"/>
          <w:highlight w:val="none"/>
        </w:rPr>
      </w:pPr>
      <w:r>
        <w:rPr>
          <w:rFonts w:hint="eastAsia" w:ascii="黑体" w:hAnsi="宋体" w:eastAsia="黑体"/>
          <w:bCs/>
          <w:color w:val="auto"/>
          <w:sz w:val="24"/>
          <w:szCs w:val="24"/>
          <w:highlight w:val="none"/>
        </w:rPr>
        <w:t>（十一）废标的确认</w:t>
      </w:r>
    </w:p>
    <w:p>
      <w:pPr>
        <w:spacing w:line="360" w:lineRule="auto"/>
        <w:ind w:firstLine="480" w:firstLineChars="200"/>
        <w:rPr>
          <w:rFonts w:hint="eastAsia" w:ascii="宋体" w:hAnsi="宋体"/>
          <w:bCs/>
          <w:color w:val="auto"/>
          <w:sz w:val="24"/>
          <w:szCs w:val="24"/>
          <w:highlight w:val="none"/>
        </w:rPr>
      </w:pPr>
      <w:r>
        <w:rPr>
          <w:rFonts w:hint="eastAsia" w:ascii="宋体" w:hAnsi="宋体"/>
          <w:bCs/>
          <w:color w:val="auto"/>
          <w:sz w:val="24"/>
          <w:szCs w:val="24"/>
          <w:highlight w:val="none"/>
        </w:rPr>
        <w:t>在招标采购中，出现下列情况之一的，应予废标：</w:t>
      </w:r>
    </w:p>
    <w:p>
      <w:pPr>
        <w:tabs>
          <w:tab w:val="left" w:pos="1155"/>
          <w:tab w:val="left" w:pos="1260"/>
        </w:tabs>
        <w:spacing w:line="360" w:lineRule="auto"/>
        <w:ind w:firstLine="480" w:firstLineChars="200"/>
        <w:rPr>
          <w:rFonts w:hint="eastAsia" w:ascii="宋体" w:hAnsi="宋体"/>
          <w:bCs/>
          <w:color w:val="auto"/>
          <w:sz w:val="24"/>
          <w:szCs w:val="24"/>
          <w:highlight w:val="none"/>
        </w:rPr>
      </w:pPr>
      <w:r>
        <w:rPr>
          <w:rFonts w:hint="eastAsia" w:ascii="宋体" w:hAnsi="宋体"/>
          <w:bCs/>
          <w:color w:val="auto"/>
          <w:sz w:val="24"/>
          <w:szCs w:val="24"/>
          <w:highlight w:val="none"/>
        </w:rPr>
        <w:t>1.符合条件的投标</w:t>
      </w:r>
      <w:r>
        <w:rPr>
          <w:rFonts w:hint="eastAsia" w:ascii="宋体" w:hAnsi="宋体"/>
          <w:bCs/>
          <w:color w:val="auto"/>
          <w:sz w:val="24"/>
          <w:highlight w:val="none"/>
        </w:rPr>
        <w:t>人</w:t>
      </w:r>
      <w:r>
        <w:rPr>
          <w:rFonts w:hint="eastAsia" w:ascii="宋体" w:hAnsi="宋体"/>
          <w:bCs/>
          <w:color w:val="auto"/>
          <w:sz w:val="24"/>
          <w:szCs w:val="24"/>
          <w:highlight w:val="none"/>
        </w:rPr>
        <w:t>或者对招标文件作出实质性响应的投标</w:t>
      </w:r>
      <w:r>
        <w:rPr>
          <w:rFonts w:hint="eastAsia" w:ascii="宋体" w:hAnsi="宋体"/>
          <w:bCs/>
          <w:color w:val="auto"/>
          <w:sz w:val="24"/>
          <w:highlight w:val="none"/>
        </w:rPr>
        <w:t>人</w:t>
      </w:r>
      <w:r>
        <w:rPr>
          <w:rFonts w:hint="eastAsia" w:ascii="宋体" w:hAnsi="宋体"/>
          <w:bCs/>
          <w:color w:val="auto"/>
          <w:sz w:val="24"/>
          <w:szCs w:val="24"/>
          <w:highlight w:val="none"/>
        </w:rPr>
        <w:t>不足三家；</w:t>
      </w:r>
    </w:p>
    <w:p>
      <w:pPr>
        <w:tabs>
          <w:tab w:val="left" w:pos="1155"/>
          <w:tab w:val="left" w:pos="1260"/>
        </w:tabs>
        <w:spacing w:line="360" w:lineRule="auto"/>
        <w:ind w:firstLine="480" w:firstLineChars="200"/>
        <w:rPr>
          <w:rFonts w:hint="eastAsia" w:ascii="宋体" w:hAnsi="宋体"/>
          <w:bCs/>
          <w:color w:val="auto"/>
          <w:sz w:val="24"/>
          <w:szCs w:val="24"/>
          <w:highlight w:val="none"/>
        </w:rPr>
      </w:pPr>
      <w:r>
        <w:rPr>
          <w:rFonts w:hint="eastAsia" w:ascii="宋体" w:hAnsi="宋体"/>
          <w:bCs/>
          <w:color w:val="auto"/>
          <w:sz w:val="24"/>
          <w:szCs w:val="24"/>
          <w:highlight w:val="none"/>
        </w:rPr>
        <w:t>2.出现影响采购公正的违法、违规行为；</w:t>
      </w:r>
    </w:p>
    <w:p>
      <w:pPr>
        <w:spacing w:line="360" w:lineRule="auto"/>
        <w:ind w:firstLine="480" w:firstLineChars="200"/>
        <w:rPr>
          <w:rFonts w:hint="eastAsia" w:ascii="宋体" w:hAnsi="宋体"/>
          <w:bCs/>
          <w:color w:val="auto"/>
          <w:sz w:val="24"/>
          <w:szCs w:val="24"/>
          <w:highlight w:val="none"/>
        </w:rPr>
      </w:pPr>
      <w:r>
        <w:rPr>
          <w:rFonts w:hint="eastAsia" w:ascii="宋体" w:hAnsi="宋体"/>
          <w:bCs/>
          <w:color w:val="auto"/>
          <w:sz w:val="24"/>
          <w:szCs w:val="24"/>
          <w:highlight w:val="none"/>
        </w:rPr>
        <w:t xml:space="preserve">3.因重大变故，采购任务取消。 </w:t>
      </w:r>
    </w:p>
    <w:p>
      <w:pPr>
        <w:spacing w:line="360" w:lineRule="auto"/>
        <w:ind w:firstLine="360" w:firstLineChars="150"/>
        <w:rPr>
          <w:rFonts w:ascii="黑体" w:hAnsi="宋体" w:eastAsia="黑体"/>
          <w:bCs/>
          <w:color w:val="auto"/>
          <w:sz w:val="24"/>
          <w:szCs w:val="24"/>
          <w:highlight w:val="none"/>
        </w:rPr>
      </w:pPr>
      <w:r>
        <w:rPr>
          <w:rFonts w:hint="eastAsia" w:ascii="黑体" w:hAnsi="宋体" w:eastAsia="黑体"/>
          <w:bCs/>
          <w:color w:val="auto"/>
          <w:sz w:val="24"/>
          <w:szCs w:val="24"/>
          <w:highlight w:val="none"/>
        </w:rPr>
        <w:t>（十二）中标无效的确认</w:t>
      </w:r>
    </w:p>
    <w:p>
      <w:pPr>
        <w:spacing w:line="360" w:lineRule="auto"/>
        <w:ind w:firstLine="424" w:firstLineChars="177"/>
        <w:rPr>
          <w:rFonts w:ascii="黑体" w:hAnsi="宋体" w:eastAsia="黑体"/>
          <w:bCs/>
          <w:color w:val="auto"/>
          <w:sz w:val="24"/>
          <w:szCs w:val="24"/>
          <w:highlight w:val="none"/>
        </w:rPr>
      </w:pPr>
      <w:r>
        <w:rPr>
          <w:bCs/>
          <w:color w:val="auto"/>
          <w:sz w:val="24"/>
          <w:szCs w:val="24"/>
          <w:highlight w:val="none"/>
        </w:rPr>
        <w:t>1.</w:t>
      </w:r>
      <w:r>
        <w:rPr>
          <w:rFonts w:hint="eastAsia"/>
          <w:bCs/>
          <w:color w:val="auto"/>
          <w:sz w:val="24"/>
          <w:szCs w:val="24"/>
          <w:highlight w:val="none"/>
        </w:rPr>
        <w:t>提供虚假材料谋取中标的；</w:t>
      </w:r>
    </w:p>
    <w:p>
      <w:pPr>
        <w:spacing w:line="360" w:lineRule="auto"/>
        <w:ind w:firstLine="424" w:firstLineChars="177"/>
        <w:rPr>
          <w:rFonts w:ascii="黑体" w:hAnsi="宋体" w:eastAsia="黑体"/>
          <w:bCs/>
          <w:color w:val="auto"/>
          <w:sz w:val="24"/>
          <w:szCs w:val="24"/>
          <w:highlight w:val="none"/>
        </w:rPr>
      </w:pPr>
      <w:r>
        <w:rPr>
          <w:rFonts w:hint="eastAsia"/>
          <w:bCs/>
          <w:color w:val="auto"/>
          <w:sz w:val="24"/>
          <w:szCs w:val="24"/>
          <w:highlight w:val="none"/>
        </w:rPr>
        <w:t>2.采取不正当手段诋毁、排挤其他投标</w:t>
      </w:r>
      <w:r>
        <w:rPr>
          <w:rFonts w:hint="eastAsia" w:ascii="宋体" w:hAnsi="宋体"/>
          <w:bCs/>
          <w:color w:val="auto"/>
          <w:sz w:val="24"/>
          <w:highlight w:val="none"/>
        </w:rPr>
        <w:t>人</w:t>
      </w:r>
      <w:r>
        <w:rPr>
          <w:rFonts w:hint="eastAsia"/>
          <w:bCs/>
          <w:color w:val="auto"/>
          <w:sz w:val="24"/>
          <w:szCs w:val="24"/>
          <w:highlight w:val="none"/>
        </w:rPr>
        <w:t>的；</w:t>
      </w:r>
    </w:p>
    <w:p>
      <w:pPr>
        <w:spacing w:line="360" w:lineRule="auto"/>
        <w:ind w:firstLine="424" w:firstLineChars="177"/>
        <w:rPr>
          <w:rFonts w:ascii="黑体" w:hAnsi="宋体" w:eastAsia="黑体"/>
          <w:bCs/>
          <w:color w:val="auto"/>
          <w:sz w:val="24"/>
          <w:szCs w:val="24"/>
          <w:highlight w:val="none"/>
        </w:rPr>
      </w:pPr>
      <w:r>
        <w:rPr>
          <w:rFonts w:hint="eastAsia"/>
          <w:bCs/>
          <w:color w:val="auto"/>
          <w:sz w:val="24"/>
          <w:szCs w:val="24"/>
          <w:highlight w:val="none"/>
        </w:rPr>
        <w:t>3.与招标采购单位、其他投标</w:t>
      </w:r>
      <w:r>
        <w:rPr>
          <w:rFonts w:hint="eastAsia" w:ascii="宋体" w:hAnsi="宋体"/>
          <w:bCs/>
          <w:color w:val="auto"/>
          <w:sz w:val="24"/>
          <w:highlight w:val="none"/>
        </w:rPr>
        <w:t>人</w:t>
      </w:r>
      <w:r>
        <w:rPr>
          <w:rFonts w:hint="eastAsia"/>
          <w:bCs/>
          <w:color w:val="auto"/>
          <w:sz w:val="24"/>
          <w:szCs w:val="24"/>
          <w:highlight w:val="none"/>
        </w:rPr>
        <w:t>恶意串通的：</w:t>
      </w:r>
    </w:p>
    <w:p>
      <w:pPr>
        <w:spacing w:line="360" w:lineRule="auto"/>
        <w:ind w:firstLine="424" w:firstLineChars="177"/>
        <w:outlineLvl w:val="0"/>
        <w:rPr>
          <w:bCs/>
          <w:color w:val="auto"/>
          <w:sz w:val="24"/>
          <w:szCs w:val="24"/>
          <w:highlight w:val="none"/>
        </w:rPr>
      </w:pPr>
      <w:r>
        <w:rPr>
          <w:rFonts w:hint="eastAsia"/>
          <w:bCs/>
          <w:color w:val="auto"/>
          <w:sz w:val="24"/>
          <w:szCs w:val="24"/>
          <w:highlight w:val="none"/>
        </w:rPr>
        <w:t>4.向招标采购单位行贿或者提供其他不正当利益的；</w:t>
      </w:r>
    </w:p>
    <w:p>
      <w:pPr>
        <w:spacing w:line="360" w:lineRule="auto"/>
        <w:ind w:left="-2" w:leftChars="-1" w:firstLine="427" w:firstLineChars="178"/>
        <w:outlineLvl w:val="0"/>
        <w:rPr>
          <w:rFonts w:hint="eastAsia"/>
          <w:bCs/>
          <w:color w:val="auto"/>
          <w:sz w:val="24"/>
          <w:szCs w:val="24"/>
          <w:highlight w:val="none"/>
        </w:rPr>
      </w:pPr>
      <w:r>
        <w:rPr>
          <w:rFonts w:hint="eastAsia"/>
          <w:bCs/>
          <w:color w:val="auto"/>
          <w:sz w:val="24"/>
          <w:szCs w:val="24"/>
          <w:highlight w:val="none"/>
        </w:rPr>
        <w:t>5.在招标过程中与招标采购单位进行协商谈判、不按照招标文件和中标单位的投标文件订立合同，或者与采购单位另行订立背离合同实质性内容的协议的；</w:t>
      </w:r>
    </w:p>
    <w:p>
      <w:pPr>
        <w:spacing w:line="360" w:lineRule="auto"/>
        <w:ind w:firstLine="424" w:firstLineChars="177"/>
        <w:outlineLvl w:val="0"/>
        <w:rPr>
          <w:rFonts w:hint="eastAsia"/>
          <w:bCs/>
          <w:color w:val="auto"/>
          <w:sz w:val="24"/>
          <w:szCs w:val="24"/>
          <w:highlight w:val="none"/>
        </w:rPr>
      </w:pPr>
      <w:r>
        <w:rPr>
          <w:rFonts w:hint="eastAsia"/>
          <w:bCs/>
          <w:color w:val="auto"/>
          <w:sz w:val="24"/>
          <w:szCs w:val="24"/>
          <w:highlight w:val="none"/>
        </w:rPr>
        <w:t>6.拒绝有关部门监督检查或者提供虚假情况的。</w:t>
      </w:r>
    </w:p>
    <w:p>
      <w:pPr>
        <w:spacing w:line="360" w:lineRule="auto"/>
        <w:ind w:firstLine="360" w:firstLineChars="150"/>
        <w:rPr>
          <w:rFonts w:hint="eastAsia" w:ascii="黑体" w:hAnsi="宋体" w:eastAsia="黑体"/>
          <w:bCs/>
          <w:color w:val="auto"/>
          <w:sz w:val="24"/>
          <w:szCs w:val="24"/>
          <w:highlight w:val="none"/>
        </w:rPr>
      </w:pPr>
      <w:r>
        <w:rPr>
          <w:rFonts w:hint="eastAsia" w:ascii="黑体" w:hAnsi="宋体" w:eastAsia="黑体"/>
          <w:bCs/>
          <w:color w:val="auto"/>
          <w:sz w:val="24"/>
          <w:szCs w:val="24"/>
          <w:highlight w:val="none"/>
        </w:rPr>
        <w:t>（十三）招标代理服务费</w:t>
      </w:r>
    </w:p>
    <w:p>
      <w:pPr>
        <w:spacing w:line="360" w:lineRule="auto"/>
        <w:ind w:left="-2" w:leftChars="-1" w:firstLine="420" w:firstLineChars="175"/>
        <w:outlineLvl w:val="0"/>
        <w:rPr>
          <w:rFonts w:hint="eastAsia" w:ascii="宋体" w:hAnsi="宋体"/>
          <w:bCs/>
          <w:color w:val="auto"/>
          <w:sz w:val="24"/>
          <w:szCs w:val="24"/>
          <w:highlight w:val="none"/>
        </w:rPr>
      </w:pPr>
      <w:r>
        <w:rPr>
          <w:rFonts w:hint="eastAsia"/>
          <w:bCs/>
          <w:color w:val="auto"/>
          <w:sz w:val="24"/>
          <w:szCs w:val="24"/>
          <w:highlight w:val="none"/>
        </w:rPr>
        <w:t>1.</w:t>
      </w:r>
      <w:r>
        <w:rPr>
          <w:rFonts w:hint="eastAsia" w:ascii="宋体" w:hAnsi="宋体"/>
          <w:bCs/>
          <w:color w:val="auto"/>
          <w:sz w:val="24"/>
          <w:szCs w:val="24"/>
          <w:highlight w:val="none"/>
        </w:rPr>
        <w:t>本项目由中标保险公司在签署保险合同时支付招标代理服务费，招标代理服务费总额为9.5万元（人民币玖万伍仟元整）。各标段招标代理服务费为各标段预算额占总预算额的比例乘以招标代理服务费总额，各中标保险公司承担的招标代理服务费为各标段招标代理服务费乘以承保份额；</w:t>
      </w:r>
    </w:p>
    <w:p>
      <w:pPr>
        <w:spacing w:line="360" w:lineRule="auto"/>
        <w:ind w:left="-2" w:leftChars="-1" w:firstLine="420" w:firstLineChars="175"/>
        <w:outlineLvl w:val="0"/>
        <w:rPr>
          <w:rFonts w:hint="eastAsia" w:ascii="宋体" w:hAnsi="宋体"/>
          <w:bCs/>
          <w:color w:val="auto"/>
          <w:sz w:val="24"/>
          <w:szCs w:val="24"/>
          <w:highlight w:val="none"/>
        </w:rPr>
      </w:pPr>
      <w:r>
        <w:rPr>
          <w:rFonts w:hint="eastAsia"/>
          <w:bCs/>
          <w:color w:val="auto"/>
          <w:sz w:val="24"/>
          <w:szCs w:val="24"/>
          <w:highlight w:val="none"/>
        </w:rPr>
        <w:t>2.</w:t>
      </w:r>
      <w:r>
        <w:rPr>
          <w:rFonts w:hint="eastAsia" w:ascii="宋体" w:hAnsi="宋体"/>
          <w:bCs/>
          <w:color w:val="auto"/>
          <w:sz w:val="24"/>
          <w:szCs w:val="24"/>
          <w:highlight w:val="none"/>
        </w:rPr>
        <w:t>招标代理服务费汇至如下账号：</w:t>
      </w:r>
    </w:p>
    <w:p>
      <w:pPr>
        <w:spacing w:line="360" w:lineRule="auto"/>
        <w:ind w:firstLine="480" w:firstLineChars="200"/>
        <w:rPr>
          <w:rFonts w:hint="eastAsia" w:ascii="宋体" w:hAnsi="宋体"/>
          <w:bCs/>
          <w:color w:val="auto"/>
          <w:sz w:val="24"/>
          <w:szCs w:val="24"/>
          <w:highlight w:val="none"/>
        </w:rPr>
      </w:pPr>
      <w:r>
        <w:rPr>
          <w:rFonts w:hint="eastAsia" w:ascii="宋体" w:hAnsi="宋体"/>
          <w:bCs/>
          <w:color w:val="auto"/>
          <w:sz w:val="24"/>
          <w:szCs w:val="24"/>
          <w:highlight w:val="none"/>
        </w:rPr>
        <w:t>收款单位：恒泰保险经纪有限公司</w:t>
      </w:r>
    </w:p>
    <w:p>
      <w:pPr>
        <w:spacing w:line="360" w:lineRule="auto"/>
        <w:ind w:firstLine="424" w:firstLineChars="177"/>
        <w:outlineLvl w:val="0"/>
        <w:rPr>
          <w:rFonts w:hint="eastAsia" w:ascii="宋体" w:hAnsi="宋体"/>
          <w:bCs/>
          <w:color w:val="auto"/>
          <w:sz w:val="24"/>
          <w:szCs w:val="24"/>
          <w:highlight w:val="none"/>
        </w:rPr>
      </w:pPr>
      <w:r>
        <w:rPr>
          <w:rFonts w:hint="eastAsia" w:ascii="宋体" w:hAnsi="宋体"/>
          <w:bCs/>
          <w:color w:val="auto"/>
          <w:sz w:val="24"/>
          <w:szCs w:val="24"/>
          <w:highlight w:val="none"/>
        </w:rPr>
        <w:t>开户银行：</w:t>
      </w:r>
      <w:r>
        <w:rPr>
          <w:rFonts w:ascii="宋体" w:hAnsi="宋体"/>
          <w:bCs/>
          <w:color w:val="auto"/>
          <w:sz w:val="24"/>
          <w:szCs w:val="24"/>
          <w:highlight w:val="none"/>
        </w:rPr>
        <w:t>中国工商银行南京城北支行</w:t>
      </w:r>
    </w:p>
    <w:p>
      <w:pPr>
        <w:spacing w:line="360" w:lineRule="auto"/>
        <w:ind w:left="-2" w:leftChars="-1" w:firstLine="420" w:firstLineChars="175"/>
        <w:outlineLvl w:val="0"/>
        <w:rPr>
          <w:rFonts w:hint="eastAsia" w:ascii="宋体" w:hAnsi="宋体"/>
          <w:bCs/>
          <w:color w:val="auto"/>
          <w:sz w:val="24"/>
          <w:szCs w:val="24"/>
          <w:highlight w:val="none"/>
        </w:rPr>
      </w:pPr>
      <w:r>
        <w:rPr>
          <w:rFonts w:hint="eastAsia" w:ascii="宋体" w:hAnsi="宋体"/>
          <w:bCs/>
          <w:color w:val="auto"/>
          <w:sz w:val="24"/>
          <w:szCs w:val="24"/>
          <w:highlight w:val="none"/>
        </w:rPr>
        <w:t>账    号：</w:t>
      </w:r>
      <w:r>
        <w:rPr>
          <w:rFonts w:ascii="宋体" w:hAnsi="宋体"/>
          <w:bCs/>
          <w:color w:val="auto"/>
          <w:sz w:val="24"/>
          <w:szCs w:val="24"/>
          <w:highlight w:val="none"/>
        </w:rPr>
        <w:t>4301010919100529942</w:t>
      </w:r>
    </w:p>
    <w:p>
      <w:pPr>
        <w:spacing w:line="360" w:lineRule="auto"/>
        <w:ind w:left="-2" w:leftChars="-1" w:firstLine="420" w:firstLineChars="175"/>
        <w:outlineLvl w:val="0"/>
        <w:rPr>
          <w:bCs/>
          <w:color w:val="auto"/>
          <w:sz w:val="24"/>
          <w:szCs w:val="24"/>
          <w:highlight w:val="none"/>
        </w:rPr>
      </w:pPr>
      <w:r>
        <w:rPr>
          <w:rFonts w:hint="eastAsia"/>
          <w:bCs/>
          <w:color w:val="auto"/>
          <w:sz w:val="24"/>
          <w:szCs w:val="24"/>
          <w:highlight w:val="none"/>
        </w:rPr>
        <w:t>3.招标代理机构出具全额正规发票。</w:t>
      </w:r>
    </w:p>
    <w:p>
      <w:pPr>
        <w:spacing w:line="360" w:lineRule="auto"/>
        <w:ind w:firstLine="360" w:firstLineChars="150"/>
        <w:rPr>
          <w:rFonts w:hint="eastAsia" w:ascii="黑体" w:hAnsi="宋体" w:eastAsia="黑体"/>
          <w:bCs/>
          <w:color w:val="auto"/>
          <w:sz w:val="24"/>
          <w:szCs w:val="24"/>
          <w:highlight w:val="none"/>
        </w:rPr>
      </w:pPr>
      <w:r>
        <w:rPr>
          <w:rFonts w:hint="eastAsia" w:ascii="黑体" w:hAnsi="宋体" w:eastAsia="黑体"/>
          <w:bCs/>
          <w:color w:val="auto"/>
          <w:sz w:val="24"/>
          <w:szCs w:val="24"/>
          <w:highlight w:val="none"/>
        </w:rPr>
        <w:t>（十四）政府采购信用担保</w:t>
      </w:r>
    </w:p>
    <w:p>
      <w:pPr>
        <w:spacing w:line="360" w:lineRule="auto"/>
        <w:ind w:firstLine="424" w:firstLineChars="177"/>
        <w:rPr>
          <w:rFonts w:ascii="宋体" w:hAnsi="宋体" w:cs="宋体"/>
          <w:color w:val="auto"/>
          <w:sz w:val="24"/>
          <w:szCs w:val="24"/>
          <w:highlight w:val="none"/>
          <w:shd w:val="clear" w:color="auto" w:fill="FFFFFF"/>
        </w:rPr>
      </w:pPr>
      <w:r>
        <w:rPr>
          <w:rFonts w:hint="eastAsia" w:ascii="宋体" w:hAnsi="宋体"/>
          <w:bCs/>
          <w:color w:val="auto"/>
          <w:sz w:val="24"/>
          <w:szCs w:val="24"/>
          <w:highlight w:val="none"/>
        </w:rPr>
        <w:t>1.履约担保</w:t>
      </w:r>
      <w:r>
        <w:rPr>
          <w:rFonts w:hint="eastAsia" w:ascii="宋体" w:hAnsi="宋体" w:cs="宋体"/>
          <w:color w:val="auto"/>
          <w:sz w:val="24"/>
          <w:szCs w:val="24"/>
          <w:highlight w:val="none"/>
          <w:shd w:val="clear" w:color="auto" w:fill="FFFFFF"/>
        </w:rPr>
        <w:t>，是指由专业担保机构为中标供应商支付履约保证金的义务向采购人提供的保函担保。专业担保机构根据中标供应商的中标通知书为凭据，进行资信审查后出具保函, 中标供应商以保函形式缴纳履约保证金；供应商未按政府采购合同履行约定义务而应实际支付保证金的，由专业担保机构按照担保函约定履行担保责任。供应商可以自愿选择是否采取履约担保函的形式交纳履约保证金（附件1）；</w:t>
      </w:r>
    </w:p>
    <w:p>
      <w:pPr>
        <w:spacing w:line="360" w:lineRule="auto"/>
        <w:ind w:firstLine="480" w:firstLineChars="200"/>
        <w:rPr>
          <w:rFonts w:hint="eastAsia" w:ascii="宋体" w:hAnsi="宋体" w:cs="宋体"/>
          <w:color w:val="auto"/>
          <w:sz w:val="24"/>
          <w:szCs w:val="24"/>
          <w:highlight w:val="none"/>
          <w:shd w:val="clear" w:color="auto" w:fill="FFFFFF"/>
        </w:rPr>
      </w:pPr>
      <w:r>
        <w:rPr>
          <w:rFonts w:hint="eastAsia" w:ascii="宋体" w:hAnsi="宋体" w:cs="宋体"/>
          <w:color w:val="auto"/>
          <w:sz w:val="24"/>
          <w:szCs w:val="24"/>
          <w:highlight w:val="none"/>
          <w:shd w:val="clear" w:color="auto" w:fill="FFFFFF"/>
        </w:rPr>
        <w:t>2.中标供应商可以根据自身情况，自行决定是否选择采用履约担保形式，自主选择合作银行。除江苏省财政厅确定的江苏省再担保有限公司和无锡市财政局确定的科发投资担保有限公司为无锡市政府采购信用担保合作担保机构外，民生银行南京分行、江苏银行和中信银行南京分行、浙商银行无锡分行可以在无锡市范围内开展政府采购履约担保业务。</w:t>
      </w:r>
    </w:p>
    <w:p>
      <w:pPr>
        <w:spacing w:line="420" w:lineRule="exact"/>
        <w:ind w:firstLine="480" w:firstLineChars="200"/>
        <w:rPr>
          <w:rFonts w:hint="eastAsia" w:ascii="黑体" w:hAnsi="宋体" w:eastAsia="黑体"/>
          <w:bCs/>
          <w:color w:val="auto"/>
          <w:sz w:val="24"/>
          <w:szCs w:val="24"/>
          <w:highlight w:val="none"/>
        </w:rPr>
      </w:pPr>
      <w:r>
        <w:rPr>
          <w:rFonts w:hint="eastAsia" w:ascii="黑体" w:hAnsi="宋体" w:eastAsia="黑体"/>
          <w:bCs/>
          <w:color w:val="auto"/>
          <w:sz w:val="24"/>
          <w:szCs w:val="24"/>
          <w:highlight w:val="none"/>
        </w:rPr>
        <w:t>（十五）政府采购合同融资</w:t>
      </w:r>
    </w:p>
    <w:p>
      <w:pPr>
        <w:spacing w:line="420" w:lineRule="exact"/>
        <w:ind w:firstLine="480" w:firstLineChars="200"/>
        <w:rPr>
          <w:rFonts w:hint="eastAsia" w:ascii="宋体" w:hAnsi="宋体"/>
          <w:bCs/>
          <w:color w:val="auto"/>
          <w:sz w:val="24"/>
          <w:szCs w:val="24"/>
          <w:highlight w:val="none"/>
        </w:rPr>
      </w:pPr>
      <w:r>
        <w:rPr>
          <w:rFonts w:hint="eastAsia" w:ascii="宋体" w:hAnsi="宋体"/>
          <w:bCs/>
          <w:color w:val="auto"/>
          <w:sz w:val="24"/>
          <w:szCs w:val="24"/>
          <w:highlight w:val="none"/>
        </w:rPr>
        <w:t>合同融资，是指参与政府采购的供应商，凭借中标、成交通知书或政府采购合同向金融机构申请融资，金融机构以供应商信用审查和政府采购信誉为基础，按便捷贷款程序和优惠利率，为其发放无财产抵押贷款的一种融资模式。供应商与金融机构按照“银企自愿、风险共担”的原则开展融资活动，有融资需求的中标、成交供应商可根据自身情况，在无锡市政府采购交易管理一体化系统凭政府采购中标、成交通知书或政府采购合同在线提出融资申请，自主选择金融机构及融资产品，金融机构进行融资信息审查决定是否为其提供融资，做好预授信。双方达成融资意向后签订融资协议，确定融资成交信息并约定融资回款账户。</w:t>
      </w:r>
    </w:p>
    <w:p>
      <w:pPr>
        <w:spacing w:line="420" w:lineRule="exact"/>
        <w:ind w:firstLine="480" w:firstLineChars="200"/>
        <w:rPr>
          <w:rFonts w:hint="eastAsia" w:ascii="黑体" w:hAnsi="黑体" w:eastAsia="黑体"/>
          <w:bCs/>
          <w:color w:val="auto"/>
          <w:sz w:val="24"/>
          <w:szCs w:val="24"/>
          <w:highlight w:val="none"/>
        </w:rPr>
      </w:pPr>
      <w:r>
        <w:rPr>
          <w:rFonts w:hint="eastAsia" w:ascii="黑体" w:hAnsi="黑体" w:eastAsia="黑体"/>
          <w:bCs/>
          <w:color w:val="auto"/>
          <w:sz w:val="24"/>
          <w:szCs w:val="24"/>
          <w:highlight w:val="none"/>
        </w:rPr>
        <w:t>（十六）各方无条件遵守中华人民共和国法律</w:t>
      </w:r>
    </w:p>
    <w:p>
      <w:pPr>
        <w:widowControl/>
        <w:jc w:val="center"/>
        <w:rPr>
          <w:rFonts w:hint="eastAsia" w:ascii="黑体" w:eastAsia="黑体"/>
          <w:bCs/>
          <w:color w:val="auto"/>
          <w:sz w:val="28"/>
          <w:szCs w:val="28"/>
          <w:highlight w:val="none"/>
        </w:rPr>
      </w:pPr>
      <w:r>
        <w:rPr>
          <w:rFonts w:ascii="黑体" w:eastAsia="黑体"/>
          <w:bCs/>
          <w:color w:val="auto"/>
          <w:sz w:val="28"/>
          <w:szCs w:val="28"/>
          <w:highlight w:val="none"/>
        </w:rPr>
        <w:br w:type="page"/>
      </w:r>
      <w:r>
        <w:rPr>
          <w:rFonts w:hint="eastAsia" w:ascii="黑体" w:eastAsia="黑体"/>
          <w:bCs/>
          <w:color w:val="auto"/>
          <w:sz w:val="28"/>
          <w:szCs w:val="28"/>
          <w:highlight w:val="none"/>
        </w:rPr>
        <w:t>三、项目需求及有关说明</w:t>
      </w:r>
    </w:p>
    <w:p>
      <w:pPr>
        <w:widowControl/>
        <w:ind w:firstLine="480" w:firstLineChars="200"/>
        <w:jc w:val="left"/>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（一）项目背景</w:t>
      </w:r>
    </w:p>
    <w:p>
      <w:pPr>
        <w:spacing w:line="360" w:lineRule="auto"/>
        <w:ind w:firstLine="480" w:firstLineChars="200"/>
        <w:contextualSpacing/>
        <w:rPr>
          <w:rFonts w:hint="eastAsia" w:ascii="宋体" w:hAnsi="宋体" w:cs="宋体"/>
          <w:bCs/>
          <w:color w:val="auto"/>
          <w:sz w:val="24"/>
          <w:szCs w:val="24"/>
          <w:highlight w:val="none"/>
        </w:rPr>
      </w:pPr>
      <w:r>
        <w:rPr>
          <w:rFonts w:hint="eastAsia" w:ascii="宋体" w:hAnsi="宋体" w:cs="宋体"/>
          <w:bCs/>
          <w:color w:val="auto"/>
          <w:sz w:val="24"/>
          <w:szCs w:val="24"/>
          <w:highlight w:val="none"/>
        </w:rPr>
        <w:t>为进一步完善城乡居民医疗保障制度，有效提高重特大疾病保障水平，根据《关于建立和完善统一的城乡居民大病保险制度的指导意见》（苏医保发〔2019〕103号）、《市政府办公室关于完善无锡市大病保险制度的实施意见》（锡政办发〔2019〕69号）及《银保监会关于印发保险公司城乡居民大病保险业务管理办法的通知》（银保监发〔2021〕12号）等文件精神，经研究决定，无锡市医疗保障基金管理中心对无锡市城乡居民大病保险项目（以下简称“本项目”）进行公开招标。</w:t>
      </w:r>
    </w:p>
    <w:p>
      <w:pPr>
        <w:spacing w:line="360" w:lineRule="auto"/>
        <w:ind w:firstLine="480" w:firstLineChars="200"/>
        <w:contextualSpacing/>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（二）项目简介</w:t>
      </w:r>
    </w:p>
    <w:p>
      <w:pPr>
        <w:spacing w:line="360" w:lineRule="auto"/>
        <w:ind w:firstLine="480" w:firstLineChars="200"/>
        <w:contextualSpacing/>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1.项目性质</w:t>
      </w:r>
    </w:p>
    <w:p>
      <w:pPr>
        <w:spacing w:line="360" w:lineRule="auto"/>
        <w:ind w:firstLine="480" w:firstLineChars="200"/>
        <w:jc w:val="left"/>
        <w:rPr>
          <w:rFonts w:hint="eastAsia" w:ascii="宋体" w:hAnsi="宋体" w:cs="宋体"/>
          <w:bCs/>
          <w:color w:val="auto"/>
          <w:sz w:val="24"/>
          <w:szCs w:val="24"/>
          <w:highlight w:val="none"/>
        </w:rPr>
      </w:pPr>
      <w:r>
        <w:rPr>
          <w:rFonts w:hint="eastAsia" w:ascii="宋体" w:hAnsi="宋体" w:cs="宋体"/>
          <w:bCs/>
          <w:color w:val="auto"/>
          <w:sz w:val="24"/>
          <w:szCs w:val="24"/>
          <w:highlight w:val="none"/>
        </w:rPr>
        <w:t>大病保险是基本医疗保障制度的拓展和延伸，属于社会保险，公开招标后实行全市统一管理、专户存储、专账核算、专款专用。</w:t>
      </w:r>
    </w:p>
    <w:p>
      <w:pPr>
        <w:spacing w:line="360" w:lineRule="auto"/>
        <w:ind w:firstLine="480" w:firstLineChars="200"/>
        <w:contextualSpacing/>
        <w:rPr>
          <w:rFonts w:hint="eastAsia" w:ascii="宋体" w:hAnsi="宋体" w:cs="宋体"/>
          <w:bCs/>
          <w:color w:val="auto"/>
          <w:sz w:val="24"/>
          <w:szCs w:val="24"/>
          <w:highlight w:val="none"/>
        </w:rPr>
      </w:pPr>
      <w:r>
        <w:rPr>
          <w:rFonts w:hint="eastAsia" w:ascii="宋体" w:hAnsi="宋体" w:cs="宋体"/>
          <w:bCs/>
          <w:color w:val="auto"/>
          <w:sz w:val="24"/>
          <w:szCs w:val="24"/>
          <w:highlight w:val="none"/>
        </w:rPr>
        <w:t>采购人结合各标段实际，与中标保险公司在签订保险合同时，可以在招标文件的基础上结合实际细化有关合同条款。</w:t>
      </w:r>
    </w:p>
    <w:p>
      <w:pPr>
        <w:spacing w:line="360" w:lineRule="auto"/>
        <w:ind w:firstLine="480" w:firstLineChars="200"/>
        <w:outlineLvl w:val="0"/>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2.实施范围</w:t>
      </w:r>
    </w:p>
    <w:p>
      <w:pPr>
        <w:spacing w:line="360" w:lineRule="auto"/>
        <w:ind w:firstLine="480" w:firstLineChars="200"/>
        <w:outlineLvl w:val="0"/>
        <w:rPr>
          <w:rFonts w:hint="eastAsia" w:ascii="宋体" w:hAnsi="宋体" w:cs="宋体"/>
          <w:bCs/>
          <w:color w:val="auto"/>
          <w:sz w:val="24"/>
          <w:szCs w:val="24"/>
          <w:highlight w:val="none"/>
        </w:rPr>
      </w:pPr>
      <w:r>
        <w:rPr>
          <w:rFonts w:hint="eastAsia" w:ascii="宋体" w:hAnsi="宋体" w:cs="宋体"/>
          <w:bCs/>
          <w:color w:val="auto"/>
          <w:sz w:val="24"/>
          <w:szCs w:val="24"/>
          <w:highlight w:val="none"/>
        </w:rPr>
        <w:t>本项目实施范围为无锡市行政区域（含江阴市、宜兴市）。</w:t>
      </w:r>
    </w:p>
    <w:p>
      <w:pPr>
        <w:spacing w:line="360" w:lineRule="auto"/>
        <w:ind w:firstLine="480" w:firstLineChars="200"/>
        <w:outlineLvl w:val="0"/>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3.服务标段</w:t>
      </w:r>
    </w:p>
    <w:p>
      <w:pPr>
        <w:spacing w:line="360" w:lineRule="auto"/>
        <w:ind w:firstLine="480" w:firstLineChars="200"/>
        <w:outlineLvl w:val="0"/>
        <w:rPr>
          <w:rFonts w:hint="eastAsia" w:ascii="宋体" w:hAnsi="宋体" w:cs="宋体"/>
          <w:bCs/>
          <w:color w:val="auto"/>
          <w:sz w:val="24"/>
          <w:szCs w:val="24"/>
          <w:highlight w:val="none"/>
        </w:rPr>
      </w:pPr>
      <w:r>
        <w:rPr>
          <w:rFonts w:hint="eastAsia" w:ascii="宋体" w:hAnsi="宋体" w:cs="宋体"/>
          <w:bCs/>
          <w:color w:val="auto"/>
          <w:sz w:val="24"/>
          <w:szCs w:val="24"/>
          <w:highlight w:val="none"/>
        </w:rPr>
        <w:t>本项目共分为三个标段，服务标段分别为标段一：无锡市区；标段二：江阴市；标段三：宜兴市。</w:t>
      </w:r>
    </w:p>
    <w:p>
      <w:pPr>
        <w:spacing w:line="360" w:lineRule="auto"/>
        <w:ind w:firstLine="420" w:firstLineChars="200"/>
        <w:outlineLvl w:val="0"/>
        <w:rPr>
          <w:rFonts w:hint="eastAsia" w:ascii="宋体" w:hAnsi="宋体" w:cs="宋体"/>
          <w:bCs/>
          <w:color w:val="auto"/>
          <w:sz w:val="24"/>
          <w:szCs w:val="24"/>
          <w:highlight w:val="none"/>
        </w:rPr>
      </w:pPr>
      <w:r>
        <w:rPr>
          <w:rFonts w:hint="eastAsia" w:ascii="宋体" w:hAnsi="宋体"/>
          <w:b/>
          <w:color w:val="auto"/>
          <w:szCs w:val="21"/>
          <w:highlight w:val="none"/>
        </w:rPr>
        <w:t>备注：对于同一个大病保险标段，同一保险集团公司参与投标的子公司仅限一家；且投标人只能选择一个标段进行投标。</w:t>
      </w:r>
    </w:p>
    <w:p>
      <w:pPr>
        <w:spacing w:line="360" w:lineRule="auto"/>
        <w:ind w:firstLine="480" w:firstLineChars="200"/>
        <w:outlineLvl w:val="0"/>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4.保险方案</w:t>
      </w:r>
    </w:p>
    <w:p>
      <w:pPr>
        <w:spacing w:line="360" w:lineRule="auto"/>
        <w:ind w:firstLine="480" w:firstLineChars="200"/>
        <w:outlineLvl w:val="0"/>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（1）保障对象</w:t>
      </w:r>
    </w:p>
    <w:p>
      <w:pPr>
        <w:spacing w:line="360" w:lineRule="auto"/>
        <w:ind w:firstLine="480" w:firstLineChars="200"/>
        <w:rPr>
          <w:rFonts w:hint="eastAsia" w:ascii="宋体" w:hAnsi="宋体" w:cs="宋体"/>
          <w:bCs/>
          <w:color w:val="auto"/>
          <w:sz w:val="24"/>
          <w:szCs w:val="24"/>
          <w:highlight w:val="none"/>
        </w:rPr>
      </w:pPr>
      <w:r>
        <w:rPr>
          <w:rFonts w:hint="eastAsia" w:ascii="宋体" w:hAnsi="宋体" w:cs="宋体"/>
          <w:bCs/>
          <w:color w:val="auto"/>
          <w:sz w:val="24"/>
          <w:szCs w:val="24"/>
          <w:highlight w:val="none"/>
        </w:rPr>
        <w:t>大病保险保障对象包括无锡市居民基本医疗保险和职工基本医疗保险的参保人员（以下简称“参保人员”）。</w:t>
      </w:r>
    </w:p>
    <w:p>
      <w:pPr>
        <w:spacing w:line="360" w:lineRule="auto"/>
        <w:ind w:firstLine="480" w:firstLineChars="200"/>
        <w:outlineLvl w:val="0"/>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（2）保障范围</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大病保险的保障范围是对参保人员年度内发生的住院和门诊特殊病种治疗的合规医疗费用，经居民基本医疗保险、城镇职工基本医疗保险和职工补充医疗费用补助等补偿后，个人负担超过大病保险起付标准以上的部分给予保障。</w:t>
      </w:r>
    </w:p>
    <w:p>
      <w:pPr>
        <w:spacing w:line="360" w:lineRule="auto"/>
        <w:ind w:firstLine="480" w:firstLineChars="200"/>
        <w:outlineLvl w:val="0"/>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（3）保障水平</w:t>
      </w:r>
    </w:p>
    <w:p>
      <w:pPr>
        <w:spacing w:line="360" w:lineRule="auto"/>
        <w:ind w:firstLine="480" w:firstLineChars="200"/>
        <w:outlineLvl w:val="0"/>
        <w:rPr>
          <w:rFonts w:hint="eastAsia" w:ascii="宋体" w:hAnsi="宋体" w:cs="宋体"/>
          <w:bCs/>
          <w:color w:val="auto"/>
          <w:sz w:val="24"/>
          <w:szCs w:val="24"/>
          <w:highlight w:val="none"/>
        </w:rPr>
      </w:pPr>
      <w:r>
        <w:rPr>
          <w:rFonts w:hint="eastAsia" w:ascii="宋体" w:hAnsi="宋体" w:cs="宋体"/>
          <w:bCs/>
          <w:color w:val="auto"/>
          <w:sz w:val="24"/>
          <w:szCs w:val="24"/>
          <w:highlight w:val="none"/>
        </w:rPr>
        <w:t>按照国家和省有关大病保险工作要求，目前起付标准保持1.8万元不变，之后由市医疗保障局会同市财政局结合实际适时报请市政府同意后进行调整。</w:t>
      </w:r>
    </w:p>
    <w:p>
      <w:pPr>
        <w:spacing w:line="360" w:lineRule="auto"/>
        <w:ind w:firstLine="480" w:firstLineChars="200"/>
        <w:outlineLvl w:val="0"/>
        <w:rPr>
          <w:rFonts w:hint="eastAsia" w:ascii="宋体" w:hAnsi="宋体" w:cs="宋体"/>
          <w:bCs/>
          <w:color w:val="auto"/>
          <w:sz w:val="24"/>
          <w:szCs w:val="24"/>
          <w:highlight w:val="none"/>
        </w:rPr>
      </w:pPr>
      <w:r>
        <w:rPr>
          <w:rFonts w:hint="eastAsia" w:ascii="宋体" w:hAnsi="宋体" w:cs="宋体"/>
          <w:bCs/>
          <w:color w:val="auto"/>
          <w:sz w:val="24"/>
          <w:szCs w:val="24"/>
          <w:highlight w:val="none"/>
        </w:rPr>
        <w:t>1）大病保险普通参保人员的保障水平确定为在保障范围内的医疗费用：</w:t>
      </w:r>
    </w:p>
    <w:p>
      <w:pPr>
        <w:spacing w:line="360" w:lineRule="auto"/>
        <w:ind w:firstLine="480" w:firstLineChars="200"/>
        <w:outlineLvl w:val="0"/>
        <w:rPr>
          <w:rFonts w:hint="eastAsia" w:ascii="宋体" w:hAnsi="宋体" w:cs="宋体"/>
          <w:bCs/>
          <w:color w:val="auto"/>
          <w:sz w:val="24"/>
          <w:szCs w:val="24"/>
          <w:highlight w:val="none"/>
        </w:rPr>
      </w:pPr>
      <w:r>
        <w:rPr>
          <w:rFonts w:hint="eastAsia" w:ascii="宋体" w:hAnsi="宋体" w:cs="宋体"/>
          <w:bCs/>
          <w:color w:val="auto"/>
          <w:sz w:val="24"/>
          <w:szCs w:val="24"/>
          <w:highlight w:val="none"/>
        </w:rPr>
        <w:t>①1.8万元（不含本数）至10万元（含本数）的部分由大病保险资金支付60%；</w:t>
      </w:r>
    </w:p>
    <w:p>
      <w:pPr>
        <w:spacing w:line="360" w:lineRule="auto"/>
        <w:ind w:firstLine="480" w:firstLineChars="200"/>
        <w:outlineLvl w:val="0"/>
        <w:rPr>
          <w:rFonts w:hint="eastAsia" w:ascii="宋体" w:hAnsi="宋体" w:cs="宋体"/>
          <w:bCs/>
          <w:color w:val="auto"/>
          <w:sz w:val="24"/>
          <w:szCs w:val="24"/>
          <w:highlight w:val="none"/>
        </w:rPr>
      </w:pPr>
      <w:r>
        <w:rPr>
          <w:rFonts w:hint="eastAsia" w:ascii="宋体" w:hAnsi="宋体" w:cs="宋体"/>
          <w:bCs/>
          <w:color w:val="auto"/>
          <w:sz w:val="24"/>
          <w:szCs w:val="24"/>
          <w:highlight w:val="none"/>
        </w:rPr>
        <w:t>②10万元以上的部分由大病保险资金支付80%。</w:t>
      </w:r>
    </w:p>
    <w:p>
      <w:pPr>
        <w:spacing w:line="360" w:lineRule="auto"/>
        <w:ind w:firstLine="480" w:firstLineChars="200"/>
        <w:outlineLvl w:val="0"/>
        <w:rPr>
          <w:rFonts w:hint="eastAsia" w:ascii="宋体" w:hAnsi="宋体" w:cs="宋体"/>
          <w:bCs/>
          <w:color w:val="auto"/>
          <w:sz w:val="24"/>
          <w:szCs w:val="24"/>
          <w:highlight w:val="none"/>
        </w:rPr>
      </w:pPr>
      <w:r>
        <w:rPr>
          <w:rFonts w:hint="eastAsia" w:ascii="宋体" w:hAnsi="宋体" w:cs="宋体"/>
          <w:bCs/>
          <w:color w:val="auto"/>
          <w:sz w:val="24"/>
          <w:szCs w:val="24"/>
          <w:highlight w:val="none"/>
        </w:rPr>
        <w:t>2）救助对象大病保险起付标准比普通参保人员降低50%，各报销段报销比例比普通参保人员提高5个百分点。</w:t>
      </w:r>
    </w:p>
    <w:p>
      <w:pPr>
        <w:spacing w:line="360" w:lineRule="auto"/>
        <w:ind w:firstLine="490"/>
        <w:outlineLvl w:val="0"/>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（4）筹资标准</w:t>
      </w:r>
    </w:p>
    <w:p>
      <w:pPr>
        <w:spacing w:line="360" w:lineRule="auto"/>
        <w:ind w:left="-2" w:leftChars="-1" w:firstLine="480" w:firstLineChars="200"/>
        <w:outlineLvl w:val="0"/>
        <w:rPr>
          <w:rFonts w:hint="eastAsia" w:ascii="宋体" w:hAnsi="宋体" w:cs="宋体"/>
          <w:bCs/>
          <w:color w:val="auto"/>
          <w:sz w:val="24"/>
          <w:szCs w:val="24"/>
          <w:highlight w:val="none"/>
        </w:rPr>
      </w:pPr>
      <w:r>
        <w:rPr>
          <w:rFonts w:hint="eastAsia" w:ascii="宋体" w:hAnsi="宋体" w:cs="宋体"/>
          <w:bCs/>
          <w:color w:val="auto"/>
          <w:sz w:val="24"/>
          <w:szCs w:val="24"/>
          <w:highlight w:val="none"/>
        </w:rPr>
        <w:t>2023年大病保险筹资标准暂定为居民医保每人每年40元，职工医保每人每年120元；2024～2025年期间的筹资标准，由市医疗保障局会同市财政局每年根据国家和省规定的最低标准，同时结合各区域经济社会发展水平、医疗保险筹资能力、患大病发生高额医疗费用的情况、基本医疗保险补偿水平，以及大病保险保障水平等因素确定。</w:t>
      </w:r>
    </w:p>
    <w:p>
      <w:pPr>
        <w:spacing w:line="360" w:lineRule="auto"/>
        <w:ind w:left="-2" w:leftChars="-1" w:firstLine="480" w:firstLineChars="200"/>
        <w:outlineLvl w:val="0"/>
        <w:rPr>
          <w:rFonts w:hint="eastAsia" w:ascii="宋体" w:hAnsi="宋体" w:cs="宋体"/>
          <w:bCs/>
          <w:color w:val="auto"/>
          <w:sz w:val="24"/>
          <w:szCs w:val="24"/>
          <w:highlight w:val="none"/>
        </w:rPr>
      </w:pPr>
      <w:r>
        <w:rPr>
          <w:rFonts w:hint="eastAsia" w:ascii="宋体" w:hAnsi="宋体" w:cs="宋体"/>
          <w:bCs/>
          <w:color w:val="auto"/>
          <w:sz w:val="24"/>
          <w:szCs w:val="24"/>
          <w:highlight w:val="none"/>
        </w:rPr>
        <w:t>在我市政府部门未发布2024年、2025年筹资标准之前，暂按上一年度筹资标准执行：居民医保每人每年40元，职工医保每人每年120元。</w:t>
      </w:r>
    </w:p>
    <w:p>
      <w:pPr>
        <w:spacing w:line="360" w:lineRule="auto"/>
        <w:ind w:firstLine="490"/>
        <w:outlineLvl w:val="0"/>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（5）赔付方法</w:t>
      </w:r>
    </w:p>
    <w:p>
      <w:pPr>
        <w:widowControl/>
        <w:spacing w:line="360" w:lineRule="auto"/>
        <w:ind w:firstLine="480" w:firstLineChars="200"/>
        <w:jc w:val="left"/>
        <w:rPr>
          <w:rFonts w:hint="eastAsia" w:ascii="宋体" w:hAnsi="宋体" w:cs="宋体"/>
          <w:bCs/>
          <w:color w:val="auto"/>
          <w:sz w:val="24"/>
          <w:szCs w:val="24"/>
          <w:highlight w:val="none"/>
        </w:rPr>
      </w:pPr>
      <w:r>
        <w:rPr>
          <w:rFonts w:hint="eastAsia" w:ascii="宋体" w:hAnsi="宋体" w:cs="宋体"/>
          <w:bCs/>
          <w:color w:val="auto"/>
          <w:sz w:val="24"/>
          <w:szCs w:val="24"/>
          <w:highlight w:val="none"/>
        </w:rPr>
        <w:t>1）大病保险实行实时赔付、月度结算，采购人将上月已达标参保人员相关数据提供给中标保险公司；</w:t>
      </w:r>
    </w:p>
    <w:p>
      <w:pPr>
        <w:widowControl/>
        <w:spacing w:line="360" w:lineRule="auto"/>
        <w:ind w:firstLine="480" w:firstLineChars="200"/>
        <w:jc w:val="left"/>
        <w:rPr>
          <w:rFonts w:hint="eastAsia" w:ascii="宋体" w:hAnsi="宋体" w:cs="宋体"/>
          <w:bCs/>
          <w:color w:val="auto"/>
          <w:sz w:val="24"/>
          <w:szCs w:val="24"/>
          <w:highlight w:val="none"/>
        </w:rPr>
      </w:pPr>
      <w:r>
        <w:rPr>
          <w:rFonts w:hint="eastAsia" w:ascii="宋体" w:hAnsi="宋体" w:cs="宋体"/>
          <w:bCs/>
          <w:color w:val="auto"/>
          <w:sz w:val="24"/>
          <w:szCs w:val="24"/>
          <w:highlight w:val="none"/>
        </w:rPr>
        <w:t>2）中标保险公司按月收到采购人提供的数据后15个工作日内，核实计算大病保险赔付金额，将参保人员应享受大病保险和实际发放补偿情况相关数据反馈至采购人，同时完成与医疗机构、医保经办机构大病保险相关费用的结算；</w:t>
      </w:r>
    </w:p>
    <w:p>
      <w:pPr>
        <w:widowControl/>
        <w:spacing w:line="360" w:lineRule="auto"/>
        <w:ind w:firstLine="480" w:firstLineChars="200"/>
        <w:jc w:val="left"/>
        <w:rPr>
          <w:rFonts w:hint="eastAsia" w:ascii="宋体" w:hAnsi="宋体" w:cs="宋体"/>
          <w:bCs/>
          <w:color w:val="auto"/>
          <w:sz w:val="24"/>
          <w:szCs w:val="24"/>
          <w:highlight w:val="none"/>
        </w:rPr>
      </w:pPr>
      <w:r>
        <w:rPr>
          <w:rFonts w:hint="eastAsia" w:ascii="宋体" w:hAnsi="宋体" w:cs="宋体"/>
          <w:bCs/>
          <w:color w:val="auto"/>
          <w:sz w:val="24"/>
          <w:szCs w:val="24"/>
          <w:highlight w:val="none"/>
        </w:rPr>
        <w:t>3）大病保险的赔付数据以医保结算数据为准。</w:t>
      </w:r>
    </w:p>
    <w:p>
      <w:pPr>
        <w:spacing w:line="360" w:lineRule="auto"/>
        <w:ind w:firstLine="490"/>
        <w:outlineLvl w:val="0"/>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5.保险周期</w:t>
      </w:r>
    </w:p>
    <w:p>
      <w:pPr>
        <w:spacing w:line="360" w:lineRule="auto"/>
        <w:ind w:firstLine="480" w:firstLineChars="200"/>
        <w:contextualSpacing/>
        <w:rPr>
          <w:rFonts w:hint="eastAsia" w:ascii="宋体" w:hAnsi="宋体" w:cs="宋体"/>
          <w:bCs/>
          <w:color w:val="auto"/>
          <w:sz w:val="24"/>
          <w:szCs w:val="24"/>
          <w:highlight w:val="none"/>
        </w:rPr>
      </w:pPr>
      <w:r>
        <w:rPr>
          <w:rFonts w:hint="eastAsia" w:ascii="宋体" w:hAnsi="宋体" w:cs="宋体"/>
          <w:bCs/>
          <w:color w:val="auto"/>
          <w:sz w:val="24"/>
          <w:szCs w:val="24"/>
          <w:highlight w:val="none"/>
        </w:rPr>
        <w:t>本项目的保险</w:t>
      </w:r>
      <w:r>
        <w:rPr>
          <w:rFonts w:hint="eastAsia" w:ascii="宋体" w:hAnsi="宋体" w:cs="宋体"/>
          <w:color w:val="auto"/>
          <w:kern w:val="0"/>
          <w:sz w:val="24"/>
          <w:szCs w:val="24"/>
          <w:highlight w:val="none"/>
        </w:rPr>
        <w:t>周期</w:t>
      </w:r>
      <w:r>
        <w:rPr>
          <w:rFonts w:hint="eastAsia" w:ascii="宋体" w:hAnsi="宋体" w:cs="宋体"/>
          <w:bCs/>
          <w:color w:val="auto"/>
          <w:sz w:val="24"/>
          <w:szCs w:val="24"/>
          <w:highlight w:val="none"/>
        </w:rPr>
        <w:t>为两年九个月，合同期自2023年4月1日零时起，至2025年12月31日二十四时止，保险</w:t>
      </w:r>
      <w:r>
        <w:rPr>
          <w:rFonts w:hint="eastAsia" w:ascii="宋体" w:hAnsi="宋体" w:cs="宋体"/>
          <w:color w:val="auto"/>
          <w:kern w:val="0"/>
          <w:sz w:val="24"/>
          <w:szCs w:val="24"/>
          <w:highlight w:val="none"/>
        </w:rPr>
        <w:t>周期</w:t>
      </w:r>
      <w:r>
        <w:rPr>
          <w:rFonts w:hint="eastAsia" w:ascii="宋体" w:hAnsi="宋体" w:cs="宋体"/>
          <w:bCs/>
          <w:color w:val="auto"/>
          <w:sz w:val="24"/>
          <w:szCs w:val="24"/>
          <w:highlight w:val="none"/>
        </w:rPr>
        <w:t>由三个</w:t>
      </w:r>
      <w:r>
        <w:rPr>
          <w:rFonts w:hint="eastAsia" w:ascii="宋体" w:hAnsi="宋体" w:cs="宋体"/>
          <w:color w:val="auto"/>
          <w:kern w:val="0"/>
          <w:sz w:val="24"/>
          <w:szCs w:val="24"/>
          <w:highlight w:val="none"/>
        </w:rPr>
        <w:t>独立且连续的保险</w:t>
      </w:r>
      <w:r>
        <w:rPr>
          <w:rFonts w:hint="eastAsia" w:ascii="宋体" w:hAnsi="宋体" w:cs="宋体"/>
          <w:bCs/>
          <w:color w:val="auto"/>
          <w:sz w:val="24"/>
          <w:szCs w:val="24"/>
          <w:highlight w:val="none"/>
        </w:rPr>
        <w:t>年度</w:t>
      </w:r>
      <w:r>
        <w:rPr>
          <w:rFonts w:hint="eastAsia" w:ascii="宋体" w:hAnsi="宋体" w:cs="宋体"/>
          <w:color w:val="auto"/>
          <w:kern w:val="0"/>
          <w:sz w:val="24"/>
          <w:szCs w:val="24"/>
          <w:highlight w:val="none"/>
        </w:rPr>
        <w:t>组成，均以保险单载明的起讫时间为准。第一个保险年度自2023年4月1日零时起，至2023年12月31日二十四时止；第二保险年度自2024年1月1日零时起，至2024年12月31日二十四时止；第三个保险年度自2025年1月1日零时起，至2025年12月31日二十四时止。</w:t>
      </w:r>
    </w:p>
    <w:p>
      <w:pPr>
        <w:spacing w:line="360" w:lineRule="auto"/>
        <w:ind w:firstLine="480" w:firstLineChars="200"/>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6.采购人提供的测算依据和相关条件</w:t>
      </w:r>
    </w:p>
    <w:p>
      <w:pPr>
        <w:spacing w:line="360" w:lineRule="auto"/>
        <w:ind w:firstLine="480" w:firstLineChars="200"/>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说明：投标人可在报名后向采购人申请提取标段内其他相关数据信息，提取信息时须与采购人签订保密协议。</w:t>
      </w:r>
    </w:p>
    <w:p>
      <w:pPr>
        <w:spacing w:line="360" w:lineRule="auto"/>
        <w:ind w:left="-2" w:leftChars="-1" w:firstLine="360" w:firstLineChars="150"/>
        <w:outlineLvl w:val="0"/>
        <w:rPr>
          <w:rFonts w:hint="eastAsia" w:ascii="宋体" w:hAnsi="宋体" w:cs="宋体"/>
          <w:bCs/>
          <w:color w:val="auto"/>
          <w:sz w:val="24"/>
          <w:szCs w:val="24"/>
          <w:highlight w:val="none"/>
        </w:rPr>
      </w:pPr>
      <w:r>
        <w:rPr>
          <w:rFonts w:hint="eastAsia" w:ascii="宋体" w:hAnsi="宋体" w:cs="宋体"/>
          <w:bCs/>
          <w:color w:val="auto"/>
          <w:sz w:val="24"/>
          <w:szCs w:val="24"/>
          <w:highlight w:val="none"/>
        </w:rPr>
        <w:t>（1）2022年第三季度各标段参保人员情况</w:t>
      </w:r>
    </w:p>
    <w:p>
      <w:pPr>
        <w:spacing w:line="360" w:lineRule="auto"/>
        <w:ind w:left="-2" w:leftChars="-1" w:firstLine="360" w:firstLineChars="150"/>
        <w:outlineLvl w:val="0"/>
        <w:rPr>
          <w:rFonts w:hint="eastAsia" w:ascii="宋体" w:hAnsi="宋体" w:cs="宋体"/>
          <w:bCs/>
          <w:color w:val="auto"/>
          <w:sz w:val="24"/>
          <w:szCs w:val="24"/>
          <w:highlight w:val="none"/>
        </w:rPr>
      </w:pPr>
      <w:r>
        <w:rPr>
          <w:rFonts w:hint="eastAsia" w:ascii="宋体" w:hAnsi="宋体" w:cs="宋体"/>
          <w:bCs/>
          <w:color w:val="auto"/>
          <w:sz w:val="24"/>
          <w:szCs w:val="24"/>
          <w:highlight w:val="none"/>
        </w:rPr>
        <w:t>1）标段一：参保人数合计380.95万人，其中职工医保269.03万人，居民医保111.92万人；</w:t>
      </w:r>
    </w:p>
    <w:p>
      <w:pPr>
        <w:spacing w:line="360" w:lineRule="auto"/>
        <w:ind w:left="-2" w:leftChars="-1" w:firstLine="360" w:firstLineChars="150"/>
        <w:outlineLvl w:val="0"/>
        <w:rPr>
          <w:rFonts w:hint="eastAsia" w:ascii="宋体" w:hAnsi="宋体" w:cs="宋体"/>
          <w:bCs/>
          <w:color w:val="auto"/>
          <w:sz w:val="24"/>
          <w:szCs w:val="24"/>
          <w:highlight w:val="none"/>
        </w:rPr>
      </w:pPr>
      <w:r>
        <w:rPr>
          <w:rFonts w:hint="eastAsia" w:ascii="宋体" w:hAnsi="宋体" w:cs="宋体"/>
          <w:bCs/>
          <w:color w:val="auto"/>
          <w:sz w:val="24"/>
          <w:szCs w:val="24"/>
          <w:highlight w:val="none"/>
        </w:rPr>
        <w:t>2）标段二：参保人数合计147.65万人，其中职工医保95.76万人，居民医保51.89万人；</w:t>
      </w:r>
    </w:p>
    <w:p>
      <w:pPr>
        <w:spacing w:line="360" w:lineRule="auto"/>
        <w:ind w:left="-2" w:leftChars="-1" w:firstLine="360" w:firstLineChars="150"/>
        <w:outlineLvl w:val="0"/>
        <w:rPr>
          <w:rFonts w:hint="eastAsia" w:ascii="宋体" w:hAnsi="宋体" w:cs="宋体"/>
          <w:bCs/>
          <w:color w:val="auto"/>
          <w:sz w:val="24"/>
          <w:szCs w:val="24"/>
          <w:highlight w:val="none"/>
        </w:rPr>
      </w:pPr>
      <w:r>
        <w:rPr>
          <w:rFonts w:hint="eastAsia" w:ascii="宋体" w:hAnsi="宋体" w:cs="宋体"/>
          <w:bCs/>
          <w:color w:val="auto"/>
          <w:sz w:val="24"/>
          <w:szCs w:val="24"/>
          <w:highlight w:val="none"/>
        </w:rPr>
        <w:t>3）标段三：参保人数合计109.19万人，其中职工医保57.69万人，居民医保51.50万人。</w:t>
      </w:r>
    </w:p>
    <w:p>
      <w:pPr>
        <w:spacing w:line="360" w:lineRule="auto"/>
        <w:ind w:left="-2" w:leftChars="-1" w:firstLine="360" w:firstLineChars="150"/>
        <w:outlineLvl w:val="0"/>
        <w:rPr>
          <w:rFonts w:hint="eastAsia" w:ascii="宋体" w:hAnsi="宋体" w:cs="宋体"/>
          <w:bCs/>
          <w:color w:val="auto"/>
          <w:sz w:val="24"/>
          <w:szCs w:val="24"/>
          <w:highlight w:val="none"/>
        </w:rPr>
      </w:pPr>
      <w:r>
        <w:rPr>
          <w:rFonts w:hint="eastAsia" w:ascii="宋体" w:hAnsi="宋体" w:cs="宋体"/>
          <w:bCs/>
          <w:color w:val="auto"/>
          <w:sz w:val="24"/>
          <w:szCs w:val="24"/>
          <w:highlight w:val="none"/>
        </w:rPr>
        <w:t>（2）标段一、标段二和标段三基本医疗保险参保情况、大病保险待遇享受人数、大病保险基金支出费用情况及大病保险人均标准情况，由投标人凭保密协议向采购人申请获取，投标人应按最新医保政策测算大病保险支出。</w:t>
      </w:r>
    </w:p>
    <w:p>
      <w:pPr>
        <w:spacing w:line="360" w:lineRule="auto"/>
        <w:ind w:left="-2" w:leftChars="-1" w:firstLine="360" w:firstLineChars="150"/>
        <w:outlineLvl w:val="0"/>
        <w:rPr>
          <w:rFonts w:hint="eastAsia" w:ascii="宋体" w:hAnsi="宋体" w:cs="宋体"/>
          <w:bCs/>
          <w:color w:val="auto"/>
          <w:sz w:val="24"/>
          <w:szCs w:val="24"/>
          <w:highlight w:val="none"/>
        </w:rPr>
      </w:pPr>
      <w:r>
        <w:rPr>
          <w:rFonts w:hint="eastAsia" w:ascii="宋体" w:hAnsi="宋体" w:cs="宋体"/>
          <w:bCs/>
          <w:color w:val="auto"/>
          <w:sz w:val="24"/>
          <w:szCs w:val="24"/>
          <w:highlight w:val="none"/>
        </w:rPr>
        <w:t>（3）本项目保费预算</w:t>
      </w:r>
    </w:p>
    <w:tbl>
      <w:tblPr>
        <w:tblStyle w:val="24"/>
        <w:tblW w:w="9781" w:type="dxa"/>
        <w:tblInd w:w="250" w:type="dxa"/>
        <w:tblLayout w:type="fixed"/>
        <w:tblCellMar>
          <w:top w:w="0" w:type="dxa"/>
          <w:left w:w="108" w:type="dxa"/>
          <w:bottom w:w="0" w:type="dxa"/>
          <w:right w:w="108" w:type="dxa"/>
        </w:tblCellMar>
      </w:tblPr>
      <w:tblGrid>
        <w:gridCol w:w="1276"/>
        <w:gridCol w:w="1984"/>
        <w:gridCol w:w="1843"/>
        <w:gridCol w:w="1701"/>
        <w:gridCol w:w="1701"/>
        <w:gridCol w:w="1276"/>
      </w:tblGrid>
      <w:tr>
        <w:tblPrEx>
          <w:tblCellMar>
            <w:top w:w="0" w:type="dxa"/>
            <w:left w:w="108" w:type="dxa"/>
            <w:bottom w:w="0" w:type="dxa"/>
            <w:right w:w="108" w:type="dxa"/>
          </w:tblCellMar>
        </w:tblPrEx>
        <w:trPr>
          <w:trHeight w:val="885" w:hRule="atLeast"/>
        </w:trPr>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hint="eastAsia" w:ascii="宋体" w:hAnsi="宋体" w:cs="宋体"/>
                <w:b/>
                <w:color w:val="auto"/>
                <w:kern w:val="0"/>
                <w:sz w:val="24"/>
                <w:szCs w:val="24"/>
                <w:highlight w:val="none"/>
              </w:rPr>
            </w:pPr>
            <w:r>
              <w:rPr>
                <w:rFonts w:hint="eastAsia" w:ascii="宋体" w:hAnsi="宋体" w:cs="宋体"/>
                <w:b/>
                <w:color w:val="auto"/>
                <w:kern w:val="0"/>
                <w:sz w:val="24"/>
                <w:szCs w:val="24"/>
                <w:highlight w:val="none"/>
              </w:rPr>
              <w:t>区域</w:t>
            </w:r>
          </w:p>
        </w:tc>
        <w:tc>
          <w:tcPr>
            <w:tcW w:w="1984" w:type="dxa"/>
            <w:tcBorders>
              <w:top w:val="single" w:color="auto" w:sz="4" w:space="0"/>
              <w:left w:val="nil"/>
              <w:bottom w:val="single" w:color="auto" w:sz="4" w:space="0"/>
              <w:right w:val="single" w:color="auto" w:sz="4" w:space="0"/>
            </w:tcBorders>
            <w:vAlign w:val="center"/>
          </w:tcPr>
          <w:p>
            <w:pPr>
              <w:widowControl/>
              <w:spacing w:line="276" w:lineRule="auto"/>
              <w:jc w:val="center"/>
              <w:rPr>
                <w:rFonts w:hint="eastAsia" w:ascii="宋体" w:hAnsi="宋体" w:cs="宋体"/>
                <w:b/>
                <w:color w:val="auto"/>
                <w:kern w:val="0"/>
                <w:sz w:val="24"/>
                <w:szCs w:val="24"/>
                <w:highlight w:val="none"/>
              </w:rPr>
            </w:pPr>
            <w:r>
              <w:rPr>
                <w:rFonts w:hint="eastAsia" w:ascii="宋体" w:hAnsi="宋体" w:cs="宋体"/>
                <w:b/>
                <w:color w:val="auto"/>
                <w:kern w:val="0"/>
                <w:sz w:val="24"/>
                <w:szCs w:val="24"/>
                <w:highlight w:val="none"/>
              </w:rPr>
              <w:t>2023年（9个月）</w:t>
            </w:r>
          </w:p>
          <w:p>
            <w:pPr>
              <w:widowControl/>
              <w:spacing w:line="276" w:lineRule="auto"/>
              <w:jc w:val="center"/>
              <w:rPr>
                <w:rFonts w:hint="eastAsia" w:ascii="宋体" w:hAnsi="宋体" w:cs="宋体"/>
                <w:b/>
                <w:color w:val="auto"/>
                <w:kern w:val="0"/>
                <w:sz w:val="24"/>
                <w:szCs w:val="24"/>
                <w:highlight w:val="none"/>
              </w:rPr>
            </w:pPr>
            <w:r>
              <w:rPr>
                <w:rFonts w:hint="eastAsia" w:ascii="宋体" w:hAnsi="宋体" w:cs="宋体"/>
                <w:b/>
                <w:color w:val="auto"/>
                <w:kern w:val="0"/>
                <w:sz w:val="24"/>
                <w:szCs w:val="24"/>
                <w:highlight w:val="none"/>
              </w:rPr>
              <w:t>（单位：万元）</w:t>
            </w:r>
          </w:p>
        </w:tc>
        <w:tc>
          <w:tcPr>
            <w:tcW w:w="1843" w:type="dxa"/>
            <w:tcBorders>
              <w:top w:val="single" w:color="auto" w:sz="4" w:space="0"/>
              <w:left w:val="nil"/>
              <w:bottom w:val="single" w:color="auto" w:sz="4" w:space="0"/>
              <w:right w:val="single" w:color="auto" w:sz="4" w:space="0"/>
            </w:tcBorders>
            <w:vAlign w:val="center"/>
          </w:tcPr>
          <w:p>
            <w:pPr>
              <w:widowControl/>
              <w:spacing w:line="276" w:lineRule="auto"/>
              <w:jc w:val="center"/>
              <w:rPr>
                <w:rFonts w:hint="eastAsia" w:ascii="宋体" w:hAnsi="宋体" w:cs="宋体"/>
                <w:b/>
                <w:color w:val="auto"/>
                <w:kern w:val="0"/>
                <w:sz w:val="24"/>
                <w:szCs w:val="24"/>
                <w:highlight w:val="none"/>
              </w:rPr>
            </w:pPr>
            <w:r>
              <w:rPr>
                <w:rFonts w:hint="eastAsia" w:ascii="宋体" w:hAnsi="宋体" w:cs="宋体"/>
                <w:b/>
                <w:color w:val="auto"/>
                <w:kern w:val="0"/>
                <w:sz w:val="24"/>
                <w:szCs w:val="24"/>
                <w:highlight w:val="none"/>
              </w:rPr>
              <w:t>2024年</w:t>
            </w:r>
          </w:p>
          <w:p>
            <w:pPr>
              <w:widowControl/>
              <w:spacing w:line="276" w:lineRule="auto"/>
              <w:jc w:val="center"/>
              <w:rPr>
                <w:rFonts w:hint="eastAsia" w:ascii="宋体" w:hAnsi="宋体" w:cs="宋体"/>
                <w:b/>
                <w:color w:val="auto"/>
                <w:kern w:val="0"/>
                <w:sz w:val="24"/>
                <w:szCs w:val="24"/>
                <w:highlight w:val="none"/>
              </w:rPr>
            </w:pPr>
            <w:r>
              <w:rPr>
                <w:rFonts w:hint="eastAsia" w:ascii="宋体" w:hAnsi="宋体" w:cs="宋体"/>
                <w:b/>
                <w:color w:val="auto"/>
                <w:kern w:val="0"/>
                <w:sz w:val="24"/>
                <w:szCs w:val="24"/>
                <w:highlight w:val="none"/>
              </w:rPr>
              <w:t>（单位：万元）</w:t>
            </w:r>
          </w:p>
        </w:tc>
        <w:tc>
          <w:tcPr>
            <w:tcW w:w="1701" w:type="dxa"/>
            <w:tcBorders>
              <w:top w:val="single" w:color="auto" w:sz="4" w:space="0"/>
              <w:left w:val="nil"/>
              <w:bottom w:val="single" w:color="auto" w:sz="4" w:space="0"/>
              <w:right w:val="single" w:color="auto" w:sz="4" w:space="0"/>
            </w:tcBorders>
            <w:vAlign w:val="center"/>
          </w:tcPr>
          <w:p>
            <w:pPr>
              <w:widowControl/>
              <w:spacing w:line="276" w:lineRule="auto"/>
              <w:jc w:val="center"/>
              <w:rPr>
                <w:rFonts w:hint="eastAsia" w:ascii="宋体" w:hAnsi="宋体" w:cs="宋体"/>
                <w:b/>
                <w:color w:val="auto"/>
                <w:kern w:val="0"/>
                <w:sz w:val="24"/>
                <w:szCs w:val="24"/>
                <w:highlight w:val="none"/>
              </w:rPr>
            </w:pPr>
            <w:r>
              <w:rPr>
                <w:rFonts w:hint="eastAsia" w:ascii="宋体" w:hAnsi="宋体" w:cs="宋体"/>
                <w:b/>
                <w:color w:val="auto"/>
                <w:kern w:val="0"/>
                <w:sz w:val="24"/>
                <w:szCs w:val="24"/>
                <w:highlight w:val="none"/>
              </w:rPr>
              <w:t>2025年</w:t>
            </w:r>
          </w:p>
          <w:p>
            <w:pPr>
              <w:widowControl/>
              <w:spacing w:line="276" w:lineRule="auto"/>
              <w:jc w:val="center"/>
              <w:rPr>
                <w:rFonts w:hint="eastAsia" w:ascii="宋体" w:hAnsi="宋体" w:cs="宋体"/>
                <w:b/>
                <w:color w:val="auto"/>
                <w:kern w:val="0"/>
                <w:sz w:val="24"/>
                <w:szCs w:val="24"/>
                <w:highlight w:val="none"/>
              </w:rPr>
            </w:pPr>
            <w:r>
              <w:rPr>
                <w:rFonts w:hint="eastAsia" w:ascii="宋体" w:hAnsi="宋体" w:cs="宋体"/>
                <w:b/>
                <w:color w:val="auto"/>
                <w:kern w:val="0"/>
                <w:sz w:val="24"/>
                <w:szCs w:val="24"/>
                <w:highlight w:val="none"/>
              </w:rPr>
              <w:t>（单位：万元）</w:t>
            </w:r>
          </w:p>
        </w:tc>
        <w:tc>
          <w:tcPr>
            <w:tcW w:w="1701" w:type="dxa"/>
            <w:tcBorders>
              <w:top w:val="single" w:color="auto" w:sz="4" w:space="0"/>
              <w:left w:val="nil"/>
              <w:bottom w:val="single" w:color="auto" w:sz="4" w:space="0"/>
              <w:right w:val="single" w:color="auto" w:sz="4" w:space="0"/>
            </w:tcBorders>
            <w:vAlign w:val="center"/>
          </w:tcPr>
          <w:p>
            <w:pPr>
              <w:widowControl/>
              <w:spacing w:line="276" w:lineRule="auto"/>
              <w:jc w:val="center"/>
              <w:rPr>
                <w:rFonts w:hint="eastAsia" w:ascii="宋体" w:hAnsi="宋体" w:cs="宋体"/>
                <w:b/>
                <w:color w:val="auto"/>
                <w:kern w:val="0"/>
                <w:sz w:val="24"/>
                <w:szCs w:val="24"/>
                <w:highlight w:val="none"/>
              </w:rPr>
            </w:pPr>
            <w:r>
              <w:rPr>
                <w:rFonts w:hint="eastAsia" w:ascii="宋体" w:hAnsi="宋体" w:cs="宋体"/>
                <w:b/>
                <w:color w:val="auto"/>
                <w:kern w:val="0"/>
                <w:sz w:val="24"/>
                <w:szCs w:val="24"/>
                <w:highlight w:val="none"/>
              </w:rPr>
              <w:t>合计</w:t>
            </w:r>
          </w:p>
          <w:p>
            <w:pPr>
              <w:widowControl/>
              <w:spacing w:line="276" w:lineRule="auto"/>
              <w:jc w:val="center"/>
              <w:rPr>
                <w:rFonts w:hint="eastAsia" w:ascii="宋体" w:hAnsi="宋体" w:cs="宋体"/>
                <w:b/>
                <w:color w:val="auto"/>
                <w:kern w:val="0"/>
                <w:sz w:val="24"/>
                <w:szCs w:val="24"/>
                <w:highlight w:val="none"/>
              </w:rPr>
            </w:pPr>
            <w:r>
              <w:rPr>
                <w:rFonts w:hint="eastAsia" w:ascii="宋体" w:hAnsi="宋体" w:cs="宋体"/>
                <w:b/>
                <w:color w:val="auto"/>
                <w:kern w:val="0"/>
                <w:sz w:val="24"/>
                <w:szCs w:val="24"/>
                <w:highlight w:val="none"/>
              </w:rPr>
              <w:t>（单位：万元）</w:t>
            </w:r>
          </w:p>
        </w:tc>
        <w:tc>
          <w:tcPr>
            <w:tcW w:w="1276" w:type="dxa"/>
            <w:tcBorders>
              <w:top w:val="single" w:color="auto" w:sz="4" w:space="0"/>
              <w:left w:val="nil"/>
              <w:bottom w:val="single" w:color="auto" w:sz="4" w:space="0"/>
              <w:right w:val="single" w:color="auto" w:sz="4" w:space="0"/>
            </w:tcBorders>
            <w:vAlign w:val="center"/>
          </w:tcPr>
          <w:p>
            <w:pPr>
              <w:widowControl/>
              <w:spacing w:line="276" w:lineRule="auto"/>
              <w:jc w:val="center"/>
              <w:rPr>
                <w:rFonts w:hint="eastAsia" w:ascii="宋体" w:hAnsi="宋体" w:cs="宋体"/>
                <w:b/>
                <w:color w:val="auto"/>
                <w:kern w:val="0"/>
                <w:sz w:val="24"/>
                <w:szCs w:val="24"/>
                <w:highlight w:val="none"/>
              </w:rPr>
            </w:pPr>
            <w:r>
              <w:rPr>
                <w:rFonts w:hint="eastAsia" w:ascii="宋体" w:hAnsi="宋体" w:cs="宋体"/>
                <w:b/>
                <w:color w:val="auto"/>
                <w:kern w:val="0"/>
                <w:sz w:val="24"/>
                <w:szCs w:val="24"/>
                <w:highlight w:val="none"/>
              </w:rPr>
              <w:t>备注</w:t>
            </w:r>
          </w:p>
        </w:tc>
      </w:tr>
      <w:tr>
        <w:tblPrEx>
          <w:tblCellMar>
            <w:top w:w="0" w:type="dxa"/>
            <w:left w:w="108" w:type="dxa"/>
            <w:bottom w:w="0" w:type="dxa"/>
            <w:right w:w="108" w:type="dxa"/>
          </w:tblCellMar>
        </w:tblPrEx>
        <w:trPr>
          <w:trHeight w:val="562" w:hRule="atLeast"/>
        </w:trPr>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right"/>
              <w:rPr>
                <w:rFonts w:hint="eastAsia" w:ascii="宋体" w:hAnsi="宋体" w:cs="宋体"/>
                <w:color w:val="auto"/>
                <w:kern w:val="0"/>
                <w:sz w:val="22"/>
                <w:szCs w:val="24"/>
                <w:highlight w:val="none"/>
              </w:rPr>
            </w:pPr>
            <w:r>
              <w:rPr>
                <w:rFonts w:hint="eastAsia" w:ascii="宋体" w:hAnsi="宋体" w:cs="宋体"/>
                <w:color w:val="auto"/>
                <w:kern w:val="0"/>
                <w:sz w:val="22"/>
                <w:szCs w:val="24"/>
                <w:highlight w:val="none"/>
              </w:rPr>
              <w:t>标段一</w:t>
            </w:r>
          </w:p>
        </w:tc>
        <w:tc>
          <w:tcPr>
            <w:tcW w:w="1984" w:type="dxa"/>
            <w:tcBorders>
              <w:top w:val="nil"/>
              <w:left w:val="nil"/>
              <w:bottom w:val="single" w:color="auto" w:sz="4" w:space="0"/>
              <w:right w:val="single" w:color="auto" w:sz="4" w:space="0"/>
            </w:tcBorders>
            <w:vAlign w:val="center"/>
          </w:tcPr>
          <w:p>
            <w:pPr>
              <w:widowControl/>
              <w:spacing w:line="360" w:lineRule="auto"/>
              <w:jc w:val="right"/>
              <w:rPr>
                <w:rFonts w:hint="eastAsia" w:ascii="宋体" w:hAnsi="宋体" w:cs="宋体"/>
                <w:color w:val="auto"/>
                <w:kern w:val="0"/>
                <w:sz w:val="22"/>
                <w:szCs w:val="24"/>
                <w:highlight w:val="none"/>
              </w:rPr>
            </w:pPr>
            <w:r>
              <w:rPr>
                <w:rFonts w:hint="eastAsia" w:ascii="宋体" w:hAnsi="宋体" w:cs="宋体"/>
                <w:color w:val="auto"/>
                <w:kern w:val="0"/>
                <w:sz w:val="22"/>
                <w:szCs w:val="24"/>
                <w:highlight w:val="none"/>
              </w:rPr>
              <w:t>27571.8</w:t>
            </w:r>
          </w:p>
        </w:tc>
        <w:tc>
          <w:tcPr>
            <w:tcW w:w="1843" w:type="dxa"/>
            <w:tcBorders>
              <w:top w:val="nil"/>
              <w:left w:val="nil"/>
              <w:bottom w:val="single" w:color="auto" w:sz="4" w:space="0"/>
              <w:right w:val="single" w:color="auto" w:sz="4" w:space="0"/>
            </w:tcBorders>
            <w:vAlign w:val="center"/>
          </w:tcPr>
          <w:p>
            <w:pPr>
              <w:widowControl/>
              <w:spacing w:line="360" w:lineRule="auto"/>
              <w:jc w:val="right"/>
              <w:rPr>
                <w:rFonts w:hint="eastAsia" w:ascii="宋体" w:hAnsi="宋体" w:cs="宋体"/>
                <w:color w:val="auto"/>
                <w:kern w:val="0"/>
                <w:sz w:val="22"/>
                <w:szCs w:val="24"/>
                <w:highlight w:val="none"/>
              </w:rPr>
            </w:pPr>
            <w:r>
              <w:rPr>
                <w:rFonts w:hint="eastAsia" w:ascii="宋体" w:hAnsi="宋体" w:cs="宋体"/>
                <w:color w:val="auto"/>
                <w:kern w:val="0"/>
                <w:sz w:val="22"/>
                <w:szCs w:val="24"/>
                <w:highlight w:val="none"/>
              </w:rPr>
              <w:t>37020</w:t>
            </w:r>
          </w:p>
        </w:tc>
        <w:tc>
          <w:tcPr>
            <w:tcW w:w="1701" w:type="dxa"/>
            <w:tcBorders>
              <w:top w:val="nil"/>
              <w:left w:val="nil"/>
              <w:bottom w:val="single" w:color="auto" w:sz="4" w:space="0"/>
              <w:right w:val="single" w:color="auto" w:sz="4" w:space="0"/>
            </w:tcBorders>
            <w:vAlign w:val="center"/>
          </w:tcPr>
          <w:p>
            <w:pPr>
              <w:widowControl/>
              <w:spacing w:line="360" w:lineRule="auto"/>
              <w:jc w:val="right"/>
              <w:rPr>
                <w:rFonts w:hint="eastAsia" w:ascii="宋体" w:hAnsi="宋体" w:cs="宋体"/>
                <w:color w:val="auto"/>
                <w:kern w:val="0"/>
                <w:sz w:val="22"/>
                <w:szCs w:val="24"/>
                <w:highlight w:val="none"/>
              </w:rPr>
            </w:pPr>
            <w:r>
              <w:rPr>
                <w:rFonts w:hint="eastAsia" w:ascii="宋体" w:hAnsi="宋体" w:cs="宋体"/>
                <w:color w:val="auto"/>
                <w:kern w:val="0"/>
                <w:sz w:val="22"/>
                <w:szCs w:val="24"/>
                <w:highlight w:val="none"/>
              </w:rPr>
              <w:t>37272</w:t>
            </w:r>
          </w:p>
        </w:tc>
        <w:tc>
          <w:tcPr>
            <w:tcW w:w="1701" w:type="dxa"/>
            <w:tcBorders>
              <w:top w:val="nil"/>
              <w:left w:val="nil"/>
              <w:bottom w:val="single" w:color="auto" w:sz="4" w:space="0"/>
              <w:right w:val="single" w:color="auto" w:sz="4" w:space="0"/>
            </w:tcBorders>
            <w:vAlign w:val="center"/>
          </w:tcPr>
          <w:p>
            <w:pPr>
              <w:widowControl/>
              <w:spacing w:line="360" w:lineRule="auto"/>
              <w:jc w:val="right"/>
              <w:rPr>
                <w:rFonts w:hint="eastAsia" w:ascii="宋体" w:hAnsi="宋体" w:cs="宋体"/>
                <w:color w:val="auto"/>
                <w:kern w:val="0"/>
                <w:sz w:val="22"/>
                <w:szCs w:val="24"/>
                <w:highlight w:val="none"/>
              </w:rPr>
            </w:pPr>
            <w:r>
              <w:rPr>
                <w:rFonts w:hint="eastAsia" w:ascii="宋体" w:hAnsi="宋体" w:cs="宋体"/>
                <w:color w:val="auto"/>
                <w:kern w:val="0"/>
                <w:sz w:val="22"/>
                <w:szCs w:val="24"/>
                <w:highlight w:val="none"/>
              </w:rPr>
              <w:t>101863.8</w:t>
            </w:r>
          </w:p>
        </w:tc>
        <w:tc>
          <w:tcPr>
            <w:tcW w:w="1276" w:type="dxa"/>
            <w:tcBorders>
              <w:top w:val="nil"/>
              <w:left w:val="nil"/>
              <w:bottom w:val="single" w:color="auto" w:sz="4" w:space="0"/>
              <w:right w:val="single" w:color="auto" w:sz="4" w:space="0"/>
            </w:tcBorders>
            <w:vAlign w:val="center"/>
          </w:tcPr>
          <w:p>
            <w:pPr>
              <w:widowControl/>
              <w:spacing w:line="360" w:lineRule="auto"/>
              <w:jc w:val="right"/>
              <w:rPr>
                <w:rFonts w:hint="eastAsia" w:ascii="宋体" w:hAnsi="宋体" w:cs="宋体"/>
                <w:color w:val="auto"/>
                <w:kern w:val="0"/>
                <w:sz w:val="22"/>
                <w:szCs w:val="24"/>
                <w:highlight w:val="none"/>
              </w:rPr>
            </w:pPr>
          </w:p>
        </w:tc>
      </w:tr>
      <w:tr>
        <w:tblPrEx>
          <w:tblCellMar>
            <w:top w:w="0" w:type="dxa"/>
            <w:left w:w="108" w:type="dxa"/>
            <w:bottom w:w="0" w:type="dxa"/>
            <w:right w:w="108" w:type="dxa"/>
          </w:tblCellMar>
        </w:tblPrEx>
        <w:trPr>
          <w:trHeight w:val="483" w:hRule="atLeast"/>
        </w:trPr>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right"/>
              <w:rPr>
                <w:rFonts w:hint="eastAsia" w:ascii="宋体" w:hAnsi="宋体" w:cs="宋体"/>
                <w:color w:val="auto"/>
                <w:kern w:val="0"/>
                <w:sz w:val="22"/>
                <w:szCs w:val="24"/>
                <w:highlight w:val="none"/>
              </w:rPr>
            </w:pPr>
            <w:r>
              <w:rPr>
                <w:rFonts w:hint="eastAsia" w:ascii="宋体" w:hAnsi="宋体" w:cs="宋体"/>
                <w:color w:val="auto"/>
                <w:kern w:val="0"/>
                <w:sz w:val="22"/>
                <w:szCs w:val="24"/>
                <w:highlight w:val="none"/>
              </w:rPr>
              <w:t>标段二</w:t>
            </w:r>
          </w:p>
        </w:tc>
        <w:tc>
          <w:tcPr>
            <w:tcW w:w="1984" w:type="dxa"/>
            <w:tcBorders>
              <w:top w:val="nil"/>
              <w:left w:val="nil"/>
              <w:bottom w:val="single" w:color="auto" w:sz="4" w:space="0"/>
              <w:right w:val="single" w:color="auto" w:sz="4" w:space="0"/>
            </w:tcBorders>
            <w:vAlign w:val="center"/>
          </w:tcPr>
          <w:p>
            <w:pPr>
              <w:widowControl/>
              <w:spacing w:line="360" w:lineRule="auto"/>
              <w:jc w:val="right"/>
              <w:rPr>
                <w:rFonts w:hint="eastAsia" w:ascii="宋体" w:hAnsi="宋体" w:cs="宋体"/>
                <w:color w:val="auto"/>
                <w:kern w:val="0"/>
                <w:sz w:val="22"/>
                <w:szCs w:val="24"/>
                <w:highlight w:val="none"/>
              </w:rPr>
            </w:pPr>
            <w:r>
              <w:rPr>
                <w:rFonts w:hint="eastAsia" w:ascii="宋体" w:hAnsi="宋体" w:cs="宋体"/>
                <w:color w:val="auto"/>
                <w:kern w:val="0"/>
                <w:sz w:val="22"/>
                <w:szCs w:val="24"/>
                <w:highlight w:val="none"/>
              </w:rPr>
              <w:t>10084.8</w:t>
            </w:r>
          </w:p>
        </w:tc>
        <w:tc>
          <w:tcPr>
            <w:tcW w:w="1843" w:type="dxa"/>
            <w:tcBorders>
              <w:top w:val="nil"/>
              <w:left w:val="nil"/>
              <w:bottom w:val="single" w:color="auto" w:sz="4" w:space="0"/>
              <w:right w:val="single" w:color="auto" w:sz="4" w:space="0"/>
            </w:tcBorders>
            <w:vAlign w:val="center"/>
          </w:tcPr>
          <w:p>
            <w:pPr>
              <w:widowControl/>
              <w:spacing w:line="360" w:lineRule="auto"/>
              <w:jc w:val="right"/>
              <w:rPr>
                <w:rFonts w:hint="eastAsia" w:ascii="宋体" w:hAnsi="宋体" w:cs="宋体"/>
                <w:color w:val="auto"/>
                <w:kern w:val="0"/>
                <w:sz w:val="22"/>
                <w:szCs w:val="24"/>
                <w:highlight w:val="none"/>
              </w:rPr>
            </w:pPr>
            <w:r>
              <w:rPr>
                <w:rFonts w:hint="eastAsia" w:ascii="宋体" w:hAnsi="宋体" w:cs="宋体"/>
                <w:color w:val="auto"/>
                <w:kern w:val="0"/>
                <w:sz w:val="22"/>
                <w:szCs w:val="24"/>
                <w:highlight w:val="none"/>
              </w:rPr>
              <w:t>13458.4</w:t>
            </w:r>
          </w:p>
        </w:tc>
        <w:tc>
          <w:tcPr>
            <w:tcW w:w="1701" w:type="dxa"/>
            <w:tcBorders>
              <w:top w:val="nil"/>
              <w:left w:val="nil"/>
              <w:bottom w:val="single" w:color="auto" w:sz="4" w:space="0"/>
              <w:right w:val="single" w:color="auto" w:sz="4" w:space="0"/>
            </w:tcBorders>
            <w:vAlign w:val="center"/>
          </w:tcPr>
          <w:p>
            <w:pPr>
              <w:widowControl/>
              <w:spacing w:line="360" w:lineRule="auto"/>
              <w:jc w:val="right"/>
              <w:rPr>
                <w:rFonts w:hint="eastAsia" w:ascii="宋体" w:hAnsi="宋体" w:cs="宋体"/>
                <w:color w:val="auto"/>
                <w:kern w:val="0"/>
                <w:sz w:val="22"/>
                <w:szCs w:val="24"/>
                <w:highlight w:val="none"/>
              </w:rPr>
            </w:pPr>
            <w:r>
              <w:rPr>
                <w:rFonts w:hint="eastAsia" w:ascii="宋体" w:hAnsi="宋体" w:cs="宋体"/>
                <w:color w:val="auto"/>
                <w:kern w:val="0"/>
                <w:sz w:val="22"/>
                <w:szCs w:val="24"/>
                <w:highlight w:val="none"/>
              </w:rPr>
              <w:t>13471.6</w:t>
            </w:r>
          </w:p>
        </w:tc>
        <w:tc>
          <w:tcPr>
            <w:tcW w:w="1701" w:type="dxa"/>
            <w:tcBorders>
              <w:top w:val="nil"/>
              <w:left w:val="nil"/>
              <w:bottom w:val="single" w:color="auto" w:sz="4" w:space="0"/>
              <w:right w:val="single" w:color="auto" w:sz="4" w:space="0"/>
            </w:tcBorders>
            <w:vAlign w:val="center"/>
          </w:tcPr>
          <w:p>
            <w:pPr>
              <w:widowControl/>
              <w:spacing w:line="360" w:lineRule="auto"/>
              <w:jc w:val="right"/>
              <w:rPr>
                <w:rFonts w:hint="eastAsia" w:ascii="宋体" w:hAnsi="宋体" w:cs="宋体"/>
                <w:color w:val="auto"/>
                <w:kern w:val="0"/>
                <w:sz w:val="22"/>
                <w:szCs w:val="24"/>
                <w:highlight w:val="none"/>
              </w:rPr>
            </w:pPr>
            <w:r>
              <w:rPr>
                <w:rFonts w:hint="eastAsia" w:ascii="宋体" w:hAnsi="宋体" w:cs="宋体"/>
                <w:color w:val="auto"/>
                <w:kern w:val="0"/>
                <w:sz w:val="22"/>
                <w:szCs w:val="24"/>
                <w:highlight w:val="none"/>
              </w:rPr>
              <w:t>37014.8</w:t>
            </w:r>
          </w:p>
        </w:tc>
        <w:tc>
          <w:tcPr>
            <w:tcW w:w="1276" w:type="dxa"/>
            <w:tcBorders>
              <w:top w:val="nil"/>
              <w:left w:val="nil"/>
              <w:bottom w:val="single" w:color="auto" w:sz="4" w:space="0"/>
              <w:right w:val="single" w:color="auto" w:sz="4" w:space="0"/>
            </w:tcBorders>
            <w:vAlign w:val="center"/>
          </w:tcPr>
          <w:p>
            <w:pPr>
              <w:widowControl/>
              <w:spacing w:line="360" w:lineRule="auto"/>
              <w:jc w:val="right"/>
              <w:rPr>
                <w:rFonts w:hint="eastAsia" w:ascii="宋体" w:hAnsi="宋体" w:cs="宋体"/>
                <w:color w:val="auto"/>
                <w:kern w:val="0"/>
                <w:sz w:val="22"/>
                <w:szCs w:val="24"/>
                <w:highlight w:val="none"/>
              </w:rPr>
            </w:pPr>
          </w:p>
        </w:tc>
      </w:tr>
      <w:tr>
        <w:tblPrEx>
          <w:tblCellMar>
            <w:top w:w="0" w:type="dxa"/>
            <w:left w:w="108" w:type="dxa"/>
            <w:bottom w:w="0" w:type="dxa"/>
            <w:right w:w="108" w:type="dxa"/>
          </w:tblCellMar>
        </w:tblPrEx>
        <w:trPr>
          <w:trHeight w:val="590" w:hRule="atLeast"/>
        </w:trPr>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right"/>
              <w:rPr>
                <w:rFonts w:hint="eastAsia" w:ascii="宋体" w:hAnsi="宋体" w:cs="宋体"/>
                <w:color w:val="auto"/>
                <w:kern w:val="0"/>
                <w:sz w:val="22"/>
                <w:szCs w:val="24"/>
                <w:highlight w:val="none"/>
              </w:rPr>
            </w:pPr>
            <w:r>
              <w:rPr>
                <w:rFonts w:hint="eastAsia" w:ascii="宋体" w:hAnsi="宋体" w:cs="宋体"/>
                <w:color w:val="auto"/>
                <w:kern w:val="0"/>
                <w:sz w:val="22"/>
                <w:szCs w:val="24"/>
                <w:highlight w:val="none"/>
              </w:rPr>
              <w:t>标段三</w:t>
            </w:r>
          </w:p>
        </w:tc>
        <w:tc>
          <w:tcPr>
            <w:tcW w:w="1984" w:type="dxa"/>
            <w:tcBorders>
              <w:top w:val="single" w:color="auto" w:sz="4" w:space="0"/>
              <w:left w:val="nil"/>
              <w:bottom w:val="single" w:color="auto" w:sz="4" w:space="0"/>
              <w:right w:val="single" w:color="auto" w:sz="4" w:space="0"/>
            </w:tcBorders>
            <w:vAlign w:val="center"/>
          </w:tcPr>
          <w:p>
            <w:pPr>
              <w:widowControl/>
              <w:spacing w:line="360" w:lineRule="auto"/>
              <w:jc w:val="right"/>
              <w:rPr>
                <w:rFonts w:hint="eastAsia" w:ascii="宋体" w:hAnsi="宋体" w:cs="宋体"/>
                <w:color w:val="auto"/>
                <w:kern w:val="0"/>
                <w:sz w:val="22"/>
                <w:szCs w:val="24"/>
                <w:highlight w:val="none"/>
              </w:rPr>
            </w:pPr>
            <w:r>
              <w:rPr>
                <w:rFonts w:hint="eastAsia" w:ascii="宋体" w:hAnsi="宋体" w:cs="宋体"/>
                <w:color w:val="auto"/>
                <w:kern w:val="0"/>
                <w:sz w:val="22"/>
                <w:szCs w:val="24"/>
                <w:highlight w:val="none"/>
              </w:rPr>
              <w:t>6753.9</w:t>
            </w:r>
          </w:p>
        </w:tc>
        <w:tc>
          <w:tcPr>
            <w:tcW w:w="1843" w:type="dxa"/>
            <w:tcBorders>
              <w:top w:val="single" w:color="auto" w:sz="4" w:space="0"/>
              <w:left w:val="nil"/>
              <w:bottom w:val="single" w:color="auto" w:sz="4" w:space="0"/>
              <w:right w:val="single" w:color="auto" w:sz="4" w:space="0"/>
            </w:tcBorders>
            <w:vAlign w:val="center"/>
          </w:tcPr>
          <w:p>
            <w:pPr>
              <w:widowControl/>
              <w:spacing w:line="360" w:lineRule="auto"/>
              <w:jc w:val="right"/>
              <w:rPr>
                <w:rFonts w:hint="eastAsia" w:ascii="宋体" w:hAnsi="宋体" w:cs="宋体"/>
                <w:color w:val="auto"/>
                <w:kern w:val="0"/>
                <w:sz w:val="22"/>
                <w:szCs w:val="24"/>
                <w:highlight w:val="none"/>
              </w:rPr>
            </w:pPr>
            <w:r>
              <w:rPr>
                <w:rFonts w:hint="eastAsia" w:ascii="宋体" w:hAnsi="宋体" w:cs="宋体"/>
                <w:color w:val="auto"/>
                <w:kern w:val="0"/>
                <w:sz w:val="22"/>
                <w:szCs w:val="24"/>
                <w:highlight w:val="none"/>
              </w:rPr>
              <w:t>8976</w:t>
            </w:r>
          </w:p>
        </w:tc>
        <w:tc>
          <w:tcPr>
            <w:tcW w:w="1701" w:type="dxa"/>
            <w:tcBorders>
              <w:top w:val="single" w:color="auto" w:sz="4" w:space="0"/>
              <w:left w:val="nil"/>
              <w:bottom w:val="single" w:color="auto" w:sz="4" w:space="0"/>
              <w:right w:val="single" w:color="auto" w:sz="4" w:space="0"/>
            </w:tcBorders>
            <w:vAlign w:val="center"/>
          </w:tcPr>
          <w:p>
            <w:pPr>
              <w:widowControl/>
              <w:spacing w:line="360" w:lineRule="auto"/>
              <w:jc w:val="right"/>
              <w:rPr>
                <w:rFonts w:hint="eastAsia" w:ascii="宋体" w:hAnsi="宋体" w:cs="宋体"/>
                <w:color w:val="auto"/>
                <w:kern w:val="0"/>
                <w:sz w:val="22"/>
                <w:szCs w:val="24"/>
                <w:highlight w:val="none"/>
              </w:rPr>
            </w:pPr>
            <w:r>
              <w:rPr>
                <w:rFonts w:hint="eastAsia" w:ascii="宋体" w:hAnsi="宋体" w:cs="宋体"/>
                <w:color w:val="auto"/>
                <w:kern w:val="0"/>
                <w:sz w:val="22"/>
                <w:szCs w:val="24"/>
                <w:highlight w:val="none"/>
              </w:rPr>
              <w:t>8956</w:t>
            </w:r>
          </w:p>
        </w:tc>
        <w:tc>
          <w:tcPr>
            <w:tcW w:w="1701" w:type="dxa"/>
            <w:tcBorders>
              <w:top w:val="single" w:color="auto" w:sz="4" w:space="0"/>
              <w:left w:val="nil"/>
              <w:bottom w:val="single" w:color="auto" w:sz="4" w:space="0"/>
              <w:right w:val="single" w:color="auto" w:sz="4" w:space="0"/>
            </w:tcBorders>
            <w:vAlign w:val="center"/>
          </w:tcPr>
          <w:p>
            <w:pPr>
              <w:widowControl/>
              <w:spacing w:line="360" w:lineRule="auto"/>
              <w:jc w:val="right"/>
              <w:rPr>
                <w:rFonts w:hint="eastAsia" w:ascii="宋体" w:hAnsi="宋体" w:cs="宋体"/>
                <w:color w:val="auto"/>
                <w:kern w:val="0"/>
                <w:sz w:val="22"/>
                <w:szCs w:val="24"/>
                <w:highlight w:val="none"/>
              </w:rPr>
            </w:pPr>
            <w:r>
              <w:rPr>
                <w:rFonts w:hint="eastAsia" w:ascii="宋体" w:hAnsi="宋体" w:cs="宋体"/>
                <w:color w:val="auto"/>
                <w:kern w:val="0"/>
                <w:sz w:val="22"/>
                <w:szCs w:val="24"/>
                <w:highlight w:val="none"/>
              </w:rPr>
              <w:t>24685.9</w:t>
            </w:r>
          </w:p>
        </w:tc>
        <w:tc>
          <w:tcPr>
            <w:tcW w:w="1276" w:type="dxa"/>
            <w:tcBorders>
              <w:top w:val="single" w:color="auto" w:sz="4" w:space="0"/>
              <w:left w:val="nil"/>
              <w:bottom w:val="single" w:color="auto" w:sz="4" w:space="0"/>
              <w:right w:val="single" w:color="auto" w:sz="4" w:space="0"/>
            </w:tcBorders>
            <w:vAlign w:val="center"/>
          </w:tcPr>
          <w:p>
            <w:pPr>
              <w:widowControl/>
              <w:spacing w:line="360" w:lineRule="auto"/>
              <w:jc w:val="right"/>
              <w:rPr>
                <w:rFonts w:hint="eastAsia" w:ascii="宋体" w:hAnsi="宋体" w:cs="宋体"/>
                <w:color w:val="auto"/>
                <w:kern w:val="0"/>
                <w:sz w:val="22"/>
                <w:szCs w:val="24"/>
                <w:highlight w:val="none"/>
              </w:rPr>
            </w:pPr>
          </w:p>
        </w:tc>
      </w:tr>
      <w:tr>
        <w:tblPrEx>
          <w:tblCellMar>
            <w:top w:w="0" w:type="dxa"/>
            <w:left w:w="108" w:type="dxa"/>
            <w:bottom w:w="0" w:type="dxa"/>
            <w:right w:w="108" w:type="dxa"/>
          </w:tblCellMar>
        </w:tblPrEx>
        <w:trPr>
          <w:trHeight w:val="556" w:hRule="atLeast"/>
        </w:trPr>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right"/>
              <w:rPr>
                <w:rFonts w:hint="eastAsia" w:ascii="宋体" w:hAnsi="宋体" w:cs="宋体"/>
                <w:b/>
                <w:color w:val="auto"/>
                <w:kern w:val="0"/>
                <w:sz w:val="22"/>
                <w:szCs w:val="24"/>
                <w:highlight w:val="none"/>
              </w:rPr>
            </w:pPr>
            <w:r>
              <w:rPr>
                <w:rFonts w:hint="eastAsia" w:ascii="宋体" w:hAnsi="宋体" w:cs="宋体"/>
                <w:b/>
                <w:color w:val="auto"/>
                <w:kern w:val="0"/>
                <w:sz w:val="22"/>
                <w:szCs w:val="24"/>
                <w:highlight w:val="none"/>
              </w:rPr>
              <w:t>合计</w:t>
            </w:r>
          </w:p>
        </w:tc>
        <w:tc>
          <w:tcPr>
            <w:tcW w:w="1984" w:type="dxa"/>
            <w:tcBorders>
              <w:top w:val="single" w:color="auto" w:sz="4" w:space="0"/>
              <w:left w:val="nil"/>
              <w:bottom w:val="single" w:color="auto" w:sz="4" w:space="0"/>
              <w:right w:val="single" w:color="auto" w:sz="4" w:space="0"/>
            </w:tcBorders>
            <w:vAlign w:val="center"/>
          </w:tcPr>
          <w:p>
            <w:pPr>
              <w:widowControl/>
              <w:spacing w:line="360" w:lineRule="auto"/>
              <w:jc w:val="right"/>
              <w:rPr>
                <w:rFonts w:hint="eastAsia" w:ascii="宋体" w:hAnsi="宋体" w:cs="宋体"/>
                <w:color w:val="auto"/>
                <w:kern w:val="0"/>
                <w:sz w:val="22"/>
                <w:szCs w:val="24"/>
                <w:highlight w:val="none"/>
              </w:rPr>
            </w:pPr>
            <w:r>
              <w:rPr>
                <w:rFonts w:hint="eastAsia" w:ascii="宋体" w:hAnsi="宋体" w:cs="宋体"/>
                <w:color w:val="auto"/>
                <w:kern w:val="0"/>
                <w:sz w:val="22"/>
                <w:szCs w:val="24"/>
                <w:highlight w:val="none"/>
              </w:rPr>
              <w:t>44410.5</w:t>
            </w:r>
          </w:p>
        </w:tc>
        <w:tc>
          <w:tcPr>
            <w:tcW w:w="1843" w:type="dxa"/>
            <w:tcBorders>
              <w:top w:val="single" w:color="auto" w:sz="4" w:space="0"/>
              <w:left w:val="nil"/>
              <w:bottom w:val="single" w:color="auto" w:sz="4" w:space="0"/>
              <w:right w:val="single" w:color="auto" w:sz="4" w:space="0"/>
            </w:tcBorders>
            <w:vAlign w:val="center"/>
          </w:tcPr>
          <w:p>
            <w:pPr>
              <w:widowControl/>
              <w:spacing w:line="360" w:lineRule="auto"/>
              <w:jc w:val="right"/>
              <w:rPr>
                <w:rFonts w:hint="eastAsia" w:ascii="宋体" w:hAnsi="宋体" w:cs="宋体"/>
                <w:color w:val="auto"/>
                <w:kern w:val="0"/>
                <w:sz w:val="22"/>
                <w:szCs w:val="24"/>
                <w:highlight w:val="none"/>
              </w:rPr>
            </w:pPr>
            <w:r>
              <w:rPr>
                <w:rFonts w:hint="eastAsia" w:ascii="宋体" w:hAnsi="宋体" w:cs="宋体"/>
                <w:color w:val="auto"/>
                <w:kern w:val="0"/>
                <w:sz w:val="22"/>
                <w:szCs w:val="24"/>
                <w:highlight w:val="none"/>
              </w:rPr>
              <w:t>59454.4</w:t>
            </w:r>
          </w:p>
        </w:tc>
        <w:tc>
          <w:tcPr>
            <w:tcW w:w="1701" w:type="dxa"/>
            <w:tcBorders>
              <w:top w:val="single" w:color="auto" w:sz="4" w:space="0"/>
              <w:left w:val="nil"/>
              <w:bottom w:val="single" w:color="auto" w:sz="4" w:space="0"/>
              <w:right w:val="single" w:color="auto" w:sz="4" w:space="0"/>
            </w:tcBorders>
            <w:vAlign w:val="center"/>
          </w:tcPr>
          <w:p>
            <w:pPr>
              <w:widowControl/>
              <w:spacing w:line="360" w:lineRule="auto"/>
              <w:jc w:val="right"/>
              <w:rPr>
                <w:rFonts w:hint="eastAsia" w:ascii="宋体" w:hAnsi="宋体" w:cs="宋体"/>
                <w:color w:val="auto"/>
                <w:kern w:val="0"/>
                <w:sz w:val="22"/>
                <w:szCs w:val="24"/>
                <w:highlight w:val="none"/>
              </w:rPr>
            </w:pPr>
            <w:r>
              <w:rPr>
                <w:rFonts w:hint="eastAsia" w:ascii="宋体" w:hAnsi="宋体" w:cs="宋体"/>
                <w:color w:val="auto"/>
                <w:kern w:val="0"/>
                <w:sz w:val="22"/>
                <w:szCs w:val="24"/>
                <w:highlight w:val="none"/>
              </w:rPr>
              <w:t>59699.6</w:t>
            </w:r>
          </w:p>
        </w:tc>
        <w:tc>
          <w:tcPr>
            <w:tcW w:w="1701" w:type="dxa"/>
            <w:tcBorders>
              <w:top w:val="single" w:color="auto" w:sz="4" w:space="0"/>
              <w:left w:val="nil"/>
              <w:bottom w:val="single" w:color="auto" w:sz="4" w:space="0"/>
              <w:right w:val="single" w:color="auto" w:sz="4" w:space="0"/>
            </w:tcBorders>
            <w:vAlign w:val="center"/>
          </w:tcPr>
          <w:p>
            <w:pPr>
              <w:widowControl/>
              <w:spacing w:line="360" w:lineRule="auto"/>
              <w:jc w:val="right"/>
              <w:rPr>
                <w:rFonts w:hint="eastAsia" w:ascii="宋体" w:hAnsi="宋体" w:cs="宋体"/>
                <w:color w:val="auto"/>
                <w:kern w:val="0"/>
                <w:sz w:val="22"/>
                <w:szCs w:val="24"/>
                <w:highlight w:val="none"/>
              </w:rPr>
            </w:pPr>
            <w:r>
              <w:rPr>
                <w:rFonts w:hint="eastAsia" w:ascii="宋体" w:hAnsi="宋体" w:cs="宋体"/>
                <w:color w:val="auto"/>
                <w:kern w:val="0"/>
                <w:sz w:val="22"/>
                <w:szCs w:val="24"/>
                <w:highlight w:val="none"/>
              </w:rPr>
              <w:t>163564.5</w:t>
            </w:r>
          </w:p>
        </w:tc>
        <w:tc>
          <w:tcPr>
            <w:tcW w:w="1276" w:type="dxa"/>
            <w:tcBorders>
              <w:top w:val="single" w:color="auto" w:sz="4" w:space="0"/>
              <w:left w:val="nil"/>
              <w:bottom w:val="single" w:color="auto" w:sz="4" w:space="0"/>
              <w:right w:val="single" w:color="auto" w:sz="4" w:space="0"/>
            </w:tcBorders>
            <w:vAlign w:val="center"/>
          </w:tcPr>
          <w:p>
            <w:pPr>
              <w:widowControl/>
              <w:spacing w:line="360" w:lineRule="auto"/>
              <w:jc w:val="right"/>
              <w:rPr>
                <w:rFonts w:hint="eastAsia" w:ascii="宋体" w:hAnsi="宋体" w:cs="宋体"/>
                <w:color w:val="auto"/>
                <w:kern w:val="0"/>
                <w:sz w:val="22"/>
                <w:szCs w:val="24"/>
                <w:highlight w:val="none"/>
              </w:rPr>
            </w:pPr>
          </w:p>
        </w:tc>
      </w:tr>
    </w:tbl>
    <w:p>
      <w:pPr>
        <w:spacing w:line="360" w:lineRule="auto"/>
        <w:ind w:firstLine="480" w:firstLineChars="200"/>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备注：若我市大病保险政策调整，则采购预算可作相应调整。</w:t>
      </w:r>
    </w:p>
    <w:p>
      <w:pPr>
        <w:spacing w:line="360" w:lineRule="auto"/>
        <w:ind w:firstLine="470" w:firstLineChars="196"/>
        <w:outlineLvl w:val="0"/>
        <w:rPr>
          <w:rFonts w:hint="eastAsia" w:ascii="宋体" w:hAnsi="宋体" w:cs="宋体"/>
          <w:bCs/>
          <w:color w:val="auto"/>
          <w:sz w:val="24"/>
          <w:szCs w:val="24"/>
          <w:highlight w:val="none"/>
        </w:rPr>
      </w:pPr>
      <w:r>
        <w:rPr>
          <w:rFonts w:hint="eastAsia" w:ascii="宋体" w:hAnsi="宋体" w:cs="宋体"/>
          <w:bCs/>
          <w:color w:val="auto"/>
          <w:sz w:val="24"/>
          <w:szCs w:val="24"/>
          <w:highlight w:val="none"/>
        </w:rPr>
        <w:t>（4）中标保险公司可以向采购人申请相关信息系统及数据的使用；</w:t>
      </w:r>
    </w:p>
    <w:p>
      <w:pPr>
        <w:spacing w:line="360" w:lineRule="auto"/>
        <w:ind w:left="-2" w:leftChars="-1" w:firstLine="480" w:firstLineChars="200"/>
        <w:outlineLvl w:val="0"/>
        <w:rPr>
          <w:rFonts w:hint="eastAsia" w:ascii="宋体" w:hAnsi="宋体" w:cs="宋体"/>
          <w:bCs/>
          <w:color w:val="auto"/>
          <w:sz w:val="24"/>
          <w:szCs w:val="24"/>
          <w:highlight w:val="none"/>
        </w:rPr>
      </w:pPr>
      <w:r>
        <w:rPr>
          <w:rFonts w:hint="eastAsia" w:ascii="宋体" w:hAnsi="宋体" w:cs="宋体"/>
          <w:bCs/>
          <w:color w:val="auto"/>
          <w:sz w:val="24"/>
          <w:szCs w:val="24"/>
          <w:highlight w:val="none"/>
        </w:rPr>
        <w:t>（5）中标保险公司视工作需要，在向采购人提出协调相关医疗机构的申请后，采购人应给予必要地指导与协调。</w:t>
      </w:r>
    </w:p>
    <w:p>
      <w:pPr>
        <w:widowControl/>
        <w:spacing w:line="360" w:lineRule="auto"/>
        <w:ind w:firstLine="480" w:firstLineChars="200"/>
        <w:jc w:val="left"/>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7.保费划转</w:t>
      </w:r>
    </w:p>
    <w:p>
      <w:pPr>
        <w:widowControl/>
        <w:spacing w:line="360" w:lineRule="auto"/>
        <w:ind w:firstLine="480" w:firstLineChars="200"/>
        <w:jc w:val="left"/>
        <w:rPr>
          <w:rFonts w:hint="eastAsia" w:ascii="宋体" w:hAnsi="宋体" w:cs="宋体"/>
          <w:bCs/>
          <w:color w:val="auto"/>
          <w:sz w:val="24"/>
          <w:szCs w:val="24"/>
          <w:highlight w:val="none"/>
        </w:rPr>
      </w:pPr>
      <w:r>
        <w:rPr>
          <w:rFonts w:hint="eastAsia" w:ascii="宋体" w:hAnsi="宋体" w:cs="宋体"/>
          <w:bCs/>
          <w:color w:val="auto"/>
          <w:sz w:val="24"/>
          <w:szCs w:val="24"/>
          <w:highlight w:val="none"/>
        </w:rPr>
        <w:t>各标段采购人预留年初预算保费总额的4%作为考核款，并以年初预算保费总额为基数，按季（首月）向首席保险公司</w:t>
      </w:r>
      <w:r>
        <w:rPr>
          <w:rFonts w:hint="eastAsia" w:ascii="宋体" w:hAnsi="宋体" w:cs="宋体"/>
          <w:color w:val="auto"/>
          <w:sz w:val="24"/>
          <w:szCs w:val="24"/>
          <w:highlight w:val="none"/>
        </w:rPr>
        <w:t>划拨年</w:t>
      </w:r>
      <w:r>
        <w:rPr>
          <w:rFonts w:hint="eastAsia" w:ascii="宋体" w:hAnsi="宋体" w:cs="宋体"/>
          <w:bCs/>
          <w:color w:val="auto"/>
          <w:sz w:val="24"/>
          <w:szCs w:val="24"/>
          <w:highlight w:val="none"/>
        </w:rPr>
        <w:t>初预算</w:t>
      </w:r>
      <w:r>
        <w:rPr>
          <w:rFonts w:hint="eastAsia" w:ascii="宋体" w:hAnsi="宋体" w:cs="宋体"/>
          <w:color w:val="auto"/>
          <w:sz w:val="24"/>
          <w:szCs w:val="24"/>
          <w:highlight w:val="none"/>
        </w:rPr>
        <w:t>保费总额的24%。</w:t>
      </w:r>
      <w:r>
        <w:rPr>
          <w:rFonts w:hint="eastAsia" w:ascii="宋体" w:hAnsi="宋体" w:cs="宋体"/>
          <w:b/>
          <w:color w:val="auto"/>
          <w:sz w:val="24"/>
          <w:szCs w:val="24"/>
          <w:highlight w:val="none"/>
        </w:rPr>
        <w:t>考核款待年度考核后一并结算</w:t>
      </w:r>
      <w:r>
        <w:rPr>
          <w:rFonts w:hint="eastAsia" w:ascii="宋体" w:hAnsi="宋体" w:cs="宋体"/>
          <w:color w:val="auto"/>
          <w:sz w:val="24"/>
          <w:szCs w:val="24"/>
          <w:highlight w:val="none"/>
        </w:rPr>
        <w:t>。</w:t>
      </w:r>
      <w:r>
        <w:rPr>
          <w:rFonts w:hint="eastAsia" w:ascii="宋体" w:hAnsi="宋体" w:cs="宋体"/>
          <w:bCs/>
          <w:color w:val="auto"/>
          <w:sz w:val="24"/>
          <w:szCs w:val="24"/>
          <w:highlight w:val="none"/>
        </w:rPr>
        <w:t>首席保险公司在收到保费后15日内，按承保份额划转给该标段的从共保成员。</w:t>
      </w:r>
    </w:p>
    <w:p>
      <w:pPr>
        <w:spacing w:line="360" w:lineRule="auto"/>
        <w:ind w:left="-2" w:leftChars="-1" w:firstLine="480" w:firstLineChars="200"/>
        <w:outlineLvl w:val="0"/>
        <w:rPr>
          <w:rFonts w:hint="eastAsia" w:ascii="宋体" w:hAnsi="宋体" w:cs="宋体"/>
          <w:color w:val="auto"/>
          <w:sz w:val="24"/>
          <w:szCs w:val="24"/>
          <w:highlight w:val="none"/>
        </w:rPr>
      </w:pPr>
      <w:r>
        <w:rPr>
          <w:rFonts w:hint="eastAsia" w:ascii="宋体" w:hAnsi="宋体" w:cs="宋体"/>
          <w:color w:val="auto"/>
          <w:sz w:val="24"/>
          <w:szCs w:val="24"/>
          <w:highlight w:val="none"/>
        </w:rPr>
        <w:t>符合儿童苯丙酮尿症病种保障范围的医疗费用中城乡居民基本医疗保险基金支付的部分，由基本医疗保险统筹基金和大病保险资金暂按3：1的比例共同负担，每年年末清算大病保险资金时统一计算。</w:t>
      </w:r>
    </w:p>
    <w:p>
      <w:pPr>
        <w:spacing w:line="360" w:lineRule="auto"/>
        <w:ind w:left="-2" w:leftChars="-1" w:firstLine="480" w:firstLineChars="200"/>
        <w:outlineLvl w:val="0"/>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8.基本服务要求</w:t>
      </w:r>
    </w:p>
    <w:p>
      <w:pPr>
        <w:widowControl/>
        <w:spacing w:line="360" w:lineRule="auto"/>
        <w:ind w:firstLine="480" w:firstLineChars="200"/>
        <w:jc w:val="left"/>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（1）本项目基本服务内容共计三个服务包</w:t>
      </w:r>
    </w:p>
    <w:p>
      <w:pPr>
        <w:numPr>
          <w:ilvl w:val="0"/>
          <w:numId w:val="3"/>
        </w:numPr>
        <w:spacing w:line="360" w:lineRule="auto"/>
        <w:outlineLvl w:val="0"/>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第一个服务包：巡查稽核、派员驻点、外伤控制核查等</w:t>
      </w:r>
    </w:p>
    <w:p>
      <w:pPr>
        <w:spacing w:line="360" w:lineRule="auto"/>
        <w:ind w:left="531"/>
        <w:outlineLvl w:val="0"/>
        <w:rPr>
          <w:rFonts w:hint="eastAsia" w:ascii="宋体" w:hAnsi="宋体" w:cs="宋体"/>
          <w:b/>
          <w:bCs/>
          <w:color w:val="auto"/>
          <w:sz w:val="24"/>
          <w:szCs w:val="24"/>
          <w:highlight w:val="none"/>
        </w:rPr>
      </w:pPr>
      <w:r>
        <w:rPr>
          <w:rFonts w:hint="eastAsia" w:ascii="宋体" w:hAnsi="宋体" w:cs="宋体"/>
          <w:bCs/>
          <w:color w:val="auto"/>
          <w:sz w:val="24"/>
          <w:szCs w:val="24"/>
          <w:highlight w:val="none"/>
        </w:rPr>
        <w:t>在采购人的指导下开展工作，包括但不限于以下内容：</w:t>
      </w:r>
    </w:p>
    <w:p>
      <w:pPr>
        <w:spacing w:line="360" w:lineRule="auto"/>
        <w:ind w:firstLine="480"/>
        <w:outlineLvl w:val="0"/>
        <w:rPr>
          <w:rFonts w:hint="eastAsia" w:ascii="宋体" w:hAnsi="宋体" w:cs="宋体"/>
          <w:bCs/>
          <w:color w:val="auto"/>
          <w:sz w:val="24"/>
          <w:szCs w:val="24"/>
          <w:highlight w:val="none"/>
        </w:rPr>
      </w:pPr>
      <w:r>
        <w:rPr>
          <w:rFonts w:hint="eastAsia" w:ascii="宋体" w:hAnsi="宋体" w:cs="宋体"/>
          <w:bCs/>
          <w:color w:val="auto"/>
          <w:sz w:val="24"/>
          <w:szCs w:val="24"/>
          <w:highlight w:val="none"/>
        </w:rPr>
        <w:t>①运用医保智能审核系统对医疗费用进行审核，发现疑点及时提交核查；运用视频审核系统对定点医药机构服务行为进行监管；</w:t>
      </w:r>
    </w:p>
    <w:p>
      <w:pPr>
        <w:spacing w:line="360" w:lineRule="auto"/>
        <w:ind w:firstLine="480"/>
        <w:outlineLvl w:val="0"/>
        <w:rPr>
          <w:rFonts w:hint="eastAsia" w:ascii="宋体" w:hAnsi="宋体" w:cs="宋体"/>
          <w:bCs/>
          <w:color w:val="auto"/>
          <w:sz w:val="24"/>
          <w:szCs w:val="24"/>
          <w:highlight w:val="none"/>
        </w:rPr>
      </w:pPr>
      <w:r>
        <w:rPr>
          <w:rFonts w:hint="eastAsia" w:ascii="宋体" w:hAnsi="宋体" w:cs="宋体"/>
          <w:bCs/>
          <w:color w:val="auto"/>
          <w:sz w:val="24"/>
          <w:szCs w:val="24"/>
          <w:highlight w:val="none"/>
        </w:rPr>
        <w:t>②在指定医疗机构进行驻点服务，负责在驻点医疗机构开设医保服务站（包括布置场所氛围、划分功能区域、配置必备硬件），医保服务站建设完成须经采购人验收；提供医保政策咨询和特药、门慢、门特审核及医疗费用手工（零星）报销等服务；人员配置、轮岗方案和服务内容等，由采购人根据实际工作确定；</w:t>
      </w:r>
    </w:p>
    <w:p>
      <w:pPr>
        <w:spacing w:line="360" w:lineRule="auto"/>
        <w:ind w:left="119" w:leftChars="57" w:firstLine="446" w:firstLineChars="186"/>
        <w:outlineLvl w:val="0"/>
        <w:rPr>
          <w:rFonts w:hint="eastAsia" w:ascii="宋体" w:hAnsi="宋体" w:cs="宋体"/>
          <w:bCs/>
          <w:color w:val="auto"/>
          <w:sz w:val="24"/>
          <w:szCs w:val="24"/>
          <w:highlight w:val="none"/>
        </w:rPr>
      </w:pPr>
      <w:r>
        <w:rPr>
          <w:rFonts w:hint="eastAsia" w:ascii="宋体" w:hAnsi="宋体" w:cs="宋体"/>
          <w:bCs/>
          <w:color w:val="auto"/>
          <w:sz w:val="24"/>
          <w:szCs w:val="24"/>
          <w:highlight w:val="none"/>
        </w:rPr>
        <w:t>③在定点医疗机构（包含一、二、三级医疗机构和社区卫生服务机构）开展流动巡查工作。每季度对一、二、三级医疗机构及社区卫生服务中心完成一次全覆盖检查，并形成季度、年度专项书面报告；每季度对社区卫生服务站开展流动巡查，并形成季度、年度专项书面报告，年度内实现社区卫生服务站100%覆盖；有违反医保协议情况的，应及时采集证据并向采购人报告；</w:t>
      </w:r>
    </w:p>
    <w:p>
      <w:pPr>
        <w:spacing w:line="360" w:lineRule="auto"/>
        <w:ind w:left="119" w:leftChars="57" w:firstLine="446" w:firstLineChars="186"/>
        <w:outlineLvl w:val="0"/>
        <w:rPr>
          <w:rFonts w:hint="eastAsia" w:ascii="宋体" w:hAnsi="宋体" w:cs="宋体"/>
          <w:bCs/>
          <w:color w:val="auto"/>
          <w:sz w:val="24"/>
          <w:szCs w:val="24"/>
          <w:highlight w:val="none"/>
        </w:rPr>
      </w:pPr>
      <w:r>
        <w:rPr>
          <w:rFonts w:hint="eastAsia" w:ascii="宋体" w:hAnsi="宋体" w:cs="宋体"/>
          <w:bCs/>
          <w:color w:val="auto"/>
          <w:sz w:val="24"/>
          <w:szCs w:val="24"/>
          <w:highlight w:val="none"/>
        </w:rPr>
        <w:t>④开展专家病历审核工作和特药审核工作，发现并上报定点医疗机构不合规的医疗行为；</w:t>
      </w:r>
    </w:p>
    <w:p>
      <w:pPr>
        <w:spacing w:line="360" w:lineRule="auto"/>
        <w:ind w:left="239" w:leftChars="114" w:firstLine="326" w:firstLineChars="136"/>
        <w:outlineLvl w:val="0"/>
        <w:rPr>
          <w:rFonts w:hint="eastAsia" w:ascii="宋体" w:hAnsi="宋体" w:cs="宋体"/>
          <w:bCs/>
          <w:color w:val="auto"/>
          <w:sz w:val="24"/>
          <w:szCs w:val="24"/>
          <w:highlight w:val="none"/>
        </w:rPr>
      </w:pPr>
      <w:r>
        <w:rPr>
          <w:rFonts w:hint="eastAsia" w:ascii="宋体" w:hAnsi="宋体" w:cs="宋体"/>
          <w:bCs/>
          <w:color w:val="auto"/>
          <w:sz w:val="24"/>
          <w:szCs w:val="24"/>
          <w:highlight w:val="none"/>
        </w:rPr>
        <w:t>⑤分析、监测大病保险运行情况，定期提供专项报告；突发情况，及时预警并向采购人报告；</w:t>
      </w:r>
    </w:p>
    <w:p>
      <w:pPr>
        <w:spacing w:line="360" w:lineRule="auto"/>
        <w:ind w:left="239" w:leftChars="114" w:firstLine="326" w:firstLineChars="136"/>
        <w:outlineLvl w:val="0"/>
        <w:rPr>
          <w:rFonts w:hint="eastAsia" w:ascii="宋体" w:hAnsi="宋体" w:cs="宋体"/>
          <w:bCs/>
          <w:color w:val="auto"/>
          <w:sz w:val="24"/>
          <w:szCs w:val="24"/>
          <w:highlight w:val="none"/>
        </w:rPr>
      </w:pPr>
      <w:r>
        <w:rPr>
          <w:rFonts w:hint="eastAsia" w:ascii="宋体" w:hAnsi="宋体" w:cs="宋体"/>
          <w:bCs/>
          <w:color w:val="auto"/>
          <w:sz w:val="24"/>
          <w:szCs w:val="24"/>
          <w:highlight w:val="none"/>
        </w:rPr>
        <w:t>⑥与各定点医疗机构结算大病医疗费用；</w:t>
      </w:r>
    </w:p>
    <w:p>
      <w:pPr>
        <w:spacing w:line="360" w:lineRule="auto"/>
        <w:ind w:left="239" w:leftChars="114" w:firstLine="326" w:firstLineChars="136"/>
        <w:outlineLvl w:val="0"/>
        <w:rPr>
          <w:rFonts w:hint="eastAsia" w:ascii="宋体" w:hAnsi="宋体" w:cs="宋体"/>
          <w:bCs/>
          <w:color w:val="auto"/>
          <w:sz w:val="24"/>
          <w:szCs w:val="24"/>
          <w:highlight w:val="none"/>
        </w:rPr>
      </w:pPr>
      <w:r>
        <w:rPr>
          <w:rFonts w:hint="eastAsia" w:ascii="宋体" w:hAnsi="宋体" w:cs="宋体"/>
          <w:bCs/>
          <w:color w:val="auto"/>
          <w:sz w:val="24"/>
          <w:szCs w:val="24"/>
          <w:highlight w:val="none"/>
        </w:rPr>
        <w:t xml:space="preserve">⑦开展疑难病案、意外伤害等调查； </w:t>
      </w:r>
    </w:p>
    <w:p>
      <w:pPr>
        <w:spacing w:line="360" w:lineRule="auto"/>
        <w:ind w:firstLine="566" w:firstLineChars="236"/>
        <w:outlineLvl w:val="0"/>
        <w:rPr>
          <w:rFonts w:hint="eastAsia" w:ascii="宋体" w:hAnsi="宋体" w:cs="宋体"/>
          <w:bCs/>
          <w:color w:val="auto"/>
          <w:sz w:val="24"/>
          <w:szCs w:val="24"/>
          <w:highlight w:val="none"/>
        </w:rPr>
      </w:pPr>
      <w:r>
        <w:rPr>
          <w:rFonts w:hint="eastAsia" w:ascii="宋体" w:hAnsi="宋体" w:cs="宋体"/>
          <w:bCs/>
          <w:color w:val="auto"/>
          <w:sz w:val="24"/>
          <w:szCs w:val="24"/>
          <w:highlight w:val="none"/>
        </w:rPr>
        <w:t>⑧开展住院满意度测评；</w:t>
      </w:r>
    </w:p>
    <w:p>
      <w:pPr>
        <w:spacing w:line="360" w:lineRule="auto"/>
        <w:ind w:firstLine="566" w:firstLineChars="236"/>
        <w:outlineLvl w:val="0"/>
        <w:rPr>
          <w:rFonts w:hint="eastAsia" w:ascii="宋体" w:hAnsi="宋体" w:cs="宋体"/>
          <w:bCs/>
          <w:color w:val="auto"/>
          <w:sz w:val="24"/>
          <w:szCs w:val="24"/>
          <w:highlight w:val="none"/>
        </w:rPr>
      </w:pPr>
      <w:r>
        <w:rPr>
          <w:rFonts w:hint="eastAsia" w:ascii="宋体" w:hAnsi="宋体" w:cs="宋体"/>
          <w:bCs/>
          <w:color w:val="auto"/>
          <w:sz w:val="24"/>
          <w:szCs w:val="24"/>
          <w:highlight w:val="none"/>
        </w:rPr>
        <w:t>⑨开展医保相关政策宣传，包括但不限于各类宣传活动的组织、宣传品和资料的制作与发放；</w:t>
      </w:r>
    </w:p>
    <w:p>
      <w:pPr>
        <w:spacing w:line="360" w:lineRule="auto"/>
        <w:ind w:firstLine="566" w:firstLineChars="236"/>
        <w:outlineLvl w:val="0"/>
        <w:rPr>
          <w:rFonts w:hint="eastAsia" w:ascii="宋体" w:hAnsi="宋体" w:cs="宋体"/>
          <w:bCs/>
          <w:color w:val="auto"/>
          <w:sz w:val="24"/>
          <w:szCs w:val="24"/>
          <w:highlight w:val="none"/>
        </w:rPr>
      </w:pPr>
      <w:r>
        <w:rPr>
          <w:rFonts w:hint="eastAsia" w:ascii="宋体" w:hAnsi="宋体" w:cs="宋体"/>
          <w:bCs/>
          <w:color w:val="auto"/>
          <w:sz w:val="24"/>
          <w:szCs w:val="24"/>
          <w:highlight w:val="none"/>
        </w:rPr>
        <w:t>⑩人员配置（</w:t>
      </w:r>
      <w:r>
        <w:rPr>
          <w:rFonts w:hint="eastAsia" w:ascii="宋体" w:hAnsi="宋体"/>
          <w:bCs/>
          <w:color w:val="auto"/>
          <w:sz w:val="24"/>
          <w:szCs w:val="24"/>
          <w:highlight w:val="none"/>
        </w:rPr>
        <w:t>人员配备率须达100%、稳定性须大于80%、空岗率须低于2%</w:t>
      </w:r>
      <w:r>
        <w:rPr>
          <w:rFonts w:hint="eastAsia" w:ascii="宋体" w:hAnsi="宋体" w:cs="宋体"/>
          <w:bCs/>
          <w:color w:val="auto"/>
          <w:sz w:val="24"/>
          <w:szCs w:val="24"/>
          <w:highlight w:val="none"/>
        </w:rPr>
        <w:t>）</w:t>
      </w:r>
    </w:p>
    <w:tbl>
      <w:tblPr>
        <w:tblStyle w:val="24"/>
        <w:tblpPr w:leftFromText="180" w:rightFromText="180" w:vertAnchor="text" w:horzAnchor="margin" w:tblpX="-68" w:tblpY="201"/>
        <w:tblW w:w="10099" w:type="dxa"/>
        <w:tblInd w:w="0" w:type="dxa"/>
        <w:tblLayout w:type="autofit"/>
        <w:tblCellMar>
          <w:top w:w="0" w:type="dxa"/>
          <w:left w:w="108" w:type="dxa"/>
          <w:bottom w:w="0" w:type="dxa"/>
          <w:right w:w="108" w:type="dxa"/>
        </w:tblCellMar>
      </w:tblPr>
      <w:tblGrid>
        <w:gridCol w:w="959"/>
        <w:gridCol w:w="1276"/>
        <w:gridCol w:w="1134"/>
        <w:gridCol w:w="1275"/>
        <w:gridCol w:w="993"/>
        <w:gridCol w:w="4462"/>
      </w:tblGrid>
      <w:tr>
        <w:tblPrEx>
          <w:tblCellMar>
            <w:top w:w="0" w:type="dxa"/>
            <w:left w:w="108" w:type="dxa"/>
            <w:bottom w:w="0" w:type="dxa"/>
            <w:right w:w="108" w:type="dxa"/>
          </w:tblCellMar>
        </w:tblPrEx>
        <w:trPr>
          <w:trHeight w:val="843" w:hRule="atLeast"/>
        </w:trPr>
        <w:tc>
          <w:tcPr>
            <w:tcW w:w="2235"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mc:AlternateContent>
                <mc:Choice Requires="wps">
                  <w:drawing>
                    <wp:anchor distT="0" distB="0" distL="114300" distR="114300" simplePos="0" relativeHeight="251666432" behindDoc="0" locked="0" layoutInCell="1" allowOverlap="1">
                      <wp:simplePos x="0" y="0"/>
                      <wp:positionH relativeFrom="column">
                        <wp:posOffset>-40005</wp:posOffset>
                      </wp:positionH>
                      <wp:positionV relativeFrom="paragraph">
                        <wp:posOffset>19685</wp:posOffset>
                      </wp:positionV>
                      <wp:extent cx="666115" cy="531495"/>
                      <wp:effectExtent l="7620" t="10160" r="12065" b="10795"/>
                      <wp:wrapNone/>
                      <wp:docPr id="36" name="自选图形 15"/>
                      <wp:cNvGraphicFramePr/>
                      <a:graphic xmlns:a="http://schemas.openxmlformats.org/drawingml/2006/main">
                        <a:graphicData uri="http://schemas.microsoft.com/office/word/2010/wordprocessingShape">
                          <wps:wsp>
                            <wps:cNvCnPr>
                              <a:cxnSpLocks noChangeShapeType="1"/>
                            </wps:cNvCnPr>
                            <wps:spPr bwMode="auto">
                              <a:xfrm>
                                <a:off x="0" y="0"/>
                                <a:ext cx="666115" cy="531495"/>
                              </a:xfrm>
                              <a:prstGeom prst="straightConnector1">
                                <a:avLst/>
                              </a:prstGeom>
                              <a:noFill/>
                              <a:ln w="9525">
                                <a:solidFill>
                                  <a:srgbClr val="000000"/>
                                </a:solidFill>
                                <a:round/>
                              </a:ln>
                            </wps:spPr>
                            <wps:bodyPr/>
                          </wps:wsp>
                        </a:graphicData>
                      </a:graphic>
                    </wp:anchor>
                  </w:drawing>
                </mc:Choice>
                <mc:Fallback>
                  <w:pict>
                    <v:shape id="自选图形 15" o:spid="_x0000_s1026" o:spt="32" type="#_x0000_t32" style="position:absolute;left:0pt;margin-left:-3.15pt;margin-top:1.55pt;height:41.85pt;width:52.45pt;z-index:251666432;mso-width-relative:page;mso-height-relative:page;" filled="f" stroked="t" coordsize="21600,21600" o:gfxdata="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MJ8rrDVAAAABgEAAA8AAAAAAAAAAQAgAAAAIgAAAGRycy9kb3ducmV2LnhtbFBLAQIUABQA&#10;AAAIAIdO4kBU09i88wEAALsDAAAOAAAAAAAAAAEAIAAAACQBAABkcnMvZTJvRG9jLnhtbFBLBQYA&#10;AAAABgAGAFkBAACJBQAAAAA=&#10;">
                      <v:fill on="f" focussize="0,0"/>
                      <v:stroke color="#000000" joinstyle="round"/>
                      <v:imagedata o:title=""/>
                      <o:lock v:ext="edit" aspectratio="f"/>
                    </v:shape>
                  </w:pict>
                </mc:Fallback>
              </mc:AlternateContent>
            </w:r>
            <w:r>
              <w:rPr>
                <w:rFonts w:hint="eastAsia" w:ascii="宋体" w:hAnsi="宋体" w:cs="宋体"/>
                <w:color w:val="auto"/>
                <w:kern w:val="0"/>
                <w:sz w:val="24"/>
                <w:szCs w:val="24"/>
                <w:highlight w:val="none"/>
              </w:rPr>
              <mc:AlternateContent>
                <mc:Choice Requires="wps">
                  <w:drawing>
                    <wp:anchor distT="0" distB="0" distL="114300" distR="114300" simplePos="0" relativeHeight="251667456" behindDoc="0" locked="0" layoutInCell="1" allowOverlap="1">
                      <wp:simplePos x="0" y="0"/>
                      <wp:positionH relativeFrom="column">
                        <wp:posOffset>-93980</wp:posOffset>
                      </wp:positionH>
                      <wp:positionV relativeFrom="paragraph">
                        <wp:posOffset>21590</wp:posOffset>
                      </wp:positionV>
                      <wp:extent cx="1426210" cy="368935"/>
                      <wp:effectExtent l="10795" t="12065" r="10795" b="9525"/>
                      <wp:wrapNone/>
                      <wp:docPr id="35" name="自选图形 16"/>
                      <wp:cNvGraphicFramePr/>
                      <a:graphic xmlns:a="http://schemas.openxmlformats.org/drawingml/2006/main">
                        <a:graphicData uri="http://schemas.microsoft.com/office/word/2010/wordprocessingShape">
                          <wps:wsp>
                            <wps:cNvCnPr>
                              <a:cxnSpLocks noChangeShapeType="1"/>
                            </wps:cNvCnPr>
                            <wps:spPr bwMode="auto">
                              <a:xfrm>
                                <a:off x="0" y="0"/>
                                <a:ext cx="1426210" cy="368935"/>
                              </a:xfrm>
                              <a:prstGeom prst="straightConnector1">
                                <a:avLst/>
                              </a:prstGeom>
                              <a:noFill/>
                              <a:ln w="9525">
                                <a:solidFill>
                                  <a:srgbClr val="000000"/>
                                </a:solidFill>
                                <a:round/>
                              </a:ln>
                            </wps:spPr>
                            <wps:bodyPr/>
                          </wps:wsp>
                        </a:graphicData>
                      </a:graphic>
                    </wp:anchor>
                  </w:drawing>
                </mc:Choice>
                <mc:Fallback>
                  <w:pict>
                    <v:shape id="自选图形 16" o:spid="_x0000_s1026" o:spt="32" type="#_x0000_t32" style="position:absolute;left:0pt;margin-left:-7.4pt;margin-top:1.7pt;height:29.05pt;width:112.3pt;z-index:251667456;mso-width-relative:page;mso-height-relative:page;" filled="f" stroked="t" coordsize="21600,21600" o:gfxdata="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Ip+R//XAAAACAEAAA8AAAAAAAAAAQAgAAAAIgAAAGRycy9kb3ducmV2LnhtbFBLAQIU&#10;ABQAAAAIAIdO4kCUzxLP9AEAALwDAAAOAAAAAAAAAAEAIAAAACYBAABkcnMvZTJvRG9jLnhtbFBL&#10;BQYAAAAABgAGAFkBAACMBQAAAAA=&#10;">
                      <v:fill on="f" focussize="0,0"/>
                      <v:stroke color="#000000" joinstyle="round"/>
                      <v:imagedata o:title=""/>
                      <o:lock v:ext="edit" aspectratio="f"/>
                    </v:shape>
                  </w:pict>
                </mc:Fallback>
              </mc:AlternateContent>
            </w:r>
            <w:r>
              <w:rPr>
                <w:rFonts w:hint="eastAsia" w:ascii="宋体" w:hAnsi="宋体" w:cs="宋体"/>
                <w:color w:val="auto"/>
                <w:kern w:val="0"/>
                <w:sz w:val="24"/>
                <w:szCs w:val="24"/>
                <w:highlight w:val="none"/>
              </w:rPr>
              <w:t xml:space="preserve">            区域</w:t>
            </w:r>
          </w:p>
          <w:p>
            <w:pPr>
              <w:widowControl/>
              <w:spacing w:line="360" w:lineRule="auto"/>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类别   人员数量</w:t>
            </w:r>
          </w:p>
        </w:tc>
        <w:tc>
          <w:tcPr>
            <w:tcW w:w="113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标段一</w:t>
            </w:r>
          </w:p>
        </w:tc>
        <w:tc>
          <w:tcPr>
            <w:tcW w:w="127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标段二</w:t>
            </w:r>
          </w:p>
        </w:tc>
        <w:tc>
          <w:tcPr>
            <w:tcW w:w="99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标段三</w:t>
            </w:r>
          </w:p>
        </w:tc>
        <w:tc>
          <w:tcPr>
            <w:tcW w:w="446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备注要求</w:t>
            </w:r>
          </w:p>
        </w:tc>
      </w:tr>
      <w:tr>
        <w:tblPrEx>
          <w:tblCellMar>
            <w:top w:w="0" w:type="dxa"/>
            <w:left w:w="108" w:type="dxa"/>
            <w:bottom w:w="0" w:type="dxa"/>
            <w:right w:w="108" w:type="dxa"/>
          </w:tblCellMar>
        </w:tblPrEx>
        <w:trPr>
          <w:trHeight w:val="572" w:hRule="atLeast"/>
        </w:trPr>
        <w:tc>
          <w:tcPr>
            <w:tcW w:w="959" w:type="dxa"/>
            <w:vMerge w:val="restart"/>
            <w:tcBorders>
              <w:top w:val="nil"/>
              <w:left w:val="single" w:color="auto" w:sz="4" w:space="0"/>
              <w:right w:val="single" w:color="auto" w:sz="4" w:space="0"/>
            </w:tcBorders>
            <w:vAlign w:val="center"/>
          </w:tcPr>
          <w:p>
            <w:pPr>
              <w:widowControl/>
              <w:spacing w:line="360" w:lineRule="auto"/>
              <w:jc w:val="center"/>
              <w:rPr>
                <w:rFonts w:hint="eastAsia" w:ascii="宋体" w:hAnsi="宋体" w:cs="宋体"/>
                <w:color w:val="auto"/>
                <w:kern w:val="0"/>
                <w:sz w:val="22"/>
                <w:szCs w:val="24"/>
                <w:highlight w:val="none"/>
              </w:rPr>
            </w:pPr>
            <w:r>
              <w:rPr>
                <w:rFonts w:hint="eastAsia" w:ascii="宋体" w:hAnsi="宋体" w:cs="宋体"/>
                <w:color w:val="auto"/>
                <w:kern w:val="0"/>
                <w:sz w:val="22"/>
                <w:szCs w:val="24"/>
                <w:highlight w:val="none"/>
              </w:rPr>
              <w:t>病案审核人员</w:t>
            </w:r>
          </w:p>
        </w:tc>
        <w:tc>
          <w:tcPr>
            <w:tcW w:w="1276" w:type="dxa"/>
            <w:tcBorders>
              <w:top w:val="nil"/>
              <w:left w:val="single" w:color="auto" w:sz="4" w:space="0"/>
              <w:bottom w:val="single" w:color="auto" w:sz="4" w:space="0"/>
              <w:right w:val="single" w:color="auto" w:sz="4" w:space="0"/>
            </w:tcBorders>
            <w:vAlign w:val="center"/>
          </w:tcPr>
          <w:p>
            <w:pPr>
              <w:widowControl/>
              <w:spacing w:line="276" w:lineRule="auto"/>
              <w:jc w:val="center"/>
              <w:rPr>
                <w:rFonts w:hint="eastAsia" w:ascii="宋体" w:hAnsi="宋体" w:cs="宋体"/>
                <w:color w:val="auto"/>
                <w:kern w:val="0"/>
                <w:sz w:val="22"/>
                <w:szCs w:val="24"/>
                <w:highlight w:val="none"/>
              </w:rPr>
            </w:pPr>
            <w:r>
              <w:rPr>
                <w:rFonts w:hint="eastAsia" w:ascii="宋体" w:hAnsi="宋体" w:cs="宋体"/>
                <w:color w:val="auto"/>
                <w:kern w:val="0"/>
                <w:sz w:val="22"/>
                <w:szCs w:val="24"/>
                <w:highlight w:val="none"/>
              </w:rPr>
              <w:t>专职</w:t>
            </w:r>
          </w:p>
          <w:p>
            <w:pPr>
              <w:widowControl/>
              <w:spacing w:line="276" w:lineRule="auto"/>
              <w:jc w:val="center"/>
              <w:rPr>
                <w:rFonts w:hint="eastAsia" w:ascii="宋体" w:hAnsi="宋体" w:cs="宋体"/>
                <w:color w:val="auto"/>
                <w:kern w:val="0"/>
                <w:sz w:val="22"/>
                <w:szCs w:val="24"/>
                <w:highlight w:val="none"/>
              </w:rPr>
            </w:pPr>
            <w:r>
              <w:rPr>
                <w:rFonts w:hint="eastAsia" w:ascii="宋体" w:hAnsi="宋体" w:cs="宋体"/>
                <w:color w:val="auto"/>
                <w:kern w:val="0"/>
                <w:sz w:val="22"/>
                <w:szCs w:val="24"/>
                <w:highlight w:val="none"/>
              </w:rPr>
              <w:t>人员</w:t>
            </w:r>
          </w:p>
        </w:tc>
        <w:tc>
          <w:tcPr>
            <w:tcW w:w="1134" w:type="dxa"/>
            <w:tcBorders>
              <w:top w:val="nil"/>
              <w:left w:val="nil"/>
              <w:bottom w:val="single" w:color="auto" w:sz="4" w:space="0"/>
              <w:right w:val="single" w:color="auto" w:sz="4" w:space="0"/>
            </w:tcBorders>
            <w:vAlign w:val="center"/>
          </w:tcPr>
          <w:p>
            <w:pPr>
              <w:widowControl/>
              <w:spacing w:line="276" w:lineRule="auto"/>
              <w:jc w:val="center"/>
              <w:rPr>
                <w:rFonts w:hint="eastAsia" w:ascii="宋体" w:hAnsi="宋体" w:cs="宋体"/>
                <w:color w:val="auto"/>
                <w:kern w:val="0"/>
                <w:sz w:val="22"/>
                <w:szCs w:val="24"/>
                <w:highlight w:val="none"/>
              </w:rPr>
            </w:pPr>
            <w:r>
              <w:rPr>
                <w:rFonts w:hint="eastAsia" w:ascii="宋体" w:hAnsi="宋体" w:cs="宋体"/>
                <w:color w:val="auto"/>
                <w:kern w:val="0"/>
                <w:sz w:val="22"/>
                <w:szCs w:val="24"/>
                <w:highlight w:val="none"/>
              </w:rPr>
              <w:t>不少</w:t>
            </w:r>
          </w:p>
          <w:p>
            <w:pPr>
              <w:widowControl/>
              <w:spacing w:line="276" w:lineRule="auto"/>
              <w:jc w:val="center"/>
              <w:rPr>
                <w:rFonts w:hint="eastAsia" w:ascii="宋体" w:hAnsi="宋体" w:cs="宋体"/>
                <w:color w:val="auto"/>
                <w:kern w:val="0"/>
                <w:sz w:val="22"/>
                <w:szCs w:val="24"/>
                <w:highlight w:val="none"/>
              </w:rPr>
            </w:pPr>
            <w:r>
              <w:rPr>
                <w:rFonts w:hint="eastAsia" w:ascii="宋体" w:hAnsi="宋体" w:cs="宋体"/>
                <w:color w:val="auto"/>
                <w:kern w:val="0"/>
                <w:sz w:val="22"/>
                <w:szCs w:val="24"/>
                <w:highlight w:val="none"/>
              </w:rPr>
              <w:t>于10人</w:t>
            </w:r>
          </w:p>
        </w:tc>
        <w:tc>
          <w:tcPr>
            <w:tcW w:w="1275" w:type="dxa"/>
            <w:tcBorders>
              <w:top w:val="nil"/>
              <w:left w:val="nil"/>
              <w:bottom w:val="single" w:color="auto" w:sz="4" w:space="0"/>
              <w:right w:val="single" w:color="auto" w:sz="4" w:space="0"/>
            </w:tcBorders>
            <w:vAlign w:val="center"/>
          </w:tcPr>
          <w:p>
            <w:pPr>
              <w:widowControl/>
              <w:spacing w:line="276" w:lineRule="auto"/>
              <w:jc w:val="center"/>
              <w:rPr>
                <w:rFonts w:hint="eastAsia" w:ascii="宋体" w:hAnsi="宋体" w:cs="宋体"/>
                <w:color w:val="auto"/>
                <w:kern w:val="0"/>
                <w:sz w:val="22"/>
                <w:szCs w:val="24"/>
                <w:highlight w:val="none"/>
              </w:rPr>
            </w:pPr>
            <w:r>
              <w:rPr>
                <w:rFonts w:hint="eastAsia" w:ascii="宋体" w:hAnsi="宋体" w:cs="宋体"/>
                <w:color w:val="auto"/>
                <w:kern w:val="0"/>
                <w:sz w:val="22"/>
                <w:szCs w:val="24"/>
                <w:highlight w:val="none"/>
              </w:rPr>
              <w:t>不少</w:t>
            </w:r>
          </w:p>
          <w:p>
            <w:pPr>
              <w:widowControl/>
              <w:spacing w:line="276" w:lineRule="auto"/>
              <w:jc w:val="center"/>
              <w:rPr>
                <w:rFonts w:hint="eastAsia" w:ascii="宋体" w:hAnsi="宋体" w:cs="宋体"/>
                <w:color w:val="auto"/>
                <w:kern w:val="0"/>
                <w:sz w:val="22"/>
                <w:szCs w:val="24"/>
                <w:highlight w:val="none"/>
              </w:rPr>
            </w:pPr>
            <w:r>
              <w:rPr>
                <w:rFonts w:hint="eastAsia" w:ascii="宋体" w:hAnsi="宋体" w:cs="宋体"/>
                <w:color w:val="auto"/>
                <w:kern w:val="0"/>
                <w:sz w:val="22"/>
                <w:szCs w:val="24"/>
                <w:highlight w:val="none"/>
              </w:rPr>
              <w:t>于3人</w:t>
            </w:r>
          </w:p>
        </w:tc>
        <w:tc>
          <w:tcPr>
            <w:tcW w:w="993" w:type="dxa"/>
            <w:tcBorders>
              <w:top w:val="nil"/>
              <w:left w:val="nil"/>
              <w:bottom w:val="single" w:color="auto" w:sz="4" w:space="0"/>
              <w:right w:val="single" w:color="auto" w:sz="4" w:space="0"/>
            </w:tcBorders>
            <w:vAlign w:val="center"/>
          </w:tcPr>
          <w:p>
            <w:pPr>
              <w:widowControl/>
              <w:spacing w:line="276" w:lineRule="auto"/>
              <w:jc w:val="center"/>
              <w:rPr>
                <w:rFonts w:hint="eastAsia" w:ascii="宋体" w:hAnsi="宋体" w:cs="宋体"/>
                <w:color w:val="auto"/>
                <w:kern w:val="0"/>
                <w:sz w:val="22"/>
                <w:szCs w:val="24"/>
                <w:highlight w:val="none"/>
              </w:rPr>
            </w:pPr>
            <w:r>
              <w:rPr>
                <w:rFonts w:hint="eastAsia" w:ascii="宋体" w:hAnsi="宋体" w:cs="宋体"/>
                <w:color w:val="auto"/>
                <w:kern w:val="0"/>
                <w:sz w:val="22"/>
                <w:szCs w:val="24"/>
                <w:highlight w:val="none"/>
              </w:rPr>
              <w:t>不少</w:t>
            </w:r>
          </w:p>
          <w:p>
            <w:pPr>
              <w:widowControl/>
              <w:spacing w:line="276" w:lineRule="auto"/>
              <w:jc w:val="center"/>
              <w:rPr>
                <w:rFonts w:hint="eastAsia" w:ascii="宋体" w:hAnsi="宋体" w:cs="宋体"/>
                <w:color w:val="auto"/>
                <w:kern w:val="0"/>
                <w:sz w:val="22"/>
                <w:szCs w:val="24"/>
                <w:highlight w:val="none"/>
              </w:rPr>
            </w:pPr>
            <w:r>
              <w:rPr>
                <w:rFonts w:hint="eastAsia" w:ascii="宋体" w:hAnsi="宋体" w:cs="宋体"/>
                <w:color w:val="auto"/>
                <w:kern w:val="0"/>
                <w:sz w:val="22"/>
                <w:szCs w:val="24"/>
                <w:highlight w:val="none"/>
              </w:rPr>
              <w:t>于2人</w:t>
            </w:r>
          </w:p>
        </w:tc>
        <w:tc>
          <w:tcPr>
            <w:tcW w:w="4462" w:type="dxa"/>
            <w:tcBorders>
              <w:top w:val="nil"/>
              <w:left w:val="nil"/>
              <w:bottom w:val="single" w:color="auto" w:sz="4" w:space="0"/>
              <w:right w:val="single" w:color="auto" w:sz="4" w:space="0"/>
            </w:tcBorders>
            <w:vAlign w:val="center"/>
          </w:tcPr>
          <w:p>
            <w:pPr>
              <w:widowControl/>
              <w:spacing w:line="276" w:lineRule="auto"/>
              <w:jc w:val="left"/>
              <w:rPr>
                <w:rFonts w:hint="eastAsia" w:ascii="宋体" w:hAnsi="宋体" w:cs="宋体"/>
                <w:color w:val="auto"/>
                <w:kern w:val="0"/>
                <w:sz w:val="22"/>
                <w:szCs w:val="24"/>
                <w:highlight w:val="none"/>
              </w:rPr>
            </w:pPr>
            <w:r>
              <w:rPr>
                <w:rFonts w:hint="eastAsia" w:ascii="宋体" w:hAnsi="宋体" w:cs="宋体"/>
                <w:color w:val="auto"/>
                <w:kern w:val="0"/>
                <w:sz w:val="22"/>
                <w:szCs w:val="24"/>
                <w:highlight w:val="none"/>
              </w:rPr>
              <w:t>中级职称（含）以上医师或临床专业研究生学历</w:t>
            </w:r>
          </w:p>
        </w:tc>
      </w:tr>
      <w:tr>
        <w:tblPrEx>
          <w:tblCellMar>
            <w:top w:w="0" w:type="dxa"/>
            <w:left w:w="108" w:type="dxa"/>
            <w:bottom w:w="0" w:type="dxa"/>
            <w:right w:w="108" w:type="dxa"/>
          </w:tblCellMar>
        </w:tblPrEx>
        <w:trPr>
          <w:trHeight w:val="844" w:hRule="atLeast"/>
        </w:trPr>
        <w:tc>
          <w:tcPr>
            <w:tcW w:w="959" w:type="dxa"/>
            <w:vMerge w:val="continue"/>
            <w:tcBorders>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color w:val="auto"/>
                <w:kern w:val="0"/>
                <w:sz w:val="22"/>
                <w:szCs w:val="24"/>
                <w:highlight w:val="none"/>
              </w:rPr>
            </w:pPr>
          </w:p>
        </w:tc>
        <w:tc>
          <w:tcPr>
            <w:tcW w:w="1276" w:type="dxa"/>
            <w:tcBorders>
              <w:top w:val="nil"/>
              <w:left w:val="single" w:color="auto" w:sz="4" w:space="0"/>
              <w:bottom w:val="single" w:color="auto" w:sz="4" w:space="0"/>
              <w:right w:val="single" w:color="auto" w:sz="4" w:space="0"/>
            </w:tcBorders>
            <w:vAlign w:val="center"/>
          </w:tcPr>
          <w:p>
            <w:pPr>
              <w:widowControl/>
              <w:spacing w:line="276" w:lineRule="auto"/>
              <w:jc w:val="center"/>
              <w:rPr>
                <w:rFonts w:hint="eastAsia" w:ascii="宋体" w:hAnsi="宋体" w:cs="宋体"/>
                <w:color w:val="auto"/>
                <w:kern w:val="0"/>
                <w:sz w:val="22"/>
                <w:szCs w:val="24"/>
                <w:highlight w:val="none"/>
              </w:rPr>
            </w:pPr>
            <w:r>
              <w:rPr>
                <w:rFonts w:hint="eastAsia" w:ascii="宋体" w:hAnsi="宋体" w:cs="宋体"/>
                <w:color w:val="auto"/>
                <w:kern w:val="0"/>
                <w:sz w:val="22"/>
                <w:szCs w:val="24"/>
                <w:highlight w:val="none"/>
              </w:rPr>
              <w:t>兼职</w:t>
            </w:r>
          </w:p>
          <w:p>
            <w:pPr>
              <w:widowControl/>
              <w:spacing w:line="276" w:lineRule="auto"/>
              <w:jc w:val="center"/>
              <w:rPr>
                <w:rFonts w:hint="eastAsia" w:ascii="宋体" w:hAnsi="宋体" w:cs="宋体"/>
                <w:color w:val="auto"/>
                <w:kern w:val="0"/>
                <w:sz w:val="22"/>
                <w:szCs w:val="24"/>
                <w:highlight w:val="none"/>
              </w:rPr>
            </w:pPr>
            <w:r>
              <w:rPr>
                <w:rFonts w:hint="eastAsia" w:ascii="宋体" w:hAnsi="宋体" w:cs="宋体"/>
                <w:color w:val="auto"/>
                <w:kern w:val="0"/>
                <w:sz w:val="22"/>
                <w:szCs w:val="24"/>
                <w:highlight w:val="none"/>
              </w:rPr>
              <w:t>人员</w:t>
            </w:r>
          </w:p>
        </w:tc>
        <w:tc>
          <w:tcPr>
            <w:tcW w:w="1134" w:type="dxa"/>
            <w:tcBorders>
              <w:top w:val="nil"/>
              <w:left w:val="nil"/>
              <w:bottom w:val="single" w:color="auto" w:sz="4" w:space="0"/>
              <w:right w:val="single" w:color="auto" w:sz="4" w:space="0"/>
            </w:tcBorders>
            <w:vAlign w:val="center"/>
          </w:tcPr>
          <w:p>
            <w:pPr>
              <w:widowControl/>
              <w:spacing w:line="276" w:lineRule="auto"/>
              <w:jc w:val="center"/>
              <w:rPr>
                <w:rFonts w:hint="eastAsia" w:ascii="宋体" w:hAnsi="宋体" w:cs="宋体"/>
                <w:color w:val="auto"/>
                <w:kern w:val="0"/>
                <w:sz w:val="22"/>
                <w:szCs w:val="24"/>
                <w:highlight w:val="none"/>
              </w:rPr>
            </w:pPr>
            <w:r>
              <w:rPr>
                <w:rFonts w:hint="eastAsia" w:ascii="宋体" w:hAnsi="宋体" w:cs="宋体"/>
                <w:color w:val="auto"/>
                <w:kern w:val="0"/>
                <w:sz w:val="22"/>
                <w:szCs w:val="24"/>
                <w:highlight w:val="none"/>
              </w:rPr>
              <w:t>不少</w:t>
            </w:r>
          </w:p>
          <w:p>
            <w:pPr>
              <w:widowControl/>
              <w:spacing w:line="276" w:lineRule="auto"/>
              <w:jc w:val="center"/>
              <w:rPr>
                <w:rFonts w:hint="eastAsia" w:ascii="宋体" w:hAnsi="宋体" w:cs="宋体"/>
                <w:color w:val="auto"/>
                <w:kern w:val="0"/>
                <w:sz w:val="22"/>
                <w:szCs w:val="24"/>
                <w:highlight w:val="none"/>
              </w:rPr>
            </w:pPr>
            <w:r>
              <w:rPr>
                <w:rFonts w:hint="eastAsia" w:ascii="宋体" w:hAnsi="宋体" w:cs="宋体"/>
                <w:color w:val="auto"/>
                <w:kern w:val="0"/>
                <w:sz w:val="22"/>
                <w:szCs w:val="24"/>
                <w:highlight w:val="none"/>
              </w:rPr>
              <w:t>于10人</w:t>
            </w:r>
          </w:p>
        </w:tc>
        <w:tc>
          <w:tcPr>
            <w:tcW w:w="1275" w:type="dxa"/>
            <w:tcBorders>
              <w:top w:val="nil"/>
              <w:left w:val="nil"/>
              <w:bottom w:val="single" w:color="auto" w:sz="4" w:space="0"/>
              <w:right w:val="single" w:color="auto" w:sz="4" w:space="0"/>
            </w:tcBorders>
            <w:vAlign w:val="center"/>
          </w:tcPr>
          <w:p>
            <w:pPr>
              <w:widowControl/>
              <w:spacing w:line="276" w:lineRule="auto"/>
              <w:jc w:val="center"/>
              <w:rPr>
                <w:rFonts w:hint="eastAsia" w:ascii="宋体" w:hAnsi="宋体" w:cs="宋体"/>
                <w:color w:val="auto"/>
                <w:kern w:val="0"/>
                <w:sz w:val="22"/>
                <w:szCs w:val="24"/>
                <w:highlight w:val="none"/>
              </w:rPr>
            </w:pPr>
            <w:r>
              <w:rPr>
                <w:rFonts w:hint="eastAsia" w:ascii="宋体" w:hAnsi="宋体" w:cs="宋体"/>
                <w:color w:val="auto"/>
                <w:kern w:val="0"/>
                <w:sz w:val="22"/>
                <w:szCs w:val="24"/>
                <w:highlight w:val="none"/>
              </w:rPr>
              <w:t>不少</w:t>
            </w:r>
          </w:p>
          <w:p>
            <w:pPr>
              <w:widowControl/>
              <w:spacing w:line="276" w:lineRule="auto"/>
              <w:jc w:val="center"/>
              <w:rPr>
                <w:rFonts w:hint="eastAsia" w:ascii="宋体" w:hAnsi="宋体" w:cs="宋体"/>
                <w:color w:val="auto"/>
                <w:kern w:val="0"/>
                <w:sz w:val="22"/>
                <w:szCs w:val="24"/>
                <w:highlight w:val="none"/>
              </w:rPr>
            </w:pPr>
            <w:r>
              <w:rPr>
                <w:rFonts w:hint="eastAsia" w:ascii="宋体" w:hAnsi="宋体" w:cs="宋体"/>
                <w:color w:val="auto"/>
                <w:kern w:val="0"/>
                <w:sz w:val="22"/>
                <w:szCs w:val="24"/>
                <w:highlight w:val="none"/>
              </w:rPr>
              <w:t>于9人</w:t>
            </w:r>
          </w:p>
        </w:tc>
        <w:tc>
          <w:tcPr>
            <w:tcW w:w="993" w:type="dxa"/>
            <w:tcBorders>
              <w:top w:val="nil"/>
              <w:left w:val="nil"/>
              <w:bottom w:val="single" w:color="auto" w:sz="4" w:space="0"/>
              <w:right w:val="single" w:color="auto" w:sz="4" w:space="0"/>
            </w:tcBorders>
            <w:vAlign w:val="center"/>
          </w:tcPr>
          <w:p>
            <w:pPr>
              <w:widowControl/>
              <w:spacing w:line="276" w:lineRule="auto"/>
              <w:jc w:val="center"/>
              <w:rPr>
                <w:rFonts w:hint="eastAsia" w:ascii="宋体" w:hAnsi="宋体" w:cs="宋体"/>
                <w:color w:val="auto"/>
                <w:kern w:val="0"/>
                <w:sz w:val="22"/>
                <w:szCs w:val="24"/>
                <w:highlight w:val="none"/>
              </w:rPr>
            </w:pPr>
            <w:r>
              <w:rPr>
                <w:rFonts w:hint="eastAsia" w:ascii="宋体" w:hAnsi="宋体" w:cs="宋体"/>
                <w:color w:val="auto"/>
                <w:kern w:val="0"/>
                <w:sz w:val="22"/>
                <w:szCs w:val="24"/>
                <w:highlight w:val="none"/>
              </w:rPr>
              <w:t>不少</w:t>
            </w:r>
          </w:p>
          <w:p>
            <w:pPr>
              <w:widowControl/>
              <w:spacing w:line="276" w:lineRule="auto"/>
              <w:jc w:val="center"/>
              <w:rPr>
                <w:rFonts w:hint="eastAsia" w:ascii="宋体" w:hAnsi="宋体" w:cs="宋体"/>
                <w:color w:val="auto"/>
                <w:kern w:val="0"/>
                <w:sz w:val="22"/>
                <w:szCs w:val="24"/>
                <w:highlight w:val="none"/>
              </w:rPr>
            </w:pPr>
            <w:r>
              <w:rPr>
                <w:rFonts w:hint="eastAsia" w:ascii="宋体" w:hAnsi="宋体" w:cs="宋体"/>
                <w:color w:val="auto"/>
                <w:kern w:val="0"/>
                <w:sz w:val="22"/>
                <w:szCs w:val="24"/>
                <w:highlight w:val="none"/>
              </w:rPr>
              <w:t>于2人</w:t>
            </w:r>
          </w:p>
        </w:tc>
        <w:tc>
          <w:tcPr>
            <w:tcW w:w="4462" w:type="dxa"/>
            <w:tcBorders>
              <w:top w:val="nil"/>
              <w:left w:val="nil"/>
              <w:bottom w:val="single" w:color="auto" w:sz="4" w:space="0"/>
              <w:right w:val="single" w:color="auto" w:sz="4" w:space="0"/>
            </w:tcBorders>
            <w:vAlign w:val="center"/>
          </w:tcPr>
          <w:p>
            <w:pPr>
              <w:widowControl/>
              <w:spacing w:line="276" w:lineRule="auto"/>
              <w:jc w:val="left"/>
              <w:rPr>
                <w:rFonts w:hint="eastAsia" w:ascii="宋体" w:hAnsi="宋体" w:cs="宋体"/>
                <w:color w:val="auto"/>
                <w:kern w:val="0"/>
                <w:sz w:val="22"/>
                <w:szCs w:val="24"/>
                <w:highlight w:val="none"/>
              </w:rPr>
            </w:pPr>
            <w:r>
              <w:rPr>
                <w:rFonts w:hint="eastAsia" w:ascii="宋体" w:hAnsi="宋体" w:cs="宋体"/>
                <w:color w:val="auto"/>
                <w:kern w:val="0"/>
                <w:sz w:val="22"/>
                <w:szCs w:val="24"/>
                <w:highlight w:val="none"/>
              </w:rPr>
              <w:t>副主任医师及以上，确保每人每月实际从事大病保险工作时长不少于8个工作日</w:t>
            </w:r>
          </w:p>
        </w:tc>
      </w:tr>
      <w:tr>
        <w:tblPrEx>
          <w:tblCellMar>
            <w:top w:w="0" w:type="dxa"/>
            <w:left w:w="108" w:type="dxa"/>
            <w:bottom w:w="0" w:type="dxa"/>
            <w:right w:w="108" w:type="dxa"/>
          </w:tblCellMar>
        </w:tblPrEx>
        <w:trPr>
          <w:trHeight w:val="449" w:hRule="atLeast"/>
        </w:trPr>
        <w:tc>
          <w:tcPr>
            <w:tcW w:w="959" w:type="dxa"/>
            <w:vMerge w:val="restart"/>
            <w:tcBorders>
              <w:top w:val="nil"/>
              <w:left w:val="single" w:color="auto" w:sz="4" w:space="0"/>
              <w:bottom w:val="single" w:color="000000" w:sz="4" w:space="0"/>
              <w:right w:val="single" w:color="auto" w:sz="4" w:space="0"/>
            </w:tcBorders>
            <w:vAlign w:val="center"/>
          </w:tcPr>
          <w:p>
            <w:pPr>
              <w:widowControl/>
              <w:spacing w:line="360" w:lineRule="auto"/>
              <w:jc w:val="center"/>
              <w:rPr>
                <w:rFonts w:hint="eastAsia" w:ascii="宋体" w:hAnsi="宋体" w:cs="宋体"/>
                <w:color w:val="auto"/>
                <w:kern w:val="0"/>
                <w:sz w:val="22"/>
                <w:szCs w:val="24"/>
                <w:highlight w:val="none"/>
              </w:rPr>
            </w:pPr>
            <w:r>
              <w:rPr>
                <w:rFonts w:hint="eastAsia" w:ascii="宋体" w:hAnsi="宋体" w:cs="宋体"/>
                <w:color w:val="auto"/>
                <w:kern w:val="0"/>
                <w:sz w:val="22"/>
                <w:szCs w:val="24"/>
                <w:highlight w:val="none"/>
              </w:rPr>
              <w:t xml:space="preserve">监控审核人员       </w:t>
            </w:r>
          </w:p>
        </w:tc>
        <w:tc>
          <w:tcPr>
            <w:tcW w:w="1276" w:type="dxa"/>
            <w:tcBorders>
              <w:top w:val="nil"/>
              <w:left w:val="single" w:color="auto" w:sz="4" w:space="0"/>
              <w:bottom w:val="single" w:color="000000" w:sz="4" w:space="0"/>
              <w:right w:val="single" w:color="auto" w:sz="4" w:space="0"/>
            </w:tcBorders>
            <w:vAlign w:val="center"/>
          </w:tcPr>
          <w:p>
            <w:pPr>
              <w:widowControl/>
              <w:spacing w:line="276" w:lineRule="auto"/>
              <w:jc w:val="center"/>
              <w:rPr>
                <w:rFonts w:hint="eastAsia" w:ascii="宋体" w:hAnsi="宋体" w:cs="宋体"/>
                <w:color w:val="auto"/>
                <w:kern w:val="0"/>
                <w:sz w:val="22"/>
                <w:szCs w:val="24"/>
                <w:highlight w:val="none"/>
              </w:rPr>
            </w:pPr>
            <w:r>
              <w:rPr>
                <w:rFonts w:hint="eastAsia" w:ascii="宋体" w:hAnsi="宋体" w:cs="宋体"/>
                <w:color w:val="auto"/>
                <w:kern w:val="0"/>
                <w:sz w:val="22"/>
                <w:szCs w:val="24"/>
                <w:highlight w:val="none"/>
              </w:rPr>
              <w:t>总人数</w:t>
            </w:r>
          </w:p>
        </w:tc>
        <w:tc>
          <w:tcPr>
            <w:tcW w:w="1134" w:type="dxa"/>
            <w:tcBorders>
              <w:top w:val="nil"/>
              <w:left w:val="nil"/>
              <w:bottom w:val="single" w:color="auto" w:sz="4" w:space="0"/>
              <w:right w:val="single" w:color="auto" w:sz="4" w:space="0"/>
            </w:tcBorders>
            <w:vAlign w:val="center"/>
          </w:tcPr>
          <w:p>
            <w:pPr>
              <w:widowControl/>
              <w:spacing w:line="276" w:lineRule="auto"/>
              <w:jc w:val="center"/>
              <w:rPr>
                <w:rFonts w:hint="eastAsia" w:ascii="宋体" w:hAnsi="宋体" w:cs="宋体"/>
                <w:color w:val="auto"/>
                <w:kern w:val="0"/>
                <w:sz w:val="22"/>
                <w:szCs w:val="24"/>
                <w:highlight w:val="none"/>
              </w:rPr>
            </w:pPr>
            <w:r>
              <w:rPr>
                <w:rFonts w:hint="eastAsia" w:ascii="宋体" w:hAnsi="宋体" w:cs="宋体"/>
                <w:color w:val="auto"/>
                <w:kern w:val="0"/>
                <w:sz w:val="22"/>
                <w:szCs w:val="24"/>
                <w:highlight w:val="none"/>
              </w:rPr>
              <w:t>不少</w:t>
            </w:r>
          </w:p>
          <w:p>
            <w:pPr>
              <w:widowControl/>
              <w:spacing w:line="276" w:lineRule="auto"/>
              <w:jc w:val="center"/>
              <w:rPr>
                <w:rFonts w:hint="eastAsia" w:ascii="宋体" w:hAnsi="宋体" w:cs="宋体"/>
                <w:color w:val="auto"/>
                <w:kern w:val="0"/>
                <w:sz w:val="22"/>
                <w:szCs w:val="24"/>
                <w:highlight w:val="none"/>
              </w:rPr>
            </w:pPr>
            <w:r>
              <w:rPr>
                <w:rFonts w:hint="eastAsia" w:ascii="宋体" w:hAnsi="宋体" w:cs="宋体"/>
                <w:color w:val="auto"/>
                <w:kern w:val="0"/>
                <w:sz w:val="22"/>
                <w:szCs w:val="24"/>
                <w:highlight w:val="none"/>
              </w:rPr>
              <w:t>于12人</w:t>
            </w:r>
          </w:p>
        </w:tc>
        <w:tc>
          <w:tcPr>
            <w:tcW w:w="1275" w:type="dxa"/>
            <w:tcBorders>
              <w:top w:val="nil"/>
              <w:left w:val="nil"/>
              <w:bottom w:val="single" w:color="auto" w:sz="4" w:space="0"/>
              <w:right w:val="single" w:color="auto" w:sz="4" w:space="0"/>
            </w:tcBorders>
            <w:vAlign w:val="center"/>
          </w:tcPr>
          <w:p>
            <w:pPr>
              <w:widowControl/>
              <w:spacing w:line="276" w:lineRule="auto"/>
              <w:jc w:val="center"/>
              <w:rPr>
                <w:rFonts w:hint="eastAsia" w:ascii="宋体" w:hAnsi="宋体" w:cs="宋体"/>
                <w:color w:val="auto"/>
                <w:kern w:val="0"/>
                <w:sz w:val="22"/>
                <w:szCs w:val="24"/>
                <w:highlight w:val="none"/>
              </w:rPr>
            </w:pPr>
            <w:r>
              <w:rPr>
                <w:rFonts w:hint="eastAsia" w:ascii="宋体" w:hAnsi="宋体" w:cs="宋体"/>
                <w:color w:val="auto"/>
                <w:kern w:val="0"/>
                <w:sz w:val="22"/>
                <w:szCs w:val="24"/>
                <w:highlight w:val="none"/>
              </w:rPr>
              <w:t>不少于</w:t>
            </w:r>
          </w:p>
          <w:p>
            <w:pPr>
              <w:widowControl/>
              <w:spacing w:line="276" w:lineRule="auto"/>
              <w:jc w:val="center"/>
              <w:rPr>
                <w:rFonts w:hint="eastAsia" w:ascii="宋体" w:hAnsi="宋体" w:cs="宋体"/>
                <w:color w:val="auto"/>
                <w:kern w:val="0"/>
                <w:sz w:val="22"/>
                <w:szCs w:val="24"/>
                <w:highlight w:val="none"/>
              </w:rPr>
            </w:pPr>
            <w:r>
              <w:rPr>
                <w:rFonts w:hint="eastAsia" w:ascii="宋体" w:hAnsi="宋体" w:cs="宋体"/>
                <w:color w:val="auto"/>
                <w:kern w:val="0"/>
                <w:sz w:val="22"/>
                <w:szCs w:val="24"/>
                <w:highlight w:val="none"/>
              </w:rPr>
              <w:t>7人</w:t>
            </w:r>
          </w:p>
        </w:tc>
        <w:tc>
          <w:tcPr>
            <w:tcW w:w="993" w:type="dxa"/>
            <w:tcBorders>
              <w:top w:val="nil"/>
              <w:left w:val="nil"/>
              <w:bottom w:val="single" w:color="auto" w:sz="4" w:space="0"/>
              <w:right w:val="single" w:color="auto" w:sz="4" w:space="0"/>
            </w:tcBorders>
            <w:vAlign w:val="center"/>
          </w:tcPr>
          <w:p>
            <w:pPr>
              <w:widowControl/>
              <w:spacing w:line="276" w:lineRule="auto"/>
              <w:jc w:val="center"/>
              <w:rPr>
                <w:rFonts w:hint="eastAsia" w:ascii="宋体" w:hAnsi="宋体" w:cs="宋体"/>
                <w:color w:val="auto"/>
                <w:kern w:val="0"/>
                <w:sz w:val="22"/>
                <w:szCs w:val="24"/>
                <w:highlight w:val="none"/>
              </w:rPr>
            </w:pPr>
            <w:r>
              <w:rPr>
                <w:rFonts w:hint="eastAsia" w:ascii="宋体" w:hAnsi="宋体" w:cs="宋体"/>
                <w:color w:val="auto"/>
                <w:kern w:val="0"/>
                <w:sz w:val="22"/>
                <w:szCs w:val="24"/>
                <w:highlight w:val="none"/>
              </w:rPr>
              <w:t>不少</w:t>
            </w:r>
          </w:p>
          <w:p>
            <w:pPr>
              <w:widowControl/>
              <w:spacing w:line="276" w:lineRule="auto"/>
              <w:jc w:val="center"/>
              <w:rPr>
                <w:rFonts w:hint="eastAsia" w:ascii="宋体" w:hAnsi="宋体" w:cs="宋体"/>
                <w:color w:val="auto"/>
                <w:kern w:val="0"/>
                <w:sz w:val="22"/>
                <w:szCs w:val="24"/>
                <w:highlight w:val="none"/>
              </w:rPr>
            </w:pPr>
            <w:r>
              <w:rPr>
                <w:rFonts w:hint="eastAsia" w:ascii="宋体" w:hAnsi="宋体" w:cs="宋体"/>
                <w:color w:val="auto"/>
                <w:kern w:val="0"/>
                <w:sz w:val="22"/>
                <w:szCs w:val="24"/>
                <w:highlight w:val="none"/>
              </w:rPr>
              <w:t>于2人</w:t>
            </w:r>
          </w:p>
        </w:tc>
        <w:tc>
          <w:tcPr>
            <w:tcW w:w="4462" w:type="dxa"/>
            <w:vMerge w:val="restart"/>
            <w:tcBorders>
              <w:top w:val="nil"/>
              <w:left w:val="single" w:color="auto" w:sz="4" w:space="0"/>
              <w:bottom w:val="single" w:color="000000" w:sz="4" w:space="0"/>
              <w:right w:val="single" w:color="auto" w:sz="4" w:space="0"/>
            </w:tcBorders>
            <w:vAlign w:val="center"/>
          </w:tcPr>
          <w:p>
            <w:pPr>
              <w:widowControl/>
              <w:spacing w:line="276" w:lineRule="auto"/>
              <w:jc w:val="left"/>
              <w:rPr>
                <w:rFonts w:hint="eastAsia" w:ascii="宋体" w:hAnsi="宋体" w:cs="宋体"/>
                <w:color w:val="auto"/>
                <w:kern w:val="0"/>
                <w:sz w:val="22"/>
                <w:szCs w:val="24"/>
                <w:highlight w:val="none"/>
              </w:rPr>
            </w:pPr>
            <w:r>
              <w:rPr>
                <w:rFonts w:hint="eastAsia" w:ascii="宋体" w:hAnsi="宋体" w:cs="宋体"/>
                <w:color w:val="auto"/>
                <w:kern w:val="0"/>
                <w:sz w:val="22"/>
                <w:szCs w:val="24"/>
                <w:highlight w:val="none"/>
              </w:rPr>
              <w:t>本科学历，须为医学类、公共卫生类、财务财会类、审计类或计算机类等专业，其中临床医学及护理学专业优先；</w:t>
            </w:r>
          </w:p>
        </w:tc>
      </w:tr>
      <w:tr>
        <w:tblPrEx>
          <w:tblCellMar>
            <w:top w:w="0" w:type="dxa"/>
            <w:left w:w="108" w:type="dxa"/>
            <w:bottom w:w="0" w:type="dxa"/>
            <w:right w:w="108" w:type="dxa"/>
          </w:tblCellMar>
        </w:tblPrEx>
        <w:trPr>
          <w:trHeight w:val="445" w:hRule="atLeast"/>
        </w:trPr>
        <w:tc>
          <w:tcPr>
            <w:tcW w:w="959"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left"/>
              <w:rPr>
                <w:rFonts w:hint="eastAsia" w:ascii="宋体" w:hAnsi="宋体" w:cs="宋体"/>
                <w:color w:val="auto"/>
                <w:kern w:val="0"/>
                <w:sz w:val="22"/>
                <w:szCs w:val="24"/>
                <w:highlight w:val="none"/>
              </w:rPr>
            </w:pPr>
          </w:p>
        </w:tc>
        <w:tc>
          <w:tcPr>
            <w:tcW w:w="1276" w:type="dxa"/>
            <w:tcBorders>
              <w:top w:val="nil"/>
              <w:left w:val="single" w:color="auto" w:sz="4" w:space="0"/>
              <w:bottom w:val="single" w:color="000000" w:sz="4" w:space="0"/>
              <w:right w:val="single" w:color="auto" w:sz="4" w:space="0"/>
            </w:tcBorders>
            <w:vAlign w:val="center"/>
          </w:tcPr>
          <w:p>
            <w:pPr>
              <w:widowControl/>
              <w:spacing w:line="276" w:lineRule="auto"/>
              <w:jc w:val="center"/>
              <w:rPr>
                <w:rFonts w:hint="eastAsia" w:ascii="宋体" w:hAnsi="宋体" w:cs="宋体"/>
                <w:color w:val="auto"/>
                <w:kern w:val="0"/>
                <w:sz w:val="22"/>
                <w:szCs w:val="24"/>
                <w:highlight w:val="none"/>
              </w:rPr>
            </w:pPr>
            <w:r>
              <w:rPr>
                <w:rFonts w:hint="eastAsia" w:ascii="宋体" w:hAnsi="宋体" w:cs="宋体"/>
                <w:color w:val="auto"/>
                <w:kern w:val="0"/>
                <w:sz w:val="22"/>
                <w:szCs w:val="24"/>
                <w:highlight w:val="none"/>
              </w:rPr>
              <w:t>其中医</w:t>
            </w:r>
          </w:p>
          <w:p>
            <w:pPr>
              <w:widowControl/>
              <w:spacing w:line="276" w:lineRule="auto"/>
              <w:jc w:val="center"/>
              <w:rPr>
                <w:rFonts w:hint="eastAsia" w:ascii="宋体" w:hAnsi="宋体" w:cs="宋体"/>
                <w:color w:val="auto"/>
                <w:kern w:val="0"/>
                <w:sz w:val="22"/>
                <w:szCs w:val="24"/>
                <w:highlight w:val="none"/>
              </w:rPr>
            </w:pPr>
            <w:r>
              <w:rPr>
                <w:rFonts w:hint="eastAsia" w:ascii="宋体" w:hAnsi="宋体" w:cs="宋体"/>
                <w:color w:val="auto"/>
                <w:kern w:val="0"/>
                <w:sz w:val="22"/>
                <w:szCs w:val="24"/>
                <w:highlight w:val="none"/>
              </w:rPr>
              <w:t>学类专业</w:t>
            </w:r>
          </w:p>
        </w:tc>
        <w:tc>
          <w:tcPr>
            <w:tcW w:w="1134" w:type="dxa"/>
            <w:tcBorders>
              <w:top w:val="nil"/>
              <w:left w:val="nil"/>
              <w:bottom w:val="single" w:color="auto" w:sz="4" w:space="0"/>
              <w:right w:val="single" w:color="auto" w:sz="4" w:space="0"/>
            </w:tcBorders>
            <w:vAlign w:val="center"/>
          </w:tcPr>
          <w:p>
            <w:pPr>
              <w:widowControl/>
              <w:spacing w:line="276" w:lineRule="auto"/>
              <w:jc w:val="center"/>
              <w:rPr>
                <w:rFonts w:hint="eastAsia" w:ascii="宋体" w:hAnsi="宋体" w:cs="宋体"/>
                <w:color w:val="auto"/>
                <w:kern w:val="0"/>
                <w:sz w:val="22"/>
                <w:szCs w:val="24"/>
                <w:highlight w:val="none"/>
              </w:rPr>
            </w:pPr>
            <w:r>
              <w:rPr>
                <w:rFonts w:hint="eastAsia" w:ascii="宋体" w:hAnsi="宋体" w:cs="宋体"/>
                <w:color w:val="auto"/>
                <w:kern w:val="0"/>
                <w:sz w:val="22"/>
                <w:szCs w:val="24"/>
                <w:highlight w:val="none"/>
              </w:rPr>
              <w:t>不少</w:t>
            </w:r>
          </w:p>
          <w:p>
            <w:pPr>
              <w:widowControl/>
              <w:spacing w:line="276" w:lineRule="auto"/>
              <w:jc w:val="center"/>
              <w:rPr>
                <w:rFonts w:hint="eastAsia" w:ascii="宋体" w:hAnsi="宋体" w:cs="宋体"/>
                <w:color w:val="auto"/>
                <w:kern w:val="0"/>
                <w:sz w:val="22"/>
                <w:szCs w:val="24"/>
                <w:highlight w:val="none"/>
              </w:rPr>
            </w:pPr>
            <w:r>
              <w:rPr>
                <w:rFonts w:hint="eastAsia" w:ascii="宋体" w:hAnsi="宋体" w:cs="宋体"/>
                <w:color w:val="auto"/>
                <w:kern w:val="0"/>
                <w:sz w:val="22"/>
                <w:szCs w:val="24"/>
                <w:highlight w:val="none"/>
              </w:rPr>
              <w:t>于50%</w:t>
            </w:r>
          </w:p>
        </w:tc>
        <w:tc>
          <w:tcPr>
            <w:tcW w:w="1275" w:type="dxa"/>
            <w:tcBorders>
              <w:top w:val="nil"/>
              <w:left w:val="nil"/>
              <w:bottom w:val="single" w:color="auto" w:sz="4" w:space="0"/>
              <w:right w:val="single" w:color="auto" w:sz="4" w:space="0"/>
            </w:tcBorders>
            <w:vAlign w:val="center"/>
          </w:tcPr>
          <w:p>
            <w:pPr>
              <w:widowControl/>
              <w:spacing w:line="276" w:lineRule="auto"/>
              <w:jc w:val="center"/>
              <w:rPr>
                <w:rFonts w:hint="eastAsia" w:ascii="宋体" w:hAnsi="宋体" w:cs="宋体"/>
                <w:color w:val="auto"/>
                <w:kern w:val="0"/>
                <w:sz w:val="22"/>
                <w:szCs w:val="24"/>
                <w:highlight w:val="none"/>
              </w:rPr>
            </w:pPr>
            <w:r>
              <w:rPr>
                <w:rFonts w:hint="eastAsia" w:ascii="宋体" w:hAnsi="宋体" w:cs="宋体"/>
                <w:color w:val="auto"/>
                <w:kern w:val="0"/>
                <w:sz w:val="22"/>
                <w:szCs w:val="24"/>
                <w:highlight w:val="none"/>
              </w:rPr>
              <w:t>不少</w:t>
            </w:r>
          </w:p>
          <w:p>
            <w:pPr>
              <w:widowControl/>
              <w:spacing w:line="276" w:lineRule="auto"/>
              <w:jc w:val="center"/>
              <w:rPr>
                <w:rFonts w:hint="eastAsia" w:ascii="宋体" w:hAnsi="宋体" w:cs="宋体"/>
                <w:color w:val="auto"/>
                <w:kern w:val="0"/>
                <w:sz w:val="22"/>
                <w:szCs w:val="24"/>
                <w:highlight w:val="none"/>
              </w:rPr>
            </w:pPr>
            <w:r>
              <w:rPr>
                <w:rFonts w:hint="eastAsia" w:ascii="宋体" w:hAnsi="宋体" w:cs="宋体"/>
                <w:color w:val="auto"/>
                <w:kern w:val="0"/>
                <w:sz w:val="22"/>
                <w:szCs w:val="24"/>
                <w:highlight w:val="none"/>
              </w:rPr>
              <w:t>于50%</w:t>
            </w:r>
          </w:p>
        </w:tc>
        <w:tc>
          <w:tcPr>
            <w:tcW w:w="993" w:type="dxa"/>
            <w:tcBorders>
              <w:top w:val="nil"/>
              <w:left w:val="nil"/>
              <w:bottom w:val="single" w:color="auto" w:sz="4" w:space="0"/>
              <w:right w:val="single" w:color="auto" w:sz="4" w:space="0"/>
            </w:tcBorders>
            <w:vAlign w:val="center"/>
          </w:tcPr>
          <w:p>
            <w:pPr>
              <w:widowControl/>
              <w:spacing w:line="276" w:lineRule="auto"/>
              <w:jc w:val="center"/>
              <w:rPr>
                <w:rFonts w:hint="eastAsia" w:ascii="宋体" w:hAnsi="宋体" w:cs="宋体"/>
                <w:color w:val="auto"/>
                <w:kern w:val="0"/>
                <w:sz w:val="22"/>
                <w:szCs w:val="24"/>
                <w:highlight w:val="none"/>
              </w:rPr>
            </w:pPr>
            <w:r>
              <w:rPr>
                <w:rFonts w:hint="eastAsia" w:ascii="宋体" w:hAnsi="宋体" w:cs="宋体"/>
                <w:color w:val="auto"/>
                <w:kern w:val="0"/>
                <w:sz w:val="22"/>
                <w:szCs w:val="24"/>
                <w:highlight w:val="none"/>
              </w:rPr>
              <w:t>不少</w:t>
            </w:r>
          </w:p>
          <w:p>
            <w:pPr>
              <w:widowControl/>
              <w:spacing w:line="276" w:lineRule="auto"/>
              <w:jc w:val="center"/>
              <w:rPr>
                <w:rFonts w:hint="eastAsia" w:ascii="宋体" w:hAnsi="宋体" w:cs="宋体"/>
                <w:color w:val="auto"/>
                <w:kern w:val="0"/>
                <w:sz w:val="22"/>
                <w:szCs w:val="24"/>
                <w:highlight w:val="none"/>
              </w:rPr>
            </w:pPr>
            <w:r>
              <w:rPr>
                <w:rFonts w:hint="eastAsia" w:ascii="宋体" w:hAnsi="宋体" w:cs="宋体"/>
                <w:color w:val="auto"/>
                <w:kern w:val="0"/>
                <w:sz w:val="22"/>
                <w:szCs w:val="24"/>
                <w:highlight w:val="none"/>
              </w:rPr>
              <w:t>于50%</w:t>
            </w:r>
          </w:p>
        </w:tc>
        <w:tc>
          <w:tcPr>
            <w:tcW w:w="4462" w:type="dxa"/>
            <w:vMerge w:val="continue"/>
            <w:tcBorders>
              <w:top w:val="nil"/>
              <w:left w:val="single" w:color="auto" w:sz="4" w:space="0"/>
              <w:bottom w:val="single" w:color="000000" w:sz="4" w:space="0"/>
              <w:right w:val="single" w:color="auto" w:sz="4" w:space="0"/>
            </w:tcBorders>
            <w:vAlign w:val="center"/>
          </w:tcPr>
          <w:p>
            <w:pPr>
              <w:widowControl/>
              <w:spacing w:line="276" w:lineRule="auto"/>
              <w:jc w:val="left"/>
              <w:rPr>
                <w:rFonts w:hint="eastAsia" w:ascii="宋体" w:hAnsi="宋体" w:cs="宋体"/>
                <w:color w:val="auto"/>
                <w:kern w:val="0"/>
                <w:sz w:val="22"/>
                <w:szCs w:val="24"/>
                <w:highlight w:val="none"/>
              </w:rPr>
            </w:pPr>
          </w:p>
        </w:tc>
      </w:tr>
      <w:tr>
        <w:tblPrEx>
          <w:tblCellMar>
            <w:top w:w="0" w:type="dxa"/>
            <w:left w:w="108" w:type="dxa"/>
            <w:bottom w:w="0" w:type="dxa"/>
            <w:right w:w="108" w:type="dxa"/>
          </w:tblCellMar>
        </w:tblPrEx>
        <w:trPr>
          <w:trHeight w:val="710" w:hRule="atLeast"/>
        </w:trPr>
        <w:tc>
          <w:tcPr>
            <w:tcW w:w="2235" w:type="dxa"/>
            <w:gridSpan w:val="2"/>
            <w:tcBorders>
              <w:top w:val="nil"/>
              <w:left w:val="single" w:color="auto" w:sz="4" w:space="0"/>
              <w:bottom w:val="single" w:color="auto" w:sz="4" w:space="0"/>
              <w:right w:val="single" w:color="auto" w:sz="4" w:space="0"/>
            </w:tcBorders>
            <w:vAlign w:val="center"/>
          </w:tcPr>
          <w:p>
            <w:pPr>
              <w:widowControl/>
              <w:spacing w:line="276" w:lineRule="auto"/>
              <w:jc w:val="center"/>
              <w:rPr>
                <w:rFonts w:hint="eastAsia" w:ascii="宋体" w:hAnsi="宋体" w:cs="宋体"/>
                <w:color w:val="auto"/>
                <w:kern w:val="0"/>
                <w:sz w:val="22"/>
                <w:szCs w:val="24"/>
                <w:highlight w:val="none"/>
              </w:rPr>
            </w:pPr>
            <w:r>
              <w:rPr>
                <w:rFonts w:hint="eastAsia" w:ascii="宋体" w:hAnsi="宋体" w:cs="宋体"/>
                <w:color w:val="auto"/>
                <w:kern w:val="0"/>
                <w:sz w:val="22"/>
                <w:szCs w:val="24"/>
                <w:highlight w:val="none"/>
              </w:rPr>
              <w:t>驻院服务人员</w:t>
            </w:r>
          </w:p>
        </w:tc>
        <w:tc>
          <w:tcPr>
            <w:tcW w:w="1134" w:type="dxa"/>
            <w:tcBorders>
              <w:top w:val="nil"/>
              <w:left w:val="nil"/>
              <w:bottom w:val="single" w:color="auto" w:sz="4" w:space="0"/>
              <w:right w:val="single" w:color="auto" w:sz="4" w:space="0"/>
            </w:tcBorders>
            <w:vAlign w:val="center"/>
          </w:tcPr>
          <w:p>
            <w:pPr>
              <w:widowControl/>
              <w:spacing w:line="276" w:lineRule="auto"/>
              <w:jc w:val="center"/>
              <w:rPr>
                <w:rFonts w:hint="eastAsia" w:ascii="宋体" w:hAnsi="宋体" w:cs="宋体"/>
                <w:color w:val="auto"/>
                <w:kern w:val="0"/>
                <w:sz w:val="22"/>
                <w:szCs w:val="24"/>
                <w:highlight w:val="none"/>
              </w:rPr>
            </w:pPr>
            <w:r>
              <w:rPr>
                <w:rFonts w:hint="eastAsia" w:ascii="宋体" w:hAnsi="宋体" w:cs="宋体"/>
                <w:color w:val="auto"/>
                <w:kern w:val="0"/>
                <w:sz w:val="22"/>
                <w:szCs w:val="24"/>
                <w:highlight w:val="none"/>
              </w:rPr>
              <w:t>不少</w:t>
            </w:r>
          </w:p>
          <w:p>
            <w:pPr>
              <w:widowControl/>
              <w:spacing w:line="276" w:lineRule="auto"/>
              <w:jc w:val="center"/>
              <w:rPr>
                <w:rFonts w:hint="eastAsia" w:ascii="宋体" w:hAnsi="宋体" w:cs="宋体"/>
                <w:color w:val="auto"/>
                <w:kern w:val="0"/>
                <w:sz w:val="22"/>
                <w:szCs w:val="24"/>
                <w:highlight w:val="none"/>
              </w:rPr>
            </w:pPr>
            <w:r>
              <w:rPr>
                <w:rFonts w:hint="eastAsia" w:ascii="宋体" w:hAnsi="宋体" w:cs="宋体"/>
                <w:color w:val="auto"/>
                <w:kern w:val="0"/>
                <w:sz w:val="22"/>
                <w:szCs w:val="24"/>
                <w:highlight w:val="none"/>
              </w:rPr>
              <w:t>于32人</w:t>
            </w:r>
          </w:p>
        </w:tc>
        <w:tc>
          <w:tcPr>
            <w:tcW w:w="1275" w:type="dxa"/>
            <w:tcBorders>
              <w:top w:val="nil"/>
              <w:left w:val="nil"/>
              <w:bottom w:val="single" w:color="auto" w:sz="4" w:space="0"/>
              <w:right w:val="single" w:color="auto" w:sz="4" w:space="0"/>
            </w:tcBorders>
            <w:vAlign w:val="center"/>
          </w:tcPr>
          <w:p>
            <w:pPr>
              <w:widowControl/>
              <w:spacing w:line="276" w:lineRule="auto"/>
              <w:jc w:val="center"/>
              <w:rPr>
                <w:rFonts w:hint="eastAsia" w:ascii="宋体" w:hAnsi="宋体" w:cs="宋体"/>
                <w:color w:val="auto"/>
                <w:kern w:val="0"/>
                <w:sz w:val="22"/>
                <w:szCs w:val="24"/>
                <w:highlight w:val="none"/>
              </w:rPr>
            </w:pPr>
            <w:r>
              <w:rPr>
                <w:rFonts w:hint="eastAsia" w:ascii="宋体" w:hAnsi="宋体" w:cs="宋体"/>
                <w:color w:val="auto"/>
                <w:kern w:val="0"/>
                <w:sz w:val="22"/>
                <w:szCs w:val="24"/>
                <w:highlight w:val="none"/>
              </w:rPr>
              <w:t>不少</w:t>
            </w:r>
          </w:p>
          <w:p>
            <w:pPr>
              <w:widowControl/>
              <w:spacing w:line="276" w:lineRule="auto"/>
              <w:jc w:val="center"/>
              <w:rPr>
                <w:rFonts w:hint="eastAsia" w:ascii="宋体" w:hAnsi="宋体" w:cs="宋体"/>
                <w:color w:val="auto"/>
                <w:kern w:val="0"/>
                <w:sz w:val="22"/>
                <w:szCs w:val="24"/>
                <w:highlight w:val="none"/>
              </w:rPr>
            </w:pPr>
            <w:r>
              <w:rPr>
                <w:rFonts w:hint="eastAsia" w:ascii="宋体" w:hAnsi="宋体" w:cs="宋体"/>
                <w:color w:val="auto"/>
                <w:kern w:val="0"/>
                <w:sz w:val="22"/>
                <w:szCs w:val="24"/>
                <w:highlight w:val="none"/>
              </w:rPr>
              <w:t>于4人</w:t>
            </w:r>
          </w:p>
        </w:tc>
        <w:tc>
          <w:tcPr>
            <w:tcW w:w="993" w:type="dxa"/>
            <w:tcBorders>
              <w:top w:val="nil"/>
              <w:left w:val="nil"/>
              <w:bottom w:val="single" w:color="auto" w:sz="4" w:space="0"/>
              <w:right w:val="single" w:color="auto" w:sz="4" w:space="0"/>
            </w:tcBorders>
            <w:vAlign w:val="center"/>
          </w:tcPr>
          <w:p>
            <w:pPr>
              <w:widowControl/>
              <w:spacing w:line="276" w:lineRule="auto"/>
              <w:jc w:val="center"/>
              <w:rPr>
                <w:rFonts w:hint="eastAsia" w:ascii="宋体" w:hAnsi="宋体" w:cs="宋体"/>
                <w:color w:val="auto"/>
                <w:kern w:val="0"/>
                <w:sz w:val="22"/>
                <w:szCs w:val="24"/>
                <w:highlight w:val="none"/>
              </w:rPr>
            </w:pPr>
            <w:r>
              <w:rPr>
                <w:rFonts w:hint="eastAsia" w:ascii="宋体" w:hAnsi="宋体" w:cs="宋体"/>
                <w:color w:val="auto"/>
                <w:kern w:val="0"/>
                <w:sz w:val="22"/>
                <w:szCs w:val="24"/>
                <w:highlight w:val="none"/>
              </w:rPr>
              <w:t>不少</w:t>
            </w:r>
          </w:p>
          <w:p>
            <w:pPr>
              <w:widowControl/>
              <w:spacing w:line="276" w:lineRule="auto"/>
              <w:jc w:val="center"/>
              <w:rPr>
                <w:rFonts w:hint="eastAsia" w:ascii="宋体" w:hAnsi="宋体" w:cs="宋体"/>
                <w:color w:val="auto"/>
                <w:kern w:val="0"/>
                <w:sz w:val="22"/>
                <w:szCs w:val="24"/>
                <w:highlight w:val="none"/>
              </w:rPr>
            </w:pPr>
            <w:r>
              <w:rPr>
                <w:rFonts w:hint="eastAsia" w:ascii="宋体" w:hAnsi="宋体" w:cs="宋体"/>
                <w:color w:val="auto"/>
                <w:kern w:val="0"/>
                <w:sz w:val="22"/>
                <w:szCs w:val="24"/>
                <w:highlight w:val="none"/>
              </w:rPr>
              <w:t>于22人</w:t>
            </w:r>
          </w:p>
        </w:tc>
        <w:tc>
          <w:tcPr>
            <w:tcW w:w="4462" w:type="dxa"/>
            <w:tcBorders>
              <w:top w:val="nil"/>
              <w:left w:val="nil"/>
              <w:bottom w:val="single" w:color="auto" w:sz="4" w:space="0"/>
              <w:right w:val="single" w:color="auto" w:sz="4" w:space="0"/>
            </w:tcBorders>
            <w:vAlign w:val="center"/>
          </w:tcPr>
          <w:p>
            <w:pPr>
              <w:widowControl/>
              <w:spacing w:line="276" w:lineRule="auto"/>
              <w:jc w:val="left"/>
              <w:rPr>
                <w:rFonts w:hint="eastAsia" w:ascii="宋体" w:hAnsi="宋体" w:cs="宋体"/>
                <w:color w:val="auto"/>
                <w:kern w:val="0"/>
                <w:sz w:val="22"/>
                <w:szCs w:val="24"/>
                <w:highlight w:val="none"/>
              </w:rPr>
            </w:pPr>
            <w:r>
              <w:rPr>
                <w:rFonts w:hint="eastAsia" w:ascii="宋体" w:hAnsi="宋体" w:cs="宋体"/>
                <w:color w:val="auto"/>
                <w:kern w:val="0"/>
                <w:sz w:val="22"/>
                <w:szCs w:val="24"/>
                <w:highlight w:val="none"/>
              </w:rPr>
              <w:t>本科学历,若有一年以上医保、医学类工作经验的，学历可放宽至大专。</w:t>
            </w:r>
          </w:p>
        </w:tc>
      </w:tr>
      <w:tr>
        <w:tblPrEx>
          <w:tblCellMar>
            <w:top w:w="0" w:type="dxa"/>
            <w:left w:w="108" w:type="dxa"/>
            <w:bottom w:w="0" w:type="dxa"/>
            <w:right w:w="108" w:type="dxa"/>
          </w:tblCellMar>
        </w:tblPrEx>
        <w:trPr>
          <w:trHeight w:val="515" w:hRule="atLeast"/>
        </w:trPr>
        <w:tc>
          <w:tcPr>
            <w:tcW w:w="2235" w:type="dxa"/>
            <w:gridSpan w:val="2"/>
            <w:tcBorders>
              <w:top w:val="nil"/>
              <w:left w:val="single" w:color="auto" w:sz="4" w:space="0"/>
              <w:bottom w:val="single" w:color="auto" w:sz="4" w:space="0"/>
              <w:right w:val="single" w:color="auto" w:sz="4" w:space="0"/>
            </w:tcBorders>
            <w:vAlign w:val="center"/>
          </w:tcPr>
          <w:p>
            <w:pPr>
              <w:widowControl/>
              <w:spacing w:line="276" w:lineRule="auto"/>
              <w:jc w:val="center"/>
              <w:rPr>
                <w:rFonts w:hint="eastAsia" w:ascii="宋体" w:hAnsi="宋体" w:cs="宋体"/>
                <w:color w:val="auto"/>
                <w:kern w:val="0"/>
                <w:sz w:val="22"/>
                <w:szCs w:val="24"/>
                <w:highlight w:val="none"/>
              </w:rPr>
            </w:pPr>
            <w:r>
              <w:rPr>
                <w:rFonts w:hint="eastAsia" w:ascii="宋体" w:hAnsi="宋体" w:cs="宋体"/>
                <w:color w:val="auto"/>
                <w:kern w:val="0"/>
                <w:sz w:val="22"/>
                <w:szCs w:val="24"/>
                <w:highlight w:val="none"/>
              </w:rPr>
              <w:t>巡查人员</w:t>
            </w:r>
          </w:p>
        </w:tc>
        <w:tc>
          <w:tcPr>
            <w:tcW w:w="1134" w:type="dxa"/>
            <w:tcBorders>
              <w:top w:val="nil"/>
              <w:left w:val="nil"/>
              <w:bottom w:val="single" w:color="auto" w:sz="4" w:space="0"/>
              <w:right w:val="single" w:color="auto" w:sz="4" w:space="0"/>
            </w:tcBorders>
            <w:vAlign w:val="center"/>
          </w:tcPr>
          <w:p>
            <w:pPr>
              <w:widowControl/>
              <w:spacing w:line="276" w:lineRule="auto"/>
              <w:jc w:val="center"/>
              <w:rPr>
                <w:rFonts w:hint="eastAsia" w:ascii="宋体" w:hAnsi="宋体" w:cs="宋体"/>
                <w:color w:val="auto"/>
                <w:kern w:val="0"/>
                <w:sz w:val="22"/>
                <w:szCs w:val="24"/>
                <w:highlight w:val="none"/>
              </w:rPr>
            </w:pPr>
            <w:r>
              <w:rPr>
                <w:rFonts w:hint="eastAsia" w:ascii="宋体" w:hAnsi="宋体" w:cs="宋体"/>
                <w:color w:val="auto"/>
                <w:kern w:val="0"/>
                <w:sz w:val="22"/>
                <w:szCs w:val="24"/>
                <w:highlight w:val="none"/>
              </w:rPr>
              <w:t>不少</w:t>
            </w:r>
          </w:p>
          <w:p>
            <w:pPr>
              <w:widowControl/>
              <w:spacing w:line="276" w:lineRule="auto"/>
              <w:jc w:val="center"/>
              <w:rPr>
                <w:rFonts w:hint="eastAsia" w:ascii="宋体" w:hAnsi="宋体" w:cs="宋体"/>
                <w:color w:val="auto"/>
                <w:kern w:val="0"/>
                <w:sz w:val="22"/>
                <w:szCs w:val="24"/>
                <w:highlight w:val="none"/>
              </w:rPr>
            </w:pPr>
            <w:r>
              <w:rPr>
                <w:rFonts w:hint="eastAsia" w:ascii="宋体" w:hAnsi="宋体" w:cs="宋体"/>
                <w:color w:val="auto"/>
                <w:kern w:val="0"/>
                <w:sz w:val="22"/>
                <w:szCs w:val="24"/>
                <w:highlight w:val="none"/>
              </w:rPr>
              <w:t>于8人</w:t>
            </w:r>
          </w:p>
        </w:tc>
        <w:tc>
          <w:tcPr>
            <w:tcW w:w="1275" w:type="dxa"/>
            <w:tcBorders>
              <w:top w:val="nil"/>
              <w:left w:val="nil"/>
              <w:bottom w:val="single" w:color="auto" w:sz="4" w:space="0"/>
              <w:right w:val="single" w:color="auto" w:sz="4" w:space="0"/>
            </w:tcBorders>
            <w:vAlign w:val="center"/>
          </w:tcPr>
          <w:p>
            <w:pPr>
              <w:widowControl/>
              <w:spacing w:line="276" w:lineRule="auto"/>
              <w:jc w:val="center"/>
              <w:rPr>
                <w:rFonts w:hint="eastAsia" w:ascii="宋体" w:hAnsi="宋体" w:cs="宋体"/>
                <w:color w:val="auto"/>
                <w:kern w:val="0"/>
                <w:sz w:val="22"/>
                <w:szCs w:val="24"/>
                <w:highlight w:val="none"/>
              </w:rPr>
            </w:pPr>
            <w:r>
              <w:rPr>
                <w:rFonts w:hint="eastAsia" w:ascii="宋体" w:hAnsi="宋体" w:cs="宋体"/>
                <w:color w:val="auto"/>
                <w:kern w:val="0"/>
                <w:sz w:val="22"/>
                <w:szCs w:val="24"/>
                <w:highlight w:val="none"/>
              </w:rPr>
              <w:t>不少</w:t>
            </w:r>
          </w:p>
          <w:p>
            <w:pPr>
              <w:widowControl/>
              <w:spacing w:line="276" w:lineRule="auto"/>
              <w:jc w:val="center"/>
              <w:rPr>
                <w:rFonts w:hint="eastAsia" w:ascii="宋体" w:hAnsi="宋体" w:cs="宋体"/>
                <w:color w:val="auto"/>
                <w:kern w:val="0"/>
                <w:sz w:val="22"/>
                <w:szCs w:val="24"/>
                <w:highlight w:val="none"/>
              </w:rPr>
            </w:pPr>
            <w:r>
              <w:rPr>
                <w:rFonts w:hint="eastAsia" w:ascii="宋体" w:hAnsi="宋体" w:cs="宋体"/>
                <w:color w:val="auto"/>
                <w:kern w:val="0"/>
                <w:sz w:val="22"/>
                <w:szCs w:val="24"/>
                <w:highlight w:val="none"/>
              </w:rPr>
              <w:t>于7人</w:t>
            </w:r>
          </w:p>
        </w:tc>
        <w:tc>
          <w:tcPr>
            <w:tcW w:w="993" w:type="dxa"/>
            <w:tcBorders>
              <w:top w:val="nil"/>
              <w:left w:val="nil"/>
              <w:bottom w:val="single" w:color="auto" w:sz="4" w:space="0"/>
              <w:right w:val="single" w:color="auto" w:sz="4" w:space="0"/>
            </w:tcBorders>
            <w:vAlign w:val="center"/>
          </w:tcPr>
          <w:p>
            <w:pPr>
              <w:widowControl/>
              <w:spacing w:line="276" w:lineRule="auto"/>
              <w:jc w:val="center"/>
              <w:rPr>
                <w:rFonts w:hint="eastAsia" w:ascii="宋体" w:hAnsi="宋体" w:cs="宋体"/>
                <w:color w:val="auto"/>
                <w:kern w:val="0"/>
                <w:sz w:val="22"/>
                <w:szCs w:val="24"/>
                <w:highlight w:val="none"/>
              </w:rPr>
            </w:pPr>
            <w:r>
              <w:rPr>
                <w:rFonts w:hint="eastAsia" w:ascii="宋体" w:hAnsi="宋体" w:cs="宋体"/>
                <w:color w:val="auto"/>
                <w:kern w:val="0"/>
                <w:sz w:val="22"/>
                <w:szCs w:val="24"/>
                <w:highlight w:val="none"/>
              </w:rPr>
              <w:t>不少于</w:t>
            </w:r>
          </w:p>
          <w:p>
            <w:pPr>
              <w:widowControl/>
              <w:spacing w:line="276" w:lineRule="auto"/>
              <w:jc w:val="center"/>
              <w:rPr>
                <w:rFonts w:hint="eastAsia" w:ascii="宋体" w:hAnsi="宋体" w:cs="宋体"/>
                <w:color w:val="auto"/>
                <w:kern w:val="0"/>
                <w:sz w:val="22"/>
                <w:szCs w:val="24"/>
                <w:highlight w:val="none"/>
              </w:rPr>
            </w:pPr>
            <w:r>
              <w:rPr>
                <w:rFonts w:hint="eastAsia" w:ascii="宋体" w:hAnsi="宋体" w:cs="宋体"/>
                <w:color w:val="auto"/>
                <w:kern w:val="0"/>
                <w:sz w:val="22"/>
                <w:szCs w:val="24"/>
                <w:highlight w:val="none"/>
              </w:rPr>
              <w:t>2人</w:t>
            </w:r>
          </w:p>
        </w:tc>
        <w:tc>
          <w:tcPr>
            <w:tcW w:w="4462" w:type="dxa"/>
            <w:tcBorders>
              <w:top w:val="nil"/>
              <w:left w:val="nil"/>
              <w:bottom w:val="single" w:color="auto" w:sz="4" w:space="0"/>
              <w:right w:val="single" w:color="auto" w:sz="4" w:space="0"/>
            </w:tcBorders>
            <w:vAlign w:val="center"/>
          </w:tcPr>
          <w:p>
            <w:pPr>
              <w:widowControl/>
              <w:spacing w:line="276" w:lineRule="auto"/>
              <w:jc w:val="left"/>
              <w:rPr>
                <w:rFonts w:hint="eastAsia" w:ascii="宋体" w:hAnsi="宋体" w:cs="宋体"/>
                <w:color w:val="auto"/>
                <w:kern w:val="0"/>
                <w:sz w:val="22"/>
                <w:szCs w:val="24"/>
                <w:highlight w:val="none"/>
              </w:rPr>
            </w:pPr>
            <w:r>
              <w:rPr>
                <w:rFonts w:hint="eastAsia" w:ascii="宋体" w:hAnsi="宋体" w:cs="宋体"/>
                <w:color w:val="auto"/>
                <w:kern w:val="0"/>
                <w:sz w:val="22"/>
                <w:szCs w:val="24"/>
                <w:highlight w:val="none"/>
              </w:rPr>
              <w:t>本科及以上学历。</w:t>
            </w:r>
          </w:p>
        </w:tc>
      </w:tr>
      <w:tr>
        <w:tblPrEx>
          <w:tblCellMar>
            <w:top w:w="0" w:type="dxa"/>
            <w:left w:w="108" w:type="dxa"/>
            <w:bottom w:w="0" w:type="dxa"/>
            <w:right w:w="108" w:type="dxa"/>
          </w:tblCellMar>
        </w:tblPrEx>
        <w:trPr>
          <w:trHeight w:val="410" w:hRule="atLeast"/>
        </w:trPr>
        <w:tc>
          <w:tcPr>
            <w:tcW w:w="2235" w:type="dxa"/>
            <w:gridSpan w:val="2"/>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hint="eastAsia" w:ascii="宋体" w:hAnsi="宋体" w:cs="宋体"/>
                <w:color w:val="auto"/>
                <w:kern w:val="0"/>
                <w:sz w:val="22"/>
                <w:szCs w:val="24"/>
                <w:highlight w:val="none"/>
              </w:rPr>
            </w:pPr>
            <w:r>
              <w:rPr>
                <w:rFonts w:hint="eastAsia" w:ascii="宋体" w:hAnsi="宋体" w:cs="宋体"/>
                <w:color w:val="auto"/>
                <w:kern w:val="0"/>
                <w:sz w:val="22"/>
                <w:szCs w:val="24"/>
                <w:highlight w:val="none"/>
              </w:rPr>
              <w:t>专职人员总数</w:t>
            </w:r>
          </w:p>
        </w:tc>
        <w:tc>
          <w:tcPr>
            <w:tcW w:w="1134" w:type="dxa"/>
            <w:tcBorders>
              <w:top w:val="single" w:color="auto" w:sz="4" w:space="0"/>
              <w:left w:val="nil"/>
              <w:bottom w:val="single" w:color="auto" w:sz="4" w:space="0"/>
              <w:right w:val="single" w:color="auto" w:sz="4" w:space="0"/>
            </w:tcBorders>
            <w:vAlign w:val="center"/>
          </w:tcPr>
          <w:p>
            <w:pPr>
              <w:widowControl/>
              <w:spacing w:line="276" w:lineRule="auto"/>
              <w:jc w:val="center"/>
              <w:rPr>
                <w:rFonts w:hint="eastAsia" w:ascii="宋体" w:hAnsi="宋体" w:cs="宋体"/>
                <w:color w:val="auto"/>
                <w:kern w:val="0"/>
                <w:sz w:val="22"/>
                <w:szCs w:val="24"/>
                <w:highlight w:val="none"/>
              </w:rPr>
            </w:pPr>
            <w:r>
              <w:rPr>
                <w:rFonts w:hint="eastAsia" w:ascii="宋体" w:hAnsi="宋体" w:cs="宋体"/>
                <w:color w:val="auto"/>
                <w:kern w:val="0"/>
                <w:sz w:val="22"/>
                <w:szCs w:val="24"/>
                <w:highlight w:val="none"/>
              </w:rPr>
              <w:t>62人</w:t>
            </w:r>
          </w:p>
        </w:tc>
        <w:tc>
          <w:tcPr>
            <w:tcW w:w="1275" w:type="dxa"/>
            <w:tcBorders>
              <w:top w:val="single" w:color="auto" w:sz="4" w:space="0"/>
              <w:left w:val="nil"/>
              <w:bottom w:val="single" w:color="auto" w:sz="4" w:space="0"/>
              <w:right w:val="single" w:color="auto" w:sz="4" w:space="0"/>
            </w:tcBorders>
            <w:vAlign w:val="center"/>
          </w:tcPr>
          <w:p>
            <w:pPr>
              <w:widowControl/>
              <w:spacing w:line="276" w:lineRule="auto"/>
              <w:jc w:val="center"/>
              <w:rPr>
                <w:rFonts w:hint="eastAsia" w:ascii="宋体" w:hAnsi="宋体" w:cs="宋体"/>
                <w:color w:val="auto"/>
                <w:kern w:val="0"/>
                <w:sz w:val="22"/>
                <w:szCs w:val="24"/>
                <w:highlight w:val="none"/>
              </w:rPr>
            </w:pPr>
            <w:r>
              <w:rPr>
                <w:rFonts w:hint="eastAsia" w:ascii="宋体" w:hAnsi="宋体" w:cs="宋体"/>
                <w:color w:val="auto"/>
                <w:kern w:val="0"/>
                <w:sz w:val="22"/>
                <w:szCs w:val="24"/>
                <w:highlight w:val="none"/>
              </w:rPr>
              <w:t>21人</w:t>
            </w:r>
          </w:p>
        </w:tc>
        <w:tc>
          <w:tcPr>
            <w:tcW w:w="993" w:type="dxa"/>
            <w:tcBorders>
              <w:top w:val="single" w:color="auto" w:sz="4" w:space="0"/>
              <w:left w:val="nil"/>
              <w:bottom w:val="single" w:color="auto" w:sz="4" w:space="0"/>
              <w:right w:val="single" w:color="auto" w:sz="4" w:space="0"/>
            </w:tcBorders>
            <w:vAlign w:val="center"/>
          </w:tcPr>
          <w:p>
            <w:pPr>
              <w:widowControl/>
              <w:spacing w:line="276" w:lineRule="auto"/>
              <w:jc w:val="center"/>
              <w:rPr>
                <w:rFonts w:hint="eastAsia" w:ascii="宋体" w:hAnsi="宋体" w:cs="宋体"/>
                <w:color w:val="auto"/>
                <w:kern w:val="0"/>
                <w:sz w:val="22"/>
                <w:szCs w:val="24"/>
                <w:highlight w:val="none"/>
              </w:rPr>
            </w:pPr>
            <w:r>
              <w:rPr>
                <w:rFonts w:hint="eastAsia" w:ascii="宋体" w:hAnsi="宋体" w:cs="宋体"/>
                <w:color w:val="auto"/>
                <w:kern w:val="0"/>
                <w:sz w:val="22"/>
                <w:szCs w:val="24"/>
                <w:highlight w:val="none"/>
              </w:rPr>
              <w:t>28人</w:t>
            </w:r>
          </w:p>
        </w:tc>
        <w:tc>
          <w:tcPr>
            <w:tcW w:w="4462" w:type="dxa"/>
            <w:tcBorders>
              <w:top w:val="single" w:color="auto" w:sz="4" w:space="0"/>
              <w:left w:val="nil"/>
              <w:bottom w:val="single" w:color="auto" w:sz="4" w:space="0"/>
              <w:right w:val="single" w:color="auto" w:sz="4" w:space="0"/>
            </w:tcBorders>
            <w:vAlign w:val="center"/>
          </w:tcPr>
          <w:p>
            <w:pPr>
              <w:widowControl/>
              <w:spacing w:line="276" w:lineRule="auto"/>
              <w:jc w:val="left"/>
              <w:rPr>
                <w:rFonts w:hint="eastAsia" w:ascii="宋体" w:hAnsi="宋体" w:cs="宋体"/>
                <w:color w:val="auto"/>
                <w:kern w:val="0"/>
                <w:sz w:val="22"/>
                <w:szCs w:val="24"/>
                <w:highlight w:val="none"/>
              </w:rPr>
            </w:pPr>
          </w:p>
        </w:tc>
      </w:tr>
    </w:tbl>
    <w:p>
      <w:pPr>
        <w:widowControl/>
        <w:spacing w:line="360" w:lineRule="auto"/>
        <w:ind w:firstLine="480" w:firstLineChars="200"/>
        <w:jc w:val="left"/>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2）第二个服务包：定点康复机构、定点护理院的出入院鉴定；定点医药机构协议管理和大病保险困难群众的管理工作等</w:t>
      </w:r>
    </w:p>
    <w:p>
      <w:pPr>
        <w:spacing w:line="360" w:lineRule="auto"/>
        <w:ind w:firstLine="480" w:firstLineChars="200"/>
        <w:outlineLvl w:val="0"/>
        <w:rPr>
          <w:rFonts w:hint="eastAsia" w:ascii="宋体" w:hAnsi="宋体" w:cs="宋体"/>
          <w:b/>
          <w:bCs/>
          <w:color w:val="auto"/>
          <w:sz w:val="24"/>
          <w:szCs w:val="24"/>
          <w:highlight w:val="none"/>
        </w:rPr>
      </w:pPr>
      <w:r>
        <w:rPr>
          <w:rFonts w:hint="eastAsia" w:ascii="宋体" w:hAnsi="宋体" w:cs="宋体"/>
          <w:bCs/>
          <w:color w:val="auto"/>
          <w:sz w:val="24"/>
          <w:szCs w:val="24"/>
          <w:highlight w:val="none"/>
        </w:rPr>
        <w:t>在采购人的指导下开展工作，包括但不限于以下内容：</w:t>
      </w:r>
    </w:p>
    <w:p>
      <w:pPr>
        <w:spacing w:line="360" w:lineRule="auto"/>
        <w:ind w:firstLine="480" w:firstLineChars="200"/>
        <w:outlineLvl w:val="0"/>
        <w:rPr>
          <w:rFonts w:hint="eastAsia" w:ascii="宋体" w:hAnsi="宋体" w:cs="宋体"/>
          <w:bCs/>
          <w:color w:val="auto"/>
          <w:sz w:val="24"/>
          <w:szCs w:val="24"/>
          <w:highlight w:val="none"/>
        </w:rPr>
      </w:pPr>
      <w:r>
        <w:rPr>
          <w:rFonts w:hint="eastAsia" w:ascii="宋体" w:hAnsi="宋体" w:cs="宋体"/>
          <w:bCs/>
          <w:color w:val="auto"/>
          <w:sz w:val="24"/>
          <w:szCs w:val="24"/>
          <w:highlight w:val="none"/>
        </w:rPr>
        <w:t>①康复</w:t>
      </w:r>
    </w:p>
    <w:p>
      <w:pPr>
        <w:spacing w:line="360" w:lineRule="auto"/>
        <w:ind w:firstLine="480" w:firstLineChars="200"/>
        <w:outlineLvl w:val="0"/>
        <w:rPr>
          <w:rFonts w:hint="eastAsia" w:ascii="宋体" w:hAnsi="宋体" w:cs="宋体"/>
          <w:bCs/>
          <w:color w:val="auto"/>
          <w:sz w:val="24"/>
          <w:szCs w:val="24"/>
          <w:highlight w:val="none"/>
        </w:rPr>
      </w:pPr>
      <w:r>
        <w:rPr>
          <w:rFonts w:hint="eastAsia" w:ascii="宋体" w:hAnsi="宋体" w:cs="宋体"/>
          <w:bCs/>
          <w:color w:val="auto"/>
          <w:sz w:val="24"/>
          <w:szCs w:val="24"/>
          <w:highlight w:val="none"/>
        </w:rPr>
        <w:t>a.审核定点康复医疗机构的康复对象、治疗计划、检查评估、康复项目等管理情况；</w:t>
      </w:r>
    </w:p>
    <w:p>
      <w:pPr>
        <w:spacing w:line="360" w:lineRule="auto"/>
        <w:ind w:left="-2" w:leftChars="-1" w:firstLine="480" w:firstLineChars="200"/>
        <w:outlineLvl w:val="0"/>
        <w:rPr>
          <w:rFonts w:hint="eastAsia" w:ascii="宋体" w:hAnsi="宋体" w:cs="宋体"/>
          <w:bCs/>
          <w:color w:val="auto"/>
          <w:sz w:val="24"/>
          <w:szCs w:val="24"/>
          <w:highlight w:val="none"/>
        </w:rPr>
      </w:pPr>
      <w:r>
        <w:rPr>
          <w:rFonts w:hint="eastAsia" w:ascii="宋体" w:hAnsi="宋体" w:cs="宋体"/>
          <w:bCs/>
          <w:color w:val="auto"/>
          <w:sz w:val="24"/>
          <w:szCs w:val="24"/>
          <w:highlight w:val="none"/>
        </w:rPr>
        <w:t>b.依据《纳入基本医疗保险的部分医疗康复项目支付标准》等文件，检查定点康复医疗机构对住院康复患者的康复治疗频次、时限、限定范围、收费标准等执行情况；</w:t>
      </w:r>
    </w:p>
    <w:p>
      <w:pPr>
        <w:spacing w:line="360" w:lineRule="auto"/>
        <w:ind w:firstLine="480" w:firstLineChars="200"/>
        <w:outlineLvl w:val="0"/>
        <w:rPr>
          <w:rFonts w:hint="eastAsia" w:ascii="宋体" w:hAnsi="宋体" w:cs="宋体"/>
          <w:bCs/>
          <w:color w:val="auto"/>
          <w:sz w:val="24"/>
          <w:szCs w:val="24"/>
          <w:highlight w:val="none"/>
        </w:rPr>
      </w:pPr>
      <w:r>
        <w:rPr>
          <w:rFonts w:hint="eastAsia" w:ascii="宋体" w:hAnsi="宋体" w:cs="宋体"/>
          <w:bCs/>
          <w:color w:val="auto"/>
          <w:sz w:val="24"/>
          <w:szCs w:val="24"/>
          <w:highlight w:val="none"/>
        </w:rPr>
        <w:t>c.对康复医疗机构进行日常、专项检查等，并及时向采购人报告检查结果；</w:t>
      </w:r>
    </w:p>
    <w:p>
      <w:pPr>
        <w:spacing w:line="360" w:lineRule="auto"/>
        <w:ind w:firstLine="480" w:firstLineChars="200"/>
        <w:outlineLvl w:val="0"/>
        <w:rPr>
          <w:rFonts w:hint="eastAsia" w:ascii="宋体" w:hAnsi="宋体" w:cs="宋体"/>
          <w:bCs/>
          <w:color w:val="auto"/>
          <w:sz w:val="24"/>
          <w:szCs w:val="24"/>
          <w:highlight w:val="none"/>
        </w:rPr>
      </w:pPr>
      <w:r>
        <w:rPr>
          <w:rFonts w:hint="eastAsia" w:ascii="宋体" w:hAnsi="宋体" w:cs="宋体"/>
          <w:bCs/>
          <w:color w:val="auto"/>
          <w:sz w:val="24"/>
          <w:szCs w:val="24"/>
          <w:highlight w:val="none"/>
        </w:rPr>
        <w:t>d.在采购人的指导下开展跟踪评估、统计分析、管理和监督等工作；</w:t>
      </w:r>
    </w:p>
    <w:p>
      <w:pPr>
        <w:spacing w:line="360" w:lineRule="auto"/>
        <w:ind w:firstLine="480" w:firstLineChars="200"/>
        <w:outlineLvl w:val="0"/>
        <w:rPr>
          <w:rFonts w:hint="eastAsia" w:ascii="宋体" w:hAnsi="宋体" w:cs="宋体"/>
          <w:bCs/>
          <w:color w:val="auto"/>
          <w:sz w:val="24"/>
          <w:szCs w:val="24"/>
          <w:highlight w:val="none"/>
        </w:rPr>
      </w:pPr>
      <w:r>
        <w:rPr>
          <w:rFonts w:hint="eastAsia" w:ascii="宋体" w:hAnsi="宋体" w:cs="宋体"/>
          <w:bCs/>
          <w:color w:val="auto"/>
          <w:sz w:val="24"/>
          <w:szCs w:val="24"/>
          <w:highlight w:val="none"/>
        </w:rPr>
        <w:t>e.负责康复护理智能审核系统的运维(目前仅限无锡市区的康复护理智能审核系统，江阴市和宜兴市在本项目运营期间搭建类似系统，中标保险公司须按采购人的服务要求提供该系统的运维服务)。</w:t>
      </w:r>
    </w:p>
    <w:p>
      <w:pPr>
        <w:spacing w:line="360" w:lineRule="auto"/>
        <w:ind w:firstLine="480" w:firstLineChars="200"/>
        <w:outlineLvl w:val="0"/>
        <w:rPr>
          <w:rFonts w:hint="eastAsia" w:ascii="宋体" w:hAnsi="宋体" w:cs="宋体"/>
          <w:bCs/>
          <w:color w:val="auto"/>
          <w:sz w:val="24"/>
          <w:szCs w:val="24"/>
          <w:highlight w:val="none"/>
        </w:rPr>
      </w:pPr>
      <w:r>
        <w:rPr>
          <w:rFonts w:hint="eastAsia" w:ascii="宋体" w:hAnsi="宋体" w:cs="宋体"/>
          <w:bCs/>
          <w:color w:val="auto"/>
          <w:sz w:val="24"/>
          <w:szCs w:val="24"/>
          <w:highlight w:val="none"/>
        </w:rPr>
        <w:t>②护理</w:t>
      </w:r>
    </w:p>
    <w:p>
      <w:pPr>
        <w:spacing w:line="360" w:lineRule="auto"/>
        <w:ind w:firstLine="480" w:firstLineChars="200"/>
        <w:outlineLvl w:val="0"/>
        <w:rPr>
          <w:rFonts w:hint="eastAsia" w:ascii="宋体" w:hAnsi="宋体" w:cs="宋体"/>
          <w:bCs/>
          <w:color w:val="auto"/>
          <w:sz w:val="24"/>
          <w:szCs w:val="24"/>
          <w:highlight w:val="none"/>
        </w:rPr>
      </w:pPr>
      <w:r>
        <w:rPr>
          <w:rFonts w:hint="eastAsia" w:ascii="宋体" w:hAnsi="宋体" w:cs="宋体"/>
          <w:bCs/>
          <w:color w:val="auto"/>
          <w:sz w:val="24"/>
          <w:szCs w:val="24"/>
          <w:highlight w:val="none"/>
        </w:rPr>
        <w:t>a.审核定点护理院收治对象准入标准是否符合条件，审核并确定收治对象的护理依赖程度；</w:t>
      </w:r>
    </w:p>
    <w:p>
      <w:pPr>
        <w:spacing w:line="360" w:lineRule="auto"/>
        <w:ind w:firstLine="480" w:firstLineChars="200"/>
        <w:outlineLvl w:val="0"/>
        <w:rPr>
          <w:rFonts w:hint="eastAsia" w:ascii="宋体" w:hAnsi="宋体" w:cs="宋体"/>
          <w:bCs/>
          <w:color w:val="auto"/>
          <w:sz w:val="24"/>
          <w:szCs w:val="24"/>
          <w:highlight w:val="none"/>
        </w:rPr>
      </w:pPr>
      <w:r>
        <w:rPr>
          <w:rFonts w:hint="eastAsia" w:ascii="宋体" w:hAnsi="宋体" w:cs="宋体"/>
          <w:bCs/>
          <w:color w:val="auto"/>
          <w:sz w:val="24"/>
          <w:szCs w:val="24"/>
          <w:highlight w:val="none"/>
        </w:rPr>
        <w:t>b.对病情明显好转或稳定、符合出院条件的参保人员，督促定点护理院及时办理出院手续；</w:t>
      </w:r>
    </w:p>
    <w:p>
      <w:pPr>
        <w:spacing w:line="360" w:lineRule="auto"/>
        <w:ind w:firstLine="480" w:firstLineChars="200"/>
        <w:outlineLvl w:val="0"/>
        <w:rPr>
          <w:rFonts w:hint="eastAsia" w:ascii="宋体" w:hAnsi="宋体" w:cs="宋体"/>
          <w:bCs/>
          <w:color w:val="auto"/>
          <w:sz w:val="24"/>
          <w:szCs w:val="24"/>
          <w:highlight w:val="none"/>
        </w:rPr>
      </w:pPr>
      <w:r>
        <w:rPr>
          <w:rFonts w:hint="eastAsia" w:ascii="宋体" w:hAnsi="宋体" w:cs="宋体"/>
          <w:bCs/>
          <w:color w:val="auto"/>
          <w:sz w:val="24"/>
          <w:szCs w:val="24"/>
          <w:highlight w:val="none"/>
        </w:rPr>
        <w:t>c.对病情无明显好转或者加重的参保人员，及时督促定点护理院办理转院手续，以免延误救治；</w:t>
      </w:r>
    </w:p>
    <w:p>
      <w:pPr>
        <w:spacing w:line="360" w:lineRule="auto"/>
        <w:ind w:firstLine="480" w:firstLineChars="200"/>
        <w:outlineLvl w:val="0"/>
        <w:rPr>
          <w:rFonts w:hint="eastAsia" w:ascii="宋体" w:hAnsi="宋体" w:cs="宋体"/>
          <w:bCs/>
          <w:color w:val="auto"/>
          <w:sz w:val="24"/>
          <w:szCs w:val="24"/>
          <w:highlight w:val="none"/>
        </w:rPr>
      </w:pPr>
      <w:r>
        <w:rPr>
          <w:rFonts w:hint="eastAsia" w:ascii="宋体" w:hAnsi="宋体" w:cs="宋体"/>
          <w:bCs/>
          <w:color w:val="auto"/>
          <w:sz w:val="24"/>
          <w:szCs w:val="24"/>
          <w:highlight w:val="none"/>
        </w:rPr>
        <w:t>d.对定点护理院进行日常、专项检查等，并及时向采购人报告检查结果；</w:t>
      </w:r>
    </w:p>
    <w:p>
      <w:pPr>
        <w:spacing w:line="360" w:lineRule="auto"/>
        <w:ind w:firstLine="480" w:firstLineChars="200"/>
        <w:outlineLvl w:val="0"/>
        <w:rPr>
          <w:rFonts w:hint="eastAsia" w:ascii="宋体" w:hAnsi="宋体" w:cs="宋体"/>
          <w:bCs/>
          <w:color w:val="auto"/>
          <w:sz w:val="24"/>
          <w:szCs w:val="24"/>
          <w:highlight w:val="none"/>
        </w:rPr>
      </w:pPr>
      <w:r>
        <w:rPr>
          <w:rFonts w:hint="eastAsia" w:ascii="宋体" w:hAnsi="宋体" w:cs="宋体"/>
          <w:bCs/>
          <w:color w:val="auto"/>
          <w:sz w:val="24"/>
          <w:szCs w:val="24"/>
          <w:highlight w:val="none"/>
        </w:rPr>
        <w:t>e.在采购人的指导下开展跟踪评估、统计分析、管理和监督等工作；</w:t>
      </w:r>
    </w:p>
    <w:p>
      <w:pPr>
        <w:spacing w:line="360" w:lineRule="auto"/>
        <w:ind w:firstLine="480" w:firstLineChars="200"/>
        <w:outlineLvl w:val="0"/>
        <w:rPr>
          <w:rFonts w:hint="eastAsia" w:ascii="宋体" w:hAnsi="宋体" w:cs="宋体"/>
          <w:bCs/>
          <w:color w:val="auto"/>
          <w:sz w:val="24"/>
          <w:szCs w:val="24"/>
          <w:highlight w:val="none"/>
        </w:rPr>
      </w:pPr>
      <w:r>
        <w:rPr>
          <w:rFonts w:hint="eastAsia" w:ascii="宋体" w:hAnsi="宋体" w:cs="宋体"/>
          <w:bCs/>
          <w:color w:val="auto"/>
          <w:sz w:val="24"/>
          <w:szCs w:val="24"/>
          <w:highlight w:val="none"/>
        </w:rPr>
        <w:t>f负责康复护理智能审核系统的运维(目前仅限无锡市区的康复护理智能审核系统，江阴市和宜兴市在本项目运营期间搭建类似系统，中标保险公司须按采购人的服务要求提供该系统的运维服务)。</w:t>
      </w:r>
    </w:p>
    <w:p>
      <w:pPr>
        <w:spacing w:line="360" w:lineRule="auto"/>
        <w:ind w:firstLine="480" w:firstLineChars="200"/>
        <w:outlineLvl w:val="0"/>
        <w:rPr>
          <w:rFonts w:hint="eastAsia" w:ascii="宋体" w:hAnsi="宋体" w:cs="宋体"/>
          <w:bCs/>
          <w:color w:val="auto"/>
          <w:sz w:val="24"/>
          <w:szCs w:val="24"/>
          <w:highlight w:val="none"/>
        </w:rPr>
      </w:pPr>
      <w:r>
        <w:rPr>
          <w:rFonts w:hint="eastAsia" w:ascii="宋体" w:hAnsi="宋体" w:cs="宋体"/>
          <w:bCs/>
          <w:color w:val="auto"/>
          <w:sz w:val="24"/>
          <w:szCs w:val="24"/>
          <w:highlight w:val="none"/>
        </w:rPr>
        <w:t>③定点医药机构协议管理</w:t>
      </w:r>
    </w:p>
    <w:p>
      <w:pPr>
        <w:spacing w:line="360" w:lineRule="auto"/>
        <w:ind w:firstLine="480" w:firstLineChars="200"/>
        <w:outlineLvl w:val="0"/>
        <w:rPr>
          <w:rFonts w:hint="eastAsia" w:ascii="宋体" w:hAnsi="宋体" w:cs="宋体"/>
          <w:bCs/>
          <w:color w:val="auto"/>
          <w:sz w:val="24"/>
          <w:szCs w:val="24"/>
          <w:highlight w:val="none"/>
        </w:rPr>
      </w:pPr>
      <w:r>
        <w:rPr>
          <w:rFonts w:hint="eastAsia" w:ascii="宋体" w:hAnsi="宋体" w:cs="宋体"/>
          <w:bCs/>
          <w:color w:val="auto"/>
          <w:sz w:val="24"/>
          <w:szCs w:val="24"/>
          <w:highlight w:val="none"/>
        </w:rPr>
        <w:t>协助开展定点医药机构协议管理相关工作：</w:t>
      </w:r>
    </w:p>
    <w:p>
      <w:pPr>
        <w:pStyle w:val="69"/>
        <w:spacing w:line="360" w:lineRule="auto"/>
        <w:ind w:firstLine="540" w:firstLineChars="225"/>
        <w:outlineLvl w:val="0"/>
        <w:rPr>
          <w:rFonts w:hint="eastAsia" w:ascii="宋体" w:hAnsi="宋体" w:cs="宋体"/>
          <w:bCs/>
          <w:color w:val="auto"/>
          <w:sz w:val="24"/>
          <w:szCs w:val="24"/>
          <w:highlight w:val="none"/>
        </w:rPr>
      </w:pPr>
      <w:r>
        <w:rPr>
          <w:rFonts w:hint="eastAsia" w:ascii="宋体" w:hAnsi="宋体" w:cs="宋体"/>
          <w:bCs/>
          <w:color w:val="auto"/>
          <w:sz w:val="24"/>
          <w:szCs w:val="24"/>
          <w:highlight w:val="none"/>
        </w:rPr>
        <w:t>a.负责申请纳入协议管理医药机构的材料受理和审核；</w:t>
      </w:r>
    </w:p>
    <w:p>
      <w:pPr>
        <w:pStyle w:val="69"/>
        <w:spacing w:line="360" w:lineRule="auto"/>
        <w:ind w:firstLine="540" w:firstLineChars="225"/>
        <w:outlineLvl w:val="0"/>
        <w:rPr>
          <w:rFonts w:hint="eastAsia" w:ascii="宋体" w:hAnsi="宋体" w:cs="宋体"/>
          <w:bCs/>
          <w:color w:val="auto"/>
          <w:sz w:val="24"/>
          <w:szCs w:val="24"/>
          <w:highlight w:val="none"/>
        </w:rPr>
      </w:pPr>
      <w:r>
        <w:rPr>
          <w:rFonts w:hint="eastAsia" w:ascii="宋体" w:hAnsi="宋体" w:cs="宋体"/>
          <w:bCs/>
          <w:color w:val="auto"/>
          <w:sz w:val="24"/>
          <w:szCs w:val="24"/>
          <w:highlight w:val="none"/>
        </w:rPr>
        <w:t>b.负责实施申请纳入协议管理医药机构的现场勘查；</w:t>
      </w:r>
    </w:p>
    <w:p>
      <w:pPr>
        <w:pStyle w:val="69"/>
        <w:spacing w:line="360" w:lineRule="auto"/>
        <w:ind w:firstLine="566" w:firstLineChars="236"/>
        <w:outlineLvl w:val="0"/>
        <w:rPr>
          <w:rFonts w:hint="eastAsia" w:ascii="宋体" w:hAnsi="宋体" w:cs="宋体"/>
          <w:bCs/>
          <w:color w:val="auto"/>
          <w:sz w:val="24"/>
          <w:szCs w:val="24"/>
          <w:highlight w:val="none"/>
        </w:rPr>
      </w:pPr>
      <w:r>
        <w:rPr>
          <w:rFonts w:hint="eastAsia" w:ascii="宋体" w:hAnsi="宋体" w:cs="宋体"/>
          <w:bCs/>
          <w:color w:val="auto"/>
          <w:sz w:val="24"/>
          <w:szCs w:val="24"/>
          <w:highlight w:val="none"/>
        </w:rPr>
        <w:t>c.参与申请纳入协议管理医药机构的评审；</w:t>
      </w:r>
    </w:p>
    <w:p>
      <w:pPr>
        <w:spacing w:line="360" w:lineRule="auto"/>
        <w:ind w:firstLine="566" w:firstLineChars="236"/>
        <w:outlineLvl w:val="0"/>
        <w:rPr>
          <w:rFonts w:hint="eastAsia" w:ascii="宋体" w:hAnsi="宋体" w:cs="宋体"/>
          <w:bCs/>
          <w:color w:val="auto"/>
          <w:sz w:val="24"/>
          <w:szCs w:val="24"/>
          <w:highlight w:val="none"/>
        </w:rPr>
      </w:pPr>
      <w:r>
        <w:rPr>
          <w:rFonts w:hint="eastAsia" w:ascii="宋体" w:hAnsi="宋体" w:cs="宋体"/>
          <w:bCs/>
          <w:color w:val="auto"/>
          <w:sz w:val="24"/>
          <w:szCs w:val="24"/>
          <w:highlight w:val="none"/>
        </w:rPr>
        <w:t>d.参与定点医药机构协议管理的日常经办，包括变更登记、现场勘查、协议签订以及和部分备案业务等，须在采购人工作场所办公；</w:t>
      </w:r>
    </w:p>
    <w:p>
      <w:pPr>
        <w:spacing w:line="360" w:lineRule="auto"/>
        <w:ind w:firstLine="566" w:firstLineChars="236"/>
        <w:outlineLvl w:val="0"/>
        <w:rPr>
          <w:rFonts w:hint="eastAsia" w:ascii="宋体" w:hAnsi="宋体" w:cs="宋体"/>
          <w:bCs/>
          <w:color w:val="auto"/>
          <w:sz w:val="24"/>
          <w:szCs w:val="24"/>
          <w:highlight w:val="none"/>
        </w:rPr>
      </w:pPr>
      <w:r>
        <w:rPr>
          <w:rFonts w:hint="eastAsia" w:ascii="宋体" w:hAnsi="宋体" w:cs="宋体"/>
          <w:bCs/>
          <w:color w:val="auto"/>
          <w:sz w:val="24"/>
          <w:szCs w:val="24"/>
          <w:highlight w:val="none"/>
        </w:rPr>
        <w:t>e.开展流动巡查等</w:t>
      </w:r>
    </w:p>
    <w:p>
      <w:pPr>
        <w:spacing w:line="360" w:lineRule="auto"/>
        <w:ind w:firstLine="480" w:firstLineChars="200"/>
        <w:outlineLvl w:val="0"/>
        <w:rPr>
          <w:rFonts w:hint="eastAsia" w:ascii="宋体" w:hAnsi="宋体" w:cs="宋体"/>
          <w:bCs/>
          <w:color w:val="auto"/>
          <w:sz w:val="24"/>
          <w:szCs w:val="24"/>
          <w:highlight w:val="none"/>
        </w:rPr>
      </w:pPr>
      <w:r>
        <w:rPr>
          <w:rFonts w:hint="eastAsia" w:ascii="宋体" w:hAnsi="宋体" w:cs="宋体"/>
          <w:bCs/>
          <w:color w:val="auto"/>
          <w:sz w:val="24"/>
          <w:szCs w:val="24"/>
          <w:highlight w:val="none"/>
        </w:rPr>
        <w:t>提供除第一服务包约定的定点医疗机构巡查之外的所有定点医药机构开展流动巡查工作。</w:t>
      </w:r>
    </w:p>
    <w:p>
      <w:pPr>
        <w:spacing w:line="360" w:lineRule="auto"/>
        <w:ind w:firstLine="480" w:firstLineChars="200"/>
        <w:outlineLvl w:val="0"/>
        <w:rPr>
          <w:rFonts w:hint="eastAsia" w:ascii="宋体" w:hAnsi="宋体" w:cs="宋体"/>
          <w:bCs/>
          <w:color w:val="auto"/>
          <w:sz w:val="24"/>
          <w:szCs w:val="24"/>
          <w:highlight w:val="none"/>
        </w:rPr>
      </w:pPr>
      <w:r>
        <w:rPr>
          <w:rFonts w:hint="eastAsia" w:ascii="宋体" w:hAnsi="宋体" w:cs="宋体"/>
          <w:bCs/>
          <w:color w:val="auto"/>
          <w:sz w:val="24"/>
          <w:szCs w:val="24"/>
          <w:highlight w:val="none"/>
        </w:rPr>
        <w:t>每季度对巡查对象开展流动巡查，并形成季度、年度专项书面报告，年度内实现巡查对象100%覆盖；有违反医保协议情况的，应及时采集证据并向采购人报告。</w:t>
      </w:r>
    </w:p>
    <w:p>
      <w:pPr>
        <w:spacing w:line="360" w:lineRule="auto"/>
        <w:ind w:firstLine="480" w:firstLineChars="200"/>
        <w:outlineLvl w:val="0"/>
        <w:rPr>
          <w:rFonts w:hint="eastAsia" w:ascii="宋体" w:hAnsi="宋体" w:cs="宋体"/>
          <w:bCs/>
          <w:color w:val="auto"/>
          <w:sz w:val="24"/>
          <w:szCs w:val="24"/>
          <w:highlight w:val="none"/>
        </w:rPr>
      </w:pPr>
      <w:r>
        <w:rPr>
          <w:rFonts w:hint="eastAsia" w:ascii="宋体" w:hAnsi="宋体" w:cs="宋体"/>
          <w:bCs/>
          <w:color w:val="auto"/>
          <w:sz w:val="24"/>
          <w:szCs w:val="24"/>
          <w:highlight w:val="none"/>
        </w:rPr>
        <w:t>④大病保险困难群众的管理工作</w:t>
      </w:r>
    </w:p>
    <w:p>
      <w:pPr>
        <w:spacing w:line="360" w:lineRule="auto"/>
        <w:ind w:firstLine="480" w:firstLineChars="200"/>
        <w:outlineLvl w:val="0"/>
        <w:rPr>
          <w:rFonts w:hint="eastAsia" w:ascii="宋体" w:hAnsi="宋体" w:cs="宋体"/>
          <w:bCs/>
          <w:color w:val="auto"/>
          <w:sz w:val="24"/>
          <w:szCs w:val="24"/>
          <w:highlight w:val="none"/>
        </w:rPr>
      </w:pPr>
      <w:r>
        <w:rPr>
          <w:rFonts w:hint="eastAsia" w:ascii="宋体" w:hAnsi="宋体" w:cs="宋体"/>
          <w:bCs/>
          <w:color w:val="auto"/>
          <w:sz w:val="24"/>
          <w:szCs w:val="24"/>
          <w:highlight w:val="none"/>
        </w:rPr>
        <w:t>协助做好大病保险困难救助的相关工作：</w:t>
      </w:r>
    </w:p>
    <w:p>
      <w:pPr>
        <w:spacing w:line="360" w:lineRule="auto"/>
        <w:ind w:firstLine="480" w:firstLineChars="200"/>
        <w:outlineLvl w:val="0"/>
        <w:rPr>
          <w:rFonts w:hint="eastAsia" w:ascii="宋体" w:hAnsi="宋体" w:cs="宋体"/>
          <w:bCs/>
          <w:color w:val="auto"/>
          <w:sz w:val="24"/>
          <w:szCs w:val="24"/>
          <w:highlight w:val="none"/>
        </w:rPr>
      </w:pPr>
      <w:r>
        <w:rPr>
          <w:rFonts w:hint="eastAsia" w:ascii="宋体" w:hAnsi="宋体" w:cs="宋体"/>
          <w:bCs/>
          <w:color w:val="auto"/>
          <w:sz w:val="24"/>
          <w:szCs w:val="24"/>
          <w:highlight w:val="none"/>
        </w:rPr>
        <w:t>a.大病保险困难救助对象（以下简称“救助对象”）的动态维护工作，主要包括：</w:t>
      </w:r>
    </w:p>
    <w:p>
      <w:pPr>
        <w:spacing w:line="360" w:lineRule="auto"/>
        <w:ind w:firstLine="480" w:firstLineChars="200"/>
        <w:outlineLvl w:val="0"/>
        <w:rPr>
          <w:rFonts w:hint="eastAsia" w:ascii="宋体" w:hAnsi="宋体" w:cs="宋体"/>
          <w:bCs/>
          <w:color w:val="auto"/>
          <w:sz w:val="24"/>
          <w:szCs w:val="24"/>
          <w:highlight w:val="none"/>
        </w:rPr>
      </w:pPr>
      <w:r>
        <w:rPr>
          <w:rFonts w:hint="eastAsia" w:ascii="宋体" w:hAnsi="宋体" w:cs="宋体"/>
          <w:color w:val="auto"/>
          <w:kern w:val="0"/>
          <w:sz w:val="24"/>
          <w:szCs w:val="24"/>
          <w:highlight w:val="none"/>
        </w:rPr>
        <w:t>Ⅰ.</w:t>
      </w:r>
      <w:r>
        <w:rPr>
          <w:rFonts w:hint="eastAsia" w:ascii="宋体" w:hAnsi="宋体" w:cs="宋体"/>
          <w:bCs/>
          <w:color w:val="auto"/>
          <w:sz w:val="24"/>
          <w:szCs w:val="24"/>
          <w:highlight w:val="none"/>
        </w:rPr>
        <w:t>民政、残联、退军、总工会等四部门每月动态报送的新增、终止、比对等动态维护工作；</w:t>
      </w:r>
    </w:p>
    <w:p>
      <w:pPr>
        <w:spacing w:line="360" w:lineRule="auto"/>
        <w:ind w:firstLine="480" w:firstLineChars="200"/>
        <w:outlineLvl w:val="0"/>
        <w:rPr>
          <w:rFonts w:hint="eastAsia" w:ascii="宋体" w:hAnsi="宋体" w:cs="宋体"/>
          <w:bCs/>
          <w:color w:val="auto"/>
          <w:sz w:val="24"/>
          <w:szCs w:val="24"/>
          <w:highlight w:val="none"/>
        </w:rPr>
      </w:pPr>
      <w:r>
        <w:rPr>
          <w:rFonts w:hint="eastAsia" w:ascii="宋体" w:hAnsi="宋体" w:cs="宋体"/>
          <w:color w:val="auto"/>
          <w:kern w:val="0"/>
          <w:sz w:val="24"/>
          <w:szCs w:val="24"/>
          <w:highlight w:val="none"/>
        </w:rPr>
        <w:t>Ⅱ.</w:t>
      </w:r>
      <w:r>
        <w:rPr>
          <w:rFonts w:hint="eastAsia" w:ascii="宋体" w:hAnsi="宋体" w:cs="宋体"/>
          <w:bCs/>
          <w:color w:val="auto"/>
          <w:sz w:val="24"/>
          <w:szCs w:val="24"/>
          <w:highlight w:val="none"/>
        </w:rPr>
        <w:t>居民医保集中征缴期批量救助对象资助参加居民医保及居民医保个人已缴费对象退费、职工医保待遇享受等相关工作；</w:t>
      </w:r>
    </w:p>
    <w:p>
      <w:pPr>
        <w:spacing w:line="360" w:lineRule="auto"/>
        <w:ind w:firstLine="480" w:firstLineChars="200"/>
        <w:outlineLvl w:val="0"/>
        <w:rPr>
          <w:rFonts w:hint="eastAsia" w:ascii="宋体" w:hAnsi="宋体" w:cs="宋体"/>
          <w:bCs/>
          <w:color w:val="auto"/>
          <w:sz w:val="24"/>
          <w:szCs w:val="24"/>
          <w:highlight w:val="none"/>
        </w:rPr>
      </w:pPr>
      <w:r>
        <w:rPr>
          <w:rFonts w:hint="eastAsia" w:ascii="宋体" w:hAnsi="宋体" w:cs="宋体"/>
          <w:color w:val="auto"/>
          <w:kern w:val="0"/>
          <w:sz w:val="24"/>
          <w:szCs w:val="24"/>
          <w:highlight w:val="none"/>
        </w:rPr>
        <w:t>Ⅲ.</w:t>
      </w:r>
      <w:r>
        <w:rPr>
          <w:rFonts w:hint="eastAsia" w:ascii="宋体" w:hAnsi="宋体" w:cs="宋体"/>
          <w:bCs/>
          <w:color w:val="auto"/>
          <w:sz w:val="24"/>
          <w:szCs w:val="24"/>
          <w:highlight w:val="none"/>
        </w:rPr>
        <w:t>建立相关资助参保及动态维护台帐及每年一次的省绩效评价相关资料，确保符合上级检查要求；</w:t>
      </w:r>
    </w:p>
    <w:p>
      <w:pPr>
        <w:spacing w:line="360" w:lineRule="auto"/>
        <w:ind w:firstLine="480" w:firstLineChars="200"/>
        <w:outlineLvl w:val="0"/>
        <w:rPr>
          <w:rFonts w:hint="eastAsia" w:ascii="宋体" w:hAnsi="宋体" w:cs="宋体"/>
          <w:bCs/>
          <w:color w:val="auto"/>
          <w:sz w:val="24"/>
          <w:szCs w:val="24"/>
          <w:highlight w:val="none"/>
        </w:rPr>
      </w:pPr>
      <w:r>
        <w:rPr>
          <w:rFonts w:hint="eastAsia" w:ascii="宋体" w:hAnsi="宋体" w:cs="宋体"/>
          <w:color w:val="auto"/>
          <w:kern w:val="0"/>
          <w:sz w:val="24"/>
          <w:szCs w:val="24"/>
          <w:highlight w:val="none"/>
        </w:rPr>
        <w:t>Ⅳ.</w:t>
      </w:r>
      <w:r>
        <w:rPr>
          <w:rFonts w:hint="eastAsia" w:ascii="宋体" w:hAnsi="宋体" w:cs="宋体"/>
          <w:bCs/>
          <w:color w:val="auto"/>
          <w:sz w:val="24"/>
          <w:szCs w:val="24"/>
          <w:highlight w:val="none"/>
        </w:rPr>
        <w:t>做好救助对象信息部门间实时共享及高额医疗费用预警相关工作。</w:t>
      </w:r>
    </w:p>
    <w:p>
      <w:pPr>
        <w:spacing w:line="360" w:lineRule="auto"/>
        <w:ind w:firstLine="480" w:firstLineChars="200"/>
        <w:outlineLvl w:val="0"/>
        <w:rPr>
          <w:rFonts w:hint="eastAsia" w:ascii="宋体" w:hAnsi="宋体" w:cs="宋体"/>
          <w:bCs/>
          <w:color w:val="auto"/>
          <w:sz w:val="24"/>
          <w:szCs w:val="24"/>
          <w:highlight w:val="none"/>
        </w:rPr>
      </w:pPr>
      <w:r>
        <w:rPr>
          <w:rFonts w:hint="eastAsia" w:ascii="宋体" w:hAnsi="宋体" w:cs="宋体"/>
          <w:bCs/>
          <w:color w:val="auto"/>
          <w:sz w:val="24"/>
          <w:szCs w:val="24"/>
          <w:highlight w:val="none"/>
        </w:rPr>
        <w:t>b.救助对象相关信息查询工作（救助待遇、救助身份、费用明细等）；</w:t>
      </w:r>
    </w:p>
    <w:p>
      <w:pPr>
        <w:spacing w:line="360" w:lineRule="auto"/>
        <w:ind w:firstLine="480" w:firstLineChars="200"/>
        <w:outlineLvl w:val="0"/>
        <w:rPr>
          <w:rFonts w:hint="eastAsia" w:ascii="宋体" w:hAnsi="宋体" w:cs="宋体"/>
          <w:smallCaps/>
          <w:color w:val="auto"/>
          <w:sz w:val="24"/>
          <w:szCs w:val="24"/>
          <w:highlight w:val="none"/>
        </w:rPr>
      </w:pPr>
      <w:r>
        <w:rPr>
          <w:rFonts w:hint="eastAsia" w:ascii="宋体" w:hAnsi="宋体" w:cs="宋体"/>
          <w:bCs/>
          <w:color w:val="auto"/>
          <w:sz w:val="24"/>
          <w:szCs w:val="24"/>
          <w:highlight w:val="none"/>
        </w:rPr>
        <w:t>c.救助政策咨询等；</w:t>
      </w:r>
    </w:p>
    <w:p>
      <w:pPr>
        <w:spacing w:line="360" w:lineRule="auto"/>
        <w:ind w:firstLine="480" w:firstLineChars="200"/>
        <w:outlineLvl w:val="0"/>
        <w:rPr>
          <w:rFonts w:hint="eastAsia" w:ascii="宋体" w:hAnsi="宋体" w:cs="宋体"/>
          <w:bCs/>
          <w:color w:val="auto"/>
          <w:sz w:val="24"/>
          <w:szCs w:val="24"/>
          <w:highlight w:val="none"/>
        </w:rPr>
      </w:pPr>
      <w:r>
        <w:rPr>
          <w:rFonts w:hint="eastAsia" w:ascii="宋体" w:hAnsi="宋体" w:cs="宋体"/>
          <w:bCs/>
          <w:color w:val="auto"/>
          <w:sz w:val="24"/>
          <w:szCs w:val="24"/>
          <w:highlight w:val="none"/>
        </w:rPr>
        <w:t>d.大病保险困难医疗救助相关数据统计等；</w:t>
      </w:r>
    </w:p>
    <w:p>
      <w:pPr>
        <w:spacing w:line="360" w:lineRule="auto"/>
        <w:ind w:firstLine="480" w:firstLineChars="200"/>
        <w:outlineLvl w:val="0"/>
        <w:rPr>
          <w:rFonts w:hint="eastAsia" w:ascii="宋体" w:hAnsi="宋体" w:cs="宋体"/>
          <w:bCs/>
          <w:color w:val="auto"/>
          <w:sz w:val="24"/>
          <w:szCs w:val="24"/>
          <w:highlight w:val="none"/>
        </w:rPr>
      </w:pPr>
      <w:r>
        <w:rPr>
          <w:rFonts w:hint="eastAsia" w:ascii="宋体" w:hAnsi="宋体" w:cs="宋体"/>
          <w:bCs/>
          <w:color w:val="auto"/>
          <w:sz w:val="24"/>
          <w:szCs w:val="24"/>
          <w:highlight w:val="none"/>
        </w:rPr>
        <w:t>e.协助开展医疗救助资金违规发放预警信息核实处理工作；</w:t>
      </w:r>
    </w:p>
    <w:p>
      <w:pPr>
        <w:spacing w:line="360" w:lineRule="auto"/>
        <w:ind w:firstLine="480" w:firstLineChars="200"/>
        <w:outlineLvl w:val="0"/>
        <w:rPr>
          <w:rFonts w:hint="eastAsia" w:ascii="宋体" w:hAnsi="宋体" w:cs="宋体"/>
          <w:bCs/>
          <w:color w:val="auto"/>
          <w:sz w:val="24"/>
          <w:szCs w:val="24"/>
          <w:highlight w:val="none"/>
        </w:rPr>
      </w:pPr>
      <w:r>
        <w:rPr>
          <w:rFonts w:hint="eastAsia" w:ascii="宋体" w:hAnsi="宋体" w:cs="宋体"/>
          <w:bCs/>
          <w:color w:val="auto"/>
          <w:sz w:val="24"/>
          <w:szCs w:val="24"/>
          <w:highlight w:val="none"/>
        </w:rPr>
        <w:t>f.协助做好特殊困难群体（低保对象，特困供养人员、困境儿童）在服务标段范围内定点医疗机构就医提供医保政策范围内免费住院医疗服务，完成为三类困难群体提供政策范围内住院费用免费保障服务项目。</w:t>
      </w:r>
    </w:p>
    <w:p>
      <w:pPr>
        <w:spacing w:line="360" w:lineRule="auto"/>
        <w:ind w:firstLine="480" w:firstLineChars="200"/>
        <w:outlineLvl w:val="0"/>
        <w:rPr>
          <w:rFonts w:hint="eastAsia" w:ascii="宋体" w:hAnsi="宋体" w:cs="宋体"/>
          <w:bCs/>
          <w:color w:val="auto"/>
          <w:sz w:val="24"/>
          <w:szCs w:val="24"/>
          <w:highlight w:val="none"/>
        </w:rPr>
      </w:pPr>
      <w:r>
        <w:rPr>
          <w:rFonts w:hint="eastAsia" w:ascii="宋体" w:hAnsi="宋体" w:cs="宋体"/>
          <w:bCs/>
          <w:color w:val="auto"/>
          <w:sz w:val="24"/>
          <w:szCs w:val="24"/>
          <w:highlight w:val="none"/>
        </w:rPr>
        <w:t>g.做好相关帮扶对象走访及其他工作。</w:t>
      </w:r>
    </w:p>
    <w:p>
      <w:pPr>
        <w:spacing w:line="360" w:lineRule="auto"/>
        <w:ind w:firstLine="480" w:firstLineChars="200"/>
        <w:outlineLvl w:val="0"/>
        <w:rPr>
          <w:rFonts w:hint="eastAsia" w:ascii="宋体" w:hAnsi="宋体" w:cs="宋体"/>
          <w:bCs/>
          <w:color w:val="auto"/>
          <w:sz w:val="24"/>
          <w:szCs w:val="24"/>
          <w:highlight w:val="none"/>
        </w:rPr>
      </w:pPr>
      <w:r>
        <w:rPr>
          <w:rFonts w:hint="eastAsia" w:ascii="宋体" w:hAnsi="宋体" w:cs="宋体"/>
          <w:bCs/>
          <w:color w:val="auto"/>
          <w:sz w:val="24"/>
          <w:szCs w:val="24"/>
          <w:highlight w:val="none"/>
        </w:rPr>
        <w:t>⑤采购人安排的其他相关工作；</w:t>
      </w:r>
    </w:p>
    <w:p>
      <w:pPr>
        <w:spacing w:line="360" w:lineRule="auto"/>
        <w:ind w:firstLine="480" w:firstLineChars="200"/>
        <w:outlineLvl w:val="0"/>
        <w:rPr>
          <w:rFonts w:hint="eastAsia" w:ascii="宋体" w:hAnsi="宋体" w:cs="宋体"/>
          <w:bCs/>
          <w:color w:val="auto"/>
          <w:sz w:val="24"/>
          <w:szCs w:val="24"/>
          <w:highlight w:val="none"/>
        </w:rPr>
      </w:pPr>
      <w:r>
        <w:rPr>
          <w:rFonts w:hint="eastAsia" w:ascii="宋体" w:hAnsi="宋体" w:cs="宋体"/>
          <w:color w:val="auto"/>
          <w:sz w:val="24"/>
          <w:szCs w:val="24"/>
          <w:highlight w:val="none"/>
        </w:rPr>
        <w:t>⑥</w:t>
      </w:r>
      <w:r>
        <w:rPr>
          <w:rFonts w:hint="eastAsia" w:ascii="宋体" w:hAnsi="宋体" w:cs="宋体"/>
          <w:bCs/>
          <w:color w:val="auto"/>
          <w:sz w:val="24"/>
          <w:szCs w:val="24"/>
          <w:highlight w:val="none"/>
        </w:rPr>
        <w:t>人员配备（</w:t>
      </w:r>
      <w:r>
        <w:rPr>
          <w:rFonts w:hint="eastAsia" w:ascii="宋体" w:hAnsi="宋体"/>
          <w:bCs/>
          <w:color w:val="auto"/>
          <w:sz w:val="24"/>
          <w:szCs w:val="24"/>
          <w:highlight w:val="none"/>
        </w:rPr>
        <w:t>人员配备率</w:t>
      </w:r>
      <w:r>
        <w:rPr>
          <w:rFonts w:hint="eastAsia" w:ascii="宋体" w:hAnsi="宋体" w:cs="宋体"/>
          <w:color w:val="auto"/>
          <w:kern w:val="0"/>
          <w:sz w:val="24"/>
          <w:szCs w:val="24"/>
          <w:highlight w:val="none"/>
        </w:rPr>
        <w:t>须达100%、稳定性须大</w:t>
      </w:r>
      <w:r>
        <w:rPr>
          <w:rFonts w:hint="eastAsia" w:ascii="宋体" w:hAnsi="宋体"/>
          <w:bCs/>
          <w:color w:val="auto"/>
          <w:sz w:val="24"/>
          <w:szCs w:val="24"/>
          <w:highlight w:val="none"/>
        </w:rPr>
        <w:t>于80%、空岗率</w:t>
      </w:r>
      <w:r>
        <w:rPr>
          <w:rFonts w:hint="eastAsia" w:ascii="宋体" w:hAnsi="宋体" w:cs="宋体"/>
          <w:color w:val="auto"/>
          <w:kern w:val="0"/>
          <w:sz w:val="24"/>
          <w:szCs w:val="24"/>
          <w:highlight w:val="none"/>
        </w:rPr>
        <w:t>须</w:t>
      </w:r>
      <w:r>
        <w:rPr>
          <w:rFonts w:hint="eastAsia" w:ascii="宋体" w:hAnsi="宋体"/>
          <w:bCs/>
          <w:color w:val="auto"/>
          <w:sz w:val="24"/>
          <w:szCs w:val="24"/>
          <w:highlight w:val="none"/>
        </w:rPr>
        <w:t>低于2%</w:t>
      </w:r>
      <w:r>
        <w:rPr>
          <w:rFonts w:hint="eastAsia" w:ascii="宋体" w:hAnsi="宋体" w:cs="宋体"/>
          <w:bCs/>
          <w:color w:val="auto"/>
          <w:sz w:val="24"/>
          <w:szCs w:val="24"/>
          <w:highlight w:val="none"/>
        </w:rPr>
        <w:t>）</w:t>
      </w:r>
      <w:r>
        <w:rPr>
          <w:rFonts w:hint="eastAsia" w:ascii="宋体" w:hAnsi="宋体" w:cs="宋体"/>
          <w:color w:val="auto"/>
          <w:kern w:val="0"/>
          <w:sz w:val="24"/>
          <w:szCs w:val="24"/>
          <w:highlight w:val="none"/>
        </w:rPr>
        <w:t xml:space="preserve"> </w:t>
      </w:r>
    </w:p>
    <w:tbl>
      <w:tblPr>
        <w:tblStyle w:val="24"/>
        <w:tblpPr w:leftFromText="180" w:rightFromText="180" w:vertAnchor="text" w:horzAnchor="page" w:tblpX="1430" w:tblpY="177"/>
        <w:tblW w:w="9640" w:type="dxa"/>
        <w:tblInd w:w="0" w:type="dxa"/>
        <w:tblLayout w:type="autofit"/>
        <w:tblCellMar>
          <w:top w:w="0" w:type="dxa"/>
          <w:left w:w="108" w:type="dxa"/>
          <w:bottom w:w="0" w:type="dxa"/>
          <w:right w:w="108" w:type="dxa"/>
        </w:tblCellMar>
      </w:tblPr>
      <w:tblGrid>
        <w:gridCol w:w="817"/>
        <w:gridCol w:w="1134"/>
        <w:gridCol w:w="1418"/>
        <w:gridCol w:w="1275"/>
        <w:gridCol w:w="1134"/>
        <w:gridCol w:w="3862"/>
      </w:tblGrid>
      <w:tr>
        <w:tblPrEx>
          <w:tblCellMar>
            <w:top w:w="0" w:type="dxa"/>
            <w:left w:w="108" w:type="dxa"/>
            <w:bottom w:w="0" w:type="dxa"/>
            <w:right w:w="108" w:type="dxa"/>
          </w:tblCellMar>
        </w:tblPrEx>
        <w:trPr>
          <w:trHeight w:val="702" w:hRule="atLeast"/>
        </w:trPr>
        <w:tc>
          <w:tcPr>
            <w:tcW w:w="1951"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mc:AlternateContent>
                <mc:Choice Requires="wps">
                  <w:drawing>
                    <wp:anchor distT="0" distB="0" distL="114300" distR="114300" simplePos="0" relativeHeight="251662336" behindDoc="0" locked="0" layoutInCell="1" allowOverlap="1">
                      <wp:simplePos x="0" y="0"/>
                      <wp:positionH relativeFrom="column">
                        <wp:posOffset>-52705</wp:posOffset>
                      </wp:positionH>
                      <wp:positionV relativeFrom="paragraph">
                        <wp:posOffset>15875</wp:posOffset>
                      </wp:positionV>
                      <wp:extent cx="1190625" cy="314960"/>
                      <wp:effectExtent l="13970" t="6350" r="5080" b="12065"/>
                      <wp:wrapNone/>
                      <wp:docPr id="34" name="自选图形 18"/>
                      <wp:cNvGraphicFramePr/>
                      <a:graphic xmlns:a="http://schemas.openxmlformats.org/drawingml/2006/main">
                        <a:graphicData uri="http://schemas.microsoft.com/office/word/2010/wordprocessingShape">
                          <wps:wsp>
                            <wps:cNvCnPr>
                              <a:cxnSpLocks noChangeShapeType="1"/>
                            </wps:cNvCnPr>
                            <wps:spPr bwMode="auto">
                              <a:xfrm>
                                <a:off x="0" y="0"/>
                                <a:ext cx="1190625" cy="314960"/>
                              </a:xfrm>
                              <a:prstGeom prst="straightConnector1">
                                <a:avLst/>
                              </a:prstGeom>
                              <a:noFill/>
                              <a:ln w="9525">
                                <a:solidFill>
                                  <a:srgbClr val="000000"/>
                                </a:solidFill>
                                <a:round/>
                              </a:ln>
                            </wps:spPr>
                            <wps:bodyPr/>
                          </wps:wsp>
                        </a:graphicData>
                      </a:graphic>
                    </wp:anchor>
                  </w:drawing>
                </mc:Choice>
                <mc:Fallback>
                  <w:pict>
                    <v:shape id="自选图形 18" o:spid="_x0000_s1026" o:spt="32" type="#_x0000_t32" style="position:absolute;left:0pt;margin-left:-4.15pt;margin-top:1.25pt;height:24.8pt;width:93.75pt;z-index:251662336;mso-width-relative:page;mso-height-relative:page;" filled="f" stroked="t" coordsize="21600,21600" o:gfxdata="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A2kJ6bVAAAABwEAAA8AAAAAAAAAAQAgAAAAIgAAAGRycy9kb3ducmV2LnhtbFBLAQIUABQA&#10;AAAIAIdO4kBU770I8wEAALwDAAAOAAAAAAAAAAEAIAAAACQBAABkcnMvZTJvRG9jLnhtbFBLBQYA&#10;AAAABgAGAFkBAACJBQAAAAA=&#10;">
                      <v:fill on="f" focussize="0,0"/>
                      <v:stroke color="#000000" joinstyle="round"/>
                      <v:imagedata o:title=""/>
                      <o:lock v:ext="edit" aspectratio="f"/>
                    </v:shape>
                  </w:pict>
                </mc:Fallback>
              </mc:AlternateContent>
            </w:r>
            <w:r>
              <w:rPr>
                <w:rFonts w:hint="eastAsia" w:ascii="宋体" w:hAnsi="宋体" w:cs="宋体"/>
                <w:color w:val="auto"/>
                <w:kern w:val="0"/>
                <w:sz w:val="24"/>
                <w:szCs w:val="24"/>
                <w:highlight w:val="none"/>
              </w:rPr>
              <mc:AlternateContent>
                <mc:Choice Requires="wps">
                  <w:drawing>
                    <wp:anchor distT="0" distB="0" distL="114300" distR="114300" simplePos="0" relativeHeight="251663360" behindDoc="0" locked="0" layoutInCell="1" allowOverlap="1">
                      <wp:simplePos x="0" y="0"/>
                      <wp:positionH relativeFrom="column">
                        <wp:posOffset>-38100</wp:posOffset>
                      </wp:positionH>
                      <wp:positionV relativeFrom="paragraph">
                        <wp:posOffset>10160</wp:posOffset>
                      </wp:positionV>
                      <wp:extent cx="638175" cy="588645"/>
                      <wp:effectExtent l="9525" t="10160" r="9525" b="10795"/>
                      <wp:wrapNone/>
                      <wp:docPr id="33" name="自选图形 17"/>
                      <wp:cNvGraphicFramePr/>
                      <a:graphic xmlns:a="http://schemas.openxmlformats.org/drawingml/2006/main">
                        <a:graphicData uri="http://schemas.microsoft.com/office/word/2010/wordprocessingShape">
                          <wps:wsp>
                            <wps:cNvCnPr>
                              <a:cxnSpLocks noChangeShapeType="1"/>
                            </wps:cNvCnPr>
                            <wps:spPr bwMode="auto">
                              <a:xfrm>
                                <a:off x="0" y="0"/>
                                <a:ext cx="638175" cy="588645"/>
                              </a:xfrm>
                              <a:prstGeom prst="straightConnector1">
                                <a:avLst/>
                              </a:prstGeom>
                              <a:noFill/>
                              <a:ln w="9525">
                                <a:solidFill>
                                  <a:srgbClr val="000000"/>
                                </a:solidFill>
                                <a:round/>
                              </a:ln>
                            </wps:spPr>
                            <wps:bodyPr/>
                          </wps:wsp>
                        </a:graphicData>
                      </a:graphic>
                    </wp:anchor>
                  </w:drawing>
                </mc:Choice>
                <mc:Fallback>
                  <w:pict>
                    <v:shape id="自选图形 17" o:spid="_x0000_s1026" o:spt="32" type="#_x0000_t32" style="position:absolute;left:0pt;margin-left:-3pt;margin-top:0.8pt;height:46.35pt;width:50.25pt;z-index:251663360;mso-width-relative:page;mso-height-relative:page;" filled="f" stroked="t" coordsize="21600,21600" o:gfxdata="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AakM91gAAAAYBAAAPAAAAAAAAAAEAIAAAACIAAABkcnMvZG93bnJldi54bWxQSwECFAAU&#10;AAAACACHTuJAPJccuPMBAAC7AwAADgAAAAAAAAABACAAAAAlAQAAZHJzL2Uyb0RvYy54bWxQSwUG&#10;AAAAAAYABgBZAQAAigUAAAAA&#10;">
                      <v:fill on="f" focussize="0,0"/>
                      <v:stroke color="#000000" joinstyle="round"/>
                      <v:imagedata o:title=""/>
                      <o:lock v:ext="edit" aspectratio="f"/>
                    </v:shape>
                  </w:pict>
                </mc:Fallback>
              </mc:AlternateContent>
            </w:r>
            <w:r>
              <w:rPr>
                <w:rFonts w:hint="eastAsia" w:ascii="宋体" w:hAnsi="宋体" w:cs="宋体"/>
                <w:color w:val="auto"/>
                <w:kern w:val="0"/>
                <w:sz w:val="24"/>
                <w:szCs w:val="24"/>
                <w:highlight w:val="none"/>
              </w:rPr>
              <w:t xml:space="preserve">      区域</w:t>
            </w:r>
          </w:p>
          <w:p>
            <w:pPr>
              <w:widowControl/>
              <w:spacing w:line="360" w:lineRule="auto"/>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类别   人员</w:t>
            </w:r>
          </w:p>
        </w:tc>
        <w:tc>
          <w:tcPr>
            <w:tcW w:w="141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标段一</w:t>
            </w:r>
          </w:p>
        </w:tc>
        <w:tc>
          <w:tcPr>
            <w:tcW w:w="127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标段二</w:t>
            </w:r>
          </w:p>
        </w:tc>
        <w:tc>
          <w:tcPr>
            <w:tcW w:w="113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标段三</w:t>
            </w:r>
          </w:p>
        </w:tc>
        <w:tc>
          <w:tcPr>
            <w:tcW w:w="386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备注要求</w:t>
            </w:r>
          </w:p>
        </w:tc>
      </w:tr>
      <w:tr>
        <w:tblPrEx>
          <w:tblCellMar>
            <w:top w:w="0" w:type="dxa"/>
            <w:left w:w="108" w:type="dxa"/>
            <w:bottom w:w="0" w:type="dxa"/>
            <w:right w:w="108" w:type="dxa"/>
          </w:tblCellMar>
        </w:tblPrEx>
        <w:trPr>
          <w:trHeight w:val="885" w:hRule="atLeast"/>
        </w:trPr>
        <w:tc>
          <w:tcPr>
            <w:tcW w:w="817" w:type="dxa"/>
            <w:vMerge w:val="restart"/>
            <w:tcBorders>
              <w:top w:val="single" w:color="auto" w:sz="4" w:space="0"/>
              <w:left w:val="single" w:color="auto" w:sz="4" w:space="0"/>
              <w:right w:val="single" w:color="auto" w:sz="4" w:space="0"/>
            </w:tcBorders>
            <w:vAlign w:val="center"/>
          </w:tcPr>
          <w:p>
            <w:pPr>
              <w:widowControl/>
              <w:spacing w:line="276" w:lineRule="auto"/>
              <w:jc w:val="center"/>
              <w:rPr>
                <w:rFonts w:hint="eastAsia" w:ascii="宋体" w:hAnsi="宋体" w:cs="宋体"/>
                <w:color w:val="auto"/>
                <w:kern w:val="0"/>
                <w:sz w:val="22"/>
                <w:szCs w:val="24"/>
                <w:highlight w:val="none"/>
              </w:rPr>
            </w:pPr>
            <w:r>
              <w:rPr>
                <w:rFonts w:hint="eastAsia" w:ascii="宋体" w:hAnsi="宋体" w:cs="宋体"/>
                <w:color w:val="auto"/>
                <w:kern w:val="0"/>
                <w:sz w:val="22"/>
                <w:szCs w:val="24"/>
                <w:highlight w:val="none"/>
              </w:rPr>
              <w:t>康复护理</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hint="eastAsia" w:ascii="宋体" w:hAnsi="宋体" w:cs="宋体"/>
                <w:color w:val="auto"/>
                <w:kern w:val="0"/>
                <w:sz w:val="22"/>
                <w:szCs w:val="24"/>
                <w:highlight w:val="none"/>
              </w:rPr>
            </w:pPr>
            <w:r>
              <w:rPr>
                <w:rFonts w:hint="eastAsia" w:ascii="宋体" w:hAnsi="宋体" w:cs="宋体"/>
                <w:color w:val="auto"/>
                <w:kern w:val="0"/>
                <w:sz w:val="22"/>
                <w:szCs w:val="24"/>
                <w:highlight w:val="none"/>
              </w:rPr>
              <w:t>专家</w:t>
            </w:r>
          </w:p>
        </w:tc>
        <w:tc>
          <w:tcPr>
            <w:tcW w:w="1418" w:type="dxa"/>
            <w:tcBorders>
              <w:top w:val="nil"/>
              <w:left w:val="nil"/>
              <w:bottom w:val="single" w:color="auto" w:sz="4" w:space="0"/>
              <w:right w:val="single" w:color="auto" w:sz="4" w:space="0"/>
            </w:tcBorders>
            <w:vAlign w:val="center"/>
          </w:tcPr>
          <w:p>
            <w:pPr>
              <w:widowControl/>
              <w:spacing w:line="276" w:lineRule="auto"/>
              <w:jc w:val="center"/>
              <w:rPr>
                <w:rFonts w:hint="eastAsia" w:ascii="宋体" w:hAnsi="宋体" w:cs="宋体"/>
                <w:color w:val="auto"/>
                <w:kern w:val="0"/>
                <w:sz w:val="22"/>
                <w:szCs w:val="24"/>
                <w:highlight w:val="none"/>
              </w:rPr>
            </w:pPr>
            <w:r>
              <w:rPr>
                <w:rFonts w:hint="eastAsia" w:ascii="宋体" w:hAnsi="宋体" w:cs="宋体"/>
                <w:color w:val="auto"/>
                <w:kern w:val="0"/>
                <w:sz w:val="22"/>
                <w:szCs w:val="24"/>
                <w:highlight w:val="none"/>
              </w:rPr>
              <w:t>不少</w:t>
            </w:r>
          </w:p>
          <w:p>
            <w:pPr>
              <w:widowControl/>
              <w:spacing w:line="276" w:lineRule="auto"/>
              <w:jc w:val="center"/>
              <w:rPr>
                <w:rFonts w:hint="eastAsia" w:ascii="宋体" w:hAnsi="宋体" w:cs="宋体"/>
                <w:color w:val="auto"/>
                <w:kern w:val="0"/>
                <w:sz w:val="22"/>
                <w:szCs w:val="24"/>
                <w:highlight w:val="none"/>
              </w:rPr>
            </w:pPr>
            <w:r>
              <w:rPr>
                <w:rFonts w:hint="eastAsia" w:ascii="宋体" w:hAnsi="宋体" w:cs="宋体"/>
                <w:color w:val="auto"/>
                <w:kern w:val="0"/>
                <w:sz w:val="22"/>
                <w:szCs w:val="24"/>
                <w:highlight w:val="none"/>
              </w:rPr>
              <w:t>于3人</w:t>
            </w:r>
          </w:p>
        </w:tc>
        <w:tc>
          <w:tcPr>
            <w:tcW w:w="1275" w:type="dxa"/>
            <w:tcBorders>
              <w:top w:val="nil"/>
              <w:left w:val="nil"/>
              <w:bottom w:val="single" w:color="auto" w:sz="4" w:space="0"/>
              <w:right w:val="single" w:color="auto" w:sz="4" w:space="0"/>
            </w:tcBorders>
            <w:vAlign w:val="center"/>
          </w:tcPr>
          <w:p>
            <w:pPr>
              <w:widowControl/>
              <w:spacing w:line="276" w:lineRule="auto"/>
              <w:jc w:val="center"/>
              <w:rPr>
                <w:rFonts w:hint="eastAsia" w:ascii="宋体" w:hAnsi="宋体" w:cs="宋体"/>
                <w:color w:val="auto"/>
                <w:kern w:val="0"/>
                <w:sz w:val="22"/>
                <w:szCs w:val="24"/>
                <w:highlight w:val="none"/>
              </w:rPr>
            </w:pPr>
            <w:r>
              <w:rPr>
                <w:rFonts w:hint="eastAsia" w:ascii="宋体" w:hAnsi="宋体" w:cs="宋体"/>
                <w:color w:val="auto"/>
                <w:kern w:val="0"/>
                <w:sz w:val="22"/>
                <w:szCs w:val="24"/>
                <w:highlight w:val="none"/>
              </w:rPr>
              <w:t>不少</w:t>
            </w:r>
          </w:p>
          <w:p>
            <w:pPr>
              <w:widowControl/>
              <w:spacing w:line="276" w:lineRule="auto"/>
              <w:jc w:val="center"/>
              <w:rPr>
                <w:rFonts w:hint="eastAsia" w:ascii="宋体" w:hAnsi="宋体" w:cs="宋体"/>
                <w:color w:val="auto"/>
                <w:kern w:val="0"/>
                <w:sz w:val="22"/>
                <w:szCs w:val="24"/>
                <w:highlight w:val="none"/>
              </w:rPr>
            </w:pPr>
            <w:r>
              <w:rPr>
                <w:rFonts w:hint="eastAsia" w:ascii="宋体" w:hAnsi="宋体" w:cs="宋体"/>
                <w:color w:val="auto"/>
                <w:kern w:val="0"/>
                <w:sz w:val="22"/>
                <w:szCs w:val="24"/>
                <w:highlight w:val="none"/>
              </w:rPr>
              <w:t>于2人</w:t>
            </w:r>
          </w:p>
        </w:tc>
        <w:tc>
          <w:tcPr>
            <w:tcW w:w="1134" w:type="dxa"/>
            <w:tcBorders>
              <w:top w:val="nil"/>
              <w:left w:val="nil"/>
              <w:bottom w:val="single" w:color="auto" w:sz="4" w:space="0"/>
              <w:right w:val="single" w:color="auto" w:sz="4" w:space="0"/>
            </w:tcBorders>
            <w:vAlign w:val="center"/>
          </w:tcPr>
          <w:p>
            <w:pPr>
              <w:widowControl/>
              <w:spacing w:line="276" w:lineRule="auto"/>
              <w:jc w:val="center"/>
              <w:rPr>
                <w:rFonts w:hint="eastAsia" w:ascii="宋体" w:hAnsi="宋体" w:cs="宋体"/>
                <w:color w:val="auto"/>
                <w:kern w:val="0"/>
                <w:sz w:val="22"/>
                <w:szCs w:val="24"/>
                <w:highlight w:val="none"/>
              </w:rPr>
            </w:pPr>
            <w:r>
              <w:rPr>
                <w:rFonts w:hint="eastAsia" w:ascii="宋体" w:hAnsi="宋体" w:cs="宋体"/>
                <w:color w:val="auto"/>
                <w:kern w:val="0"/>
                <w:sz w:val="22"/>
                <w:szCs w:val="24"/>
                <w:highlight w:val="none"/>
              </w:rPr>
              <w:t>不少</w:t>
            </w:r>
          </w:p>
          <w:p>
            <w:pPr>
              <w:widowControl/>
              <w:spacing w:line="276" w:lineRule="auto"/>
              <w:jc w:val="center"/>
              <w:rPr>
                <w:rFonts w:hint="eastAsia" w:ascii="宋体" w:hAnsi="宋体" w:cs="宋体"/>
                <w:color w:val="auto"/>
                <w:kern w:val="0"/>
                <w:sz w:val="22"/>
                <w:szCs w:val="24"/>
                <w:highlight w:val="none"/>
              </w:rPr>
            </w:pPr>
            <w:r>
              <w:rPr>
                <w:rFonts w:hint="eastAsia" w:ascii="宋体" w:hAnsi="宋体" w:cs="宋体"/>
                <w:color w:val="auto"/>
                <w:kern w:val="0"/>
                <w:sz w:val="22"/>
                <w:szCs w:val="24"/>
                <w:highlight w:val="none"/>
              </w:rPr>
              <w:t>于2人</w:t>
            </w:r>
          </w:p>
        </w:tc>
        <w:tc>
          <w:tcPr>
            <w:tcW w:w="3862" w:type="dxa"/>
            <w:tcBorders>
              <w:top w:val="single" w:color="auto" w:sz="4" w:space="0"/>
              <w:left w:val="nil"/>
              <w:bottom w:val="single" w:color="auto" w:sz="4" w:space="0"/>
              <w:right w:val="single" w:color="auto" w:sz="4" w:space="0"/>
            </w:tcBorders>
            <w:vAlign w:val="center"/>
          </w:tcPr>
          <w:p>
            <w:pPr>
              <w:widowControl/>
              <w:spacing w:line="276" w:lineRule="auto"/>
              <w:jc w:val="left"/>
              <w:rPr>
                <w:rFonts w:hint="eastAsia" w:ascii="宋体" w:hAnsi="宋体" w:cs="宋体"/>
                <w:color w:val="auto"/>
                <w:kern w:val="0"/>
                <w:sz w:val="22"/>
                <w:szCs w:val="24"/>
                <w:highlight w:val="none"/>
              </w:rPr>
            </w:pPr>
            <w:r>
              <w:rPr>
                <w:rFonts w:hint="eastAsia" w:ascii="宋体" w:hAnsi="宋体" w:cs="宋体"/>
                <w:color w:val="auto"/>
                <w:kern w:val="0"/>
                <w:sz w:val="22"/>
                <w:szCs w:val="24"/>
                <w:highlight w:val="none"/>
              </w:rPr>
              <w:t>临床医学、医疗康复专业、老年病专业及护理专业中级职称（含）以上或上述专业研究生学历。</w:t>
            </w:r>
          </w:p>
        </w:tc>
      </w:tr>
      <w:tr>
        <w:tblPrEx>
          <w:tblCellMar>
            <w:top w:w="0" w:type="dxa"/>
            <w:left w:w="108" w:type="dxa"/>
            <w:bottom w:w="0" w:type="dxa"/>
            <w:right w:w="108" w:type="dxa"/>
          </w:tblCellMar>
        </w:tblPrEx>
        <w:trPr>
          <w:trHeight w:val="283" w:hRule="atLeast"/>
        </w:trPr>
        <w:tc>
          <w:tcPr>
            <w:tcW w:w="817" w:type="dxa"/>
            <w:vMerge w:val="continue"/>
            <w:tcBorders>
              <w:left w:val="single" w:color="auto" w:sz="4" w:space="0"/>
              <w:bottom w:val="single" w:color="auto" w:sz="4" w:space="0"/>
              <w:right w:val="single" w:color="auto" w:sz="4" w:space="0"/>
            </w:tcBorders>
            <w:vAlign w:val="center"/>
          </w:tcPr>
          <w:p>
            <w:pPr>
              <w:widowControl/>
              <w:spacing w:line="276" w:lineRule="auto"/>
              <w:jc w:val="center"/>
              <w:rPr>
                <w:rFonts w:hint="eastAsia" w:ascii="宋体" w:hAnsi="宋体" w:cs="宋体"/>
                <w:color w:val="auto"/>
                <w:kern w:val="0"/>
                <w:sz w:val="22"/>
                <w:szCs w:val="24"/>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hint="eastAsia" w:ascii="宋体" w:hAnsi="宋体" w:cs="宋体"/>
                <w:color w:val="auto"/>
                <w:kern w:val="0"/>
                <w:sz w:val="22"/>
                <w:szCs w:val="24"/>
                <w:highlight w:val="none"/>
              </w:rPr>
            </w:pPr>
            <w:r>
              <w:rPr>
                <w:rFonts w:hint="eastAsia" w:ascii="宋体" w:hAnsi="宋体" w:cs="宋体"/>
                <w:color w:val="auto"/>
                <w:kern w:val="0"/>
                <w:sz w:val="22"/>
                <w:szCs w:val="24"/>
                <w:highlight w:val="none"/>
              </w:rPr>
              <w:t>其他人员</w:t>
            </w:r>
          </w:p>
        </w:tc>
        <w:tc>
          <w:tcPr>
            <w:tcW w:w="1418" w:type="dxa"/>
            <w:tcBorders>
              <w:top w:val="nil"/>
              <w:left w:val="nil"/>
              <w:bottom w:val="single" w:color="auto" w:sz="4" w:space="0"/>
              <w:right w:val="single" w:color="auto" w:sz="4" w:space="0"/>
            </w:tcBorders>
            <w:vAlign w:val="center"/>
          </w:tcPr>
          <w:p>
            <w:pPr>
              <w:widowControl/>
              <w:spacing w:line="276" w:lineRule="auto"/>
              <w:jc w:val="center"/>
              <w:rPr>
                <w:rFonts w:hint="eastAsia" w:ascii="宋体" w:hAnsi="宋体" w:cs="宋体"/>
                <w:color w:val="auto"/>
                <w:kern w:val="0"/>
                <w:sz w:val="22"/>
                <w:szCs w:val="24"/>
                <w:highlight w:val="none"/>
              </w:rPr>
            </w:pPr>
            <w:r>
              <w:rPr>
                <w:rFonts w:hint="eastAsia" w:ascii="宋体" w:hAnsi="宋体" w:cs="宋体"/>
                <w:color w:val="auto"/>
                <w:kern w:val="0"/>
                <w:sz w:val="22"/>
                <w:szCs w:val="24"/>
                <w:highlight w:val="none"/>
              </w:rPr>
              <w:t>不少</w:t>
            </w:r>
          </w:p>
          <w:p>
            <w:pPr>
              <w:widowControl/>
              <w:spacing w:line="276" w:lineRule="auto"/>
              <w:jc w:val="center"/>
              <w:rPr>
                <w:rFonts w:hint="eastAsia" w:ascii="宋体" w:hAnsi="宋体" w:cs="宋体"/>
                <w:color w:val="auto"/>
                <w:kern w:val="0"/>
                <w:sz w:val="22"/>
                <w:szCs w:val="24"/>
                <w:highlight w:val="none"/>
              </w:rPr>
            </w:pPr>
            <w:r>
              <w:rPr>
                <w:rFonts w:hint="eastAsia" w:ascii="宋体" w:hAnsi="宋体" w:cs="宋体"/>
                <w:color w:val="auto"/>
                <w:kern w:val="0"/>
                <w:sz w:val="22"/>
                <w:szCs w:val="24"/>
                <w:highlight w:val="none"/>
              </w:rPr>
              <w:t>于9人</w:t>
            </w:r>
          </w:p>
        </w:tc>
        <w:tc>
          <w:tcPr>
            <w:tcW w:w="1275" w:type="dxa"/>
            <w:tcBorders>
              <w:top w:val="nil"/>
              <w:left w:val="nil"/>
              <w:bottom w:val="single" w:color="auto" w:sz="4" w:space="0"/>
              <w:right w:val="single" w:color="auto" w:sz="4" w:space="0"/>
            </w:tcBorders>
            <w:vAlign w:val="center"/>
          </w:tcPr>
          <w:p>
            <w:pPr>
              <w:widowControl/>
              <w:spacing w:line="276" w:lineRule="auto"/>
              <w:jc w:val="center"/>
              <w:rPr>
                <w:rFonts w:hint="eastAsia" w:ascii="宋体" w:hAnsi="宋体" w:cs="宋体"/>
                <w:color w:val="auto"/>
                <w:kern w:val="0"/>
                <w:sz w:val="22"/>
                <w:szCs w:val="24"/>
                <w:highlight w:val="none"/>
              </w:rPr>
            </w:pPr>
            <w:r>
              <w:rPr>
                <w:rFonts w:hint="eastAsia" w:ascii="宋体" w:hAnsi="宋体" w:cs="宋体"/>
                <w:color w:val="auto"/>
                <w:kern w:val="0"/>
                <w:sz w:val="22"/>
                <w:szCs w:val="24"/>
                <w:highlight w:val="none"/>
              </w:rPr>
              <w:t>不少</w:t>
            </w:r>
          </w:p>
          <w:p>
            <w:pPr>
              <w:widowControl/>
              <w:spacing w:line="276" w:lineRule="auto"/>
              <w:jc w:val="center"/>
              <w:rPr>
                <w:rFonts w:hint="eastAsia" w:ascii="宋体" w:hAnsi="宋体" w:cs="宋体"/>
                <w:color w:val="auto"/>
                <w:kern w:val="0"/>
                <w:sz w:val="22"/>
                <w:szCs w:val="24"/>
                <w:highlight w:val="none"/>
              </w:rPr>
            </w:pPr>
            <w:r>
              <w:rPr>
                <w:rFonts w:hint="eastAsia" w:ascii="宋体" w:hAnsi="宋体" w:cs="宋体"/>
                <w:color w:val="auto"/>
                <w:kern w:val="0"/>
                <w:sz w:val="22"/>
                <w:szCs w:val="24"/>
                <w:highlight w:val="none"/>
              </w:rPr>
              <w:t>于4人</w:t>
            </w:r>
          </w:p>
        </w:tc>
        <w:tc>
          <w:tcPr>
            <w:tcW w:w="1134" w:type="dxa"/>
            <w:tcBorders>
              <w:top w:val="nil"/>
              <w:left w:val="nil"/>
              <w:bottom w:val="single" w:color="auto" w:sz="4" w:space="0"/>
              <w:right w:val="single" w:color="auto" w:sz="4" w:space="0"/>
            </w:tcBorders>
            <w:vAlign w:val="center"/>
          </w:tcPr>
          <w:p>
            <w:pPr>
              <w:widowControl/>
              <w:spacing w:line="276" w:lineRule="auto"/>
              <w:jc w:val="center"/>
              <w:rPr>
                <w:rFonts w:hint="eastAsia" w:ascii="宋体" w:hAnsi="宋体" w:cs="宋体"/>
                <w:color w:val="auto"/>
                <w:kern w:val="0"/>
                <w:sz w:val="22"/>
                <w:szCs w:val="24"/>
                <w:highlight w:val="none"/>
              </w:rPr>
            </w:pPr>
            <w:r>
              <w:rPr>
                <w:rFonts w:hint="eastAsia" w:ascii="宋体" w:hAnsi="宋体" w:cs="宋体"/>
                <w:color w:val="auto"/>
                <w:kern w:val="0"/>
                <w:sz w:val="22"/>
                <w:szCs w:val="24"/>
                <w:highlight w:val="none"/>
              </w:rPr>
              <w:t>不少</w:t>
            </w:r>
          </w:p>
          <w:p>
            <w:pPr>
              <w:widowControl/>
              <w:spacing w:line="276" w:lineRule="auto"/>
              <w:jc w:val="center"/>
              <w:rPr>
                <w:rFonts w:hint="eastAsia" w:ascii="宋体" w:hAnsi="宋体" w:cs="宋体"/>
                <w:color w:val="auto"/>
                <w:kern w:val="0"/>
                <w:sz w:val="22"/>
                <w:szCs w:val="24"/>
                <w:highlight w:val="none"/>
              </w:rPr>
            </w:pPr>
            <w:r>
              <w:rPr>
                <w:rFonts w:hint="eastAsia" w:ascii="宋体" w:hAnsi="宋体" w:cs="宋体"/>
                <w:color w:val="auto"/>
                <w:kern w:val="0"/>
                <w:sz w:val="22"/>
                <w:szCs w:val="24"/>
                <w:highlight w:val="none"/>
              </w:rPr>
              <w:t>于2人</w:t>
            </w:r>
          </w:p>
        </w:tc>
        <w:tc>
          <w:tcPr>
            <w:tcW w:w="3862" w:type="dxa"/>
            <w:tcBorders>
              <w:top w:val="single" w:color="auto" w:sz="4" w:space="0"/>
              <w:left w:val="nil"/>
              <w:bottom w:val="single" w:color="auto" w:sz="4" w:space="0"/>
              <w:right w:val="single" w:color="auto" w:sz="4" w:space="0"/>
            </w:tcBorders>
            <w:vAlign w:val="center"/>
          </w:tcPr>
          <w:p>
            <w:pPr>
              <w:widowControl/>
              <w:spacing w:line="276" w:lineRule="auto"/>
              <w:jc w:val="left"/>
              <w:rPr>
                <w:rFonts w:hint="eastAsia" w:ascii="宋体" w:hAnsi="宋体" w:cs="宋体"/>
                <w:color w:val="auto"/>
                <w:kern w:val="0"/>
                <w:sz w:val="22"/>
                <w:szCs w:val="24"/>
                <w:highlight w:val="none"/>
              </w:rPr>
            </w:pPr>
            <w:r>
              <w:rPr>
                <w:rFonts w:hint="eastAsia" w:ascii="宋体" w:hAnsi="宋体" w:cs="宋体"/>
                <w:color w:val="auto"/>
                <w:kern w:val="0"/>
                <w:sz w:val="22"/>
                <w:szCs w:val="24"/>
                <w:highlight w:val="none"/>
              </w:rPr>
              <w:t>医学类专业不低于30%</w:t>
            </w:r>
          </w:p>
        </w:tc>
      </w:tr>
      <w:tr>
        <w:tblPrEx>
          <w:tblCellMar>
            <w:top w:w="0" w:type="dxa"/>
            <w:left w:w="108" w:type="dxa"/>
            <w:bottom w:w="0" w:type="dxa"/>
            <w:right w:w="108" w:type="dxa"/>
          </w:tblCellMar>
        </w:tblPrEx>
        <w:trPr>
          <w:trHeight w:val="299" w:hRule="atLeast"/>
        </w:trPr>
        <w:tc>
          <w:tcPr>
            <w:tcW w:w="1951" w:type="dxa"/>
            <w:gridSpan w:val="2"/>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hint="eastAsia" w:ascii="宋体" w:hAnsi="宋体" w:cs="宋体"/>
                <w:color w:val="auto"/>
                <w:kern w:val="0"/>
                <w:sz w:val="22"/>
                <w:szCs w:val="24"/>
                <w:highlight w:val="none"/>
              </w:rPr>
            </w:pPr>
            <w:r>
              <w:rPr>
                <w:rFonts w:hint="eastAsia" w:ascii="宋体" w:hAnsi="宋体" w:cs="宋体"/>
                <w:color w:val="auto"/>
                <w:kern w:val="0"/>
                <w:sz w:val="22"/>
                <w:szCs w:val="24"/>
                <w:highlight w:val="none"/>
              </w:rPr>
              <w:t>协议管理</w:t>
            </w:r>
          </w:p>
        </w:tc>
        <w:tc>
          <w:tcPr>
            <w:tcW w:w="1418" w:type="dxa"/>
            <w:tcBorders>
              <w:top w:val="single" w:color="auto" w:sz="4" w:space="0"/>
              <w:left w:val="nil"/>
              <w:bottom w:val="single" w:color="auto" w:sz="4" w:space="0"/>
              <w:right w:val="single" w:color="auto" w:sz="4" w:space="0"/>
            </w:tcBorders>
            <w:vAlign w:val="center"/>
          </w:tcPr>
          <w:p>
            <w:pPr>
              <w:widowControl/>
              <w:spacing w:line="276" w:lineRule="auto"/>
              <w:jc w:val="center"/>
              <w:rPr>
                <w:rFonts w:hint="eastAsia" w:ascii="宋体" w:hAnsi="宋体" w:cs="宋体"/>
                <w:color w:val="auto"/>
                <w:kern w:val="0"/>
                <w:sz w:val="22"/>
                <w:szCs w:val="24"/>
                <w:highlight w:val="none"/>
              </w:rPr>
            </w:pPr>
            <w:r>
              <w:rPr>
                <w:rFonts w:hint="eastAsia" w:ascii="宋体" w:hAnsi="宋体" w:cs="宋体"/>
                <w:color w:val="auto"/>
                <w:kern w:val="0"/>
                <w:sz w:val="22"/>
                <w:szCs w:val="24"/>
                <w:highlight w:val="none"/>
              </w:rPr>
              <w:t>不少</w:t>
            </w:r>
          </w:p>
          <w:p>
            <w:pPr>
              <w:widowControl/>
              <w:spacing w:line="276" w:lineRule="auto"/>
              <w:jc w:val="center"/>
              <w:rPr>
                <w:rFonts w:hint="eastAsia" w:ascii="宋体" w:hAnsi="宋体" w:cs="宋体"/>
                <w:color w:val="auto"/>
                <w:kern w:val="0"/>
                <w:sz w:val="22"/>
                <w:szCs w:val="24"/>
                <w:highlight w:val="none"/>
              </w:rPr>
            </w:pPr>
            <w:r>
              <w:rPr>
                <w:rFonts w:hint="eastAsia" w:ascii="宋体" w:hAnsi="宋体" w:cs="宋体"/>
                <w:color w:val="auto"/>
                <w:kern w:val="0"/>
                <w:sz w:val="22"/>
                <w:szCs w:val="24"/>
                <w:highlight w:val="none"/>
              </w:rPr>
              <w:t>于12人</w:t>
            </w:r>
          </w:p>
        </w:tc>
        <w:tc>
          <w:tcPr>
            <w:tcW w:w="1275" w:type="dxa"/>
            <w:tcBorders>
              <w:top w:val="single" w:color="auto" w:sz="4" w:space="0"/>
              <w:left w:val="nil"/>
              <w:bottom w:val="single" w:color="auto" w:sz="4" w:space="0"/>
              <w:right w:val="single" w:color="auto" w:sz="4" w:space="0"/>
            </w:tcBorders>
            <w:vAlign w:val="center"/>
          </w:tcPr>
          <w:p>
            <w:pPr>
              <w:widowControl/>
              <w:spacing w:line="276" w:lineRule="auto"/>
              <w:jc w:val="center"/>
              <w:rPr>
                <w:rFonts w:hint="eastAsia" w:ascii="宋体" w:hAnsi="宋体" w:cs="宋体"/>
                <w:color w:val="auto"/>
                <w:kern w:val="0"/>
                <w:sz w:val="22"/>
                <w:szCs w:val="24"/>
                <w:highlight w:val="none"/>
              </w:rPr>
            </w:pPr>
            <w:r>
              <w:rPr>
                <w:rFonts w:hint="eastAsia" w:ascii="宋体" w:hAnsi="宋体" w:cs="宋体"/>
                <w:color w:val="auto"/>
                <w:kern w:val="0"/>
                <w:sz w:val="22"/>
                <w:szCs w:val="24"/>
                <w:highlight w:val="none"/>
              </w:rPr>
              <w:t>不少</w:t>
            </w:r>
          </w:p>
          <w:p>
            <w:pPr>
              <w:widowControl/>
              <w:spacing w:line="276" w:lineRule="auto"/>
              <w:jc w:val="center"/>
              <w:rPr>
                <w:rFonts w:hint="eastAsia" w:ascii="宋体" w:hAnsi="宋体" w:cs="宋体"/>
                <w:color w:val="auto"/>
                <w:kern w:val="0"/>
                <w:sz w:val="22"/>
                <w:szCs w:val="24"/>
                <w:highlight w:val="none"/>
              </w:rPr>
            </w:pPr>
            <w:r>
              <w:rPr>
                <w:rFonts w:hint="eastAsia" w:ascii="宋体" w:hAnsi="宋体" w:cs="宋体"/>
                <w:color w:val="auto"/>
                <w:kern w:val="0"/>
                <w:sz w:val="22"/>
                <w:szCs w:val="24"/>
                <w:highlight w:val="none"/>
              </w:rPr>
              <w:t>于6人</w:t>
            </w:r>
          </w:p>
        </w:tc>
        <w:tc>
          <w:tcPr>
            <w:tcW w:w="1134" w:type="dxa"/>
            <w:tcBorders>
              <w:top w:val="single" w:color="auto" w:sz="4" w:space="0"/>
              <w:left w:val="nil"/>
              <w:bottom w:val="single" w:color="auto" w:sz="4" w:space="0"/>
              <w:right w:val="single" w:color="auto" w:sz="4" w:space="0"/>
            </w:tcBorders>
            <w:vAlign w:val="center"/>
          </w:tcPr>
          <w:p>
            <w:pPr>
              <w:widowControl/>
              <w:spacing w:line="276" w:lineRule="auto"/>
              <w:jc w:val="center"/>
              <w:rPr>
                <w:rFonts w:hint="eastAsia" w:ascii="宋体" w:hAnsi="宋体" w:cs="宋体"/>
                <w:color w:val="auto"/>
                <w:kern w:val="0"/>
                <w:sz w:val="22"/>
                <w:szCs w:val="24"/>
                <w:highlight w:val="none"/>
              </w:rPr>
            </w:pPr>
            <w:r>
              <w:rPr>
                <w:rFonts w:hint="eastAsia" w:ascii="宋体" w:hAnsi="宋体" w:cs="宋体"/>
                <w:color w:val="auto"/>
                <w:kern w:val="0"/>
                <w:sz w:val="22"/>
                <w:szCs w:val="24"/>
                <w:highlight w:val="none"/>
              </w:rPr>
              <w:t>不少</w:t>
            </w:r>
          </w:p>
          <w:p>
            <w:pPr>
              <w:widowControl/>
              <w:spacing w:line="276" w:lineRule="auto"/>
              <w:jc w:val="center"/>
              <w:rPr>
                <w:rFonts w:hint="eastAsia" w:ascii="宋体" w:hAnsi="宋体" w:cs="宋体"/>
                <w:color w:val="auto"/>
                <w:kern w:val="0"/>
                <w:sz w:val="22"/>
                <w:szCs w:val="24"/>
                <w:highlight w:val="none"/>
              </w:rPr>
            </w:pPr>
            <w:r>
              <w:rPr>
                <w:rFonts w:hint="eastAsia" w:ascii="宋体" w:hAnsi="宋体" w:cs="宋体"/>
                <w:color w:val="auto"/>
                <w:kern w:val="0"/>
                <w:sz w:val="22"/>
                <w:szCs w:val="24"/>
                <w:highlight w:val="none"/>
              </w:rPr>
              <w:t>于2人</w:t>
            </w:r>
          </w:p>
        </w:tc>
        <w:tc>
          <w:tcPr>
            <w:tcW w:w="3862" w:type="dxa"/>
            <w:tcBorders>
              <w:top w:val="single" w:color="auto" w:sz="4" w:space="0"/>
              <w:left w:val="nil"/>
              <w:bottom w:val="single" w:color="auto" w:sz="4" w:space="0"/>
              <w:right w:val="single" w:color="auto" w:sz="4" w:space="0"/>
            </w:tcBorders>
            <w:vAlign w:val="center"/>
          </w:tcPr>
          <w:p>
            <w:pPr>
              <w:widowControl/>
              <w:spacing w:line="276" w:lineRule="auto"/>
              <w:jc w:val="left"/>
              <w:rPr>
                <w:rFonts w:hint="eastAsia" w:ascii="宋体" w:hAnsi="宋体" w:cs="宋体"/>
                <w:color w:val="auto"/>
                <w:kern w:val="0"/>
                <w:sz w:val="22"/>
                <w:szCs w:val="24"/>
                <w:highlight w:val="none"/>
              </w:rPr>
            </w:pPr>
            <w:r>
              <w:rPr>
                <w:rFonts w:hint="eastAsia" w:ascii="宋体" w:hAnsi="宋体" w:cs="宋体"/>
                <w:color w:val="auto"/>
                <w:kern w:val="0"/>
                <w:sz w:val="22"/>
                <w:szCs w:val="24"/>
                <w:highlight w:val="none"/>
              </w:rPr>
              <w:t>本科（含）以上学历</w:t>
            </w:r>
          </w:p>
        </w:tc>
      </w:tr>
      <w:tr>
        <w:tblPrEx>
          <w:tblCellMar>
            <w:top w:w="0" w:type="dxa"/>
            <w:left w:w="108" w:type="dxa"/>
            <w:bottom w:w="0" w:type="dxa"/>
            <w:right w:w="108" w:type="dxa"/>
          </w:tblCellMar>
        </w:tblPrEx>
        <w:trPr>
          <w:trHeight w:val="299" w:hRule="atLeast"/>
        </w:trPr>
        <w:tc>
          <w:tcPr>
            <w:tcW w:w="1951" w:type="dxa"/>
            <w:gridSpan w:val="2"/>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hint="eastAsia" w:ascii="宋体" w:hAnsi="宋体" w:cs="宋体"/>
                <w:color w:val="auto"/>
                <w:kern w:val="0"/>
                <w:sz w:val="22"/>
                <w:szCs w:val="24"/>
                <w:highlight w:val="none"/>
              </w:rPr>
            </w:pPr>
            <w:r>
              <w:rPr>
                <w:rFonts w:hint="eastAsia" w:ascii="宋体" w:hAnsi="宋体" w:cs="宋体"/>
                <w:color w:val="auto"/>
                <w:kern w:val="0"/>
                <w:sz w:val="22"/>
                <w:szCs w:val="24"/>
                <w:highlight w:val="none"/>
              </w:rPr>
              <w:t>大病保险困难救助管理</w:t>
            </w:r>
          </w:p>
        </w:tc>
        <w:tc>
          <w:tcPr>
            <w:tcW w:w="1418" w:type="dxa"/>
            <w:tcBorders>
              <w:top w:val="single" w:color="auto" w:sz="4" w:space="0"/>
              <w:left w:val="nil"/>
              <w:bottom w:val="single" w:color="auto" w:sz="4" w:space="0"/>
              <w:right w:val="single" w:color="auto" w:sz="4" w:space="0"/>
            </w:tcBorders>
            <w:vAlign w:val="center"/>
          </w:tcPr>
          <w:p>
            <w:pPr>
              <w:widowControl/>
              <w:spacing w:line="276" w:lineRule="auto"/>
              <w:jc w:val="center"/>
              <w:rPr>
                <w:rFonts w:hint="eastAsia" w:ascii="宋体" w:hAnsi="宋体" w:cs="宋体"/>
                <w:color w:val="auto"/>
                <w:kern w:val="0"/>
                <w:sz w:val="22"/>
                <w:szCs w:val="24"/>
                <w:highlight w:val="none"/>
              </w:rPr>
            </w:pPr>
            <w:r>
              <w:rPr>
                <w:rFonts w:hint="eastAsia" w:ascii="宋体" w:hAnsi="宋体" w:cs="宋体"/>
                <w:color w:val="auto"/>
                <w:kern w:val="0"/>
                <w:sz w:val="22"/>
                <w:szCs w:val="24"/>
                <w:highlight w:val="none"/>
              </w:rPr>
              <w:t>不少</w:t>
            </w:r>
          </w:p>
          <w:p>
            <w:pPr>
              <w:widowControl/>
              <w:spacing w:line="276" w:lineRule="auto"/>
              <w:jc w:val="center"/>
              <w:rPr>
                <w:rFonts w:hint="eastAsia" w:ascii="宋体" w:hAnsi="宋体" w:cs="宋体"/>
                <w:color w:val="auto"/>
                <w:kern w:val="0"/>
                <w:sz w:val="22"/>
                <w:szCs w:val="24"/>
                <w:highlight w:val="none"/>
              </w:rPr>
            </w:pPr>
            <w:r>
              <w:rPr>
                <w:rFonts w:hint="eastAsia" w:ascii="宋体" w:hAnsi="宋体" w:cs="宋体"/>
                <w:color w:val="auto"/>
                <w:kern w:val="0"/>
                <w:sz w:val="22"/>
                <w:szCs w:val="24"/>
                <w:highlight w:val="none"/>
              </w:rPr>
              <w:t>于4人</w:t>
            </w:r>
          </w:p>
        </w:tc>
        <w:tc>
          <w:tcPr>
            <w:tcW w:w="1275" w:type="dxa"/>
            <w:tcBorders>
              <w:top w:val="single" w:color="auto" w:sz="4" w:space="0"/>
              <w:left w:val="nil"/>
              <w:bottom w:val="single" w:color="auto" w:sz="4" w:space="0"/>
              <w:right w:val="single" w:color="auto" w:sz="4" w:space="0"/>
            </w:tcBorders>
            <w:vAlign w:val="center"/>
          </w:tcPr>
          <w:p>
            <w:pPr>
              <w:widowControl/>
              <w:spacing w:line="276" w:lineRule="auto"/>
              <w:jc w:val="center"/>
              <w:rPr>
                <w:rFonts w:hint="eastAsia" w:ascii="宋体" w:hAnsi="宋体" w:cs="宋体"/>
                <w:color w:val="auto"/>
                <w:kern w:val="0"/>
                <w:sz w:val="22"/>
                <w:szCs w:val="24"/>
                <w:highlight w:val="none"/>
              </w:rPr>
            </w:pPr>
            <w:r>
              <w:rPr>
                <w:rFonts w:hint="eastAsia" w:ascii="宋体" w:hAnsi="宋体" w:cs="宋体"/>
                <w:color w:val="auto"/>
                <w:kern w:val="0"/>
                <w:sz w:val="22"/>
                <w:szCs w:val="24"/>
                <w:highlight w:val="none"/>
              </w:rPr>
              <w:t>不少</w:t>
            </w:r>
          </w:p>
          <w:p>
            <w:pPr>
              <w:widowControl/>
              <w:spacing w:line="276" w:lineRule="auto"/>
              <w:jc w:val="center"/>
              <w:rPr>
                <w:rFonts w:hint="eastAsia" w:ascii="宋体" w:hAnsi="宋体" w:cs="宋体"/>
                <w:color w:val="auto"/>
                <w:kern w:val="0"/>
                <w:sz w:val="22"/>
                <w:szCs w:val="24"/>
                <w:highlight w:val="none"/>
              </w:rPr>
            </w:pPr>
            <w:r>
              <w:rPr>
                <w:rFonts w:hint="eastAsia" w:ascii="宋体" w:hAnsi="宋体" w:cs="宋体"/>
                <w:color w:val="auto"/>
                <w:kern w:val="0"/>
                <w:sz w:val="22"/>
                <w:szCs w:val="24"/>
                <w:highlight w:val="none"/>
              </w:rPr>
              <w:t>于2人</w:t>
            </w:r>
          </w:p>
        </w:tc>
        <w:tc>
          <w:tcPr>
            <w:tcW w:w="1134" w:type="dxa"/>
            <w:tcBorders>
              <w:top w:val="single" w:color="auto" w:sz="4" w:space="0"/>
              <w:left w:val="nil"/>
              <w:bottom w:val="single" w:color="auto" w:sz="4" w:space="0"/>
              <w:right w:val="single" w:color="auto" w:sz="4" w:space="0"/>
            </w:tcBorders>
            <w:vAlign w:val="center"/>
          </w:tcPr>
          <w:p>
            <w:pPr>
              <w:widowControl/>
              <w:spacing w:line="276" w:lineRule="auto"/>
              <w:jc w:val="center"/>
              <w:rPr>
                <w:rFonts w:hint="eastAsia" w:ascii="宋体" w:hAnsi="宋体" w:cs="宋体"/>
                <w:color w:val="auto"/>
                <w:kern w:val="0"/>
                <w:sz w:val="22"/>
                <w:szCs w:val="24"/>
                <w:highlight w:val="none"/>
              </w:rPr>
            </w:pPr>
            <w:r>
              <w:rPr>
                <w:rFonts w:hint="eastAsia" w:ascii="宋体" w:hAnsi="宋体" w:cs="宋体"/>
                <w:color w:val="auto"/>
                <w:kern w:val="0"/>
                <w:sz w:val="22"/>
                <w:szCs w:val="24"/>
                <w:highlight w:val="none"/>
              </w:rPr>
              <w:t>不少</w:t>
            </w:r>
          </w:p>
          <w:p>
            <w:pPr>
              <w:widowControl/>
              <w:spacing w:line="276" w:lineRule="auto"/>
              <w:jc w:val="center"/>
              <w:rPr>
                <w:rFonts w:hint="eastAsia" w:ascii="宋体" w:hAnsi="宋体" w:cs="宋体"/>
                <w:color w:val="auto"/>
                <w:kern w:val="0"/>
                <w:sz w:val="22"/>
                <w:szCs w:val="24"/>
                <w:highlight w:val="none"/>
              </w:rPr>
            </w:pPr>
            <w:r>
              <w:rPr>
                <w:rFonts w:hint="eastAsia" w:ascii="宋体" w:hAnsi="宋体" w:cs="宋体"/>
                <w:color w:val="auto"/>
                <w:kern w:val="0"/>
                <w:sz w:val="22"/>
                <w:szCs w:val="24"/>
                <w:highlight w:val="none"/>
              </w:rPr>
              <w:t>于2人</w:t>
            </w:r>
          </w:p>
        </w:tc>
        <w:tc>
          <w:tcPr>
            <w:tcW w:w="3862" w:type="dxa"/>
            <w:tcBorders>
              <w:top w:val="single" w:color="auto" w:sz="4" w:space="0"/>
              <w:left w:val="nil"/>
              <w:bottom w:val="single" w:color="auto" w:sz="4" w:space="0"/>
              <w:right w:val="single" w:color="auto" w:sz="4" w:space="0"/>
            </w:tcBorders>
            <w:vAlign w:val="center"/>
          </w:tcPr>
          <w:p>
            <w:pPr>
              <w:widowControl/>
              <w:spacing w:line="276" w:lineRule="auto"/>
              <w:jc w:val="left"/>
              <w:rPr>
                <w:rFonts w:hint="eastAsia" w:ascii="宋体" w:hAnsi="宋体" w:cs="宋体"/>
                <w:color w:val="auto"/>
                <w:kern w:val="0"/>
                <w:sz w:val="22"/>
                <w:szCs w:val="24"/>
                <w:highlight w:val="none"/>
              </w:rPr>
            </w:pPr>
            <w:r>
              <w:rPr>
                <w:rFonts w:hint="eastAsia" w:ascii="宋体" w:hAnsi="宋体" w:cs="宋体"/>
                <w:color w:val="auto"/>
                <w:kern w:val="0"/>
                <w:sz w:val="22"/>
                <w:szCs w:val="24"/>
                <w:highlight w:val="none"/>
              </w:rPr>
              <w:t>本科（含）以上学历</w:t>
            </w:r>
          </w:p>
        </w:tc>
      </w:tr>
      <w:tr>
        <w:tblPrEx>
          <w:tblCellMar>
            <w:top w:w="0" w:type="dxa"/>
            <w:left w:w="108" w:type="dxa"/>
            <w:bottom w:w="0" w:type="dxa"/>
            <w:right w:w="108" w:type="dxa"/>
          </w:tblCellMar>
        </w:tblPrEx>
        <w:trPr>
          <w:trHeight w:val="426" w:hRule="atLeast"/>
        </w:trPr>
        <w:tc>
          <w:tcPr>
            <w:tcW w:w="1951" w:type="dxa"/>
            <w:gridSpan w:val="2"/>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hint="eastAsia" w:ascii="宋体" w:hAnsi="宋体" w:cs="宋体"/>
                <w:color w:val="auto"/>
                <w:kern w:val="0"/>
                <w:sz w:val="22"/>
                <w:szCs w:val="24"/>
                <w:highlight w:val="none"/>
              </w:rPr>
            </w:pPr>
            <w:r>
              <w:rPr>
                <w:rFonts w:hint="eastAsia" w:ascii="宋体" w:hAnsi="宋体" w:cs="宋体"/>
                <w:color w:val="auto"/>
                <w:kern w:val="0"/>
                <w:sz w:val="22"/>
                <w:szCs w:val="24"/>
                <w:highlight w:val="none"/>
              </w:rPr>
              <w:t>服务总人数</w:t>
            </w:r>
          </w:p>
        </w:tc>
        <w:tc>
          <w:tcPr>
            <w:tcW w:w="1418" w:type="dxa"/>
            <w:tcBorders>
              <w:top w:val="single" w:color="auto" w:sz="4" w:space="0"/>
              <w:left w:val="nil"/>
              <w:bottom w:val="single" w:color="auto" w:sz="4" w:space="0"/>
              <w:right w:val="single" w:color="auto" w:sz="4" w:space="0"/>
            </w:tcBorders>
            <w:vAlign w:val="center"/>
          </w:tcPr>
          <w:p>
            <w:pPr>
              <w:widowControl/>
              <w:spacing w:line="276" w:lineRule="auto"/>
              <w:jc w:val="center"/>
              <w:rPr>
                <w:rFonts w:hint="eastAsia" w:ascii="宋体" w:hAnsi="宋体" w:cs="宋体"/>
                <w:color w:val="auto"/>
                <w:kern w:val="0"/>
                <w:sz w:val="22"/>
                <w:szCs w:val="24"/>
                <w:highlight w:val="none"/>
              </w:rPr>
            </w:pPr>
            <w:r>
              <w:rPr>
                <w:rFonts w:hint="eastAsia" w:ascii="宋体" w:hAnsi="宋体" w:cs="宋体"/>
                <w:color w:val="auto"/>
                <w:kern w:val="0"/>
                <w:sz w:val="22"/>
                <w:szCs w:val="24"/>
                <w:highlight w:val="none"/>
              </w:rPr>
              <w:t>不少</w:t>
            </w:r>
          </w:p>
          <w:p>
            <w:pPr>
              <w:widowControl/>
              <w:spacing w:line="276" w:lineRule="auto"/>
              <w:jc w:val="center"/>
              <w:rPr>
                <w:rFonts w:hint="eastAsia" w:ascii="宋体" w:hAnsi="宋体" w:cs="宋体"/>
                <w:color w:val="auto"/>
                <w:kern w:val="0"/>
                <w:sz w:val="22"/>
                <w:szCs w:val="24"/>
                <w:highlight w:val="none"/>
              </w:rPr>
            </w:pPr>
            <w:r>
              <w:rPr>
                <w:rFonts w:hint="eastAsia" w:ascii="宋体" w:hAnsi="宋体" w:cs="宋体"/>
                <w:color w:val="auto"/>
                <w:kern w:val="0"/>
                <w:sz w:val="22"/>
                <w:szCs w:val="24"/>
                <w:highlight w:val="none"/>
              </w:rPr>
              <w:t>于28人</w:t>
            </w:r>
          </w:p>
        </w:tc>
        <w:tc>
          <w:tcPr>
            <w:tcW w:w="1275" w:type="dxa"/>
            <w:tcBorders>
              <w:top w:val="single" w:color="auto" w:sz="4" w:space="0"/>
              <w:left w:val="nil"/>
              <w:bottom w:val="single" w:color="auto" w:sz="4" w:space="0"/>
              <w:right w:val="single" w:color="auto" w:sz="4" w:space="0"/>
            </w:tcBorders>
            <w:vAlign w:val="center"/>
          </w:tcPr>
          <w:p>
            <w:pPr>
              <w:widowControl/>
              <w:spacing w:line="276" w:lineRule="auto"/>
              <w:jc w:val="center"/>
              <w:rPr>
                <w:rFonts w:hint="eastAsia" w:ascii="宋体" w:hAnsi="宋体" w:cs="宋体"/>
                <w:color w:val="auto"/>
                <w:kern w:val="0"/>
                <w:sz w:val="22"/>
                <w:szCs w:val="24"/>
                <w:highlight w:val="none"/>
              </w:rPr>
            </w:pPr>
            <w:r>
              <w:rPr>
                <w:rFonts w:hint="eastAsia" w:ascii="宋体" w:hAnsi="宋体" w:cs="宋体"/>
                <w:color w:val="auto"/>
                <w:kern w:val="0"/>
                <w:sz w:val="22"/>
                <w:szCs w:val="24"/>
                <w:highlight w:val="none"/>
              </w:rPr>
              <w:t>不少</w:t>
            </w:r>
          </w:p>
          <w:p>
            <w:pPr>
              <w:widowControl/>
              <w:spacing w:line="276" w:lineRule="auto"/>
              <w:jc w:val="center"/>
              <w:rPr>
                <w:rFonts w:hint="eastAsia" w:ascii="宋体" w:hAnsi="宋体" w:cs="宋体"/>
                <w:color w:val="auto"/>
                <w:kern w:val="0"/>
                <w:sz w:val="22"/>
                <w:szCs w:val="24"/>
                <w:highlight w:val="none"/>
              </w:rPr>
            </w:pPr>
            <w:r>
              <w:rPr>
                <w:rFonts w:hint="eastAsia" w:ascii="宋体" w:hAnsi="宋体" w:cs="宋体"/>
                <w:color w:val="auto"/>
                <w:kern w:val="0"/>
                <w:sz w:val="22"/>
                <w:szCs w:val="24"/>
                <w:highlight w:val="none"/>
              </w:rPr>
              <w:t>于14人</w:t>
            </w:r>
          </w:p>
        </w:tc>
        <w:tc>
          <w:tcPr>
            <w:tcW w:w="1134" w:type="dxa"/>
            <w:tcBorders>
              <w:top w:val="single" w:color="auto" w:sz="4" w:space="0"/>
              <w:left w:val="nil"/>
              <w:bottom w:val="single" w:color="auto" w:sz="4" w:space="0"/>
              <w:right w:val="single" w:color="auto" w:sz="4" w:space="0"/>
            </w:tcBorders>
            <w:vAlign w:val="center"/>
          </w:tcPr>
          <w:p>
            <w:pPr>
              <w:widowControl/>
              <w:spacing w:line="276" w:lineRule="auto"/>
              <w:jc w:val="center"/>
              <w:rPr>
                <w:rFonts w:hint="eastAsia" w:ascii="宋体" w:hAnsi="宋体" w:cs="宋体"/>
                <w:color w:val="auto"/>
                <w:kern w:val="0"/>
                <w:sz w:val="22"/>
                <w:szCs w:val="24"/>
                <w:highlight w:val="none"/>
              </w:rPr>
            </w:pPr>
            <w:r>
              <w:rPr>
                <w:rFonts w:hint="eastAsia" w:ascii="宋体" w:hAnsi="宋体" w:cs="宋体"/>
                <w:color w:val="auto"/>
                <w:kern w:val="0"/>
                <w:sz w:val="22"/>
                <w:szCs w:val="24"/>
                <w:highlight w:val="none"/>
              </w:rPr>
              <w:t>不少</w:t>
            </w:r>
          </w:p>
          <w:p>
            <w:pPr>
              <w:widowControl/>
              <w:spacing w:line="276" w:lineRule="auto"/>
              <w:jc w:val="center"/>
              <w:rPr>
                <w:rFonts w:hint="eastAsia" w:ascii="宋体" w:hAnsi="宋体" w:cs="宋体"/>
                <w:color w:val="auto"/>
                <w:kern w:val="0"/>
                <w:sz w:val="22"/>
                <w:szCs w:val="24"/>
                <w:highlight w:val="none"/>
              </w:rPr>
            </w:pPr>
            <w:r>
              <w:rPr>
                <w:rFonts w:hint="eastAsia" w:ascii="宋体" w:hAnsi="宋体" w:cs="宋体"/>
                <w:color w:val="auto"/>
                <w:kern w:val="0"/>
                <w:sz w:val="22"/>
                <w:szCs w:val="24"/>
                <w:highlight w:val="none"/>
              </w:rPr>
              <w:t>于8人</w:t>
            </w:r>
          </w:p>
        </w:tc>
        <w:tc>
          <w:tcPr>
            <w:tcW w:w="3862" w:type="dxa"/>
            <w:tcBorders>
              <w:top w:val="single" w:color="auto" w:sz="4" w:space="0"/>
              <w:left w:val="nil"/>
              <w:bottom w:val="single" w:color="auto" w:sz="4" w:space="0"/>
              <w:right w:val="single" w:color="auto" w:sz="4" w:space="0"/>
            </w:tcBorders>
            <w:vAlign w:val="center"/>
          </w:tcPr>
          <w:p>
            <w:pPr>
              <w:widowControl/>
              <w:spacing w:line="276" w:lineRule="auto"/>
              <w:jc w:val="center"/>
              <w:rPr>
                <w:rFonts w:hint="eastAsia" w:ascii="宋体" w:hAnsi="宋体" w:cs="宋体"/>
                <w:color w:val="auto"/>
                <w:kern w:val="0"/>
                <w:sz w:val="22"/>
                <w:szCs w:val="24"/>
                <w:highlight w:val="none"/>
              </w:rPr>
            </w:pPr>
          </w:p>
        </w:tc>
      </w:tr>
    </w:tbl>
    <w:p>
      <w:pPr>
        <w:widowControl/>
        <w:spacing w:line="360" w:lineRule="auto"/>
        <w:ind w:firstLine="360" w:firstLineChars="150"/>
        <w:jc w:val="left"/>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3）第三个服务包：医保管理及窗口服务等</w:t>
      </w:r>
    </w:p>
    <w:p>
      <w:pPr>
        <w:spacing w:line="360" w:lineRule="auto"/>
        <w:ind w:firstLine="480" w:firstLineChars="200"/>
        <w:outlineLvl w:val="0"/>
        <w:rPr>
          <w:rFonts w:hint="eastAsia" w:ascii="宋体" w:hAnsi="宋体" w:cs="宋体"/>
          <w:bCs/>
          <w:color w:val="auto"/>
          <w:sz w:val="24"/>
          <w:szCs w:val="24"/>
          <w:highlight w:val="none"/>
        </w:rPr>
      </w:pPr>
      <w:r>
        <w:rPr>
          <w:rFonts w:hint="eastAsia" w:ascii="宋体" w:hAnsi="宋体" w:cs="宋体"/>
          <w:bCs/>
          <w:color w:val="auto"/>
          <w:sz w:val="24"/>
          <w:szCs w:val="24"/>
          <w:highlight w:val="none"/>
        </w:rPr>
        <w:t>配合采购人做好医疗保险管理工作，进驻医保经办服务窗口，协助开展医保经办业务，在采购人的指导下开展工作，包括但不限于以下内容：</w:t>
      </w:r>
    </w:p>
    <w:p>
      <w:pPr>
        <w:spacing w:line="360" w:lineRule="auto"/>
        <w:ind w:firstLine="480" w:firstLineChars="200"/>
        <w:outlineLvl w:val="0"/>
        <w:rPr>
          <w:rFonts w:hint="eastAsia" w:ascii="宋体" w:hAnsi="宋体" w:cs="宋体"/>
          <w:bCs/>
          <w:color w:val="auto"/>
          <w:sz w:val="24"/>
          <w:szCs w:val="24"/>
          <w:highlight w:val="none"/>
        </w:rPr>
      </w:pPr>
      <w:r>
        <w:rPr>
          <w:rFonts w:hint="eastAsia" w:ascii="宋体" w:hAnsi="宋体" w:cs="宋体"/>
          <w:bCs/>
          <w:color w:val="auto"/>
          <w:sz w:val="24"/>
          <w:szCs w:val="24"/>
          <w:highlight w:val="none"/>
        </w:rPr>
        <w:t>①协助采购人提供参保征缴、审核登记、待遇给付、档案整理、咨询服务、政策宣传等（进驻医保经办窗口）；</w:t>
      </w:r>
    </w:p>
    <w:p>
      <w:pPr>
        <w:spacing w:line="360" w:lineRule="auto"/>
        <w:ind w:firstLine="480" w:firstLineChars="200"/>
        <w:outlineLvl w:val="0"/>
        <w:rPr>
          <w:rFonts w:hint="eastAsia" w:ascii="宋体" w:hAnsi="宋体" w:cs="宋体"/>
          <w:bCs/>
          <w:color w:val="auto"/>
          <w:sz w:val="24"/>
          <w:szCs w:val="24"/>
          <w:highlight w:val="none"/>
        </w:rPr>
      </w:pPr>
      <w:r>
        <w:rPr>
          <w:rFonts w:hint="eastAsia" w:ascii="宋体" w:hAnsi="宋体" w:cs="宋体"/>
          <w:bCs/>
          <w:color w:val="auto"/>
          <w:sz w:val="24"/>
          <w:szCs w:val="24"/>
          <w:highlight w:val="none"/>
        </w:rPr>
        <w:t>②参与医保管理日常工作，大病保险数据分析、月度及年度运行情况通报、工作报告；</w:t>
      </w:r>
    </w:p>
    <w:p>
      <w:pPr>
        <w:spacing w:line="360" w:lineRule="auto"/>
        <w:ind w:firstLine="480" w:firstLineChars="200"/>
        <w:outlineLvl w:val="0"/>
        <w:rPr>
          <w:rFonts w:hint="eastAsia" w:ascii="宋体" w:hAnsi="宋体" w:cs="宋体"/>
          <w:bCs/>
          <w:color w:val="auto"/>
          <w:sz w:val="24"/>
          <w:szCs w:val="24"/>
          <w:highlight w:val="none"/>
        </w:rPr>
      </w:pPr>
      <w:r>
        <w:rPr>
          <w:rFonts w:hint="eastAsia" w:ascii="宋体" w:hAnsi="宋体" w:cs="宋体"/>
          <w:bCs/>
          <w:color w:val="auto"/>
          <w:sz w:val="24"/>
          <w:szCs w:val="24"/>
          <w:highlight w:val="none"/>
        </w:rPr>
        <w:t>③配合处理与大病保险相关的投诉举报、统计报表（对上级）、疑难问题咨询等；</w:t>
      </w:r>
    </w:p>
    <w:p>
      <w:pPr>
        <w:spacing w:line="360" w:lineRule="auto"/>
        <w:ind w:firstLine="480" w:firstLineChars="200"/>
        <w:outlineLvl w:val="0"/>
        <w:rPr>
          <w:rFonts w:hint="eastAsia" w:ascii="宋体" w:hAnsi="宋体" w:cs="宋体"/>
          <w:bCs/>
          <w:color w:val="auto"/>
          <w:sz w:val="24"/>
          <w:szCs w:val="24"/>
          <w:highlight w:val="none"/>
        </w:rPr>
      </w:pPr>
      <w:r>
        <w:rPr>
          <w:rFonts w:hint="eastAsia" w:ascii="宋体" w:hAnsi="宋体" w:cs="宋体"/>
          <w:bCs/>
          <w:color w:val="auto"/>
          <w:sz w:val="24"/>
          <w:szCs w:val="24"/>
          <w:highlight w:val="none"/>
        </w:rPr>
        <w:t>④其他各类与大病保险相关的工作；</w:t>
      </w:r>
    </w:p>
    <w:p>
      <w:pPr>
        <w:spacing w:line="360" w:lineRule="auto"/>
        <w:ind w:firstLine="480" w:firstLineChars="200"/>
        <w:outlineLvl w:val="0"/>
        <w:rPr>
          <w:rFonts w:hint="eastAsia" w:ascii="宋体" w:hAnsi="宋体" w:cs="宋体"/>
          <w:bCs/>
          <w:color w:val="auto"/>
          <w:sz w:val="24"/>
          <w:szCs w:val="24"/>
          <w:highlight w:val="none"/>
        </w:rPr>
      </w:pPr>
      <w:r>
        <w:rPr>
          <w:rFonts w:hint="eastAsia" w:ascii="宋体" w:hAnsi="宋体" w:cs="宋体"/>
          <w:bCs/>
          <w:color w:val="auto"/>
          <w:sz w:val="24"/>
          <w:szCs w:val="24"/>
          <w:highlight w:val="none"/>
        </w:rPr>
        <w:t>⑤开展窗口服务满意度测评；</w:t>
      </w:r>
    </w:p>
    <w:p>
      <w:pPr>
        <w:spacing w:line="360" w:lineRule="auto"/>
        <w:ind w:firstLine="480" w:firstLineChars="200"/>
        <w:outlineLvl w:val="0"/>
        <w:rPr>
          <w:rFonts w:hint="eastAsia" w:ascii="宋体" w:hAnsi="宋体" w:cs="宋体"/>
          <w:bCs/>
          <w:color w:val="auto"/>
          <w:sz w:val="24"/>
          <w:szCs w:val="24"/>
          <w:highlight w:val="none"/>
        </w:rPr>
      </w:pPr>
      <w:r>
        <w:rPr>
          <w:rFonts w:hint="eastAsia" w:ascii="宋体" w:hAnsi="宋体" w:cs="宋体"/>
          <w:bCs/>
          <w:color w:val="auto"/>
          <w:sz w:val="24"/>
          <w:szCs w:val="24"/>
          <w:highlight w:val="none"/>
        </w:rPr>
        <w:t>⑥按要求定期维护更新医保三目录库；</w:t>
      </w:r>
    </w:p>
    <w:p>
      <w:pPr>
        <w:spacing w:line="360" w:lineRule="auto"/>
        <w:ind w:firstLine="480" w:firstLineChars="200"/>
        <w:outlineLvl w:val="0"/>
        <w:rPr>
          <w:rFonts w:hint="eastAsia" w:ascii="宋体" w:hAnsi="宋体" w:cs="宋体"/>
          <w:bCs/>
          <w:color w:val="auto"/>
          <w:sz w:val="24"/>
          <w:szCs w:val="24"/>
          <w:highlight w:val="none"/>
        </w:rPr>
      </w:pPr>
      <w:r>
        <w:rPr>
          <w:rFonts w:hint="eastAsia" w:ascii="宋体" w:hAnsi="宋体" w:cs="宋体"/>
          <w:bCs/>
          <w:color w:val="auto"/>
          <w:sz w:val="24"/>
          <w:szCs w:val="24"/>
          <w:highlight w:val="none"/>
        </w:rPr>
        <w:t>⑦采购人交办的其他相关工作。</w:t>
      </w:r>
    </w:p>
    <w:p>
      <w:pPr>
        <w:spacing w:line="360" w:lineRule="auto"/>
        <w:ind w:firstLine="480" w:firstLineChars="200"/>
        <w:outlineLvl w:val="0"/>
        <w:rPr>
          <w:rFonts w:hint="eastAsia" w:ascii="宋体" w:hAnsi="宋体" w:cs="宋体"/>
          <w:bCs/>
          <w:color w:val="auto"/>
          <w:sz w:val="24"/>
          <w:szCs w:val="24"/>
          <w:highlight w:val="none"/>
        </w:rPr>
      </w:pPr>
      <w:r>
        <w:rPr>
          <w:rFonts w:hint="eastAsia" w:ascii="宋体" w:hAnsi="宋体" w:cs="宋体"/>
          <w:bCs/>
          <w:color w:val="auto"/>
          <w:sz w:val="24"/>
          <w:szCs w:val="24"/>
          <w:highlight w:val="none"/>
        </w:rPr>
        <w:t>⑧人员配备（</w:t>
      </w:r>
      <w:r>
        <w:rPr>
          <w:rFonts w:hint="eastAsia" w:ascii="宋体" w:hAnsi="宋体"/>
          <w:bCs/>
          <w:color w:val="auto"/>
          <w:sz w:val="24"/>
          <w:szCs w:val="24"/>
          <w:highlight w:val="none"/>
        </w:rPr>
        <w:t>人员配备率</w:t>
      </w:r>
      <w:r>
        <w:rPr>
          <w:rFonts w:hint="eastAsia" w:ascii="宋体" w:hAnsi="宋体" w:cs="宋体"/>
          <w:color w:val="auto"/>
          <w:kern w:val="0"/>
          <w:sz w:val="24"/>
          <w:szCs w:val="24"/>
          <w:highlight w:val="none"/>
        </w:rPr>
        <w:t>须</w:t>
      </w:r>
      <w:r>
        <w:rPr>
          <w:rFonts w:hint="eastAsia" w:ascii="宋体" w:hAnsi="宋体"/>
          <w:bCs/>
          <w:color w:val="auto"/>
          <w:sz w:val="24"/>
          <w:szCs w:val="24"/>
          <w:highlight w:val="none"/>
        </w:rPr>
        <w:t>达100%、稳定性</w:t>
      </w:r>
      <w:r>
        <w:rPr>
          <w:rFonts w:hint="eastAsia" w:ascii="宋体" w:hAnsi="宋体" w:cs="宋体"/>
          <w:color w:val="auto"/>
          <w:kern w:val="0"/>
          <w:sz w:val="24"/>
          <w:szCs w:val="24"/>
          <w:highlight w:val="none"/>
        </w:rPr>
        <w:t>须</w:t>
      </w:r>
      <w:r>
        <w:rPr>
          <w:rFonts w:hint="eastAsia" w:ascii="宋体" w:hAnsi="宋体"/>
          <w:bCs/>
          <w:color w:val="auto"/>
          <w:sz w:val="24"/>
          <w:szCs w:val="24"/>
          <w:highlight w:val="none"/>
        </w:rPr>
        <w:t>大于90%、空岗率</w:t>
      </w:r>
      <w:r>
        <w:rPr>
          <w:rFonts w:hint="eastAsia" w:ascii="宋体" w:hAnsi="宋体" w:cs="宋体"/>
          <w:color w:val="auto"/>
          <w:kern w:val="0"/>
          <w:sz w:val="24"/>
          <w:szCs w:val="24"/>
          <w:highlight w:val="none"/>
        </w:rPr>
        <w:t>须</w:t>
      </w:r>
      <w:r>
        <w:rPr>
          <w:rFonts w:hint="eastAsia" w:ascii="宋体" w:hAnsi="宋体"/>
          <w:bCs/>
          <w:color w:val="auto"/>
          <w:sz w:val="24"/>
          <w:szCs w:val="24"/>
          <w:highlight w:val="none"/>
        </w:rPr>
        <w:t>低于2%</w:t>
      </w:r>
      <w:r>
        <w:rPr>
          <w:rFonts w:hint="eastAsia" w:ascii="宋体" w:hAnsi="宋体" w:cs="宋体"/>
          <w:bCs/>
          <w:color w:val="auto"/>
          <w:sz w:val="24"/>
          <w:szCs w:val="24"/>
          <w:highlight w:val="none"/>
        </w:rPr>
        <w:t>）</w:t>
      </w:r>
    </w:p>
    <w:tbl>
      <w:tblPr>
        <w:tblStyle w:val="24"/>
        <w:tblW w:w="9790" w:type="dxa"/>
        <w:tblInd w:w="99" w:type="dxa"/>
        <w:tblLayout w:type="autofit"/>
        <w:tblCellMar>
          <w:top w:w="0" w:type="dxa"/>
          <w:left w:w="108" w:type="dxa"/>
          <w:bottom w:w="0" w:type="dxa"/>
          <w:right w:w="108" w:type="dxa"/>
        </w:tblCellMar>
      </w:tblPr>
      <w:tblGrid>
        <w:gridCol w:w="1994"/>
        <w:gridCol w:w="1134"/>
        <w:gridCol w:w="1276"/>
        <w:gridCol w:w="1134"/>
        <w:gridCol w:w="4252"/>
      </w:tblGrid>
      <w:tr>
        <w:tblPrEx>
          <w:tblCellMar>
            <w:top w:w="0" w:type="dxa"/>
            <w:left w:w="108" w:type="dxa"/>
            <w:bottom w:w="0" w:type="dxa"/>
            <w:right w:w="108" w:type="dxa"/>
          </w:tblCellMar>
        </w:tblPrEx>
        <w:trPr>
          <w:trHeight w:val="803" w:hRule="atLeast"/>
        </w:trPr>
        <w:tc>
          <w:tcPr>
            <w:tcW w:w="199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mc:AlternateContent>
                <mc:Choice Requires="wps">
                  <w:drawing>
                    <wp:anchor distT="0" distB="0" distL="114300" distR="114300" simplePos="0" relativeHeight="251664384" behindDoc="0" locked="0" layoutInCell="1" allowOverlap="1">
                      <wp:simplePos x="0" y="0"/>
                      <wp:positionH relativeFrom="column">
                        <wp:posOffset>-44450</wp:posOffset>
                      </wp:positionH>
                      <wp:positionV relativeFrom="paragraph">
                        <wp:posOffset>19685</wp:posOffset>
                      </wp:positionV>
                      <wp:extent cx="1252220" cy="307340"/>
                      <wp:effectExtent l="12700" t="10160" r="11430" b="6350"/>
                      <wp:wrapNone/>
                      <wp:docPr id="32" name="自选图形 20"/>
                      <wp:cNvGraphicFramePr/>
                      <a:graphic xmlns:a="http://schemas.openxmlformats.org/drawingml/2006/main">
                        <a:graphicData uri="http://schemas.microsoft.com/office/word/2010/wordprocessingShape">
                          <wps:wsp>
                            <wps:cNvCnPr>
                              <a:cxnSpLocks noChangeShapeType="1"/>
                            </wps:cNvCnPr>
                            <wps:spPr bwMode="auto">
                              <a:xfrm>
                                <a:off x="0" y="0"/>
                                <a:ext cx="1252220" cy="307340"/>
                              </a:xfrm>
                              <a:prstGeom prst="straightConnector1">
                                <a:avLst/>
                              </a:prstGeom>
                              <a:noFill/>
                              <a:ln w="9525">
                                <a:solidFill>
                                  <a:srgbClr val="000000"/>
                                </a:solidFill>
                                <a:round/>
                              </a:ln>
                            </wps:spPr>
                            <wps:bodyPr/>
                          </wps:wsp>
                        </a:graphicData>
                      </a:graphic>
                    </wp:anchor>
                  </w:drawing>
                </mc:Choice>
                <mc:Fallback>
                  <w:pict>
                    <v:shape id="自选图形 20" o:spid="_x0000_s1026" o:spt="32" type="#_x0000_t32" style="position:absolute;left:0pt;margin-left:-3.5pt;margin-top:1.55pt;height:24.2pt;width:98.6pt;z-index:251664384;mso-width-relative:page;mso-height-relative:page;" filled="f" stroked="t" coordsize="21600,21600" o:gfxdata="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Edw9/tYAAAAHAQAADwAAAAAAAAABACAAAAAiAAAAZHJzL2Rvd25yZXYueG1sUEsBAhQA&#10;FAAAAAgAh07iQEMEFRz0AQAAvAMAAA4AAAAAAAAAAQAgAAAAJQEAAGRycy9lMm9Eb2MueG1sUEsF&#10;BgAAAAAGAAYAWQEAAIsFAAAAAA==&#10;">
                      <v:fill on="f" focussize="0,0"/>
                      <v:stroke color="#000000" joinstyle="round"/>
                      <v:imagedata o:title=""/>
                      <o:lock v:ext="edit" aspectratio="f"/>
                    </v:shape>
                  </w:pict>
                </mc:Fallback>
              </mc:AlternateContent>
            </w:r>
            <w:r>
              <w:rPr>
                <w:rFonts w:hint="eastAsia" w:ascii="宋体" w:hAnsi="宋体" w:cs="宋体"/>
                <w:color w:val="auto"/>
                <w:kern w:val="0"/>
                <w:sz w:val="24"/>
                <w:szCs w:val="24"/>
                <w:highlight w:val="none"/>
              </w:rPr>
              <mc:AlternateContent>
                <mc:Choice Requires="wps">
                  <w:drawing>
                    <wp:anchor distT="0" distB="0" distL="114300" distR="114300" simplePos="0" relativeHeight="251665408" behindDoc="0" locked="0" layoutInCell="1" allowOverlap="1">
                      <wp:simplePos x="0" y="0"/>
                      <wp:positionH relativeFrom="column">
                        <wp:posOffset>-43815</wp:posOffset>
                      </wp:positionH>
                      <wp:positionV relativeFrom="paragraph">
                        <wp:posOffset>10160</wp:posOffset>
                      </wp:positionV>
                      <wp:extent cx="827405" cy="587375"/>
                      <wp:effectExtent l="13335" t="10160" r="6985" b="12065"/>
                      <wp:wrapNone/>
                      <wp:docPr id="31" name="自选图形 19"/>
                      <wp:cNvGraphicFramePr/>
                      <a:graphic xmlns:a="http://schemas.openxmlformats.org/drawingml/2006/main">
                        <a:graphicData uri="http://schemas.microsoft.com/office/word/2010/wordprocessingShape">
                          <wps:wsp>
                            <wps:cNvCnPr>
                              <a:cxnSpLocks noChangeShapeType="1"/>
                            </wps:cNvCnPr>
                            <wps:spPr bwMode="auto">
                              <a:xfrm>
                                <a:off x="0" y="0"/>
                                <a:ext cx="827405" cy="587375"/>
                              </a:xfrm>
                              <a:prstGeom prst="straightConnector1">
                                <a:avLst/>
                              </a:prstGeom>
                              <a:noFill/>
                              <a:ln w="9525">
                                <a:solidFill>
                                  <a:srgbClr val="000000"/>
                                </a:solidFill>
                                <a:round/>
                              </a:ln>
                            </wps:spPr>
                            <wps:bodyPr/>
                          </wps:wsp>
                        </a:graphicData>
                      </a:graphic>
                    </wp:anchor>
                  </w:drawing>
                </mc:Choice>
                <mc:Fallback>
                  <w:pict>
                    <v:shape id="自选图形 19" o:spid="_x0000_s1026" o:spt="32" type="#_x0000_t32" style="position:absolute;left:0pt;margin-left:-3.45pt;margin-top:0.8pt;height:46.25pt;width:65.15pt;z-index:251665408;mso-width-relative:page;mso-height-relative:page;" filled="f" stroked="t" coordsize="21600,21600" o:gfxdata="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JuAkQDVAAAABwEAAA8AAAAAAAAAAQAgAAAAIgAAAGRycy9kb3ducmV2LnhtbFBLAQIUABQA&#10;AAAIAIdO4kDaxTvY8wEAALsDAAAOAAAAAAAAAAEAIAAAACQBAABkcnMvZTJvRG9jLnhtbFBLBQYA&#10;AAAABgAGAFkBAACJBQAAAAA=&#10;">
                      <v:fill on="f" focussize="0,0"/>
                      <v:stroke color="#000000" joinstyle="round"/>
                      <v:imagedata o:title=""/>
                      <o:lock v:ext="edit" aspectratio="f"/>
                    </v:shape>
                  </w:pict>
                </mc:Fallback>
              </mc:AlternateContent>
            </w:r>
            <w:r>
              <w:rPr>
                <w:rFonts w:hint="eastAsia" w:ascii="宋体" w:hAnsi="宋体" w:cs="宋体"/>
                <w:color w:val="auto"/>
                <w:kern w:val="0"/>
                <w:sz w:val="24"/>
                <w:szCs w:val="24"/>
                <w:highlight w:val="none"/>
              </w:rPr>
              <w:t xml:space="preserve">         区域                 </w:t>
            </w:r>
          </w:p>
          <w:p>
            <w:pPr>
              <w:spacing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 类别   人员</w:t>
            </w:r>
          </w:p>
        </w:tc>
        <w:tc>
          <w:tcPr>
            <w:tcW w:w="113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标段一</w:t>
            </w:r>
          </w:p>
        </w:tc>
        <w:tc>
          <w:tcPr>
            <w:tcW w:w="127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标段二</w:t>
            </w:r>
          </w:p>
        </w:tc>
        <w:tc>
          <w:tcPr>
            <w:tcW w:w="113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标段三</w:t>
            </w:r>
          </w:p>
        </w:tc>
        <w:tc>
          <w:tcPr>
            <w:tcW w:w="425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备注要求</w:t>
            </w:r>
          </w:p>
        </w:tc>
      </w:tr>
      <w:tr>
        <w:tblPrEx>
          <w:tblCellMar>
            <w:top w:w="0" w:type="dxa"/>
            <w:left w:w="108" w:type="dxa"/>
            <w:bottom w:w="0" w:type="dxa"/>
            <w:right w:w="108" w:type="dxa"/>
          </w:tblCellMar>
        </w:tblPrEx>
        <w:trPr>
          <w:trHeight w:val="440" w:hRule="atLeast"/>
        </w:trPr>
        <w:tc>
          <w:tcPr>
            <w:tcW w:w="1994" w:type="dxa"/>
            <w:tcBorders>
              <w:top w:val="nil"/>
              <w:left w:val="single" w:color="auto" w:sz="4" w:space="0"/>
              <w:bottom w:val="single" w:color="auto" w:sz="4" w:space="0"/>
              <w:right w:val="single" w:color="auto" w:sz="4" w:space="0"/>
            </w:tcBorders>
            <w:vAlign w:val="center"/>
          </w:tcPr>
          <w:p>
            <w:pPr>
              <w:widowControl/>
              <w:spacing w:line="276" w:lineRule="auto"/>
              <w:jc w:val="center"/>
              <w:rPr>
                <w:rFonts w:hint="eastAsia" w:ascii="宋体" w:hAnsi="宋体" w:cs="宋体"/>
                <w:color w:val="auto"/>
                <w:kern w:val="0"/>
                <w:sz w:val="22"/>
                <w:szCs w:val="24"/>
                <w:highlight w:val="none"/>
              </w:rPr>
            </w:pPr>
            <w:r>
              <w:rPr>
                <w:rFonts w:hint="eastAsia" w:ascii="宋体" w:hAnsi="宋体" w:cs="宋体"/>
                <w:color w:val="auto"/>
                <w:kern w:val="0"/>
                <w:sz w:val="22"/>
                <w:szCs w:val="24"/>
                <w:highlight w:val="none"/>
              </w:rPr>
              <w:t>医保管理岗</w:t>
            </w:r>
          </w:p>
        </w:tc>
        <w:tc>
          <w:tcPr>
            <w:tcW w:w="1134" w:type="dxa"/>
            <w:tcBorders>
              <w:top w:val="nil"/>
              <w:left w:val="nil"/>
              <w:bottom w:val="single" w:color="auto" w:sz="4" w:space="0"/>
              <w:right w:val="single" w:color="auto" w:sz="4" w:space="0"/>
            </w:tcBorders>
            <w:vAlign w:val="center"/>
          </w:tcPr>
          <w:p>
            <w:pPr>
              <w:widowControl/>
              <w:spacing w:line="276" w:lineRule="auto"/>
              <w:jc w:val="center"/>
              <w:rPr>
                <w:rFonts w:hint="eastAsia" w:ascii="宋体" w:hAnsi="宋体" w:cs="宋体"/>
                <w:color w:val="auto"/>
                <w:kern w:val="0"/>
                <w:sz w:val="22"/>
                <w:szCs w:val="24"/>
                <w:highlight w:val="none"/>
              </w:rPr>
            </w:pPr>
            <w:r>
              <w:rPr>
                <w:rFonts w:hint="eastAsia" w:ascii="宋体" w:hAnsi="宋体" w:cs="宋体"/>
                <w:color w:val="auto"/>
                <w:kern w:val="0"/>
                <w:sz w:val="22"/>
                <w:szCs w:val="24"/>
                <w:highlight w:val="none"/>
              </w:rPr>
              <w:t>不少</w:t>
            </w:r>
          </w:p>
          <w:p>
            <w:pPr>
              <w:widowControl/>
              <w:spacing w:line="276" w:lineRule="auto"/>
              <w:jc w:val="center"/>
              <w:rPr>
                <w:rFonts w:hint="eastAsia" w:ascii="宋体" w:hAnsi="宋体" w:cs="宋体"/>
                <w:color w:val="auto"/>
                <w:kern w:val="0"/>
                <w:sz w:val="22"/>
                <w:szCs w:val="24"/>
                <w:highlight w:val="none"/>
              </w:rPr>
            </w:pPr>
            <w:r>
              <w:rPr>
                <w:rFonts w:hint="eastAsia" w:ascii="宋体" w:hAnsi="宋体" w:cs="宋体"/>
                <w:color w:val="auto"/>
                <w:kern w:val="0"/>
                <w:sz w:val="22"/>
                <w:szCs w:val="24"/>
                <w:highlight w:val="none"/>
              </w:rPr>
              <w:t>于8人</w:t>
            </w:r>
          </w:p>
        </w:tc>
        <w:tc>
          <w:tcPr>
            <w:tcW w:w="1276" w:type="dxa"/>
            <w:tcBorders>
              <w:top w:val="nil"/>
              <w:left w:val="nil"/>
              <w:bottom w:val="single" w:color="auto" w:sz="4" w:space="0"/>
              <w:right w:val="single" w:color="auto" w:sz="4" w:space="0"/>
            </w:tcBorders>
            <w:vAlign w:val="center"/>
          </w:tcPr>
          <w:p>
            <w:pPr>
              <w:widowControl/>
              <w:spacing w:line="276" w:lineRule="auto"/>
              <w:jc w:val="center"/>
              <w:rPr>
                <w:rFonts w:hint="eastAsia" w:ascii="宋体" w:hAnsi="宋体" w:cs="宋体"/>
                <w:color w:val="auto"/>
                <w:kern w:val="0"/>
                <w:sz w:val="22"/>
                <w:szCs w:val="24"/>
                <w:highlight w:val="none"/>
              </w:rPr>
            </w:pPr>
            <w:r>
              <w:rPr>
                <w:rFonts w:hint="eastAsia" w:ascii="宋体" w:hAnsi="宋体" w:cs="宋体"/>
                <w:color w:val="auto"/>
                <w:kern w:val="0"/>
                <w:sz w:val="22"/>
                <w:szCs w:val="24"/>
                <w:highlight w:val="none"/>
              </w:rPr>
              <w:t>不少</w:t>
            </w:r>
          </w:p>
          <w:p>
            <w:pPr>
              <w:widowControl/>
              <w:spacing w:line="276" w:lineRule="auto"/>
              <w:jc w:val="center"/>
              <w:rPr>
                <w:rFonts w:hint="eastAsia" w:ascii="宋体" w:hAnsi="宋体" w:cs="宋体"/>
                <w:color w:val="auto"/>
                <w:kern w:val="0"/>
                <w:sz w:val="22"/>
                <w:szCs w:val="24"/>
                <w:highlight w:val="none"/>
              </w:rPr>
            </w:pPr>
            <w:r>
              <w:rPr>
                <w:rFonts w:hint="eastAsia" w:ascii="宋体" w:hAnsi="宋体" w:cs="宋体"/>
                <w:color w:val="auto"/>
                <w:kern w:val="0"/>
                <w:sz w:val="22"/>
                <w:szCs w:val="24"/>
                <w:highlight w:val="none"/>
              </w:rPr>
              <w:t>于3人</w:t>
            </w:r>
          </w:p>
        </w:tc>
        <w:tc>
          <w:tcPr>
            <w:tcW w:w="1134" w:type="dxa"/>
            <w:tcBorders>
              <w:top w:val="nil"/>
              <w:left w:val="nil"/>
              <w:bottom w:val="single" w:color="auto" w:sz="4" w:space="0"/>
              <w:right w:val="single" w:color="auto" w:sz="4" w:space="0"/>
            </w:tcBorders>
            <w:vAlign w:val="center"/>
          </w:tcPr>
          <w:p>
            <w:pPr>
              <w:widowControl/>
              <w:spacing w:line="276" w:lineRule="auto"/>
              <w:jc w:val="center"/>
              <w:rPr>
                <w:rFonts w:hint="eastAsia" w:ascii="宋体" w:hAnsi="宋体" w:cs="宋体"/>
                <w:color w:val="auto"/>
                <w:kern w:val="0"/>
                <w:sz w:val="22"/>
                <w:szCs w:val="24"/>
                <w:highlight w:val="none"/>
              </w:rPr>
            </w:pPr>
            <w:r>
              <w:rPr>
                <w:rFonts w:hint="eastAsia" w:ascii="宋体" w:hAnsi="宋体" w:cs="宋体"/>
                <w:color w:val="auto"/>
                <w:kern w:val="0"/>
                <w:sz w:val="22"/>
                <w:szCs w:val="24"/>
                <w:highlight w:val="none"/>
              </w:rPr>
              <w:t>不少</w:t>
            </w:r>
          </w:p>
          <w:p>
            <w:pPr>
              <w:widowControl/>
              <w:spacing w:line="276" w:lineRule="auto"/>
              <w:jc w:val="center"/>
              <w:rPr>
                <w:rFonts w:hint="eastAsia" w:ascii="宋体" w:hAnsi="宋体" w:cs="宋体"/>
                <w:color w:val="auto"/>
                <w:kern w:val="0"/>
                <w:sz w:val="22"/>
                <w:szCs w:val="24"/>
                <w:highlight w:val="none"/>
              </w:rPr>
            </w:pPr>
            <w:r>
              <w:rPr>
                <w:rFonts w:hint="eastAsia" w:ascii="宋体" w:hAnsi="宋体" w:cs="宋体"/>
                <w:color w:val="auto"/>
                <w:kern w:val="0"/>
                <w:sz w:val="22"/>
                <w:szCs w:val="24"/>
                <w:highlight w:val="none"/>
              </w:rPr>
              <w:t>于2人</w:t>
            </w:r>
          </w:p>
        </w:tc>
        <w:tc>
          <w:tcPr>
            <w:tcW w:w="4252" w:type="dxa"/>
            <w:tcBorders>
              <w:top w:val="nil"/>
              <w:left w:val="nil"/>
              <w:bottom w:val="single" w:color="auto" w:sz="4" w:space="0"/>
              <w:right w:val="single" w:color="auto" w:sz="4" w:space="0"/>
            </w:tcBorders>
            <w:vAlign w:val="center"/>
          </w:tcPr>
          <w:p>
            <w:pPr>
              <w:widowControl/>
              <w:spacing w:line="276" w:lineRule="auto"/>
              <w:rPr>
                <w:rFonts w:hint="eastAsia" w:ascii="宋体" w:hAnsi="宋体" w:cs="宋体"/>
                <w:color w:val="auto"/>
                <w:kern w:val="0"/>
                <w:sz w:val="22"/>
                <w:szCs w:val="24"/>
                <w:highlight w:val="none"/>
              </w:rPr>
            </w:pPr>
            <w:r>
              <w:rPr>
                <w:rFonts w:hint="eastAsia" w:ascii="宋体" w:hAnsi="宋体" w:cs="宋体"/>
                <w:color w:val="auto"/>
                <w:kern w:val="0"/>
                <w:sz w:val="22"/>
                <w:szCs w:val="24"/>
                <w:highlight w:val="none"/>
              </w:rPr>
              <w:t>本科及以上学历，有医保工作经验者优先</w:t>
            </w:r>
          </w:p>
        </w:tc>
      </w:tr>
      <w:tr>
        <w:tblPrEx>
          <w:tblCellMar>
            <w:top w:w="0" w:type="dxa"/>
            <w:left w:w="108" w:type="dxa"/>
            <w:bottom w:w="0" w:type="dxa"/>
            <w:right w:w="108" w:type="dxa"/>
          </w:tblCellMar>
        </w:tblPrEx>
        <w:trPr>
          <w:trHeight w:val="519" w:hRule="atLeast"/>
        </w:trPr>
        <w:tc>
          <w:tcPr>
            <w:tcW w:w="1994" w:type="dxa"/>
            <w:tcBorders>
              <w:top w:val="nil"/>
              <w:left w:val="single" w:color="auto" w:sz="4" w:space="0"/>
              <w:bottom w:val="single" w:color="auto" w:sz="4" w:space="0"/>
              <w:right w:val="single" w:color="auto" w:sz="4" w:space="0"/>
            </w:tcBorders>
            <w:vAlign w:val="center"/>
          </w:tcPr>
          <w:p>
            <w:pPr>
              <w:widowControl/>
              <w:spacing w:line="276" w:lineRule="auto"/>
              <w:jc w:val="center"/>
              <w:rPr>
                <w:rFonts w:hint="eastAsia" w:ascii="宋体" w:hAnsi="宋体" w:cs="宋体"/>
                <w:color w:val="auto"/>
                <w:kern w:val="0"/>
                <w:sz w:val="22"/>
                <w:szCs w:val="24"/>
                <w:highlight w:val="none"/>
              </w:rPr>
            </w:pPr>
            <w:r>
              <w:rPr>
                <w:rFonts w:hint="eastAsia" w:ascii="宋体" w:hAnsi="宋体" w:cs="宋体"/>
                <w:color w:val="auto"/>
                <w:kern w:val="0"/>
                <w:sz w:val="22"/>
                <w:szCs w:val="24"/>
                <w:highlight w:val="none"/>
              </w:rPr>
              <w:t>窗口岗</w:t>
            </w:r>
          </w:p>
        </w:tc>
        <w:tc>
          <w:tcPr>
            <w:tcW w:w="1134" w:type="dxa"/>
            <w:tcBorders>
              <w:top w:val="nil"/>
              <w:left w:val="nil"/>
              <w:bottom w:val="single" w:color="auto" w:sz="4" w:space="0"/>
              <w:right w:val="single" w:color="auto" w:sz="4" w:space="0"/>
            </w:tcBorders>
            <w:vAlign w:val="center"/>
          </w:tcPr>
          <w:p>
            <w:pPr>
              <w:widowControl/>
              <w:spacing w:line="276" w:lineRule="auto"/>
              <w:jc w:val="center"/>
              <w:rPr>
                <w:rFonts w:hint="eastAsia" w:ascii="宋体" w:hAnsi="宋体" w:cs="宋体"/>
                <w:color w:val="auto"/>
                <w:kern w:val="0"/>
                <w:sz w:val="22"/>
                <w:szCs w:val="24"/>
                <w:highlight w:val="none"/>
              </w:rPr>
            </w:pPr>
            <w:r>
              <w:rPr>
                <w:rFonts w:hint="eastAsia" w:ascii="宋体" w:hAnsi="宋体" w:cs="宋体"/>
                <w:color w:val="auto"/>
                <w:kern w:val="0"/>
                <w:sz w:val="22"/>
                <w:szCs w:val="24"/>
                <w:highlight w:val="none"/>
              </w:rPr>
              <w:t>不少</w:t>
            </w:r>
          </w:p>
          <w:p>
            <w:pPr>
              <w:widowControl/>
              <w:spacing w:line="276" w:lineRule="auto"/>
              <w:jc w:val="center"/>
              <w:rPr>
                <w:rFonts w:hint="eastAsia" w:ascii="宋体" w:hAnsi="宋体" w:cs="宋体"/>
                <w:color w:val="auto"/>
                <w:kern w:val="0"/>
                <w:sz w:val="22"/>
                <w:szCs w:val="24"/>
                <w:highlight w:val="none"/>
              </w:rPr>
            </w:pPr>
            <w:r>
              <w:rPr>
                <w:rFonts w:hint="eastAsia" w:ascii="宋体" w:hAnsi="宋体" w:cs="宋体"/>
                <w:color w:val="auto"/>
                <w:kern w:val="0"/>
                <w:sz w:val="22"/>
                <w:szCs w:val="24"/>
                <w:highlight w:val="none"/>
              </w:rPr>
              <w:t>于27人</w:t>
            </w:r>
          </w:p>
        </w:tc>
        <w:tc>
          <w:tcPr>
            <w:tcW w:w="1276" w:type="dxa"/>
            <w:tcBorders>
              <w:top w:val="nil"/>
              <w:left w:val="nil"/>
              <w:bottom w:val="single" w:color="auto" w:sz="4" w:space="0"/>
              <w:right w:val="single" w:color="auto" w:sz="4" w:space="0"/>
            </w:tcBorders>
            <w:vAlign w:val="center"/>
          </w:tcPr>
          <w:p>
            <w:pPr>
              <w:widowControl/>
              <w:spacing w:line="276" w:lineRule="auto"/>
              <w:jc w:val="center"/>
              <w:rPr>
                <w:rFonts w:hint="eastAsia" w:ascii="宋体" w:hAnsi="宋体" w:cs="宋体"/>
                <w:color w:val="auto"/>
                <w:kern w:val="0"/>
                <w:sz w:val="22"/>
                <w:szCs w:val="24"/>
                <w:highlight w:val="none"/>
              </w:rPr>
            </w:pPr>
            <w:r>
              <w:rPr>
                <w:rFonts w:hint="eastAsia" w:ascii="宋体" w:hAnsi="宋体" w:cs="宋体"/>
                <w:color w:val="auto"/>
                <w:kern w:val="0"/>
                <w:sz w:val="22"/>
                <w:szCs w:val="24"/>
                <w:highlight w:val="none"/>
              </w:rPr>
              <w:t>不少</w:t>
            </w:r>
          </w:p>
          <w:p>
            <w:pPr>
              <w:widowControl/>
              <w:spacing w:line="276" w:lineRule="auto"/>
              <w:jc w:val="center"/>
              <w:rPr>
                <w:rFonts w:hint="eastAsia" w:ascii="宋体" w:hAnsi="宋体" w:cs="宋体"/>
                <w:color w:val="auto"/>
                <w:kern w:val="0"/>
                <w:sz w:val="22"/>
                <w:szCs w:val="24"/>
                <w:highlight w:val="none"/>
              </w:rPr>
            </w:pPr>
            <w:r>
              <w:rPr>
                <w:rFonts w:hint="eastAsia" w:ascii="宋体" w:hAnsi="宋体" w:cs="宋体"/>
                <w:color w:val="auto"/>
                <w:kern w:val="0"/>
                <w:sz w:val="22"/>
                <w:szCs w:val="24"/>
                <w:highlight w:val="none"/>
              </w:rPr>
              <w:t>于12人</w:t>
            </w:r>
          </w:p>
        </w:tc>
        <w:tc>
          <w:tcPr>
            <w:tcW w:w="1134" w:type="dxa"/>
            <w:tcBorders>
              <w:top w:val="nil"/>
              <w:left w:val="nil"/>
              <w:bottom w:val="single" w:color="auto" w:sz="4" w:space="0"/>
              <w:right w:val="single" w:color="auto" w:sz="4" w:space="0"/>
            </w:tcBorders>
            <w:vAlign w:val="center"/>
          </w:tcPr>
          <w:p>
            <w:pPr>
              <w:widowControl/>
              <w:spacing w:line="276" w:lineRule="auto"/>
              <w:jc w:val="center"/>
              <w:rPr>
                <w:rFonts w:hint="eastAsia" w:ascii="宋体" w:hAnsi="宋体" w:cs="宋体"/>
                <w:color w:val="auto"/>
                <w:kern w:val="0"/>
                <w:sz w:val="22"/>
                <w:szCs w:val="24"/>
                <w:highlight w:val="none"/>
              </w:rPr>
            </w:pPr>
            <w:r>
              <w:rPr>
                <w:rFonts w:hint="eastAsia" w:ascii="宋体" w:hAnsi="宋体" w:cs="宋体"/>
                <w:color w:val="auto"/>
                <w:kern w:val="0"/>
                <w:sz w:val="22"/>
                <w:szCs w:val="24"/>
                <w:highlight w:val="none"/>
              </w:rPr>
              <w:t>不少</w:t>
            </w:r>
          </w:p>
          <w:p>
            <w:pPr>
              <w:widowControl/>
              <w:spacing w:line="276" w:lineRule="auto"/>
              <w:jc w:val="center"/>
              <w:rPr>
                <w:rFonts w:hint="eastAsia" w:ascii="宋体" w:hAnsi="宋体" w:cs="宋体"/>
                <w:color w:val="auto"/>
                <w:kern w:val="0"/>
                <w:sz w:val="22"/>
                <w:szCs w:val="24"/>
                <w:highlight w:val="none"/>
              </w:rPr>
            </w:pPr>
            <w:r>
              <w:rPr>
                <w:rFonts w:hint="eastAsia" w:ascii="宋体" w:hAnsi="宋体" w:cs="宋体"/>
                <w:color w:val="auto"/>
                <w:kern w:val="0"/>
                <w:sz w:val="22"/>
                <w:szCs w:val="24"/>
                <w:highlight w:val="none"/>
              </w:rPr>
              <w:t>于14人</w:t>
            </w:r>
          </w:p>
        </w:tc>
        <w:tc>
          <w:tcPr>
            <w:tcW w:w="4252" w:type="dxa"/>
            <w:tcBorders>
              <w:top w:val="nil"/>
              <w:left w:val="nil"/>
              <w:bottom w:val="single" w:color="auto" w:sz="4" w:space="0"/>
              <w:right w:val="single" w:color="auto" w:sz="4" w:space="0"/>
            </w:tcBorders>
            <w:vAlign w:val="center"/>
          </w:tcPr>
          <w:p>
            <w:pPr>
              <w:widowControl/>
              <w:spacing w:line="276" w:lineRule="auto"/>
              <w:rPr>
                <w:rFonts w:hint="eastAsia" w:ascii="宋体" w:hAnsi="宋体" w:cs="宋体"/>
                <w:color w:val="auto"/>
                <w:kern w:val="0"/>
                <w:sz w:val="22"/>
                <w:szCs w:val="24"/>
                <w:highlight w:val="none"/>
              </w:rPr>
            </w:pPr>
            <w:r>
              <w:rPr>
                <w:rFonts w:hint="eastAsia" w:ascii="宋体" w:hAnsi="宋体" w:cs="宋体"/>
                <w:color w:val="auto"/>
                <w:kern w:val="0"/>
                <w:sz w:val="22"/>
                <w:szCs w:val="24"/>
                <w:highlight w:val="none"/>
              </w:rPr>
              <w:t>专科及以上学历</w:t>
            </w:r>
          </w:p>
        </w:tc>
      </w:tr>
      <w:tr>
        <w:tblPrEx>
          <w:tblCellMar>
            <w:top w:w="0" w:type="dxa"/>
            <w:left w:w="108" w:type="dxa"/>
            <w:bottom w:w="0" w:type="dxa"/>
            <w:right w:w="108" w:type="dxa"/>
          </w:tblCellMar>
        </w:tblPrEx>
        <w:trPr>
          <w:trHeight w:val="461" w:hRule="atLeast"/>
        </w:trPr>
        <w:tc>
          <w:tcPr>
            <w:tcW w:w="1994"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hint="eastAsia" w:ascii="宋体" w:hAnsi="宋体" w:cs="宋体"/>
                <w:color w:val="auto"/>
                <w:kern w:val="0"/>
                <w:sz w:val="22"/>
                <w:szCs w:val="24"/>
                <w:highlight w:val="none"/>
              </w:rPr>
            </w:pPr>
            <w:r>
              <w:rPr>
                <w:rFonts w:hint="eastAsia" w:ascii="宋体" w:hAnsi="宋体" w:cs="宋体"/>
                <w:color w:val="auto"/>
                <w:kern w:val="0"/>
                <w:sz w:val="22"/>
                <w:szCs w:val="24"/>
                <w:highlight w:val="none"/>
              </w:rPr>
              <w:t>总人数</w:t>
            </w:r>
          </w:p>
        </w:tc>
        <w:tc>
          <w:tcPr>
            <w:tcW w:w="1134" w:type="dxa"/>
            <w:tcBorders>
              <w:top w:val="single" w:color="auto" w:sz="4" w:space="0"/>
              <w:left w:val="nil"/>
              <w:bottom w:val="single" w:color="auto" w:sz="4" w:space="0"/>
              <w:right w:val="single" w:color="auto" w:sz="4" w:space="0"/>
            </w:tcBorders>
            <w:vAlign w:val="center"/>
          </w:tcPr>
          <w:p>
            <w:pPr>
              <w:widowControl/>
              <w:spacing w:line="276" w:lineRule="auto"/>
              <w:jc w:val="center"/>
              <w:rPr>
                <w:rFonts w:hint="eastAsia" w:ascii="宋体" w:hAnsi="宋体" w:cs="宋体"/>
                <w:color w:val="auto"/>
                <w:kern w:val="0"/>
                <w:sz w:val="22"/>
                <w:szCs w:val="24"/>
                <w:highlight w:val="none"/>
              </w:rPr>
            </w:pPr>
            <w:r>
              <w:rPr>
                <w:rFonts w:hint="eastAsia" w:ascii="宋体" w:hAnsi="宋体" w:cs="宋体"/>
                <w:color w:val="auto"/>
                <w:kern w:val="0"/>
                <w:sz w:val="22"/>
                <w:szCs w:val="24"/>
                <w:highlight w:val="none"/>
              </w:rPr>
              <w:t>不少</w:t>
            </w:r>
          </w:p>
          <w:p>
            <w:pPr>
              <w:widowControl/>
              <w:spacing w:line="276" w:lineRule="auto"/>
              <w:jc w:val="center"/>
              <w:rPr>
                <w:rFonts w:hint="eastAsia" w:ascii="宋体" w:hAnsi="宋体" w:cs="宋体"/>
                <w:color w:val="auto"/>
                <w:kern w:val="0"/>
                <w:sz w:val="22"/>
                <w:szCs w:val="24"/>
                <w:highlight w:val="none"/>
              </w:rPr>
            </w:pPr>
            <w:r>
              <w:rPr>
                <w:rFonts w:hint="eastAsia" w:ascii="宋体" w:hAnsi="宋体" w:cs="宋体"/>
                <w:color w:val="auto"/>
                <w:kern w:val="0"/>
                <w:sz w:val="22"/>
                <w:szCs w:val="24"/>
                <w:highlight w:val="none"/>
              </w:rPr>
              <w:t>于35人</w:t>
            </w:r>
          </w:p>
        </w:tc>
        <w:tc>
          <w:tcPr>
            <w:tcW w:w="1276" w:type="dxa"/>
            <w:tcBorders>
              <w:top w:val="single" w:color="auto" w:sz="4" w:space="0"/>
              <w:left w:val="nil"/>
              <w:bottom w:val="single" w:color="auto" w:sz="4" w:space="0"/>
              <w:right w:val="single" w:color="auto" w:sz="4" w:space="0"/>
            </w:tcBorders>
            <w:vAlign w:val="center"/>
          </w:tcPr>
          <w:p>
            <w:pPr>
              <w:widowControl/>
              <w:spacing w:line="276" w:lineRule="auto"/>
              <w:jc w:val="center"/>
              <w:rPr>
                <w:rFonts w:hint="eastAsia" w:ascii="宋体" w:hAnsi="宋体" w:cs="宋体"/>
                <w:color w:val="auto"/>
                <w:kern w:val="0"/>
                <w:sz w:val="22"/>
                <w:szCs w:val="24"/>
                <w:highlight w:val="none"/>
              </w:rPr>
            </w:pPr>
            <w:r>
              <w:rPr>
                <w:rFonts w:hint="eastAsia" w:ascii="宋体" w:hAnsi="宋体" w:cs="宋体"/>
                <w:color w:val="auto"/>
                <w:kern w:val="0"/>
                <w:sz w:val="22"/>
                <w:szCs w:val="24"/>
                <w:highlight w:val="none"/>
              </w:rPr>
              <w:t>不少</w:t>
            </w:r>
          </w:p>
          <w:p>
            <w:pPr>
              <w:widowControl/>
              <w:spacing w:line="276" w:lineRule="auto"/>
              <w:jc w:val="center"/>
              <w:rPr>
                <w:rFonts w:hint="eastAsia" w:ascii="宋体" w:hAnsi="宋体" w:cs="宋体"/>
                <w:color w:val="auto"/>
                <w:kern w:val="0"/>
                <w:sz w:val="22"/>
                <w:szCs w:val="24"/>
                <w:highlight w:val="none"/>
              </w:rPr>
            </w:pPr>
            <w:r>
              <w:rPr>
                <w:rFonts w:hint="eastAsia" w:ascii="宋体" w:hAnsi="宋体" w:cs="宋体"/>
                <w:color w:val="auto"/>
                <w:kern w:val="0"/>
                <w:sz w:val="22"/>
                <w:szCs w:val="24"/>
                <w:highlight w:val="none"/>
              </w:rPr>
              <w:t>于15人</w:t>
            </w:r>
          </w:p>
        </w:tc>
        <w:tc>
          <w:tcPr>
            <w:tcW w:w="1134" w:type="dxa"/>
            <w:tcBorders>
              <w:top w:val="single" w:color="auto" w:sz="4" w:space="0"/>
              <w:left w:val="nil"/>
              <w:bottom w:val="single" w:color="auto" w:sz="4" w:space="0"/>
              <w:right w:val="single" w:color="auto" w:sz="4" w:space="0"/>
            </w:tcBorders>
            <w:vAlign w:val="center"/>
          </w:tcPr>
          <w:p>
            <w:pPr>
              <w:widowControl/>
              <w:spacing w:line="276" w:lineRule="auto"/>
              <w:jc w:val="center"/>
              <w:rPr>
                <w:rFonts w:hint="eastAsia" w:ascii="宋体" w:hAnsi="宋体" w:cs="宋体"/>
                <w:color w:val="auto"/>
                <w:kern w:val="0"/>
                <w:sz w:val="22"/>
                <w:szCs w:val="24"/>
                <w:highlight w:val="none"/>
              </w:rPr>
            </w:pPr>
            <w:r>
              <w:rPr>
                <w:rFonts w:hint="eastAsia" w:ascii="宋体" w:hAnsi="宋体" w:cs="宋体"/>
                <w:color w:val="auto"/>
                <w:kern w:val="0"/>
                <w:sz w:val="22"/>
                <w:szCs w:val="24"/>
                <w:highlight w:val="none"/>
              </w:rPr>
              <w:t>不少</w:t>
            </w:r>
          </w:p>
          <w:p>
            <w:pPr>
              <w:widowControl/>
              <w:spacing w:line="276" w:lineRule="auto"/>
              <w:jc w:val="center"/>
              <w:rPr>
                <w:rFonts w:hint="eastAsia" w:ascii="宋体" w:hAnsi="宋体" w:cs="宋体"/>
                <w:color w:val="auto"/>
                <w:kern w:val="0"/>
                <w:sz w:val="22"/>
                <w:szCs w:val="24"/>
                <w:highlight w:val="none"/>
              </w:rPr>
            </w:pPr>
            <w:r>
              <w:rPr>
                <w:rFonts w:hint="eastAsia" w:ascii="宋体" w:hAnsi="宋体" w:cs="宋体"/>
                <w:color w:val="auto"/>
                <w:kern w:val="0"/>
                <w:sz w:val="22"/>
                <w:szCs w:val="24"/>
                <w:highlight w:val="none"/>
              </w:rPr>
              <w:t>于16人</w:t>
            </w:r>
          </w:p>
        </w:tc>
        <w:tc>
          <w:tcPr>
            <w:tcW w:w="4252" w:type="dxa"/>
            <w:tcBorders>
              <w:top w:val="single" w:color="auto" w:sz="4" w:space="0"/>
              <w:left w:val="nil"/>
              <w:bottom w:val="single" w:color="auto" w:sz="4" w:space="0"/>
              <w:right w:val="single" w:color="auto" w:sz="4" w:space="0"/>
            </w:tcBorders>
            <w:vAlign w:val="center"/>
          </w:tcPr>
          <w:p>
            <w:pPr>
              <w:widowControl/>
              <w:spacing w:line="276" w:lineRule="auto"/>
              <w:rPr>
                <w:rFonts w:hint="eastAsia" w:ascii="宋体" w:hAnsi="宋体" w:cs="宋体"/>
                <w:color w:val="auto"/>
                <w:kern w:val="0"/>
                <w:sz w:val="22"/>
                <w:szCs w:val="24"/>
                <w:highlight w:val="none"/>
              </w:rPr>
            </w:pPr>
          </w:p>
        </w:tc>
      </w:tr>
    </w:tbl>
    <w:p>
      <w:pPr>
        <w:spacing w:line="360" w:lineRule="auto"/>
        <w:ind w:left="-2" w:leftChars="-1" w:firstLine="600" w:firstLineChars="250"/>
        <w:outlineLvl w:val="0"/>
        <w:rPr>
          <w:rFonts w:hint="eastAsia" w:ascii="宋体" w:hAnsi="宋体" w:cs="宋体"/>
          <w:bCs/>
          <w:color w:val="auto"/>
          <w:sz w:val="24"/>
          <w:szCs w:val="24"/>
          <w:highlight w:val="none"/>
        </w:rPr>
      </w:pPr>
      <w:r>
        <w:rPr>
          <w:rFonts w:hint="eastAsia" w:ascii="宋体" w:hAnsi="宋体" w:cs="宋体"/>
          <w:b/>
          <w:bCs/>
          <w:color w:val="auto"/>
          <w:sz w:val="24"/>
          <w:szCs w:val="24"/>
          <w:highlight w:val="none"/>
        </w:rPr>
        <w:t>9.软硬件条件</w:t>
      </w:r>
    </w:p>
    <w:p>
      <w:pPr>
        <w:spacing w:line="360" w:lineRule="auto"/>
        <w:ind w:firstLine="480" w:firstLineChars="200"/>
        <w:outlineLvl w:val="0"/>
        <w:rPr>
          <w:rFonts w:hint="eastAsia" w:ascii="宋体" w:hAnsi="宋体" w:cs="宋体"/>
          <w:bCs/>
          <w:color w:val="auto"/>
          <w:sz w:val="24"/>
          <w:szCs w:val="24"/>
          <w:highlight w:val="none"/>
        </w:rPr>
      </w:pPr>
      <w:r>
        <w:rPr>
          <w:rFonts w:hint="eastAsia" w:ascii="宋体" w:hAnsi="宋体" w:cs="宋体"/>
          <w:bCs/>
          <w:color w:val="auto"/>
          <w:sz w:val="24"/>
          <w:szCs w:val="24"/>
          <w:highlight w:val="none"/>
        </w:rPr>
        <w:t>（1）提供必要的办公场所和办公家具；</w:t>
      </w:r>
    </w:p>
    <w:p>
      <w:pPr>
        <w:spacing w:line="360" w:lineRule="auto"/>
        <w:ind w:left="-2" w:leftChars="-1" w:firstLine="480" w:firstLineChars="200"/>
        <w:outlineLvl w:val="0"/>
        <w:rPr>
          <w:rFonts w:hint="eastAsia" w:ascii="宋体" w:hAnsi="宋体" w:cs="宋体"/>
          <w:bCs/>
          <w:color w:val="auto"/>
          <w:sz w:val="24"/>
          <w:szCs w:val="24"/>
          <w:highlight w:val="none"/>
        </w:rPr>
      </w:pPr>
      <w:r>
        <w:rPr>
          <w:rFonts w:hint="eastAsia" w:ascii="宋体" w:hAnsi="宋体" w:cs="宋体"/>
          <w:bCs/>
          <w:color w:val="auto"/>
          <w:sz w:val="24"/>
          <w:szCs w:val="24"/>
          <w:highlight w:val="none"/>
        </w:rPr>
        <w:t>（2）配备计算机、打印机、复印机和传真机等必要的办公用品；</w:t>
      </w:r>
    </w:p>
    <w:p>
      <w:pPr>
        <w:spacing w:line="360" w:lineRule="auto"/>
        <w:ind w:firstLine="480" w:firstLineChars="200"/>
        <w:outlineLvl w:val="0"/>
        <w:rPr>
          <w:rFonts w:hint="eastAsia" w:ascii="宋体" w:hAnsi="宋体" w:cs="宋体"/>
          <w:bCs/>
          <w:color w:val="auto"/>
          <w:sz w:val="24"/>
          <w:szCs w:val="24"/>
          <w:highlight w:val="none"/>
        </w:rPr>
      </w:pPr>
      <w:r>
        <w:rPr>
          <w:rFonts w:hint="eastAsia" w:ascii="宋体" w:hAnsi="宋体" w:cs="宋体"/>
          <w:bCs/>
          <w:color w:val="auto"/>
          <w:sz w:val="24"/>
          <w:szCs w:val="24"/>
          <w:highlight w:val="none"/>
        </w:rPr>
        <w:t>（3）配备必要的巡查车辆；</w:t>
      </w:r>
    </w:p>
    <w:p>
      <w:pPr>
        <w:spacing w:line="360" w:lineRule="auto"/>
        <w:ind w:firstLine="480" w:firstLineChars="200"/>
        <w:outlineLvl w:val="0"/>
        <w:rPr>
          <w:rFonts w:hint="eastAsia" w:ascii="宋体" w:hAnsi="宋体" w:cs="宋体"/>
          <w:bCs/>
          <w:color w:val="auto"/>
          <w:sz w:val="24"/>
          <w:szCs w:val="24"/>
          <w:highlight w:val="none"/>
        </w:rPr>
      </w:pPr>
      <w:r>
        <w:rPr>
          <w:rFonts w:hint="eastAsia" w:ascii="宋体" w:hAnsi="宋体" w:cs="宋体"/>
          <w:bCs/>
          <w:color w:val="auto"/>
          <w:sz w:val="24"/>
          <w:szCs w:val="24"/>
          <w:highlight w:val="none"/>
        </w:rPr>
        <w:t>（4）提供分析、结算和监督的相关软件和相应设备。</w:t>
      </w:r>
    </w:p>
    <w:p>
      <w:pPr>
        <w:spacing w:line="360" w:lineRule="auto"/>
        <w:ind w:firstLine="480" w:firstLineChars="200"/>
        <w:outlineLvl w:val="0"/>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10.风险提示</w:t>
      </w:r>
    </w:p>
    <w:p>
      <w:pPr>
        <w:spacing w:line="360" w:lineRule="auto"/>
        <w:ind w:firstLine="480" w:firstLineChars="200"/>
        <w:rPr>
          <w:rFonts w:hint="eastAsia" w:ascii="宋体" w:hAnsi="宋体" w:cs="宋体"/>
          <w:bCs/>
          <w:color w:val="auto"/>
          <w:sz w:val="24"/>
          <w:szCs w:val="24"/>
          <w:highlight w:val="none"/>
        </w:rPr>
      </w:pPr>
      <w:r>
        <w:rPr>
          <w:rFonts w:hint="eastAsia" w:ascii="宋体" w:hAnsi="宋体" w:cs="宋体"/>
          <w:bCs/>
          <w:color w:val="auto"/>
          <w:sz w:val="24"/>
          <w:szCs w:val="24"/>
          <w:highlight w:val="none"/>
        </w:rPr>
        <w:t>本项目需要中标保险公司承担非政策性原因发生的亏损，因风险存在不确定性，中标保险公司应有明确、合理的风险调节机制，并具有承受亏损的预期及相应的经济能力。</w:t>
      </w:r>
    </w:p>
    <w:p>
      <w:pPr>
        <w:spacing w:line="360" w:lineRule="auto"/>
        <w:ind w:left="-2" w:leftChars="-1" w:firstLine="480" w:firstLineChars="200"/>
        <w:outlineLvl w:val="0"/>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11.考核工作以大病保险相关政策、保险合同、招标文件和中标保险公司的承诺及考核办法为依据，以参保人员满意度、服务质量为核心，不断提高中标保险公司的综合素质和业务能力，考核内容主要包括但不限于中标保险公司的管理制度及团队建设、服务质量、参保人员满意度及风险防控等方面。</w:t>
      </w:r>
    </w:p>
    <w:p>
      <w:pPr>
        <w:spacing w:line="360" w:lineRule="auto"/>
        <w:ind w:left="-2" w:leftChars="-1" w:firstLine="480" w:firstLineChars="200"/>
        <w:outlineLvl w:val="0"/>
        <w:rPr>
          <w:rFonts w:hint="eastAsia" w:ascii="宋体" w:hAnsi="宋体" w:cs="宋体"/>
          <w:bCs/>
          <w:color w:val="auto"/>
          <w:sz w:val="24"/>
          <w:szCs w:val="24"/>
          <w:highlight w:val="none"/>
        </w:rPr>
      </w:pPr>
      <w:r>
        <w:rPr>
          <w:rFonts w:hint="eastAsia" w:ascii="宋体" w:hAnsi="宋体" w:cs="宋体"/>
          <w:color w:val="auto"/>
          <w:kern w:val="0"/>
          <w:sz w:val="24"/>
          <w:szCs w:val="24"/>
          <w:highlight w:val="none"/>
        </w:rPr>
        <w:t>采购人制定对中标保险公司的考核办法，</w:t>
      </w:r>
      <w:r>
        <w:rPr>
          <w:rFonts w:hint="eastAsia" w:ascii="宋体" w:hAnsi="宋体" w:cs="宋体"/>
          <w:bCs/>
          <w:color w:val="auto"/>
          <w:sz w:val="24"/>
          <w:szCs w:val="24"/>
          <w:highlight w:val="none"/>
        </w:rPr>
        <w:t>对中标保险公司进行考核，汇总年度考核成绩，确定以下四个档次：</w:t>
      </w:r>
    </w:p>
    <w:p>
      <w:pPr>
        <w:spacing w:line="360" w:lineRule="auto"/>
        <w:ind w:left="-2" w:leftChars="-1" w:firstLine="480" w:firstLineChars="200"/>
        <w:outlineLvl w:val="0"/>
        <w:rPr>
          <w:rFonts w:hint="eastAsia" w:ascii="宋体" w:hAnsi="宋体" w:cs="宋体"/>
          <w:bCs/>
          <w:color w:val="auto"/>
          <w:sz w:val="24"/>
          <w:szCs w:val="24"/>
          <w:highlight w:val="none"/>
        </w:rPr>
      </w:pPr>
      <w:r>
        <w:rPr>
          <w:rFonts w:hint="eastAsia" w:ascii="宋体" w:hAnsi="宋体" w:cs="宋体"/>
          <w:bCs/>
          <w:color w:val="auto"/>
          <w:sz w:val="24"/>
          <w:szCs w:val="24"/>
          <w:highlight w:val="none"/>
        </w:rPr>
        <w:t>（1）年度考核总分在90分（含）以上的，考核成绩为优良，运营成本全额计提；</w:t>
      </w:r>
    </w:p>
    <w:p>
      <w:pPr>
        <w:spacing w:line="360" w:lineRule="auto"/>
        <w:ind w:left="-2" w:leftChars="-1" w:firstLine="480" w:firstLineChars="200"/>
        <w:outlineLvl w:val="0"/>
        <w:rPr>
          <w:rFonts w:hint="eastAsia" w:ascii="宋体" w:hAnsi="宋体" w:cs="宋体"/>
          <w:bCs/>
          <w:color w:val="auto"/>
          <w:sz w:val="24"/>
          <w:szCs w:val="24"/>
          <w:highlight w:val="none"/>
        </w:rPr>
      </w:pPr>
      <w:r>
        <w:rPr>
          <w:rFonts w:hint="eastAsia" w:ascii="宋体" w:hAnsi="宋体" w:cs="宋体"/>
          <w:bCs/>
          <w:color w:val="auto"/>
          <w:sz w:val="24"/>
          <w:szCs w:val="24"/>
          <w:highlight w:val="none"/>
        </w:rPr>
        <w:t>（2）年度考核总分在75分（含）-90分（不含）的，考核成绩为良好，运营成本计提金额=(考核评分/100)×100%×年度核定的运营成本；</w:t>
      </w:r>
    </w:p>
    <w:p>
      <w:pPr>
        <w:spacing w:line="360" w:lineRule="auto"/>
        <w:ind w:left="-2" w:leftChars="-1" w:firstLine="480" w:firstLineChars="200"/>
        <w:outlineLvl w:val="0"/>
        <w:rPr>
          <w:rFonts w:hint="eastAsia" w:ascii="宋体" w:hAnsi="宋体" w:cs="宋体"/>
          <w:bCs/>
          <w:color w:val="auto"/>
          <w:sz w:val="24"/>
          <w:szCs w:val="24"/>
          <w:highlight w:val="none"/>
        </w:rPr>
      </w:pPr>
      <w:r>
        <w:rPr>
          <w:rFonts w:hint="eastAsia" w:ascii="宋体" w:hAnsi="宋体" w:cs="宋体"/>
          <w:bCs/>
          <w:color w:val="auto"/>
          <w:sz w:val="24"/>
          <w:szCs w:val="24"/>
          <w:highlight w:val="none"/>
        </w:rPr>
        <w:t>（3）年度考核总分在60分（含）-75分（不含）的，考核成绩为合格，运营成本计提金额=(考核评分/100)×50%×年度核定的运营成本；</w:t>
      </w:r>
    </w:p>
    <w:p>
      <w:pPr>
        <w:spacing w:line="360" w:lineRule="auto"/>
        <w:ind w:left="-2" w:leftChars="-1" w:firstLine="480" w:firstLineChars="200"/>
        <w:outlineLvl w:val="0"/>
        <w:rPr>
          <w:rFonts w:hint="eastAsia" w:ascii="宋体" w:hAnsi="宋体" w:cs="宋体"/>
          <w:b/>
          <w:bCs/>
          <w:color w:val="auto"/>
          <w:sz w:val="24"/>
          <w:szCs w:val="24"/>
          <w:highlight w:val="none"/>
        </w:rPr>
      </w:pPr>
      <w:r>
        <w:rPr>
          <w:rFonts w:hint="eastAsia" w:ascii="宋体" w:hAnsi="宋体" w:cs="宋体"/>
          <w:bCs/>
          <w:color w:val="auto"/>
          <w:sz w:val="24"/>
          <w:szCs w:val="24"/>
          <w:highlight w:val="none"/>
        </w:rPr>
        <w:t>（4）年度考核总分低于60分的，考核成绩为不合格，运营成本不予计提，终止大病保险合作关系，解除《服务合同》，</w:t>
      </w:r>
      <w:r>
        <w:rPr>
          <w:rFonts w:hint="eastAsia" w:ascii="宋体" w:hAnsi="宋体" w:cs="宋体"/>
          <w:color w:val="auto"/>
          <w:kern w:val="0"/>
          <w:sz w:val="24"/>
          <w:szCs w:val="24"/>
          <w:highlight w:val="none"/>
        </w:rPr>
        <w:t>清算保费并向社会公布。经医保行政、采购人研究决定，所承办服务包内容由其他中标保险公司接管，退出的保险公司应做好衔接工作。采购人三年内不受理该保险公司纳入大病保险服务协议的申请。</w:t>
      </w:r>
    </w:p>
    <w:p>
      <w:pPr>
        <w:widowControl/>
        <w:spacing w:line="360" w:lineRule="auto"/>
        <w:ind w:firstLine="480" w:firstLineChars="200"/>
        <w:jc w:val="left"/>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12.盈利控制</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大病保险遵循“收支平衡、保本微利”的原则，合理控制保险公司盈利率，中标保险公司应准确测算本项目的成本及利润。</w:t>
      </w:r>
    </w:p>
    <w:p>
      <w:pPr>
        <w:spacing w:line="360" w:lineRule="auto"/>
        <w:ind w:firstLine="424" w:firstLineChars="177"/>
        <w:rPr>
          <w:rFonts w:hint="eastAsia" w:ascii="宋体" w:hAnsi="宋体" w:cs="宋体"/>
          <w:color w:val="auto"/>
          <w:sz w:val="24"/>
          <w:szCs w:val="24"/>
          <w:highlight w:val="none"/>
        </w:rPr>
      </w:pPr>
      <w:r>
        <w:rPr>
          <w:rFonts w:hint="eastAsia" w:ascii="宋体" w:hAnsi="宋体" w:cs="宋体"/>
          <w:color w:val="auto"/>
          <w:sz w:val="24"/>
          <w:szCs w:val="24"/>
          <w:highlight w:val="none"/>
        </w:rPr>
        <w:t>（1）</w:t>
      </w:r>
      <w:r>
        <w:rPr>
          <w:rFonts w:hint="eastAsia" w:ascii="宋体" w:hAnsi="宋体" w:cs="宋体"/>
          <w:bCs/>
          <w:color w:val="auto"/>
          <w:sz w:val="24"/>
          <w:szCs w:val="24"/>
          <w:highlight w:val="none"/>
        </w:rPr>
        <w:t>大病保险成本包括支付给被保险人的大病保险医疗费用、中标保险公司承办大病保险的运营成本；</w:t>
      </w:r>
    </w:p>
    <w:p>
      <w:pPr>
        <w:spacing w:line="360" w:lineRule="auto"/>
        <w:ind w:left="-2" w:leftChars="-1" w:firstLine="480" w:firstLineChars="200"/>
        <w:outlineLvl w:val="0"/>
        <w:rPr>
          <w:rFonts w:hint="eastAsia" w:ascii="宋体" w:hAnsi="宋体" w:cs="宋体"/>
          <w:b/>
          <w:bCs/>
          <w:color w:val="auto"/>
          <w:sz w:val="24"/>
          <w:szCs w:val="24"/>
          <w:highlight w:val="none"/>
          <w:u w:val="single"/>
        </w:rPr>
      </w:pPr>
      <w:r>
        <w:rPr>
          <w:rFonts w:hint="eastAsia" w:ascii="宋体" w:hAnsi="宋体" w:cs="宋体"/>
          <w:bCs/>
          <w:color w:val="auto"/>
          <w:sz w:val="24"/>
          <w:szCs w:val="24"/>
          <w:highlight w:val="none"/>
        </w:rPr>
        <w:t>（2）坚持“盈利适度、风险可控”的原则，投标人分别按标段</w:t>
      </w:r>
      <w:r>
        <w:rPr>
          <w:rFonts w:hint="eastAsia" w:ascii="宋体" w:hAnsi="宋体" w:cs="宋体"/>
          <w:b/>
          <w:bCs/>
          <w:color w:val="auto"/>
          <w:sz w:val="24"/>
          <w:szCs w:val="24"/>
          <w:highlight w:val="none"/>
        </w:rPr>
        <w:t>竞标确定每年度运营成本的金额，其中标段一不高于1565万元、标段二不高于590万元、标段三不高于452.4万元。</w:t>
      </w:r>
    </w:p>
    <w:p>
      <w:pPr>
        <w:spacing w:line="360" w:lineRule="auto"/>
        <w:ind w:left="-2" w:leftChars="-1" w:firstLine="424" w:firstLineChars="177"/>
        <w:outlineLvl w:val="0"/>
        <w:rPr>
          <w:rFonts w:hint="eastAsia" w:ascii="宋体" w:hAnsi="宋体" w:cs="宋体"/>
          <w:bCs/>
          <w:color w:val="auto"/>
          <w:sz w:val="24"/>
          <w:szCs w:val="24"/>
          <w:highlight w:val="none"/>
        </w:rPr>
      </w:pPr>
      <w:r>
        <w:rPr>
          <w:rFonts w:hint="eastAsia" w:ascii="宋体" w:hAnsi="宋体" w:cs="宋体"/>
          <w:bCs/>
          <w:color w:val="auto"/>
          <w:sz w:val="24"/>
          <w:szCs w:val="24"/>
          <w:highlight w:val="none"/>
        </w:rPr>
        <w:t>1）各标段年度大病保险的盈余额=总保费-总赔款，年度盈余额在年度运营成本以内的部分，归中标保险公司所有；若年度盈余额为零或负值时，年度运营成本为零；</w:t>
      </w:r>
    </w:p>
    <w:p>
      <w:pPr>
        <w:spacing w:line="360" w:lineRule="auto"/>
        <w:ind w:left="-2" w:leftChars="-1" w:firstLine="424" w:firstLineChars="177"/>
        <w:outlineLvl w:val="0"/>
        <w:rPr>
          <w:rFonts w:hint="eastAsia" w:ascii="宋体" w:hAnsi="宋体" w:cs="宋体"/>
          <w:bCs/>
          <w:color w:val="auto"/>
          <w:sz w:val="24"/>
          <w:szCs w:val="24"/>
          <w:highlight w:val="none"/>
        </w:rPr>
      </w:pPr>
      <w:r>
        <w:rPr>
          <w:rFonts w:hint="eastAsia" w:ascii="宋体" w:hAnsi="宋体" w:cs="宋体"/>
          <w:bCs/>
          <w:color w:val="auto"/>
          <w:sz w:val="24"/>
          <w:szCs w:val="24"/>
          <w:highlight w:val="none"/>
        </w:rPr>
        <w:t>2）各标段大病保险年度保费扣除年度赔款、运营成本、考核留成等费用后，按原渠道及时返还大病保险专户。</w:t>
      </w:r>
    </w:p>
    <w:p>
      <w:pPr>
        <w:spacing w:line="360" w:lineRule="auto"/>
        <w:ind w:left="-2" w:leftChars="-1" w:firstLine="480" w:firstLineChars="200"/>
        <w:outlineLvl w:val="0"/>
        <w:rPr>
          <w:rFonts w:hint="eastAsia" w:ascii="宋体" w:hAnsi="宋体" w:cs="宋体"/>
          <w:bCs/>
          <w:color w:val="auto"/>
          <w:sz w:val="24"/>
          <w:szCs w:val="24"/>
          <w:highlight w:val="none"/>
        </w:rPr>
      </w:pPr>
      <w:r>
        <w:rPr>
          <w:rFonts w:hint="eastAsia" w:ascii="宋体" w:hAnsi="宋体" w:cs="宋体"/>
          <w:bCs/>
          <w:color w:val="auto"/>
          <w:sz w:val="24"/>
          <w:szCs w:val="24"/>
          <w:highlight w:val="none"/>
        </w:rPr>
        <w:t>a.考核留成：中标保险公司工作完成情况较好的，以其查实的违规扣款及监督控费等减少的支出作为考核基数，按照一定的比例增加留成。</w:t>
      </w:r>
    </w:p>
    <w:p>
      <w:pPr>
        <w:spacing w:line="360" w:lineRule="auto"/>
        <w:ind w:left="-2" w:leftChars="-1" w:firstLine="424" w:firstLineChars="177"/>
        <w:outlineLvl w:val="0"/>
        <w:rPr>
          <w:rFonts w:hint="eastAsia" w:ascii="宋体" w:hAnsi="宋体" w:cs="宋体"/>
          <w:bCs/>
          <w:color w:val="auto"/>
          <w:sz w:val="24"/>
          <w:szCs w:val="24"/>
          <w:highlight w:val="none"/>
        </w:rPr>
      </w:pPr>
      <w:r>
        <w:rPr>
          <w:rFonts w:hint="eastAsia" w:ascii="宋体" w:hAnsi="宋体" w:cs="宋体"/>
          <w:bCs/>
          <w:color w:val="auto"/>
          <w:sz w:val="24"/>
          <w:szCs w:val="24"/>
          <w:highlight w:val="none"/>
        </w:rPr>
        <w:t>b.年度大病保险资金返还计算公式：</w:t>
      </w:r>
    </w:p>
    <w:p>
      <w:pPr>
        <w:spacing w:line="360" w:lineRule="auto"/>
        <w:ind w:left="-2" w:leftChars="-1" w:firstLine="424" w:firstLineChars="177"/>
        <w:outlineLvl w:val="0"/>
        <w:rPr>
          <w:rFonts w:hint="eastAsia" w:ascii="宋体" w:hAnsi="宋体" w:cs="宋体"/>
          <w:bCs/>
          <w:color w:val="auto"/>
          <w:sz w:val="24"/>
          <w:szCs w:val="24"/>
          <w:highlight w:val="none"/>
        </w:rPr>
      </w:pPr>
      <w:r>
        <w:rPr>
          <w:rFonts w:hint="eastAsia" w:ascii="宋体" w:hAnsi="宋体" w:cs="宋体"/>
          <w:bCs/>
          <w:color w:val="auto"/>
          <w:sz w:val="24"/>
          <w:szCs w:val="24"/>
          <w:highlight w:val="none"/>
        </w:rPr>
        <w:t>年度大病保险资金返还的金额=总保费-总赔款-经考核确定后的运营成本（减去由大病保险资金产生的利息）-考核留成奖励金额</w:t>
      </w:r>
      <w:r>
        <w:rPr>
          <w:rFonts w:hint="eastAsia" w:ascii="宋体" w:hAnsi="宋体" w:cs="宋体"/>
          <w:b/>
          <w:bCs/>
          <w:color w:val="auto"/>
          <w:sz w:val="24"/>
          <w:szCs w:val="24"/>
          <w:highlight w:val="none"/>
        </w:rPr>
        <w:t>（以医保结算年度为准）</w:t>
      </w:r>
    </w:p>
    <w:p>
      <w:pPr>
        <w:widowControl/>
        <w:spacing w:line="360" w:lineRule="auto"/>
        <w:ind w:firstLine="480" w:firstLineChars="200"/>
        <w:jc w:val="left"/>
        <w:rPr>
          <w:rFonts w:hint="eastAsia" w:ascii="宋体" w:hAnsi="宋体" w:cs="宋体"/>
          <w:bCs/>
          <w:color w:val="auto"/>
          <w:sz w:val="24"/>
          <w:szCs w:val="24"/>
          <w:highlight w:val="none"/>
        </w:rPr>
      </w:pPr>
      <w:r>
        <w:rPr>
          <w:rFonts w:hint="eastAsia" w:ascii="宋体" w:hAnsi="宋体" w:cs="宋体"/>
          <w:b/>
          <w:bCs/>
          <w:color w:val="auto"/>
          <w:sz w:val="24"/>
          <w:szCs w:val="24"/>
          <w:highlight w:val="none"/>
        </w:rPr>
        <w:t>13.基金亏损处理</w:t>
      </w:r>
    </w:p>
    <w:p>
      <w:pPr>
        <w:spacing w:line="360" w:lineRule="auto"/>
        <w:ind w:left="-2" w:leftChars="-1" w:firstLine="480" w:firstLineChars="200"/>
        <w:outlineLvl w:val="0"/>
        <w:rPr>
          <w:rFonts w:hint="eastAsia" w:ascii="宋体" w:hAnsi="宋体" w:cs="宋体"/>
          <w:bCs/>
          <w:color w:val="auto"/>
          <w:sz w:val="24"/>
          <w:szCs w:val="24"/>
          <w:highlight w:val="none"/>
        </w:rPr>
      </w:pPr>
      <w:r>
        <w:rPr>
          <w:rFonts w:hint="eastAsia" w:ascii="宋体" w:hAnsi="宋体" w:cs="宋体"/>
          <w:bCs/>
          <w:color w:val="auto"/>
          <w:sz w:val="24"/>
          <w:szCs w:val="24"/>
          <w:highlight w:val="none"/>
        </w:rPr>
        <w:t>（1）如因政策性原因导致大病保险资金亏损，由基本医保基金给予弥补。</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（2）</w:t>
      </w:r>
      <w:r>
        <w:rPr>
          <w:rFonts w:ascii="宋体" w:hAnsi="宋体"/>
          <w:color w:val="auto"/>
          <w:sz w:val="24"/>
          <w:szCs w:val="24"/>
          <w:highlight w:val="none"/>
        </w:rPr>
        <w:t>非政策性原因发生的亏损，每年度一定金额（具体由招标确定）以内的亏损部分及运营成本由承办机构自行承担。</w:t>
      </w:r>
    </w:p>
    <w:p>
      <w:pPr>
        <w:pStyle w:val="69"/>
        <w:spacing w:line="360" w:lineRule="auto"/>
        <w:ind w:firstLine="540" w:firstLineChars="225"/>
        <w:rPr>
          <w:rFonts w:hint="eastAsia" w:ascii="宋体" w:hAnsi="宋体" w:cs="宋体"/>
          <w:color w:val="auto"/>
          <w:sz w:val="24"/>
          <w:szCs w:val="24"/>
          <w:highlight w:val="none"/>
        </w:rPr>
      </w:pPr>
      <w:r>
        <w:rPr>
          <w:rFonts w:hint="eastAsia" w:ascii="宋体" w:hAnsi="宋体" w:cs="宋体"/>
          <w:color w:val="auto"/>
          <w:sz w:val="24"/>
          <w:szCs w:val="24"/>
          <w:highlight w:val="none"/>
        </w:rPr>
        <w:t>1）若亏损在5%以内的，中标保险公司全部承担；</w:t>
      </w:r>
    </w:p>
    <w:p>
      <w:pPr>
        <w:pStyle w:val="69"/>
        <w:spacing w:line="360" w:lineRule="auto"/>
        <w:ind w:firstLine="540" w:firstLineChars="225"/>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2）若亏损在5%-10%（含）的部分，中标保险公司承担50%的亏损； </w:t>
      </w:r>
    </w:p>
    <w:p>
      <w:pPr>
        <w:pStyle w:val="69"/>
        <w:spacing w:line="360" w:lineRule="auto"/>
        <w:ind w:firstLine="540" w:firstLineChars="225"/>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3）若亏损在10%-20%（含）的部分，中标保险公司承担30%的亏损； </w:t>
      </w:r>
    </w:p>
    <w:p>
      <w:pPr>
        <w:pStyle w:val="69"/>
        <w:spacing w:line="360" w:lineRule="auto"/>
        <w:ind w:firstLine="540" w:firstLineChars="225"/>
        <w:rPr>
          <w:rFonts w:hint="eastAsia" w:ascii="宋体" w:hAnsi="宋体" w:cs="宋体"/>
          <w:color w:val="auto"/>
          <w:sz w:val="24"/>
          <w:szCs w:val="24"/>
          <w:highlight w:val="none"/>
        </w:rPr>
      </w:pPr>
      <w:r>
        <w:rPr>
          <w:rFonts w:hint="eastAsia" w:ascii="宋体" w:hAnsi="宋体" w:cs="宋体"/>
          <w:color w:val="auto"/>
          <w:sz w:val="24"/>
          <w:szCs w:val="24"/>
          <w:highlight w:val="none"/>
        </w:rPr>
        <w:t>4）若亏损在20%以上的部分，中标保险公司承担20%的亏损。</w:t>
      </w:r>
    </w:p>
    <w:p>
      <w:pPr>
        <w:pStyle w:val="69"/>
        <w:spacing w:line="360" w:lineRule="auto"/>
        <w:ind w:firstLine="540" w:firstLineChars="225"/>
        <w:rPr>
          <w:rFonts w:hint="eastAsia" w:ascii="宋体" w:hAnsi="宋体" w:cs="宋体"/>
          <w:b/>
          <w:color w:val="auto"/>
          <w:sz w:val="24"/>
          <w:szCs w:val="24"/>
          <w:highlight w:val="none"/>
        </w:rPr>
      </w:pPr>
      <w:r>
        <w:rPr>
          <w:rFonts w:hint="eastAsia" w:ascii="宋体" w:hAnsi="宋体" w:cs="宋体"/>
          <w:b/>
          <w:color w:val="auto"/>
          <w:sz w:val="24"/>
          <w:szCs w:val="24"/>
          <w:highlight w:val="none"/>
        </w:rPr>
        <w:t>备注：按差额定率累进法计算承担亏损金额</w:t>
      </w:r>
    </w:p>
    <w:p>
      <w:pPr>
        <w:widowControl/>
        <w:spacing w:line="360" w:lineRule="auto"/>
        <w:ind w:firstLine="480" w:firstLineChars="200"/>
        <w:jc w:val="left"/>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14.激励机制</w:t>
      </w:r>
    </w:p>
    <w:p>
      <w:pPr>
        <w:spacing w:line="360" w:lineRule="auto"/>
        <w:ind w:left="-2" w:leftChars="-1" w:firstLine="480" w:firstLineChars="200"/>
        <w:outlineLvl w:val="0"/>
        <w:rPr>
          <w:rFonts w:hint="eastAsia" w:ascii="宋体" w:hAnsi="宋体" w:cs="宋体"/>
          <w:bCs/>
          <w:color w:val="auto"/>
          <w:sz w:val="24"/>
          <w:szCs w:val="24"/>
          <w:highlight w:val="none"/>
        </w:rPr>
      </w:pPr>
      <w:r>
        <w:rPr>
          <w:rFonts w:hint="eastAsia" w:ascii="宋体" w:hAnsi="宋体" w:cs="宋体"/>
          <w:bCs/>
          <w:color w:val="auto"/>
          <w:sz w:val="24"/>
          <w:szCs w:val="24"/>
          <w:highlight w:val="none"/>
        </w:rPr>
        <w:t>激励分配按照由采购人确认的，经</w:t>
      </w:r>
      <w:r>
        <w:rPr>
          <w:rFonts w:hint="eastAsia" w:ascii="宋体" w:hAnsi="宋体" w:cs="宋体"/>
          <w:color w:val="auto"/>
          <w:sz w:val="24"/>
          <w:szCs w:val="24"/>
          <w:highlight w:val="none"/>
        </w:rPr>
        <w:t>中标保险公司</w:t>
      </w:r>
      <w:r>
        <w:rPr>
          <w:rFonts w:hint="eastAsia" w:ascii="宋体" w:hAnsi="宋体" w:cs="宋体"/>
          <w:bCs/>
          <w:color w:val="auto"/>
          <w:sz w:val="24"/>
          <w:szCs w:val="24"/>
          <w:highlight w:val="none"/>
        </w:rPr>
        <w:t>拒赔、核减等减少支出的费用，按比例增加留成（</w:t>
      </w:r>
      <w:r>
        <w:rPr>
          <w:rFonts w:hint="eastAsia" w:ascii="宋体" w:hAnsi="宋体" w:cs="宋体"/>
          <w:b/>
          <w:bCs/>
          <w:color w:val="auto"/>
          <w:sz w:val="24"/>
          <w:szCs w:val="24"/>
          <w:highlight w:val="none"/>
        </w:rPr>
        <w:t>具体比例由竞标确定</w:t>
      </w:r>
      <w:r>
        <w:rPr>
          <w:rFonts w:hint="eastAsia" w:ascii="宋体" w:hAnsi="宋体" w:cs="宋体"/>
          <w:bCs/>
          <w:color w:val="auto"/>
          <w:sz w:val="24"/>
          <w:szCs w:val="24"/>
          <w:highlight w:val="none"/>
        </w:rPr>
        <w:t>），当年激励金额不得超过本标段当年资金盈余额-经考核确定后的运营成本（减去由大病保险资金产生的利息）。</w:t>
      </w:r>
    </w:p>
    <w:p>
      <w:pPr>
        <w:spacing w:line="360" w:lineRule="auto"/>
        <w:ind w:left="-2" w:leftChars="-1" w:firstLine="480" w:firstLineChars="200"/>
        <w:outlineLvl w:val="0"/>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15.项目清算</w:t>
      </w:r>
    </w:p>
    <w:p>
      <w:pPr>
        <w:spacing w:line="360" w:lineRule="auto"/>
        <w:ind w:firstLine="480" w:firstLineChars="200"/>
        <w:contextualSpacing/>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（1）季度预清算（对每个保险年度内前三季度进行预清算，其中2023年季度预清算只清算第二、第三季度）</w:t>
      </w:r>
    </w:p>
    <w:p>
      <w:pPr>
        <w:spacing w:line="360" w:lineRule="auto"/>
        <w:ind w:firstLine="480" w:firstLineChars="200"/>
        <w:contextualSpacing/>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经采购人初步核算上季度的结余资金，中标保险公司将上季度结余资金按要求返还至大病保险专用账户。上季度结余资金=上季度实际保费划拨总额-上季度参保人员的赔付金额-上季度</w:t>
      </w:r>
      <w:r>
        <w:rPr>
          <w:rFonts w:hint="eastAsia" w:ascii="宋体" w:hAnsi="宋体" w:cs="宋体"/>
          <w:bCs/>
          <w:color w:val="auto"/>
          <w:sz w:val="24"/>
          <w:szCs w:val="24"/>
          <w:highlight w:val="none"/>
        </w:rPr>
        <w:t>运营成本（当季度运营成本减去当季度大病保险资金产生的利息）</w:t>
      </w:r>
      <w:r>
        <w:rPr>
          <w:rFonts w:hint="eastAsia" w:ascii="宋体" w:hAnsi="宋体" w:cs="宋体"/>
          <w:color w:val="auto"/>
          <w:kern w:val="0"/>
          <w:sz w:val="24"/>
          <w:szCs w:val="24"/>
          <w:highlight w:val="none"/>
        </w:rPr>
        <w:t>，上季度结余资金为零或负值时，不再进行季度预清算。每个保险年度的第四季度不单独做预清算，随年度清算一起进行。如标段内当季度保费出现不足，可使用标段内当年以前季度结余保费调剂。</w:t>
      </w:r>
    </w:p>
    <w:p>
      <w:pPr>
        <w:spacing w:line="360" w:lineRule="auto"/>
        <w:ind w:firstLine="480" w:firstLineChars="200"/>
        <w:contextualSpacing/>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（2）年度清算</w:t>
      </w:r>
    </w:p>
    <w:p>
      <w:pPr>
        <w:spacing w:line="360" w:lineRule="auto"/>
        <w:ind w:firstLine="480" w:firstLineChars="200"/>
        <w:contextualSpacing/>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采购人在完成对中标保险公司的上年度考核后，按考核成绩，结合相关文件要求、服务合同约定及考核规定，核算具体</w:t>
      </w:r>
      <w:r>
        <w:rPr>
          <w:rFonts w:hint="eastAsia" w:ascii="宋体" w:hAnsi="宋体" w:cs="宋体"/>
          <w:bCs/>
          <w:color w:val="auto"/>
          <w:sz w:val="24"/>
          <w:szCs w:val="24"/>
          <w:highlight w:val="none"/>
        </w:rPr>
        <w:t>运营成本（在第四季度运营成本中减去当季度大病保险资金产生的利息）和控费奖励等</w:t>
      </w:r>
      <w:r>
        <w:rPr>
          <w:rFonts w:hint="eastAsia" w:ascii="宋体" w:hAnsi="宋体" w:cs="宋体"/>
          <w:color w:val="auto"/>
          <w:kern w:val="0"/>
          <w:sz w:val="24"/>
          <w:szCs w:val="24"/>
          <w:highlight w:val="none"/>
        </w:rPr>
        <w:t>，完成年度清算。</w:t>
      </w:r>
    </w:p>
    <w:p>
      <w:pPr>
        <w:spacing w:line="360" w:lineRule="auto"/>
        <w:ind w:firstLine="480" w:firstLineChars="200"/>
        <w:contextualSpacing/>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中标保险公司按采购人要求及时做好季度预清算、年度清算。</w:t>
      </w:r>
    </w:p>
    <w:p>
      <w:pPr>
        <w:spacing w:line="360" w:lineRule="auto"/>
        <w:ind w:firstLine="480" w:firstLineChars="200"/>
        <w:contextualSpacing/>
        <w:rPr>
          <w:rFonts w:hint="eastAsia" w:ascii="宋体" w:hAnsi="宋体" w:cs="宋体"/>
          <w:b/>
          <w:bCs/>
          <w:color w:val="auto"/>
          <w:sz w:val="24"/>
          <w:szCs w:val="24"/>
          <w:highlight w:val="none"/>
        </w:rPr>
      </w:pPr>
      <w:r>
        <w:rPr>
          <w:rFonts w:hint="eastAsia" w:ascii="宋体" w:hAnsi="宋体" w:cs="宋体"/>
          <w:b/>
          <w:color w:val="auto"/>
          <w:kern w:val="0"/>
          <w:sz w:val="24"/>
          <w:szCs w:val="24"/>
          <w:highlight w:val="none"/>
        </w:rPr>
        <w:t>关于利息</w:t>
      </w:r>
      <w:r>
        <w:rPr>
          <w:rFonts w:hint="eastAsia" w:ascii="宋体" w:hAnsi="宋体" w:cs="宋体"/>
          <w:b/>
          <w:bCs/>
          <w:color w:val="auto"/>
          <w:sz w:val="24"/>
          <w:szCs w:val="24"/>
          <w:highlight w:val="none"/>
        </w:rPr>
        <w:t>清</w:t>
      </w:r>
      <w:r>
        <w:rPr>
          <w:rFonts w:hint="eastAsia" w:ascii="宋体" w:hAnsi="宋体" w:cs="宋体"/>
          <w:b/>
          <w:color w:val="auto"/>
          <w:kern w:val="0"/>
          <w:sz w:val="24"/>
          <w:szCs w:val="24"/>
          <w:highlight w:val="none"/>
        </w:rPr>
        <w:t>算方式说明：由中标保险公司自行提供该项目大病保险资金存储专用账户的银行流水；如无法提供该项目专用账户的银行流水，则按照</w:t>
      </w:r>
      <w:r>
        <w:rPr>
          <w:rFonts w:hint="eastAsia" w:ascii="宋体" w:hAnsi="宋体" w:cs="宋体"/>
          <w:b/>
          <w:bCs/>
          <w:color w:val="auto"/>
          <w:sz w:val="24"/>
          <w:szCs w:val="24"/>
          <w:highlight w:val="none"/>
        </w:rPr>
        <w:t>当季度已划转的大病保险资金产生的银行同期活期利息为标准进行清算。</w:t>
      </w:r>
    </w:p>
    <w:p>
      <w:pPr>
        <w:spacing w:line="360" w:lineRule="auto"/>
        <w:ind w:left="-2" w:leftChars="-1" w:firstLine="480" w:firstLineChars="200"/>
        <w:outlineLvl w:val="0"/>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16.项目审计</w:t>
      </w:r>
    </w:p>
    <w:p>
      <w:pPr>
        <w:spacing w:line="360" w:lineRule="auto"/>
        <w:ind w:firstLine="480" w:firstLineChars="200"/>
        <w:contextualSpacing/>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本项目合同期满，在完成最后一个保险年度清算后，中标保险公司应无条件接受和配合相关单位的审计，且不受合同期限制。</w:t>
      </w:r>
    </w:p>
    <w:p>
      <w:pPr>
        <w:spacing w:line="360" w:lineRule="auto"/>
        <w:ind w:firstLine="480" w:firstLineChars="200"/>
        <w:contextualSpacing/>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17.保险条款基本要求</w:t>
      </w:r>
    </w:p>
    <w:p>
      <w:pPr>
        <w:spacing w:line="360" w:lineRule="auto"/>
        <w:jc w:val="center"/>
        <w:outlineLvl w:val="0"/>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主条款责任范围</w:t>
      </w:r>
    </w:p>
    <w:p>
      <w:pPr>
        <w:spacing w:line="360" w:lineRule="auto"/>
        <w:ind w:left="-2" w:leftChars="-1" w:firstLine="660" w:firstLineChars="275"/>
        <w:outlineLvl w:val="0"/>
        <w:rPr>
          <w:rFonts w:hint="eastAsia" w:ascii="宋体" w:hAnsi="宋体" w:cs="宋体"/>
          <w:bCs/>
          <w:color w:val="auto"/>
          <w:sz w:val="24"/>
          <w:szCs w:val="24"/>
          <w:highlight w:val="none"/>
        </w:rPr>
      </w:pPr>
      <w:r>
        <w:rPr>
          <w:rFonts w:hint="eastAsia" w:ascii="宋体" w:hAnsi="宋体" w:cs="宋体"/>
          <w:bCs/>
          <w:color w:val="auto"/>
          <w:sz w:val="24"/>
          <w:szCs w:val="24"/>
          <w:highlight w:val="none"/>
        </w:rPr>
        <w:t>在本合同保险期间内，被保险人在当地基本医保定点医疗机构诊疗或者经当地基本医保主管部门批准后转至其他有资质的医疗机构诊疗，保险人对其实际发生并支出的、符合当地基本医保规定的或保险人与当地基本医保主管部门协商后认可的合规医疗费用，可依下列约定承担保险责任：</w:t>
      </w:r>
    </w:p>
    <w:p>
      <w:pPr>
        <w:spacing w:line="360" w:lineRule="auto"/>
        <w:ind w:left="-2" w:leftChars="-1" w:firstLine="660" w:firstLineChars="275"/>
        <w:outlineLvl w:val="0"/>
        <w:rPr>
          <w:rFonts w:hint="eastAsia" w:ascii="宋体" w:hAnsi="宋体" w:cs="宋体"/>
          <w:bCs/>
          <w:color w:val="auto"/>
          <w:sz w:val="24"/>
          <w:szCs w:val="24"/>
          <w:highlight w:val="none"/>
        </w:rPr>
      </w:pPr>
      <w:r>
        <w:rPr>
          <w:rFonts w:hint="eastAsia" w:ascii="宋体" w:hAnsi="宋体" w:cs="宋体"/>
          <w:bCs/>
          <w:color w:val="auto"/>
          <w:sz w:val="24"/>
          <w:szCs w:val="24"/>
          <w:highlight w:val="none"/>
        </w:rPr>
        <w:t>1.住院医疗保险责任</w:t>
      </w:r>
    </w:p>
    <w:p>
      <w:pPr>
        <w:spacing w:line="360" w:lineRule="auto"/>
        <w:ind w:left="-2" w:leftChars="-1" w:firstLine="660" w:firstLineChars="275"/>
        <w:outlineLvl w:val="0"/>
        <w:rPr>
          <w:rFonts w:hint="eastAsia" w:ascii="宋体" w:hAnsi="宋体" w:cs="宋体"/>
          <w:bCs/>
          <w:color w:val="auto"/>
          <w:sz w:val="24"/>
          <w:szCs w:val="24"/>
          <w:highlight w:val="none"/>
        </w:rPr>
      </w:pPr>
      <w:r>
        <w:rPr>
          <w:rFonts w:hint="eastAsia" w:ascii="宋体" w:hAnsi="宋体" w:cs="宋体"/>
          <w:bCs/>
          <w:color w:val="auto"/>
          <w:sz w:val="24"/>
          <w:szCs w:val="24"/>
          <w:highlight w:val="none"/>
        </w:rPr>
        <w:t>对被保险人在本合同保险期间内实际发生并支出的住院合规医疗费用中经当地基本医保支付或补偿后的剩余部分, 保险人扣除其他途径已经支付或补偿部分以及本合同约定的住院起付金额后，按本合同约定的住院给付比例给付保险金，但对每一被保险人给付的保险金以本合同约定的该被保险人的住院医疗保险金额为限，一次或累计给付的保险金达到该被保险人的住院医疗保险金额时，本合同对该被保险人的住院医疗保险责任终止。住院起付金额、给付比例及合规医疗费用给付范围由投保人与保险人协商确定并在保险单上载明。</w:t>
      </w:r>
    </w:p>
    <w:p>
      <w:pPr>
        <w:spacing w:line="360" w:lineRule="auto"/>
        <w:ind w:left="-2" w:leftChars="-1" w:firstLine="660" w:firstLineChars="275"/>
        <w:outlineLvl w:val="0"/>
        <w:rPr>
          <w:rFonts w:hint="eastAsia" w:ascii="宋体" w:hAnsi="宋体" w:cs="宋体"/>
          <w:bCs/>
          <w:color w:val="auto"/>
          <w:sz w:val="24"/>
          <w:szCs w:val="24"/>
          <w:highlight w:val="none"/>
        </w:rPr>
      </w:pPr>
      <w:r>
        <w:rPr>
          <w:rFonts w:hint="eastAsia" w:ascii="宋体" w:hAnsi="宋体" w:cs="宋体"/>
          <w:bCs/>
          <w:color w:val="auto"/>
          <w:sz w:val="24"/>
          <w:szCs w:val="24"/>
          <w:highlight w:val="none"/>
        </w:rPr>
        <w:t>2.特定门诊医疗保险责任</w:t>
      </w:r>
    </w:p>
    <w:p>
      <w:pPr>
        <w:spacing w:line="360" w:lineRule="auto"/>
        <w:ind w:left="-2" w:leftChars="-1" w:firstLine="660" w:firstLineChars="275"/>
        <w:outlineLvl w:val="0"/>
        <w:rPr>
          <w:rFonts w:hint="eastAsia" w:ascii="宋体" w:hAnsi="宋体" w:cs="宋体"/>
          <w:bCs/>
          <w:color w:val="auto"/>
          <w:sz w:val="24"/>
          <w:szCs w:val="24"/>
          <w:highlight w:val="none"/>
        </w:rPr>
      </w:pPr>
      <w:r>
        <w:rPr>
          <w:rFonts w:hint="eastAsia" w:ascii="宋体" w:hAnsi="宋体" w:cs="宋体"/>
          <w:bCs/>
          <w:color w:val="auto"/>
          <w:sz w:val="24"/>
          <w:szCs w:val="24"/>
          <w:highlight w:val="none"/>
        </w:rPr>
        <w:t>对被保险人在本合同保险期间内实际发生并支出的特定门诊合规医疗费用中经当地基本医保支付或补偿后的剩余部分, 保险人扣除其他途径已经支付或补偿部分以及本合同约定的特定门诊起付金额后，按本合同约定的特定门诊给付比例给付保险金，但对每一被保险人给付的保险金以本合同约定的该被保险人的特定门诊医疗保险金额为限，一次或累计给付的保险金达到该被保险人的特定门诊医疗保险金额时，本合同对该被保险人的特定门诊医疗保险责任终止。特定门诊起付金额、给付比例及合规医疗费用给付范围由投保人与保险人协商确定并在保险单上载明。</w:t>
      </w:r>
    </w:p>
    <w:p>
      <w:pPr>
        <w:spacing w:line="360" w:lineRule="auto"/>
        <w:jc w:val="center"/>
        <w:outlineLvl w:val="0"/>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责任免除</w:t>
      </w:r>
    </w:p>
    <w:p>
      <w:pPr>
        <w:spacing w:line="360" w:lineRule="auto"/>
        <w:ind w:left="-2" w:leftChars="-1" w:firstLine="480" w:firstLineChars="200"/>
        <w:outlineLvl w:val="0"/>
        <w:rPr>
          <w:rFonts w:hint="eastAsia" w:ascii="宋体" w:hAnsi="宋体" w:cs="宋体"/>
          <w:bCs/>
          <w:color w:val="auto"/>
          <w:sz w:val="24"/>
          <w:szCs w:val="24"/>
          <w:highlight w:val="none"/>
        </w:rPr>
      </w:pPr>
      <w:r>
        <w:rPr>
          <w:rFonts w:hint="eastAsia" w:ascii="宋体" w:hAnsi="宋体" w:cs="宋体"/>
          <w:bCs/>
          <w:color w:val="auto"/>
          <w:sz w:val="24"/>
          <w:szCs w:val="24"/>
          <w:highlight w:val="none"/>
        </w:rPr>
        <w:t>因下列情形导致被保险人支出医疗费用的，保险人不承担给付保险金的责任：</w:t>
      </w:r>
    </w:p>
    <w:p>
      <w:pPr>
        <w:spacing w:line="360" w:lineRule="auto"/>
        <w:ind w:firstLine="480" w:firstLineChars="200"/>
        <w:outlineLvl w:val="0"/>
        <w:rPr>
          <w:rFonts w:hint="eastAsia" w:ascii="宋体" w:hAnsi="宋体" w:cs="宋体"/>
          <w:bCs/>
          <w:color w:val="auto"/>
          <w:sz w:val="24"/>
          <w:szCs w:val="24"/>
          <w:highlight w:val="none"/>
        </w:rPr>
      </w:pPr>
      <w:r>
        <w:rPr>
          <w:rFonts w:hint="eastAsia" w:ascii="宋体" w:hAnsi="宋体" w:cs="宋体"/>
          <w:bCs/>
          <w:color w:val="auto"/>
          <w:sz w:val="24"/>
          <w:szCs w:val="24"/>
          <w:highlight w:val="none"/>
        </w:rPr>
        <w:t>一、《中华人民共和国保险法》规定不予支付的事项；</w:t>
      </w:r>
    </w:p>
    <w:p>
      <w:pPr>
        <w:spacing w:line="360" w:lineRule="auto"/>
        <w:ind w:left="-2" w:leftChars="-1" w:firstLine="480" w:firstLineChars="200"/>
        <w:outlineLvl w:val="0"/>
        <w:rPr>
          <w:rFonts w:hint="eastAsia" w:ascii="宋体" w:hAnsi="宋体" w:cs="宋体"/>
          <w:bCs/>
          <w:color w:val="auto"/>
          <w:sz w:val="24"/>
          <w:szCs w:val="24"/>
          <w:highlight w:val="none"/>
        </w:rPr>
      </w:pPr>
      <w:r>
        <w:rPr>
          <w:rFonts w:hint="eastAsia" w:ascii="宋体" w:hAnsi="宋体" w:cs="宋体"/>
          <w:bCs/>
          <w:color w:val="auto"/>
          <w:sz w:val="24"/>
          <w:szCs w:val="24"/>
          <w:highlight w:val="none"/>
        </w:rPr>
        <w:t>二、除另有约定外，当地基本医疗保险规定不予支付的事项；</w:t>
      </w:r>
    </w:p>
    <w:p>
      <w:pPr>
        <w:spacing w:line="360" w:lineRule="auto"/>
        <w:ind w:left="-2" w:leftChars="-1" w:firstLine="480" w:firstLineChars="200"/>
        <w:outlineLvl w:val="0"/>
        <w:rPr>
          <w:rFonts w:hint="eastAsia" w:ascii="宋体" w:hAnsi="宋体" w:cs="宋体"/>
          <w:b/>
          <w:bCs/>
          <w:color w:val="auto"/>
          <w:sz w:val="24"/>
          <w:szCs w:val="24"/>
          <w:highlight w:val="none"/>
        </w:rPr>
      </w:pPr>
      <w:r>
        <w:rPr>
          <w:rFonts w:hint="eastAsia" w:ascii="宋体" w:hAnsi="宋体" w:cs="宋体"/>
          <w:bCs/>
          <w:color w:val="auto"/>
          <w:sz w:val="24"/>
          <w:szCs w:val="24"/>
          <w:highlight w:val="none"/>
        </w:rPr>
        <w:t>三、应当从工伤保险资金中支付的；应当由第三人负担的；应当由公共卫生负担的；在境外（含港澳台地区）就医的。</w:t>
      </w:r>
    </w:p>
    <w:p>
      <w:pPr>
        <w:spacing w:line="360" w:lineRule="auto"/>
        <w:ind w:firstLine="530" w:firstLineChars="221"/>
        <w:outlineLvl w:val="0"/>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（三）特别约定</w:t>
      </w:r>
    </w:p>
    <w:p>
      <w:pPr>
        <w:spacing w:line="360" w:lineRule="auto"/>
        <w:ind w:firstLine="530" w:firstLineChars="221"/>
        <w:outlineLvl w:val="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1.关于保险费交付</w:t>
      </w:r>
    </w:p>
    <w:p>
      <w:pPr>
        <w:spacing w:line="360" w:lineRule="auto"/>
        <w:ind w:firstLine="530" w:firstLineChars="221"/>
        <w:outlineLvl w:val="0"/>
        <w:rPr>
          <w:rFonts w:hint="eastAsia" w:ascii="宋体" w:hAnsi="宋体" w:cs="宋体"/>
          <w:bCs/>
          <w:color w:val="auto"/>
          <w:sz w:val="24"/>
          <w:szCs w:val="24"/>
          <w:highlight w:val="none"/>
        </w:rPr>
      </w:pPr>
      <w:r>
        <w:rPr>
          <w:rFonts w:hint="eastAsia" w:ascii="宋体" w:hAnsi="宋体" w:cs="宋体"/>
          <w:bCs/>
          <w:color w:val="auto"/>
          <w:sz w:val="24"/>
          <w:szCs w:val="24"/>
          <w:highlight w:val="none"/>
        </w:rPr>
        <w:t>投标人同意：本项目合同生效后，在约定时间内未付保险费的，不影响赔案处理。</w:t>
      </w:r>
    </w:p>
    <w:p>
      <w:pPr>
        <w:spacing w:line="360" w:lineRule="auto"/>
        <w:ind w:firstLine="530" w:firstLineChars="221"/>
        <w:outlineLvl w:val="0"/>
        <w:rPr>
          <w:rFonts w:hint="eastAsia" w:ascii="宋体" w:hAnsi="宋体" w:cs="宋体"/>
          <w:bCs/>
          <w:color w:val="auto"/>
          <w:sz w:val="24"/>
          <w:szCs w:val="24"/>
          <w:highlight w:val="none"/>
        </w:rPr>
      </w:pPr>
      <w:r>
        <w:rPr>
          <w:rFonts w:hint="eastAsia" w:ascii="宋体" w:hAnsi="宋体" w:cs="宋体"/>
          <w:color w:val="auto"/>
          <w:kern w:val="0"/>
          <w:sz w:val="24"/>
          <w:szCs w:val="24"/>
          <w:highlight w:val="none"/>
        </w:rPr>
        <w:t>2.</w:t>
      </w:r>
      <w:r>
        <w:rPr>
          <w:rFonts w:hint="eastAsia" w:ascii="宋体" w:hAnsi="宋体" w:cs="宋体"/>
          <w:bCs/>
          <w:color w:val="auto"/>
          <w:sz w:val="24"/>
          <w:szCs w:val="24"/>
          <w:highlight w:val="none"/>
        </w:rPr>
        <w:t>涉保信息披露</w:t>
      </w:r>
    </w:p>
    <w:p>
      <w:pPr>
        <w:spacing w:line="360" w:lineRule="auto"/>
        <w:ind w:firstLine="530" w:firstLineChars="221"/>
        <w:outlineLvl w:val="0"/>
        <w:rPr>
          <w:rFonts w:hint="eastAsia" w:ascii="宋体" w:hAnsi="宋体" w:cs="宋体"/>
          <w:bCs/>
          <w:color w:val="auto"/>
          <w:sz w:val="24"/>
          <w:szCs w:val="24"/>
          <w:highlight w:val="none"/>
        </w:rPr>
      </w:pPr>
      <w:r>
        <w:rPr>
          <w:rFonts w:hint="eastAsia" w:ascii="宋体" w:hAnsi="宋体" w:cs="宋体"/>
          <w:bCs/>
          <w:color w:val="auto"/>
          <w:sz w:val="24"/>
          <w:szCs w:val="24"/>
          <w:highlight w:val="none"/>
        </w:rPr>
        <w:t>（1）投标人同意，采购代理机构在本招标文件中披露的所有据以影响投标人判断风险的涉保信息是真实的，投标人据此提出己方作为未来保险人保险服务条件及服务承诺；</w:t>
      </w:r>
    </w:p>
    <w:p>
      <w:pPr>
        <w:spacing w:line="360" w:lineRule="auto"/>
        <w:ind w:firstLine="480" w:firstLineChars="200"/>
        <w:rPr>
          <w:rFonts w:hint="eastAsia" w:ascii="宋体" w:hAnsi="宋体" w:cs="宋体"/>
          <w:bCs/>
          <w:color w:val="auto"/>
          <w:sz w:val="24"/>
          <w:szCs w:val="24"/>
          <w:highlight w:val="none"/>
        </w:rPr>
      </w:pPr>
      <w:r>
        <w:rPr>
          <w:rFonts w:hint="eastAsia" w:ascii="宋体" w:hAnsi="宋体" w:cs="宋体"/>
          <w:bCs/>
          <w:color w:val="auto"/>
          <w:sz w:val="24"/>
          <w:szCs w:val="24"/>
          <w:highlight w:val="none"/>
        </w:rPr>
        <w:t>（2）投标人同意，投标人对涉保信息的进一步了解都将获得采购人和采购代理机构同意与配合；</w:t>
      </w:r>
    </w:p>
    <w:p>
      <w:pPr>
        <w:spacing w:line="360" w:lineRule="auto"/>
        <w:ind w:firstLine="480" w:firstLineChars="200"/>
        <w:rPr>
          <w:rFonts w:hint="eastAsia" w:ascii="宋体" w:hAnsi="宋体" w:cs="宋体"/>
          <w:bCs/>
          <w:color w:val="auto"/>
          <w:sz w:val="24"/>
          <w:szCs w:val="24"/>
          <w:highlight w:val="none"/>
        </w:rPr>
      </w:pPr>
      <w:r>
        <w:rPr>
          <w:rFonts w:hint="eastAsia" w:ascii="宋体" w:hAnsi="宋体" w:cs="宋体"/>
          <w:bCs/>
          <w:color w:val="auto"/>
          <w:sz w:val="24"/>
          <w:szCs w:val="24"/>
          <w:highlight w:val="none"/>
        </w:rPr>
        <w:t>（3）投标人承诺，若中标，所有涉及本项目的相关的信息将严格保密，仅限内部操作使用，任何涉保信息的泄露，均为违约行为并承担相关法律责任。</w:t>
      </w:r>
    </w:p>
    <w:p>
      <w:pPr>
        <w:spacing w:line="360" w:lineRule="auto"/>
        <w:ind w:firstLine="480" w:firstLineChars="200"/>
        <w:rPr>
          <w:rFonts w:hint="eastAsia" w:ascii="宋体" w:hAnsi="宋体" w:cs="宋体"/>
          <w:bCs/>
          <w:color w:val="auto"/>
          <w:sz w:val="24"/>
          <w:szCs w:val="24"/>
          <w:highlight w:val="none"/>
        </w:rPr>
      </w:pPr>
      <w:r>
        <w:rPr>
          <w:rFonts w:hint="eastAsia" w:ascii="宋体" w:hAnsi="宋体" w:cs="宋体"/>
          <w:color w:val="auto"/>
          <w:kern w:val="0"/>
          <w:sz w:val="24"/>
          <w:szCs w:val="24"/>
          <w:highlight w:val="none"/>
        </w:rPr>
        <w:t>3.运营报告</w:t>
      </w:r>
    </w:p>
    <w:p>
      <w:pPr>
        <w:spacing w:line="360" w:lineRule="auto"/>
        <w:ind w:firstLine="480" w:firstLineChars="200"/>
        <w:rPr>
          <w:rFonts w:hint="eastAsia" w:ascii="宋体" w:hAnsi="宋体" w:cs="宋体"/>
          <w:bCs/>
          <w:color w:val="auto"/>
          <w:sz w:val="24"/>
          <w:szCs w:val="24"/>
          <w:highlight w:val="none"/>
        </w:rPr>
      </w:pPr>
      <w:r>
        <w:rPr>
          <w:rFonts w:hint="eastAsia" w:ascii="宋体" w:hAnsi="宋体" w:cs="宋体"/>
          <w:color w:val="auto"/>
          <w:kern w:val="0"/>
          <w:sz w:val="24"/>
          <w:szCs w:val="24"/>
          <w:highlight w:val="none"/>
        </w:rPr>
        <w:t>中标保险公司于每季度首月初提交上季度大病保险运行分析报告报采购人和履约管理机构。</w:t>
      </w:r>
    </w:p>
    <w:p>
      <w:pPr>
        <w:spacing w:line="360" w:lineRule="auto"/>
        <w:ind w:firstLine="480" w:firstLineChars="200"/>
        <w:rPr>
          <w:rFonts w:hint="eastAsia" w:ascii="宋体" w:hAnsi="宋体" w:cs="宋体"/>
          <w:bCs/>
          <w:color w:val="auto"/>
          <w:sz w:val="24"/>
          <w:szCs w:val="24"/>
          <w:highlight w:val="none"/>
        </w:rPr>
      </w:pPr>
      <w:r>
        <w:rPr>
          <w:rFonts w:hint="eastAsia" w:ascii="宋体" w:hAnsi="宋体" w:cs="宋体"/>
          <w:color w:val="auto"/>
          <w:kern w:val="0"/>
          <w:sz w:val="24"/>
          <w:szCs w:val="24"/>
          <w:highlight w:val="none"/>
        </w:rPr>
        <w:t>4.保险合同</w:t>
      </w:r>
    </w:p>
    <w:p>
      <w:pPr>
        <w:spacing w:line="360" w:lineRule="auto"/>
        <w:ind w:firstLine="360" w:firstLineChars="150"/>
        <w:rPr>
          <w:rFonts w:hint="eastAsia" w:ascii="宋体" w:hAnsi="宋体" w:cs="宋体"/>
          <w:bCs/>
          <w:color w:val="auto"/>
          <w:sz w:val="24"/>
          <w:szCs w:val="24"/>
          <w:highlight w:val="none"/>
        </w:rPr>
      </w:pPr>
      <w:r>
        <w:rPr>
          <w:rFonts w:hint="eastAsia" w:ascii="宋体" w:hAnsi="宋体" w:cs="宋体"/>
          <w:bCs/>
          <w:color w:val="auto"/>
          <w:sz w:val="24"/>
          <w:szCs w:val="24"/>
          <w:highlight w:val="none"/>
        </w:rPr>
        <w:t>本招标文件与书面询问/答疑问和双方往来函电等构成保险合同；构成保险合同的所有文件被认为是一个整体，相互说明、互为补充、如条文含义不明确时，按保险法有关规定办理，当文件间相互矛盾时，以保险合同及本招标文件为准；</w:t>
      </w:r>
    </w:p>
    <w:p>
      <w:pPr>
        <w:spacing w:line="360" w:lineRule="auto"/>
        <w:ind w:firstLine="480" w:firstLineChars="200"/>
        <w:rPr>
          <w:rFonts w:hint="eastAsia" w:ascii="宋体" w:hAnsi="宋体" w:cs="宋体"/>
          <w:bCs/>
          <w:color w:val="auto"/>
          <w:sz w:val="24"/>
          <w:szCs w:val="24"/>
          <w:highlight w:val="none"/>
        </w:rPr>
      </w:pPr>
      <w:r>
        <w:rPr>
          <w:rFonts w:hint="eastAsia" w:ascii="宋体" w:hAnsi="宋体" w:cs="宋体"/>
          <w:color w:val="auto"/>
          <w:kern w:val="0"/>
          <w:sz w:val="24"/>
          <w:szCs w:val="24"/>
          <w:highlight w:val="none"/>
        </w:rPr>
        <w:t>5.履约监督管理</w:t>
      </w:r>
    </w:p>
    <w:p>
      <w:pPr>
        <w:spacing w:line="360" w:lineRule="auto"/>
        <w:ind w:firstLine="360" w:firstLineChars="150"/>
        <w:rPr>
          <w:rFonts w:hint="eastAsia" w:ascii="宋体" w:hAnsi="宋体" w:cs="宋体"/>
          <w:bCs/>
          <w:color w:val="auto"/>
          <w:sz w:val="24"/>
          <w:szCs w:val="24"/>
          <w:highlight w:val="none"/>
        </w:rPr>
      </w:pPr>
      <w:r>
        <w:rPr>
          <w:rFonts w:hint="eastAsia" w:ascii="宋体" w:hAnsi="宋体" w:cs="宋体"/>
          <w:bCs/>
          <w:color w:val="auto"/>
          <w:sz w:val="24"/>
          <w:szCs w:val="24"/>
          <w:highlight w:val="none"/>
        </w:rPr>
        <w:t>（1）中标</w:t>
      </w:r>
      <w:r>
        <w:rPr>
          <w:rFonts w:hint="eastAsia" w:ascii="宋体" w:hAnsi="宋体" w:cs="宋体"/>
          <w:color w:val="auto"/>
          <w:kern w:val="0"/>
          <w:sz w:val="24"/>
          <w:szCs w:val="24"/>
          <w:highlight w:val="none"/>
        </w:rPr>
        <w:t>保险公司接受采购人委托的履约管理机构对</w:t>
      </w:r>
      <w:r>
        <w:rPr>
          <w:rFonts w:hint="eastAsia" w:ascii="宋体" w:hAnsi="宋体" w:cs="宋体"/>
          <w:bCs/>
          <w:color w:val="auto"/>
          <w:sz w:val="24"/>
          <w:szCs w:val="24"/>
          <w:highlight w:val="none"/>
        </w:rPr>
        <w:t>开展无锡市城乡居民大病保险项目的保险服务工作实施履约监管；</w:t>
      </w:r>
    </w:p>
    <w:p>
      <w:pPr>
        <w:spacing w:line="360" w:lineRule="auto"/>
        <w:ind w:firstLine="360" w:firstLineChars="150"/>
        <w:rPr>
          <w:rFonts w:hint="eastAsia" w:ascii="宋体" w:hAnsi="宋体" w:cs="宋体"/>
          <w:bCs/>
          <w:color w:val="auto"/>
          <w:sz w:val="24"/>
          <w:szCs w:val="24"/>
          <w:highlight w:val="none"/>
        </w:rPr>
      </w:pPr>
      <w:r>
        <w:rPr>
          <w:rFonts w:hint="eastAsia" w:ascii="宋体" w:hAnsi="宋体" w:cs="宋体"/>
          <w:bCs/>
          <w:color w:val="auto"/>
          <w:sz w:val="24"/>
          <w:szCs w:val="24"/>
          <w:highlight w:val="none"/>
        </w:rPr>
        <w:t>（2）按季度向采购人和履约管理机构报告大病保险的运营情况，分析项目运作过程中存在的问题；</w:t>
      </w:r>
    </w:p>
    <w:p>
      <w:pPr>
        <w:spacing w:line="360" w:lineRule="auto"/>
        <w:ind w:firstLine="360" w:firstLineChars="150"/>
        <w:rPr>
          <w:rFonts w:hint="eastAsia" w:ascii="宋体" w:hAnsi="宋体" w:cs="宋体"/>
          <w:bCs/>
          <w:color w:val="auto"/>
          <w:sz w:val="24"/>
          <w:szCs w:val="24"/>
          <w:highlight w:val="none"/>
        </w:rPr>
      </w:pPr>
      <w:r>
        <w:rPr>
          <w:rFonts w:hint="eastAsia" w:ascii="宋体" w:hAnsi="宋体" w:cs="宋体"/>
          <w:bCs/>
          <w:color w:val="auto"/>
          <w:sz w:val="24"/>
          <w:szCs w:val="24"/>
          <w:highlight w:val="none"/>
        </w:rPr>
        <w:t>（3）对于项目运作过程中发生的重大事件、疑难赔案协调情况，及时向采购人报告；</w:t>
      </w:r>
    </w:p>
    <w:p>
      <w:pPr>
        <w:spacing w:line="360" w:lineRule="auto"/>
        <w:ind w:firstLine="360" w:firstLineChars="150"/>
        <w:rPr>
          <w:rFonts w:hint="eastAsia" w:ascii="宋体" w:hAnsi="宋体" w:cs="宋体"/>
          <w:bCs/>
          <w:color w:val="auto"/>
          <w:sz w:val="24"/>
          <w:szCs w:val="24"/>
          <w:highlight w:val="none"/>
        </w:rPr>
      </w:pPr>
      <w:r>
        <w:rPr>
          <w:rFonts w:hint="eastAsia" w:ascii="宋体" w:hAnsi="宋体" w:cs="宋体"/>
          <w:bCs/>
          <w:color w:val="auto"/>
          <w:sz w:val="24"/>
          <w:szCs w:val="24"/>
          <w:highlight w:val="none"/>
        </w:rPr>
        <w:t>（4）配合采购人和履约管理机构对本项目运营服务质量开展的履约监督和季度、年度考核等工作。</w:t>
      </w:r>
    </w:p>
    <w:p>
      <w:pPr>
        <w:spacing w:line="360" w:lineRule="auto"/>
        <w:ind w:firstLine="480" w:firstLineChars="200"/>
        <w:rPr>
          <w:rFonts w:hint="eastAsia" w:ascii="宋体" w:hAnsi="宋体" w:cs="宋体"/>
          <w:bCs/>
          <w:color w:val="auto"/>
          <w:sz w:val="24"/>
          <w:szCs w:val="24"/>
          <w:highlight w:val="none"/>
        </w:rPr>
      </w:pPr>
      <w:r>
        <w:rPr>
          <w:rFonts w:hint="eastAsia" w:ascii="宋体" w:hAnsi="宋体" w:cs="宋体"/>
          <w:bCs/>
          <w:color w:val="auto"/>
          <w:sz w:val="24"/>
          <w:szCs w:val="24"/>
          <w:highlight w:val="none"/>
        </w:rPr>
        <w:t>6.大病保险运营中心</w:t>
      </w:r>
    </w:p>
    <w:p>
      <w:pPr>
        <w:spacing w:line="360" w:lineRule="auto"/>
        <w:ind w:firstLine="480" w:firstLineChars="200"/>
        <w:rPr>
          <w:rFonts w:hint="eastAsia" w:ascii="宋体" w:hAnsi="宋体" w:cs="宋体"/>
          <w:bCs/>
          <w:color w:val="auto"/>
          <w:sz w:val="24"/>
          <w:szCs w:val="24"/>
          <w:highlight w:val="none"/>
        </w:rPr>
      </w:pPr>
      <w:r>
        <w:rPr>
          <w:rFonts w:hint="eastAsia" w:ascii="宋体" w:hAnsi="宋体"/>
          <w:bCs/>
          <w:color w:val="auto"/>
          <w:sz w:val="24"/>
          <w:szCs w:val="24"/>
          <w:highlight w:val="none"/>
        </w:rPr>
        <w:t>在项目运营期间，采购人可根据工作需求提出大病保险运营中心建立需求，标段内中标保险公司须配合采购人做好相应的工作，具体服务要求双方以书面形式进行约定；</w:t>
      </w:r>
    </w:p>
    <w:p>
      <w:pPr>
        <w:spacing w:line="360" w:lineRule="auto"/>
        <w:ind w:firstLine="480" w:firstLineChars="200"/>
        <w:rPr>
          <w:rFonts w:hint="eastAsia" w:ascii="宋体" w:hAnsi="宋体" w:cs="宋体"/>
          <w:bCs/>
          <w:color w:val="auto"/>
          <w:sz w:val="24"/>
          <w:szCs w:val="24"/>
          <w:highlight w:val="none"/>
        </w:rPr>
      </w:pPr>
      <w:r>
        <w:rPr>
          <w:rFonts w:hint="eastAsia" w:ascii="宋体" w:hAnsi="宋体" w:cs="宋体"/>
          <w:bCs/>
          <w:color w:val="auto"/>
          <w:sz w:val="24"/>
          <w:szCs w:val="24"/>
          <w:highlight w:val="none"/>
        </w:rPr>
        <w:t>7.</w:t>
      </w:r>
      <w:r>
        <w:rPr>
          <w:rFonts w:hint="eastAsia" w:ascii="宋体" w:hAnsi="宋体"/>
          <w:bCs/>
          <w:color w:val="auto"/>
          <w:sz w:val="24"/>
          <w:szCs w:val="24"/>
          <w:highlight w:val="none"/>
        </w:rPr>
        <w:t xml:space="preserve"> 本项目运营期间，中标保险公司须配合采购人按纪检监察和审计等部门提出的相关意见进行整改，且不受合同期限限制。</w:t>
      </w:r>
    </w:p>
    <w:p>
      <w:pPr>
        <w:spacing w:line="360" w:lineRule="auto"/>
        <w:ind w:firstLine="530" w:firstLineChars="221"/>
        <w:outlineLvl w:val="0"/>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（四）承办方式的相关约定</w:t>
      </w:r>
    </w:p>
    <w:p>
      <w:pPr>
        <w:spacing w:line="360" w:lineRule="auto"/>
        <w:ind w:left="-2" w:leftChars="-1" w:firstLine="480" w:firstLineChars="200"/>
        <w:outlineLvl w:val="0"/>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1.中标名额</w:t>
      </w:r>
    </w:p>
    <w:p>
      <w:pPr>
        <w:spacing w:line="360" w:lineRule="auto"/>
        <w:ind w:left="-2" w:leftChars="-1" w:firstLine="480" w:firstLineChars="200"/>
        <w:outlineLvl w:val="0"/>
        <w:rPr>
          <w:rFonts w:hint="eastAsia" w:ascii="宋体" w:hAnsi="宋体" w:cs="宋体"/>
          <w:bCs/>
          <w:color w:val="auto"/>
          <w:sz w:val="24"/>
          <w:szCs w:val="24"/>
          <w:highlight w:val="none"/>
        </w:rPr>
      </w:pPr>
      <w:r>
        <w:rPr>
          <w:rFonts w:hint="eastAsia" w:ascii="宋体" w:hAnsi="宋体" w:cs="宋体"/>
          <w:bCs/>
          <w:color w:val="auto"/>
          <w:sz w:val="24"/>
          <w:szCs w:val="24"/>
          <w:highlight w:val="none"/>
        </w:rPr>
        <w:t>本项目每标段依次确定3家中标保险公司组成无锡市城乡居民大病保险项目标段内共保体联合经营，该项目共确定9家中标保险公司共同承办无锡市城乡居民大病保险服务工作。</w:t>
      </w:r>
    </w:p>
    <w:p>
      <w:pPr>
        <w:spacing w:line="360" w:lineRule="auto"/>
        <w:ind w:left="-2" w:leftChars="-1" w:firstLine="480" w:firstLineChars="200"/>
        <w:outlineLvl w:val="0"/>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2.承保份额设置</w:t>
      </w:r>
    </w:p>
    <w:p>
      <w:pPr>
        <w:spacing w:line="360" w:lineRule="auto"/>
        <w:ind w:left="-2" w:leftChars="-1" w:firstLine="480" w:firstLineChars="200"/>
        <w:outlineLvl w:val="0"/>
        <w:rPr>
          <w:rFonts w:hint="eastAsia" w:ascii="宋体" w:hAnsi="宋体" w:cs="宋体"/>
          <w:bCs/>
          <w:color w:val="auto"/>
          <w:sz w:val="24"/>
          <w:szCs w:val="24"/>
          <w:highlight w:val="none"/>
        </w:rPr>
      </w:pPr>
      <w:r>
        <w:rPr>
          <w:rFonts w:hint="eastAsia" w:ascii="宋体" w:hAnsi="宋体" w:cs="宋体"/>
          <w:bCs/>
          <w:color w:val="auto"/>
          <w:sz w:val="24"/>
          <w:szCs w:val="24"/>
          <w:highlight w:val="none"/>
        </w:rPr>
        <w:t>各标段的承保份额分别为:</w:t>
      </w:r>
    </w:p>
    <w:p>
      <w:pPr>
        <w:spacing w:line="360" w:lineRule="auto"/>
        <w:ind w:left="-2" w:leftChars="-1" w:firstLine="480" w:firstLineChars="200"/>
        <w:outlineLvl w:val="0"/>
        <w:rPr>
          <w:rFonts w:hint="eastAsia" w:ascii="宋体" w:hAnsi="宋体" w:cs="宋体"/>
          <w:bCs/>
          <w:color w:val="auto"/>
          <w:sz w:val="24"/>
          <w:szCs w:val="24"/>
          <w:highlight w:val="none"/>
        </w:rPr>
      </w:pPr>
      <w:r>
        <w:rPr>
          <w:rFonts w:hint="eastAsia" w:ascii="宋体" w:hAnsi="宋体" w:cs="宋体"/>
          <w:bCs/>
          <w:color w:val="auto"/>
          <w:sz w:val="24"/>
          <w:szCs w:val="24"/>
          <w:highlight w:val="none"/>
        </w:rPr>
        <w:t>（1）标段一：首席（50%），共保1（30%），共保2（20%）；</w:t>
      </w:r>
    </w:p>
    <w:p>
      <w:pPr>
        <w:spacing w:line="360" w:lineRule="auto"/>
        <w:ind w:left="-2" w:leftChars="-1" w:firstLine="480" w:firstLineChars="200"/>
        <w:outlineLvl w:val="0"/>
        <w:rPr>
          <w:rFonts w:hint="eastAsia" w:ascii="宋体" w:hAnsi="宋体" w:cs="宋体"/>
          <w:bCs/>
          <w:color w:val="auto"/>
          <w:sz w:val="24"/>
          <w:szCs w:val="24"/>
          <w:highlight w:val="none"/>
        </w:rPr>
      </w:pPr>
      <w:r>
        <w:rPr>
          <w:rFonts w:hint="eastAsia" w:ascii="宋体" w:hAnsi="宋体" w:cs="宋体"/>
          <w:bCs/>
          <w:color w:val="auto"/>
          <w:sz w:val="24"/>
          <w:szCs w:val="24"/>
          <w:highlight w:val="none"/>
        </w:rPr>
        <w:t>（2）标段二：首席（50%）, 共保1（30%），共保2（20%）；</w:t>
      </w:r>
    </w:p>
    <w:p>
      <w:pPr>
        <w:spacing w:line="360" w:lineRule="auto"/>
        <w:ind w:left="-2" w:leftChars="-1" w:firstLine="480" w:firstLineChars="200"/>
        <w:outlineLvl w:val="0"/>
        <w:rPr>
          <w:rFonts w:hint="eastAsia" w:ascii="宋体" w:hAnsi="宋体" w:cs="宋体"/>
          <w:bCs/>
          <w:color w:val="auto"/>
          <w:sz w:val="24"/>
          <w:szCs w:val="24"/>
          <w:highlight w:val="none"/>
        </w:rPr>
      </w:pPr>
      <w:r>
        <w:rPr>
          <w:rFonts w:hint="eastAsia" w:ascii="宋体" w:hAnsi="宋体" w:cs="宋体"/>
          <w:bCs/>
          <w:color w:val="auto"/>
          <w:sz w:val="24"/>
          <w:szCs w:val="24"/>
          <w:highlight w:val="none"/>
        </w:rPr>
        <w:t>（3）标段三：首席（50%），共保1（30%），共保2（20%）。</w:t>
      </w:r>
    </w:p>
    <w:p>
      <w:pPr>
        <w:spacing w:line="360" w:lineRule="auto"/>
        <w:ind w:left="-2" w:leftChars="-1" w:firstLine="480" w:firstLineChars="200"/>
        <w:outlineLvl w:val="0"/>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3.服务包选择方式</w:t>
      </w:r>
    </w:p>
    <w:p>
      <w:pPr>
        <w:spacing w:line="360" w:lineRule="auto"/>
        <w:ind w:left="-2" w:leftChars="-1" w:firstLine="427" w:firstLineChars="178"/>
        <w:outlineLvl w:val="0"/>
        <w:rPr>
          <w:rFonts w:ascii="宋体" w:hAnsi="宋体" w:cs="宋体"/>
          <w:bCs/>
          <w:color w:val="auto"/>
          <w:sz w:val="24"/>
          <w:szCs w:val="24"/>
          <w:highlight w:val="none"/>
        </w:rPr>
      </w:pPr>
      <w:r>
        <w:rPr>
          <w:rFonts w:hint="eastAsia" w:ascii="宋体" w:hAnsi="宋体" w:cs="宋体"/>
          <w:bCs/>
          <w:color w:val="auto"/>
          <w:sz w:val="24"/>
          <w:szCs w:val="24"/>
          <w:highlight w:val="none"/>
        </w:rPr>
        <w:t>各</w:t>
      </w:r>
      <w:r>
        <w:rPr>
          <w:rFonts w:ascii="宋体" w:hAnsi="宋体" w:cs="宋体"/>
          <w:bCs/>
          <w:color w:val="auto"/>
          <w:sz w:val="24"/>
          <w:szCs w:val="24"/>
          <w:highlight w:val="none"/>
        </w:rPr>
        <w:t>标段中标</w:t>
      </w:r>
      <w:r>
        <w:rPr>
          <w:rFonts w:hint="eastAsia" w:ascii="宋体" w:hAnsi="宋体" w:cs="宋体"/>
          <w:bCs/>
          <w:color w:val="auto"/>
          <w:sz w:val="24"/>
          <w:szCs w:val="24"/>
          <w:highlight w:val="none"/>
        </w:rPr>
        <w:t>保险公司</w:t>
      </w:r>
      <w:r>
        <w:rPr>
          <w:rFonts w:ascii="宋体" w:hAnsi="宋体" w:cs="宋体"/>
          <w:bCs/>
          <w:color w:val="auto"/>
          <w:sz w:val="24"/>
          <w:szCs w:val="24"/>
          <w:highlight w:val="none"/>
        </w:rPr>
        <w:t>在定标结束当天按照综合得分高低依次选择一个服务</w:t>
      </w:r>
      <w:r>
        <w:rPr>
          <w:rFonts w:hint="eastAsia" w:ascii="宋体" w:hAnsi="宋体" w:cs="宋体"/>
          <w:bCs/>
          <w:color w:val="auto"/>
          <w:sz w:val="24"/>
          <w:szCs w:val="24"/>
          <w:highlight w:val="none"/>
        </w:rPr>
        <w:t>包</w:t>
      </w:r>
      <w:r>
        <w:rPr>
          <w:rFonts w:ascii="宋体" w:hAnsi="宋体" w:cs="宋体"/>
          <w:bCs/>
          <w:color w:val="auto"/>
          <w:sz w:val="24"/>
          <w:szCs w:val="24"/>
          <w:highlight w:val="none"/>
        </w:rPr>
        <w:t>，得分第一名的优先选择服务</w:t>
      </w:r>
      <w:r>
        <w:rPr>
          <w:rFonts w:hint="eastAsia" w:ascii="宋体" w:hAnsi="宋体" w:cs="宋体"/>
          <w:bCs/>
          <w:color w:val="auto"/>
          <w:sz w:val="24"/>
          <w:szCs w:val="24"/>
          <w:highlight w:val="none"/>
        </w:rPr>
        <w:t>包</w:t>
      </w:r>
      <w:r>
        <w:rPr>
          <w:rFonts w:ascii="宋体" w:hAnsi="宋体" w:cs="宋体"/>
          <w:bCs/>
          <w:color w:val="auto"/>
          <w:sz w:val="24"/>
          <w:szCs w:val="24"/>
          <w:highlight w:val="none"/>
        </w:rPr>
        <w:t>，然后由第二名选择剩余的服务</w:t>
      </w:r>
      <w:r>
        <w:rPr>
          <w:rFonts w:hint="eastAsia" w:ascii="宋体" w:hAnsi="宋体" w:cs="宋体"/>
          <w:bCs/>
          <w:color w:val="auto"/>
          <w:sz w:val="24"/>
          <w:szCs w:val="24"/>
          <w:highlight w:val="none"/>
        </w:rPr>
        <w:t>包</w:t>
      </w:r>
      <w:r>
        <w:rPr>
          <w:rFonts w:ascii="宋体" w:hAnsi="宋体" w:cs="宋体"/>
          <w:bCs/>
          <w:color w:val="auto"/>
          <w:sz w:val="24"/>
          <w:szCs w:val="24"/>
          <w:highlight w:val="none"/>
        </w:rPr>
        <w:t>，依次类推。</w:t>
      </w:r>
    </w:p>
    <w:p>
      <w:pPr>
        <w:spacing w:line="360" w:lineRule="auto"/>
        <w:ind w:left="-2" w:leftChars="-1" w:firstLine="480" w:firstLineChars="200"/>
        <w:outlineLvl w:val="0"/>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4.采购人按考核办法，对中标保险公司开展考核工作。</w:t>
      </w:r>
    </w:p>
    <w:p>
      <w:pPr>
        <w:spacing w:line="360" w:lineRule="auto"/>
        <w:ind w:left="-2" w:leftChars="-1" w:firstLine="480" w:firstLineChars="200"/>
        <w:outlineLvl w:val="0"/>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5.运作模式</w:t>
      </w:r>
    </w:p>
    <w:p>
      <w:pPr>
        <w:spacing w:line="360" w:lineRule="auto"/>
        <w:ind w:left="-2" w:leftChars="-1" w:firstLine="480" w:firstLineChars="200"/>
        <w:outlineLvl w:val="0"/>
        <w:rPr>
          <w:rFonts w:hint="eastAsia" w:ascii="宋体" w:hAnsi="宋体" w:cs="宋体"/>
          <w:bCs/>
          <w:color w:val="auto"/>
          <w:sz w:val="24"/>
          <w:szCs w:val="24"/>
          <w:highlight w:val="none"/>
        </w:rPr>
      </w:pPr>
      <w:r>
        <w:rPr>
          <w:rFonts w:hint="eastAsia" w:ascii="宋体" w:hAnsi="宋体" w:cs="宋体"/>
          <w:bCs/>
          <w:color w:val="auto"/>
          <w:sz w:val="24"/>
          <w:szCs w:val="24"/>
          <w:highlight w:val="none"/>
        </w:rPr>
        <w:t>共保体运作模式为“首席承保制框架内的分工合作制”，各标段首席保险公司与该标段从共保成员单位共同签订共保协议，按照协议约定共同做好各标段的大病保险项目的服务工作。</w:t>
      </w:r>
    </w:p>
    <w:p>
      <w:pPr>
        <w:spacing w:line="360" w:lineRule="auto"/>
        <w:ind w:left="-2" w:leftChars="-1" w:firstLine="480" w:firstLineChars="200"/>
        <w:outlineLvl w:val="0"/>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各标段的运营成本以对应标段首席保险公司的中标价为计算基数，标段内共保体成员单位的运营成本=首席保险公司的中标价×承保份额。</w:t>
      </w:r>
    </w:p>
    <w:p>
      <w:pPr>
        <w:spacing w:line="360" w:lineRule="auto"/>
        <w:ind w:left="-2" w:leftChars="-1" w:firstLine="480" w:firstLineChars="200"/>
        <w:outlineLvl w:val="0"/>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6.共保协议必须经过采购人及采购代理机构的确认。</w:t>
      </w:r>
    </w:p>
    <w:p>
      <w:pPr>
        <w:spacing w:line="360" w:lineRule="auto"/>
        <w:ind w:firstLine="480" w:firstLineChars="200"/>
        <w:outlineLvl w:val="0"/>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7.行业自律</w:t>
      </w:r>
    </w:p>
    <w:p>
      <w:pPr>
        <w:spacing w:line="360" w:lineRule="auto"/>
        <w:ind w:firstLine="480" w:firstLineChars="200"/>
        <w:outlineLvl w:val="0"/>
        <w:rPr>
          <w:rFonts w:hint="eastAsia" w:ascii="宋体" w:hAnsi="宋体" w:cs="宋体"/>
          <w:bCs/>
          <w:color w:val="auto"/>
          <w:sz w:val="24"/>
          <w:szCs w:val="24"/>
          <w:highlight w:val="none"/>
        </w:rPr>
      </w:pPr>
      <w:r>
        <w:rPr>
          <w:rFonts w:hint="eastAsia" w:ascii="宋体" w:hAnsi="宋体" w:cs="宋体"/>
          <w:bCs/>
          <w:color w:val="auto"/>
          <w:sz w:val="24"/>
          <w:szCs w:val="24"/>
          <w:highlight w:val="none"/>
        </w:rPr>
        <w:t>中标保险公司在合同有效期内，应接受采购人定期或不定期的检查考核以及本项目的履约管理机构的履约管理。如发现保险公司有送礼、回扣、贬损他人、价格欺诈、非共保体出单、不及时上报投保理赔报表及相关资料等行为或一年内发生多次有效投诉的，一经查实，应终止其承保人的资格，情节严重的，取消中标资格，如有违规违纪行为的，按有关规定严肃查处。</w:t>
      </w:r>
    </w:p>
    <w:p>
      <w:pPr>
        <w:spacing w:line="360" w:lineRule="auto"/>
        <w:ind w:firstLine="480" w:firstLineChars="200"/>
        <w:outlineLvl w:val="0"/>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8.退出机制</w:t>
      </w:r>
    </w:p>
    <w:p>
      <w:pPr>
        <w:spacing w:line="360" w:lineRule="auto"/>
        <w:ind w:left="-2" w:leftChars="-1" w:firstLine="480" w:firstLineChars="200"/>
        <w:outlineLvl w:val="0"/>
        <w:rPr>
          <w:rFonts w:hint="eastAsia" w:ascii="宋体" w:hAnsi="宋体" w:cs="宋体"/>
          <w:bCs/>
          <w:color w:val="auto"/>
          <w:sz w:val="24"/>
          <w:szCs w:val="24"/>
          <w:highlight w:val="none"/>
        </w:rPr>
      </w:pPr>
      <w:r>
        <w:rPr>
          <w:rFonts w:hint="eastAsia" w:ascii="宋体" w:hAnsi="宋体" w:cs="宋体"/>
          <w:bCs/>
          <w:color w:val="auto"/>
          <w:sz w:val="24"/>
          <w:szCs w:val="24"/>
          <w:highlight w:val="none"/>
        </w:rPr>
        <w:t>本项目建立风险控制机制，因违反合同约定，或发生其他严重损害被保险人权益的情况，采购人可以提前终止或解除合同，并依法追究责任。</w:t>
      </w:r>
    </w:p>
    <w:p>
      <w:pPr>
        <w:spacing w:line="360" w:lineRule="auto"/>
        <w:ind w:firstLine="480" w:firstLineChars="200"/>
        <w:outlineLvl w:val="0"/>
        <w:rPr>
          <w:rFonts w:hint="eastAsia" w:ascii="宋体" w:hAnsi="宋体" w:cs="宋体"/>
          <w:bCs/>
          <w:color w:val="auto"/>
          <w:sz w:val="24"/>
          <w:szCs w:val="24"/>
          <w:highlight w:val="none"/>
        </w:rPr>
      </w:pPr>
      <w:r>
        <w:rPr>
          <w:rFonts w:hint="eastAsia" w:ascii="宋体" w:hAnsi="宋体" w:cs="宋体"/>
          <w:bCs/>
          <w:color w:val="auto"/>
          <w:sz w:val="24"/>
          <w:szCs w:val="24"/>
          <w:highlight w:val="none"/>
        </w:rPr>
        <w:t>（1）首席保险公司</w:t>
      </w:r>
    </w:p>
    <w:p>
      <w:pPr>
        <w:spacing w:line="360" w:lineRule="auto"/>
        <w:ind w:left="-2" w:leftChars="-1" w:firstLine="480" w:firstLineChars="200"/>
        <w:outlineLvl w:val="0"/>
        <w:rPr>
          <w:rFonts w:hint="eastAsia" w:ascii="宋体" w:hAnsi="宋体" w:cs="宋体"/>
          <w:bCs/>
          <w:color w:val="auto"/>
          <w:sz w:val="24"/>
          <w:szCs w:val="24"/>
          <w:highlight w:val="none"/>
        </w:rPr>
      </w:pPr>
      <w:r>
        <w:rPr>
          <w:rFonts w:hint="eastAsia" w:ascii="宋体" w:hAnsi="宋体" w:cs="宋体"/>
          <w:bCs/>
          <w:color w:val="auto"/>
          <w:sz w:val="24"/>
          <w:szCs w:val="24"/>
          <w:highlight w:val="none"/>
        </w:rPr>
        <w:t>首席保险公司因违反合同约定，严重损害被保险人权益，合同的继续履行将损害国家利益和社会公共利益的，采购人有权终止合同。首席保险公司由采购人决定是否由相应标段的第二名递补，其承保份额由采购人决定分配，首席保险公司应及时做好退出衔接手续。</w:t>
      </w:r>
    </w:p>
    <w:p>
      <w:pPr>
        <w:spacing w:line="360" w:lineRule="auto"/>
        <w:ind w:firstLine="480" w:firstLineChars="200"/>
        <w:outlineLvl w:val="0"/>
        <w:rPr>
          <w:rFonts w:hint="eastAsia" w:ascii="宋体" w:hAnsi="宋体" w:cs="宋体"/>
          <w:bCs/>
          <w:color w:val="auto"/>
          <w:sz w:val="24"/>
          <w:szCs w:val="24"/>
          <w:highlight w:val="none"/>
        </w:rPr>
      </w:pPr>
      <w:r>
        <w:rPr>
          <w:rFonts w:hint="eastAsia" w:ascii="宋体" w:hAnsi="宋体" w:cs="宋体"/>
          <w:bCs/>
          <w:color w:val="auto"/>
          <w:sz w:val="24"/>
          <w:szCs w:val="24"/>
          <w:highlight w:val="none"/>
        </w:rPr>
        <w:t>（2）非首席保险公司</w:t>
      </w:r>
    </w:p>
    <w:p>
      <w:pPr>
        <w:spacing w:line="360" w:lineRule="auto"/>
        <w:ind w:left="-2" w:leftChars="-1" w:firstLine="480" w:firstLineChars="200"/>
        <w:outlineLvl w:val="0"/>
        <w:rPr>
          <w:rFonts w:hint="eastAsia" w:ascii="宋体" w:hAnsi="宋体" w:cs="宋体"/>
          <w:bCs/>
          <w:color w:val="auto"/>
          <w:sz w:val="24"/>
          <w:szCs w:val="24"/>
          <w:highlight w:val="none"/>
        </w:rPr>
      </w:pPr>
      <w:r>
        <w:rPr>
          <w:rFonts w:hint="eastAsia" w:ascii="宋体" w:hAnsi="宋体" w:cs="宋体"/>
          <w:bCs/>
          <w:color w:val="auto"/>
          <w:sz w:val="24"/>
          <w:szCs w:val="24"/>
          <w:highlight w:val="none"/>
        </w:rPr>
        <w:t>非首席保险公司因违反合同约定，严重损害被保险人权益，合同的继续履行将损害国家利益和社会公共利益的，采购人有权终止合同，其承保份额由采购人决定分配，并应及时做好退出衔接手续。</w:t>
      </w:r>
    </w:p>
    <w:p>
      <w:pPr>
        <w:spacing w:line="360" w:lineRule="auto"/>
        <w:ind w:firstLine="480" w:firstLineChars="200"/>
        <w:outlineLvl w:val="0"/>
        <w:rPr>
          <w:rFonts w:hint="eastAsia" w:ascii="宋体" w:hAnsi="宋体" w:cs="宋体"/>
          <w:bCs/>
          <w:color w:val="auto"/>
          <w:sz w:val="24"/>
          <w:szCs w:val="24"/>
          <w:highlight w:val="none"/>
        </w:rPr>
      </w:pPr>
      <w:r>
        <w:rPr>
          <w:rFonts w:hint="eastAsia" w:ascii="宋体" w:hAnsi="宋体" w:cs="宋体"/>
          <w:b/>
          <w:bCs/>
          <w:color w:val="auto"/>
          <w:sz w:val="24"/>
          <w:szCs w:val="24"/>
          <w:highlight w:val="none"/>
        </w:rPr>
        <w:t>9.重新启动招标程序</w:t>
      </w:r>
    </w:p>
    <w:p>
      <w:pPr>
        <w:spacing w:line="360" w:lineRule="auto"/>
        <w:ind w:firstLine="480" w:firstLineChars="200"/>
        <w:outlineLvl w:val="0"/>
        <w:rPr>
          <w:rFonts w:ascii="黑体" w:eastAsia="黑体"/>
          <w:bCs/>
          <w:color w:val="auto"/>
          <w:sz w:val="28"/>
          <w:szCs w:val="28"/>
          <w:highlight w:val="none"/>
        </w:rPr>
      </w:pPr>
      <w:r>
        <w:rPr>
          <w:rFonts w:hint="eastAsia" w:ascii="宋体" w:hAnsi="宋体" w:cs="宋体"/>
          <w:bCs/>
          <w:color w:val="auto"/>
          <w:sz w:val="24"/>
          <w:szCs w:val="24"/>
          <w:highlight w:val="none"/>
        </w:rPr>
        <w:t>若标段内三家中标保险公司均退出，采购人有权终止合同，本项目该标段重新启动招标程序。</w:t>
      </w:r>
    </w:p>
    <w:p>
      <w:pPr>
        <w:spacing w:line="360" w:lineRule="auto"/>
        <w:ind w:left="-2" w:leftChars="-1" w:firstLine="560" w:firstLineChars="200"/>
        <w:jc w:val="center"/>
        <w:outlineLvl w:val="0"/>
        <w:rPr>
          <w:rFonts w:ascii="黑体" w:eastAsia="黑体"/>
          <w:bCs/>
          <w:color w:val="auto"/>
          <w:sz w:val="28"/>
          <w:szCs w:val="28"/>
          <w:highlight w:val="none"/>
        </w:rPr>
      </w:pPr>
      <w:r>
        <w:rPr>
          <w:rFonts w:hint="eastAsia" w:ascii="黑体" w:eastAsia="黑体"/>
          <w:bCs/>
          <w:color w:val="auto"/>
          <w:sz w:val="28"/>
          <w:szCs w:val="28"/>
          <w:highlight w:val="none"/>
        </w:rPr>
        <w:t>四、无锡市城乡居民大病保险项目保险</w:t>
      </w:r>
      <w:r>
        <w:rPr>
          <w:rFonts w:ascii="黑体" w:eastAsia="黑体"/>
          <w:bCs/>
          <w:color w:val="auto"/>
          <w:sz w:val="28"/>
          <w:szCs w:val="28"/>
          <w:highlight w:val="none"/>
        </w:rPr>
        <w:t>合同</w:t>
      </w:r>
    </w:p>
    <w:p>
      <w:pPr>
        <w:spacing w:line="360" w:lineRule="auto"/>
        <w:ind w:firstLine="420"/>
        <w:jc w:val="center"/>
        <w:rPr>
          <w:rFonts w:ascii="黑体" w:hAnsi="黑体" w:eastAsia="黑体"/>
          <w:color w:val="auto"/>
          <w:sz w:val="24"/>
          <w:szCs w:val="24"/>
          <w:highlight w:val="none"/>
        </w:rPr>
      </w:pPr>
      <w:r>
        <w:rPr>
          <w:rFonts w:hint="eastAsia" w:ascii="黑体" w:hAnsi="黑体" w:eastAsia="黑体"/>
          <w:color w:val="auto"/>
          <w:sz w:val="24"/>
          <w:szCs w:val="24"/>
          <w:highlight w:val="none"/>
        </w:rPr>
        <w:t>（本合同为基本格式，正式内容待公开招标后填制）</w:t>
      </w:r>
    </w:p>
    <w:p>
      <w:pPr>
        <w:spacing w:line="360" w:lineRule="auto"/>
        <w:ind w:left="1800" w:hanging="1800" w:hangingChars="750"/>
        <w:rPr>
          <w:bCs/>
          <w:color w:val="auto"/>
          <w:sz w:val="24"/>
          <w:szCs w:val="24"/>
          <w:highlight w:val="none"/>
        </w:rPr>
      </w:pPr>
    </w:p>
    <w:p>
      <w:pPr>
        <w:spacing w:line="360" w:lineRule="auto"/>
        <w:ind w:firstLine="480" w:firstLineChars="200"/>
        <w:jc w:val="left"/>
        <w:rPr>
          <w:bCs/>
          <w:color w:val="auto"/>
          <w:sz w:val="24"/>
          <w:szCs w:val="24"/>
          <w:highlight w:val="none"/>
        </w:rPr>
      </w:pPr>
      <w:r>
        <w:rPr>
          <w:rFonts w:hint="eastAsia"/>
          <w:bCs/>
          <w:color w:val="auto"/>
          <w:sz w:val="24"/>
          <w:szCs w:val="24"/>
          <w:highlight w:val="none"/>
        </w:rPr>
        <w:t>甲方（采购人）：无锡市医疗保障基金管理中心</w:t>
      </w:r>
    </w:p>
    <w:p>
      <w:pPr>
        <w:spacing w:line="360" w:lineRule="auto"/>
        <w:ind w:firstLine="480" w:firstLineChars="200"/>
        <w:jc w:val="left"/>
        <w:rPr>
          <w:bCs/>
          <w:color w:val="auto"/>
          <w:sz w:val="24"/>
          <w:szCs w:val="24"/>
          <w:highlight w:val="none"/>
        </w:rPr>
      </w:pPr>
      <w:r>
        <w:rPr>
          <w:rFonts w:hint="eastAsia"/>
          <w:bCs/>
          <w:color w:val="auto"/>
          <w:sz w:val="24"/>
          <w:szCs w:val="24"/>
          <w:highlight w:val="none"/>
        </w:rPr>
        <w:t>地址：</w:t>
      </w:r>
    </w:p>
    <w:p>
      <w:pPr>
        <w:widowControl/>
        <w:autoSpaceDN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乙方（中标单位）：</w:t>
      </w:r>
    </w:p>
    <w:p>
      <w:pPr>
        <w:widowControl/>
        <w:autoSpaceDN w:val="0"/>
        <w:spacing w:line="360" w:lineRule="auto"/>
        <w:ind w:firstLine="480" w:firstLineChars="200"/>
        <w:rPr>
          <w:rFonts w:ascii="宋体" w:hAnsi="宋体" w:cs="宋体"/>
          <w:color w:val="auto"/>
          <w:sz w:val="24"/>
          <w:szCs w:val="24"/>
          <w:highlight w:val="none"/>
        </w:rPr>
      </w:pPr>
      <w:r>
        <w:rPr>
          <w:rFonts w:hint="eastAsia"/>
          <w:bCs/>
          <w:color w:val="auto"/>
          <w:sz w:val="24"/>
          <w:szCs w:val="24"/>
          <w:highlight w:val="none"/>
        </w:rPr>
        <w:t>地址</w:t>
      </w:r>
      <w:r>
        <w:rPr>
          <w:rFonts w:hint="eastAsia" w:ascii="宋体" w:hAnsi="宋体" w:cs="宋体"/>
          <w:color w:val="auto"/>
          <w:sz w:val="24"/>
          <w:szCs w:val="24"/>
          <w:highlight w:val="none"/>
        </w:rPr>
        <w:t>：</w:t>
      </w:r>
    </w:p>
    <w:p>
      <w:pPr>
        <w:spacing w:line="360" w:lineRule="auto"/>
        <w:ind w:firstLine="480" w:firstLineChars="200"/>
        <w:jc w:val="left"/>
        <w:rPr>
          <w:bCs/>
          <w:color w:val="auto"/>
          <w:sz w:val="24"/>
          <w:szCs w:val="24"/>
          <w:highlight w:val="none"/>
        </w:rPr>
      </w:pPr>
      <w:r>
        <w:rPr>
          <w:rFonts w:hint="eastAsia"/>
          <w:bCs/>
          <w:color w:val="auto"/>
          <w:sz w:val="24"/>
          <w:szCs w:val="24"/>
          <w:highlight w:val="none"/>
        </w:rPr>
        <w:t>丙方（见证人）：恒泰保险经纪有限公司</w:t>
      </w:r>
    </w:p>
    <w:p>
      <w:pPr>
        <w:spacing w:line="360" w:lineRule="auto"/>
        <w:ind w:firstLine="480" w:firstLineChars="200"/>
        <w:jc w:val="left"/>
        <w:rPr>
          <w:bCs/>
          <w:color w:val="auto"/>
          <w:sz w:val="24"/>
          <w:szCs w:val="24"/>
          <w:highlight w:val="none"/>
        </w:rPr>
      </w:pPr>
      <w:r>
        <w:rPr>
          <w:rFonts w:hint="eastAsia"/>
          <w:bCs/>
          <w:color w:val="auto"/>
          <w:sz w:val="24"/>
          <w:szCs w:val="24"/>
          <w:highlight w:val="none"/>
        </w:rPr>
        <w:t>地址：</w:t>
      </w:r>
      <w:r>
        <w:rPr>
          <w:bCs/>
          <w:color w:val="auto"/>
          <w:sz w:val="24"/>
          <w:szCs w:val="24"/>
          <w:highlight w:val="none"/>
        </w:rPr>
        <w:t xml:space="preserve"> </w:t>
      </w:r>
    </w:p>
    <w:p>
      <w:pPr>
        <w:pStyle w:val="34"/>
        <w:spacing w:line="360" w:lineRule="auto"/>
        <w:ind w:firstLine="480" w:firstLineChars="200"/>
        <w:rPr>
          <w:rFonts w:hAnsi="宋体" w:cs="宋体"/>
          <w:color w:val="auto"/>
          <w:sz w:val="24"/>
          <w:szCs w:val="32"/>
          <w:highlight w:val="none"/>
        </w:rPr>
      </w:pPr>
      <w:r>
        <w:rPr>
          <w:rFonts w:hAnsi="宋体"/>
          <w:bCs/>
          <w:color w:val="auto"/>
          <w:sz w:val="24"/>
          <w:szCs w:val="24"/>
          <w:highlight w:val="none"/>
        </w:rPr>
        <w:t>根据《中华人民共和国政府采购法》</w:t>
      </w:r>
      <w:r>
        <w:rPr>
          <w:rFonts w:hint="eastAsia" w:hAnsi="宋体"/>
          <w:bCs/>
          <w:color w:val="auto"/>
          <w:sz w:val="24"/>
          <w:szCs w:val="24"/>
          <w:highlight w:val="none"/>
        </w:rPr>
        <w:t>和</w:t>
      </w:r>
      <w:r>
        <w:rPr>
          <w:rFonts w:hAnsi="宋体"/>
          <w:bCs/>
          <w:color w:val="auto"/>
          <w:sz w:val="24"/>
          <w:szCs w:val="24"/>
          <w:highlight w:val="none"/>
        </w:rPr>
        <w:t>《中华人民共和国</w:t>
      </w:r>
      <w:r>
        <w:rPr>
          <w:rFonts w:hint="eastAsia" w:hAnsi="宋体"/>
          <w:bCs/>
          <w:color w:val="auto"/>
          <w:sz w:val="24"/>
          <w:szCs w:val="24"/>
          <w:highlight w:val="none"/>
        </w:rPr>
        <w:t>民法典</w:t>
      </w:r>
      <w:r>
        <w:rPr>
          <w:rFonts w:hAnsi="宋体"/>
          <w:bCs/>
          <w:color w:val="auto"/>
          <w:sz w:val="24"/>
          <w:szCs w:val="24"/>
          <w:highlight w:val="none"/>
        </w:rPr>
        <w:t>》</w:t>
      </w:r>
      <w:r>
        <w:rPr>
          <w:rFonts w:hint="eastAsia" w:hAnsi="宋体"/>
          <w:bCs/>
          <w:color w:val="auto"/>
          <w:sz w:val="24"/>
          <w:szCs w:val="24"/>
          <w:highlight w:val="none"/>
        </w:rPr>
        <w:t>的</w:t>
      </w:r>
      <w:r>
        <w:rPr>
          <w:rFonts w:hAnsi="宋体"/>
          <w:bCs/>
          <w:color w:val="auto"/>
          <w:sz w:val="24"/>
          <w:szCs w:val="24"/>
          <w:highlight w:val="none"/>
        </w:rPr>
        <w:t>规定，</w:t>
      </w:r>
      <w:r>
        <w:rPr>
          <w:rFonts w:hint="eastAsia" w:hAnsi="宋体"/>
          <w:bCs/>
          <w:color w:val="auto"/>
          <w:sz w:val="24"/>
          <w:szCs w:val="24"/>
          <w:highlight w:val="none"/>
        </w:rPr>
        <w:t>为做好无锡市城乡居民大病保险项目服务工作，经</w:t>
      </w:r>
      <w:r>
        <w:rPr>
          <w:rFonts w:hAnsi="宋体"/>
          <w:bCs/>
          <w:color w:val="auto"/>
          <w:sz w:val="24"/>
          <w:szCs w:val="24"/>
          <w:highlight w:val="none"/>
        </w:rPr>
        <w:t>甲乙双方友好协商，本着</w:t>
      </w:r>
      <w:r>
        <w:rPr>
          <w:rFonts w:hint="eastAsia" w:hAnsi="宋体"/>
          <w:bCs/>
          <w:color w:val="auto"/>
          <w:sz w:val="24"/>
          <w:szCs w:val="24"/>
          <w:highlight w:val="none"/>
        </w:rPr>
        <w:t>公平、自愿、</w:t>
      </w:r>
      <w:r>
        <w:rPr>
          <w:rFonts w:hAnsi="宋体"/>
          <w:bCs/>
          <w:color w:val="auto"/>
          <w:sz w:val="24"/>
          <w:szCs w:val="24"/>
          <w:highlight w:val="none"/>
        </w:rPr>
        <w:t>诚实守信的原则，就无锡市城乡居民大病保险项目签订</w:t>
      </w:r>
      <w:r>
        <w:rPr>
          <w:rFonts w:hint="eastAsia" w:hAnsi="宋体"/>
          <w:bCs/>
          <w:color w:val="auto"/>
          <w:sz w:val="24"/>
          <w:szCs w:val="24"/>
          <w:highlight w:val="none"/>
        </w:rPr>
        <w:t>本合同</w:t>
      </w:r>
      <w:r>
        <w:rPr>
          <w:rFonts w:hAnsi="宋体"/>
          <w:bCs/>
          <w:color w:val="auto"/>
          <w:sz w:val="24"/>
          <w:szCs w:val="24"/>
          <w:highlight w:val="none"/>
        </w:rPr>
        <w:t>：</w:t>
      </w:r>
    </w:p>
    <w:p>
      <w:pPr>
        <w:pStyle w:val="34"/>
        <w:spacing w:line="360" w:lineRule="auto"/>
        <w:ind w:firstLine="470" w:firstLineChars="196"/>
        <w:rPr>
          <w:rFonts w:hint="eastAsia" w:hAnsi="宋体" w:cs="宋体"/>
          <w:b/>
          <w:color w:val="auto"/>
          <w:sz w:val="24"/>
          <w:szCs w:val="32"/>
          <w:highlight w:val="none"/>
        </w:rPr>
      </w:pPr>
      <w:r>
        <w:rPr>
          <w:rFonts w:hint="eastAsia" w:hAnsi="宋体" w:cs="宋体"/>
          <w:b/>
          <w:color w:val="auto"/>
          <w:sz w:val="24"/>
          <w:szCs w:val="32"/>
          <w:highlight w:val="none"/>
        </w:rPr>
        <w:t>第一条 服务内容</w:t>
      </w:r>
    </w:p>
    <w:p>
      <w:pPr>
        <w:pStyle w:val="34"/>
        <w:spacing w:line="360" w:lineRule="auto"/>
        <w:ind w:firstLine="470" w:firstLineChars="196"/>
        <w:rPr>
          <w:rFonts w:hint="eastAsia" w:hAnsi="宋体" w:cs="宋体"/>
          <w:b/>
          <w:color w:val="auto"/>
          <w:sz w:val="24"/>
          <w:szCs w:val="32"/>
          <w:highlight w:val="none"/>
        </w:rPr>
      </w:pPr>
      <w:r>
        <w:rPr>
          <w:rFonts w:hint="eastAsia" w:hAnsi="宋体" w:cs="宋体"/>
          <w:b/>
          <w:color w:val="auto"/>
          <w:sz w:val="24"/>
          <w:szCs w:val="32"/>
          <w:highlight w:val="none"/>
        </w:rPr>
        <w:t xml:space="preserve">第二条 </w:t>
      </w:r>
      <w:r>
        <w:rPr>
          <w:rFonts w:hint="eastAsia" w:hAnsi="宋体" w:cs="宋体"/>
          <w:b/>
          <w:color w:val="auto"/>
          <w:sz w:val="24"/>
          <w:szCs w:val="32"/>
          <w:highlight w:val="none"/>
          <w:lang w:eastAsia="zh-CN"/>
        </w:rPr>
        <w:t>承保标段</w:t>
      </w:r>
      <w:r>
        <w:rPr>
          <w:rFonts w:hint="eastAsia" w:hAnsi="宋体" w:cs="宋体"/>
          <w:b/>
          <w:color w:val="auto"/>
          <w:sz w:val="24"/>
          <w:szCs w:val="32"/>
          <w:highlight w:val="none"/>
        </w:rPr>
        <w:t>和承保比例</w:t>
      </w:r>
    </w:p>
    <w:p>
      <w:pPr>
        <w:spacing w:line="360" w:lineRule="auto"/>
        <w:ind w:left="-2" w:leftChars="-1" w:firstLine="480" w:firstLineChars="200"/>
        <w:outlineLvl w:val="0"/>
        <w:rPr>
          <w:rFonts w:hint="eastAsia" w:ascii="宋体" w:hAnsi="宋体" w:cs="宋体"/>
          <w:b/>
          <w:color w:val="auto"/>
          <w:kern w:val="0"/>
          <w:sz w:val="24"/>
          <w:szCs w:val="32"/>
          <w:highlight w:val="none"/>
        </w:rPr>
      </w:pPr>
      <w:r>
        <w:rPr>
          <w:rFonts w:hint="eastAsia" w:ascii="宋体" w:hAnsi="宋体" w:cs="宋体"/>
          <w:b/>
          <w:color w:val="auto"/>
          <w:kern w:val="0"/>
          <w:sz w:val="24"/>
          <w:szCs w:val="32"/>
          <w:highlight w:val="none"/>
        </w:rPr>
        <w:t xml:space="preserve">第三条 大病保险适用条款 </w:t>
      </w:r>
    </w:p>
    <w:p>
      <w:pPr>
        <w:spacing w:line="360" w:lineRule="auto"/>
        <w:ind w:left="-2" w:leftChars="-1" w:firstLine="480" w:firstLineChars="200"/>
        <w:outlineLvl w:val="0"/>
        <w:rPr>
          <w:rFonts w:hint="eastAsia" w:hAnsi="宋体" w:cs="宋体"/>
          <w:color w:val="auto"/>
          <w:sz w:val="24"/>
          <w:szCs w:val="32"/>
          <w:highlight w:val="none"/>
        </w:rPr>
      </w:pPr>
      <w:r>
        <w:rPr>
          <w:rFonts w:hint="eastAsia" w:hAnsi="宋体" w:cs="宋体"/>
          <w:b/>
          <w:color w:val="auto"/>
          <w:sz w:val="24"/>
          <w:szCs w:val="32"/>
          <w:highlight w:val="none"/>
        </w:rPr>
        <w:t>第四条　筹资标准</w:t>
      </w:r>
      <w:r>
        <w:rPr>
          <w:rFonts w:hint="eastAsia" w:hAnsi="宋体" w:cs="宋体"/>
          <w:color w:val="auto"/>
          <w:sz w:val="24"/>
          <w:szCs w:val="32"/>
          <w:highlight w:val="none"/>
        </w:rPr>
        <w:t xml:space="preserve"> </w:t>
      </w:r>
    </w:p>
    <w:p>
      <w:pPr>
        <w:spacing w:line="360" w:lineRule="auto"/>
        <w:ind w:left="-2" w:leftChars="-1" w:firstLine="480" w:firstLineChars="200"/>
        <w:outlineLvl w:val="0"/>
        <w:rPr>
          <w:rFonts w:hint="eastAsia" w:ascii="宋体" w:hAnsi="宋体"/>
          <w:bCs/>
          <w:color w:val="auto"/>
          <w:sz w:val="24"/>
          <w:szCs w:val="24"/>
          <w:highlight w:val="none"/>
        </w:rPr>
      </w:pPr>
      <w:r>
        <w:rPr>
          <w:rFonts w:hint="eastAsia" w:ascii="宋体" w:hAnsi="宋体"/>
          <w:bCs/>
          <w:color w:val="auto"/>
          <w:sz w:val="24"/>
          <w:szCs w:val="24"/>
          <w:highlight w:val="none"/>
        </w:rPr>
        <w:t>2023年大病保险筹资标准暂定为居民医保每人每年40元，职工医保每人每年120元，2024年至2025年期间的筹资标准，</w:t>
      </w:r>
      <w:r>
        <w:rPr>
          <w:rFonts w:ascii="宋体" w:hAnsi="宋体"/>
          <w:bCs/>
          <w:color w:val="auto"/>
          <w:sz w:val="24"/>
          <w:szCs w:val="24"/>
          <w:highlight w:val="none"/>
        </w:rPr>
        <w:t>由市医疗保障局会同市财政局每年根据国家和省规定的最低标准，同时结合各区域经济社会发展水平、医疗保险筹资能力、患大病发生高额医疗费用的情况、基本医疗保险补偿水平，以及大病保险保障水平等因素确定。</w:t>
      </w:r>
    </w:p>
    <w:p>
      <w:pPr>
        <w:pStyle w:val="34"/>
        <w:spacing w:line="360" w:lineRule="auto"/>
        <w:ind w:firstLine="480" w:firstLineChars="200"/>
        <w:rPr>
          <w:rFonts w:hint="eastAsia" w:hAnsi="宋体"/>
          <w:bCs/>
          <w:color w:val="auto"/>
          <w:sz w:val="24"/>
          <w:szCs w:val="24"/>
          <w:highlight w:val="none"/>
        </w:rPr>
      </w:pPr>
      <w:r>
        <w:rPr>
          <w:rFonts w:hint="eastAsia" w:hAnsi="宋体"/>
          <w:bCs/>
          <w:color w:val="auto"/>
          <w:sz w:val="24"/>
          <w:szCs w:val="24"/>
          <w:highlight w:val="none"/>
        </w:rPr>
        <w:t>在我市政府部门未发布2024年、2025年筹资标准之前，暂按上一年度筹资标准执行：居民医保每人每年40元，职工医保每人每年120元。</w:t>
      </w:r>
    </w:p>
    <w:p>
      <w:pPr>
        <w:pStyle w:val="34"/>
        <w:spacing w:line="360" w:lineRule="auto"/>
        <w:ind w:firstLine="480" w:firstLineChars="200"/>
        <w:rPr>
          <w:rFonts w:hint="eastAsia" w:hAnsi="宋体" w:cs="宋体"/>
          <w:b/>
          <w:color w:val="auto"/>
          <w:sz w:val="24"/>
          <w:szCs w:val="32"/>
          <w:highlight w:val="none"/>
          <w:lang w:eastAsia="zh-CN"/>
        </w:rPr>
      </w:pPr>
      <w:r>
        <w:rPr>
          <w:rFonts w:hint="eastAsia" w:hAnsi="宋体" w:cs="宋体"/>
          <w:b/>
          <w:color w:val="auto"/>
          <w:sz w:val="24"/>
          <w:szCs w:val="32"/>
          <w:highlight w:val="none"/>
        </w:rPr>
        <w:t>第</w:t>
      </w:r>
      <w:r>
        <w:rPr>
          <w:rFonts w:hint="eastAsia" w:hAnsi="宋体" w:cs="宋体"/>
          <w:b/>
          <w:color w:val="auto"/>
          <w:sz w:val="24"/>
          <w:szCs w:val="32"/>
          <w:highlight w:val="none"/>
          <w:lang w:eastAsia="zh-CN"/>
        </w:rPr>
        <w:t>五</w:t>
      </w:r>
      <w:r>
        <w:rPr>
          <w:rFonts w:hint="eastAsia" w:hAnsi="宋体" w:cs="宋体"/>
          <w:b/>
          <w:color w:val="auto"/>
          <w:sz w:val="24"/>
          <w:szCs w:val="32"/>
          <w:highlight w:val="none"/>
        </w:rPr>
        <w:t xml:space="preserve">条 </w:t>
      </w:r>
      <w:r>
        <w:rPr>
          <w:rFonts w:hint="eastAsia" w:hAnsi="宋体" w:cs="宋体"/>
          <w:b/>
          <w:color w:val="auto"/>
          <w:sz w:val="24"/>
          <w:szCs w:val="32"/>
          <w:highlight w:val="none"/>
          <w:lang w:eastAsia="zh-CN"/>
        </w:rPr>
        <w:t>服务期限</w:t>
      </w:r>
    </w:p>
    <w:p>
      <w:pPr>
        <w:pStyle w:val="34"/>
        <w:spacing w:line="360" w:lineRule="auto"/>
        <w:ind w:firstLine="480" w:firstLineChars="200"/>
        <w:rPr>
          <w:rFonts w:hint="eastAsia" w:hAnsi="宋体" w:cs="宋体"/>
          <w:b/>
          <w:color w:val="auto"/>
          <w:sz w:val="24"/>
          <w:szCs w:val="32"/>
          <w:highlight w:val="none"/>
          <w:lang w:eastAsia="zh-CN"/>
        </w:rPr>
      </w:pPr>
      <w:r>
        <w:rPr>
          <w:rFonts w:hint="eastAsia" w:hAnsi="宋体" w:cs="宋体"/>
          <w:b/>
          <w:color w:val="auto"/>
          <w:sz w:val="24"/>
          <w:szCs w:val="32"/>
          <w:highlight w:val="none"/>
        </w:rPr>
        <w:t>第</w:t>
      </w:r>
      <w:r>
        <w:rPr>
          <w:rFonts w:hint="eastAsia" w:hAnsi="宋体" w:cs="宋体"/>
          <w:b/>
          <w:color w:val="auto"/>
          <w:sz w:val="24"/>
          <w:szCs w:val="32"/>
          <w:highlight w:val="none"/>
          <w:lang w:eastAsia="zh-CN"/>
        </w:rPr>
        <w:t>六</w:t>
      </w:r>
      <w:r>
        <w:rPr>
          <w:rFonts w:hint="eastAsia" w:hAnsi="宋体" w:cs="宋体"/>
          <w:b/>
          <w:color w:val="auto"/>
          <w:sz w:val="24"/>
          <w:szCs w:val="32"/>
          <w:highlight w:val="none"/>
        </w:rPr>
        <w:t xml:space="preserve">条 </w:t>
      </w:r>
      <w:r>
        <w:rPr>
          <w:rFonts w:hint="eastAsia" w:hAnsi="宋体" w:cs="宋体"/>
          <w:b/>
          <w:color w:val="auto"/>
          <w:sz w:val="24"/>
          <w:szCs w:val="32"/>
          <w:highlight w:val="none"/>
          <w:lang w:eastAsia="zh-CN"/>
        </w:rPr>
        <w:t>合同金额和支付方式</w:t>
      </w:r>
    </w:p>
    <w:p>
      <w:pPr>
        <w:pStyle w:val="34"/>
        <w:spacing w:line="360" w:lineRule="auto"/>
        <w:ind w:firstLine="480" w:firstLineChars="200"/>
        <w:rPr>
          <w:rFonts w:hint="eastAsia" w:hAnsi="宋体" w:cs="宋体"/>
          <w:b/>
          <w:color w:val="auto"/>
          <w:sz w:val="24"/>
          <w:szCs w:val="32"/>
          <w:highlight w:val="none"/>
        </w:rPr>
      </w:pPr>
      <w:r>
        <w:rPr>
          <w:rFonts w:hint="eastAsia" w:hAnsi="宋体" w:cs="宋体"/>
          <w:b/>
          <w:color w:val="auto"/>
          <w:sz w:val="24"/>
          <w:szCs w:val="32"/>
          <w:highlight w:val="none"/>
        </w:rPr>
        <w:t>第</w:t>
      </w:r>
      <w:r>
        <w:rPr>
          <w:rFonts w:hint="eastAsia" w:hAnsi="宋体" w:cs="宋体"/>
          <w:b/>
          <w:color w:val="auto"/>
          <w:sz w:val="24"/>
          <w:szCs w:val="32"/>
          <w:highlight w:val="none"/>
          <w:lang w:eastAsia="zh-CN"/>
        </w:rPr>
        <w:t>七</w:t>
      </w:r>
      <w:r>
        <w:rPr>
          <w:rFonts w:hint="eastAsia" w:hAnsi="宋体" w:cs="宋体"/>
          <w:b/>
          <w:color w:val="auto"/>
          <w:sz w:val="24"/>
          <w:szCs w:val="32"/>
          <w:highlight w:val="none"/>
        </w:rPr>
        <w:t>条 赔付比例</w:t>
      </w:r>
    </w:p>
    <w:p>
      <w:pPr>
        <w:pStyle w:val="34"/>
        <w:spacing w:line="360" w:lineRule="auto"/>
        <w:ind w:firstLine="480" w:firstLineChars="200"/>
        <w:rPr>
          <w:rFonts w:hint="eastAsia" w:hAnsi="宋体" w:cs="宋体"/>
          <w:b/>
          <w:color w:val="auto"/>
          <w:sz w:val="24"/>
          <w:szCs w:val="32"/>
          <w:highlight w:val="none"/>
        </w:rPr>
      </w:pPr>
      <w:r>
        <w:rPr>
          <w:rFonts w:hint="eastAsia" w:hAnsi="宋体" w:cs="宋体"/>
          <w:b/>
          <w:color w:val="auto"/>
          <w:sz w:val="24"/>
          <w:szCs w:val="32"/>
          <w:highlight w:val="none"/>
        </w:rPr>
        <w:t>第</w:t>
      </w:r>
      <w:r>
        <w:rPr>
          <w:rFonts w:hint="eastAsia" w:hAnsi="宋体" w:cs="宋体"/>
          <w:b/>
          <w:color w:val="auto"/>
          <w:sz w:val="24"/>
          <w:szCs w:val="32"/>
          <w:highlight w:val="none"/>
          <w:lang w:eastAsia="zh-CN"/>
        </w:rPr>
        <w:t>八</w:t>
      </w:r>
      <w:r>
        <w:rPr>
          <w:rFonts w:hint="eastAsia" w:hAnsi="宋体" w:cs="宋体"/>
          <w:b/>
          <w:color w:val="auto"/>
          <w:sz w:val="24"/>
          <w:szCs w:val="32"/>
          <w:highlight w:val="none"/>
        </w:rPr>
        <w:t>条</w:t>
      </w:r>
      <w:r>
        <w:rPr>
          <w:rFonts w:hint="eastAsia" w:hAnsi="宋体" w:cs="宋体"/>
          <w:color w:val="auto"/>
          <w:sz w:val="24"/>
          <w:szCs w:val="32"/>
          <w:highlight w:val="none"/>
        </w:rPr>
        <w:t xml:space="preserve"> </w:t>
      </w:r>
      <w:r>
        <w:rPr>
          <w:rFonts w:hint="eastAsia" w:hAnsi="宋体" w:cs="宋体"/>
          <w:b/>
          <w:color w:val="auto"/>
          <w:sz w:val="24"/>
          <w:szCs w:val="32"/>
          <w:highlight w:val="none"/>
        </w:rPr>
        <w:t>盈亏金额</w:t>
      </w:r>
    </w:p>
    <w:p>
      <w:pPr>
        <w:pStyle w:val="34"/>
        <w:spacing w:line="360" w:lineRule="auto"/>
        <w:ind w:firstLine="480" w:firstLineChars="200"/>
        <w:rPr>
          <w:rFonts w:hint="eastAsia" w:hAnsi="宋体" w:cs="宋体"/>
          <w:b/>
          <w:color w:val="auto"/>
          <w:sz w:val="24"/>
          <w:szCs w:val="32"/>
          <w:highlight w:val="none"/>
        </w:rPr>
      </w:pPr>
      <w:r>
        <w:rPr>
          <w:rFonts w:hint="eastAsia" w:hAnsi="宋体" w:cs="宋体"/>
          <w:b/>
          <w:color w:val="auto"/>
          <w:sz w:val="24"/>
          <w:szCs w:val="32"/>
          <w:highlight w:val="none"/>
        </w:rPr>
        <w:t>第</w:t>
      </w:r>
      <w:r>
        <w:rPr>
          <w:rFonts w:hint="eastAsia" w:hAnsi="宋体" w:cs="宋体"/>
          <w:b/>
          <w:color w:val="auto"/>
          <w:sz w:val="24"/>
          <w:szCs w:val="32"/>
          <w:highlight w:val="none"/>
          <w:lang w:eastAsia="zh-CN"/>
        </w:rPr>
        <w:t>九</w:t>
      </w:r>
      <w:r>
        <w:rPr>
          <w:rFonts w:hint="eastAsia" w:hAnsi="宋体" w:cs="宋体"/>
          <w:b/>
          <w:color w:val="auto"/>
          <w:sz w:val="24"/>
          <w:szCs w:val="32"/>
          <w:highlight w:val="none"/>
        </w:rPr>
        <w:t>条</w:t>
      </w:r>
      <w:r>
        <w:rPr>
          <w:rFonts w:hint="eastAsia" w:hAnsi="宋体" w:cs="宋体"/>
          <w:color w:val="auto"/>
          <w:sz w:val="24"/>
          <w:szCs w:val="32"/>
          <w:highlight w:val="none"/>
        </w:rPr>
        <w:t xml:space="preserve"> </w:t>
      </w:r>
      <w:r>
        <w:rPr>
          <w:rFonts w:hint="eastAsia" w:hAnsi="宋体" w:cs="宋体"/>
          <w:b/>
          <w:color w:val="auto"/>
          <w:sz w:val="24"/>
          <w:szCs w:val="32"/>
          <w:highlight w:val="none"/>
        </w:rPr>
        <w:t>奖励办法</w:t>
      </w:r>
    </w:p>
    <w:p>
      <w:pPr>
        <w:pStyle w:val="34"/>
        <w:spacing w:line="360" w:lineRule="auto"/>
        <w:ind w:firstLine="480" w:firstLineChars="200"/>
        <w:rPr>
          <w:rFonts w:hint="eastAsia" w:hAnsi="宋体" w:cs="宋体"/>
          <w:color w:val="auto"/>
          <w:sz w:val="24"/>
          <w:szCs w:val="32"/>
          <w:highlight w:val="none"/>
        </w:rPr>
      </w:pPr>
      <w:r>
        <w:rPr>
          <w:rFonts w:hint="eastAsia" w:hAnsi="宋体" w:cs="宋体"/>
          <w:b/>
          <w:color w:val="auto"/>
          <w:sz w:val="24"/>
          <w:szCs w:val="32"/>
          <w:highlight w:val="none"/>
        </w:rPr>
        <w:t>第</w:t>
      </w:r>
      <w:r>
        <w:rPr>
          <w:rFonts w:hint="eastAsia" w:hAnsi="宋体" w:cs="宋体"/>
          <w:b/>
          <w:color w:val="auto"/>
          <w:sz w:val="24"/>
          <w:szCs w:val="32"/>
          <w:highlight w:val="none"/>
          <w:lang w:eastAsia="zh-CN"/>
        </w:rPr>
        <w:t>十</w:t>
      </w:r>
      <w:r>
        <w:rPr>
          <w:rFonts w:hint="eastAsia" w:hAnsi="宋体" w:cs="宋体"/>
          <w:b/>
          <w:color w:val="auto"/>
          <w:sz w:val="24"/>
          <w:szCs w:val="32"/>
          <w:highlight w:val="none"/>
        </w:rPr>
        <w:t>条 保费划转</w:t>
      </w:r>
      <w:r>
        <w:rPr>
          <w:rFonts w:hint="eastAsia" w:hAnsi="宋体" w:cs="宋体"/>
          <w:color w:val="auto"/>
          <w:sz w:val="24"/>
          <w:szCs w:val="32"/>
          <w:highlight w:val="none"/>
        </w:rPr>
        <w:t xml:space="preserve"> </w:t>
      </w:r>
    </w:p>
    <w:p>
      <w:pPr>
        <w:widowControl/>
        <w:spacing w:line="360" w:lineRule="auto"/>
        <w:ind w:firstLine="480" w:firstLineChars="200"/>
        <w:jc w:val="left"/>
        <w:rPr>
          <w:rFonts w:ascii="宋体" w:hAnsi="宋体"/>
          <w:bCs/>
          <w:color w:val="auto"/>
          <w:sz w:val="24"/>
          <w:szCs w:val="24"/>
          <w:highlight w:val="none"/>
        </w:rPr>
      </w:pPr>
      <w:r>
        <w:rPr>
          <w:rFonts w:hint="eastAsia" w:ascii="宋体" w:hAnsi="宋体"/>
          <w:bCs/>
          <w:color w:val="auto"/>
          <w:sz w:val="24"/>
          <w:szCs w:val="24"/>
          <w:highlight w:val="none"/>
        </w:rPr>
        <w:t>甲方预留年初预算保费总额的</w:t>
      </w:r>
      <w:r>
        <w:rPr>
          <w:rFonts w:ascii="宋体" w:hAnsi="宋体"/>
          <w:bCs/>
          <w:color w:val="auto"/>
          <w:sz w:val="24"/>
          <w:szCs w:val="24"/>
          <w:highlight w:val="none"/>
        </w:rPr>
        <w:t>4%作为</w:t>
      </w:r>
      <w:r>
        <w:rPr>
          <w:rFonts w:hint="eastAsia" w:ascii="宋体" w:hAnsi="宋体"/>
          <w:bCs/>
          <w:color w:val="auto"/>
          <w:sz w:val="24"/>
          <w:szCs w:val="24"/>
          <w:highlight w:val="none"/>
        </w:rPr>
        <w:t>考核款，并以年初预算保费总额为基数，按季（首月）向首席保险公司</w:t>
      </w:r>
      <w:r>
        <w:rPr>
          <w:rFonts w:hint="eastAsia" w:ascii="宋体" w:hAnsi="宋体"/>
          <w:color w:val="auto"/>
          <w:sz w:val="24"/>
          <w:szCs w:val="24"/>
          <w:highlight w:val="none"/>
        </w:rPr>
        <w:t>划拨年</w:t>
      </w:r>
      <w:r>
        <w:rPr>
          <w:rFonts w:hint="eastAsia" w:ascii="宋体" w:hAnsi="宋体"/>
          <w:bCs/>
          <w:color w:val="auto"/>
          <w:sz w:val="24"/>
          <w:szCs w:val="24"/>
          <w:highlight w:val="none"/>
        </w:rPr>
        <w:t>初预算</w:t>
      </w:r>
      <w:r>
        <w:rPr>
          <w:rFonts w:hint="eastAsia" w:ascii="宋体" w:hAnsi="宋体"/>
          <w:color w:val="auto"/>
          <w:sz w:val="24"/>
          <w:szCs w:val="24"/>
          <w:highlight w:val="none"/>
        </w:rPr>
        <w:t>保费总额的</w:t>
      </w:r>
      <w:r>
        <w:rPr>
          <w:rFonts w:ascii="宋体" w:hAnsi="宋体"/>
          <w:color w:val="auto"/>
          <w:sz w:val="24"/>
          <w:szCs w:val="24"/>
          <w:highlight w:val="none"/>
        </w:rPr>
        <w:t>24%。</w:t>
      </w:r>
      <w:r>
        <w:rPr>
          <w:rFonts w:hint="eastAsia" w:ascii="宋体" w:hAnsi="宋体"/>
          <w:b/>
          <w:color w:val="auto"/>
          <w:sz w:val="24"/>
          <w:szCs w:val="24"/>
          <w:highlight w:val="none"/>
        </w:rPr>
        <w:t>考核款待年度考核后一并结算</w:t>
      </w:r>
      <w:r>
        <w:rPr>
          <w:rFonts w:hint="eastAsia" w:ascii="宋体" w:hAnsi="宋体"/>
          <w:color w:val="auto"/>
          <w:sz w:val="24"/>
          <w:szCs w:val="24"/>
          <w:highlight w:val="none"/>
        </w:rPr>
        <w:t>。</w:t>
      </w:r>
      <w:r>
        <w:rPr>
          <w:rFonts w:hint="eastAsia" w:ascii="宋体" w:hAnsi="宋体"/>
          <w:bCs/>
          <w:color w:val="auto"/>
          <w:sz w:val="24"/>
          <w:szCs w:val="24"/>
          <w:highlight w:val="none"/>
        </w:rPr>
        <w:t>首席保险公司在收到保费后15日内，按承保份额划转给从共保成员。</w:t>
      </w:r>
    </w:p>
    <w:p>
      <w:pPr>
        <w:spacing w:line="360" w:lineRule="auto"/>
        <w:ind w:left="-2" w:leftChars="-1" w:firstLine="480" w:firstLineChars="200"/>
        <w:outlineLvl w:val="0"/>
        <w:rPr>
          <w:rFonts w:hint="eastAsia" w:ascii="宋体" w:hAnsi="宋体"/>
          <w:color w:val="auto"/>
          <w:sz w:val="24"/>
          <w:szCs w:val="24"/>
          <w:highlight w:val="none"/>
        </w:rPr>
      </w:pPr>
      <w:r>
        <w:rPr>
          <w:rFonts w:hint="eastAsia" w:ascii="宋体" w:hAnsi="宋体"/>
          <w:color w:val="auto"/>
          <w:sz w:val="24"/>
          <w:szCs w:val="24"/>
          <w:highlight w:val="none"/>
        </w:rPr>
        <w:t>符合儿童苯丙酮尿症病种保障范围的医疗费用中城乡居民基本医疗保险基金支付的部分，由基本医疗保险统筹基金和大病保险资金暂按3：1的比例共同负担，每年年末清算大病保险资金时统一计算。</w:t>
      </w:r>
    </w:p>
    <w:p>
      <w:pPr>
        <w:pStyle w:val="34"/>
        <w:spacing w:line="360" w:lineRule="auto"/>
        <w:ind w:firstLine="480" w:firstLineChars="200"/>
        <w:rPr>
          <w:rFonts w:hAnsi="宋体" w:cs="宋体"/>
          <w:b/>
          <w:color w:val="auto"/>
          <w:sz w:val="24"/>
          <w:szCs w:val="32"/>
          <w:highlight w:val="none"/>
        </w:rPr>
      </w:pPr>
      <w:r>
        <w:rPr>
          <w:rFonts w:hint="eastAsia" w:hAnsi="宋体" w:cs="宋体"/>
          <w:b/>
          <w:color w:val="auto"/>
          <w:sz w:val="24"/>
          <w:szCs w:val="32"/>
          <w:highlight w:val="none"/>
        </w:rPr>
        <w:t>第</w:t>
      </w:r>
      <w:r>
        <w:rPr>
          <w:rFonts w:hint="eastAsia" w:hAnsi="宋体" w:cs="宋体"/>
          <w:b/>
          <w:color w:val="auto"/>
          <w:sz w:val="24"/>
          <w:szCs w:val="32"/>
          <w:highlight w:val="none"/>
          <w:lang w:eastAsia="zh-CN"/>
        </w:rPr>
        <w:t>十一</w:t>
      </w:r>
      <w:r>
        <w:rPr>
          <w:rFonts w:hint="eastAsia" w:hAnsi="宋体" w:cs="宋体"/>
          <w:b/>
          <w:color w:val="auto"/>
          <w:sz w:val="24"/>
          <w:szCs w:val="32"/>
          <w:highlight w:val="none"/>
        </w:rPr>
        <w:t>条</w:t>
      </w:r>
      <w:r>
        <w:rPr>
          <w:rFonts w:hint="eastAsia" w:hAnsi="宋体" w:cs="宋体"/>
          <w:b/>
          <w:color w:val="auto"/>
          <w:sz w:val="24"/>
          <w:szCs w:val="32"/>
          <w:highlight w:val="none"/>
          <w:lang w:val="en-US" w:eastAsia="zh-CN"/>
        </w:rPr>
        <w:t xml:space="preserve"> </w:t>
      </w:r>
      <w:r>
        <w:rPr>
          <w:rFonts w:hint="eastAsia" w:hAnsi="宋体" w:cs="宋体"/>
          <w:b/>
          <w:color w:val="auto"/>
          <w:sz w:val="24"/>
          <w:szCs w:val="32"/>
          <w:highlight w:val="none"/>
        </w:rPr>
        <w:t>甲方责任</w:t>
      </w:r>
    </w:p>
    <w:p>
      <w:pPr>
        <w:pStyle w:val="34"/>
        <w:spacing w:line="360" w:lineRule="auto"/>
        <w:ind w:firstLine="480" w:firstLineChars="200"/>
        <w:rPr>
          <w:rFonts w:hint="eastAsia" w:hAnsi="宋体" w:cs="宋体"/>
          <w:b/>
          <w:color w:val="auto"/>
          <w:sz w:val="24"/>
          <w:szCs w:val="32"/>
          <w:highlight w:val="none"/>
        </w:rPr>
      </w:pPr>
      <w:r>
        <w:rPr>
          <w:rFonts w:hint="eastAsia" w:hAnsi="宋体" w:cs="宋体"/>
          <w:b/>
          <w:color w:val="auto"/>
          <w:sz w:val="24"/>
          <w:szCs w:val="32"/>
          <w:highlight w:val="none"/>
        </w:rPr>
        <w:t>第十二条</w:t>
      </w:r>
      <w:r>
        <w:rPr>
          <w:rFonts w:hint="eastAsia" w:hAnsi="宋体" w:cs="宋体"/>
          <w:b/>
          <w:color w:val="auto"/>
          <w:sz w:val="24"/>
          <w:szCs w:val="32"/>
          <w:highlight w:val="none"/>
          <w:lang w:val="en-US" w:eastAsia="zh-CN"/>
        </w:rPr>
        <w:t xml:space="preserve"> </w:t>
      </w:r>
      <w:r>
        <w:rPr>
          <w:rFonts w:hint="eastAsia" w:hAnsi="宋体" w:cs="宋体"/>
          <w:b/>
          <w:color w:val="auto"/>
          <w:sz w:val="24"/>
          <w:szCs w:val="32"/>
          <w:highlight w:val="none"/>
        </w:rPr>
        <w:t>乙方责任</w:t>
      </w:r>
    </w:p>
    <w:p>
      <w:pPr>
        <w:pStyle w:val="34"/>
        <w:spacing w:line="360" w:lineRule="auto"/>
        <w:ind w:firstLine="470" w:firstLineChars="196"/>
        <w:rPr>
          <w:rFonts w:hAnsi="宋体" w:cs="宋体"/>
          <w:b/>
          <w:color w:val="auto"/>
          <w:sz w:val="24"/>
          <w:szCs w:val="32"/>
          <w:highlight w:val="none"/>
        </w:rPr>
      </w:pPr>
      <w:r>
        <w:rPr>
          <w:rFonts w:hint="eastAsia" w:hAnsi="宋体" w:cs="宋体"/>
          <w:b/>
          <w:color w:val="auto"/>
          <w:sz w:val="24"/>
          <w:szCs w:val="32"/>
          <w:highlight w:val="none"/>
        </w:rPr>
        <w:t>第十三条</w:t>
      </w:r>
      <w:r>
        <w:rPr>
          <w:rFonts w:hint="eastAsia" w:hAnsi="宋体" w:cs="宋体"/>
          <w:b/>
          <w:color w:val="auto"/>
          <w:sz w:val="24"/>
          <w:szCs w:val="32"/>
          <w:highlight w:val="none"/>
          <w:lang w:val="en-US" w:eastAsia="zh-CN"/>
        </w:rPr>
        <w:t xml:space="preserve"> </w:t>
      </w:r>
      <w:r>
        <w:rPr>
          <w:rFonts w:hint="eastAsia" w:hAnsi="宋体" w:cs="宋体"/>
          <w:b/>
          <w:color w:val="auto"/>
          <w:sz w:val="24"/>
          <w:szCs w:val="32"/>
          <w:highlight w:val="none"/>
        </w:rPr>
        <w:t>共同责任</w:t>
      </w:r>
    </w:p>
    <w:p>
      <w:pPr>
        <w:pStyle w:val="34"/>
        <w:spacing w:line="360" w:lineRule="auto"/>
        <w:ind w:firstLine="480" w:firstLineChars="200"/>
        <w:rPr>
          <w:rFonts w:hAnsi="宋体" w:cs="宋体"/>
          <w:b/>
          <w:color w:val="auto"/>
          <w:sz w:val="24"/>
          <w:szCs w:val="32"/>
          <w:highlight w:val="none"/>
        </w:rPr>
      </w:pPr>
      <w:r>
        <w:rPr>
          <w:rFonts w:hint="eastAsia" w:hAnsi="宋体" w:cs="宋体"/>
          <w:b/>
          <w:color w:val="auto"/>
          <w:sz w:val="24"/>
          <w:szCs w:val="32"/>
          <w:highlight w:val="none"/>
        </w:rPr>
        <w:t>第十</w:t>
      </w:r>
      <w:r>
        <w:rPr>
          <w:rFonts w:hint="eastAsia" w:hAnsi="宋体" w:cs="宋体"/>
          <w:b/>
          <w:color w:val="auto"/>
          <w:sz w:val="24"/>
          <w:szCs w:val="32"/>
          <w:highlight w:val="none"/>
          <w:lang w:eastAsia="zh-CN"/>
        </w:rPr>
        <w:t>四</w:t>
      </w:r>
      <w:r>
        <w:rPr>
          <w:rFonts w:hint="eastAsia" w:hAnsi="宋体" w:cs="宋体"/>
          <w:b/>
          <w:color w:val="auto"/>
          <w:sz w:val="24"/>
          <w:szCs w:val="32"/>
          <w:highlight w:val="none"/>
        </w:rPr>
        <w:t>条</w:t>
      </w:r>
      <w:r>
        <w:rPr>
          <w:rFonts w:hint="eastAsia" w:hAnsi="宋体" w:cs="宋体"/>
          <w:b/>
          <w:color w:val="auto"/>
          <w:sz w:val="24"/>
          <w:szCs w:val="32"/>
          <w:highlight w:val="none"/>
          <w:lang w:val="en-US" w:eastAsia="zh-CN"/>
        </w:rPr>
        <w:t xml:space="preserve"> </w:t>
      </w:r>
      <w:r>
        <w:rPr>
          <w:rFonts w:hint="eastAsia" w:hAnsi="宋体" w:cs="宋体"/>
          <w:b/>
          <w:color w:val="auto"/>
          <w:sz w:val="24"/>
          <w:szCs w:val="32"/>
          <w:highlight w:val="none"/>
        </w:rPr>
        <w:t>考核与管理：</w:t>
      </w:r>
      <w:r>
        <w:rPr>
          <w:rFonts w:hint="eastAsia" w:hAnsi="宋体" w:cs="宋体"/>
          <w:color w:val="auto"/>
          <w:sz w:val="24"/>
          <w:szCs w:val="32"/>
          <w:highlight w:val="none"/>
        </w:rPr>
        <w:t>具体详见考核办法</w:t>
      </w:r>
    </w:p>
    <w:p>
      <w:pPr>
        <w:pStyle w:val="34"/>
        <w:spacing w:line="360" w:lineRule="auto"/>
        <w:ind w:firstLine="480" w:firstLineChars="200"/>
        <w:rPr>
          <w:rFonts w:hAnsi="宋体" w:cs="宋体"/>
          <w:b/>
          <w:color w:val="auto"/>
          <w:sz w:val="24"/>
          <w:szCs w:val="32"/>
          <w:highlight w:val="none"/>
        </w:rPr>
      </w:pPr>
      <w:r>
        <w:rPr>
          <w:rFonts w:hint="eastAsia" w:hAnsi="宋体" w:cs="宋体"/>
          <w:b/>
          <w:color w:val="auto"/>
          <w:sz w:val="24"/>
          <w:szCs w:val="32"/>
          <w:highlight w:val="none"/>
        </w:rPr>
        <w:t>第十</w:t>
      </w:r>
      <w:r>
        <w:rPr>
          <w:rFonts w:hint="eastAsia" w:hAnsi="宋体" w:cs="宋体"/>
          <w:b/>
          <w:color w:val="auto"/>
          <w:sz w:val="24"/>
          <w:szCs w:val="32"/>
          <w:highlight w:val="none"/>
          <w:lang w:eastAsia="zh-CN"/>
        </w:rPr>
        <w:t>五</w:t>
      </w:r>
      <w:r>
        <w:rPr>
          <w:rFonts w:hint="eastAsia" w:hAnsi="宋体" w:cs="宋体"/>
          <w:b/>
          <w:color w:val="auto"/>
          <w:sz w:val="24"/>
          <w:szCs w:val="32"/>
          <w:highlight w:val="none"/>
        </w:rPr>
        <w:t>条</w:t>
      </w:r>
      <w:r>
        <w:rPr>
          <w:rFonts w:hint="eastAsia" w:hAnsi="宋体" w:cs="宋体"/>
          <w:b/>
          <w:color w:val="auto"/>
          <w:sz w:val="24"/>
          <w:szCs w:val="32"/>
          <w:highlight w:val="none"/>
          <w:lang w:val="en-US" w:eastAsia="zh-CN"/>
        </w:rPr>
        <w:t xml:space="preserve"> </w:t>
      </w:r>
      <w:r>
        <w:rPr>
          <w:rFonts w:hint="eastAsia" w:hAnsi="宋体" w:cs="宋体"/>
          <w:b/>
          <w:color w:val="auto"/>
          <w:sz w:val="24"/>
          <w:szCs w:val="32"/>
          <w:highlight w:val="none"/>
        </w:rPr>
        <w:t>违约责任</w:t>
      </w:r>
      <w:r>
        <w:rPr>
          <w:rFonts w:hAnsi="宋体" w:cs="宋体"/>
          <w:b/>
          <w:color w:val="auto"/>
          <w:sz w:val="24"/>
          <w:szCs w:val="32"/>
          <w:highlight w:val="none"/>
        </w:rPr>
        <w:t xml:space="preserve"> </w:t>
      </w:r>
    </w:p>
    <w:p>
      <w:pPr>
        <w:spacing w:line="360" w:lineRule="auto"/>
        <w:ind w:firstLine="480" w:firstLineChars="200"/>
        <w:outlineLvl w:val="0"/>
        <w:rPr>
          <w:rFonts w:ascii="宋体" w:hAnsi="宋体"/>
          <w:bCs/>
          <w:color w:val="auto"/>
          <w:sz w:val="24"/>
          <w:szCs w:val="24"/>
          <w:highlight w:val="none"/>
        </w:rPr>
      </w:pPr>
      <w:r>
        <w:rPr>
          <w:rFonts w:hint="eastAsia" w:ascii="宋体" w:hAnsi="宋体"/>
          <w:bCs/>
          <w:color w:val="auto"/>
          <w:sz w:val="24"/>
          <w:szCs w:val="24"/>
          <w:highlight w:val="none"/>
        </w:rPr>
        <w:t>乙方因违反合同约定，或发生其他严重损害参保人权益的情况，甲方可以提前终止或解除合作，并就违约情况提请有关部门依法追究责任。</w:t>
      </w:r>
    </w:p>
    <w:p>
      <w:pPr>
        <w:spacing w:line="360" w:lineRule="auto"/>
        <w:ind w:firstLine="480" w:firstLineChars="200"/>
        <w:outlineLvl w:val="0"/>
        <w:rPr>
          <w:rFonts w:hAnsi="宋体" w:cs="宋体"/>
          <w:color w:val="auto"/>
          <w:sz w:val="24"/>
          <w:szCs w:val="32"/>
          <w:highlight w:val="none"/>
        </w:rPr>
      </w:pPr>
      <w:r>
        <w:rPr>
          <w:rFonts w:hint="eastAsia" w:ascii="宋体" w:hAnsi="宋体"/>
          <w:bCs/>
          <w:color w:val="auto"/>
          <w:sz w:val="24"/>
          <w:szCs w:val="24"/>
          <w:highlight w:val="none"/>
        </w:rPr>
        <w:t>乙方利用专业技术和行业信息优势之便，故意隐瞒和掩盖自身过失，违背投标承诺和未尽义务，甲方均可追究乙方的违约责任并索取赔偿，且不受合同时效的限制。</w:t>
      </w:r>
    </w:p>
    <w:p>
      <w:pPr>
        <w:pStyle w:val="34"/>
        <w:spacing w:line="360" w:lineRule="auto"/>
        <w:ind w:firstLine="480" w:firstLineChars="200"/>
        <w:rPr>
          <w:rFonts w:hAnsi="宋体" w:cs="宋体"/>
          <w:color w:val="auto"/>
          <w:sz w:val="24"/>
          <w:szCs w:val="32"/>
          <w:highlight w:val="none"/>
        </w:rPr>
      </w:pPr>
      <w:r>
        <w:rPr>
          <w:rFonts w:hint="eastAsia" w:hAnsi="宋体" w:cs="宋体"/>
          <w:b/>
          <w:color w:val="auto"/>
          <w:sz w:val="24"/>
          <w:szCs w:val="32"/>
          <w:highlight w:val="none"/>
        </w:rPr>
        <w:t>第十</w:t>
      </w:r>
      <w:r>
        <w:rPr>
          <w:rFonts w:hint="eastAsia" w:hAnsi="宋体" w:cs="宋体"/>
          <w:b/>
          <w:color w:val="auto"/>
          <w:sz w:val="24"/>
          <w:szCs w:val="32"/>
          <w:highlight w:val="none"/>
          <w:lang w:eastAsia="zh-CN"/>
        </w:rPr>
        <w:t>六</w:t>
      </w:r>
      <w:r>
        <w:rPr>
          <w:rFonts w:hint="eastAsia" w:hAnsi="宋体" w:cs="宋体"/>
          <w:b/>
          <w:color w:val="auto"/>
          <w:sz w:val="24"/>
          <w:szCs w:val="32"/>
          <w:highlight w:val="none"/>
        </w:rPr>
        <w:t>条</w:t>
      </w:r>
      <w:r>
        <w:rPr>
          <w:rFonts w:hint="eastAsia" w:hAnsi="宋体" w:cs="宋体"/>
          <w:b/>
          <w:color w:val="auto"/>
          <w:sz w:val="24"/>
          <w:szCs w:val="32"/>
          <w:highlight w:val="none"/>
          <w:lang w:val="en-US" w:eastAsia="zh-CN"/>
        </w:rPr>
        <w:t xml:space="preserve"> </w:t>
      </w:r>
      <w:r>
        <w:rPr>
          <w:rFonts w:hint="eastAsia" w:hAnsi="宋体" w:cs="宋体"/>
          <w:b/>
          <w:color w:val="auto"/>
          <w:sz w:val="24"/>
          <w:szCs w:val="32"/>
          <w:highlight w:val="none"/>
        </w:rPr>
        <w:t>退出机制</w:t>
      </w:r>
    </w:p>
    <w:p>
      <w:pPr>
        <w:pStyle w:val="34"/>
        <w:spacing w:line="360" w:lineRule="auto"/>
        <w:ind w:firstLine="480" w:firstLineChars="200"/>
        <w:rPr>
          <w:rFonts w:hint="eastAsia" w:hAnsi="宋体" w:cs="宋体"/>
          <w:b/>
          <w:color w:val="auto"/>
          <w:sz w:val="24"/>
          <w:szCs w:val="32"/>
          <w:highlight w:val="none"/>
        </w:rPr>
      </w:pPr>
      <w:r>
        <w:rPr>
          <w:rFonts w:hint="eastAsia" w:hAnsi="宋体" w:cs="宋体"/>
          <w:b/>
          <w:color w:val="auto"/>
          <w:sz w:val="24"/>
          <w:szCs w:val="32"/>
          <w:highlight w:val="none"/>
        </w:rPr>
        <w:t>第十七条</w:t>
      </w:r>
      <w:r>
        <w:rPr>
          <w:rFonts w:hint="eastAsia" w:hAnsi="宋体" w:cs="宋体"/>
          <w:b/>
          <w:color w:val="auto"/>
          <w:sz w:val="24"/>
          <w:szCs w:val="32"/>
          <w:highlight w:val="none"/>
          <w:lang w:val="en-US" w:eastAsia="zh-CN"/>
        </w:rPr>
        <w:t xml:space="preserve"> </w:t>
      </w:r>
      <w:r>
        <w:rPr>
          <w:rFonts w:hint="eastAsia" w:hAnsi="宋体" w:cs="宋体"/>
          <w:b/>
          <w:color w:val="auto"/>
          <w:sz w:val="24"/>
          <w:szCs w:val="32"/>
          <w:highlight w:val="none"/>
        </w:rPr>
        <w:t>不可抗力</w:t>
      </w:r>
    </w:p>
    <w:p>
      <w:pPr>
        <w:pStyle w:val="34"/>
        <w:spacing w:line="360" w:lineRule="auto"/>
        <w:ind w:firstLine="480" w:firstLineChars="200"/>
        <w:rPr>
          <w:rFonts w:hAnsi="宋体" w:cs="宋体"/>
          <w:color w:val="auto"/>
          <w:sz w:val="24"/>
          <w:szCs w:val="32"/>
          <w:highlight w:val="none"/>
        </w:rPr>
      </w:pPr>
      <w:r>
        <w:rPr>
          <w:rFonts w:hint="eastAsia" w:hAnsi="宋体" w:cs="宋体"/>
          <w:color w:val="auto"/>
          <w:sz w:val="24"/>
          <w:szCs w:val="32"/>
          <w:highlight w:val="none"/>
        </w:rPr>
        <w:t>任何一方由于不可抗力原因不能履行合同时，应在不可抗力事件发生后48小时内向对方通报，以减轻可能给对方造成的损失，在取得有关机构的不可抗力证明或双方谅解确认后，允许修订合同，并根据情况可部分或全部免于承担违约责任。</w:t>
      </w:r>
    </w:p>
    <w:p>
      <w:pPr>
        <w:pStyle w:val="34"/>
        <w:spacing w:line="360" w:lineRule="auto"/>
        <w:ind w:firstLine="480" w:firstLineChars="200"/>
        <w:rPr>
          <w:rFonts w:hint="eastAsia" w:hAnsi="宋体" w:cs="宋体"/>
          <w:b/>
          <w:color w:val="auto"/>
          <w:sz w:val="24"/>
          <w:szCs w:val="32"/>
          <w:highlight w:val="none"/>
        </w:rPr>
      </w:pPr>
      <w:r>
        <w:rPr>
          <w:rFonts w:hint="eastAsia" w:hAnsi="宋体" w:cs="宋体"/>
          <w:b/>
          <w:color w:val="auto"/>
          <w:sz w:val="24"/>
          <w:szCs w:val="32"/>
          <w:highlight w:val="none"/>
        </w:rPr>
        <w:t>第十</w:t>
      </w:r>
      <w:r>
        <w:rPr>
          <w:rFonts w:hint="eastAsia" w:hAnsi="宋体" w:cs="宋体"/>
          <w:b/>
          <w:color w:val="auto"/>
          <w:sz w:val="24"/>
          <w:szCs w:val="32"/>
          <w:highlight w:val="none"/>
          <w:lang w:eastAsia="zh-CN"/>
        </w:rPr>
        <w:t>八</w:t>
      </w:r>
      <w:r>
        <w:rPr>
          <w:rFonts w:hint="eastAsia" w:hAnsi="宋体" w:cs="宋体"/>
          <w:b/>
          <w:color w:val="auto"/>
          <w:sz w:val="24"/>
          <w:szCs w:val="32"/>
          <w:highlight w:val="none"/>
        </w:rPr>
        <w:t>条</w:t>
      </w:r>
      <w:r>
        <w:rPr>
          <w:rFonts w:hint="eastAsia" w:hAnsi="宋体" w:cs="宋体"/>
          <w:b/>
          <w:color w:val="auto"/>
          <w:sz w:val="24"/>
          <w:szCs w:val="32"/>
          <w:highlight w:val="none"/>
          <w:lang w:val="en-US" w:eastAsia="zh-CN"/>
        </w:rPr>
        <w:t xml:space="preserve"> </w:t>
      </w:r>
      <w:r>
        <w:rPr>
          <w:rFonts w:hint="eastAsia" w:hAnsi="宋体" w:cs="宋体"/>
          <w:b/>
          <w:color w:val="auto"/>
          <w:sz w:val="24"/>
          <w:szCs w:val="32"/>
          <w:highlight w:val="none"/>
        </w:rPr>
        <w:t>争议处理</w:t>
      </w:r>
    </w:p>
    <w:p>
      <w:pPr>
        <w:pStyle w:val="34"/>
        <w:spacing w:line="360" w:lineRule="auto"/>
        <w:ind w:firstLine="470" w:firstLineChars="196"/>
        <w:rPr>
          <w:rFonts w:hAnsi="宋体" w:cs="宋体"/>
          <w:color w:val="auto"/>
          <w:sz w:val="24"/>
          <w:szCs w:val="32"/>
          <w:highlight w:val="none"/>
        </w:rPr>
      </w:pPr>
      <w:r>
        <w:rPr>
          <w:rFonts w:hint="eastAsia" w:hAnsi="宋体"/>
          <w:bCs/>
          <w:color w:val="auto"/>
          <w:sz w:val="24"/>
          <w:szCs w:val="24"/>
          <w:highlight w:val="none"/>
        </w:rPr>
        <w:t>甲乙双方之间的一切有关本合同的争议应通过友好协商解决，若协商不成，甲乙双方</w:t>
      </w:r>
      <w:r>
        <w:rPr>
          <w:rFonts w:hint="eastAsia" w:hAnsi="宋体"/>
          <w:bCs/>
          <w:color w:val="auto"/>
          <w:sz w:val="24"/>
          <w:szCs w:val="24"/>
          <w:highlight w:val="none"/>
          <w:lang w:eastAsia="zh-CN"/>
        </w:rPr>
        <w:t>任一方可向</w:t>
      </w:r>
      <w:r>
        <w:rPr>
          <w:rFonts w:hint="eastAsia" w:hAnsi="宋体"/>
          <w:bCs/>
          <w:color w:val="auto"/>
          <w:sz w:val="24"/>
          <w:szCs w:val="24"/>
          <w:highlight w:val="none"/>
        </w:rPr>
        <w:t>甲方（管辖）所在地人民法院</w:t>
      </w:r>
      <w:r>
        <w:rPr>
          <w:rFonts w:hint="eastAsia" w:hAnsi="宋体"/>
          <w:bCs/>
          <w:color w:val="auto"/>
          <w:sz w:val="24"/>
          <w:szCs w:val="24"/>
          <w:highlight w:val="none"/>
          <w:lang w:eastAsia="zh-CN"/>
        </w:rPr>
        <w:t>提起</w:t>
      </w:r>
      <w:r>
        <w:rPr>
          <w:rFonts w:hint="eastAsia" w:hAnsi="宋体"/>
          <w:bCs/>
          <w:color w:val="auto"/>
          <w:sz w:val="24"/>
          <w:szCs w:val="24"/>
          <w:highlight w:val="none"/>
        </w:rPr>
        <w:t>诉讼。</w:t>
      </w:r>
    </w:p>
    <w:p>
      <w:pPr>
        <w:pStyle w:val="34"/>
        <w:spacing w:line="360" w:lineRule="auto"/>
        <w:ind w:firstLine="480" w:firstLineChars="200"/>
        <w:rPr>
          <w:rFonts w:hint="eastAsia" w:hAnsi="宋体"/>
          <w:b/>
          <w:color w:val="auto"/>
          <w:sz w:val="24"/>
          <w:szCs w:val="24"/>
          <w:highlight w:val="none"/>
        </w:rPr>
      </w:pPr>
      <w:r>
        <w:rPr>
          <w:rFonts w:hint="eastAsia" w:hAnsi="宋体" w:cs="宋体"/>
          <w:b/>
          <w:color w:val="auto"/>
          <w:sz w:val="24"/>
          <w:szCs w:val="32"/>
          <w:highlight w:val="none"/>
        </w:rPr>
        <w:t>第十</w:t>
      </w:r>
      <w:r>
        <w:rPr>
          <w:rFonts w:hint="eastAsia" w:hAnsi="宋体" w:cs="宋体"/>
          <w:b/>
          <w:color w:val="auto"/>
          <w:sz w:val="24"/>
          <w:szCs w:val="32"/>
          <w:highlight w:val="none"/>
          <w:lang w:eastAsia="zh-CN"/>
        </w:rPr>
        <w:t>九</w:t>
      </w:r>
      <w:r>
        <w:rPr>
          <w:rFonts w:hint="eastAsia" w:hAnsi="宋体" w:cs="宋体"/>
          <w:b/>
          <w:color w:val="auto"/>
          <w:sz w:val="24"/>
          <w:szCs w:val="32"/>
          <w:highlight w:val="none"/>
        </w:rPr>
        <w:t>条</w:t>
      </w:r>
      <w:r>
        <w:rPr>
          <w:rFonts w:hint="eastAsia" w:hAnsi="宋体" w:cs="宋体"/>
          <w:b/>
          <w:color w:val="auto"/>
          <w:sz w:val="24"/>
          <w:szCs w:val="32"/>
          <w:highlight w:val="none"/>
          <w:lang w:eastAsia="zh-CN"/>
        </w:rPr>
        <w:t xml:space="preserve"> </w:t>
      </w:r>
      <w:r>
        <w:rPr>
          <w:rFonts w:hint="eastAsia" w:hAnsi="宋体"/>
          <w:b/>
          <w:color w:val="auto"/>
          <w:sz w:val="24"/>
          <w:szCs w:val="24"/>
          <w:highlight w:val="none"/>
        </w:rPr>
        <w:t>合同有效期</w:t>
      </w:r>
    </w:p>
    <w:p>
      <w:pPr>
        <w:pStyle w:val="34"/>
        <w:spacing w:line="360" w:lineRule="auto"/>
        <w:ind w:firstLine="480" w:firstLineChars="200"/>
        <w:rPr>
          <w:rFonts w:hAnsi="宋体"/>
          <w:color w:val="auto"/>
          <w:sz w:val="24"/>
          <w:szCs w:val="24"/>
          <w:highlight w:val="none"/>
        </w:rPr>
      </w:pPr>
      <w:r>
        <w:rPr>
          <w:rFonts w:hint="eastAsia" w:hAnsi="宋体"/>
          <w:color w:val="auto"/>
          <w:sz w:val="24"/>
          <w:szCs w:val="24"/>
          <w:highlight w:val="none"/>
        </w:rPr>
        <w:t>本合同自签订之日起生效，并在保险有效期内持续有效，如果保险期限结束后，存在遗留问题，本合同将继续有效，直至保单涉及的各项遗留事宜最终处理完毕时为止。</w:t>
      </w:r>
    </w:p>
    <w:p>
      <w:pPr>
        <w:spacing w:line="360" w:lineRule="auto"/>
        <w:ind w:firstLine="468" w:firstLineChars="195"/>
        <w:rPr>
          <w:rFonts w:ascii="宋体" w:hAnsi="宋体"/>
          <w:b/>
          <w:color w:val="auto"/>
          <w:sz w:val="24"/>
          <w:szCs w:val="24"/>
          <w:highlight w:val="none"/>
        </w:rPr>
      </w:pPr>
      <w:r>
        <w:rPr>
          <w:rFonts w:hint="eastAsia" w:hAnsi="宋体"/>
          <w:b/>
          <w:color w:val="auto"/>
          <w:sz w:val="24"/>
          <w:szCs w:val="24"/>
          <w:highlight w:val="none"/>
        </w:rPr>
        <w:t xml:space="preserve">第二十条 </w:t>
      </w:r>
      <w:r>
        <w:rPr>
          <w:rFonts w:hint="eastAsia" w:ascii="宋体" w:hAnsi="宋体"/>
          <w:b/>
          <w:color w:val="auto"/>
          <w:sz w:val="24"/>
          <w:szCs w:val="24"/>
          <w:highlight w:val="none"/>
        </w:rPr>
        <w:t>合同的变更、解除</w:t>
      </w:r>
    </w:p>
    <w:p>
      <w:pPr>
        <w:spacing w:line="360" w:lineRule="auto"/>
        <w:ind w:firstLine="480" w:firstLineChars="200"/>
        <w:outlineLvl w:val="0"/>
        <w:rPr>
          <w:rFonts w:ascii="宋体" w:hAnsi="宋体"/>
          <w:bCs/>
          <w:color w:val="auto"/>
          <w:sz w:val="24"/>
          <w:szCs w:val="24"/>
          <w:highlight w:val="none"/>
        </w:rPr>
      </w:pPr>
      <w:r>
        <w:rPr>
          <w:rFonts w:hint="eastAsia" w:ascii="宋体" w:hAnsi="宋体"/>
          <w:bCs/>
          <w:color w:val="auto"/>
          <w:sz w:val="24"/>
          <w:szCs w:val="24"/>
          <w:highlight w:val="none"/>
        </w:rPr>
        <w:t>1.本合同如有未尽事宜，经甲乙双方协商一致后以书面形式补充，并作为本合同的组成部分。</w:t>
      </w:r>
    </w:p>
    <w:p>
      <w:pPr>
        <w:spacing w:line="360" w:lineRule="auto"/>
        <w:ind w:firstLine="480" w:firstLineChars="200"/>
        <w:outlineLvl w:val="0"/>
        <w:rPr>
          <w:rFonts w:ascii="宋体" w:hAnsi="宋体"/>
          <w:bCs/>
          <w:color w:val="auto"/>
          <w:sz w:val="24"/>
          <w:szCs w:val="24"/>
          <w:highlight w:val="none"/>
        </w:rPr>
      </w:pPr>
      <w:r>
        <w:rPr>
          <w:rFonts w:hint="eastAsia" w:ascii="宋体" w:hAnsi="宋体"/>
          <w:bCs/>
          <w:color w:val="auto"/>
          <w:sz w:val="24"/>
          <w:szCs w:val="24"/>
          <w:highlight w:val="none"/>
        </w:rPr>
        <w:t>2.甲乙双方协商一致，可以解除合同。有下列情形之一的，合同一方可以解除合同：</w:t>
      </w:r>
    </w:p>
    <w:p>
      <w:pPr>
        <w:spacing w:line="360" w:lineRule="auto"/>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（1）</w:t>
      </w:r>
    </w:p>
    <w:p>
      <w:pPr>
        <w:spacing w:line="360" w:lineRule="auto"/>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（2）</w:t>
      </w:r>
    </w:p>
    <w:p>
      <w:pPr>
        <w:spacing w:line="360" w:lineRule="auto"/>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（3）</w:t>
      </w:r>
    </w:p>
    <w:p>
      <w:pPr>
        <w:spacing w:line="360" w:lineRule="auto"/>
        <w:ind w:firstLine="470" w:firstLineChars="196"/>
        <w:rPr>
          <w:rFonts w:hint="eastAsia" w:ascii="宋体" w:hAnsi="宋体"/>
          <w:color w:val="auto"/>
          <w:sz w:val="24"/>
          <w:szCs w:val="24"/>
          <w:highlight w:val="none"/>
        </w:rPr>
      </w:pPr>
      <w:r>
        <w:rPr>
          <w:rFonts w:hint="eastAsia" w:ascii="宋体" w:hAnsi="宋体"/>
          <w:color w:val="auto"/>
          <w:sz w:val="24"/>
          <w:szCs w:val="24"/>
          <w:highlight w:val="none"/>
        </w:rPr>
        <w:t>3.本合同的全部或部分权利义务，未经甲方书面同意，乙方不得转让。</w:t>
      </w:r>
    </w:p>
    <w:p>
      <w:pPr>
        <w:spacing w:line="360" w:lineRule="auto"/>
        <w:ind w:firstLine="468" w:firstLineChars="195"/>
        <w:rPr>
          <w:rFonts w:ascii="宋体" w:hAnsi="宋体"/>
          <w:b/>
          <w:color w:val="auto"/>
          <w:sz w:val="24"/>
          <w:szCs w:val="24"/>
          <w:highlight w:val="none"/>
        </w:rPr>
      </w:pPr>
      <w:r>
        <w:rPr>
          <w:rFonts w:hint="eastAsia" w:ascii="宋体" w:hAnsi="宋体"/>
          <w:b/>
          <w:color w:val="auto"/>
          <w:sz w:val="24"/>
          <w:szCs w:val="24"/>
          <w:highlight w:val="none"/>
        </w:rPr>
        <w:t>第二十一条 保密条款</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自本合同生效之日起，甲乙双方不得将本合同涉及的所有有形、无形的信息及资料（包括但不限于双方的往来书面文字文件、电子邮件及信息、软盘资料等）泄露给其他方。</w:t>
      </w:r>
    </w:p>
    <w:p>
      <w:pPr>
        <w:pStyle w:val="34"/>
        <w:spacing w:line="360" w:lineRule="auto"/>
        <w:ind w:firstLine="480" w:firstLineChars="200"/>
        <w:rPr>
          <w:rFonts w:hint="eastAsia" w:hAnsi="宋体" w:cs="宋体"/>
          <w:b/>
          <w:color w:val="auto"/>
          <w:sz w:val="24"/>
          <w:szCs w:val="32"/>
          <w:highlight w:val="none"/>
        </w:rPr>
      </w:pPr>
      <w:r>
        <w:rPr>
          <w:rFonts w:hint="eastAsia" w:hAnsi="宋体"/>
          <w:b/>
          <w:color w:val="auto"/>
          <w:sz w:val="24"/>
          <w:szCs w:val="24"/>
          <w:highlight w:val="none"/>
        </w:rPr>
        <w:t>第二十二条</w:t>
      </w:r>
      <w:r>
        <w:rPr>
          <w:rFonts w:hint="eastAsia" w:hAnsi="宋体"/>
          <w:b/>
          <w:color w:val="auto"/>
          <w:sz w:val="24"/>
          <w:szCs w:val="24"/>
          <w:highlight w:val="none"/>
          <w:lang w:eastAsia="zh-CN"/>
        </w:rPr>
        <w:t xml:space="preserve"> </w:t>
      </w:r>
      <w:r>
        <w:rPr>
          <w:rFonts w:hint="eastAsia" w:hAnsi="宋体" w:cs="宋体"/>
          <w:b/>
          <w:color w:val="auto"/>
          <w:sz w:val="24"/>
          <w:szCs w:val="32"/>
          <w:highlight w:val="none"/>
        </w:rPr>
        <w:t>其</w:t>
      </w:r>
      <w:r>
        <w:rPr>
          <w:rFonts w:hint="eastAsia" w:hAnsi="宋体" w:cs="宋体"/>
          <w:b/>
          <w:color w:val="auto"/>
          <w:sz w:val="24"/>
          <w:szCs w:val="32"/>
          <w:highlight w:val="none"/>
          <w:lang w:eastAsia="zh-CN"/>
        </w:rPr>
        <w:t>他</w:t>
      </w:r>
      <w:r>
        <w:rPr>
          <w:rFonts w:hint="eastAsia" w:hAnsi="宋体" w:cs="宋体"/>
          <w:b/>
          <w:color w:val="auto"/>
          <w:sz w:val="24"/>
          <w:szCs w:val="32"/>
          <w:highlight w:val="none"/>
        </w:rPr>
        <w:t>约定</w:t>
      </w:r>
    </w:p>
    <w:p>
      <w:pPr>
        <w:pStyle w:val="34"/>
        <w:spacing w:line="360" w:lineRule="auto"/>
        <w:ind w:firstLine="480" w:firstLineChars="200"/>
        <w:rPr>
          <w:rFonts w:hAnsi="宋体"/>
          <w:b/>
          <w:color w:val="auto"/>
          <w:sz w:val="24"/>
          <w:szCs w:val="24"/>
          <w:highlight w:val="none"/>
        </w:rPr>
      </w:pPr>
      <w:r>
        <w:rPr>
          <w:rFonts w:hint="eastAsia" w:hAnsi="宋体"/>
          <w:bCs/>
          <w:color w:val="auto"/>
          <w:sz w:val="24"/>
          <w:szCs w:val="24"/>
          <w:highlight w:val="none"/>
        </w:rPr>
        <w:t>本项目的招标文件、</w:t>
      </w:r>
      <w:r>
        <w:rPr>
          <w:rFonts w:hint="eastAsia" w:hAnsi="宋体"/>
          <w:bCs/>
          <w:color w:val="auto"/>
          <w:sz w:val="24"/>
          <w:szCs w:val="24"/>
          <w:highlight w:val="none"/>
          <w:lang w:eastAsia="zh-CN"/>
        </w:rPr>
        <w:t>乙方</w:t>
      </w:r>
      <w:r>
        <w:rPr>
          <w:rFonts w:hint="eastAsia" w:hAnsi="宋体"/>
          <w:bCs/>
          <w:color w:val="auto"/>
          <w:sz w:val="24"/>
          <w:szCs w:val="24"/>
          <w:highlight w:val="none"/>
        </w:rPr>
        <w:t>的投标文件、中标通知书以及</w:t>
      </w:r>
      <w:r>
        <w:rPr>
          <w:rFonts w:hint="eastAsia" w:hAnsi="宋体"/>
          <w:bCs/>
          <w:color w:val="auto"/>
          <w:sz w:val="24"/>
          <w:szCs w:val="24"/>
          <w:highlight w:val="none"/>
          <w:lang w:eastAsia="zh-CN"/>
        </w:rPr>
        <w:t>乙方</w:t>
      </w:r>
      <w:r>
        <w:rPr>
          <w:rFonts w:hint="eastAsia" w:hAnsi="宋体"/>
          <w:bCs/>
          <w:color w:val="auto"/>
          <w:sz w:val="24"/>
          <w:szCs w:val="24"/>
          <w:highlight w:val="none"/>
        </w:rPr>
        <w:t>在开标和评标过程中作出的书面承诺、声明和澄清等文件，作为本合同不可分割的组成部分，与本合同具有同等的法律效力。</w:t>
      </w:r>
    </w:p>
    <w:p>
      <w:pPr>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 xml:space="preserve">本合同壹式  份，甲乙双方各执壹份，见证方壹份，  </w:t>
      </w:r>
      <w:r>
        <w:rPr>
          <w:rFonts w:hint="eastAsia"/>
          <w:bCs/>
          <w:color w:val="auto"/>
          <w:sz w:val="24"/>
          <w:szCs w:val="24"/>
          <w:highlight w:val="none"/>
        </w:rPr>
        <w:t>基金管理中心</w:t>
      </w:r>
      <w:r>
        <w:rPr>
          <w:rFonts w:hint="eastAsia" w:ascii="宋体" w:hAnsi="宋体"/>
          <w:bCs/>
          <w:color w:val="auto"/>
          <w:sz w:val="24"/>
          <w:szCs w:val="24"/>
          <w:highlight w:val="none"/>
        </w:rPr>
        <w:t xml:space="preserve">壹份，  </w:t>
      </w:r>
      <w:r>
        <w:rPr>
          <w:rFonts w:hint="eastAsia"/>
          <w:bCs/>
          <w:color w:val="auto"/>
          <w:sz w:val="24"/>
          <w:szCs w:val="24"/>
          <w:highlight w:val="none"/>
        </w:rPr>
        <w:t>医疗保障局执壹份，</w:t>
      </w:r>
      <w:r>
        <w:rPr>
          <w:rFonts w:hint="eastAsia" w:ascii="宋体" w:hAnsi="宋体"/>
          <w:bCs/>
          <w:color w:val="auto"/>
          <w:sz w:val="24"/>
          <w:szCs w:val="24"/>
          <w:highlight w:val="none"/>
        </w:rPr>
        <w:t>无锡市财政局壹份。本合同自甲方、乙方签字并加盖公章，经见证方见证后生效。</w:t>
      </w:r>
    </w:p>
    <w:p>
      <w:pPr>
        <w:spacing w:line="360" w:lineRule="auto"/>
        <w:ind w:firstLine="420"/>
        <w:rPr>
          <w:rFonts w:hint="eastAsia" w:ascii="宋体" w:hAnsi="宋体"/>
          <w:bCs/>
          <w:color w:val="auto"/>
          <w:sz w:val="24"/>
          <w:szCs w:val="24"/>
          <w:highlight w:val="none"/>
        </w:rPr>
      </w:pPr>
      <w:r>
        <w:rPr>
          <w:rFonts w:hint="eastAsia" w:ascii="宋体" w:hAnsi="宋体"/>
          <w:bCs/>
          <w:color w:val="auto"/>
          <w:sz w:val="24"/>
          <w:szCs w:val="24"/>
          <w:highlight w:val="none"/>
        </w:rPr>
        <w:t>（以下无正文）</w:t>
      </w:r>
    </w:p>
    <w:p>
      <w:pPr>
        <w:spacing w:line="360" w:lineRule="auto"/>
        <w:ind w:firstLine="420"/>
        <w:rPr>
          <w:rFonts w:ascii="宋体" w:hAnsi="宋体"/>
          <w:bCs/>
          <w:color w:val="auto"/>
          <w:sz w:val="24"/>
          <w:szCs w:val="24"/>
          <w:highlight w:val="none"/>
        </w:rPr>
      </w:pPr>
      <w:r>
        <w:rPr>
          <w:rFonts w:hint="eastAsia" w:ascii="宋体" w:hAnsi="宋体"/>
          <w:bCs/>
          <w:color w:val="auto"/>
          <w:sz w:val="24"/>
          <w:szCs w:val="24"/>
          <w:highlight w:val="none"/>
        </w:rPr>
        <w:t>甲方：（盖章）　　　</w:t>
      </w:r>
    </w:p>
    <w:p>
      <w:pPr>
        <w:spacing w:line="360" w:lineRule="auto"/>
        <w:ind w:firstLine="420"/>
        <w:rPr>
          <w:rFonts w:ascii="宋体" w:hAnsi="宋体"/>
          <w:bCs/>
          <w:color w:val="auto"/>
          <w:sz w:val="24"/>
          <w:szCs w:val="24"/>
          <w:highlight w:val="none"/>
        </w:rPr>
      </w:pPr>
      <w:r>
        <w:rPr>
          <w:rFonts w:hint="eastAsia" w:ascii="宋体" w:hAnsi="宋体"/>
          <w:bCs/>
          <w:color w:val="auto"/>
          <w:sz w:val="24"/>
          <w:szCs w:val="24"/>
          <w:highlight w:val="none"/>
        </w:rPr>
        <w:t>代表（签字）：</w:t>
      </w:r>
    </w:p>
    <w:p>
      <w:pPr>
        <w:spacing w:line="360" w:lineRule="auto"/>
        <w:ind w:firstLine="420"/>
        <w:rPr>
          <w:rFonts w:ascii="宋体" w:hAnsi="宋体"/>
          <w:bCs/>
          <w:color w:val="auto"/>
          <w:sz w:val="24"/>
          <w:szCs w:val="24"/>
          <w:highlight w:val="none"/>
        </w:rPr>
      </w:pPr>
      <w:r>
        <w:rPr>
          <w:rFonts w:hint="eastAsia" w:ascii="宋体" w:hAnsi="宋体"/>
          <w:bCs/>
          <w:color w:val="auto"/>
          <w:sz w:val="24"/>
          <w:szCs w:val="24"/>
          <w:highlight w:val="none"/>
        </w:rPr>
        <w:t xml:space="preserve">     年    月    日　         </w:t>
      </w:r>
    </w:p>
    <w:p>
      <w:pPr>
        <w:spacing w:line="360" w:lineRule="auto"/>
        <w:ind w:firstLine="420"/>
        <w:rPr>
          <w:rFonts w:hint="eastAsia" w:ascii="宋体" w:hAnsi="宋体"/>
          <w:bCs/>
          <w:color w:val="auto"/>
          <w:sz w:val="24"/>
          <w:szCs w:val="24"/>
          <w:highlight w:val="none"/>
        </w:rPr>
      </w:pPr>
    </w:p>
    <w:p>
      <w:pPr>
        <w:spacing w:line="360" w:lineRule="auto"/>
        <w:ind w:firstLine="420"/>
        <w:rPr>
          <w:rFonts w:ascii="宋体" w:hAnsi="宋体"/>
          <w:bCs/>
          <w:color w:val="auto"/>
          <w:sz w:val="24"/>
          <w:szCs w:val="24"/>
          <w:highlight w:val="none"/>
        </w:rPr>
      </w:pPr>
      <w:r>
        <w:rPr>
          <w:rFonts w:hint="eastAsia" w:ascii="宋体" w:hAnsi="宋体"/>
          <w:bCs/>
          <w:color w:val="auto"/>
          <w:sz w:val="24"/>
          <w:szCs w:val="24"/>
          <w:highlight w:val="none"/>
        </w:rPr>
        <w:t>乙方：（盖章）</w:t>
      </w:r>
    </w:p>
    <w:p>
      <w:pPr>
        <w:spacing w:line="360" w:lineRule="auto"/>
        <w:ind w:firstLine="420"/>
        <w:rPr>
          <w:rFonts w:ascii="宋体" w:hAnsi="宋体"/>
          <w:bCs/>
          <w:color w:val="auto"/>
          <w:sz w:val="24"/>
          <w:szCs w:val="24"/>
          <w:highlight w:val="none"/>
        </w:rPr>
      </w:pPr>
      <w:r>
        <w:rPr>
          <w:rFonts w:hint="eastAsia" w:ascii="宋体" w:hAnsi="宋体"/>
          <w:bCs/>
          <w:color w:val="auto"/>
          <w:sz w:val="24"/>
          <w:szCs w:val="24"/>
          <w:highlight w:val="none"/>
        </w:rPr>
        <w:t>代表（签字）：</w:t>
      </w:r>
    </w:p>
    <w:p>
      <w:pPr>
        <w:spacing w:line="360" w:lineRule="auto"/>
        <w:ind w:firstLine="420"/>
        <w:rPr>
          <w:rFonts w:ascii="宋体" w:hAnsi="宋体"/>
          <w:bCs/>
          <w:color w:val="auto"/>
          <w:sz w:val="24"/>
          <w:szCs w:val="24"/>
          <w:highlight w:val="none"/>
        </w:rPr>
      </w:pPr>
      <w:r>
        <w:rPr>
          <w:rFonts w:hint="eastAsia" w:ascii="宋体" w:hAnsi="宋体"/>
          <w:bCs/>
          <w:color w:val="auto"/>
          <w:sz w:val="24"/>
          <w:szCs w:val="24"/>
          <w:highlight w:val="none"/>
        </w:rPr>
        <w:t xml:space="preserve">     年  　 月 　  日</w:t>
      </w:r>
    </w:p>
    <w:p>
      <w:pPr>
        <w:spacing w:line="360" w:lineRule="auto"/>
        <w:ind w:firstLine="420"/>
        <w:rPr>
          <w:rFonts w:hint="eastAsia" w:ascii="宋体" w:hAnsi="宋体"/>
          <w:bCs/>
          <w:color w:val="auto"/>
          <w:sz w:val="24"/>
          <w:szCs w:val="24"/>
          <w:highlight w:val="none"/>
        </w:rPr>
      </w:pPr>
    </w:p>
    <w:p>
      <w:pPr>
        <w:spacing w:line="360" w:lineRule="auto"/>
        <w:ind w:firstLine="420"/>
        <w:rPr>
          <w:rFonts w:ascii="宋体" w:hAnsi="宋体"/>
          <w:bCs/>
          <w:color w:val="auto"/>
          <w:sz w:val="24"/>
          <w:szCs w:val="24"/>
          <w:highlight w:val="none"/>
        </w:rPr>
      </w:pPr>
      <w:r>
        <w:rPr>
          <w:rFonts w:hint="eastAsia" w:ascii="宋体" w:hAnsi="宋体"/>
          <w:bCs/>
          <w:color w:val="auto"/>
          <w:sz w:val="24"/>
          <w:szCs w:val="24"/>
          <w:highlight w:val="none"/>
        </w:rPr>
        <w:t>丙方：（盖章）</w:t>
      </w:r>
    </w:p>
    <w:p>
      <w:pPr>
        <w:spacing w:line="360" w:lineRule="auto"/>
        <w:ind w:firstLine="420"/>
        <w:rPr>
          <w:rFonts w:ascii="宋体" w:hAnsi="宋体"/>
          <w:bCs/>
          <w:color w:val="auto"/>
          <w:sz w:val="24"/>
          <w:szCs w:val="24"/>
          <w:highlight w:val="none"/>
        </w:rPr>
      </w:pPr>
      <w:r>
        <w:rPr>
          <w:rFonts w:hint="eastAsia" w:ascii="宋体" w:hAnsi="宋体"/>
          <w:bCs/>
          <w:color w:val="auto"/>
          <w:sz w:val="24"/>
          <w:szCs w:val="24"/>
          <w:highlight w:val="none"/>
        </w:rPr>
        <w:t>代表（签字）：</w:t>
      </w:r>
    </w:p>
    <w:p>
      <w:pPr>
        <w:spacing w:line="360" w:lineRule="auto"/>
        <w:ind w:firstLine="420"/>
        <w:rPr>
          <w:rFonts w:ascii="黑体" w:hAnsi="黑体" w:eastAsia="黑体"/>
          <w:color w:val="auto"/>
          <w:sz w:val="24"/>
          <w:szCs w:val="24"/>
          <w:highlight w:val="none"/>
        </w:rPr>
      </w:pPr>
      <w:r>
        <w:rPr>
          <w:rFonts w:hint="eastAsia" w:ascii="宋体" w:hAnsi="宋体"/>
          <w:bCs/>
          <w:color w:val="auto"/>
          <w:sz w:val="24"/>
          <w:szCs w:val="24"/>
          <w:highlight w:val="none"/>
        </w:rPr>
        <w:t xml:space="preserve">     年   　月  　 日</w:t>
      </w:r>
    </w:p>
    <w:p>
      <w:pPr>
        <w:spacing w:line="360" w:lineRule="auto"/>
        <w:jc w:val="center"/>
        <w:rPr>
          <w:rFonts w:ascii="黑体" w:hAnsi="黑体" w:eastAsia="黑体"/>
          <w:color w:val="auto"/>
          <w:sz w:val="28"/>
          <w:szCs w:val="28"/>
          <w:highlight w:val="none"/>
        </w:rPr>
      </w:pPr>
    </w:p>
    <w:p>
      <w:pPr>
        <w:spacing w:line="360" w:lineRule="auto"/>
        <w:jc w:val="center"/>
        <w:rPr>
          <w:rFonts w:ascii="黑体" w:hAnsi="黑体" w:eastAsia="黑体"/>
          <w:color w:val="auto"/>
          <w:sz w:val="28"/>
          <w:szCs w:val="28"/>
          <w:highlight w:val="none"/>
        </w:rPr>
      </w:pPr>
    </w:p>
    <w:p>
      <w:pPr>
        <w:spacing w:line="360" w:lineRule="auto"/>
        <w:jc w:val="center"/>
        <w:rPr>
          <w:rFonts w:ascii="黑体" w:hAnsi="黑体" w:eastAsia="黑体"/>
          <w:color w:val="auto"/>
          <w:sz w:val="28"/>
          <w:szCs w:val="28"/>
          <w:highlight w:val="none"/>
        </w:rPr>
      </w:pPr>
    </w:p>
    <w:p>
      <w:pPr>
        <w:spacing w:line="360" w:lineRule="auto"/>
        <w:jc w:val="left"/>
        <w:rPr>
          <w:rFonts w:hint="eastAsia" w:ascii="黑体" w:hAnsi="黑体" w:eastAsia="黑体"/>
          <w:color w:val="auto"/>
          <w:sz w:val="28"/>
          <w:szCs w:val="28"/>
          <w:highlight w:val="none"/>
        </w:rPr>
      </w:pPr>
      <w:r>
        <w:rPr>
          <w:rFonts w:ascii="黑体" w:hAnsi="黑体" w:eastAsia="黑体"/>
          <w:color w:val="auto"/>
          <w:sz w:val="28"/>
          <w:szCs w:val="28"/>
          <w:highlight w:val="none"/>
        </w:rPr>
        <w:br w:type="page"/>
      </w:r>
      <w:r>
        <w:rPr>
          <w:rFonts w:hint="eastAsia" w:ascii="黑体" w:hAnsi="黑体" w:eastAsia="黑体"/>
          <w:color w:val="auto"/>
          <w:sz w:val="28"/>
          <w:szCs w:val="28"/>
          <w:highlight w:val="none"/>
        </w:rPr>
        <w:t>五、投标文件格式（商务标·明标）</w:t>
      </w:r>
    </w:p>
    <w:p>
      <w:pPr>
        <w:ind w:firstLine="880"/>
        <w:jc w:val="center"/>
        <w:rPr>
          <w:rFonts w:hint="eastAsia" w:ascii="黑体" w:hAnsi="华文中宋" w:eastAsia="黑体"/>
          <w:bCs/>
          <w:color w:val="auto"/>
          <w:sz w:val="44"/>
          <w:szCs w:val="44"/>
          <w:highlight w:val="none"/>
        </w:rPr>
      </w:pPr>
      <w:r>
        <w:rPr>
          <w:rFonts w:hint="eastAsia" w:ascii="黑体" w:hAnsi="华文中宋" w:eastAsia="黑体"/>
          <w:bCs/>
          <w:color w:val="auto"/>
          <w:sz w:val="44"/>
          <w:szCs w:val="44"/>
          <w:highlight w:val="none"/>
        </w:rPr>
        <mc:AlternateContent>
          <mc:Choice Requires="wps">
            <w:drawing>
              <wp:anchor distT="0" distB="0" distL="114300" distR="114300" simplePos="0" relativeHeight="251670528" behindDoc="0" locked="0" layoutInCell="1" allowOverlap="1">
                <wp:simplePos x="0" y="0"/>
                <wp:positionH relativeFrom="column">
                  <wp:posOffset>4857115</wp:posOffset>
                </wp:positionH>
                <wp:positionV relativeFrom="paragraph">
                  <wp:posOffset>58420</wp:posOffset>
                </wp:positionV>
                <wp:extent cx="1378585" cy="747395"/>
                <wp:effectExtent l="8890" t="10795" r="12700" b="13335"/>
                <wp:wrapNone/>
                <wp:docPr id="30" name="矩形 216"/>
                <wp:cNvGraphicFramePr/>
                <a:graphic xmlns:a="http://schemas.openxmlformats.org/drawingml/2006/main">
                  <a:graphicData uri="http://schemas.microsoft.com/office/word/2010/wordprocessingShape">
                    <wps:wsp>
                      <wps:cNvSpPr>
                        <a:spLocks noChangeArrowheads="1"/>
                      </wps:cNvSpPr>
                      <wps:spPr bwMode="auto">
                        <a:xfrm>
                          <a:off x="0" y="0"/>
                          <a:ext cx="1378585" cy="747395"/>
                        </a:xfrm>
                        <a:prstGeom prst="rect">
                          <a:avLst/>
                        </a:prstGeom>
                        <a:solidFill>
                          <a:srgbClr val="FFFFFF"/>
                        </a:solidFill>
                        <a:ln w="9525">
                          <a:solidFill>
                            <a:srgbClr val="000000"/>
                          </a:solidFill>
                          <a:miter lim="800000"/>
                        </a:ln>
                      </wps:spPr>
                      <wps:txbx>
                        <w:txbxContent>
                          <w:p>
                            <w:pPr>
                              <w:jc w:val="center"/>
                              <w:rPr>
                                <w:b/>
                                <w:sz w:val="72"/>
                                <w:szCs w:val="72"/>
                              </w:rPr>
                            </w:pPr>
                            <w:r>
                              <w:rPr>
                                <w:rFonts w:hint="eastAsia"/>
                                <w:b/>
                                <w:sz w:val="72"/>
                                <w:szCs w:val="72"/>
                              </w:rPr>
                              <w:t>正本</w:t>
                            </w:r>
                          </w:p>
                        </w:txbxContent>
                      </wps:txbx>
                      <wps:bodyPr rot="0" vert="horz" wrap="square" lIns="91440" tIns="45720" rIns="91440" bIns="45720" anchor="t" anchorCtr="0" upright="1">
                        <a:noAutofit/>
                      </wps:bodyPr>
                    </wps:wsp>
                  </a:graphicData>
                </a:graphic>
              </wp:anchor>
            </w:drawing>
          </mc:Choice>
          <mc:Fallback>
            <w:pict>
              <v:rect id="矩形 216" o:spid="_x0000_s1026" o:spt="1" style="position:absolute;left:0pt;margin-left:382.45pt;margin-top:4.6pt;height:58.85pt;width:108.55pt;z-index:251670528;mso-width-relative:page;mso-height-relative:page;" fillcolor="#FFFFFF" filled="t" stroked="t" coordsize="21600,21600" o:gfxdata="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FBpCzzXAAAACQEAAA8AAAAAAAAAAQAgAAAAIgAAAGRycy9k&#10;b3ducmV2LnhtbFBLAQIUABQAAAAIAIdO4kDuorFLPAIAAH0EAAAOAAAAAAAAAAEAIAAAACYBAABk&#10;cnMvZTJvRG9jLnhtbFBLBQYAAAAABgAGAFkBAADUBQAAAAA=&#10;">
                <v:fill on="t" focussize="0,0"/>
                <v:stroke color="#000000" miterlimit="8" joinstyle="miter"/>
                <v:imagedata o:title=""/>
                <o:lock v:ext="edit" aspectratio="f"/>
                <v:textbox>
                  <w:txbxContent>
                    <w:p>
                      <w:pPr>
                        <w:jc w:val="center"/>
                        <w:rPr>
                          <w:b/>
                          <w:sz w:val="72"/>
                          <w:szCs w:val="72"/>
                        </w:rPr>
                      </w:pPr>
                      <w:r>
                        <w:rPr>
                          <w:rFonts w:hint="eastAsia"/>
                          <w:b/>
                          <w:sz w:val="72"/>
                          <w:szCs w:val="72"/>
                        </w:rPr>
                        <w:t>正本</w:t>
                      </w:r>
                    </w:p>
                  </w:txbxContent>
                </v:textbox>
              </v:rect>
            </w:pict>
          </mc:Fallback>
        </mc:AlternateContent>
      </w:r>
    </w:p>
    <w:p>
      <w:pPr>
        <w:ind w:firstLine="880"/>
        <w:jc w:val="center"/>
        <w:rPr>
          <w:rFonts w:hint="eastAsia" w:ascii="黑体" w:hAnsi="华文中宋" w:eastAsia="黑体"/>
          <w:bCs/>
          <w:color w:val="auto"/>
          <w:sz w:val="44"/>
          <w:szCs w:val="44"/>
          <w:highlight w:val="none"/>
        </w:rPr>
      </w:pPr>
    </w:p>
    <w:p>
      <w:pPr>
        <w:ind w:firstLine="880"/>
        <w:jc w:val="center"/>
        <w:rPr>
          <w:rFonts w:hint="eastAsia" w:ascii="黑体" w:hAnsi="华文中宋" w:eastAsia="黑体"/>
          <w:bCs/>
          <w:color w:val="auto"/>
          <w:sz w:val="44"/>
          <w:szCs w:val="44"/>
          <w:highlight w:val="none"/>
        </w:rPr>
      </w:pPr>
    </w:p>
    <w:p>
      <w:pPr>
        <w:jc w:val="center"/>
        <w:rPr>
          <w:rFonts w:hint="eastAsia" w:ascii="黑体" w:hAnsi="黑体" w:eastAsia="黑体"/>
          <w:color w:val="auto"/>
          <w:sz w:val="56"/>
          <w:szCs w:val="56"/>
          <w:highlight w:val="none"/>
        </w:rPr>
      </w:pPr>
      <w:r>
        <w:rPr>
          <w:rFonts w:hint="eastAsia" w:ascii="黑体" w:hAnsi="黑体" w:eastAsia="黑体"/>
          <w:color w:val="auto"/>
          <w:sz w:val="56"/>
          <w:szCs w:val="56"/>
          <w:highlight w:val="none"/>
        </w:rPr>
        <w:t>无锡市城乡居民大病保险项目</w:t>
      </w:r>
    </w:p>
    <w:p>
      <w:pPr>
        <w:ind w:firstLine="1040"/>
        <w:rPr>
          <w:rFonts w:hint="eastAsia" w:ascii="黑体" w:eastAsia="黑体"/>
          <w:bCs/>
          <w:color w:val="auto"/>
          <w:sz w:val="52"/>
          <w:szCs w:val="52"/>
          <w:highlight w:val="none"/>
        </w:rPr>
      </w:pPr>
    </w:p>
    <w:p>
      <w:pPr>
        <w:jc w:val="center"/>
        <w:rPr>
          <w:rFonts w:hint="eastAsia" w:ascii="黑体" w:eastAsia="黑体"/>
          <w:bCs/>
          <w:color w:val="auto"/>
          <w:sz w:val="72"/>
          <w:szCs w:val="72"/>
          <w:highlight w:val="none"/>
        </w:rPr>
      </w:pPr>
      <w:r>
        <w:rPr>
          <w:rFonts w:hint="eastAsia" w:ascii="黑体" w:eastAsia="黑体"/>
          <w:bCs/>
          <w:color w:val="auto"/>
          <w:sz w:val="52"/>
          <w:szCs w:val="72"/>
          <w:highlight w:val="none"/>
        </w:rPr>
        <w:t>投标文件（第一标段）</w:t>
      </w:r>
    </w:p>
    <w:p>
      <w:pPr>
        <w:ind w:firstLine="560"/>
        <w:rPr>
          <w:rFonts w:hint="eastAsia" w:ascii="黑体" w:eastAsia="黑体"/>
          <w:bCs/>
          <w:color w:val="auto"/>
          <w:sz w:val="28"/>
          <w:szCs w:val="28"/>
          <w:highlight w:val="none"/>
        </w:rPr>
      </w:pPr>
    </w:p>
    <w:p>
      <w:pPr>
        <w:ind w:firstLine="560"/>
        <w:rPr>
          <w:rFonts w:hint="eastAsia" w:ascii="黑体" w:eastAsia="黑体"/>
          <w:bCs/>
          <w:color w:val="auto"/>
          <w:sz w:val="28"/>
          <w:szCs w:val="28"/>
          <w:highlight w:val="none"/>
        </w:rPr>
      </w:pPr>
    </w:p>
    <w:p>
      <w:pPr>
        <w:ind w:firstLine="560"/>
        <w:rPr>
          <w:rFonts w:hint="eastAsia" w:ascii="黑体" w:eastAsia="黑体"/>
          <w:bCs/>
          <w:color w:val="auto"/>
          <w:sz w:val="28"/>
          <w:szCs w:val="28"/>
          <w:highlight w:val="none"/>
        </w:rPr>
      </w:pPr>
    </w:p>
    <w:p>
      <w:pPr>
        <w:ind w:firstLine="560"/>
        <w:rPr>
          <w:rFonts w:hint="eastAsia" w:ascii="黑体" w:eastAsia="黑体"/>
          <w:bCs/>
          <w:color w:val="auto"/>
          <w:sz w:val="28"/>
          <w:szCs w:val="28"/>
          <w:highlight w:val="none"/>
        </w:rPr>
      </w:pPr>
    </w:p>
    <w:p>
      <w:pPr>
        <w:spacing w:line="360" w:lineRule="auto"/>
        <w:ind w:firstLine="2640" w:firstLineChars="600"/>
        <w:rPr>
          <w:rFonts w:hint="eastAsia" w:ascii="黑体" w:eastAsia="黑体"/>
          <w:bCs/>
          <w:color w:val="auto"/>
          <w:sz w:val="44"/>
          <w:szCs w:val="44"/>
          <w:highlight w:val="none"/>
        </w:rPr>
      </w:pPr>
      <w:r>
        <w:rPr>
          <w:rFonts w:hint="eastAsia" w:ascii="黑体" w:eastAsia="黑体"/>
          <w:bCs/>
          <w:color w:val="auto"/>
          <w:sz w:val="44"/>
          <w:szCs w:val="44"/>
          <w:highlight w:val="none"/>
        </w:rPr>
        <w:t>编号：HTBXJJCG2023-01</w:t>
      </w:r>
    </w:p>
    <w:p>
      <w:pPr>
        <w:spacing w:line="360" w:lineRule="auto"/>
        <w:ind w:firstLine="2640" w:firstLineChars="600"/>
        <w:rPr>
          <w:rFonts w:hint="eastAsia" w:ascii="黑体" w:eastAsia="黑体"/>
          <w:bCs/>
          <w:color w:val="auto"/>
          <w:sz w:val="44"/>
          <w:szCs w:val="44"/>
          <w:highlight w:val="none"/>
        </w:rPr>
      </w:pPr>
      <w:r>
        <w:rPr>
          <w:rFonts w:hint="eastAsia" w:ascii="黑体" w:eastAsia="黑体"/>
          <w:bCs/>
          <w:color w:val="auto"/>
          <w:sz w:val="44"/>
          <w:szCs w:val="44"/>
          <w:highlight w:val="none"/>
        </w:rPr>
        <w:t>投标人：</w:t>
      </w:r>
    </w:p>
    <w:p>
      <w:pPr>
        <w:ind w:firstLine="640"/>
        <w:rPr>
          <w:rFonts w:hint="eastAsia" w:ascii="黑体" w:eastAsia="黑体"/>
          <w:bCs/>
          <w:color w:val="auto"/>
          <w:sz w:val="32"/>
          <w:highlight w:val="none"/>
        </w:rPr>
      </w:pPr>
    </w:p>
    <w:p>
      <w:pPr>
        <w:ind w:firstLine="640"/>
        <w:rPr>
          <w:rFonts w:hint="eastAsia" w:ascii="黑体" w:eastAsia="黑体"/>
          <w:bCs/>
          <w:color w:val="auto"/>
          <w:sz w:val="32"/>
          <w:highlight w:val="none"/>
        </w:rPr>
      </w:pPr>
    </w:p>
    <w:p>
      <w:pPr>
        <w:ind w:firstLine="640"/>
        <w:rPr>
          <w:rFonts w:hint="eastAsia" w:ascii="黑体" w:eastAsia="黑体"/>
          <w:bCs/>
          <w:color w:val="auto"/>
          <w:sz w:val="32"/>
          <w:highlight w:val="none"/>
        </w:rPr>
      </w:pPr>
    </w:p>
    <w:p>
      <w:pPr>
        <w:ind w:firstLine="640"/>
        <w:rPr>
          <w:rFonts w:hint="eastAsia" w:ascii="黑体" w:eastAsia="黑体"/>
          <w:bCs/>
          <w:color w:val="auto"/>
          <w:sz w:val="32"/>
          <w:highlight w:val="none"/>
        </w:rPr>
      </w:pPr>
    </w:p>
    <w:p>
      <w:pPr>
        <w:ind w:firstLine="640"/>
        <w:rPr>
          <w:rFonts w:hint="eastAsia" w:ascii="黑体" w:eastAsia="黑体"/>
          <w:bCs/>
          <w:color w:val="auto"/>
          <w:sz w:val="32"/>
          <w:highlight w:val="none"/>
        </w:rPr>
      </w:pPr>
    </w:p>
    <w:p>
      <w:pPr>
        <w:jc w:val="center"/>
        <w:rPr>
          <w:rFonts w:hint="eastAsia" w:ascii="黑体" w:hAnsi="黑体" w:eastAsia="黑体"/>
          <w:b/>
          <w:color w:val="auto"/>
          <w:sz w:val="30"/>
          <w:szCs w:val="30"/>
          <w:highlight w:val="none"/>
        </w:rPr>
      </w:pPr>
      <w:r>
        <w:rPr>
          <w:rFonts w:hint="eastAsia" w:ascii="黑体" w:eastAsia="黑体"/>
          <w:bCs/>
          <w:color w:val="auto"/>
          <w:sz w:val="44"/>
          <w:szCs w:val="44"/>
          <w:highlight w:val="none"/>
        </w:rPr>
        <w:t>二</w:t>
      </w:r>
      <w:r>
        <w:rPr>
          <w:rFonts w:hint="eastAsia" w:ascii="黑体" w:eastAsia="黑体"/>
          <w:bCs/>
          <w:color w:val="auto"/>
          <w:sz w:val="36"/>
          <w:szCs w:val="36"/>
          <w:highlight w:val="none"/>
        </w:rPr>
        <w:t>○</w:t>
      </w:r>
      <w:r>
        <w:rPr>
          <w:rFonts w:hint="eastAsia" w:ascii="黑体" w:eastAsia="黑体"/>
          <w:bCs/>
          <w:color w:val="auto"/>
          <w:sz w:val="44"/>
          <w:szCs w:val="44"/>
          <w:highlight w:val="none"/>
        </w:rPr>
        <w:t>二三年三月二十日</w:t>
      </w:r>
    </w:p>
    <w:p>
      <w:pPr>
        <w:spacing w:line="400" w:lineRule="exact"/>
        <w:ind w:left="1675" w:leftChars="798" w:firstLine="602"/>
        <w:rPr>
          <w:rFonts w:hint="eastAsia" w:ascii="黑体" w:hAnsi="黑体" w:eastAsia="黑体"/>
          <w:b/>
          <w:color w:val="auto"/>
          <w:sz w:val="30"/>
          <w:szCs w:val="30"/>
          <w:highlight w:val="none"/>
        </w:rPr>
      </w:pPr>
    </w:p>
    <w:p>
      <w:pPr>
        <w:spacing w:line="360" w:lineRule="auto"/>
        <w:jc w:val="center"/>
        <w:rPr>
          <w:rFonts w:hint="eastAsia" w:ascii="黑体" w:hAnsi="宋体" w:eastAsia="黑体"/>
          <w:bCs/>
          <w:color w:val="auto"/>
          <w:sz w:val="24"/>
          <w:szCs w:val="24"/>
          <w:highlight w:val="none"/>
        </w:rPr>
      </w:pPr>
    </w:p>
    <w:p>
      <w:pPr>
        <w:rPr>
          <w:rFonts w:hint="eastAsia" w:ascii="黑体" w:hAnsi="宋体" w:eastAsia="黑体"/>
          <w:bCs/>
          <w:color w:val="auto"/>
          <w:sz w:val="24"/>
          <w:szCs w:val="24"/>
          <w:highlight w:val="none"/>
        </w:rPr>
      </w:pPr>
    </w:p>
    <w:p>
      <w:pPr>
        <w:rPr>
          <w:rFonts w:hint="eastAsia" w:ascii="黑体" w:hAnsi="宋体" w:eastAsia="黑体"/>
          <w:bCs/>
          <w:color w:val="auto"/>
          <w:sz w:val="24"/>
          <w:szCs w:val="24"/>
          <w:highlight w:val="none"/>
        </w:rPr>
      </w:pPr>
    </w:p>
    <w:p>
      <w:pPr>
        <w:ind w:firstLine="880"/>
        <w:jc w:val="center"/>
        <w:rPr>
          <w:rFonts w:hint="eastAsia" w:ascii="黑体" w:hAnsi="华文中宋" w:eastAsia="黑体"/>
          <w:bCs/>
          <w:color w:val="auto"/>
          <w:sz w:val="44"/>
          <w:szCs w:val="44"/>
          <w:highlight w:val="none"/>
        </w:rPr>
      </w:pPr>
      <w:r>
        <w:rPr>
          <w:rFonts w:ascii="黑体" w:hAnsi="宋体" w:eastAsia="黑体"/>
          <w:bCs/>
          <w:color w:val="auto"/>
          <w:sz w:val="24"/>
          <w:szCs w:val="24"/>
          <w:highlight w:val="none"/>
        </w:rPr>
        <w:br w:type="page"/>
      </w:r>
      <w:r>
        <w:rPr>
          <w:rFonts w:hint="eastAsia" w:ascii="黑体" w:hAnsi="华文中宋" w:eastAsia="黑体"/>
          <w:bCs/>
          <w:color w:val="auto"/>
          <w:sz w:val="44"/>
          <w:szCs w:val="44"/>
          <w:highlight w:val="none"/>
        </w:rPr>
        <mc:AlternateContent>
          <mc:Choice Requires="wps">
            <w:drawing>
              <wp:anchor distT="0" distB="0" distL="114300" distR="114300" simplePos="0" relativeHeight="251671552" behindDoc="0" locked="0" layoutInCell="1" allowOverlap="1">
                <wp:simplePos x="0" y="0"/>
                <wp:positionH relativeFrom="column">
                  <wp:posOffset>4857115</wp:posOffset>
                </wp:positionH>
                <wp:positionV relativeFrom="paragraph">
                  <wp:posOffset>58420</wp:posOffset>
                </wp:positionV>
                <wp:extent cx="1378585" cy="747395"/>
                <wp:effectExtent l="8890" t="10795" r="12700" b="13335"/>
                <wp:wrapNone/>
                <wp:docPr id="29" name="矩形 216"/>
                <wp:cNvGraphicFramePr/>
                <a:graphic xmlns:a="http://schemas.openxmlformats.org/drawingml/2006/main">
                  <a:graphicData uri="http://schemas.microsoft.com/office/word/2010/wordprocessingShape">
                    <wps:wsp>
                      <wps:cNvSpPr>
                        <a:spLocks noChangeArrowheads="1"/>
                      </wps:cNvSpPr>
                      <wps:spPr bwMode="auto">
                        <a:xfrm>
                          <a:off x="0" y="0"/>
                          <a:ext cx="1378585" cy="747395"/>
                        </a:xfrm>
                        <a:prstGeom prst="rect">
                          <a:avLst/>
                        </a:prstGeom>
                        <a:solidFill>
                          <a:srgbClr val="FFFFFF"/>
                        </a:solidFill>
                        <a:ln w="9525">
                          <a:solidFill>
                            <a:srgbClr val="000000"/>
                          </a:solidFill>
                          <a:miter lim="800000"/>
                        </a:ln>
                      </wps:spPr>
                      <wps:txbx>
                        <w:txbxContent>
                          <w:p>
                            <w:pPr>
                              <w:jc w:val="center"/>
                              <w:rPr>
                                <w:b/>
                                <w:sz w:val="72"/>
                                <w:szCs w:val="72"/>
                              </w:rPr>
                            </w:pPr>
                            <w:r>
                              <w:rPr>
                                <w:rFonts w:hint="eastAsia"/>
                                <w:b/>
                                <w:sz w:val="72"/>
                                <w:szCs w:val="72"/>
                              </w:rPr>
                              <w:t>副本</w:t>
                            </w:r>
                          </w:p>
                        </w:txbxContent>
                      </wps:txbx>
                      <wps:bodyPr rot="0" vert="horz" wrap="square" lIns="91440" tIns="45720" rIns="91440" bIns="45720" anchor="t" anchorCtr="0" upright="1">
                        <a:noAutofit/>
                      </wps:bodyPr>
                    </wps:wsp>
                  </a:graphicData>
                </a:graphic>
              </wp:anchor>
            </w:drawing>
          </mc:Choice>
          <mc:Fallback>
            <w:pict>
              <v:rect id="矩形 216" o:spid="_x0000_s1026" o:spt="1" style="position:absolute;left:0pt;margin-left:382.45pt;margin-top:4.6pt;height:58.85pt;width:108.55pt;z-index:251671552;mso-width-relative:page;mso-height-relative:page;" fillcolor="#FFFFFF" filled="t" stroked="t" coordsize="21600,21600" o:gfxdata="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FBpCzzXAAAACQEAAA8AAAAAAAAAAQAgAAAAIgAAAGRycy9k&#10;b3ducmV2LnhtbFBLAQIUABQAAAAIAIdO4kBj5hFtPAIAAH0EAAAOAAAAAAAAAAEAIAAAACYBAABk&#10;cnMvZTJvRG9jLnhtbFBLBQYAAAAABgAGAFkBAADUBQAAAAA=&#10;">
                <v:fill on="t" focussize="0,0"/>
                <v:stroke color="#000000" miterlimit="8" joinstyle="miter"/>
                <v:imagedata o:title=""/>
                <o:lock v:ext="edit" aspectratio="f"/>
                <v:textbox>
                  <w:txbxContent>
                    <w:p>
                      <w:pPr>
                        <w:jc w:val="center"/>
                        <w:rPr>
                          <w:b/>
                          <w:sz w:val="72"/>
                          <w:szCs w:val="72"/>
                        </w:rPr>
                      </w:pPr>
                      <w:r>
                        <w:rPr>
                          <w:rFonts w:hint="eastAsia"/>
                          <w:b/>
                          <w:sz w:val="72"/>
                          <w:szCs w:val="72"/>
                        </w:rPr>
                        <w:t>副本</w:t>
                      </w:r>
                    </w:p>
                  </w:txbxContent>
                </v:textbox>
              </v:rect>
            </w:pict>
          </mc:Fallback>
        </mc:AlternateContent>
      </w:r>
    </w:p>
    <w:p>
      <w:pPr>
        <w:ind w:firstLine="880"/>
        <w:jc w:val="center"/>
        <w:rPr>
          <w:rFonts w:hint="eastAsia" w:ascii="黑体" w:hAnsi="华文中宋" w:eastAsia="黑体"/>
          <w:bCs/>
          <w:color w:val="auto"/>
          <w:sz w:val="44"/>
          <w:szCs w:val="44"/>
          <w:highlight w:val="none"/>
        </w:rPr>
      </w:pPr>
    </w:p>
    <w:p>
      <w:pPr>
        <w:ind w:firstLine="880"/>
        <w:jc w:val="center"/>
        <w:rPr>
          <w:rFonts w:hint="eastAsia" w:ascii="黑体" w:hAnsi="华文中宋" w:eastAsia="黑体"/>
          <w:bCs/>
          <w:color w:val="auto"/>
          <w:sz w:val="44"/>
          <w:szCs w:val="44"/>
          <w:highlight w:val="none"/>
        </w:rPr>
      </w:pPr>
    </w:p>
    <w:p>
      <w:pPr>
        <w:jc w:val="center"/>
        <w:rPr>
          <w:rFonts w:hint="eastAsia" w:ascii="黑体" w:hAnsi="黑体" w:eastAsia="黑体"/>
          <w:color w:val="auto"/>
          <w:sz w:val="56"/>
          <w:szCs w:val="56"/>
          <w:highlight w:val="none"/>
        </w:rPr>
      </w:pPr>
      <w:r>
        <w:rPr>
          <w:rFonts w:hint="eastAsia" w:ascii="黑体" w:hAnsi="黑体" w:eastAsia="黑体"/>
          <w:color w:val="auto"/>
          <w:sz w:val="56"/>
          <w:szCs w:val="56"/>
          <w:highlight w:val="none"/>
        </w:rPr>
        <w:t>无锡市城乡居民大病保险项目</w:t>
      </w:r>
    </w:p>
    <w:p>
      <w:pPr>
        <w:ind w:firstLine="1040"/>
        <w:rPr>
          <w:rFonts w:hint="eastAsia" w:ascii="黑体" w:eastAsia="黑体"/>
          <w:bCs/>
          <w:color w:val="auto"/>
          <w:sz w:val="52"/>
          <w:szCs w:val="52"/>
          <w:highlight w:val="none"/>
        </w:rPr>
      </w:pPr>
    </w:p>
    <w:p>
      <w:pPr>
        <w:jc w:val="center"/>
        <w:rPr>
          <w:rFonts w:hint="eastAsia" w:ascii="黑体" w:eastAsia="黑体"/>
          <w:bCs/>
          <w:color w:val="auto"/>
          <w:sz w:val="72"/>
          <w:szCs w:val="72"/>
          <w:highlight w:val="none"/>
        </w:rPr>
      </w:pPr>
      <w:r>
        <w:rPr>
          <w:rFonts w:hint="eastAsia" w:ascii="黑体" w:eastAsia="黑体"/>
          <w:bCs/>
          <w:color w:val="auto"/>
          <w:sz w:val="52"/>
          <w:szCs w:val="72"/>
          <w:highlight w:val="none"/>
        </w:rPr>
        <w:t>投标文件（第一标段）</w:t>
      </w:r>
    </w:p>
    <w:p>
      <w:pPr>
        <w:ind w:firstLine="560"/>
        <w:rPr>
          <w:rFonts w:hint="eastAsia" w:ascii="黑体" w:eastAsia="黑体"/>
          <w:bCs/>
          <w:color w:val="auto"/>
          <w:sz w:val="28"/>
          <w:szCs w:val="28"/>
          <w:highlight w:val="none"/>
        </w:rPr>
      </w:pPr>
    </w:p>
    <w:p>
      <w:pPr>
        <w:ind w:firstLine="560"/>
        <w:rPr>
          <w:rFonts w:hint="eastAsia" w:ascii="黑体" w:eastAsia="黑体"/>
          <w:bCs/>
          <w:color w:val="auto"/>
          <w:sz w:val="28"/>
          <w:szCs w:val="28"/>
          <w:highlight w:val="none"/>
        </w:rPr>
      </w:pPr>
    </w:p>
    <w:p>
      <w:pPr>
        <w:ind w:firstLine="560"/>
        <w:rPr>
          <w:rFonts w:hint="eastAsia" w:ascii="黑体" w:eastAsia="黑体"/>
          <w:bCs/>
          <w:color w:val="auto"/>
          <w:sz w:val="28"/>
          <w:szCs w:val="28"/>
          <w:highlight w:val="none"/>
        </w:rPr>
      </w:pPr>
    </w:p>
    <w:p>
      <w:pPr>
        <w:ind w:firstLine="560"/>
        <w:rPr>
          <w:rFonts w:hint="eastAsia" w:ascii="黑体" w:eastAsia="黑体"/>
          <w:bCs/>
          <w:color w:val="auto"/>
          <w:sz w:val="28"/>
          <w:szCs w:val="28"/>
          <w:highlight w:val="none"/>
        </w:rPr>
      </w:pPr>
    </w:p>
    <w:p>
      <w:pPr>
        <w:spacing w:line="360" w:lineRule="auto"/>
        <w:ind w:firstLine="2640" w:firstLineChars="600"/>
        <w:rPr>
          <w:rFonts w:hint="eastAsia" w:ascii="黑体" w:eastAsia="黑体"/>
          <w:bCs/>
          <w:color w:val="auto"/>
          <w:sz w:val="44"/>
          <w:szCs w:val="44"/>
          <w:highlight w:val="none"/>
        </w:rPr>
      </w:pPr>
      <w:r>
        <w:rPr>
          <w:rFonts w:hint="eastAsia" w:ascii="黑体" w:eastAsia="黑体"/>
          <w:bCs/>
          <w:color w:val="auto"/>
          <w:sz w:val="44"/>
          <w:szCs w:val="44"/>
          <w:highlight w:val="none"/>
        </w:rPr>
        <w:t>编号：HTBXJJCG2023-01</w:t>
      </w:r>
    </w:p>
    <w:p>
      <w:pPr>
        <w:spacing w:line="360" w:lineRule="auto"/>
        <w:ind w:firstLine="2640" w:firstLineChars="600"/>
        <w:rPr>
          <w:rFonts w:hint="eastAsia" w:ascii="黑体" w:eastAsia="黑体"/>
          <w:bCs/>
          <w:color w:val="auto"/>
          <w:sz w:val="44"/>
          <w:szCs w:val="44"/>
          <w:highlight w:val="none"/>
        </w:rPr>
      </w:pPr>
      <w:r>
        <w:rPr>
          <w:rFonts w:hint="eastAsia" w:ascii="黑体" w:eastAsia="黑体"/>
          <w:bCs/>
          <w:color w:val="auto"/>
          <w:sz w:val="44"/>
          <w:szCs w:val="44"/>
          <w:highlight w:val="none"/>
        </w:rPr>
        <w:t>投标人：</w:t>
      </w:r>
    </w:p>
    <w:p>
      <w:pPr>
        <w:ind w:firstLine="640"/>
        <w:rPr>
          <w:rFonts w:hint="eastAsia" w:ascii="黑体" w:eastAsia="黑体"/>
          <w:bCs/>
          <w:color w:val="auto"/>
          <w:sz w:val="32"/>
          <w:highlight w:val="none"/>
        </w:rPr>
      </w:pPr>
    </w:p>
    <w:p>
      <w:pPr>
        <w:ind w:firstLine="640"/>
        <w:rPr>
          <w:rFonts w:hint="eastAsia" w:ascii="黑体" w:eastAsia="黑体"/>
          <w:bCs/>
          <w:color w:val="auto"/>
          <w:sz w:val="32"/>
          <w:highlight w:val="none"/>
        </w:rPr>
      </w:pPr>
    </w:p>
    <w:p>
      <w:pPr>
        <w:ind w:firstLine="640"/>
        <w:rPr>
          <w:rFonts w:hint="eastAsia" w:ascii="黑体" w:eastAsia="黑体"/>
          <w:bCs/>
          <w:color w:val="auto"/>
          <w:sz w:val="32"/>
          <w:highlight w:val="none"/>
        </w:rPr>
      </w:pPr>
    </w:p>
    <w:p>
      <w:pPr>
        <w:ind w:firstLine="640"/>
        <w:rPr>
          <w:rFonts w:hint="eastAsia" w:ascii="黑体" w:eastAsia="黑体"/>
          <w:bCs/>
          <w:color w:val="auto"/>
          <w:sz w:val="32"/>
          <w:highlight w:val="none"/>
        </w:rPr>
      </w:pPr>
    </w:p>
    <w:p>
      <w:pPr>
        <w:ind w:firstLine="640"/>
        <w:rPr>
          <w:rFonts w:hint="eastAsia" w:ascii="黑体" w:eastAsia="黑体"/>
          <w:bCs/>
          <w:color w:val="auto"/>
          <w:sz w:val="32"/>
          <w:highlight w:val="none"/>
        </w:rPr>
      </w:pPr>
    </w:p>
    <w:p>
      <w:pPr>
        <w:jc w:val="center"/>
        <w:rPr>
          <w:rFonts w:hint="eastAsia" w:ascii="黑体" w:hAnsi="黑体" w:eastAsia="黑体"/>
          <w:b/>
          <w:color w:val="auto"/>
          <w:sz w:val="30"/>
          <w:szCs w:val="30"/>
          <w:highlight w:val="none"/>
        </w:rPr>
      </w:pPr>
      <w:r>
        <w:rPr>
          <w:rFonts w:hint="eastAsia" w:ascii="黑体" w:eastAsia="黑体"/>
          <w:bCs/>
          <w:color w:val="auto"/>
          <w:sz w:val="44"/>
          <w:szCs w:val="44"/>
          <w:highlight w:val="none"/>
        </w:rPr>
        <w:t>二</w:t>
      </w:r>
      <w:r>
        <w:rPr>
          <w:rFonts w:hint="eastAsia" w:ascii="黑体" w:eastAsia="黑体"/>
          <w:bCs/>
          <w:color w:val="auto"/>
          <w:sz w:val="36"/>
          <w:szCs w:val="36"/>
          <w:highlight w:val="none"/>
        </w:rPr>
        <w:t>○</w:t>
      </w:r>
      <w:r>
        <w:rPr>
          <w:rFonts w:hint="eastAsia" w:ascii="黑体" w:eastAsia="黑体"/>
          <w:bCs/>
          <w:color w:val="auto"/>
          <w:sz w:val="44"/>
          <w:szCs w:val="44"/>
          <w:highlight w:val="none"/>
        </w:rPr>
        <w:t>二三年三月二十日</w:t>
      </w:r>
    </w:p>
    <w:p>
      <w:pPr>
        <w:spacing w:line="400" w:lineRule="exact"/>
        <w:ind w:left="1675" w:leftChars="798" w:firstLine="602"/>
        <w:rPr>
          <w:rFonts w:hint="eastAsia" w:ascii="黑体" w:hAnsi="黑体" w:eastAsia="黑体"/>
          <w:b/>
          <w:color w:val="auto"/>
          <w:sz w:val="30"/>
          <w:szCs w:val="30"/>
          <w:highlight w:val="none"/>
        </w:rPr>
      </w:pPr>
    </w:p>
    <w:p>
      <w:pPr>
        <w:ind w:firstLine="880"/>
        <w:jc w:val="center"/>
        <w:rPr>
          <w:rFonts w:hint="eastAsia" w:ascii="黑体" w:hAnsi="华文中宋" w:eastAsia="黑体"/>
          <w:bCs/>
          <w:color w:val="auto"/>
          <w:sz w:val="44"/>
          <w:szCs w:val="44"/>
          <w:highlight w:val="none"/>
        </w:rPr>
      </w:pPr>
      <w:r>
        <w:rPr>
          <w:rFonts w:ascii="黑体" w:hAnsi="宋体" w:eastAsia="黑体"/>
          <w:bCs/>
          <w:color w:val="auto"/>
          <w:sz w:val="24"/>
          <w:szCs w:val="24"/>
          <w:highlight w:val="none"/>
        </w:rPr>
        <w:br w:type="page"/>
      </w:r>
      <w:r>
        <w:rPr>
          <w:rFonts w:hint="eastAsia" w:ascii="黑体" w:hAnsi="华文中宋" w:eastAsia="黑体"/>
          <w:bCs/>
          <w:color w:val="auto"/>
          <w:sz w:val="44"/>
          <w:szCs w:val="44"/>
          <w:highlight w:val="none"/>
        </w:rPr>
        <mc:AlternateContent>
          <mc:Choice Requires="wps">
            <w:drawing>
              <wp:anchor distT="0" distB="0" distL="114300" distR="114300" simplePos="0" relativeHeight="251672576" behindDoc="0" locked="0" layoutInCell="1" allowOverlap="1">
                <wp:simplePos x="0" y="0"/>
                <wp:positionH relativeFrom="column">
                  <wp:posOffset>4857115</wp:posOffset>
                </wp:positionH>
                <wp:positionV relativeFrom="paragraph">
                  <wp:posOffset>58420</wp:posOffset>
                </wp:positionV>
                <wp:extent cx="1378585" cy="747395"/>
                <wp:effectExtent l="8890" t="10795" r="12700" b="13335"/>
                <wp:wrapNone/>
                <wp:docPr id="28" name="矩形 216"/>
                <wp:cNvGraphicFramePr/>
                <a:graphic xmlns:a="http://schemas.openxmlformats.org/drawingml/2006/main">
                  <a:graphicData uri="http://schemas.microsoft.com/office/word/2010/wordprocessingShape">
                    <wps:wsp>
                      <wps:cNvSpPr>
                        <a:spLocks noChangeArrowheads="1"/>
                      </wps:cNvSpPr>
                      <wps:spPr bwMode="auto">
                        <a:xfrm>
                          <a:off x="0" y="0"/>
                          <a:ext cx="1378585" cy="747395"/>
                        </a:xfrm>
                        <a:prstGeom prst="rect">
                          <a:avLst/>
                        </a:prstGeom>
                        <a:solidFill>
                          <a:srgbClr val="FFFFFF"/>
                        </a:solidFill>
                        <a:ln w="9525">
                          <a:solidFill>
                            <a:srgbClr val="000000"/>
                          </a:solidFill>
                          <a:miter lim="800000"/>
                        </a:ln>
                      </wps:spPr>
                      <wps:txbx>
                        <w:txbxContent>
                          <w:p>
                            <w:pPr>
                              <w:jc w:val="center"/>
                              <w:rPr>
                                <w:b/>
                                <w:sz w:val="72"/>
                                <w:szCs w:val="72"/>
                              </w:rPr>
                            </w:pPr>
                            <w:r>
                              <w:rPr>
                                <w:rFonts w:hint="eastAsia"/>
                                <w:b/>
                                <w:sz w:val="72"/>
                                <w:szCs w:val="72"/>
                              </w:rPr>
                              <w:t>正本</w:t>
                            </w:r>
                          </w:p>
                        </w:txbxContent>
                      </wps:txbx>
                      <wps:bodyPr rot="0" vert="horz" wrap="square" lIns="91440" tIns="45720" rIns="91440" bIns="45720" anchor="t" anchorCtr="0" upright="1">
                        <a:noAutofit/>
                      </wps:bodyPr>
                    </wps:wsp>
                  </a:graphicData>
                </a:graphic>
              </wp:anchor>
            </w:drawing>
          </mc:Choice>
          <mc:Fallback>
            <w:pict>
              <v:rect id="矩形 216" o:spid="_x0000_s1026" o:spt="1" style="position:absolute;left:0pt;margin-left:382.45pt;margin-top:4.6pt;height:58.85pt;width:108.55pt;z-index:251672576;mso-width-relative:page;mso-height-relative:page;" fillcolor="#FFFFFF" filled="t" stroked="t" coordsize="21600,21600" o:gfxdata="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FBpCzzXAAAACQEAAA8AAAAAAAAAAQAgAAAAIgAAAGRycy9k&#10;b3ducmV2LnhtbFBLAQIUABQAAAAIAIdO4kDL26IIPAIAAH0EAAAOAAAAAAAAAAEAIAAAACYBAABk&#10;cnMvZTJvRG9jLnhtbFBLBQYAAAAABgAGAFkBAADUBQAAAAA=&#10;">
                <v:fill on="t" focussize="0,0"/>
                <v:stroke color="#000000" miterlimit="8" joinstyle="miter"/>
                <v:imagedata o:title=""/>
                <o:lock v:ext="edit" aspectratio="f"/>
                <v:textbox>
                  <w:txbxContent>
                    <w:p>
                      <w:pPr>
                        <w:jc w:val="center"/>
                        <w:rPr>
                          <w:b/>
                          <w:sz w:val="72"/>
                          <w:szCs w:val="72"/>
                        </w:rPr>
                      </w:pPr>
                      <w:r>
                        <w:rPr>
                          <w:rFonts w:hint="eastAsia"/>
                          <w:b/>
                          <w:sz w:val="72"/>
                          <w:szCs w:val="72"/>
                        </w:rPr>
                        <w:t>正本</w:t>
                      </w:r>
                    </w:p>
                  </w:txbxContent>
                </v:textbox>
              </v:rect>
            </w:pict>
          </mc:Fallback>
        </mc:AlternateContent>
      </w:r>
    </w:p>
    <w:p>
      <w:pPr>
        <w:ind w:firstLine="880"/>
        <w:jc w:val="center"/>
        <w:rPr>
          <w:rFonts w:hint="eastAsia" w:ascii="黑体" w:hAnsi="华文中宋" w:eastAsia="黑体"/>
          <w:bCs/>
          <w:color w:val="auto"/>
          <w:sz w:val="44"/>
          <w:szCs w:val="44"/>
          <w:highlight w:val="none"/>
        </w:rPr>
      </w:pPr>
    </w:p>
    <w:p>
      <w:pPr>
        <w:ind w:firstLine="880"/>
        <w:jc w:val="center"/>
        <w:rPr>
          <w:rFonts w:hint="eastAsia" w:ascii="黑体" w:hAnsi="华文中宋" w:eastAsia="黑体"/>
          <w:bCs/>
          <w:color w:val="auto"/>
          <w:sz w:val="44"/>
          <w:szCs w:val="44"/>
          <w:highlight w:val="none"/>
        </w:rPr>
      </w:pPr>
    </w:p>
    <w:p>
      <w:pPr>
        <w:jc w:val="center"/>
        <w:rPr>
          <w:rFonts w:hint="eastAsia" w:ascii="黑体" w:hAnsi="黑体" w:eastAsia="黑体"/>
          <w:color w:val="auto"/>
          <w:sz w:val="56"/>
          <w:szCs w:val="56"/>
          <w:highlight w:val="none"/>
        </w:rPr>
      </w:pPr>
      <w:r>
        <w:rPr>
          <w:rFonts w:hint="eastAsia" w:ascii="黑体" w:hAnsi="黑体" w:eastAsia="黑体"/>
          <w:color w:val="auto"/>
          <w:sz w:val="56"/>
          <w:szCs w:val="56"/>
          <w:highlight w:val="none"/>
        </w:rPr>
        <w:t>无锡市城乡居民大病保险项目</w:t>
      </w:r>
    </w:p>
    <w:p>
      <w:pPr>
        <w:ind w:firstLine="1040"/>
        <w:rPr>
          <w:rFonts w:hint="eastAsia" w:ascii="黑体" w:eastAsia="黑体"/>
          <w:bCs/>
          <w:color w:val="auto"/>
          <w:sz w:val="52"/>
          <w:szCs w:val="52"/>
          <w:highlight w:val="none"/>
        </w:rPr>
      </w:pPr>
    </w:p>
    <w:p>
      <w:pPr>
        <w:jc w:val="center"/>
        <w:rPr>
          <w:rFonts w:hint="eastAsia" w:ascii="黑体" w:eastAsia="黑体"/>
          <w:bCs/>
          <w:color w:val="auto"/>
          <w:sz w:val="72"/>
          <w:szCs w:val="72"/>
          <w:highlight w:val="none"/>
        </w:rPr>
      </w:pPr>
      <w:r>
        <w:rPr>
          <w:rFonts w:hint="eastAsia" w:ascii="黑体" w:eastAsia="黑体"/>
          <w:bCs/>
          <w:color w:val="auto"/>
          <w:sz w:val="52"/>
          <w:szCs w:val="72"/>
          <w:highlight w:val="none"/>
        </w:rPr>
        <w:t>投标文件（第二标段）</w:t>
      </w:r>
    </w:p>
    <w:p>
      <w:pPr>
        <w:ind w:firstLine="560"/>
        <w:rPr>
          <w:rFonts w:hint="eastAsia" w:ascii="黑体" w:eastAsia="黑体"/>
          <w:bCs/>
          <w:color w:val="auto"/>
          <w:sz w:val="28"/>
          <w:szCs w:val="28"/>
          <w:highlight w:val="none"/>
        </w:rPr>
      </w:pPr>
    </w:p>
    <w:p>
      <w:pPr>
        <w:ind w:firstLine="560"/>
        <w:rPr>
          <w:rFonts w:hint="eastAsia" w:ascii="黑体" w:eastAsia="黑体"/>
          <w:bCs/>
          <w:color w:val="auto"/>
          <w:sz w:val="28"/>
          <w:szCs w:val="28"/>
          <w:highlight w:val="none"/>
        </w:rPr>
      </w:pPr>
    </w:p>
    <w:p>
      <w:pPr>
        <w:ind w:firstLine="560"/>
        <w:rPr>
          <w:rFonts w:hint="eastAsia" w:ascii="黑体" w:eastAsia="黑体"/>
          <w:bCs/>
          <w:color w:val="auto"/>
          <w:sz w:val="28"/>
          <w:szCs w:val="28"/>
          <w:highlight w:val="none"/>
        </w:rPr>
      </w:pPr>
    </w:p>
    <w:p>
      <w:pPr>
        <w:ind w:firstLine="560"/>
        <w:rPr>
          <w:rFonts w:hint="eastAsia" w:ascii="黑体" w:eastAsia="黑体"/>
          <w:bCs/>
          <w:color w:val="auto"/>
          <w:sz w:val="28"/>
          <w:szCs w:val="28"/>
          <w:highlight w:val="none"/>
        </w:rPr>
      </w:pPr>
    </w:p>
    <w:p>
      <w:pPr>
        <w:spacing w:line="360" w:lineRule="auto"/>
        <w:ind w:firstLine="2640" w:firstLineChars="600"/>
        <w:rPr>
          <w:rFonts w:hint="eastAsia" w:ascii="黑体" w:eastAsia="黑体"/>
          <w:bCs/>
          <w:color w:val="auto"/>
          <w:sz w:val="44"/>
          <w:szCs w:val="44"/>
          <w:highlight w:val="none"/>
        </w:rPr>
      </w:pPr>
      <w:r>
        <w:rPr>
          <w:rFonts w:hint="eastAsia" w:ascii="黑体" w:eastAsia="黑体"/>
          <w:bCs/>
          <w:color w:val="auto"/>
          <w:sz w:val="44"/>
          <w:szCs w:val="44"/>
          <w:highlight w:val="none"/>
        </w:rPr>
        <w:t>编号：HTBXJJCG2023-01</w:t>
      </w:r>
    </w:p>
    <w:p>
      <w:pPr>
        <w:spacing w:line="360" w:lineRule="auto"/>
        <w:ind w:firstLine="2640" w:firstLineChars="600"/>
        <w:rPr>
          <w:rFonts w:hint="eastAsia" w:ascii="黑体" w:eastAsia="黑体"/>
          <w:bCs/>
          <w:color w:val="auto"/>
          <w:sz w:val="44"/>
          <w:szCs w:val="44"/>
          <w:highlight w:val="none"/>
        </w:rPr>
      </w:pPr>
      <w:r>
        <w:rPr>
          <w:rFonts w:hint="eastAsia" w:ascii="黑体" w:eastAsia="黑体"/>
          <w:bCs/>
          <w:color w:val="auto"/>
          <w:sz w:val="44"/>
          <w:szCs w:val="44"/>
          <w:highlight w:val="none"/>
        </w:rPr>
        <w:t>投标人：</w:t>
      </w:r>
    </w:p>
    <w:p>
      <w:pPr>
        <w:ind w:firstLine="640"/>
        <w:rPr>
          <w:rFonts w:hint="eastAsia" w:ascii="黑体" w:eastAsia="黑体"/>
          <w:bCs/>
          <w:color w:val="auto"/>
          <w:sz w:val="32"/>
          <w:highlight w:val="none"/>
        </w:rPr>
      </w:pPr>
    </w:p>
    <w:p>
      <w:pPr>
        <w:ind w:firstLine="640"/>
        <w:rPr>
          <w:rFonts w:hint="eastAsia" w:ascii="黑体" w:eastAsia="黑体"/>
          <w:bCs/>
          <w:color w:val="auto"/>
          <w:sz w:val="32"/>
          <w:highlight w:val="none"/>
        </w:rPr>
      </w:pPr>
    </w:p>
    <w:p>
      <w:pPr>
        <w:ind w:firstLine="640"/>
        <w:rPr>
          <w:rFonts w:hint="eastAsia" w:ascii="黑体" w:eastAsia="黑体"/>
          <w:bCs/>
          <w:color w:val="auto"/>
          <w:sz w:val="32"/>
          <w:highlight w:val="none"/>
        </w:rPr>
      </w:pPr>
    </w:p>
    <w:p>
      <w:pPr>
        <w:ind w:firstLine="640"/>
        <w:rPr>
          <w:rFonts w:hint="eastAsia" w:ascii="黑体" w:eastAsia="黑体"/>
          <w:bCs/>
          <w:color w:val="auto"/>
          <w:sz w:val="32"/>
          <w:highlight w:val="none"/>
        </w:rPr>
      </w:pPr>
    </w:p>
    <w:p>
      <w:pPr>
        <w:ind w:firstLine="640"/>
        <w:rPr>
          <w:rFonts w:hint="eastAsia" w:ascii="黑体" w:eastAsia="黑体"/>
          <w:bCs/>
          <w:color w:val="auto"/>
          <w:sz w:val="32"/>
          <w:highlight w:val="none"/>
        </w:rPr>
      </w:pPr>
    </w:p>
    <w:p>
      <w:pPr>
        <w:jc w:val="center"/>
        <w:rPr>
          <w:rFonts w:hint="eastAsia" w:ascii="黑体" w:hAnsi="黑体" w:eastAsia="黑体"/>
          <w:b/>
          <w:color w:val="auto"/>
          <w:sz w:val="30"/>
          <w:szCs w:val="30"/>
          <w:highlight w:val="none"/>
        </w:rPr>
      </w:pPr>
      <w:r>
        <w:rPr>
          <w:rFonts w:hint="eastAsia" w:ascii="黑体" w:eastAsia="黑体"/>
          <w:bCs/>
          <w:color w:val="auto"/>
          <w:sz w:val="44"/>
          <w:szCs w:val="44"/>
          <w:highlight w:val="none"/>
        </w:rPr>
        <w:t>二</w:t>
      </w:r>
      <w:r>
        <w:rPr>
          <w:rFonts w:hint="eastAsia" w:ascii="黑体" w:eastAsia="黑体"/>
          <w:bCs/>
          <w:color w:val="auto"/>
          <w:sz w:val="36"/>
          <w:szCs w:val="36"/>
          <w:highlight w:val="none"/>
        </w:rPr>
        <w:t>○</w:t>
      </w:r>
      <w:r>
        <w:rPr>
          <w:rFonts w:hint="eastAsia" w:ascii="黑体" w:eastAsia="黑体"/>
          <w:bCs/>
          <w:color w:val="auto"/>
          <w:sz w:val="44"/>
          <w:szCs w:val="44"/>
          <w:highlight w:val="none"/>
        </w:rPr>
        <w:t>二三年三月二十日</w:t>
      </w:r>
    </w:p>
    <w:p>
      <w:pPr>
        <w:spacing w:line="400" w:lineRule="exact"/>
        <w:ind w:left="1675" w:leftChars="798" w:firstLine="602"/>
        <w:rPr>
          <w:rFonts w:hint="eastAsia" w:ascii="黑体" w:hAnsi="黑体" w:eastAsia="黑体"/>
          <w:b/>
          <w:color w:val="auto"/>
          <w:sz w:val="30"/>
          <w:szCs w:val="30"/>
          <w:highlight w:val="none"/>
        </w:rPr>
      </w:pPr>
    </w:p>
    <w:p>
      <w:pPr>
        <w:spacing w:line="360" w:lineRule="auto"/>
        <w:jc w:val="center"/>
        <w:rPr>
          <w:rFonts w:hint="eastAsia" w:ascii="黑体" w:hAnsi="宋体" w:eastAsia="黑体"/>
          <w:bCs/>
          <w:color w:val="auto"/>
          <w:sz w:val="24"/>
          <w:szCs w:val="24"/>
          <w:highlight w:val="none"/>
        </w:rPr>
      </w:pPr>
    </w:p>
    <w:p>
      <w:pPr>
        <w:rPr>
          <w:rFonts w:hint="eastAsia" w:ascii="黑体" w:hAnsi="宋体" w:eastAsia="黑体"/>
          <w:bCs/>
          <w:color w:val="auto"/>
          <w:sz w:val="24"/>
          <w:szCs w:val="24"/>
          <w:highlight w:val="none"/>
        </w:rPr>
      </w:pPr>
    </w:p>
    <w:p>
      <w:pPr>
        <w:rPr>
          <w:rFonts w:hint="eastAsia" w:ascii="黑体" w:hAnsi="宋体" w:eastAsia="黑体"/>
          <w:bCs/>
          <w:color w:val="auto"/>
          <w:sz w:val="24"/>
          <w:szCs w:val="24"/>
          <w:highlight w:val="none"/>
        </w:rPr>
      </w:pPr>
    </w:p>
    <w:p>
      <w:pPr>
        <w:ind w:firstLine="880"/>
        <w:jc w:val="center"/>
        <w:rPr>
          <w:rFonts w:hint="eastAsia" w:ascii="黑体" w:hAnsi="华文中宋" w:eastAsia="黑体"/>
          <w:bCs/>
          <w:color w:val="auto"/>
          <w:sz w:val="44"/>
          <w:szCs w:val="44"/>
          <w:highlight w:val="none"/>
        </w:rPr>
      </w:pPr>
      <w:r>
        <w:rPr>
          <w:rFonts w:ascii="黑体" w:hAnsi="宋体" w:eastAsia="黑体"/>
          <w:bCs/>
          <w:color w:val="auto"/>
          <w:sz w:val="24"/>
          <w:szCs w:val="24"/>
          <w:highlight w:val="none"/>
        </w:rPr>
        <w:br w:type="page"/>
      </w:r>
      <w:r>
        <w:rPr>
          <w:rFonts w:hint="eastAsia" w:ascii="黑体" w:hAnsi="华文中宋" w:eastAsia="黑体"/>
          <w:bCs/>
          <w:color w:val="auto"/>
          <w:sz w:val="44"/>
          <w:szCs w:val="44"/>
          <w:highlight w:val="none"/>
        </w:rPr>
        <mc:AlternateContent>
          <mc:Choice Requires="wps">
            <w:drawing>
              <wp:anchor distT="0" distB="0" distL="114300" distR="114300" simplePos="0" relativeHeight="251673600" behindDoc="0" locked="0" layoutInCell="1" allowOverlap="1">
                <wp:simplePos x="0" y="0"/>
                <wp:positionH relativeFrom="column">
                  <wp:posOffset>4857115</wp:posOffset>
                </wp:positionH>
                <wp:positionV relativeFrom="paragraph">
                  <wp:posOffset>58420</wp:posOffset>
                </wp:positionV>
                <wp:extent cx="1378585" cy="747395"/>
                <wp:effectExtent l="8890" t="10795" r="12700" b="13335"/>
                <wp:wrapNone/>
                <wp:docPr id="27" name="Rectangle 27"/>
                <wp:cNvGraphicFramePr/>
                <a:graphic xmlns:a="http://schemas.openxmlformats.org/drawingml/2006/main">
                  <a:graphicData uri="http://schemas.microsoft.com/office/word/2010/wordprocessingShape">
                    <wps:wsp>
                      <wps:cNvSpPr>
                        <a:spLocks noChangeArrowheads="1"/>
                      </wps:cNvSpPr>
                      <wps:spPr bwMode="auto">
                        <a:xfrm>
                          <a:off x="0" y="0"/>
                          <a:ext cx="1378585" cy="747395"/>
                        </a:xfrm>
                        <a:prstGeom prst="rect">
                          <a:avLst/>
                        </a:prstGeom>
                        <a:solidFill>
                          <a:srgbClr val="FFFFFF"/>
                        </a:solidFill>
                        <a:ln w="9525">
                          <a:solidFill>
                            <a:srgbClr val="000000"/>
                          </a:solidFill>
                          <a:miter lim="800000"/>
                        </a:ln>
                      </wps:spPr>
                      <wps:txbx>
                        <w:txbxContent>
                          <w:p>
                            <w:pPr>
                              <w:jc w:val="center"/>
                              <w:rPr>
                                <w:b/>
                                <w:sz w:val="72"/>
                                <w:szCs w:val="72"/>
                              </w:rPr>
                            </w:pPr>
                            <w:r>
                              <w:rPr>
                                <w:rFonts w:hint="eastAsia"/>
                                <w:b/>
                                <w:sz w:val="72"/>
                                <w:szCs w:val="72"/>
                              </w:rPr>
                              <w:t>副本</w:t>
                            </w:r>
                          </w:p>
                        </w:txbxContent>
                      </wps:txbx>
                      <wps:bodyPr rot="0" vert="horz" wrap="square" lIns="91440" tIns="45720" rIns="91440" bIns="45720" anchor="t" anchorCtr="0" upright="1">
                        <a:noAutofit/>
                      </wps:bodyPr>
                    </wps:wsp>
                  </a:graphicData>
                </a:graphic>
              </wp:anchor>
            </w:drawing>
          </mc:Choice>
          <mc:Fallback>
            <w:pict>
              <v:rect id="Rectangle 27" o:spid="_x0000_s1026" o:spt="1" style="position:absolute;left:0pt;margin-left:382.45pt;margin-top:4.6pt;height:58.85pt;width:108.55pt;z-index:251673600;mso-width-relative:page;mso-height-relative:page;" fillcolor="#FFFFFF" filled="t" stroked="t" coordsize="21600,21600" o:gfxdata="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UGkLPNcAAAAJAQAADwAAAAAAAAABACAAAAAiAAAAZHJzL2Rvd25yZXYueG1sUEsB&#10;AhQAFAAAAAgAh07iQHHIJ9cvAgAAfwQAAA4AAAAAAAAAAQAgAAAAJgEAAGRycy9lMm9Eb2MueG1s&#10;UEsFBgAAAAAGAAYAWQEAAMcFAAAAAA==&#10;">
                <v:fill on="t" focussize="0,0"/>
                <v:stroke color="#000000" miterlimit="8" joinstyle="miter"/>
                <v:imagedata o:title=""/>
                <o:lock v:ext="edit" aspectratio="f"/>
                <v:textbox>
                  <w:txbxContent>
                    <w:p>
                      <w:pPr>
                        <w:jc w:val="center"/>
                        <w:rPr>
                          <w:b/>
                          <w:sz w:val="72"/>
                          <w:szCs w:val="72"/>
                        </w:rPr>
                      </w:pPr>
                      <w:r>
                        <w:rPr>
                          <w:rFonts w:hint="eastAsia"/>
                          <w:b/>
                          <w:sz w:val="72"/>
                          <w:szCs w:val="72"/>
                        </w:rPr>
                        <w:t>副本</w:t>
                      </w:r>
                    </w:p>
                  </w:txbxContent>
                </v:textbox>
              </v:rect>
            </w:pict>
          </mc:Fallback>
        </mc:AlternateContent>
      </w:r>
    </w:p>
    <w:p>
      <w:pPr>
        <w:ind w:firstLine="880"/>
        <w:jc w:val="center"/>
        <w:rPr>
          <w:rFonts w:hint="eastAsia" w:ascii="黑体" w:hAnsi="华文中宋" w:eastAsia="黑体"/>
          <w:bCs/>
          <w:color w:val="auto"/>
          <w:sz w:val="44"/>
          <w:szCs w:val="44"/>
          <w:highlight w:val="none"/>
        </w:rPr>
      </w:pPr>
    </w:p>
    <w:p>
      <w:pPr>
        <w:ind w:firstLine="880"/>
        <w:jc w:val="center"/>
        <w:rPr>
          <w:rFonts w:hint="eastAsia" w:ascii="黑体" w:hAnsi="华文中宋" w:eastAsia="黑体"/>
          <w:bCs/>
          <w:color w:val="auto"/>
          <w:sz w:val="44"/>
          <w:szCs w:val="44"/>
          <w:highlight w:val="none"/>
        </w:rPr>
      </w:pPr>
    </w:p>
    <w:p>
      <w:pPr>
        <w:jc w:val="center"/>
        <w:rPr>
          <w:rFonts w:hint="eastAsia" w:ascii="黑体" w:hAnsi="黑体" w:eastAsia="黑体"/>
          <w:color w:val="auto"/>
          <w:sz w:val="56"/>
          <w:szCs w:val="56"/>
          <w:highlight w:val="none"/>
        </w:rPr>
      </w:pPr>
      <w:r>
        <w:rPr>
          <w:rFonts w:hint="eastAsia" w:ascii="黑体" w:hAnsi="黑体" w:eastAsia="黑体"/>
          <w:color w:val="auto"/>
          <w:sz w:val="56"/>
          <w:szCs w:val="56"/>
          <w:highlight w:val="none"/>
        </w:rPr>
        <w:t>无锡市城乡居民大病保险项目</w:t>
      </w:r>
    </w:p>
    <w:p>
      <w:pPr>
        <w:ind w:firstLine="1040"/>
        <w:rPr>
          <w:rFonts w:hint="eastAsia" w:ascii="黑体" w:eastAsia="黑体"/>
          <w:bCs/>
          <w:color w:val="auto"/>
          <w:sz w:val="52"/>
          <w:szCs w:val="52"/>
          <w:highlight w:val="none"/>
        </w:rPr>
      </w:pPr>
    </w:p>
    <w:p>
      <w:pPr>
        <w:jc w:val="center"/>
        <w:rPr>
          <w:rFonts w:hint="eastAsia" w:ascii="黑体" w:eastAsia="黑体"/>
          <w:bCs/>
          <w:color w:val="auto"/>
          <w:sz w:val="72"/>
          <w:szCs w:val="72"/>
          <w:highlight w:val="none"/>
        </w:rPr>
      </w:pPr>
      <w:r>
        <w:rPr>
          <w:rFonts w:hint="eastAsia" w:ascii="黑体" w:eastAsia="黑体"/>
          <w:bCs/>
          <w:color w:val="auto"/>
          <w:sz w:val="52"/>
          <w:szCs w:val="72"/>
          <w:highlight w:val="none"/>
        </w:rPr>
        <w:t>投标文件（第二标段）</w:t>
      </w:r>
    </w:p>
    <w:p>
      <w:pPr>
        <w:ind w:firstLine="560"/>
        <w:rPr>
          <w:rFonts w:hint="eastAsia" w:ascii="黑体" w:eastAsia="黑体"/>
          <w:bCs/>
          <w:color w:val="auto"/>
          <w:sz w:val="28"/>
          <w:szCs w:val="28"/>
          <w:highlight w:val="none"/>
        </w:rPr>
      </w:pPr>
    </w:p>
    <w:p>
      <w:pPr>
        <w:ind w:firstLine="560"/>
        <w:rPr>
          <w:rFonts w:hint="eastAsia" w:ascii="黑体" w:eastAsia="黑体"/>
          <w:bCs/>
          <w:color w:val="auto"/>
          <w:sz w:val="28"/>
          <w:szCs w:val="28"/>
          <w:highlight w:val="none"/>
        </w:rPr>
      </w:pPr>
    </w:p>
    <w:p>
      <w:pPr>
        <w:ind w:firstLine="560"/>
        <w:rPr>
          <w:rFonts w:hint="eastAsia" w:ascii="黑体" w:eastAsia="黑体"/>
          <w:bCs/>
          <w:color w:val="auto"/>
          <w:sz w:val="28"/>
          <w:szCs w:val="28"/>
          <w:highlight w:val="none"/>
        </w:rPr>
      </w:pPr>
    </w:p>
    <w:p>
      <w:pPr>
        <w:ind w:firstLine="560"/>
        <w:rPr>
          <w:rFonts w:hint="eastAsia" w:ascii="黑体" w:eastAsia="黑体"/>
          <w:bCs/>
          <w:color w:val="auto"/>
          <w:sz w:val="28"/>
          <w:szCs w:val="28"/>
          <w:highlight w:val="none"/>
        </w:rPr>
      </w:pPr>
    </w:p>
    <w:p>
      <w:pPr>
        <w:spacing w:line="360" w:lineRule="auto"/>
        <w:ind w:firstLine="2640" w:firstLineChars="600"/>
        <w:rPr>
          <w:rFonts w:hint="eastAsia" w:ascii="黑体" w:eastAsia="黑体"/>
          <w:bCs/>
          <w:color w:val="auto"/>
          <w:sz w:val="44"/>
          <w:szCs w:val="44"/>
          <w:highlight w:val="none"/>
        </w:rPr>
      </w:pPr>
      <w:r>
        <w:rPr>
          <w:rFonts w:hint="eastAsia" w:ascii="黑体" w:eastAsia="黑体"/>
          <w:bCs/>
          <w:color w:val="auto"/>
          <w:sz w:val="44"/>
          <w:szCs w:val="44"/>
          <w:highlight w:val="none"/>
        </w:rPr>
        <w:t>编号：HTBXJJCG2023-01</w:t>
      </w:r>
    </w:p>
    <w:p>
      <w:pPr>
        <w:spacing w:line="360" w:lineRule="auto"/>
        <w:ind w:firstLine="2640" w:firstLineChars="600"/>
        <w:rPr>
          <w:rFonts w:hint="eastAsia" w:ascii="黑体" w:eastAsia="黑体"/>
          <w:bCs/>
          <w:color w:val="auto"/>
          <w:sz w:val="44"/>
          <w:szCs w:val="44"/>
          <w:highlight w:val="none"/>
        </w:rPr>
      </w:pPr>
      <w:r>
        <w:rPr>
          <w:rFonts w:hint="eastAsia" w:ascii="黑体" w:eastAsia="黑体"/>
          <w:bCs/>
          <w:color w:val="auto"/>
          <w:sz w:val="44"/>
          <w:szCs w:val="44"/>
          <w:highlight w:val="none"/>
        </w:rPr>
        <w:t>投标人：</w:t>
      </w:r>
    </w:p>
    <w:p>
      <w:pPr>
        <w:ind w:firstLine="640"/>
        <w:rPr>
          <w:rFonts w:hint="eastAsia" w:ascii="黑体" w:eastAsia="黑体"/>
          <w:bCs/>
          <w:color w:val="auto"/>
          <w:sz w:val="32"/>
          <w:highlight w:val="none"/>
        </w:rPr>
      </w:pPr>
    </w:p>
    <w:p>
      <w:pPr>
        <w:ind w:firstLine="640"/>
        <w:rPr>
          <w:rFonts w:hint="eastAsia" w:ascii="黑体" w:eastAsia="黑体"/>
          <w:bCs/>
          <w:color w:val="auto"/>
          <w:sz w:val="32"/>
          <w:highlight w:val="none"/>
        </w:rPr>
      </w:pPr>
    </w:p>
    <w:p>
      <w:pPr>
        <w:ind w:firstLine="640"/>
        <w:rPr>
          <w:rFonts w:hint="eastAsia" w:ascii="黑体" w:eastAsia="黑体"/>
          <w:bCs/>
          <w:color w:val="auto"/>
          <w:sz w:val="32"/>
          <w:highlight w:val="none"/>
        </w:rPr>
      </w:pPr>
    </w:p>
    <w:p>
      <w:pPr>
        <w:ind w:firstLine="640"/>
        <w:rPr>
          <w:rFonts w:hint="eastAsia" w:ascii="黑体" w:eastAsia="黑体"/>
          <w:bCs/>
          <w:color w:val="auto"/>
          <w:sz w:val="32"/>
          <w:highlight w:val="none"/>
        </w:rPr>
      </w:pPr>
    </w:p>
    <w:p>
      <w:pPr>
        <w:ind w:firstLine="640"/>
        <w:rPr>
          <w:rFonts w:hint="eastAsia" w:ascii="黑体" w:eastAsia="黑体"/>
          <w:bCs/>
          <w:color w:val="auto"/>
          <w:sz w:val="32"/>
          <w:highlight w:val="none"/>
        </w:rPr>
      </w:pPr>
    </w:p>
    <w:p>
      <w:pPr>
        <w:jc w:val="center"/>
        <w:rPr>
          <w:rFonts w:hint="eastAsia" w:ascii="黑体" w:hAnsi="黑体" w:eastAsia="黑体"/>
          <w:b/>
          <w:color w:val="auto"/>
          <w:sz w:val="30"/>
          <w:szCs w:val="30"/>
          <w:highlight w:val="none"/>
        </w:rPr>
      </w:pPr>
      <w:r>
        <w:rPr>
          <w:rFonts w:hint="eastAsia" w:ascii="黑体" w:eastAsia="黑体"/>
          <w:bCs/>
          <w:color w:val="auto"/>
          <w:sz w:val="44"/>
          <w:szCs w:val="44"/>
          <w:highlight w:val="none"/>
        </w:rPr>
        <w:t>二</w:t>
      </w:r>
      <w:r>
        <w:rPr>
          <w:rFonts w:hint="eastAsia" w:ascii="黑体" w:eastAsia="黑体"/>
          <w:bCs/>
          <w:color w:val="auto"/>
          <w:sz w:val="36"/>
          <w:szCs w:val="36"/>
          <w:highlight w:val="none"/>
        </w:rPr>
        <w:t>○</w:t>
      </w:r>
      <w:r>
        <w:rPr>
          <w:rFonts w:hint="eastAsia" w:ascii="黑体" w:eastAsia="黑体"/>
          <w:bCs/>
          <w:color w:val="auto"/>
          <w:sz w:val="44"/>
          <w:szCs w:val="44"/>
          <w:highlight w:val="none"/>
        </w:rPr>
        <w:t>二三年三月二十日</w:t>
      </w:r>
    </w:p>
    <w:p>
      <w:pPr>
        <w:spacing w:line="400" w:lineRule="exact"/>
        <w:ind w:left="1675" w:leftChars="798" w:firstLine="602"/>
        <w:rPr>
          <w:rFonts w:hint="eastAsia" w:ascii="黑体" w:hAnsi="黑体" w:eastAsia="黑体"/>
          <w:b/>
          <w:color w:val="auto"/>
          <w:sz w:val="30"/>
          <w:szCs w:val="30"/>
          <w:highlight w:val="none"/>
        </w:rPr>
      </w:pPr>
    </w:p>
    <w:p>
      <w:pPr>
        <w:ind w:firstLine="880"/>
        <w:jc w:val="center"/>
        <w:rPr>
          <w:rFonts w:hint="eastAsia" w:ascii="黑体" w:hAnsi="华文中宋" w:eastAsia="黑体"/>
          <w:bCs/>
          <w:color w:val="auto"/>
          <w:sz w:val="44"/>
          <w:szCs w:val="44"/>
          <w:highlight w:val="none"/>
        </w:rPr>
      </w:pPr>
      <w:r>
        <w:rPr>
          <w:rFonts w:ascii="黑体" w:hAnsi="宋体" w:eastAsia="黑体"/>
          <w:bCs/>
          <w:color w:val="auto"/>
          <w:sz w:val="24"/>
          <w:szCs w:val="24"/>
          <w:highlight w:val="none"/>
        </w:rPr>
        <w:br w:type="page"/>
      </w:r>
      <w:r>
        <w:rPr>
          <w:rFonts w:hint="eastAsia" w:ascii="黑体" w:hAnsi="华文中宋" w:eastAsia="黑体"/>
          <w:bCs/>
          <w:color w:val="auto"/>
          <w:sz w:val="44"/>
          <w:szCs w:val="44"/>
          <w:highlight w:val="none"/>
        </w:rPr>
        <mc:AlternateContent>
          <mc:Choice Requires="wps">
            <w:drawing>
              <wp:anchor distT="0" distB="0" distL="114300" distR="114300" simplePos="0" relativeHeight="251674624" behindDoc="0" locked="0" layoutInCell="1" allowOverlap="1">
                <wp:simplePos x="0" y="0"/>
                <wp:positionH relativeFrom="column">
                  <wp:posOffset>4857115</wp:posOffset>
                </wp:positionH>
                <wp:positionV relativeFrom="paragraph">
                  <wp:posOffset>58420</wp:posOffset>
                </wp:positionV>
                <wp:extent cx="1378585" cy="747395"/>
                <wp:effectExtent l="8890" t="10795" r="12700" b="13335"/>
                <wp:wrapNone/>
                <wp:docPr id="26" name="矩形 216"/>
                <wp:cNvGraphicFramePr/>
                <a:graphic xmlns:a="http://schemas.openxmlformats.org/drawingml/2006/main">
                  <a:graphicData uri="http://schemas.microsoft.com/office/word/2010/wordprocessingShape">
                    <wps:wsp>
                      <wps:cNvSpPr>
                        <a:spLocks noChangeArrowheads="1"/>
                      </wps:cNvSpPr>
                      <wps:spPr bwMode="auto">
                        <a:xfrm>
                          <a:off x="0" y="0"/>
                          <a:ext cx="1378585" cy="747395"/>
                        </a:xfrm>
                        <a:prstGeom prst="rect">
                          <a:avLst/>
                        </a:prstGeom>
                        <a:solidFill>
                          <a:srgbClr val="FFFFFF"/>
                        </a:solidFill>
                        <a:ln w="9525">
                          <a:solidFill>
                            <a:srgbClr val="000000"/>
                          </a:solidFill>
                          <a:miter lim="800000"/>
                        </a:ln>
                      </wps:spPr>
                      <wps:txbx>
                        <w:txbxContent>
                          <w:p>
                            <w:pPr>
                              <w:jc w:val="center"/>
                              <w:rPr>
                                <w:b/>
                                <w:sz w:val="72"/>
                                <w:szCs w:val="72"/>
                              </w:rPr>
                            </w:pPr>
                            <w:r>
                              <w:rPr>
                                <w:rFonts w:hint="eastAsia"/>
                                <w:b/>
                                <w:sz w:val="72"/>
                                <w:szCs w:val="72"/>
                              </w:rPr>
                              <w:t>正本</w:t>
                            </w:r>
                          </w:p>
                        </w:txbxContent>
                      </wps:txbx>
                      <wps:bodyPr rot="0" vert="horz" wrap="square" lIns="91440" tIns="45720" rIns="91440" bIns="45720" anchor="t" anchorCtr="0" upright="1">
                        <a:noAutofit/>
                      </wps:bodyPr>
                    </wps:wsp>
                  </a:graphicData>
                </a:graphic>
              </wp:anchor>
            </w:drawing>
          </mc:Choice>
          <mc:Fallback>
            <w:pict>
              <v:rect id="矩形 216" o:spid="_x0000_s1026" o:spt="1" style="position:absolute;left:0pt;margin-left:382.45pt;margin-top:4.6pt;height:58.85pt;width:108.55pt;z-index:251674624;mso-width-relative:page;mso-height-relative:page;" fillcolor="#FFFFFF" filled="t" stroked="t" coordsize="21600,21600" o:gfxdata="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FBpCzzXAAAACQEAAA8AAAAAAAAAAQAgAAAAIgAAAGRycy9k&#10;b3ducmV2LnhtbFBLAQIUABQAAAAIAIdO4kC4sQIVPAIAAH0EAAAOAAAAAAAAAAEAIAAAACYBAABk&#10;cnMvZTJvRG9jLnhtbFBLBQYAAAAABgAGAFkBAADUBQAAAAA=&#10;">
                <v:fill on="t" focussize="0,0"/>
                <v:stroke color="#000000" miterlimit="8" joinstyle="miter"/>
                <v:imagedata o:title=""/>
                <o:lock v:ext="edit" aspectratio="f"/>
                <v:textbox>
                  <w:txbxContent>
                    <w:p>
                      <w:pPr>
                        <w:jc w:val="center"/>
                        <w:rPr>
                          <w:b/>
                          <w:sz w:val="72"/>
                          <w:szCs w:val="72"/>
                        </w:rPr>
                      </w:pPr>
                      <w:r>
                        <w:rPr>
                          <w:rFonts w:hint="eastAsia"/>
                          <w:b/>
                          <w:sz w:val="72"/>
                          <w:szCs w:val="72"/>
                        </w:rPr>
                        <w:t>正本</w:t>
                      </w:r>
                    </w:p>
                  </w:txbxContent>
                </v:textbox>
              </v:rect>
            </w:pict>
          </mc:Fallback>
        </mc:AlternateContent>
      </w:r>
    </w:p>
    <w:p>
      <w:pPr>
        <w:ind w:firstLine="880"/>
        <w:jc w:val="center"/>
        <w:rPr>
          <w:rFonts w:hint="eastAsia" w:ascii="黑体" w:hAnsi="华文中宋" w:eastAsia="黑体"/>
          <w:bCs/>
          <w:color w:val="auto"/>
          <w:sz w:val="44"/>
          <w:szCs w:val="44"/>
          <w:highlight w:val="none"/>
        </w:rPr>
      </w:pPr>
    </w:p>
    <w:p>
      <w:pPr>
        <w:ind w:firstLine="880"/>
        <w:jc w:val="center"/>
        <w:rPr>
          <w:rFonts w:hint="eastAsia" w:ascii="黑体" w:hAnsi="华文中宋" w:eastAsia="黑体"/>
          <w:bCs/>
          <w:color w:val="auto"/>
          <w:sz w:val="44"/>
          <w:szCs w:val="44"/>
          <w:highlight w:val="none"/>
        </w:rPr>
      </w:pPr>
    </w:p>
    <w:p>
      <w:pPr>
        <w:jc w:val="center"/>
        <w:rPr>
          <w:rFonts w:hint="eastAsia" w:ascii="黑体" w:hAnsi="黑体" w:eastAsia="黑体"/>
          <w:color w:val="auto"/>
          <w:sz w:val="56"/>
          <w:szCs w:val="56"/>
          <w:highlight w:val="none"/>
        </w:rPr>
      </w:pPr>
      <w:r>
        <w:rPr>
          <w:rFonts w:hint="eastAsia" w:ascii="黑体" w:hAnsi="黑体" w:eastAsia="黑体"/>
          <w:color w:val="auto"/>
          <w:sz w:val="56"/>
          <w:szCs w:val="56"/>
          <w:highlight w:val="none"/>
        </w:rPr>
        <w:t>无锡市城乡居民大病保险项目</w:t>
      </w:r>
    </w:p>
    <w:p>
      <w:pPr>
        <w:ind w:firstLine="1040"/>
        <w:rPr>
          <w:rFonts w:hint="eastAsia" w:ascii="黑体" w:eastAsia="黑体"/>
          <w:bCs/>
          <w:color w:val="auto"/>
          <w:sz w:val="52"/>
          <w:szCs w:val="52"/>
          <w:highlight w:val="none"/>
        </w:rPr>
      </w:pPr>
    </w:p>
    <w:p>
      <w:pPr>
        <w:jc w:val="center"/>
        <w:rPr>
          <w:rFonts w:hint="eastAsia" w:ascii="黑体" w:eastAsia="黑体"/>
          <w:bCs/>
          <w:color w:val="auto"/>
          <w:sz w:val="72"/>
          <w:szCs w:val="72"/>
          <w:highlight w:val="none"/>
        </w:rPr>
      </w:pPr>
      <w:r>
        <w:rPr>
          <w:rFonts w:hint="eastAsia" w:ascii="黑体" w:eastAsia="黑体"/>
          <w:bCs/>
          <w:color w:val="auto"/>
          <w:sz w:val="52"/>
          <w:szCs w:val="72"/>
          <w:highlight w:val="none"/>
        </w:rPr>
        <w:t>投标文件（第三标段）</w:t>
      </w:r>
    </w:p>
    <w:p>
      <w:pPr>
        <w:ind w:firstLine="560"/>
        <w:rPr>
          <w:rFonts w:hint="eastAsia" w:ascii="黑体" w:eastAsia="黑体"/>
          <w:bCs/>
          <w:color w:val="auto"/>
          <w:sz w:val="28"/>
          <w:szCs w:val="28"/>
          <w:highlight w:val="none"/>
        </w:rPr>
      </w:pPr>
    </w:p>
    <w:p>
      <w:pPr>
        <w:ind w:firstLine="560"/>
        <w:rPr>
          <w:rFonts w:hint="eastAsia" w:ascii="黑体" w:eastAsia="黑体"/>
          <w:bCs/>
          <w:color w:val="auto"/>
          <w:sz w:val="28"/>
          <w:szCs w:val="28"/>
          <w:highlight w:val="none"/>
        </w:rPr>
      </w:pPr>
    </w:p>
    <w:p>
      <w:pPr>
        <w:ind w:firstLine="560"/>
        <w:rPr>
          <w:rFonts w:hint="eastAsia" w:ascii="黑体" w:eastAsia="黑体"/>
          <w:bCs/>
          <w:color w:val="auto"/>
          <w:sz w:val="28"/>
          <w:szCs w:val="28"/>
          <w:highlight w:val="none"/>
        </w:rPr>
      </w:pPr>
    </w:p>
    <w:p>
      <w:pPr>
        <w:ind w:firstLine="560"/>
        <w:rPr>
          <w:rFonts w:hint="eastAsia" w:ascii="黑体" w:eastAsia="黑体"/>
          <w:bCs/>
          <w:color w:val="auto"/>
          <w:sz w:val="28"/>
          <w:szCs w:val="28"/>
          <w:highlight w:val="none"/>
        </w:rPr>
      </w:pPr>
    </w:p>
    <w:p>
      <w:pPr>
        <w:spacing w:line="360" w:lineRule="auto"/>
        <w:ind w:firstLine="2640" w:firstLineChars="600"/>
        <w:rPr>
          <w:rFonts w:hint="eastAsia" w:ascii="黑体" w:eastAsia="黑体"/>
          <w:bCs/>
          <w:color w:val="auto"/>
          <w:sz w:val="44"/>
          <w:szCs w:val="44"/>
          <w:highlight w:val="none"/>
        </w:rPr>
      </w:pPr>
      <w:r>
        <w:rPr>
          <w:rFonts w:hint="eastAsia" w:ascii="黑体" w:eastAsia="黑体"/>
          <w:bCs/>
          <w:color w:val="auto"/>
          <w:sz w:val="44"/>
          <w:szCs w:val="44"/>
          <w:highlight w:val="none"/>
        </w:rPr>
        <w:t>编号：HTBXJJCG2023-01</w:t>
      </w:r>
    </w:p>
    <w:p>
      <w:pPr>
        <w:spacing w:line="360" w:lineRule="auto"/>
        <w:ind w:firstLine="2640" w:firstLineChars="600"/>
        <w:rPr>
          <w:rFonts w:hint="eastAsia" w:ascii="黑体" w:eastAsia="黑体"/>
          <w:bCs/>
          <w:color w:val="auto"/>
          <w:sz w:val="44"/>
          <w:szCs w:val="44"/>
          <w:highlight w:val="none"/>
        </w:rPr>
      </w:pPr>
      <w:r>
        <w:rPr>
          <w:rFonts w:hint="eastAsia" w:ascii="黑体" w:eastAsia="黑体"/>
          <w:bCs/>
          <w:color w:val="auto"/>
          <w:sz w:val="44"/>
          <w:szCs w:val="44"/>
          <w:highlight w:val="none"/>
        </w:rPr>
        <w:t>投标人：</w:t>
      </w:r>
    </w:p>
    <w:p>
      <w:pPr>
        <w:ind w:firstLine="640"/>
        <w:rPr>
          <w:rFonts w:hint="eastAsia" w:ascii="黑体" w:eastAsia="黑体"/>
          <w:bCs/>
          <w:color w:val="auto"/>
          <w:sz w:val="32"/>
          <w:highlight w:val="none"/>
        </w:rPr>
      </w:pPr>
    </w:p>
    <w:p>
      <w:pPr>
        <w:ind w:firstLine="640"/>
        <w:rPr>
          <w:rFonts w:hint="eastAsia" w:ascii="黑体" w:eastAsia="黑体"/>
          <w:bCs/>
          <w:color w:val="auto"/>
          <w:sz w:val="32"/>
          <w:highlight w:val="none"/>
        </w:rPr>
      </w:pPr>
    </w:p>
    <w:p>
      <w:pPr>
        <w:ind w:firstLine="640"/>
        <w:rPr>
          <w:rFonts w:hint="eastAsia" w:ascii="黑体" w:eastAsia="黑体"/>
          <w:bCs/>
          <w:color w:val="auto"/>
          <w:sz w:val="32"/>
          <w:highlight w:val="none"/>
        </w:rPr>
      </w:pPr>
    </w:p>
    <w:p>
      <w:pPr>
        <w:ind w:firstLine="640"/>
        <w:rPr>
          <w:rFonts w:hint="eastAsia" w:ascii="黑体" w:eastAsia="黑体"/>
          <w:bCs/>
          <w:color w:val="auto"/>
          <w:sz w:val="32"/>
          <w:highlight w:val="none"/>
        </w:rPr>
      </w:pPr>
    </w:p>
    <w:p>
      <w:pPr>
        <w:ind w:firstLine="640"/>
        <w:rPr>
          <w:rFonts w:hint="eastAsia" w:ascii="黑体" w:eastAsia="黑体"/>
          <w:bCs/>
          <w:color w:val="auto"/>
          <w:sz w:val="32"/>
          <w:highlight w:val="none"/>
        </w:rPr>
      </w:pPr>
    </w:p>
    <w:p>
      <w:pPr>
        <w:jc w:val="center"/>
        <w:rPr>
          <w:rFonts w:hint="eastAsia" w:ascii="黑体" w:hAnsi="黑体" w:eastAsia="黑体"/>
          <w:b/>
          <w:color w:val="auto"/>
          <w:sz w:val="30"/>
          <w:szCs w:val="30"/>
          <w:highlight w:val="none"/>
        </w:rPr>
      </w:pPr>
      <w:r>
        <w:rPr>
          <w:rFonts w:hint="eastAsia" w:ascii="黑体" w:eastAsia="黑体"/>
          <w:bCs/>
          <w:color w:val="auto"/>
          <w:sz w:val="44"/>
          <w:szCs w:val="44"/>
          <w:highlight w:val="none"/>
        </w:rPr>
        <w:t>二</w:t>
      </w:r>
      <w:r>
        <w:rPr>
          <w:rFonts w:hint="eastAsia" w:ascii="黑体" w:eastAsia="黑体"/>
          <w:bCs/>
          <w:color w:val="auto"/>
          <w:sz w:val="36"/>
          <w:szCs w:val="36"/>
          <w:highlight w:val="none"/>
        </w:rPr>
        <w:t>○</w:t>
      </w:r>
      <w:r>
        <w:rPr>
          <w:rFonts w:hint="eastAsia" w:ascii="黑体" w:eastAsia="黑体"/>
          <w:bCs/>
          <w:color w:val="auto"/>
          <w:sz w:val="44"/>
          <w:szCs w:val="44"/>
          <w:highlight w:val="none"/>
        </w:rPr>
        <w:t>二三年三月二十日</w:t>
      </w:r>
    </w:p>
    <w:p>
      <w:pPr>
        <w:spacing w:line="400" w:lineRule="exact"/>
        <w:ind w:left="1675" w:leftChars="798" w:firstLine="602"/>
        <w:rPr>
          <w:rFonts w:hint="eastAsia" w:ascii="黑体" w:hAnsi="黑体" w:eastAsia="黑体"/>
          <w:b/>
          <w:color w:val="auto"/>
          <w:sz w:val="30"/>
          <w:szCs w:val="30"/>
          <w:highlight w:val="none"/>
        </w:rPr>
      </w:pPr>
    </w:p>
    <w:p>
      <w:pPr>
        <w:spacing w:line="360" w:lineRule="auto"/>
        <w:jc w:val="center"/>
        <w:rPr>
          <w:rFonts w:hint="eastAsia" w:ascii="黑体" w:hAnsi="宋体" w:eastAsia="黑体"/>
          <w:bCs/>
          <w:color w:val="auto"/>
          <w:sz w:val="24"/>
          <w:szCs w:val="24"/>
          <w:highlight w:val="none"/>
        </w:rPr>
      </w:pPr>
    </w:p>
    <w:p>
      <w:pPr>
        <w:rPr>
          <w:rFonts w:hint="eastAsia" w:ascii="黑体" w:hAnsi="宋体" w:eastAsia="黑体"/>
          <w:bCs/>
          <w:color w:val="auto"/>
          <w:sz w:val="24"/>
          <w:szCs w:val="24"/>
          <w:highlight w:val="none"/>
        </w:rPr>
      </w:pPr>
    </w:p>
    <w:p>
      <w:pPr>
        <w:rPr>
          <w:rFonts w:hint="eastAsia" w:ascii="黑体" w:hAnsi="宋体" w:eastAsia="黑体"/>
          <w:bCs/>
          <w:color w:val="auto"/>
          <w:sz w:val="24"/>
          <w:szCs w:val="24"/>
          <w:highlight w:val="none"/>
        </w:rPr>
      </w:pPr>
    </w:p>
    <w:p>
      <w:pPr>
        <w:ind w:firstLine="880"/>
        <w:jc w:val="center"/>
        <w:rPr>
          <w:rFonts w:hint="eastAsia" w:ascii="黑体" w:hAnsi="华文中宋" w:eastAsia="黑体"/>
          <w:bCs/>
          <w:color w:val="auto"/>
          <w:sz w:val="44"/>
          <w:szCs w:val="44"/>
          <w:highlight w:val="none"/>
        </w:rPr>
      </w:pPr>
      <w:r>
        <w:rPr>
          <w:rFonts w:ascii="黑体" w:hAnsi="宋体" w:eastAsia="黑体"/>
          <w:bCs/>
          <w:color w:val="auto"/>
          <w:sz w:val="24"/>
          <w:szCs w:val="24"/>
          <w:highlight w:val="none"/>
        </w:rPr>
        <w:br w:type="page"/>
      </w:r>
      <w:r>
        <w:rPr>
          <w:rFonts w:hint="eastAsia" w:ascii="黑体" w:hAnsi="华文中宋" w:eastAsia="黑体"/>
          <w:bCs/>
          <w:color w:val="auto"/>
          <w:sz w:val="44"/>
          <w:szCs w:val="44"/>
          <w:highlight w:val="none"/>
        </w:rPr>
        <mc:AlternateContent>
          <mc:Choice Requires="wps">
            <w:drawing>
              <wp:anchor distT="0" distB="0" distL="114300" distR="114300" simplePos="0" relativeHeight="251675648" behindDoc="0" locked="0" layoutInCell="1" allowOverlap="1">
                <wp:simplePos x="0" y="0"/>
                <wp:positionH relativeFrom="column">
                  <wp:posOffset>4857115</wp:posOffset>
                </wp:positionH>
                <wp:positionV relativeFrom="paragraph">
                  <wp:posOffset>58420</wp:posOffset>
                </wp:positionV>
                <wp:extent cx="1378585" cy="747395"/>
                <wp:effectExtent l="8890" t="10795" r="12700" b="13335"/>
                <wp:wrapNone/>
                <wp:docPr id="25" name="Rectangle 29"/>
                <wp:cNvGraphicFramePr/>
                <a:graphic xmlns:a="http://schemas.openxmlformats.org/drawingml/2006/main">
                  <a:graphicData uri="http://schemas.microsoft.com/office/word/2010/wordprocessingShape">
                    <wps:wsp>
                      <wps:cNvSpPr>
                        <a:spLocks noChangeArrowheads="1"/>
                      </wps:cNvSpPr>
                      <wps:spPr bwMode="auto">
                        <a:xfrm>
                          <a:off x="0" y="0"/>
                          <a:ext cx="1378585" cy="747395"/>
                        </a:xfrm>
                        <a:prstGeom prst="rect">
                          <a:avLst/>
                        </a:prstGeom>
                        <a:solidFill>
                          <a:srgbClr val="FFFFFF"/>
                        </a:solidFill>
                        <a:ln w="9525">
                          <a:solidFill>
                            <a:srgbClr val="000000"/>
                          </a:solidFill>
                          <a:miter lim="800000"/>
                        </a:ln>
                      </wps:spPr>
                      <wps:txbx>
                        <w:txbxContent>
                          <w:p>
                            <w:pPr>
                              <w:jc w:val="center"/>
                              <w:rPr>
                                <w:b/>
                                <w:sz w:val="72"/>
                                <w:szCs w:val="72"/>
                              </w:rPr>
                            </w:pPr>
                            <w:r>
                              <w:rPr>
                                <w:rFonts w:hint="eastAsia"/>
                                <w:b/>
                                <w:sz w:val="72"/>
                                <w:szCs w:val="72"/>
                              </w:rPr>
                              <w:t>副本</w:t>
                            </w:r>
                          </w:p>
                        </w:txbxContent>
                      </wps:txbx>
                      <wps:bodyPr rot="0" vert="horz" wrap="square" lIns="91440" tIns="45720" rIns="91440" bIns="45720" anchor="t" anchorCtr="0" upright="1">
                        <a:noAutofit/>
                      </wps:bodyPr>
                    </wps:wsp>
                  </a:graphicData>
                </a:graphic>
              </wp:anchor>
            </w:drawing>
          </mc:Choice>
          <mc:Fallback>
            <w:pict>
              <v:rect id="Rectangle 29" o:spid="_x0000_s1026" o:spt="1" style="position:absolute;left:0pt;margin-left:382.45pt;margin-top:4.6pt;height:58.85pt;width:108.55pt;z-index:251675648;mso-width-relative:page;mso-height-relative:page;" fillcolor="#FFFFFF" filled="t" stroked="t" coordsize="21600,21600" o:gfxdata="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UGkLPNcAAAAJAQAADwAAAAAAAAABACAAAAAiAAAAZHJzL2Rvd25yZXYueG1sUEsBAhQA&#10;FAAAAAgAh07iQK0Lcy0sAgAAfwQAAA4AAAAAAAAAAQAgAAAAJgEAAGRycy9lMm9Eb2MueG1sUEsF&#10;BgAAAAAGAAYAWQEAAMQFAAAAAA==&#10;">
                <v:fill on="t" focussize="0,0"/>
                <v:stroke color="#000000" miterlimit="8" joinstyle="miter"/>
                <v:imagedata o:title=""/>
                <o:lock v:ext="edit" aspectratio="f"/>
                <v:textbox>
                  <w:txbxContent>
                    <w:p>
                      <w:pPr>
                        <w:jc w:val="center"/>
                        <w:rPr>
                          <w:b/>
                          <w:sz w:val="72"/>
                          <w:szCs w:val="72"/>
                        </w:rPr>
                      </w:pPr>
                      <w:r>
                        <w:rPr>
                          <w:rFonts w:hint="eastAsia"/>
                          <w:b/>
                          <w:sz w:val="72"/>
                          <w:szCs w:val="72"/>
                        </w:rPr>
                        <w:t>副本</w:t>
                      </w:r>
                    </w:p>
                  </w:txbxContent>
                </v:textbox>
              </v:rect>
            </w:pict>
          </mc:Fallback>
        </mc:AlternateContent>
      </w:r>
    </w:p>
    <w:p>
      <w:pPr>
        <w:ind w:firstLine="880"/>
        <w:jc w:val="center"/>
        <w:rPr>
          <w:rFonts w:hint="eastAsia" w:ascii="黑体" w:hAnsi="华文中宋" w:eastAsia="黑体"/>
          <w:bCs/>
          <w:color w:val="auto"/>
          <w:sz w:val="44"/>
          <w:szCs w:val="44"/>
          <w:highlight w:val="none"/>
        </w:rPr>
      </w:pPr>
    </w:p>
    <w:p>
      <w:pPr>
        <w:ind w:firstLine="880"/>
        <w:jc w:val="center"/>
        <w:rPr>
          <w:rFonts w:hint="eastAsia" w:ascii="黑体" w:hAnsi="华文中宋" w:eastAsia="黑体"/>
          <w:bCs/>
          <w:color w:val="auto"/>
          <w:sz w:val="44"/>
          <w:szCs w:val="44"/>
          <w:highlight w:val="none"/>
        </w:rPr>
      </w:pPr>
    </w:p>
    <w:p>
      <w:pPr>
        <w:jc w:val="center"/>
        <w:rPr>
          <w:rFonts w:hint="eastAsia" w:ascii="黑体" w:hAnsi="黑体" w:eastAsia="黑体"/>
          <w:color w:val="auto"/>
          <w:sz w:val="56"/>
          <w:szCs w:val="56"/>
          <w:highlight w:val="none"/>
        </w:rPr>
      </w:pPr>
      <w:r>
        <w:rPr>
          <w:rFonts w:hint="eastAsia" w:ascii="黑体" w:hAnsi="黑体" w:eastAsia="黑体"/>
          <w:color w:val="auto"/>
          <w:sz w:val="56"/>
          <w:szCs w:val="56"/>
          <w:highlight w:val="none"/>
        </w:rPr>
        <w:t>无锡市城乡居民大病保险项目</w:t>
      </w:r>
    </w:p>
    <w:p>
      <w:pPr>
        <w:ind w:firstLine="1040"/>
        <w:rPr>
          <w:rFonts w:hint="eastAsia" w:ascii="黑体" w:eastAsia="黑体"/>
          <w:bCs/>
          <w:color w:val="auto"/>
          <w:sz w:val="52"/>
          <w:szCs w:val="52"/>
          <w:highlight w:val="none"/>
        </w:rPr>
      </w:pPr>
    </w:p>
    <w:p>
      <w:pPr>
        <w:jc w:val="center"/>
        <w:rPr>
          <w:rFonts w:hint="eastAsia" w:ascii="黑体" w:eastAsia="黑体"/>
          <w:bCs/>
          <w:color w:val="auto"/>
          <w:sz w:val="72"/>
          <w:szCs w:val="72"/>
          <w:highlight w:val="none"/>
        </w:rPr>
      </w:pPr>
      <w:r>
        <w:rPr>
          <w:rFonts w:hint="eastAsia" w:ascii="黑体" w:eastAsia="黑体"/>
          <w:bCs/>
          <w:color w:val="auto"/>
          <w:sz w:val="52"/>
          <w:szCs w:val="72"/>
          <w:highlight w:val="none"/>
        </w:rPr>
        <w:t>投标文件（第三标段）</w:t>
      </w:r>
    </w:p>
    <w:p>
      <w:pPr>
        <w:ind w:firstLine="560"/>
        <w:rPr>
          <w:rFonts w:hint="eastAsia" w:ascii="黑体" w:eastAsia="黑体"/>
          <w:bCs/>
          <w:color w:val="auto"/>
          <w:sz w:val="28"/>
          <w:szCs w:val="28"/>
          <w:highlight w:val="none"/>
        </w:rPr>
      </w:pPr>
    </w:p>
    <w:p>
      <w:pPr>
        <w:ind w:firstLine="560"/>
        <w:rPr>
          <w:rFonts w:hint="eastAsia" w:ascii="黑体" w:eastAsia="黑体"/>
          <w:bCs/>
          <w:color w:val="auto"/>
          <w:sz w:val="28"/>
          <w:szCs w:val="28"/>
          <w:highlight w:val="none"/>
        </w:rPr>
      </w:pPr>
    </w:p>
    <w:p>
      <w:pPr>
        <w:ind w:firstLine="560"/>
        <w:rPr>
          <w:rFonts w:hint="eastAsia" w:ascii="黑体" w:eastAsia="黑体"/>
          <w:bCs/>
          <w:color w:val="auto"/>
          <w:sz w:val="28"/>
          <w:szCs w:val="28"/>
          <w:highlight w:val="none"/>
        </w:rPr>
      </w:pPr>
    </w:p>
    <w:p>
      <w:pPr>
        <w:ind w:firstLine="560"/>
        <w:rPr>
          <w:rFonts w:hint="eastAsia" w:ascii="黑体" w:eastAsia="黑体"/>
          <w:bCs/>
          <w:color w:val="auto"/>
          <w:sz w:val="28"/>
          <w:szCs w:val="28"/>
          <w:highlight w:val="none"/>
        </w:rPr>
      </w:pPr>
    </w:p>
    <w:p>
      <w:pPr>
        <w:spacing w:line="360" w:lineRule="auto"/>
        <w:ind w:firstLine="2640" w:firstLineChars="600"/>
        <w:rPr>
          <w:rFonts w:hint="eastAsia" w:ascii="黑体" w:eastAsia="黑体"/>
          <w:bCs/>
          <w:color w:val="auto"/>
          <w:sz w:val="44"/>
          <w:szCs w:val="44"/>
          <w:highlight w:val="none"/>
        </w:rPr>
      </w:pPr>
      <w:r>
        <w:rPr>
          <w:rFonts w:hint="eastAsia" w:ascii="黑体" w:eastAsia="黑体"/>
          <w:bCs/>
          <w:color w:val="auto"/>
          <w:sz w:val="44"/>
          <w:szCs w:val="44"/>
          <w:highlight w:val="none"/>
        </w:rPr>
        <w:t>编号：HTBXJJCG2023-01</w:t>
      </w:r>
    </w:p>
    <w:p>
      <w:pPr>
        <w:spacing w:line="360" w:lineRule="auto"/>
        <w:ind w:firstLine="2640" w:firstLineChars="600"/>
        <w:rPr>
          <w:rFonts w:hint="eastAsia" w:ascii="黑体" w:eastAsia="黑体"/>
          <w:bCs/>
          <w:color w:val="auto"/>
          <w:sz w:val="44"/>
          <w:szCs w:val="44"/>
          <w:highlight w:val="none"/>
        </w:rPr>
      </w:pPr>
      <w:r>
        <w:rPr>
          <w:rFonts w:hint="eastAsia" w:ascii="黑体" w:eastAsia="黑体"/>
          <w:bCs/>
          <w:color w:val="auto"/>
          <w:sz w:val="44"/>
          <w:szCs w:val="44"/>
          <w:highlight w:val="none"/>
        </w:rPr>
        <w:t>投标人：</w:t>
      </w:r>
    </w:p>
    <w:p>
      <w:pPr>
        <w:ind w:firstLine="640"/>
        <w:rPr>
          <w:rFonts w:hint="eastAsia" w:ascii="黑体" w:eastAsia="黑体"/>
          <w:bCs/>
          <w:color w:val="auto"/>
          <w:sz w:val="32"/>
          <w:highlight w:val="none"/>
        </w:rPr>
      </w:pPr>
    </w:p>
    <w:p>
      <w:pPr>
        <w:ind w:firstLine="640"/>
        <w:rPr>
          <w:rFonts w:hint="eastAsia" w:ascii="黑体" w:eastAsia="黑体"/>
          <w:bCs/>
          <w:color w:val="auto"/>
          <w:sz w:val="32"/>
          <w:highlight w:val="none"/>
        </w:rPr>
      </w:pPr>
    </w:p>
    <w:p>
      <w:pPr>
        <w:ind w:firstLine="640"/>
        <w:rPr>
          <w:rFonts w:hint="eastAsia" w:ascii="黑体" w:eastAsia="黑体"/>
          <w:bCs/>
          <w:color w:val="auto"/>
          <w:sz w:val="32"/>
          <w:highlight w:val="none"/>
        </w:rPr>
      </w:pPr>
    </w:p>
    <w:p>
      <w:pPr>
        <w:ind w:firstLine="640"/>
        <w:rPr>
          <w:rFonts w:hint="eastAsia" w:ascii="黑体" w:eastAsia="黑体"/>
          <w:bCs/>
          <w:color w:val="auto"/>
          <w:sz w:val="32"/>
          <w:highlight w:val="none"/>
        </w:rPr>
      </w:pPr>
    </w:p>
    <w:p>
      <w:pPr>
        <w:ind w:firstLine="640"/>
        <w:rPr>
          <w:rFonts w:hint="eastAsia" w:ascii="黑体" w:eastAsia="黑体"/>
          <w:bCs/>
          <w:color w:val="auto"/>
          <w:sz w:val="32"/>
          <w:highlight w:val="none"/>
        </w:rPr>
      </w:pPr>
    </w:p>
    <w:p>
      <w:pPr>
        <w:jc w:val="center"/>
        <w:rPr>
          <w:rFonts w:hint="eastAsia" w:ascii="黑体" w:hAnsi="黑体" w:eastAsia="黑体"/>
          <w:b/>
          <w:color w:val="auto"/>
          <w:sz w:val="30"/>
          <w:szCs w:val="30"/>
          <w:highlight w:val="none"/>
        </w:rPr>
      </w:pPr>
      <w:r>
        <w:rPr>
          <w:rFonts w:hint="eastAsia" w:ascii="黑体" w:eastAsia="黑体"/>
          <w:bCs/>
          <w:color w:val="auto"/>
          <w:sz w:val="44"/>
          <w:szCs w:val="44"/>
          <w:highlight w:val="none"/>
        </w:rPr>
        <w:t>二</w:t>
      </w:r>
      <w:r>
        <w:rPr>
          <w:rFonts w:hint="eastAsia" w:ascii="黑体" w:eastAsia="黑体"/>
          <w:bCs/>
          <w:color w:val="auto"/>
          <w:sz w:val="36"/>
          <w:szCs w:val="36"/>
          <w:highlight w:val="none"/>
        </w:rPr>
        <w:t>○</w:t>
      </w:r>
      <w:r>
        <w:rPr>
          <w:rFonts w:hint="eastAsia" w:ascii="黑体" w:eastAsia="黑体"/>
          <w:bCs/>
          <w:color w:val="auto"/>
          <w:sz w:val="44"/>
          <w:szCs w:val="44"/>
          <w:highlight w:val="none"/>
        </w:rPr>
        <w:t>二三年三月二十日</w:t>
      </w:r>
    </w:p>
    <w:p>
      <w:pPr>
        <w:spacing w:line="400" w:lineRule="exact"/>
        <w:ind w:left="1675" w:leftChars="798" w:firstLine="602"/>
        <w:rPr>
          <w:rFonts w:hint="eastAsia" w:ascii="黑体" w:hAnsi="黑体" w:eastAsia="黑体"/>
          <w:b/>
          <w:color w:val="auto"/>
          <w:sz w:val="30"/>
          <w:szCs w:val="30"/>
          <w:highlight w:val="none"/>
        </w:rPr>
      </w:pPr>
    </w:p>
    <w:p>
      <w:pPr>
        <w:rPr>
          <w:rFonts w:hint="eastAsia" w:ascii="宋体" w:hAnsi="宋体"/>
          <w:b/>
          <w:bCs/>
          <w:color w:val="auto"/>
          <w:sz w:val="24"/>
          <w:szCs w:val="24"/>
          <w:highlight w:val="none"/>
        </w:rPr>
      </w:pPr>
      <w:r>
        <w:rPr>
          <w:rFonts w:ascii="黑体" w:hAnsi="宋体" w:eastAsia="黑体"/>
          <w:bCs/>
          <w:color w:val="auto"/>
          <w:sz w:val="24"/>
          <w:szCs w:val="24"/>
          <w:highlight w:val="none"/>
        </w:rPr>
        <w:br w:type="page"/>
      </w:r>
      <w:r>
        <w:rPr>
          <w:rFonts w:hint="eastAsia" w:ascii="黑体" w:hAnsi="宋体" w:eastAsia="黑体"/>
          <w:bCs/>
          <w:color w:val="auto"/>
          <w:sz w:val="24"/>
          <w:szCs w:val="24"/>
          <w:highlight w:val="none"/>
        </w:rPr>
        <w:t>(一)投标函（格式）</w:t>
      </w:r>
    </w:p>
    <w:p>
      <w:pPr>
        <w:spacing w:line="360" w:lineRule="auto"/>
        <w:jc w:val="center"/>
        <w:rPr>
          <w:rFonts w:hint="eastAsia" w:ascii="宋体" w:hAnsi="宋体"/>
          <w:bCs/>
          <w:color w:val="auto"/>
          <w:sz w:val="24"/>
          <w:szCs w:val="24"/>
          <w:highlight w:val="none"/>
        </w:rPr>
      </w:pPr>
      <w:r>
        <w:rPr>
          <w:rFonts w:hint="eastAsia" w:ascii="黑体" w:eastAsia="黑体"/>
          <w:bCs/>
          <w:color w:val="auto"/>
          <w:sz w:val="28"/>
          <w:szCs w:val="28"/>
          <w:highlight w:val="none"/>
        </w:rPr>
        <w:t>投标函</w:t>
      </w:r>
    </w:p>
    <w:p>
      <w:pPr>
        <w:spacing w:line="360" w:lineRule="auto"/>
        <w:rPr>
          <w:rFonts w:hint="eastAsia" w:ascii="宋体" w:hAnsi="宋体"/>
          <w:bCs/>
          <w:color w:val="auto"/>
          <w:sz w:val="24"/>
          <w:szCs w:val="24"/>
          <w:highlight w:val="none"/>
        </w:rPr>
      </w:pPr>
      <w:r>
        <w:rPr>
          <w:rFonts w:hint="eastAsia" w:ascii="宋体" w:hAnsi="宋体"/>
          <w:bCs/>
          <w:color w:val="auto"/>
          <w:sz w:val="24"/>
          <w:szCs w:val="24"/>
          <w:highlight w:val="none"/>
        </w:rPr>
        <w:t>致恒泰保险经纪有限公司：</w:t>
      </w:r>
    </w:p>
    <w:p>
      <w:pPr>
        <w:spacing w:line="360" w:lineRule="auto"/>
        <w:ind w:firstLine="480" w:firstLineChars="200"/>
        <w:rPr>
          <w:rFonts w:hint="eastAsia" w:ascii="宋体" w:hAnsi="宋体"/>
          <w:bCs/>
          <w:color w:val="auto"/>
          <w:sz w:val="24"/>
          <w:szCs w:val="24"/>
          <w:highlight w:val="none"/>
        </w:rPr>
      </w:pPr>
      <w:r>
        <w:rPr>
          <w:rFonts w:hint="eastAsia" w:ascii="宋体" w:hAnsi="宋体"/>
          <w:bCs/>
          <w:color w:val="auto"/>
          <w:sz w:val="24"/>
          <w:szCs w:val="24"/>
          <w:highlight w:val="none"/>
        </w:rPr>
        <w:t>我们收到你们编号HTBXJJCG2023-01招标文件，经仔细阅读和研究，我们决定参加此次无锡市城乡居民大病保险项目的投标。</w:t>
      </w:r>
    </w:p>
    <w:p>
      <w:pPr>
        <w:tabs>
          <w:tab w:val="left" w:pos="315"/>
          <w:tab w:val="left" w:pos="525"/>
          <w:tab w:val="left" w:pos="945"/>
          <w:tab w:val="left" w:pos="1155"/>
        </w:tabs>
        <w:spacing w:line="360" w:lineRule="auto"/>
        <w:ind w:firstLine="480" w:firstLineChars="200"/>
        <w:rPr>
          <w:rStyle w:val="29"/>
          <w:rFonts w:hint="eastAsia"/>
          <w:bCs/>
          <w:color w:val="auto"/>
          <w:highlight w:val="none"/>
        </w:rPr>
      </w:pPr>
      <w:r>
        <w:rPr>
          <w:rFonts w:hint="eastAsia" w:ascii="宋体" w:hAnsi="宋体"/>
          <w:bCs/>
          <w:color w:val="auto"/>
          <w:sz w:val="24"/>
          <w:szCs w:val="24"/>
          <w:highlight w:val="none"/>
        </w:rPr>
        <w:t>我们愿意提供在招标文件中要求的文件、资料（具体内容如下）</w:t>
      </w:r>
      <w:r>
        <w:rPr>
          <w:rStyle w:val="29"/>
          <w:rFonts w:hint="eastAsia"/>
          <w:color w:val="auto"/>
          <w:highlight w:val="none"/>
        </w:rPr>
        <w:t>：</w:t>
      </w:r>
    </w:p>
    <w:p>
      <w:pPr>
        <w:tabs>
          <w:tab w:val="left" w:pos="315"/>
          <w:tab w:val="left" w:pos="525"/>
          <w:tab w:val="left" w:pos="945"/>
          <w:tab w:val="left" w:pos="1155"/>
        </w:tabs>
        <w:spacing w:line="360" w:lineRule="auto"/>
        <w:ind w:firstLine="480" w:firstLineChars="200"/>
        <w:rPr>
          <w:rFonts w:hint="eastAsia" w:ascii="宋体" w:hAnsi="宋体" w:cs="宋体"/>
          <w:bCs/>
          <w:color w:val="auto"/>
          <w:sz w:val="24"/>
          <w:szCs w:val="24"/>
          <w:highlight w:val="none"/>
        </w:rPr>
      </w:pPr>
      <w:r>
        <w:rPr>
          <w:rFonts w:hint="eastAsia"/>
          <w:bCs/>
          <w:color w:val="auto"/>
          <w:sz w:val="24"/>
          <w:szCs w:val="24"/>
          <w:highlight w:val="none"/>
        </w:rPr>
        <w:t>1.证明文件</w:t>
      </w:r>
    </w:p>
    <w:p>
      <w:pPr>
        <w:tabs>
          <w:tab w:val="left" w:pos="315"/>
          <w:tab w:val="left" w:pos="525"/>
          <w:tab w:val="left" w:pos="945"/>
          <w:tab w:val="left" w:pos="1155"/>
        </w:tabs>
        <w:spacing w:line="360" w:lineRule="auto"/>
        <w:ind w:firstLine="480" w:firstLineChars="200"/>
        <w:rPr>
          <w:rFonts w:hint="eastAsia" w:ascii="宋体" w:hAnsi="宋体" w:cs="宋体"/>
          <w:bCs/>
          <w:color w:val="auto"/>
          <w:sz w:val="24"/>
          <w:szCs w:val="24"/>
          <w:highlight w:val="none"/>
        </w:rPr>
      </w:pPr>
      <w:r>
        <w:rPr>
          <w:rFonts w:hint="eastAsia"/>
          <w:bCs/>
          <w:color w:val="auto"/>
          <w:sz w:val="24"/>
          <w:szCs w:val="24"/>
          <w:highlight w:val="none"/>
        </w:rPr>
        <w:t>（1）资格、资信证明文件</w:t>
      </w:r>
    </w:p>
    <w:p>
      <w:pPr>
        <w:tabs>
          <w:tab w:val="left" w:pos="525"/>
          <w:tab w:val="left" w:pos="1050"/>
        </w:tabs>
        <w:spacing w:line="360" w:lineRule="auto"/>
        <w:ind w:firstLine="480" w:firstLineChars="200"/>
        <w:rPr>
          <w:rFonts w:hint="eastAsia" w:ascii="宋体" w:hAnsi="宋体"/>
          <w:bCs/>
          <w:color w:val="auto"/>
          <w:sz w:val="24"/>
          <w:szCs w:val="24"/>
          <w:highlight w:val="none"/>
        </w:rPr>
      </w:pPr>
      <w:r>
        <w:rPr>
          <w:rFonts w:hint="eastAsia" w:ascii="宋体" w:hAnsi="宋体"/>
          <w:bCs/>
          <w:color w:val="auto"/>
          <w:sz w:val="24"/>
          <w:szCs w:val="24"/>
          <w:highlight w:val="none"/>
        </w:rPr>
        <w:t>①关于资格的声明函</w:t>
      </w:r>
      <w:r>
        <w:rPr>
          <w:rFonts w:hint="eastAsia" w:ascii="宋体" w:hAnsi="宋体"/>
          <w:b/>
          <w:bCs/>
          <w:color w:val="auto"/>
          <w:sz w:val="24"/>
          <w:szCs w:val="24"/>
          <w:highlight w:val="none"/>
        </w:rPr>
        <w:t>（格式见附件）</w:t>
      </w:r>
    </w:p>
    <w:p>
      <w:pPr>
        <w:tabs>
          <w:tab w:val="left" w:pos="525"/>
          <w:tab w:val="left" w:pos="1050"/>
        </w:tabs>
        <w:spacing w:line="360" w:lineRule="auto"/>
        <w:ind w:firstLine="480" w:firstLineChars="200"/>
        <w:rPr>
          <w:rFonts w:hint="eastAsia" w:ascii="宋体" w:hAnsi="宋体"/>
          <w:bCs/>
          <w:color w:val="auto"/>
          <w:sz w:val="24"/>
          <w:szCs w:val="24"/>
          <w:highlight w:val="none"/>
        </w:rPr>
      </w:pPr>
      <w:r>
        <w:rPr>
          <w:rFonts w:hint="eastAsia" w:ascii="宋体" w:hAnsi="宋体"/>
          <w:bCs/>
          <w:color w:val="auto"/>
          <w:sz w:val="24"/>
          <w:szCs w:val="24"/>
          <w:highlight w:val="none"/>
        </w:rPr>
        <w:t>②投标人有效期内营业执照副本</w:t>
      </w:r>
      <w:r>
        <w:rPr>
          <w:rFonts w:hint="eastAsia" w:ascii="宋体" w:hAnsi="宋体"/>
          <w:b/>
          <w:bCs/>
          <w:color w:val="auto"/>
          <w:sz w:val="24"/>
          <w:szCs w:val="24"/>
          <w:highlight w:val="none"/>
        </w:rPr>
        <w:t>复印件或扫描件</w:t>
      </w:r>
      <w:r>
        <w:rPr>
          <w:rFonts w:hint="eastAsia" w:ascii="宋体" w:hAnsi="宋体"/>
          <w:bCs/>
          <w:color w:val="auto"/>
          <w:sz w:val="24"/>
          <w:szCs w:val="24"/>
          <w:highlight w:val="none"/>
        </w:rPr>
        <w:t>，如投标人是被授权的分支机构还须另行提供出具授权书的企业法人有效期内营业执照副本复印件或扫描件</w:t>
      </w:r>
      <w:r>
        <w:rPr>
          <w:rFonts w:hint="eastAsia" w:ascii="宋体" w:hAnsi="宋体"/>
          <w:b/>
          <w:bCs/>
          <w:color w:val="auto"/>
          <w:sz w:val="24"/>
          <w:szCs w:val="24"/>
          <w:highlight w:val="none"/>
        </w:rPr>
        <w:t xml:space="preserve">（复印件或扫描件均须加盖各自公章）； </w:t>
      </w:r>
    </w:p>
    <w:p>
      <w:pPr>
        <w:tabs>
          <w:tab w:val="left" w:pos="525"/>
        </w:tabs>
        <w:spacing w:line="360" w:lineRule="auto"/>
        <w:ind w:firstLine="465"/>
        <w:rPr>
          <w:rFonts w:ascii="宋体" w:hAnsi="宋体"/>
          <w:b/>
          <w:bCs/>
          <w:color w:val="auto"/>
          <w:sz w:val="24"/>
          <w:szCs w:val="24"/>
          <w:highlight w:val="none"/>
        </w:rPr>
      </w:pPr>
      <w:r>
        <w:rPr>
          <w:rFonts w:hint="eastAsia" w:ascii="宋体" w:hAnsi="宋体"/>
          <w:bCs/>
          <w:color w:val="auto"/>
          <w:sz w:val="24"/>
          <w:szCs w:val="24"/>
          <w:highlight w:val="none"/>
        </w:rPr>
        <w:t>③委托投标授权书</w:t>
      </w:r>
      <w:r>
        <w:rPr>
          <w:rFonts w:hint="eastAsia" w:ascii="宋体" w:hAnsi="宋体"/>
          <w:b/>
          <w:bCs/>
          <w:color w:val="auto"/>
          <w:sz w:val="24"/>
          <w:szCs w:val="24"/>
          <w:highlight w:val="none"/>
        </w:rPr>
        <w:t>并加盖公章</w:t>
      </w:r>
      <w:r>
        <w:rPr>
          <w:rFonts w:hint="eastAsia" w:ascii="宋体" w:hAnsi="宋体"/>
          <w:bCs/>
          <w:color w:val="auto"/>
          <w:sz w:val="24"/>
          <w:szCs w:val="24"/>
          <w:highlight w:val="none"/>
        </w:rPr>
        <w:t>（投标人为企业法人的除外，</w:t>
      </w:r>
      <w:r>
        <w:rPr>
          <w:rFonts w:hint="eastAsia" w:ascii="宋体" w:hAnsi="宋体"/>
          <w:b/>
          <w:bCs/>
          <w:color w:val="auto"/>
          <w:sz w:val="24"/>
          <w:szCs w:val="24"/>
          <w:highlight w:val="none"/>
        </w:rPr>
        <w:t>格式见附件</w:t>
      </w:r>
      <w:r>
        <w:rPr>
          <w:rFonts w:hint="eastAsia" w:ascii="宋体" w:hAnsi="宋体"/>
          <w:bCs/>
          <w:color w:val="auto"/>
          <w:sz w:val="24"/>
          <w:szCs w:val="24"/>
          <w:highlight w:val="none"/>
        </w:rPr>
        <w:t>)；</w:t>
      </w:r>
    </w:p>
    <w:p>
      <w:pPr>
        <w:tabs>
          <w:tab w:val="left" w:pos="525"/>
        </w:tabs>
        <w:spacing w:line="360" w:lineRule="auto"/>
        <w:ind w:firstLine="465"/>
        <w:rPr>
          <w:rFonts w:ascii="宋体" w:hAnsi="宋体"/>
          <w:bCs/>
          <w:color w:val="auto"/>
          <w:sz w:val="24"/>
          <w:szCs w:val="24"/>
          <w:highlight w:val="none"/>
        </w:rPr>
      </w:pPr>
      <w:r>
        <w:rPr>
          <w:rFonts w:hint="eastAsia" w:ascii="宋体" w:hAnsi="宋体"/>
          <w:bCs/>
          <w:color w:val="auto"/>
          <w:sz w:val="24"/>
          <w:szCs w:val="24"/>
          <w:highlight w:val="none"/>
        </w:rPr>
        <w:t>④投标人法定代表人授权委托书副本复印件或扫描件，</w:t>
      </w:r>
      <w:r>
        <w:rPr>
          <w:rFonts w:hint="eastAsia" w:ascii="宋体" w:hAnsi="宋体"/>
          <w:b/>
          <w:bCs/>
          <w:color w:val="auto"/>
          <w:sz w:val="24"/>
          <w:szCs w:val="24"/>
          <w:highlight w:val="none"/>
        </w:rPr>
        <w:t>并加盖公章</w:t>
      </w:r>
      <w:r>
        <w:rPr>
          <w:rFonts w:hint="eastAsia" w:ascii="宋体" w:hAnsi="宋体"/>
          <w:bCs/>
          <w:color w:val="auto"/>
          <w:sz w:val="24"/>
          <w:szCs w:val="24"/>
          <w:highlight w:val="none"/>
        </w:rPr>
        <w:t>（法定代表人亲自参与投标的除外，</w:t>
      </w:r>
      <w:r>
        <w:rPr>
          <w:rFonts w:hint="eastAsia" w:ascii="宋体" w:hAnsi="宋体"/>
          <w:b/>
          <w:bCs/>
          <w:color w:val="auto"/>
          <w:sz w:val="24"/>
          <w:szCs w:val="24"/>
          <w:highlight w:val="none"/>
        </w:rPr>
        <w:t>格式见附件</w:t>
      </w:r>
      <w:r>
        <w:rPr>
          <w:rFonts w:hint="eastAsia" w:ascii="宋体" w:hAnsi="宋体"/>
          <w:bCs/>
          <w:color w:val="auto"/>
          <w:sz w:val="24"/>
          <w:szCs w:val="24"/>
          <w:highlight w:val="none"/>
        </w:rPr>
        <w:t>,投标人如为分支机构的，请自行将 “法定代表人”更改为“负责人”，如分支机构投标时涉及到招标文件中“法定代表人”要求的部分，其具体要求视同本条规定，《委托投标授权书》中的“法定代表人”除外）；</w:t>
      </w:r>
    </w:p>
    <w:p>
      <w:pPr>
        <w:tabs>
          <w:tab w:val="left" w:pos="525"/>
        </w:tabs>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⑤投标人的法定代表人身份证复印件及被授权代表身份证</w:t>
      </w:r>
      <w:r>
        <w:rPr>
          <w:rFonts w:hint="eastAsia" w:ascii="宋体" w:hAnsi="宋体"/>
          <w:b/>
          <w:bCs/>
          <w:color w:val="auto"/>
          <w:sz w:val="24"/>
          <w:szCs w:val="24"/>
          <w:highlight w:val="none"/>
        </w:rPr>
        <w:t>复印件或扫描件</w:t>
      </w:r>
      <w:r>
        <w:rPr>
          <w:rFonts w:hint="eastAsia" w:ascii="宋体" w:hAnsi="宋体"/>
          <w:bCs/>
          <w:color w:val="auto"/>
          <w:sz w:val="24"/>
          <w:szCs w:val="24"/>
          <w:highlight w:val="none"/>
        </w:rPr>
        <w:t>正反面</w:t>
      </w:r>
      <w:r>
        <w:rPr>
          <w:rFonts w:hint="eastAsia" w:ascii="宋体" w:hAnsi="宋体"/>
          <w:color w:val="auto"/>
          <w:sz w:val="24"/>
          <w:szCs w:val="24"/>
          <w:highlight w:val="none"/>
        </w:rPr>
        <w:t>（</w:t>
      </w:r>
      <w:r>
        <w:rPr>
          <w:rFonts w:hint="eastAsia" w:ascii="宋体" w:hAnsi="宋体"/>
          <w:b/>
          <w:bCs/>
          <w:color w:val="auto"/>
          <w:sz w:val="24"/>
          <w:szCs w:val="24"/>
          <w:highlight w:val="none"/>
        </w:rPr>
        <w:t>投标时必须携带被授权代表有效身份证明原件备查，法定代表人或无锡市级机构负责人亲自参与投标的必须携带有效身份证明原件备查</w:t>
      </w:r>
      <w:r>
        <w:rPr>
          <w:rFonts w:hint="eastAsia" w:ascii="宋体" w:hAnsi="宋体"/>
          <w:color w:val="auto"/>
          <w:sz w:val="24"/>
          <w:szCs w:val="24"/>
          <w:highlight w:val="none"/>
        </w:rPr>
        <w:t>）</w:t>
      </w:r>
      <w:r>
        <w:rPr>
          <w:rFonts w:hint="eastAsia" w:ascii="宋体" w:hAnsi="宋体"/>
          <w:bCs/>
          <w:color w:val="auto"/>
          <w:sz w:val="24"/>
          <w:szCs w:val="24"/>
          <w:highlight w:val="none"/>
        </w:rPr>
        <w:t>；</w:t>
      </w:r>
    </w:p>
    <w:p>
      <w:pPr>
        <w:tabs>
          <w:tab w:val="left" w:pos="525"/>
        </w:tabs>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⑥投标人有效期内的《中华人民共和国保险许可证》</w:t>
      </w:r>
      <w:r>
        <w:rPr>
          <w:rFonts w:hint="eastAsia" w:ascii="宋体" w:hAnsi="宋体"/>
          <w:b/>
          <w:bCs/>
          <w:color w:val="auto"/>
          <w:sz w:val="24"/>
          <w:szCs w:val="24"/>
          <w:highlight w:val="none"/>
        </w:rPr>
        <w:t>复印件或扫描件</w:t>
      </w:r>
      <w:r>
        <w:rPr>
          <w:rFonts w:hint="eastAsia" w:ascii="宋体" w:hAnsi="宋体"/>
          <w:bCs/>
          <w:color w:val="auto"/>
          <w:sz w:val="24"/>
          <w:szCs w:val="24"/>
          <w:highlight w:val="none"/>
        </w:rPr>
        <w:t>；</w:t>
      </w:r>
    </w:p>
    <w:p>
      <w:pPr>
        <w:tabs>
          <w:tab w:val="left" w:pos="525"/>
        </w:tabs>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⑦投标人投标前六个月（不含投标当月）中任一个月的纳税情况证明（</w:t>
      </w:r>
      <w:r>
        <w:rPr>
          <w:rFonts w:hint="eastAsia" w:ascii="宋体" w:hAnsi="宋体"/>
          <w:b/>
          <w:bCs/>
          <w:color w:val="auto"/>
          <w:sz w:val="24"/>
          <w:szCs w:val="24"/>
          <w:highlight w:val="none"/>
        </w:rPr>
        <w:t>提供相关主管部门证明或银行代扣证明）复印件或扫描件</w:t>
      </w:r>
      <w:r>
        <w:rPr>
          <w:rFonts w:hint="eastAsia" w:ascii="宋体" w:hAnsi="宋体"/>
          <w:bCs/>
          <w:color w:val="auto"/>
          <w:sz w:val="24"/>
          <w:szCs w:val="24"/>
          <w:highlight w:val="none"/>
        </w:rPr>
        <w:t>；</w:t>
      </w:r>
    </w:p>
    <w:p>
      <w:pPr>
        <w:tabs>
          <w:tab w:val="left" w:pos="525"/>
        </w:tabs>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⑧投标人投标前六个月（不含投标当月）中任意一个月的社会保险缴纳证明（</w:t>
      </w:r>
      <w:r>
        <w:rPr>
          <w:rFonts w:hint="eastAsia" w:ascii="宋体" w:hAnsi="宋体"/>
          <w:b/>
          <w:bCs/>
          <w:color w:val="auto"/>
          <w:sz w:val="24"/>
          <w:szCs w:val="24"/>
          <w:highlight w:val="none"/>
        </w:rPr>
        <w:t>提供相关主管部门证明或银行代扣证明）复印件或扫描件</w:t>
      </w:r>
      <w:r>
        <w:rPr>
          <w:rFonts w:hint="eastAsia" w:ascii="宋体" w:hAnsi="宋体"/>
          <w:bCs/>
          <w:color w:val="auto"/>
          <w:sz w:val="24"/>
          <w:szCs w:val="24"/>
          <w:highlight w:val="none"/>
        </w:rPr>
        <w:t>；</w:t>
      </w:r>
    </w:p>
    <w:p>
      <w:pPr>
        <w:tabs>
          <w:tab w:val="left" w:pos="600"/>
        </w:tabs>
        <w:spacing w:line="400" w:lineRule="exact"/>
        <w:ind w:firstLine="480" w:firstLineChars="200"/>
        <w:rPr>
          <w:rFonts w:ascii="宋体" w:hAnsi="宋体"/>
          <w:b/>
          <w:bCs/>
          <w:color w:val="auto"/>
          <w:sz w:val="24"/>
          <w:szCs w:val="24"/>
          <w:highlight w:val="none"/>
        </w:rPr>
      </w:pPr>
      <w:r>
        <w:rPr>
          <w:rFonts w:hint="eastAsia" w:ascii="宋体" w:hAnsi="宋体"/>
          <w:bCs/>
          <w:color w:val="auto"/>
          <w:sz w:val="24"/>
          <w:szCs w:val="24"/>
          <w:highlight w:val="none"/>
        </w:rPr>
        <w:t>⑨被授权代表由本企业缴纳的投标前六个月中（不含投标当月）任意一个月社会保险缴纳证明（</w:t>
      </w:r>
      <w:r>
        <w:rPr>
          <w:rFonts w:hint="eastAsia" w:ascii="宋体" w:hAnsi="宋体"/>
          <w:b/>
          <w:bCs/>
          <w:color w:val="auto"/>
          <w:sz w:val="24"/>
          <w:szCs w:val="24"/>
          <w:highlight w:val="none"/>
        </w:rPr>
        <w:t>提供相关主管部门证明或银行代扣证明）复印件或扫描件</w:t>
      </w:r>
      <w:r>
        <w:rPr>
          <w:rFonts w:hint="eastAsia" w:ascii="宋体" w:hAnsi="宋体"/>
          <w:bCs/>
          <w:color w:val="auto"/>
          <w:sz w:val="24"/>
          <w:szCs w:val="24"/>
          <w:highlight w:val="none"/>
        </w:rPr>
        <w:t>；</w:t>
      </w:r>
    </w:p>
    <w:p>
      <w:pPr>
        <w:tabs>
          <w:tab w:val="left" w:pos="600"/>
        </w:tabs>
        <w:spacing w:line="400" w:lineRule="exact"/>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⑩经第三方专业机构审计的总公司2021年度审计报告</w:t>
      </w:r>
      <w:r>
        <w:rPr>
          <w:rFonts w:hint="eastAsia" w:ascii="宋体" w:hAnsi="宋体"/>
          <w:b/>
          <w:bCs/>
          <w:color w:val="auto"/>
          <w:sz w:val="24"/>
          <w:szCs w:val="24"/>
          <w:highlight w:val="none"/>
        </w:rPr>
        <w:t>（</w:t>
      </w:r>
      <w:r>
        <w:rPr>
          <w:rFonts w:hint="eastAsia" w:ascii="宋体" w:hAnsi="宋体"/>
          <w:bCs/>
          <w:color w:val="auto"/>
          <w:sz w:val="24"/>
          <w:szCs w:val="24"/>
          <w:highlight w:val="none"/>
        </w:rPr>
        <w:t>所附资产负债表、利润表）和偿付能力状况表(</w:t>
      </w:r>
      <w:r>
        <w:rPr>
          <w:rFonts w:hint="eastAsia" w:ascii="宋体" w:hAnsi="宋体"/>
          <w:b/>
          <w:bCs/>
          <w:color w:val="auto"/>
          <w:sz w:val="24"/>
          <w:szCs w:val="24"/>
          <w:highlight w:val="none"/>
        </w:rPr>
        <w:t>复印件或扫描件</w:t>
      </w:r>
      <w:r>
        <w:rPr>
          <w:rFonts w:hint="eastAsia" w:ascii="宋体" w:hAnsi="宋体"/>
          <w:bCs/>
          <w:color w:val="auto"/>
          <w:sz w:val="24"/>
          <w:szCs w:val="24"/>
          <w:highlight w:val="none"/>
        </w:rPr>
        <w:t>)；</w:t>
      </w:r>
    </w:p>
    <w:p>
      <w:pPr>
        <w:spacing w:line="400" w:lineRule="exact"/>
        <w:ind w:firstLine="480" w:firstLineChars="200"/>
        <w:rPr>
          <w:rFonts w:ascii="宋体" w:hAnsi="宋体"/>
          <w:bCs/>
          <w:color w:val="auto"/>
          <w:sz w:val="24"/>
          <w:szCs w:val="24"/>
          <w:highlight w:val="none"/>
        </w:rPr>
      </w:pPr>
      <w:r>
        <w:rPr>
          <w:rFonts w:ascii="宋体" w:hAnsi="宋体"/>
          <w:bCs/>
          <w:color w:val="auto"/>
          <w:sz w:val="24"/>
          <w:szCs w:val="24"/>
          <w:highlight w:val="none"/>
        </w:rPr>
        <w:t>⑪</w:t>
      </w:r>
      <w:r>
        <w:rPr>
          <w:rFonts w:hint="eastAsia" w:ascii="宋体" w:hAnsi="宋体"/>
          <w:bCs/>
          <w:color w:val="auto"/>
          <w:sz w:val="24"/>
          <w:szCs w:val="24"/>
          <w:highlight w:val="none"/>
        </w:rPr>
        <w:t>投标人的法人或投标人基本账户开户许可证或基本存款信息</w:t>
      </w:r>
      <w:r>
        <w:rPr>
          <w:rFonts w:hint="eastAsia" w:ascii="宋体" w:hAnsi="宋体"/>
          <w:b/>
          <w:bCs/>
          <w:color w:val="auto"/>
          <w:sz w:val="24"/>
          <w:szCs w:val="24"/>
          <w:highlight w:val="none"/>
        </w:rPr>
        <w:t>复印件或扫描件</w:t>
      </w:r>
      <w:r>
        <w:rPr>
          <w:rFonts w:hint="eastAsia" w:ascii="宋体" w:hAnsi="宋体"/>
          <w:bCs/>
          <w:color w:val="auto"/>
          <w:sz w:val="24"/>
          <w:szCs w:val="24"/>
          <w:highlight w:val="none"/>
        </w:rPr>
        <w:t>；</w:t>
      </w:r>
    </w:p>
    <w:p>
      <w:pPr>
        <w:spacing w:line="360" w:lineRule="auto"/>
        <w:ind w:firstLine="480" w:firstLineChars="200"/>
        <w:rPr>
          <w:rFonts w:hint="eastAsia" w:ascii="宋体" w:hAnsi="宋体"/>
          <w:b/>
          <w:bCs/>
          <w:color w:val="auto"/>
          <w:sz w:val="24"/>
          <w:szCs w:val="24"/>
          <w:highlight w:val="none"/>
        </w:rPr>
      </w:pPr>
      <w:r>
        <w:rPr>
          <w:rFonts w:ascii="宋体" w:hAnsi="宋体"/>
          <w:bCs/>
          <w:color w:val="auto"/>
          <w:sz w:val="24"/>
          <w:szCs w:val="24"/>
          <w:highlight w:val="none"/>
        </w:rPr>
        <w:t>⑫</w:t>
      </w:r>
      <w:r>
        <w:rPr>
          <w:rFonts w:hint="eastAsia" w:ascii="宋体" w:hAnsi="宋体"/>
          <w:bCs/>
          <w:color w:val="auto"/>
          <w:sz w:val="24"/>
          <w:szCs w:val="24"/>
          <w:highlight w:val="none"/>
        </w:rPr>
        <w:t>经第三方专业机构核实的2021年度投标人的《履约能力调查报告书》精简版</w:t>
      </w:r>
      <w:r>
        <w:rPr>
          <w:rFonts w:hint="eastAsia" w:ascii="宋体" w:hAnsi="宋体"/>
          <w:b/>
          <w:bCs/>
          <w:color w:val="auto"/>
          <w:sz w:val="24"/>
          <w:szCs w:val="24"/>
          <w:highlight w:val="none"/>
        </w:rPr>
        <w:t>复印件或扫描件</w:t>
      </w:r>
      <w:r>
        <w:rPr>
          <w:rFonts w:hint="eastAsia" w:ascii="宋体" w:hAnsi="宋体"/>
          <w:color w:val="auto"/>
          <w:sz w:val="24"/>
          <w:szCs w:val="24"/>
          <w:highlight w:val="none"/>
        </w:rPr>
        <w:t>；</w:t>
      </w:r>
      <w:r>
        <w:rPr>
          <w:rFonts w:hint="eastAsia" w:ascii="宋体" w:hAnsi="宋体"/>
          <w:b/>
          <w:bCs/>
          <w:color w:val="auto"/>
          <w:sz w:val="24"/>
          <w:szCs w:val="24"/>
          <w:highlight w:val="none"/>
        </w:rPr>
        <w:t xml:space="preserve"> </w:t>
      </w:r>
    </w:p>
    <w:p>
      <w:pPr>
        <w:tabs>
          <w:tab w:val="left" w:pos="525"/>
          <w:tab w:val="left" w:pos="1050"/>
        </w:tabs>
        <w:spacing w:line="360" w:lineRule="auto"/>
        <w:ind w:firstLine="480" w:firstLineChars="200"/>
        <w:rPr>
          <w:rFonts w:hint="eastAsia" w:ascii="宋体" w:hAnsi="宋体" w:cs="宋体"/>
          <w:bCs/>
          <w:color w:val="auto"/>
          <w:sz w:val="24"/>
          <w:szCs w:val="24"/>
          <w:highlight w:val="none"/>
        </w:rPr>
      </w:pPr>
      <w:r>
        <w:rPr>
          <w:rFonts w:ascii="宋体" w:hAnsi="宋体"/>
          <w:bCs/>
          <w:color w:val="auto"/>
          <w:sz w:val="24"/>
          <w:szCs w:val="24"/>
          <w:highlight w:val="none"/>
        </w:rPr>
        <w:t>⑬</w:t>
      </w:r>
      <w:r>
        <w:rPr>
          <w:rFonts w:hint="eastAsia" w:ascii="宋体" w:hAnsi="宋体" w:cs="宋体"/>
          <w:bCs/>
          <w:color w:val="auto"/>
          <w:sz w:val="24"/>
          <w:szCs w:val="24"/>
          <w:highlight w:val="none"/>
        </w:rPr>
        <w:t>承诺书（</w:t>
      </w:r>
      <w:r>
        <w:rPr>
          <w:rFonts w:hint="eastAsia" w:ascii="宋体" w:hAnsi="宋体" w:cs="宋体"/>
          <w:b/>
          <w:bCs/>
          <w:color w:val="auto"/>
          <w:sz w:val="24"/>
          <w:szCs w:val="24"/>
          <w:highlight w:val="none"/>
        </w:rPr>
        <w:t>格式见附件</w:t>
      </w:r>
      <w:r>
        <w:rPr>
          <w:rFonts w:hint="eastAsia" w:ascii="宋体" w:hAnsi="宋体" w:cs="宋体"/>
          <w:bCs/>
          <w:color w:val="auto"/>
          <w:sz w:val="24"/>
          <w:szCs w:val="24"/>
          <w:highlight w:val="none"/>
        </w:rPr>
        <w:t>）</w:t>
      </w:r>
    </w:p>
    <w:p>
      <w:pPr>
        <w:spacing w:line="360" w:lineRule="auto"/>
        <w:ind w:firstLine="480" w:firstLineChars="200"/>
        <w:rPr>
          <w:rFonts w:hint="eastAsia" w:ascii="宋体" w:hAnsi="宋体"/>
          <w:color w:val="auto"/>
          <w:sz w:val="32"/>
          <w:szCs w:val="32"/>
          <w:highlight w:val="none"/>
        </w:rPr>
      </w:pPr>
      <w:r>
        <w:rPr>
          <w:rFonts w:ascii="宋体" w:hAnsi="宋体"/>
          <w:bCs/>
          <w:color w:val="auto"/>
          <w:sz w:val="24"/>
          <w:szCs w:val="24"/>
          <w:highlight w:val="none"/>
        </w:rPr>
        <w:t>⑭</w:t>
      </w:r>
      <w:r>
        <w:rPr>
          <w:rFonts w:hint="eastAsia" w:ascii="宋体" w:hAnsi="宋体"/>
          <w:bCs/>
          <w:color w:val="auto"/>
          <w:sz w:val="24"/>
          <w:szCs w:val="24"/>
          <w:highlight w:val="none"/>
        </w:rPr>
        <w:t>投标人的投标文件应经总公司审核同意，并由总公司出具的精算意见书、法律意见书（</w:t>
      </w:r>
      <w:r>
        <w:rPr>
          <w:rFonts w:hint="eastAsia" w:ascii="宋体" w:hAnsi="宋体"/>
          <w:b/>
          <w:color w:val="auto"/>
          <w:sz w:val="24"/>
          <w:szCs w:val="24"/>
          <w:highlight w:val="none"/>
        </w:rPr>
        <w:t>审核文件及两份意见书的复印件或扫描件</w:t>
      </w:r>
      <w:r>
        <w:rPr>
          <w:rFonts w:hint="eastAsia" w:ascii="宋体" w:hAnsi="宋体"/>
          <w:bCs/>
          <w:color w:val="auto"/>
          <w:sz w:val="24"/>
          <w:szCs w:val="24"/>
          <w:highlight w:val="none"/>
        </w:rPr>
        <w:t>）。</w:t>
      </w:r>
    </w:p>
    <w:p>
      <w:pPr>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（2）补充性文件</w:t>
      </w:r>
    </w:p>
    <w:p>
      <w:pPr>
        <w:tabs>
          <w:tab w:val="left" w:pos="525"/>
          <w:tab w:val="left" w:pos="1050"/>
        </w:tabs>
        <w:spacing w:line="360" w:lineRule="auto"/>
        <w:ind w:firstLine="480" w:firstLineChars="200"/>
        <w:rPr>
          <w:rFonts w:hint="eastAsia" w:ascii="宋体" w:hAnsi="宋体"/>
          <w:bCs/>
          <w:color w:val="auto"/>
          <w:sz w:val="24"/>
          <w:szCs w:val="24"/>
          <w:highlight w:val="none"/>
        </w:rPr>
      </w:pPr>
      <w:r>
        <w:rPr>
          <w:rFonts w:hint="eastAsia" w:ascii="宋体" w:hAnsi="宋体"/>
          <w:bCs/>
          <w:color w:val="auto"/>
          <w:sz w:val="24"/>
          <w:szCs w:val="24"/>
          <w:highlight w:val="none"/>
        </w:rPr>
        <w:t>①中小企业声明函（</w:t>
      </w:r>
      <w:r>
        <w:rPr>
          <w:rFonts w:hint="eastAsia" w:ascii="宋体" w:hAnsi="宋体"/>
          <w:b/>
          <w:bCs/>
          <w:color w:val="auto"/>
          <w:sz w:val="24"/>
          <w:szCs w:val="24"/>
          <w:highlight w:val="none"/>
        </w:rPr>
        <w:t>格式见附件</w:t>
      </w:r>
      <w:r>
        <w:rPr>
          <w:rFonts w:hint="eastAsia" w:ascii="宋体" w:hAnsi="宋体"/>
          <w:bCs/>
          <w:color w:val="auto"/>
          <w:sz w:val="24"/>
          <w:szCs w:val="24"/>
          <w:highlight w:val="none"/>
        </w:rPr>
        <w:t>）</w:t>
      </w:r>
    </w:p>
    <w:p>
      <w:pPr>
        <w:tabs>
          <w:tab w:val="left" w:pos="525"/>
          <w:tab w:val="left" w:pos="1050"/>
        </w:tabs>
        <w:spacing w:line="360" w:lineRule="auto"/>
        <w:ind w:firstLine="480" w:firstLineChars="200"/>
        <w:rPr>
          <w:rFonts w:hint="eastAsia" w:ascii="宋体" w:hAnsi="宋体"/>
          <w:bCs/>
          <w:color w:val="auto"/>
          <w:sz w:val="24"/>
          <w:szCs w:val="24"/>
          <w:highlight w:val="none"/>
        </w:rPr>
      </w:pPr>
      <w:r>
        <w:rPr>
          <w:rFonts w:hint="eastAsia" w:ascii="宋体" w:hAnsi="宋体"/>
          <w:bCs/>
          <w:color w:val="auto"/>
          <w:sz w:val="24"/>
          <w:szCs w:val="24"/>
          <w:highlight w:val="none"/>
        </w:rPr>
        <w:t>②残疾人福利性单位声明函（</w:t>
      </w:r>
      <w:r>
        <w:rPr>
          <w:rFonts w:hint="eastAsia" w:ascii="宋体" w:hAnsi="宋体"/>
          <w:b/>
          <w:bCs/>
          <w:color w:val="auto"/>
          <w:sz w:val="24"/>
          <w:szCs w:val="24"/>
          <w:highlight w:val="none"/>
        </w:rPr>
        <w:t>格式见附件</w:t>
      </w:r>
      <w:r>
        <w:rPr>
          <w:rFonts w:hint="eastAsia" w:ascii="宋体" w:hAnsi="宋体"/>
          <w:bCs/>
          <w:color w:val="auto"/>
          <w:sz w:val="24"/>
          <w:szCs w:val="24"/>
          <w:highlight w:val="none"/>
        </w:rPr>
        <w:t>）</w:t>
      </w:r>
    </w:p>
    <w:p>
      <w:pPr>
        <w:tabs>
          <w:tab w:val="left" w:pos="525"/>
          <w:tab w:val="left" w:pos="1050"/>
        </w:tabs>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③投标人基本状况一览表（</w:t>
      </w:r>
      <w:r>
        <w:rPr>
          <w:rFonts w:hint="eastAsia" w:ascii="宋体" w:hAnsi="宋体"/>
          <w:b/>
          <w:bCs/>
          <w:color w:val="auto"/>
          <w:sz w:val="24"/>
          <w:szCs w:val="24"/>
          <w:highlight w:val="none"/>
        </w:rPr>
        <w:t>格式见附件</w:t>
      </w:r>
      <w:r>
        <w:rPr>
          <w:rFonts w:hint="eastAsia" w:ascii="宋体" w:hAnsi="宋体"/>
          <w:bCs/>
          <w:color w:val="auto"/>
          <w:sz w:val="24"/>
          <w:szCs w:val="24"/>
          <w:highlight w:val="none"/>
        </w:rPr>
        <w:t>）</w:t>
      </w:r>
    </w:p>
    <w:p>
      <w:pPr>
        <w:tabs>
          <w:tab w:val="left" w:pos="1050"/>
        </w:tabs>
        <w:spacing w:line="360" w:lineRule="auto"/>
        <w:ind w:firstLine="480" w:firstLineChars="200"/>
        <w:rPr>
          <w:rFonts w:hint="eastAsia" w:ascii="宋体" w:hAnsi="宋体"/>
          <w:bCs/>
          <w:color w:val="auto"/>
          <w:sz w:val="24"/>
          <w:szCs w:val="24"/>
          <w:highlight w:val="none"/>
        </w:rPr>
      </w:pPr>
      <w:r>
        <w:rPr>
          <w:rFonts w:hint="eastAsia" w:ascii="宋体" w:hAnsi="宋体"/>
          <w:bCs/>
          <w:color w:val="auto"/>
          <w:sz w:val="24"/>
          <w:szCs w:val="24"/>
          <w:highlight w:val="none"/>
        </w:rPr>
        <w:t>④投标人简介</w:t>
      </w:r>
    </w:p>
    <w:p>
      <w:pPr>
        <w:tabs>
          <w:tab w:val="left" w:pos="1050"/>
        </w:tabs>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a.主要介绍本地机构的组织机构、人员、技术力量、主要负责人；</w:t>
      </w:r>
    </w:p>
    <w:p>
      <w:pPr>
        <w:tabs>
          <w:tab w:val="left" w:pos="1050"/>
        </w:tabs>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b.投标人认为有必要提供的声明和文件；</w:t>
      </w:r>
    </w:p>
    <w:p>
      <w:pPr>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c.其他。</w:t>
      </w:r>
    </w:p>
    <w:p>
      <w:pPr>
        <w:tabs>
          <w:tab w:val="left" w:pos="1050"/>
        </w:tabs>
        <w:spacing w:line="360" w:lineRule="auto"/>
        <w:ind w:firstLine="480" w:firstLineChars="200"/>
        <w:rPr>
          <w:rFonts w:hint="eastAsia" w:ascii="宋体" w:hAnsi="宋体"/>
          <w:bCs/>
          <w:color w:val="auto"/>
          <w:sz w:val="24"/>
          <w:szCs w:val="24"/>
          <w:highlight w:val="none"/>
        </w:rPr>
      </w:pPr>
      <w:r>
        <w:rPr>
          <w:rFonts w:hint="eastAsia" w:ascii="宋体" w:hAnsi="宋体"/>
          <w:bCs/>
          <w:color w:val="auto"/>
          <w:sz w:val="24"/>
          <w:szCs w:val="24"/>
          <w:highlight w:val="none"/>
        </w:rPr>
        <w:t>（3）价格响应函（</w:t>
      </w:r>
      <w:r>
        <w:rPr>
          <w:rFonts w:hint="eastAsia" w:ascii="宋体" w:hAnsi="宋体"/>
          <w:b/>
          <w:bCs/>
          <w:color w:val="auto"/>
          <w:sz w:val="24"/>
          <w:szCs w:val="24"/>
          <w:highlight w:val="none"/>
        </w:rPr>
        <w:t>格式见附件</w:t>
      </w:r>
      <w:r>
        <w:rPr>
          <w:rFonts w:hint="eastAsia" w:ascii="宋体" w:hAnsi="宋体"/>
          <w:bCs/>
          <w:color w:val="auto"/>
          <w:sz w:val="24"/>
          <w:szCs w:val="24"/>
          <w:highlight w:val="none"/>
        </w:rPr>
        <w:t>）</w:t>
      </w:r>
    </w:p>
    <w:p>
      <w:pPr>
        <w:tabs>
          <w:tab w:val="left" w:pos="1050"/>
        </w:tabs>
        <w:spacing w:line="360" w:lineRule="auto"/>
        <w:ind w:firstLine="480" w:firstLineChars="200"/>
        <w:rPr>
          <w:rFonts w:hint="eastAsia" w:ascii="宋体" w:hAnsi="宋体"/>
          <w:b/>
          <w:bCs/>
          <w:color w:val="auto"/>
          <w:sz w:val="24"/>
          <w:szCs w:val="24"/>
          <w:highlight w:val="none"/>
        </w:rPr>
      </w:pPr>
      <w:r>
        <w:rPr>
          <w:rFonts w:hint="eastAsia" w:ascii="宋体" w:hAnsi="宋体"/>
          <w:bCs/>
          <w:color w:val="auto"/>
          <w:sz w:val="24"/>
          <w:szCs w:val="24"/>
          <w:highlight w:val="none"/>
        </w:rPr>
        <w:t>（4）运营成本、控费奖励比例</w:t>
      </w:r>
      <w:r>
        <w:rPr>
          <w:rFonts w:hint="eastAsia" w:ascii="宋体" w:hAnsi="宋体"/>
          <w:b/>
          <w:bCs/>
          <w:color w:val="auto"/>
          <w:sz w:val="24"/>
          <w:szCs w:val="24"/>
          <w:highlight w:val="none"/>
        </w:rPr>
        <w:t>（格式见附件）</w:t>
      </w:r>
    </w:p>
    <w:p>
      <w:pPr>
        <w:tabs>
          <w:tab w:val="left" w:pos="1050"/>
        </w:tabs>
        <w:spacing w:line="360" w:lineRule="auto"/>
        <w:ind w:firstLine="480" w:firstLineChars="200"/>
        <w:rPr>
          <w:rFonts w:hint="eastAsia" w:ascii="宋体" w:hAnsi="宋体"/>
          <w:b/>
          <w:bCs/>
          <w:color w:val="auto"/>
          <w:sz w:val="24"/>
          <w:szCs w:val="24"/>
          <w:highlight w:val="none"/>
        </w:rPr>
      </w:pPr>
      <w:r>
        <w:rPr>
          <w:rFonts w:hint="eastAsia" w:ascii="宋体" w:hAnsi="宋体"/>
          <w:bCs/>
          <w:color w:val="auto"/>
          <w:sz w:val="24"/>
          <w:szCs w:val="24"/>
          <w:highlight w:val="none"/>
        </w:rPr>
        <w:t>（5）亏损比例承诺</w:t>
      </w:r>
      <w:r>
        <w:rPr>
          <w:rFonts w:hint="eastAsia" w:ascii="宋体" w:hAnsi="宋体"/>
          <w:b/>
          <w:bCs/>
          <w:color w:val="auto"/>
          <w:sz w:val="24"/>
          <w:szCs w:val="24"/>
          <w:highlight w:val="none"/>
        </w:rPr>
        <w:t>（格式见附件）</w:t>
      </w:r>
    </w:p>
    <w:p>
      <w:pPr>
        <w:tabs>
          <w:tab w:val="left" w:pos="1050"/>
        </w:tabs>
        <w:spacing w:line="360" w:lineRule="auto"/>
        <w:ind w:firstLine="480" w:firstLineChars="200"/>
        <w:rPr>
          <w:rFonts w:hint="eastAsia" w:ascii="宋体" w:hAnsi="宋体"/>
          <w:b/>
          <w:bCs/>
          <w:color w:val="auto"/>
          <w:sz w:val="24"/>
          <w:szCs w:val="24"/>
          <w:highlight w:val="none"/>
        </w:rPr>
      </w:pPr>
      <w:r>
        <w:rPr>
          <w:rFonts w:hint="eastAsia" w:ascii="宋体" w:hAnsi="宋体"/>
          <w:bCs/>
          <w:color w:val="auto"/>
          <w:sz w:val="24"/>
          <w:szCs w:val="24"/>
          <w:highlight w:val="none"/>
        </w:rPr>
        <w:t>（</w:t>
      </w:r>
      <w:r>
        <w:rPr>
          <w:rFonts w:hint="eastAsia" w:ascii="宋体" w:hAnsi="宋体"/>
          <w:color w:val="auto"/>
          <w:sz w:val="24"/>
          <w:szCs w:val="24"/>
          <w:highlight w:val="none"/>
        </w:rPr>
        <w:t>6）</w:t>
      </w:r>
      <w:r>
        <w:rPr>
          <w:rFonts w:hint="eastAsia" w:ascii="宋体" w:hAnsi="宋体"/>
          <w:bCs/>
          <w:color w:val="auto"/>
          <w:sz w:val="24"/>
          <w:szCs w:val="24"/>
          <w:highlight w:val="none"/>
        </w:rPr>
        <w:t>人员配置承诺书</w:t>
      </w:r>
      <w:r>
        <w:rPr>
          <w:rFonts w:hint="eastAsia" w:ascii="宋体" w:hAnsi="宋体"/>
          <w:b/>
          <w:bCs/>
          <w:color w:val="auto"/>
          <w:sz w:val="24"/>
          <w:szCs w:val="24"/>
          <w:highlight w:val="none"/>
        </w:rPr>
        <w:t>（格式见附件）</w:t>
      </w:r>
    </w:p>
    <w:p>
      <w:pPr>
        <w:tabs>
          <w:tab w:val="left" w:pos="1050"/>
          <w:tab w:val="left" w:pos="3990"/>
        </w:tabs>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2.技术标（暗标）</w:t>
      </w:r>
    </w:p>
    <w:p>
      <w:pPr>
        <w:spacing w:line="360" w:lineRule="auto"/>
        <w:ind w:firstLine="480" w:firstLineChars="200"/>
        <w:rPr>
          <w:rFonts w:hint="eastAsia" w:ascii="宋体" w:hAnsi="宋体"/>
          <w:bCs/>
          <w:color w:val="auto"/>
          <w:sz w:val="24"/>
          <w:szCs w:val="24"/>
          <w:highlight w:val="none"/>
        </w:rPr>
      </w:pPr>
      <w:r>
        <w:rPr>
          <w:rFonts w:hint="eastAsia" w:ascii="宋体" w:hAnsi="宋体"/>
          <w:bCs/>
          <w:color w:val="auto"/>
          <w:sz w:val="24"/>
          <w:szCs w:val="24"/>
          <w:highlight w:val="none"/>
        </w:rPr>
        <w:t>（1）保险方案</w:t>
      </w:r>
    </w:p>
    <w:p>
      <w:pPr>
        <w:spacing w:line="360" w:lineRule="auto"/>
        <w:ind w:firstLine="480" w:firstLineChars="200"/>
        <w:rPr>
          <w:rFonts w:hint="eastAsia" w:ascii="宋体" w:hAnsi="宋体"/>
          <w:bCs/>
          <w:color w:val="auto"/>
          <w:sz w:val="24"/>
          <w:szCs w:val="24"/>
          <w:highlight w:val="none"/>
        </w:rPr>
      </w:pPr>
      <w:r>
        <w:rPr>
          <w:rFonts w:hint="eastAsia" w:ascii="宋体" w:hAnsi="宋体"/>
          <w:bCs/>
          <w:color w:val="auto"/>
          <w:sz w:val="24"/>
          <w:szCs w:val="24"/>
          <w:highlight w:val="none"/>
        </w:rPr>
        <w:t>（2）管理方案</w:t>
      </w:r>
    </w:p>
    <w:p>
      <w:pPr>
        <w:spacing w:line="360" w:lineRule="auto"/>
        <w:ind w:firstLine="480" w:firstLineChars="200"/>
        <w:rPr>
          <w:rFonts w:hint="eastAsia" w:ascii="宋体" w:hAnsi="宋体"/>
          <w:bCs/>
          <w:color w:val="auto"/>
          <w:sz w:val="24"/>
          <w:szCs w:val="24"/>
          <w:highlight w:val="none"/>
        </w:rPr>
      </w:pPr>
      <w:r>
        <w:rPr>
          <w:rFonts w:hint="eastAsia" w:ascii="宋体" w:hAnsi="宋体"/>
          <w:bCs/>
          <w:color w:val="auto"/>
          <w:sz w:val="24"/>
          <w:szCs w:val="24"/>
          <w:highlight w:val="none"/>
        </w:rPr>
        <w:t>（3）创新性方案</w:t>
      </w:r>
    </w:p>
    <w:p>
      <w:pPr>
        <w:tabs>
          <w:tab w:val="left" w:pos="1050"/>
          <w:tab w:val="left" w:pos="3990"/>
        </w:tabs>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3.我们同意按招标文件中的规定，本投标文件投标的有效期限为提交投标文件的截止之日起90天；</w:t>
      </w:r>
    </w:p>
    <w:p>
      <w:pPr>
        <w:tabs>
          <w:tab w:val="left" w:pos="1050"/>
        </w:tabs>
        <w:spacing w:line="360" w:lineRule="auto"/>
        <w:ind w:firstLine="480" w:firstLineChars="200"/>
        <w:rPr>
          <w:rFonts w:ascii="宋体" w:hAnsi="宋体"/>
          <w:bCs/>
          <w:color w:val="auto"/>
          <w:sz w:val="24"/>
          <w:szCs w:val="24"/>
          <w:highlight w:val="none"/>
          <w:lang w:val="en-GB"/>
        </w:rPr>
      </w:pPr>
      <w:r>
        <w:rPr>
          <w:rFonts w:hint="eastAsia" w:ascii="宋体" w:hAnsi="宋体"/>
          <w:bCs/>
          <w:color w:val="auto"/>
          <w:sz w:val="24"/>
          <w:szCs w:val="24"/>
          <w:highlight w:val="none"/>
        </w:rPr>
        <w:t>4.如果我们的投标文件被接受，我们将履行招标文件中规定的每一项要求，按期、按质、按量，履行服务；</w:t>
      </w:r>
    </w:p>
    <w:p>
      <w:pPr>
        <w:tabs>
          <w:tab w:val="left" w:pos="945"/>
        </w:tabs>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5.我们认为你们有权决定中标者；</w:t>
      </w:r>
    </w:p>
    <w:p>
      <w:pPr>
        <w:tabs>
          <w:tab w:val="left" w:pos="945"/>
          <w:tab w:val="left" w:pos="1290"/>
        </w:tabs>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6．我方愿意遵守相关法律法规和合同条款履行自己的全部责任。在合同履行过程中，双方如有争议，友好协商解决；</w:t>
      </w:r>
    </w:p>
    <w:p>
      <w:pPr>
        <w:tabs>
          <w:tab w:val="left" w:pos="945"/>
        </w:tabs>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7.我们认可并遵守招标文件的所有规定，放弃对招标文件提出质疑的权利；</w:t>
      </w:r>
    </w:p>
    <w:p>
      <w:pPr>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投标人（盖章）：</w:t>
      </w:r>
    </w:p>
    <w:p>
      <w:pPr>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法定代表人（</w:t>
      </w:r>
      <w:r>
        <w:rPr>
          <w:rFonts w:hint="eastAsia" w:ascii="宋体" w:hAnsi="宋体"/>
          <w:bCs/>
          <w:color w:val="auto"/>
          <w:sz w:val="24"/>
          <w:szCs w:val="24"/>
          <w:highlight w:val="none"/>
          <w:lang w:val="en-GB"/>
        </w:rPr>
        <w:t>或</w:t>
      </w:r>
      <w:r>
        <w:rPr>
          <w:rFonts w:hint="eastAsia" w:ascii="宋体" w:hAnsi="宋体"/>
          <w:bCs/>
          <w:color w:val="auto"/>
          <w:sz w:val="24"/>
          <w:szCs w:val="24"/>
          <w:highlight w:val="none"/>
        </w:rPr>
        <w:t>无锡市级机构负责人）或被授权代表（签字或盖章）：</w:t>
      </w:r>
    </w:p>
    <w:p>
      <w:pPr>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电话：                              传真：</w:t>
      </w:r>
    </w:p>
    <w:p>
      <w:pPr>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 xml:space="preserve">地址：                              邮编：                             </w:t>
      </w:r>
    </w:p>
    <w:p>
      <w:pPr>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开户名称：</w:t>
      </w:r>
    </w:p>
    <w:p>
      <w:pPr>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 xml:space="preserve">开户银行：                   </w:t>
      </w:r>
    </w:p>
    <w:p>
      <w:pPr>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开户账号：</w:t>
      </w:r>
    </w:p>
    <w:p>
      <w:pPr>
        <w:spacing w:line="400" w:lineRule="exact"/>
        <w:rPr>
          <w:rFonts w:hint="eastAsia" w:ascii="黑体" w:eastAsia="黑体"/>
          <w:bCs/>
          <w:color w:val="auto"/>
          <w:sz w:val="28"/>
          <w:szCs w:val="28"/>
          <w:highlight w:val="none"/>
        </w:rPr>
      </w:pPr>
      <w:r>
        <w:rPr>
          <w:rFonts w:ascii="黑体" w:hAnsi="宋体" w:eastAsia="黑体"/>
          <w:bCs/>
          <w:color w:val="auto"/>
          <w:sz w:val="24"/>
          <w:szCs w:val="24"/>
          <w:highlight w:val="none"/>
        </w:rPr>
        <w:br w:type="page"/>
      </w:r>
      <w:r>
        <w:rPr>
          <w:rFonts w:hint="eastAsia" w:ascii="黑体" w:hAnsi="宋体" w:eastAsia="黑体"/>
          <w:bCs/>
          <w:color w:val="auto"/>
          <w:sz w:val="24"/>
          <w:szCs w:val="24"/>
          <w:highlight w:val="none"/>
        </w:rPr>
        <w:t>（二）（投标人）关于资格的声明函（格式）</w:t>
      </w:r>
    </w:p>
    <w:p>
      <w:pPr>
        <w:jc w:val="center"/>
        <w:outlineLvl w:val="0"/>
        <w:rPr>
          <w:rFonts w:ascii="黑体" w:eastAsia="黑体"/>
          <w:bCs/>
          <w:color w:val="auto"/>
          <w:sz w:val="28"/>
          <w:szCs w:val="28"/>
          <w:highlight w:val="none"/>
        </w:rPr>
      </w:pPr>
    </w:p>
    <w:p>
      <w:pPr>
        <w:jc w:val="center"/>
        <w:outlineLvl w:val="0"/>
        <w:rPr>
          <w:rFonts w:hint="eastAsia" w:ascii="黑体" w:eastAsia="黑体"/>
          <w:bCs/>
          <w:color w:val="auto"/>
          <w:sz w:val="28"/>
          <w:szCs w:val="28"/>
          <w:highlight w:val="none"/>
        </w:rPr>
      </w:pPr>
      <w:r>
        <w:rPr>
          <w:rFonts w:hint="eastAsia" w:ascii="黑体" w:eastAsia="黑体"/>
          <w:bCs/>
          <w:color w:val="auto"/>
          <w:sz w:val="28"/>
          <w:szCs w:val="28"/>
          <w:highlight w:val="none"/>
        </w:rPr>
        <w:t>关于资格的声明函</w:t>
      </w:r>
    </w:p>
    <w:p>
      <w:pPr>
        <w:spacing w:line="480" w:lineRule="auto"/>
        <w:rPr>
          <w:rFonts w:hint="eastAsia" w:ascii="宋体" w:hAnsi="宋体"/>
          <w:bCs/>
          <w:color w:val="auto"/>
          <w:sz w:val="24"/>
          <w:szCs w:val="24"/>
          <w:highlight w:val="none"/>
        </w:rPr>
      </w:pPr>
    </w:p>
    <w:p>
      <w:pPr>
        <w:spacing w:line="480" w:lineRule="auto"/>
        <w:rPr>
          <w:rFonts w:hint="eastAsia" w:ascii="宋体" w:hAnsi="宋体"/>
          <w:bCs/>
          <w:color w:val="auto"/>
          <w:sz w:val="24"/>
          <w:szCs w:val="24"/>
          <w:highlight w:val="none"/>
        </w:rPr>
      </w:pPr>
    </w:p>
    <w:p>
      <w:pPr>
        <w:spacing w:line="360" w:lineRule="auto"/>
        <w:rPr>
          <w:rFonts w:ascii="宋体" w:hAnsi="宋体"/>
          <w:bCs/>
          <w:color w:val="auto"/>
          <w:sz w:val="24"/>
          <w:szCs w:val="24"/>
          <w:highlight w:val="none"/>
        </w:rPr>
      </w:pPr>
      <w:r>
        <w:rPr>
          <w:rFonts w:hint="eastAsia" w:ascii="宋体" w:hAnsi="宋体"/>
          <w:bCs/>
          <w:color w:val="auto"/>
          <w:sz w:val="24"/>
          <w:szCs w:val="24"/>
          <w:highlight w:val="none"/>
        </w:rPr>
        <w:t>恒泰保险经纪有限公司：</w:t>
      </w:r>
    </w:p>
    <w:p>
      <w:pPr>
        <w:spacing w:line="360" w:lineRule="auto"/>
        <w:ind w:firstLine="120" w:firstLineChars="50"/>
        <w:rPr>
          <w:rFonts w:ascii="宋体" w:hAnsi="宋体"/>
          <w:bCs/>
          <w:color w:val="auto"/>
          <w:sz w:val="24"/>
          <w:szCs w:val="24"/>
          <w:highlight w:val="none"/>
        </w:rPr>
      </w:pPr>
      <w:r>
        <w:rPr>
          <w:rFonts w:hint="eastAsia" w:ascii="宋体" w:hAnsi="宋体"/>
          <w:bCs/>
          <w:color w:val="auto"/>
          <w:sz w:val="24"/>
          <w:szCs w:val="24"/>
          <w:highlight w:val="none"/>
        </w:rPr>
        <w:t xml:space="preserve">   1.我公司（单位）在参加政府采购活动前三年内在经营活动中没有重大违法记录。</w:t>
      </w:r>
    </w:p>
    <w:p>
      <w:pPr>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2.我公司（单位）愿针对本项目（HTBXJJCG2023-01）进行投标，投标文件中所有关于投标资格的文件、证明、陈述均是真实的、准确的。若有违背，我公司（单位）</w:t>
      </w:r>
      <w:r>
        <w:rPr>
          <w:rFonts w:hint="eastAsia" w:ascii="宋体" w:hAnsi="宋体"/>
          <w:bCs/>
          <w:color w:val="auto"/>
          <w:sz w:val="24"/>
          <w:szCs w:val="24"/>
          <w:highlight w:val="none"/>
          <w:u w:val="single"/>
        </w:rPr>
        <w:t xml:space="preserve">               </w:t>
      </w:r>
      <w:r>
        <w:rPr>
          <w:rFonts w:hint="eastAsia" w:ascii="宋体" w:hAnsi="宋体"/>
          <w:bCs/>
          <w:color w:val="auto"/>
          <w:sz w:val="24"/>
          <w:szCs w:val="24"/>
          <w:highlight w:val="none"/>
        </w:rPr>
        <w:t>愿意承担由此而产生的一切后果。</w:t>
      </w:r>
    </w:p>
    <w:p>
      <w:pPr>
        <w:spacing w:line="360" w:lineRule="auto"/>
        <w:rPr>
          <w:rFonts w:hint="eastAsia" w:ascii="宋体" w:hAnsi="宋体"/>
          <w:bCs/>
          <w:color w:val="auto"/>
          <w:sz w:val="24"/>
          <w:szCs w:val="24"/>
          <w:highlight w:val="none"/>
        </w:rPr>
      </w:pPr>
    </w:p>
    <w:p>
      <w:pPr>
        <w:spacing w:line="360" w:lineRule="auto"/>
        <w:rPr>
          <w:rFonts w:hint="eastAsia" w:ascii="宋体" w:hAnsi="宋体"/>
          <w:bCs/>
          <w:color w:val="auto"/>
          <w:sz w:val="24"/>
          <w:szCs w:val="24"/>
          <w:highlight w:val="none"/>
        </w:rPr>
      </w:pPr>
    </w:p>
    <w:p>
      <w:pPr>
        <w:spacing w:line="360" w:lineRule="auto"/>
        <w:rPr>
          <w:rFonts w:hint="eastAsia" w:ascii="宋体" w:hAnsi="宋体"/>
          <w:bCs/>
          <w:color w:val="auto"/>
          <w:sz w:val="24"/>
          <w:szCs w:val="24"/>
          <w:highlight w:val="none"/>
        </w:rPr>
      </w:pPr>
    </w:p>
    <w:p>
      <w:pPr>
        <w:spacing w:line="360" w:lineRule="auto"/>
        <w:rPr>
          <w:rFonts w:hint="eastAsia" w:ascii="宋体" w:hAnsi="宋体"/>
          <w:bCs/>
          <w:color w:val="auto"/>
          <w:sz w:val="24"/>
          <w:szCs w:val="24"/>
          <w:highlight w:val="none"/>
        </w:rPr>
      </w:pPr>
    </w:p>
    <w:p>
      <w:pPr>
        <w:spacing w:line="360" w:lineRule="auto"/>
        <w:rPr>
          <w:rFonts w:hint="eastAsia" w:ascii="宋体" w:hAnsi="宋体"/>
          <w:bCs/>
          <w:color w:val="auto"/>
          <w:sz w:val="24"/>
          <w:szCs w:val="24"/>
          <w:highlight w:val="none"/>
        </w:rPr>
      </w:pPr>
    </w:p>
    <w:p>
      <w:pPr>
        <w:spacing w:line="360" w:lineRule="auto"/>
        <w:rPr>
          <w:rFonts w:hint="eastAsia" w:ascii="宋体" w:hAnsi="宋体"/>
          <w:bCs/>
          <w:color w:val="auto"/>
          <w:sz w:val="24"/>
          <w:szCs w:val="24"/>
          <w:highlight w:val="none"/>
        </w:rPr>
      </w:pPr>
    </w:p>
    <w:p>
      <w:pPr>
        <w:spacing w:line="360" w:lineRule="auto"/>
        <w:rPr>
          <w:rFonts w:ascii="宋体" w:hAnsi="宋体"/>
          <w:bCs/>
          <w:color w:val="auto"/>
          <w:sz w:val="24"/>
          <w:szCs w:val="24"/>
          <w:highlight w:val="none"/>
        </w:rPr>
      </w:pPr>
    </w:p>
    <w:p>
      <w:pPr>
        <w:spacing w:line="360" w:lineRule="auto"/>
        <w:rPr>
          <w:rFonts w:ascii="宋体" w:hAnsi="宋体"/>
          <w:bCs/>
          <w:color w:val="auto"/>
          <w:sz w:val="24"/>
          <w:szCs w:val="24"/>
          <w:highlight w:val="none"/>
        </w:rPr>
      </w:pPr>
      <w:r>
        <w:rPr>
          <w:rFonts w:hint="eastAsia" w:ascii="宋体" w:hAnsi="宋体"/>
          <w:bCs/>
          <w:color w:val="auto"/>
          <w:sz w:val="24"/>
          <w:szCs w:val="24"/>
          <w:highlight w:val="none"/>
        </w:rPr>
        <w:t>投标人（盖章）：</w:t>
      </w:r>
    </w:p>
    <w:p>
      <w:pPr>
        <w:spacing w:line="360" w:lineRule="auto"/>
        <w:rPr>
          <w:rFonts w:ascii="宋体" w:hAnsi="宋体"/>
          <w:bCs/>
          <w:color w:val="auto"/>
          <w:sz w:val="24"/>
          <w:szCs w:val="24"/>
          <w:highlight w:val="none"/>
        </w:rPr>
      </w:pPr>
      <w:r>
        <w:rPr>
          <w:rFonts w:hint="eastAsia" w:ascii="宋体" w:hAnsi="宋体"/>
          <w:bCs/>
          <w:color w:val="auto"/>
          <w:sz w:val="24"/>
          <w:szCs w:val="24"/>
          <w:highlight w:val="none"/>
        </w:rPr>
        <w:t>法定代表人（</w:t>
      </w:r>
      <w:r>
        <w:rPr>
          <w:rFonts w:hint="eastAsia" w:ascii="宋体" w:hAnsi="宋体"/>
          <w:bCs/>
          <w:color w:val="auto"/>
          <w:sz w:val="24"/>
          <w:szCs w:val="24"/>
          <w:highlight w:val="none"/>
          <w:lang w:val="en-GB"/>
        </w:rPr>
        <w:t>或</w:t>
      </w:r>
      <w:r>
        <w:rPr>
          <w:rFonts w:hint="eastAsia" w:ascii="宋体" w:hAnsi="宋体"/>
          <w:bCs/>
          <w:color w:val="auto"/>
          <w:sz w:val="24"/>
          <w:szCs w:val="24"/>
          <w:highlight w:val="none"/>
        </w:rPr>
        <w:t>无锡市级机构负责人）或被授权代表（签字或盖章）：</w:t>
      </w:r>
    </w:p>
    <w:p>
      <w:pPr>
        <w:spacing w:line="360" w:lineRule="auto"/>
        <w:ind w:firstLine="1200" w:firstLineChars="500"/>
        <w:rPr>
          <w:rFonts w:hint="eastAsia" w:ascii="宋体" w:hAnsi="宋体"/>
          <w:color w:val="auto"/>
          <w:sz w:val="24"/>
          <w:szCs w:val="24"/>
          <w:highlight w:val="none"/>
        </w:rPr>
      </w:pPr>
      <w:r>
        <w:rPr>
          <w:rFonts w:hint="eastAsia" w:ascii="宋体" w:hAnsi="宋体"/>
          <w:color w:val="auto"/>
          <w:sz w:val="24"/>
          <w:szCs w:val="24"/>
          <w:highlight w:val="none"/>
        </w:rPr>
        <w:t>年   月   日</w:t>
      </w:r>
    </w:p>
    <w:p>
      <w:pPr>
        <w:spacing w:line="480" w:lineRule="auto"/>
        <w:rPr>
          <w:rFonts w:hint="eastAsia" w:ascii="宋体" w:hAnsi="宋体"/>
          <w:bCs/>
          <w:color w:val="auto"/>
          <w:sz w:val="24"/>
          <w:szCs w:val="24"/>
          <w:highlight w:val="none"/>
        </w:rPr>
      </w:pPr>
    </w:p>
    <w:p>
      <w:pPr>
        <w:spacing w:line="480" w:lineRule="auto"/>
        <w:rPr>
          <w:rFonts w:hint="eastAsia" w:ascii="宋体" w:hAnsi="宋体"/>
          <w:bCs/>
          <w:color w:val="auto"/>
          <w:sz w:val="24"/>
          <w:szCs w:val="24"/>
          <w:highlight w:val="none"/>
        </w:rPr>
      </w:pPr>
    </w:p>
    <w:p>
      <w:pPr>
        <w:spacing w:line="480" w:lineRule="auto"/>
        <w:rPr>
          <w:rFonts w:hint="eastAsia" w:ascii="宋体" w:hAnsi="宋体"/>
          <w:bCs/>
          <w:color w:val="auto"/>
          <w:sz w:val="24"/>
          <w:szCs w:val="24"/>
          <w:highlight w:val="none"/>
        </w:rPr>
      </w:pPr>
    </w:p>
    <w:p>
      <w:pPr>
        <w:spacing w:line="400" w:lineRule="exact"/>
        <w:rPr>
          <w:rFonts w:hint="eastAsia" w:ascii="宋体" w:hAnsi="宋体"/>
          <w:bCs/>
          <w:color w:val="auto"/>
          <w:sz w:val="24"/>
          <w:szCs w:val="24"/>
          <w:highlight w:val="none"/>
        </w:rPr>
      </w:pPr>
    </w:p>
    <w:p>
      <w:pPr>
        <w:spacing w:line="400" w:lineRule="exact"/>
        <w:rPr>
          <w:rFonts w:hint="eastAsia" w:ascii="宋体" w:hAnsi="宋体"/>
          <w:bCs/>
          <w:color w:val="auto"/>
          <w:sz w:val="24"/>
          <w:szCs w:val="24"/>
          <w:highlight w:val="none"/>
        </w:rPr>
      </w:pPr>
    </w:p>
    <w:p>
      <w:pPr>
        <w:spacing w:line="400" w:lineRule="exact"/>
        <w:rPr>
          <w:rFonts w:hint="eastAsia" w:ascii="宋体" w:hAnsi="宋体"/>
          <w:bCs/>
          <w:color w:val="auto"/>
          <w:sz w:val="24"/>
          <w:szCs w:val="24"/>
          <w:highlight w:val="none"/>
        </w:rPr>
      </w:pPr>
    </w:p>
    <w:p>
      <w:pPr>
        <w:spacing w:line="400" w:lineRule="exact"/>
        <w:rPr>
          <w:rFonts w:hint="eastAsia" w:ascii="宋体" w:hAnsi="宋体"/>
          <w:bCs/>
          <w:color w:val="auto"/>
          <w:sz w:val="24"/>
          <w:szCs w:val="24"/>
          <w:highlight w:val="none"/>
        </w:rPr>
      </w:pPr>
    </w:p>
    <w:p>
      <w:pPr>
        <w:spacing w:line="400" w:lineRule="exact"/>
        <w:rPr>
          <w:rFonts w:hint="eastAsia" w:ascii="宋体" w:hAnsi="宋体"/>
          <w:bCs/>
          <w:color w:val="auto"/>
          <w:sz w:val="24"/>
          <w:szCs w:val="24"/>
          <w:highlight w:val="none"/>
        </w:rPr>
      </w:pPr>
    </w:p>
    <w:p>
      <w:pPr>
        <w:spacing w:line="400" w:lineRule="exact"/>
        <w:rPr>
          <w:rFonts w:hint="eastAsia" w:ascii="宋体" w:hAnsi="宋体"/>
          <w:bCs/>
          <w:color w:val="auto"/>
          <w:sz w:val="24"/>
          <w:szCs w:val="24"/>
          <w:highlight w:val="none"/>
        </w:rPr>
      </w:pPr>
    </w:p>
    <w:p>
      <w:pPr>
        <w:spacing w:line="400" w:lineRule="exact"/>
        <w:rPr>
          <w:rFonts w:hint="eastAsia" w:ascii="黑体" w:hAnsi="宋体" w:eastAsia="黑体"/>
          <w:bCs/>
          <w:color w:val="auto"/>
          <w:sz w:val="24"/>
          <w:szCs w:val="24"/>
          <w:highlight w:val="none"/>
        </w:rPr>
      </w:pPr>
      <w:r>
        <w:rPr>
          <w:rFonts w:ascii="宋体" w:hAnsi="宋体"/>
          <w:bCs/>
          <w:color w:val="auto"/>
          <w:sz w:val="24"/>
          <w:szCs w:val="24"/>
          <w:highlight w:val="none"/>
        </w:rPr>
        <w:br w:type="page"/>
      </w:r>
      <w:r>
        <w:rPr>
          <w:rFonts w:ascii="黑体" w:hAnsi="宋体" w:eastAsia="黑体"/>
          <w:bCs/>
          <w:color w:val="auto"/>
          <w:sz w:val="24"/>
          <w:szCs w:val="24"/>
          <w:highlight w:val="none"/>
        </w:rPr>
        <w:t>（</w:t>
      </w:r>
      <w:r>
        <w:rPr>
          <w:rFonts w:hint="eastAsia" w:ascii="黑体" w:hAnsi="宋体" w:eastAsia="黑体"/>
          <w:bCs/>
          <w:color w:val="auto"/>
          <w:sz w:val="24"/>
          <w:szCs w:val="24"/>
          <w:highlight w:val="none"/>
        </w:rPr>
        <w:t>三</w:t>
      </w:r>
      <w:r>
        <w:rPr>
          <w:rFonts w:ascii="黑体" w:hAnsi="宋体" w:eastAsia="黑体"/>
          <w:bCs/>
          <w:color w:val="auto"/>
          <w:sz w:val="24"/>
          <w:szCs w:val="24"/>
          <w:highlight w:val="none"/>
        </w:rPr>
        <w:t>）</w:t>
      </w:r>
      <w:r>
        <w:rPr>
          <w:rFonts w:hint="eastAsia" w:ascii="黑体" w:hAnsi="宋体" w:eastAsia="黑体"/>
          <w:bCs/>
          <w:color w:val="auto"/>
          <w:sz w:val="24"/>
          <w:szCs w:val="24"/>
          <w:highlight w:val="none"/>
        </w:rPr>
        <w:t>委托投标授权书（格式）</w:t>
      </w:r>
    </w:p>
    <w:p>
      <w:pPr>
        <w:ind w:left="855"/>
        <w:rPr>
          <w:rFonts w:ascii="宋体" w:hAnsi="宋体"/>
          <w:b/>
          <w:color w:val="auto"/>
          <w:szCs w:val="21"/>
          <w:highlight w:val="none"/>
        </w:rPr>
      </w:pPr>
      <w:r>
        <w:rPr>
          <w:rFonts w:hint="eastAsia" w:ascii="宋体" w:hAnsi="宋体"/>
          <w:b/>
          <w:color w:val="auto"/>
          <w:szCs w:val="21"/>
          <w:highlight w:val="none"/>
        </w:rPr>
        <w:t>（投标人如果是经保险总公司授权的地市级及以上分支机构，投标时必须提交本授权书）</w:t>
      </w:r>
    </w:p>
    <w:p>
      <w:pPr>
        <w:jc w:val="center"/>
        <w:rPr>
          <w:rFonts w:ascii="宋体" w:hAnsi="宋体"/>
          <w:bCs/>
          <w:color w:val="auto"/>
          <w:sz w:val="28"/>
          <w:szCs w:val="28"/>
          <w:highlight w:val="none"/>
        </w:rPr>
      </w:pPr>
    </w:p>
    <w:p>
      <w:pPr>
        <w:jc w:val="center"/>
        <w:outlineLvl w:val="0"/>
        <w:rPr>
          <w:rFonts w:ascii="黑体" w:hAnsi="黑体" w:eastAsia="黑体"/>
          <w:bCs/>
          <w:color w:val="auto"/>
          <w:sz w:val="28"/>
          <w:szCs w:val="28"/>
          <w:highlight w:val="none"/>
        </w:rPr>
      </w:pPr>
      <w:r>
        <w:rPr>
          <w:rFonts w:hint="eastAsia" w:ascii="黑体" w:hAnsi="黑体" w:eastAsia="黑体"/>
          <w:bCs/>
          <w:color w:val="auto"/>
          <w:sz w:val="28"/>
          <w:szCs w:val="28"/>
          <w:highlight w:val="none"/>
        </w:rPr>
        <w:t>委托投标授权书</w:t>
      </w:r>
    </w:p>
    <w:p>
      <w:pPr>
        <w:spacing w:line="480" w:lineRule="auto"/>
        <w:rPr>
          <w:rFonts w:hint="eastAsia" w:ascii="宋体" w:hAnsi="宋体"/>
          <w:bCs/>
          <w:color w:val="auto"/>
          <w:sz w:val="24"/>
          <w:szCs w:val="24"/>
          <w:highlight w:val="none"/>
        </w:rPr>
      </w:pPr>
    </w:p>
    <w:p>
      <w:pPr>
        <w:spacing w:line="480" w:lineRule="auto"/>
        <w:rPr>
          <w:rFonts w:ascii="宋体" w:hAnsi="宋体"/>
          <w:color w:val="auto"/>
          <w:sz w:val="24"/>
          <w:highlight w:val="none"/>
        </w:rPr>
      </w:pPr>
      <w:r>
        <w:rPr>
          <w:rFonts w:hint="eastAsia" w:ascii="宋体" w:hAnsi="宋体"/>
          <w:bCs/>
          <w:color w:val="auto"/>
          <w:sz w:val="24"/>
          <w:szCs w:val="24"/>
          <w:highlight w:val="none"/>
        </w:rPr>
        <w:t>恒泰保险经纪有限公司：</w:t>
      </w:r>
      <w:r>
        <w:rPr>
          <w:rFonts w:hint="eastAsia" w:ascii="宋体" w:hAnsi="宋体"/>
          <w:color w:val="auto"/>
          <w:sz w:val="24"/>
          <w:highlight w:val="none"/>
        </w:rPr>
        <w:t xml:space="preserve"> </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u w:val="single"/>
        </w:rPr>
        <w:t>                                          </w:t>
      </w:r>
      <w:r>
        <w:rPr>
          <w:rFonts w:hint="eastAsia" w:ascii="宋体" w:hAnsi="宋体"/>
          <w:color w:val="auto"/>
          <w:sz w:val="24"/>
          <w:highlight w:val="none"/>
        </w:rPr>
        <w:t>（法人名称），在此授权</w:t>
      </w:r>
      <w:r>
        <w:rPr>
          <w:rFonts w:hint="eastAsia" w:ascii="宋体" w:hAnsi="宋体"/>
          <w:color w:val="auto"/>
          <w:sz w:val="24"/>
          <w:highlight w:val="none"/>
          <w:u w:val="single"/>
        </w:rPr>
        <w:t>                                 </w:t>
      </w:r>
      <w:r>
        <w:rPr>
          <w:rFonts w:hint="eastAsia" w:ascii="宋体" w:hAnsi="宋体"/>
          <w:color w:val="auto"/>
          <w:sz w:val="24"/>
          <w:highlight w:val="none"/>
        </w:rPr>
        <w:t>（分支机构名称）参加贵公司组织的无锡市城乡居民大病保险项目（HTBXJJCG2023-01</w:t>
      </w:r>
      <w:r>
        <w:rPr>
          <w:rFonts w:ascii="宋体" w:hAnsi="宋体"/>
          <w:color w:val="auto"/>
          <w:sz w:val="24"/>
          <w:highlight w:val="none"/>
        </w:rPr>
        <w:t>）</w:t>
      </w:r>
      <w:r>
        <w:rPr>
          <w:rFonts w:hint="eastAsia" w:ascii="宋体" w:hAnsi="宋体"/>
          <w:color w:val="auto"/>
          <w:sz w:val="24"/>
          <w:highlight w:val="none"/>
        </w:rPr>
        <w:t>的投标具体工作，并签署全部有关的文件、协议及合同，及其协议、合同的执行、完成。我方在此承诺</w:t>
      </w:r>
      <w:r>
        <w:rPr>
          <w:rFonts w:hint="eastAsia" w:ascii="宋体" w:hAnsi="宋体"/>
          <w:color w:val="auto"/>
          <w:sz w:val="24"/>
          <w:highlight w:val="none"/>
          <w:u w:val="single"/>
        </w:rPr>
        <w:t>               </w:t>
      </w:r>
      <w:r>
        <w:rPr>
          <w:rFonts w:hint="eastAsia" w:ascii="宋体" w:hAnsi="宋体"/>
          <w:color w:val="auto"/>
          <w:sz w:val="24"/>
          <w:highlight w:val="none"/>
        </w:rPr>
        <w:t>（分支机构名称）在投标过程中的所有承诺对我方均具有约束力，我方保证为上述单位就此次政府采购活动承担全部责任，并履行招标文件的各项要求和投标文件中做出的一切承诺。</w:t>
      </w:r>
    </w:p>
    <w:p>
      <w:pPr>
        <w:spacing w:line="360" w:lineRule="auto"/>
        <w:rPr>
          <w:rFonts w:ascii="宋体" w:hAnsi="宋体"/>
          <w:color w:val="auto"/>
          <w:sz w:val="24"/>
          <w:highlight w:val="none"/>
        </w:rPr>
      </w:pPr>
    </w:p>
    <w:p>
      <w:pPr>
        <w:spacing w:line="360" w:lineRule="auto"/>
        <w:rPr>
          <w:rFonts w:hint="eastAsia" w:ascii="宋体" w:hAnsi="宋体"/>
          <w:color w:val="auto"/>
          <w:sz w:val="24"/>
          <w:highlight w:val="none"/>
        </w:rPr>
      </w:pPr>
    </w:p>
    <w:p>
      <w:pPr>
        <w:spacing w:line="360" w:lineRule="auto"/>
        <w:rPr>
          <w:rFonts w:hint="eastAsia" w:ascii="宋体" w:hAnsi="宋体"/>
          <w:color w:val="auto"/>
          <w:sz w:val="24"/>
          <w:highlight w:val="none"/>
        </w:rPr>
      </w:pPr>
    </w:p>
    <w:p>
      <w:pPr>
        <w:spacing w:line="360" w:lineRule="auto"/>
        <w:rPr>
          <w:rFonts w:hint="eastAsia" w:ascii="宋体" w:hAnsi="宋体"/>
          <w:color w:val="auto"/>
          <w:sz w:val="24"/>
          <w:highlight w:val="none"/>
        </w:rPr>
      </w:pPr>
    </w:p>
    <w:p>
      <w:pPr>
        <w:spacing w:line="360" w:lineRule="auto"/>
        <w:rPr>
          <w:rFonts w:hint="eastAsia" w:ascii="宋体" w:hAnsi="宋体"/>
          <w:color w:val="auto"/>
          <w:sz w:val="24"/>
          <w:highlight w:val="none"/>
        </w:rPr>
      </w:pPr>
    </w:p>
    <w:p>
      <w:pPr>
        <w:spacing w:line="360" w:lineRule="auto"/>
        <w:rPr>
          <w:rFonts w:hint="eastAsia" w:ascii="宋体" w:hAnsi="宋体"/>
          <w:color w:val="auto"/>
          <w:sz w:val="24"/>
          <w:highlight w:val="none"/>
        </w:rPr>
      </w:pPr>
    </w:p>
    <w:p>
      <w:pPr>
        <w:spacing w:line="360" w:lineRule="auto"/>
        <w:rPr>
          <w:rFonts w:hint="eastAsia" w:ascii="宋体" w:hAnsi="宋体"/>
          <w:color w:val="auto"/>
          <w:sz w:val="24"/>
          <w:highlight w:val="none"/>
        </w:rPr>
      </w:pPr>
    </w:p>
    <w:p>
      <w:pPr>
        <w:spacing w:line="360" w:lineRule="auto"/>
        <w:rPr>
          <w:rFonts w:ascii="宋体" w:hAnsi="宋体"/>
          <w:color w:val="auto"/>
          <w:sz w:val="24"/>
          <w:highlight w:val="none"/>
        </w:rPr>
      </w:pPr>
    </w:p>
    <w:p>
      <w:pPr>
        <w:spacing w:line="360" w:lineRule="auto"/>
        <w:ind w:firstLine="4800" w:firstLineChars="2000"/>
        <w:rPr>
          <w:rFonts w:ascii="宋体" w:hAnsi="宋体"/>
          <w:color w:val="auto"/>
          <w:sz w:val="24"/>
          <w:highlight w:val="none"/>
        </w:rPr>
      </w:pPr>
      <w:r>
        <w:rPr>
          <w:rFonts w:hint="eastAsia" w:ascii="宋体" w:hAnsi="宋体"/>
          <w:color w:val="auto"/>
          <w:sz w:val="24"/>
          <w:highlight w:val="none"/>
        </w:rPr>
        <w:t xml:space="preserve">法人（盖章）： </w:t>
      </w:r>
    </w:p>
    <w:p>
      <w:pPr>
        <w:spacing w:line="480" w:lineRule="auto"/>
        <w:ind w:firstLine="3360" w:firstLineChars="1400"/>
        <w:rPr>
          <w:rFonts w:ascii="宋体" w:hAnsi="宋体"/>
          <w:bCs/>
          <w:color w:val="auto"/>
          <w:sz w:val="24"/>
          <w:szCs w:val="24"/>
          <w:highlight w:val="none"/>
        </w:rPr>
      </w:pPr>
      <w:r>
        <w:rPr>
          <w:rFonts w:hint="eastAsia" w:ascii="宋体" w:hAnsi="宋体"/>
          <w:color w:val="auto"/>
          <w:sz w:val="24"/>
          <w:szCs w:val="24"/>
          <w:highlight w:val="none"/>
        </w:rPr>
        <w:t>法定代表人（签字或盖章）</w:t>
      </w:r>
      <w:r>
        <w:rPr>
          <w:rFonts w:hint="eastAsia" w:ascii="宋体" w:hAnsi="宋体"/>
          <w:bCs/>
          <w:color w:val="auto"/>
          <w:sz w:val="24"/>
          <w:szCs w:val="24"/>
          <w:highlight w:val="none"/>
        </w:rPr>
        <w:t>：</w:t>
      </w:r>
    </w:p>
    <w:p>
      <w:pPr>
        <w:spacing w:line="360" w:lineRule="auto"/>
        <w:ind w:firstLine="4560" w:firstLineChars="1900"/>
        <w:rPr>
          <w:rFonts w:hint="eastAsia" w:ascii="宋体" w:hAnsi="宋体"/>
          <w:color w:val="auto"/>
          <w:sz w:val="24"/>
          <w:szCs w:val="24"/>
          <w:highlight w:val="none"/>
        </w:rPr>
      </w:pPr>
      <w:r>
        <w:rPr>
          <w:rFonts w:hint="eastAsia" w:ascii="宋体" w:hAnsi="宋体"/>
          <w:color w:val="auto"/>
          <w:sz w:val="24"/>
          <w:szCs w:val="24"/>
          <w:highlight w:val="none"/>
        </w:rPr>
        <w:t>年   月   日</w:t>
      </w:r>
    </w:p>
    <w:p>
      <w:pPr>
        <w:tabs>
          <w:tab w:val="left" w:pos="630"/>
        </w:tabs>
        <w:spacing w:line="360" w:lineRule="auto"/>
        <w:rPr>
          <w:rFonts w:hint="eastAsia" w:ascii="黑体" w:hAnsi="宋体" w:eastAsia="黑体"/>
          <w:bCs/>
          <w:color w:val="auto"/>
          <w:sz w:val="24"/>
          <w:szCs w:val="24"/>
          <w:highlight w:val="none"/>
        </w:rPr>
      </w:pPr>
      <w:r>
        <w:rPr>
          <w:rFonts w:ascii="宋体" w:hAnsi="宋体"/>
          <w:bCs/>
          <w:color w:val="auto"/>
          <w:sz w:val="24"/>
          <w:szCs w:val="24"/>
          <w:highlight w:val="none"/>
        </w:rPr>
        <w:br w:type="page"/>
      </w:r>
      <w:r>
        <w:rPr>
          <w:rFonts w:hint="eastAsia" w:ascii="黑体" w:hAnsi="黑体" w:eastAsia="黑体"/>
          <w:bCs/>
          <w:color w:val="auto"/>
          <w:sz w:val="24"/>
          <w:szCs w:val="24"/>
          <w:highlight w:val="none"/>
        </w:rPr>
        <w:t>（四）</w:t>
      </w:r>
      <w:r>
        <w:rPr>
          <w:rFonts w:hint="eastAsia" w:ascii="黑体" w:hAnsi="宋体" w:eastAsia="黑体"/>
          <w:bCs/>
          <w:color w:val="auto"/>
          <w:sz w:val="24"/>
          <w:szCs w:val="24"/>
          <w:highlight w:val="none"/>
        </w:rPr>
        <w:t>（投标人）法定代表人（或无锡市级机构负责人）授权委托书（格式）：</w:t>
      </w:r>
    </w:p>
    <w:p>
      <w:pPr>
        <w:jc w:val="center"/>
        <w:rPr>
          <w:rFonts w:ascii="黑体" w:hAnsi="黑体" w:eastAsia="黑体"/>
          <w:bCs/>
          <w:color w:val="auto"/>
          <w:sz w:val="28"/>
          <w:szCs w:val="28"/>
          <w:highlight w:val="none"/>
        </w:rPr>
      </w:pPr>
    </w:p>
    <w:p>
      <w:pPr>
        <w:jc w:val="center"/>
        <w:rPr>
          <w:rFonts w:ascii="黑体" w:hAnsi="黑体" w:eastAsia="黑体"/>
          <w:bCs/>
          <w:color w:val="auto"/>
          <w:sz w:val="28"/>
          <w:szCs w:val="28"/>
          <w:highlight w:val="none"/>
        </w:rPr>
      </w:pPr>
      <w:r>
        <w:rPr>
          <w:rFonts w:hint="eastAsia" w:ascii="黑体" w:hAnsi="黑体" w:eastAsia="黑体"/>
          <w:bCs/>
          <w:color w:val="auto"/>
          <w:sz w:val="28"/>
          <w:szCs w:val="28"/>
          <w:highlight w:val="none"/>
        </w:rPr>
        <w:t>法定代表人（或无锡市级机构负责人）授权委托书</w:t>
      </w:r>
    </w:p>
    <w:p>
      <w:pPr>
        <w:spacing w:line="480" w:lineRule="auto"/>
        <w:rPr>
          <w:rFonts w:ascii="宋体" w:hAnsi="宋体"/>
          <w:bCs/>
          <w:color w:val="auto"/>
          <w:szCs w:val="21"/>
          <w:highlight w:val="none"/>
        </w:rPr>
      </w:pPr>
      <w:r>
        <w:rPr>
          <w:rFonts w:hint="eastAsia" w:ascii="宋体" w:hAnsi="宋体"/>
          <w:bCs/>
          <w:color w:val="auto"/>
          <w:szCs w:val="21"/>
          <w:highlight w:val="none"/>
        </w:rPr>
        <w:t xml:space="preserve">                           </w:t>
      </w:r>
      <w:r>
        <w:rPr>
          <w:rFonts w:ascii="宋体" w:hAnsi="宋体"/>
          <w:bCs/>
          <w:color w:val="auto"/>
          <w:szCs w:val="21"/>
          <w:highlight w:val="none"/>
        </w:rPr>
        <w:t xml:space="preserve">   </w:t>
      </w:r>
      <w:r>
        <w:rPr>
          <w:rFonts w:hint="eastAsia" w:ascii="宋体" w:hAnsi="宋体"/>
          <w:bCs/>
          <w:color w:val="auto"/>
          <w:szCs w:val="21"/>
          <w:highlight w:val="none"/>
        </w:rPr>
        <w:t xml:space="preserve">   </w:t>
      </w:r>
    </w:p>
    <w:p>
      <w:pPr>
        <w:spacing w:line="480" w:lineRule="auto"/>
        <w:rPr>
          <w:rFonts w:ascii="宋体" w:hAnsi="宋体"/>
          <w:bCs/>
          <w:color w:val="auto"/>
          <w:sz w:val="24"/>
          <w:szCs w:val="24"/>
          <w:highlight w:val="none"/>
        </w:rPr>
      </w:pPr>
      <w:r>
        <w:rPr>
          <w:rFonts w:hint="eastAsia" w:ascii="宋体" w:hAnsi="宋体"/>
          <w:bCs/>
          <w:color w:val="auto"/>
          <w:sz w:val="24"/>
          <w:szCs w:val="24"/>
          <w:highlight w:val="none"/>
        </w:rPr>
        <w:t>恒泰保险经纪有限公司：</w:t>
      </w:r>
    </w:p>
    <w:p>
      <w:pPr>
        <w:spacing w:line="480" w:lineRule="auto"/>
        <w:rPr>
          <w:rFonts w:ascii="宋体" w:hAnsi="宋体"/>
          <w:bCs/>
          <w:color w:val="auto"/>
          <w:sz w:val="24"/>
          <w:szCs w:val="24"/>
          <w:highlight w:val="none"/>
        </w:rPr>
      </w:pPr>
      <w:r>
        <w:rPr>
          <w:rFonts w:hint="eastAsia" w:ascii="宋体" w:hAnsi="宋体"/>
          <w:bCs/>
          <w:color w:val="auto"/>
          <w:sz w:val="24"/>
          <w:szCs w:val="24"/>
          <w:highlight w:val="none"/>
        </w:rPr>
        <w:t xml:space="preserve">                          系中华人民共和国合法企业</w:t>
      </w:r>
    </w:p>
    <w:p>
      <w:pPr>
        <w:spacing w:line="480" w:lineRule="auto"/>
        <w:rPr>
          <w:rFonts w:ascii="宋体" w:hAnsi="宋体"/>
          <w:bCs/>
          <w:color w:val="auto"/>
          <w:sz w:val="24"/>
          <w:szCs w:val="24"/>
          <w:highlight w:val="none"/>
        </w:rPr>
      </w:pPr>
      <w:r>
        <w:rPr>
          <w:rFonts w:hint="eastAsia" w:ascii="宋体" w:hAnsi="宋体"/>
          <w:bCs/>
          <w:color w:val="auto"/>
          <w:sz w:val="24"/>
          <w:szCs w:val="24"/>
          <w:highlight w:val="none"/>
        </w:rPr>
        <w:t>法定地址：                特授权       代表我单位全权办理针对本项目（</w:t>
      </w:r>
      <w:r>
        <w:rPr>
          <w:rFonts w:hint="eastAsia" w:ascii="宋体" w:hAnsi="宋体"/>
          <w:color w:val="auto"/>
          <w:sz w:val="24"/>
          <w:szCs w:val="24"/>
          <w:highlight w:val="none"/>
        </w:rPr>
        <w:t>HTBXJJCG2023-01</w:t>
      </w:r>
      <w:r>
        <w:rPr>
          <w:rFonts w:hint="eastAsia" w:ascii="宋体" w:hAnsi="宋体"/>
          <w:bCs/>
          <w:color w:val="auto"/>
          <w:sz w:val="24"/>
          <w:szCs w:val="24"/>
          <w:highlight w:val="none"/>
        </w:rPr>
        <w:t>）的投标、参与开标、评标、签约等具体工作，并签署全部有关的文件、协议及合同。</w:t>
      </w:r>
    </w:p>
    <w:p>
      <w:pPr>
        <w:spacing w:line="48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我单位对被授权人的签名负全部责任。</w:t>
      </w:r>
    </w:p>
    <w:p>
      <w:pPr>
        <w:spacing w:line="48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在撤销授权的书面通知送达你处以前，本授权书一直有效，被授权人签署的所有文件（在授权书有效期内签署的）不因授权的撤销而失效。被授权人无转授权权。</w:t>
      </w:r>
    </w:p>
    <w:p>
      <w:pPr>
        <w:spacing w:line="48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被授权人情况：</w:t>
      </w:r>
    </w:p>
    <w:p>
      <w:pPr>
        <w:spacing w:line="48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姓名：         性别：       年龄：       职务：</w:t>
      </w:r>
    </w:p>
    <w:p>
      <w:pPr>
        <w:spacing w:line="48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身份证号码：                电话：</w:t>
      </w:r>
    </w:p>
    <w:p>
      <w:pPr>
        <w:spacing w:line="48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通讯地址：</w:t>
      </w:r>
    </w:p>
    <w:p>
      <w:pPr>
        <w:spacing w:line="48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被授权人签名：               单位名称（盖章）：</w:t>
      </w:r>
    </w:p>
    <w:p>
      <w:pPr>
        <w:spacing w:line="48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法定代表人或无锡市级机构负责人（签字或盖章）：</w:t>
      </w:r>
    </w:p>
    <w:p>
      <w:pPr>
        <w:spacing w:line="48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日期：</w:t>
      </w:r>
    </w:p>
    <w:p>
      <w:pPr>
        <w:spacing w:line="480" w:lineRule="auto"/>
        <w:ind w:firstLine="3960" w:firstLineChars="1650"/>
        <w:rPr>
          <w:rFonts w:ascii="宋体" w:hAnsi="宋体"/>
          <w:bCs/>
          <w:color w:val="auto"/>
          <w:sz w:val="24"/>
          <w:szCs w:val="24"/>
          <w:highlight w:val="none"/>
        </w:rPr>
      </w:pPr>
    </w:p>
    <w:p>
      <w:pPr>
        <w:spacing w:line="480" w:lineRule="auto"/>
        <w:jc w:val="center"/>
        <w:rPr>
          <w:rFonts w:ascii="宋体" w:hAnsi="宋体"/>
          <w:bCs/>
          <w:color w:val="auto"/>
          <w:sz w:val="24"/>
          <w:szCs w:val="24"/>
          <w:highlight w:val="none"/>
        </w:rPr>
      </w:pPr>
      <w:r>
        <w:rPr>
          <w:rFonts w:hint="eastAsia" w:ascii="宋体" w:hAnsi="宋体"/>
          <w:bCs/>
          <w:color w:val="auto"/>
          <w:sz w:val="24"/>
          <w:szCs w:val="24"/>
          <w:highlight w:val="none"/>
        </w:rPr>
        <w:t>（授权人身份证复印件粘贴处</w:t>
      </w:r>
      <w:r>
        <w:rPr>
          <w:rFonts w:ascii="宋体" w:hAnsi="宋体"/>
          <w:bCs/>
          <w:color w:val="auto"/>
          <w:sz w:val="24"/>
          <w:szCs w:val="24"/>
          <w:highlight w:val="none"/>
        </w:rPr>
        <w:t>）</w:t>
      </w:r>
      <w:r>
        <w:rPr>
          <w:rFonts w:hint="eastAsia" w:ascii="宋体" w:hAnsi="宋体"/>
          <w:bCs/>
          <w:color w:val="auto"/>
          <w:sz w:val="24"/>
          <w:szCs w:val="24"/>
          <w:highlight w:val="none"/>
        </w:rPr>
        <w:t xml:space="preserve">         (被授权人身份证复印件粘贴处)</w:t>
      </w:r>
    </w:p>
    <w:p>
      <w:pPr>
        <w:spacing w:line="480" w:lineRule="auto"/>
        <w:jc w:val="center"/>
        <w:rPr>
          <w:rFonts w:ascii="宋体" w:hAnsi="宋体"/>
          <w:bCs/>
          <w:color w:val="auto"/>
          <w:sz w:val="24"/>
          <w:szCs w:val="24"/>
          <w:highlight w:val="none"/>
        </w:rPr>
      </w:pPr>
      <w:r>
        <w:rPr>
          <w:rFonts w:hint="eastAsia" w:ascii="宋体" w:hAnsi="宋体"/>
          <w:bCs/>
          <w:color w:val="auto"/>
          <w:sz w:val="24"/>
          <w:szCs w:val="24"/>
          <w:highlight w:val="none"/>
        </w:rPr>
        <w:t>（本页粘贴身份证复印件有相片一面，身份证另一面粘贴在本页背面）</w:t>
      </w:r>
    </w:p>
    <w:p>
      <w:pPr>
        <w:outlineLvl w:val="0"/>
        <w:rPr>
          <w:rFonts w:ascii="宋体" w:hAnsi="宋体"/>
          <w:bCs/>
          <w:color w:val="auto"/>
          <w:szCs w:val="21"/>
          <w:highlight w:val="none"/>
        </w:rPr>
      </w:pPr>
    </w:p>
    <w:p>
      <w:pPr>
        <w:outlineLvl w:val="0"/>
        <w:rPr>
          <w:rFonts w:ascii="宋体" w:hAnsi="宋体"/>
          <w:bCs/>
          <w:color w:val="auto"/>
          <w:szCs w:val="21"/>
          <w:highlight w:val="none"/>
        </w:rPr>
      </w:pPr>
    </w:p>
    <w:p>
      <w:pPr>
        <w:outlineLvl w:val="0"/>
        <w:rPr>
          <w:rFonts w:ascii="宋体" w:hAnsi="宋体"/>
          <w:bCs/>
          <w:color w:val="auto"/>
          <w:szCs w:val="21"/>
          <w:highlight w:val="none"/>
        </w:rPr>
      </w:pPr>
    </w:p>
    <w:p>
      <w:pPr>
        <w:tabs>
          <w:tab w:val="left" w:pos="630"/>
        </w:tabs>
        <w:spacing w:line="360" w:lineRule="auto"/>
        <w:rPr>
          <w:color w:val="auto"/>
          <w:highlight w:val="none"/>
        </w:rPr>
      </w:pPr>
      <w:r>
        <w:rPr>
          <w:rFonts w:ascii="黑体" w:eastAsia="黑体"/>
          <w:bCs/>
          <w:color w:val="auto"/>
          <w:sz w:val="24"/>
          <w:szCs w:val="24"/>
          <w:highlight w:val="none"/>
        </w:rPr>
        <w:br w:type="page"/>
      </w:r>
      <w:r>
        <w:rPr>
          <w:rFonts w:hint="eastAsia" w:ascii="黑体" w:eastAsia="黑体"/>
          <w:bCs/>
          <w:color w:val="auto"/>
          <w:sz w:val="24"/>
          <w:szCs w:val="24"/>
          <w:highlight w:val="none"/>
        </w:rPr>
        <w:t>（五）</w:t>
      </w:r>
      <w:r>
        <w:rPr>
          <w:rFonts w:hint="eastAsia" w:ascii="黑体" w:hAnsi="黑体" w:eastAsia="黑体"/>
          <w:bCs/>
          <w:color w:val="auto"/>
          <w:sz w:val="24"/>
          <w:szCs w:val="24"/>
          <w:highlight w:val="none"/>
        </w:rPr>
        <w:t>承诺书（格式）</w:t>
      </w:r>
    </w:p>
    <w:p>
      <w:pPr>
        <w:rPr>
          <w:rFonts w:ascii="宋体" w:hAnsi="宋体"/>
          <w:color w:val="auto"/>
          <w:szCs w:val="21"/>
          <w:highlight w:val="none"/>
        </w:rPr>
      </w:pPr>
    </w:p>
    <w:p>
      <w:pPr>
        <w:jc w:val="center"/>
        <w:rPr>
          <w:rFonts w:ascii="黑体" w:hAnsi="黑体" w:eastAsia="黑体"/>
          <w:bCs/>
          <w:color w:val="auto"/>
          <w:sz w:val="28"/>
          <w:szCs w:val="28"/>
          <w:highlight w:val="none"/>
        </w:rPr>
      </w:pPr>
      <w:r>
        <w:rPr>
          <w:rFonts w:hint="eastAsia" w:ascii="黑体" w:hAnsi="黑体" w:eastAsia="黑体"/>
          <w:bCs/>
          <w:color w:val="auto"/>
          <w:sz w:val="28"/>
          <w:szCs w:val="28"/>
          <w:highlight w:val="none"/>
        </w:rPr>
        <w:t>承诺书</w:t>
      </w:r>
    </w:p>
    <w:p>
      <w:pPr>
        <w:jc w:val="center"/>
        <w:rPr>
          <w:rFonts w:ascii="宋体" w:hAnsi="宋体"/>
          <w:bCs/>
          <w:color w:val="auto"/>
          <w:szCs w:val="21"/>
          <w:highlight w:val="none"/>
        </w:rPr>
      </w:pPr>
    </w:p>
    <w:p>
      <w:pPr>
        <w:spacing w:line="480" w:lineRule="auto"/>
        <w:rPr>
          <w:rFonts w:ascii="宋体" w:hAnsi="宋体"/>
          <w:color w:val="auto"/>
          <w:sz w:val="24"/>
          <w:szCs w:val="24"/>
          <w:highlight w:val="none"/>
        </w:rPr>
      </w:pP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（投标人名称）在此承诺：</w:t>
      </w:r>
    </w:p>
    <w:p>
      <w:pPr>
        <w:spacing w:line="480" w:lineRule="auto"/>
        <w:ind w:firstLine="480" w:firstLineChars="200"/>
        <w:rPr>
          <w:rFonts w:ascii="宋体" w:hAnsi="宋体"/>
          <w:color w:val="auto"/>
          <w:sz w:val="24"/>
          <w:szCs w:val="24"/>
          <w:highlight w:val="none"/>
        </w:rPr>
      </w:pPr>
    </w:p>
    <w:p>
      <w:pPr>
        <w:spacing w:line="360" w:lineRule="auto"/>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1.本单位对本项目（HTBXJJCG2023-01）所提供的服务均满足采购人要求。如所供之服务不符合前述承诺，本单位将承担一切法律责任。</w:t>
      </w:r>
    </w:p>
    <w:p>
      <w:pPr>
        <w:spacing w:line="360" w:lineRule="auto"/>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 xml:space="preserve">2. 我公司承诺涉及无锡市城乡居民大病保险的相关信息将严格保密，仅限内部操作使用，任何涉保信息的泄露，均为违约行为并承担相关法律责任。 </w:t>
      </w:r>
    </w:p>
    <w:p>
      <w:pPr>
        <w:spacing w:line="360" w:lineRule="auto"/>
        <w:ind w:firstLine="480" w:firstLineChars="200"/>
        <w:rPr>
          <w:rFonts w:ascii="宋体" w:hAnsi="宋体"/>
          <w:bCs/>
          <w:color w:val="auto"/>
          <w:sz w:val="24"/>
          <w:szCs w:val="24"/>
          <w:highlight w:val="none"/>
        </w:rPr>
      </w:pPr>
    </w:p>
    <w:p>
      <w:pPr>
        <w:spacing w:line="480" w:lineRule="auto"/>
        <w:ind w:firstLine="5400" w:firstLineChars="2250"/>
        <w:rPr>
          <w:rFonts w:ascii="宋体" w:hAnsi="宋体"/>
          <w:bCs/>
          <w:color w:val="auto"/>
          <w:sz w:val="24"/>
          <w:szCs w:val="24"/>
          <w:highlight w:val="none"/>
        </w:rPr>
      </w:pPr>
    </w:p>
    <w:p>
      <w:pPr>
        <w:spacing w:line="480" w:lineRule="auto"/>
        <w:ind w:firstLine="5400" w:firstLineChars="2250"/>
        <w:rPr>
          <w:rFonts w:ascii="宋体" w:hAnsi="宋体"/>
          <w:bCs/>
          <w:color w:val="auto"/>
          <w:sz w:val="24"/>
          <w:szCs w:val="24"/>
          <w:highlight w:val="none"/>
        </w:rPr>
      </w:pPr>
    </w:p>
    <w:p>
      <w:pPr>
        <w:spacing w:line="480" w:lineRule="auto"/>
        <w:ind w:firstLine="5400" w:firstLineChars="2250"/>
        <w:rPr>
          <w:rFonts w:ascii="宋体" w:hAnsi="宋体"/>
          <w:bCs/>
          <w:color w:val="auto"/>
          <w:sz w:val="24"/>
          <w:szCs w:val="24"/>
          <w:highlight w:val="none"/>
        </w:rPr>
      </w:pPr>
    </w:p>
    <w:p>
      <w:pPr>
        <w:spacing w:line="480" w:lineRule="auto"/>
        <w:ind w:firstLine="5400" w:firstLineChars="2250"/>
        <w:rPr>
          <w:rFonts w:ascii="宋体" w:hAnsi="宋体"/>
          <w:bCs/>
          <w:color w:val="auto"/>
          <w:sz w:val="24"/>
          <w:szCs w:val="24"/>
          <w:highlight w:val="none"/>
        </w:rPr>
      </w:pPr>
    </w:p>
    <w:p>
      <w:pPr>
        <w:spacing w:line="480" w:lineRule="auto"/>
        <w:ind w:firstLine="5400" w:firstLineChars="2250"/>
        <w:rPr>
          <w:rFonts w:ascii="宋体" w:hAnsi="宋体"/>
          <w:bCs/>
          <w:color w:val="auto"/>
          <w:sz w:val="24"/>
          <w:szCs w:val="24"/>
          <w:highlight w:val="none"/>
        </w:rPr>
      </w:pPr>
    </w:p>
    <w:p>
      <w:pPr>
        <w:spacing w:line="480" w:lineRule="auto"/>
        <w:ind w:firstLine="5400" w:firstLineChars="2250"/>
        <w:rPr>
          <w:rFonts w:ascii="宋体" w:hAnsi="宋体"/>
          <w:bCs/>
          <w:color w:val="auto"/>
          <w:sz w:val="24"/>
          <w:szCs w:val="24"/>
          <w:highlight w:val="none"/>
        </w:rPr>
      </w:pPr>
    </w:p>
    <w:p>
      <w:pPr>
        <w:spacing w:line="48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投标人（盖章）：</w:t>
      </w:r>
    </w:p>
    <w:p>
      <w:pPr>
        <w:spacing w:line="480" w:lineRule="auto"/>
        <w:ind w:firstLine="480" w:firstLineChars="200"/>
        <w:rPr>
          <w:rFonts w:ascii="宋体" w:hAnsi="宋体"/>
          <w:bCs/>
          <w:color w:val="auto"/>
          <w:sz w:val="24"/>
          <w:szCs w:val="24"/>
          <w:highlight w:val="none"/>
        </w:rPr>
      </w:pPr>
      <w:r>
        <w:rPr>
          <w:rFonts w:hint="eastAsia" w:ascii="宋体" w:hAnsi="宋体"/>
          <w:color w:val="auto"/>
          <w:sz w:val="24"/>
          <w:szCs w:val="24"/>
          <w:highlight w:val="none"/>
        </w:rPr>
        <w:t>法定代表人（负责人）或被授权代表（签字或盖章）</w:t>
      </w:r>
      <w:r>
        <w:rPr>
          <w:rFonts w:hint="eastAsia" w:ascii="宋体" w:hAnsi="宋体"/>
          <w:bCs/>
          <w:color w:val="auto"/>
          <w:sz w:val="24"/>
          <w:szCs w:val="24"/>
          <w:highlight w:val="none"/>
        </w:rPr>
        <w:t>：</w:t>
      </w:r>
    </w:p>
    <w:p>
      <w:pPr>
        <w:spacing w:line="360" w:lineRule="auto"/>
        <w:ind w:firstLine="1200" w:firstLineChars="500"/>
        <w:rPr>
          <w:rFonts w:hint="eastAsia" w:ascii="宋体" w:hAnsi="宋体"/>
          <w:color w:val="auto"/>
          <w:sz w:val="24"/>
          <w:szCs w:val="24"/>
          <w:highlight w:val="none"/>
        </w:rPr>
      </w:pPr>
      <w:r>
        <w:rPr>
          <w:rFonts w:hint="eastAsia" w:ascii="宋体" w:hAnsi="宋体"/>
          <w:color w:val="auto"/>
          <w:sz w:val="24"/>
          <w:szCs w:val="24"/>
          <w:highlight w:val="none"/>
        </w:rPr>
        <w:t>年   月   日</w:t>
      </w:r>
    </w:p>
    <w:p>
      <w:pPr>
        <w:spacing w:line="400" w:lineRule="exact"/>
        <w:rPr>
          <w:rFonts w:hint="eastAsia" w:ascii="黑体" w:eastAsia="黑体"/>
          <w:bCs/>
          <w:color w:val="auto"/>
          <w:sz w:val="24"/>
          <w:szCs w:val="24"/>
          <w:highlight w:val="none"/>
        </w:rPr>
      </w:pPr>
    </w:p>
    <w:p>
      <w:pPr>
        <w:spacing w:line="400" w:lineRule="exact"/>
        <w:rPr>
          <w:rFonts w:hint="eastAsia" w:ascii="黑体" w:eastAsia="黑体"/>
          <w:bCs/>
          <w:color w:val="auto"/>
          <w:sz w:val="24"/>
          <w:szCs w:val="24"/>
          <w:highlight w:val="none"/>
        </w:rPr>
      </w:pPr>
    </w:p>
    <w:p>
      <w:pPr>
        <w:spacing w:line="400" w:lineRule="exact"/>
        <w:rPr>
          <w:rFonts w:hint="eastAsia" w:ascii="黑体" w:eastAsia="黑体"/>
          <w:bCs/>
          <w:color w:val="auto"/>
          <w:sz w:val="24"/>
          <w:szCs w:val="24"/>
          <w:highlight w:val="none"/>
        </w:rPr>
      </w:pPr>
    </w:p>
    <w:p>
      <w:pPr>
        <w:spacing w:line="400" w:lineRule="exact"/>
        <w:rPr>
          <w:rFonts w:hint="eastAsia" w:ascii="黑体" w:eastAsia="黑体"/>
          <w:bCs/>
          <w:color w:val="auto"/>
          <w:sz w:val="24"/>
          <w:szCs w:val="24"/>
          <w:highlight w:val="none"/>
        </w:rPr>
      </w:pPr>
    </w:p>
    <w:p>
      <w:pPr>
        <w:spacing w:line="400" w:lineRule="exact"/>
        <w:rPr>
          <w:rFonts w:hint="eastAsia" w:ascii="黑体" w:eastAsia="黑体"/>
          <w:bCs/>
          <w:color w:val="auto"/>
          <w:sz w:val="24"/>
          <w:szCs w:val="24"/>
          <w:highlight w:val="none"/>
        </w:rPr>
      </w:pPr>
    </w:p>
    <w:p>
      <w:pPr>
        <w:spacing w:line="400" w:lineRule="exact"/>
        <w:rPr>
          <w:rFonts w:hint="eastAsia" w:ascii="黑体" w:eastAsia="黑体"/>
          <w:bCs/>
          <w:color w:val="auto"/>
          <w:sz w:val="24"/>
          <w:szCs w:val="24"/>
          <w:highlight w:val="none"/>
        </w:rPr>
      </w:pPr>
    </w:p>
    <w:p>
      <w:pPr>
        <w:spacing w:line="400" w:lineRule="exact"/>
        <w:rPr>
          <w:rFonts w:hint="eastAsia" w:ascii="黑体" w:eastAsia="黑体"/>
          <w:bCs/>
          <w:color w:val="auto"/>
          <w:sz w:val="24"/>
          <w:szCs w:val="24"/>
          <w:highlight w:val="none"/>
        </w:rPr>
      </w:pPr>
    </w:p>
    <w:p>
      <w:pPr>
        <w:spacing w:line="400" w:lineRule="exact"/>
        <w:rPr>
          <w:rFonts w:hint="eastAsia" w:ascii="黑体" w:eastAsia="黑体"/>
          <w:bCs/>
          <w:color w:val="auto"/>
          <w:sz w:val="24"/>
          <w:szCs w:val="24"/>
          <w:highlight w:val="none"/>
        </w:rPr>
      </w:pPr>
    </w:p>
    <w:p>
      <w:pPr>
        <w:spacing w:line="400" w:lineRule="exact"/>
        <w:rPr>
          <w:rFonts w:hint="eastAsia" w:ascii="黑体" w:eastAsia="黑体"/>
          <w:bCs/>
          <w:color w:val="auto"/>
          <w:sz w:val="24"/>
          <w:szCs w:val="24"/>
          <w:highlight w:val="none"/>
        </w:rPr>
      </w:pPr>
    </w:p>
    <w:p>
      <w:pPr>
        <w:spacing w:line="400" w:lineRule="exact"/>
        <w:rPr>
          <w:rFonts w:hint="eastAsia" w:ascii="黑体" w:eastAsia="黑体"/>
          <w:bCs/>
          <w:color w:val="auto"/>
          <w:sz w:val="24"/>
          <w:szCs w:val="24"/>
          <w:highlight w:val="none"/>
        </w:rPr>
      </w:pPr>
      <w:r>
        <w:rPr>
          <w:rFonts w:hint="eastAsia" w:ascii="黑体" w:eastAsia="黑体"/>
          <w:bCs/>
          <w:color w:val="auto"/>
          <w:sz w:val="24"/>
          <w:szCs w:val="24"/>
          <w:highlight w:val="none"/>
        </w:rPr>
        <w:t>（六）价格响应函（格式）</w:t>
      </w:r>
    </w:p>
    <w:p>
      <w:pPr>
        <w:jc w:val="center"/>
        <w:rPr>
          <w:rFonts w:hint="eastAsia" w:ascii="黑体" w:hAnsi="黑体" w:eastAsia="黑体"/>
          <w:bCs/>
          <w:color w:val="auto"/>
          <w:sz w:val="28"/>
          <w:szCs w:val="28"/>
          <w:highlight w:val="none"/>
        </w:rPr>
      </w:pPr>
    </w:p>
    <w:p>
      <w:pPr>
        <w:jc w:val="center"/>
        <w:rPr>
          <w:rFonts w:hint="eastAsia" w:ascii="黑体" w:hAnsi="黑体" w:eastAsia="黑体"/>
          <w:bCs/>
          <w:color w:val="auto"/>
          <w:sz w:val="28"/>
          <w:szCs w:val="28"/>
          <w:highlight w:val="none"/>
        </w:rPr>
      </w:pPr>
      <w:r>
        <w:rPr>
          <w:rFonts w:hint="eastAsia" w:ascii="黑体" w:hAnsi="黑体" w:eastAsia="黑体"/>
          <w:bCs/>
          <w:color w:val="auto"/>
          <w:sz w:val="28"/>
          <w:szCs w:val="28"/>
          <w:highlight w:val="none"/>
        </w:rPr>
        <w:t>价格响应函</w:t>
      </w:r>
    </w:p>
    <w:p>
      <w:pPr>
        <w:spacing w:line="480" w:lineRule="auto"/>
        <w:ind w:firstLine="480" w:firstLineChars="200"/>
        <w:rPr>
          <w:rFonts w:hint="eastAsia" w:ascii="宋体" w:hAnsi="宋体"/>
          <w:bCs/>
          <w:color w:val="auto"/>
          <w:sz w:val="24"/>
          <w:szCs w:val="24"/>
          <w:highlight w:val="none"/>
        </w:rPr>
      </w:pPr>
    </w:p>
    <w:p>
      <w:pPr>
        <w:spacing w:line="360" w:lineRule="auto"/>
        <w:rPr>
          <w:rFonts w:hint="eastAsia" w:ascii="宋体" w:hAnsi="宋体"/>
          <w:color w:val="auto"/>
          <w:sz w:val="24"/>
          <w:szCs w:val="24"/>
          <w:highlight w:val="none"/>
        </w:rPr>
      </w:pPr>
      <w:r>
        <w:rPr>
          <w:rFonts w:hint="eastAsia" w:ascii="宋体" w:hAnsi="宋体"/>
          <w:color w:val="auto"/>
          <w:sz w:val="24"/>
          <w:szCs w:val="24"/>
          <w:highlight w:val="none"/>
        </w:rPr>
        <w:t>恒泰保险经纪有限公司:</w:t>
      </w:r>
    </w:p>
    <w:p>
      <w:pPr>
        <w:spacing w:line="360" w:lineRule="auto"/>
        <w:rPr>
          <w:rFonts w:hint="eastAsia" w:ascii="宋体" w:hAnsi="宋体"/>
          <w:color w:val="auto"/>
          <w:sz w:val="24"/>
          <w:szCs w:val="24"/>
          <w:highlight w:val="none"/>
        </w:rPr>
      </w:pPr>
    </w:p>
    <w:p>
      <w:pPr>
        <w:spacing w:line="360" w:lineRule="auto"/>
        <w:ind w:firstLine="480" w:firstLineChars="200"/>
        <w:outlineLvl w:val="0"/>
        <w:rPr>
          <w:rFonts w:hint="eastAsia" w:ascii="宋体" w:hAnsi="宋体"/>
          <w:bCs/>
          <w:color w:val="auto"/>
          <w:sz w:val="24"/>
          <w:szCs w:val="24"/>
          <w:highlight w:val="none"/>
        </w:rPr>
      </w:pPr>
      <w:r>
        <w:rPr>
          <w:rFonts w:hint="eastAsia" w:ascii="宋体" w:hAnsi="宋体"/>
          <w:bCs/>
          <w:color w:val="auto"/>
          <w:sz w:val="24"/>
          <w:szCs w:val="24"/>
          <w:highlight w:val="none"/>
        </w:rPr>
        <w:t>我单位响应无锡市城乡居民大病保险项目2023年大病保险筹资标准暂定为居民医保每人每年40元，职工医保每人每年120元，2024年至2025年期间的筹资标准，</w:t>
      </w:r>
      <w:r>
        <w:rPr>
          <w:rFonts w:ascii="宋体" w:hAnsi="宋体"/>
          <w:bCs/>
          <w:color w:val="auto"/>
          <w:sz w:val="24"/>
          <w:szCs w:val="24"/>
          <w:highlight w:val="none"/>
        </w:rPr>
        <w:t>由市医疗保障局会同市财政局每年根据国家和省规定的最低标准，同时结合各区域经济社会发展水平、医疗保险筹资能力、患大病发生高额医疗费用的情况、基本医疗保险补偿水平，以及大病保险保障水平等因素确定。</w:t>
      </w:r>
    </w:p>
    <w:p>
      <w:pPr>
        <w:spacing w:line="360" w:lineRule="auto"/>
        <w:ind w:left="-2" w:leftChars="-1" w:firstLine="480" w:firstLineChars="200"/>
        <w:outlineLvl w:val="0"/>
        <w:rPr>
          <w:rFonts w:ascii="宋体" w:hAnsi="宋体"/>
          <w:bCs/>
          <w:color w:val="auto"/>
          <w:sz w:val="24"/>
          <w:szCs w:val="24"/>
          <w:highlight w:val="none"/>
        </w:rPr>
      </w:pPr>
      <w:r>
        <w:rPr>
          <w:rFonts w:hint="eastAsia" w:ascii="宋体" w:hAnsi="宋体"/>
          <w:bCs/>
          <w:color w:val="auto"/>
          <w:sz w:val="24"/>
          <w:szCs w:val="24"/>
          <w:highlight w:val="none"/>
        </w:rPr>
        <w:t>在我市政府部门未发布2024年、2025年筹资标准之前，暂按上一年度筹资标准执行：居民医保每人每年40元，职工医保每人每年120元。</w:t>
      </w:r>
    </w:p>
    <w:p>
      <w:pPr>
        <w:spacing w:line="360" w:lineRule="auto"/>
        <w:ind w:firstLine="480" w:firstLineChars="200"/>
        <w:rPr>
          <w:rFonts w:ascii="宋体" w:hAnsi="宋体"/>
          <w:color w:val="auto"/>
          <w:sz w:val="24"/>
          <w:szCs w:val="24"/>
          <w:highlight w:val="none"/>
        </w:rPr>
      </w:pPr>
    </w:p>
    <w:p>
      <w:pPr>
        <w:spacing w:before="5" w:line="360" w:lineRule="auto"/>
        <w:rPr>
          <w:rFonts w:hint="eastAsia" w:ascii="宋体" w:hAnsi="宋体"/>
          <w:color w:val="auto"/>
          <w:sz w:val="24"/>
          <w:szCs w:val="24"/>
          <w:highlight w:val="none"/>
        </w:rPr>
      </w:pPr>
    </w:p>
    <w:p>
      <w:pPr>
        <w:spacing w:before="5" w:line="360" w:lineRule="auto"/>
        <w:rPr>
          <w:bCs/>
          <w:color w:val="auto"/>
          <w:sz w:val="24"/>
          <w:szCs w:val="24"/>
          <w:highlight w:val="none"/>
        </w:rPr>
      </w:pPr>
    </w:p>
    <w:p>
      <w:pPr>
        <w:spacing w:before="5"/>
        <w:rPr>
          <w:b/>
          <w:bCs/>
          <w:color w:val="auto"/>
          <w:sz w:val="24"/>
          <w:szCs w:val="24"/>
          <w:highlight w:val="none"/>
        </w:rPr>
      </w:pPr>
    </w:p>
    <w:p>
      <w:pPr>
        <w:spacing w:before="5"/>
        <w:rPr>
          <w:b/>
          <w:bCs/>
          <w:color w:val="auto"/>
          <w:sz w:val="24"/>
          <w:szCs w:val="24"/>
          <w:highlight w:val="none"/>
        </w:rPr>
      </w:pPr>
    </w:p>
    <w:p>
      <w:pPr>
        <w:spacing w:before="5"/>
        <w:rPr>
          <w:rFonts w:hint="eastAsia"/>
          <w:bCs/>
          <w:color w:val="auto"/>
          <w:sz w:val="24"/>
          <w:szCs w:val="24"/>
          <w:highlight w:val="none"/>
        </w:rPr>
      </w:pPr>
    </w:p>
    <w:p>
      <w:pPr>
        <w:spacing w:line="360" w:lineRule="auto"/>
        <w:ind w:firstLine="600"/>
        <w:rPr>
          <w:rFonts w:ascii="宋体" w:hAnsi="宋体"/>
          <w:color w:val="auto"/>
          <w:sz w:val="24"/>
          <w:szCs w:val="24"/>
          <w:highlight w:val="none"/>
        </w:rPr>
      </w:pPr>
      <w:r>
        <w:rPr>
          <w:rFonts w:hint="eastAsia" w:ascii="仿宋_GB2312" w:hAnsi="华文中宋" w:eastAsia="仿宋_GB2312"/>
          <w:color w:val="auto"/>
          <w:sz w:val="24"/>
          <w:szCs w:val="24"/>
          <w:highlight w:val="none"/>
        </w:rPr>
        <w:t xml:space="preserve">                            </w:t>
      </w:r>
      <w:r>
        <w:rPr>
          <w:rFonts w:hint="eastAsia" w:ascii="宋体" w:hAnsi="宋体"/>
          <w:color w:val="auto"/>
          <w:sz w:val="24"/>
          <w:szCs w:val="24"/>
          <w:highlight w:val="none"/>
        </w:rPr>
        <w:t xml:space="preserve">                投标人（盖章）：</w:t>
      </w:r>
    </w:p>
    <w:p>
      <w:pPr>
        <w:spacing w:line="360" w:lineRule="auto"/>
        <w:ind w:firstLine="600"/>
        <w:rPr>
          <w:rFonts w:hint="eastAsia" w:ascii="宋体" w:hAnsi="宋体"/>
          <w:color w:val="auto"/>
          <w:sz w:val="24"/>
          <w:szCs w:val="24"/>
          <w:highlight w:val="none"/>
        </w:rPr>
      </w:pPr>
    </w:p>
    <w:p>
      <w:pPr>
        <w:spacing w:line="360" w:lineRule="auto"/>
        <w:ind w:firstLine="2040" w:firstLineChars="850"/>
        <w:rPr>
          <w:rFonts w:ascii="宋体" w:hAnsi="宋体"/>
          <w:color w:val="auto"/>
          <w:sz w:val="24"/>
          <w:szCs w:val="24"/>
          <w:highlight w:val="none"/>
        </w:rPr>
      </w:pPr>
      <w:r>
        <w:rPr>
          <w:rFonts w:hint="eastAsia" w:ascii="宋体" w:hAnsi="宋体"/>
          <w:color w:val="auto"/>
          <w:sz w:val="24"/>
          <w:szCs w:val="24"/>
          <w:highlight w:val="none"/>
        </w:rPr>
        <w:t>法定代表人（负责人）或被授权代表（签字或盖章）：</w:t>
      </w:r>
    </w:p>
    <w:p>
      <w:pPr>
        <w:spacing w:line="360" w:lineRule="auto"/>
        <w:ind w:firstLine="240" w:firstLineChars="100"/>
        <w:rPr>
          <w:rFonts w:hint="eastAsia" w:ascii="宋体" w:hAnsi="宋体"/>
          <w:color w:val="auto"/>
          <w:sz w:val="24"/>
          <w:szCs w:val="24"/>
          <w:highlight w:val="none"/>
        </w:rPr>
      </w:pPr>
    </w:p>
    <w:p>
      <w:pPr>
        <w:spacing w:line="360" w:lineRule="auto"/>
        <w:ind w:left="-302" w:leftChars="-144" w:firstLine="6784" w:firstLineChars="2827"/>
        <w:rPr>
          <w:rFonts w:hint="eastAsia" w:ascii="宋体" w:hAnsi="宋体"/>
          <w:color w:val="auto"/>
          <w:sz w:val="24"/>
          <w:szCs w:val="24"/>
          <w:highlight w:val="none"/>
        </w:rPr>
      </w:pPr>
      <w:r>
        <w:rPr>
          <w:rFonts w:hint="eastAsia" w:ascii="宋体" w:hAnsi="宋体"/>
          <w:color w:val="auto"/>
          <w:sz w:val="24"/>
          <w:szCs w:val="24"/>
          <w:highlight w:val="none"/>
        </w:rPr>
        <w:t>年   月   日</w:t>
      </w:r>
    </w:p>
    <w:p>
      <w:pPr>
        <w:spacing w:line="360" w:lineRule="auto"/>
        <w:rPr>
          <w:rFonts w:hint="eastAsia" w:ascii="华文中宋" w:hAnsi="华文中宋" w:eastAsia="华文中宋"/>
          <w:b/>
          <w:color w:val="auto"/>
          <w:sz w:val="30"/>
          <w:szCs w:val="30"/>
          <w:highlight w:val="none"/>
        </w:rPr>
      </w:pPr>
    </w:p>
    <w:p>
      <w:pPr>
        <w:spacing w:line="360" w:lineRule="auto"/>
        <w:ind w:left="441" w:hanging="441" w:hangingChars="147"/>
        <w:rPr>
          <w:rFonts w:hint="eastAsia" w:ascii="华文中宋" w:hAnsi="华文中宋" w:eastAsia="华文中宋"/>
          <w:b/>
          <w:color w:val="auto"/>
          <w:sz w:val="30"/>
          <w:szCs w:val="30"/>
          <w:highlight w:val="none"/>
        </w:rPr>
      </w:pPr>
    </w:p>
    <w:p>
      <w:pPr>
        <w:spacing w:line="360" w:lineRule="auto"/>
        <w:ind w:left="441" w:hanging="441" w:hangingChars="147"/>
        <w:rPr>
          <w:rFonts w:hint="eastAsia" w:ascii="华文中宋" w:hAnsi="华文中宋" w:eastAsia="华文中宋"/>
          <w:b/>
          <w:color w:val="auto"/>
          <w:sz w:val="30"/>
          <w:szCs w:val="30"/>
          <w:highlight w:val="none"/>
        </w:rPr>
      </w:pPr>
    </w:p>
    <w:p>
      <w:pPr>
        <w:spacing w:line="360" w:lineRule="auto"/>
        <w:ind w:left="441" w:hanging="441" w:hangingChars="147"/>
        <w:rPr>
          <w:rFonts w:hint="eastAsia" w:ascii="华文中宋" w:hAnsi="华文中宋" w:eastAsia="华文中宋"/>
          <w:b/>
          <w:color w:val="auto"/>
          <w:sz w:val="30"/>
          <w:szCs w:val="30"/>
          <w:highlight w:val="none"/>
        </w:rPr>
      </w:pPr>
    </w:p>
    <w:p>
      <w:pPr>
        <w:spacing w:line="360" w:lineRule="auto"/>
        <w:ind w:left="441" w:hanging="441" w:hangingChars="147"/>
        <w:rPr>
          <w:rFonts w:hint="eastAsia" w:ascii="华文中宋" w:hAnsi="华文中宋" w:eastAsia="华文中宋"/>
          <w:b/>
          <w:color w:val="auto"/>
          <w:sz w:val="30"/>
          <w:szCs w:val="30"/>
          <w:highlight w:val="none"/>
        </w:rPr>
      </w:pPr>
    </w:p>
    <w:p>
      <w:pPr>
        <w:spacing w:line="400" w:lineRule="exact"/>
        <w:rPr>
          <w:rFonts w:hint="eastAsia" w:ascii="黑体" w:eastAsia="黑体"/>
          <w:bCs/>
          <w:color w:val="auto"/>
          <w:sz w:val="24"/>
          <w:szCs w:val="24"/>
          <w:highlight w:val="none"/>
        </w:rPr>
      </w:pPr>
      <w:r>
        <w:rPr>
          <w:rFonts w:hint="eastAsia" w:ascii="黑体" w:eastAsia="黑体"/>
          <w:bCs/>
          <w:color w:val="auto"/>
          <w:sz w:val="24"/>
          <w:szCs w:val="24"/>
          <w:highlight w:val="none"/>
        </w:rPr>
        <w:t>（七）运营成本、控费奖励比例（格式）</w:t>
      </w:r>
    </w:p>
    <w:p>
      <w:pPr>
        <w:spacing w:line="400" w:lineRule="exact"/>
        <w:rPr>
          <w:rFonts w:hint="eastAsia" w:ascii="黑体" w:eastAsia="黑体"/>
          <w:bCs/>
          <w:color w:val="auto"/>
          <w:sz w:val="24"/>
          <w:szCs w:val="24"/>
          <w:highlight w:val="none"/>
        </w:rPr>
      </w:pPr>
    </w:p>
    <w:p>
      <w:pPr>
        <w:spacing w:line="400" w:lineRule="exact"/>
        <w:rPr>
          <w:rFonts w:hint="eastAsia" w:ascii="黑体" w:eastAsia="黑体"/>
          <w:bCs/>
          <w:color w:val="auto"/>
          <w:sz w:val="24"/>
          <w:szCs w:val="24"/>
          <w:highlight w:val="none"/>
        </w:rPr>
      </w:pPr>
    </w:p>
    <w:p>
      <w:pPr>
        <w:spacing w:line="400" w:lineRule="exact"/>
        <w:rPr>
          <w:rFonts w:hint="eastAsia" w:ascii="黑体" w:eastAsia="黑体"/>
          <w:bCs/>
          <w:color w:val="auto"/>
          <w:sz w:val="24"/>
          <w:szCs w:val="24"/>
          <w:highlight w:val="none"/>
        </w:rPr>
      </w:pPr>
    </w:p>
    <w:p>
      <w:pPr>
        <w:jc w:val="center"/>
        <w:outlineLvl w:val="0"/>
        <w:rPr>
          <w:rFonts w:hint="eastAsia" w:ascii="黑体" w:hAnsi="黑体" w:eastAsia="黑体"/>
          <w:bCs/>
          <w:color w:val="auto"/>
          <w:sz w:val="28"/>
          <w:szCs w:val="28"/>
          <w:highlight w:val="none"/>
        </w:rPr>
      </w:pPr>
      <w:r>
        <w:rPr>
          <w:rFonts w:hint="eastAsia" w:ascii="黑体" w:hAnsi="黑体" w:eastAsia="黑体"/>
          <w:bCs/>
          <w:color w:val="auto"/>
          <w:sz w:val="28"/>
          <w:szCs w:val="28"/>
          <w:highlight w:val="none"/>
        </w:rPr>
        <w:t>运营成本、控费奖励比例</w:t>
      </w:r>
    </w:p>
    <w:p>
      <w:pPr>
        <w:spacing w:line="360" w:lineRule="auto"/>
        <w:rPr>
          <w:rFonts w:hint="eastAsia" w:ascii="宋体" w:hAnsi="宋体"/>
          <w:color w:val="auto"/>
          <w:sz w:val="28"/>
          <w:szCs w:val="28"/>
          <w:highlight w:val="none"/>
        </w:rPr>
      </w:pPr>
    </w:p>
    <w:p>
      <w:pPr>
        <w:spacing w:line="360" w:lineRule="auto"/>
        <w:rPr>
          <w:rFonts w:hint="eastAsia" w:ascii="宋体" w:hAnsi="宋体"/>
          <w:color w:val="auto"/>
          <w:sz w:val="24"/>
          <w:szCs w:val="24"/>
          <w:highlight w:val="none"/>
        </w:rPr>
      </w:pPr>
      <w:r>
        <w:rPr>
          <w:rFonts w:hint="eastAsia" w:ascii="宋体" w:hAnsi="宋体"/>
          <w:color w:val="auto"/>
          <w:sz w:val="24"/>
          <w:szCs w:val="24"/>
          <w:highlight w:val="none"/>
        </w:rPr>
        <w:t>恒泰保险经纪有限公司:</w:t>
      </w:r>
    </w:p>
    <w:p>
      <w:pPr>
        <w:spacing w:line="360" w:lineRule="auto"/>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一、我单位将对本项目标段（</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）的年度运营成本及控费奖励比例分别进行报价；</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二、我单位以下所报的年度运营成本不超过招标文件设置的最高限价：</w:t>
      </w:r>
    </w:p>
    <w:p>
      <w:pPr>
        <w:spacing w:line="360" w:lineRule="auto"/>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标段（</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）年度运营成本为人民币</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万元；</w:t>
      </w:r>
    </w:p>
    <w:p>
      <w:pPr>
        <w:spacing w:line="360" w:lineRule="auto"/>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三、我单位以下所报控费奖励比例不高于招标文件设置的比例：</w:t>
      </w:r>
    </w:p>
    <w:p>
      <w:pPr>
        <w:spacing w:line="360" w:lineRule="auto"/>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标段（</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）控费奖励比例为</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w:t>
      </w:r>
    </w:p>
    <w:p>
      <w:pPr>
        <w:spacing w:line="360" w:lineRule="auto"/>
        <w:ind w:firstLine="360" w:firstLineChars="150"/>
        <w:rPr>
          <w:rFonts w:hint="eastAsia" w:ascii="宋体" w:hAnsi="宋体"/>
          <w:color w:val="auto"/>
          <w:sz w:val="24"/>
          <w:szCs w:val="24"/>
          <w:highlight w:val="none"/>
        </w:rPr>
      </w:pPr>
    </w:p>
    <w:p>
      <w:pPr>
        <w:spacing w:line="360" w:lineRule="auto"/>
        <w:ind w:firstLine="360" w:firstLineChars="150"/>
        <w:rPr>
          <w:rFonts w:hint="eastAsia" w:ascii="宋体" w:hAnsi="宋体"/>
          <w:b/>
          <w:color w:val="auto"/>
          <w:sz w:val="24"/>
          <w:szCs w:val="24"/>
          <w:highlight w:val="none"/>
        </w:rPr>
      </w:pPr>
      <w:r>
        <w:rPr>
          <w:rFonts w:hint="eastAsia" w:ascii="宋体" w:hAnsi="宋体"/>
          <w:b/>
          <w:color w:val="auto"/>
          <w:sz w:val="24"/>
          <w:szCs w:val="24"/>
          <w:highlight w:val="none"/>
        </w:rPr>
        <w:t xml:space="preserve"> </w:t>
      </w:r>
    </w:p>
    <w:p>
      <w:pPr>
        <w:spacing w:line="360" w:lineRule="auto"/>
        <w:ind w:firstLine="360" w:firstLineChars="150"/>
        <w:rPr>
          <w:rFonts w:hint="eastAsia" w:ascii="宋体" w:hAnsi="宋体"/>
          <w:color w:val="auto"/>
          <w:sz w:val="24"/>
          <w:szCs w:val="24"/>
          <w:highlight w:val="none"/>
        </w:rPr>
      </w:pPr>
    </w:p>
    <w:p>
      <w:pPr>
        <w:spacing w:line="360" w:lineRule="auto"/>
        <w:ind w:firstLine="600"/>
        <w:rPr>
          <w:rFonts w:hint="eastAsia" w:ascii="宋体" w:hAnsi="宋体"/>
          <w:b/>
          <w:color w:val="auto"/>
          <w:sz w:val="24"/>
          <w:szCs w:val="24"/>
          <w:highlight w:val="none"/>
        </w:rPr>
      </w:pPr>
    </w:p>
    <w:p>
      <w:pPr>
        <w:spacing w:line="360" w:lineRule="auto"/>
        <w:ind w:firstLine="600"/>
        <w:rPr>
          <w:rFonts w:hint="eastAsia" w:ascii="宋体" w:hAnsi="宋体"/>
          <w:b/>
          <w:color w:val="auto"/>
          <w:sz w:val="24"/>
          <w:szCs w:val="24"/>
          <w:highlight w:val="none"/>
        </w:rPr>
      </w:pPr>
    </w:p>
    <w:p>
      <w:pPr>
        <w:spacing w:line="360" w:lineRule="auto"/>
        <w:ind w:firstLine="600"/>
        <w:rPr>
          <w:rFonts w:hint="eastAsia" w:ascii="宋体" w:hAnsi="宋体"/>
          <w:color w:val="auto"/>
          <w:sz w:val="24"/>
          <w:szCs w:val="24"/>
          <w:highlight w:val="none"/>
        </w:rPr>
      </w:pPr>
      <w:r>
        <w:rPr>
          <w:rFonts w:hint="eastAsia" w:ascii="宋体" w:hAnsi="宋体"/>
          <w:b/>
          <w:color w:val="auto"/>
          <w:sz w:val="24"/>
          <w:szCs w:val="24"/>
          <w:highlight w:val="none"/>
        </w:rPr>
        <w:t xml:space="preserve">                          </w:t>
      </w:r>
      <w:r>
        <w:rPr>
          <w:rFonts w:hint="eastAsia" w:ascii="宋体" w:hAnsi="宋体"/>
          <w:color w:val="auto"/>
          <w:sz w:val="24"/>
          <w:szCs w:val="24"/>
          <w:highlight w:val="none"/>
        </w:rPr>
        <w:t xml:space="preserve">   投标人（盖章）</w:t>
      </w:r>
    </w:p>
    <w:p>
      <w:pPr>
        <w:spacing w:line="360" w:lineRule="auto"/>
        <w:ind w:firstLine="1080" w:firstLineChars="450"/>
        <w:rPr>
          <w:rFonts w:hint="eastAsia" w:ascii="宋体" w:hAnsi="宋体"/>
          <w:color w:val="auto"/>
          <w:sz w:val="24"/>
          <w:szCs w:val="24"/>
          <w:highlight w:val="none"/>
        </w:rPr>
      </w:pPr>
      <w:r>
        <w:rPr>
          <w:rFonts w:hint="eastAsia" w:ascii="宋体" w:hAnsi="宋体"/>
          <w:color w:val="auto"/>
          <w:sz w:val="24"/>
          <w:szCs w:val="24"/>
          <w:highlight w:val="none"/>
        </w:rPr>
        <w:t>法定代表人（负责人）或被授权代表（签字或盖章）：</w:t>
      </w:r>
    </w:p>
    <w:p>
      <w:pPr>
        <w:spacing w:line="360" w:lineRule="auto"/>
        <w:ind w:firstLine="4612" w:firstLineChars="1922"/>
        <w:rPr>
          <w:rFonts w:hint="eastAsia" w:ascii="宋体" w:hAnsi="宋体"/>
          <w:color w:val="auto"/>
          <w:sz w:val="24"/>
          <w:szCs w:val="24"/>
          <w:highlight w:val="none"/>
        </w:rPr>
      </w:pPr>
      <w:r>
        <w:rPr>
          <w:rFonts w:hint="eastAsia" w:ascii="宋体" w:hAnsi="宋体"/>
          <w:color w:val="auto"/>
          <w:sz w:val="24"/>
          <w:szCs w:val="24"/>
          <w:highlight w:val="none"/>
        </w:rPr>
        <w:t xml:space="preserve">年   月   日  </w:t>
      </w:r>
    </w:p>
    <w:p>
      <w:pPr>
        <w:spacing w:line="360" w:lineRule="auto"/>
        <w:ind w:left="-302" w:leftChars="-144" w:firstLine="6784" w:firstLineChars="2827"/>
        <w:rPr>
          <w:rFonts w:hint="eastAsia" w:ascii="宋体" w:hAnsi="宋体"/>
          <w:color w:val="auto"/>
          <w:sz w:val="24"/>
          <w:szCs w:val="24"/>
          <w:highlight w:val="none"/>
        </w:rPr>
      </w:pPr>
    </w:p>
    <w:p>
      <w:pPr>
        <w:tabs>
          <w:tab w:val="left" w:pos="630"/>
        </w:tabs>
        <w:spacing w:line="360" w:lineRule="auto"/>
        <w:rPr>
          <w:rFonts w:hint="eastAsia" w:ascii="黑体" w:hAnsi="宋体" w:eastAsia="黑体"/>
          <w:bCs/>
          <w:color w:val="auto"/>
          <w:sz w:val="24"/>
          <w:szCs w:val="24"/>
          <w:highlight w:val="none"/>
        </w:rPr>
      </w:pPr>
    </w:p>
    <w:p>
      <w:pPr>
        <w:tabs>
          <w:tab w:val="left" w:pos="630"/>
        </w:tabs>
        <w:spacing w:line="360" w:lineRule="auto"/>
        <w:rPr>
          <w:rFonts w:hint="eastAsia" w:ascii="黑体" w:hAnsi="宋体" w:eastAsia="黑体"/>
          <w:bCs/>
          <w:color w:val="auto"/>
          <w:sz w:val="24"/>
          <w:szCs w:val="24"/>
          <w:highlight w:val="none"/>
        </w:rPr>
      </w:pPr>
    </w:p>
    <w:p>
      <w:pPr>
        <w:tabs>
          <w:tab w:val="left" w:pos="630"/>
        </w:tabs>
        <w:spacing w:line="360" w:lineRule="auto"/>
        <w:rPr>
          <w:rFonts w:hint="eastAsia" w:ascii="黑体" w:hAnsi="宋体" w:eastAsia="黑体"/>
          <w:bCs/>
          <w:color w:val="auto"/>
          <w:sz w:val="24"/>
          <w:szCs w:val="24"/>
          <w:highlight w:val="none"/>
        </w:rPr>
      </w:pPr>
    </w:p>
    <w:p>
      <w:pPr>
        <w:tabs>
          <w:tab w:val="left" w:pos="630"/>
        </w:tabs>
        <w:spacing w:line="360" w:lineRule="auto"/>
        <w:rPr>
          <w:rFonts w:hint="eastAsia" w:ascii="黑体" w:hAnsi="宋体" w:eastAsia="黑体"/>
          <w:bCs/>
          <w:color w:val="auto"/>
          <w:sz w:val="24"/>
          <w:szCs w:val="24"/>
          <w:highlight w:val="none"/>
        </w:rPr>
      </w:pPr>
    </w:p>
    <w:p>
      <w:pPr>
        <w:tabs>
          <w:tab w:val="left" w:pos="630"/>
        </w:tabs>
        <w:spacing w:line="360" w:lineRule="auto"/>
        <w:rPr>
          <w:rFonts w:hint="eastAsia" w:ascii="黑体" w:hAnsi="宋体" w:eastAsia="黑体"/>
          <w:bCs/>
          <w:color w:val="auto"/>
          <w:sz w:val="24"/>
          <w:szCs w:val="24"/>
          <w:highlight w:val="none"/>
        </w:rPr>
      </w:pPr>
    </w:p>
    <w:p>
      <w:pPr>
        <w:tabs>
          <w:tab w:val="left" w:pos="630"/>
        </w:tabs>
        <w:spacing w:line="360" w:lineRule="auto"/>
        <w:rPr>
          <w:rFonts w:hint="eastAsia" w:ascii="黑体" w:hAnsi="宋体" w:eastAsia="黑体"/>
          <w:bCs/>
          <w:color w:val="auto"/>
          <w:sz w:val="24"/>
          <w:szCs w:val="24"/>
          <w:highlight w:val="none"/>
        </w:rPr>
      </w:pPr>
    </w:p>
    <w:p>
      <w:pPr>
        <w:tabs>
          <w:tab w:val="left" w:pos="630"/>
        </w:tabs>
        <w:spacing w:line="360" w:lineRule="auto"/>
        <w:rPr>
          <w:rFonts w:hint="eastAsia" w:ascii="黑体" w:hAnsi="宋体" w:eastAsia="黑体"/>
          <w:bCs/>
          <w:color w:val="auto"/>
          <w:sz w:val="24"/>
          <w:szCs w:val="24"/>
          <w:highlight w:val="none"/>
        </w:rPr>
      </w:pPr>
    </w:p>
    <w:p>
      <w:pPr>
        <w:tabs>
          <w:tab w:val="left" w:pos="630"/>
        </w:tabs>
        <w:spacing w:line="360" w:lineRule="auto"/>
        <w:rPr>
          <w:rFonts w:hint="eastAsia" w:ascii="黑体" w:hAnsi="宋体" w:eastAsia="黑体"/>
          <w:bCs/>
          <w:color w:val="auto"/>
          <w:sz w:val="24"/>
          <w:szCs w:val="24"/>
          <w:highlight w:val="none"/>
        </w:rPr>
      </w:pPr>
    </w:p>
    <w:p>
      <w:pPr>
        <w:spacing w:line="360" w:lineRule="auto"/>
        <w:outlineLvl w:val="0"/>
        <w:rPr>
          <w:rFonts w:hint="eastAsia" w:ascii="黑体" w:hAnsi="黑体" w:eastAsia="黑体"/>
          <w:bCs/>
          <w:color w:val="auto"/>
          <w:sz w:val="24"/>
          <w:szCs w:val="24"/>
          <w:highlight w:val="none"/>
        </w:rPr>
      </w:pPr>
      <w:r>
        <w:rPr>
          <w:rFonts w:ascii="黑体" w:hAnsi="黑体" w:eastAsia="黑体"/>
          <w:bCs/>
          <w:color w:val="auto"/>
          <w:sz w:val="24"/>
          <w:szCs w:val="24"/>
          <w:highlight w:val="none"/>
        </w:rPr>
        <w:br w:type="page"/>
      </w:r>
      <w:r>
        <w:rPr>
          <w:rFonts w:hint="eastAsia" w:ascii="黑体" w:hAnsi="黑体" w:eastAsia="黑体"/>
          <w:bCs/>
          <w:color w:val="auto"/>
          <w:sz w:val="24"/>
          <w:szCs w:val="24"/>
          <w:highlight w:val="none"/>
        </w:rPr>
        <w:t>（八）亏损比例承诺（格式）</w:t>
      </w:r>
    </w:p>
    <w:p>
      <w:pPr>
        <w:spacing w:line="360" w:lineRule="auto"/>
        <w:jc w:val="left"/>
        <w:rPr>
          <w:rFonts w:hint="eastAsia" w:ascii="宋体" w:hAnsi="宋体"/>
          <w:bCs/>
          <w:color w:val="auto"/>
          <w:sz w:val="24"/>
          <w:szCs w:val="24"/>
          <w:highlight w:val="none"/>
        </w:rPr>
      </w:pPr>
    </w:p>
    <w:p>
      <w:pPr>
        <w:spacing w:line="360" w:lineRule="auto"/>
        <w:jc w:val="center"/>
        <w:rPr>
          <w:rFonts w:hint="eastAsia" w:ascii="黑体" w:hAnsi="黑体" w:eastAsia="黑体"/>
          <w:bCs/>
          <w:color w:val="auto"/>
          <w:sz w:val="24"/>
          <w:szCs w:val="24"/>
          <w:highlight w:val="none"/>
        </w:rPr>
      </w:pPr>
      <w:r>
        <w:rPr>
          <w:rFonts w:hint="eastAsia" w:ascii="黑体" w:hAnsi="黑体" w:eastAsia="黑体"/>
          <w:bCs/>
          <w:color w:val="auto"/>
          <w:sz w:val="24"/>
          <w:szCs w:val="24"/>
          <w:highlight w:val="none"/>
        </w:rPr>
        <w:t>亏损比例承诺</w:t>
      </w:r>
    </w:p>
    <w:p>
      <w:pPr>
        <w:spacing w:line="360" w:lineRule="auto"/>
        <w:jc w:val="left"/>
        <w:rPr>
          <w:rFonts w:hint="eastAsia" w:ascii="宋体" w:hAnsi="宋体"/>
          <w:bCs/>
          <w:color w:val="auto"/>
          <w:sz w:val="24"/>
          <w:szCs w:val="24"/>
          <w:highlight w:val="none"/>
        </w:rPr>
      </w:pPr>
      <w:r>
        <w:rPr>
          <w:rFonts w:hint="eastAsia" w:ascii="宋体" w:hAnsi="宋体"/>
          <w:bCs/>
          <w:color w:val="auto"/>
          <w:sz w:val="24"/>
          <w:szCs w:val="24"/>
          <w:highlight w:val="none"/>
        </w:rPr>
        <w:t xml:space="preserve">                        </w:t>
      </w:r>
    </w:p>
    <w:p>
      <w:pPr>
        <w:spacing w:line="360" w:lineRule="auto"/>
        <w:rPr>
          <w:rFonts w:hint="eastAsia" w:ascii="宋体" w:hAnsi="宋体"/>
          <w:color w:val="auto"/>
          <w:sz w:val="24"/>
          <w:szCs w:val="24"/>
          <w:highlight w:val="none"/>
        </w:rPr>
      </w:pPr>
      <w:r>
        <w:rPr>
          <w:rFonts w:hint="eastAsia" w:ascii="宋体" w:hAnsi="宋体"/>
          <w:color w:val="auto"/>
          <w:sz w:val="24"/>
          <w:szCs w:val="24"/>
          <w:highlight w:val="none"/>
        </w:rPr>
        <w:t>恒泰保险经纪有限公司:</w:t>
      </w:r>
    </w:p>
    <w:p>
      <w:pPr>
        <w:spacing w:line="360" w:lineRule="auto"/>
        <w:ind w:firstLine="600"/>
        <w:rPr>
          <w:rFonts w:hint="eastAsia" w:ascii="宋体" w:hAnsi="宋体"/>
          <w:color w:val="auto"/>
          <w:sz w:val="24"/>
          <w:szCs w:val="24"/>
          <w:highlight w:val="none"/>
        </w:rPr>
      </w:pPr>
      <w:r>
        <w:rPr>
          <w:rFonts w:ascii="宋体" w:hAnsi="宋体"/>
          <w:color w:val="auto"/>
          <w:sz w:val="24"/>
          <w:szCs w:val="24"/>
          <w:highlight w:val="none"/>
        </w:rPr>
        <w:t>我单位承诺</w:t>
      </w:r>
      <w:r>
        <w:rPr>
          <w:rFonts w:hint="eastAsia" w:ascii="宋体" w:hAnsi="宋体"/>
          <w:color w:val="auto"/>
          <w:sz w:val="24"/>
          <w:szCs w:val="24"/>
          <w:highlight w:val="none"/>
        </w:rPr>
        <w:t>每个保险年度内，若因非政策性因素发生亏损的，运营成本由我单位自行承担，由采购人核算亏损金额（年度亏损金额=年度总赔款－年度总保费），我单位对亏损部分作如下承诺：</w:t>
      </w:r>
    </w:p>
    <w:p>
      <w:pPr>
        <w:spacing w:line="360" w:lineRule="auto"/>
        <w:ind w:firstLine="600"/>
        <w:rPr>
          <w:rFonts w:hint="eastAsia" w:ascii="宋体" w:hAnsi="宋体"/>
          <w:color w:val="auto"/>
          <w:sz w:val="24"/>
          <w:szCs w:val="24"/>
          <w:highlight w:val="none"/>
        </w:rPr>
      </w:pPr>
      <w:r>
        <w:rPr>
          <w:rFonts w:hint="eastAsia" w:ascii="宋体" w:hAnsi="宋体"/>
          <w:color w:val="auto"/>
          <w:sz w:val="24"/>
          <w:szCs w:val="24"/>
          <w:highlight w:val="none"/>
        </w:rPr>
        <w:t>1.若（年度亏损金额÷年度总保费）</w:t>
      </w:r>
      <w:r>
        <w:rPr>
          <w:rFonts w:hint="eastAsia" w:ascii="宋体" w:hAnsi="宋体"/>
          <w:bCs/>
          <w:color w:val="auto"/>
          <w:sz w:val="24"/>
          <w:szCs w:val="24"/>
          <w:highlight w:val="none"/>
        </w:rPr>
        <w:t>×100%</w:t>
      </w:r>
      <w:r>
        <w:rPr>
          <w:rFonts w:hint="eastAsia" w:ascii="宋体" w:hAnsi="宋体"/>
          <w:color w:val="auto"/>
          <w:sz w:val="24"/>
          <w:szCs w:val="24"/>
          <w:highlight w:val="none"/>
        </w:rPr>
        <w:t xml:space="preserve">≤5%，我单位承诺全部承担； </w:t>
      </w:r>
    </w:p>
    <w:p>
      <w:pPr>
        <w:spacing w:line="360" w:lineRule="auto"/>
        <w:ind w:firstLine="600"/>
        <w:rPr>
          <w:rFonts w:hint="eastAsia" w:ascii="宋体" w:hAnsi="宋体"/>
          <w:color w:val="auto"/>
          <w:sz w:val="24"/>
          <w:szCs w:val="24"/>
          <w:highlight w:val="none"/>
        </w:rPr>
      </w:pPr>
      <w:r>
        <w:rPr>
          <w:rFonts w:hint="eastAsia" w:ascii="宋体" w:hAnsi="宋体"/>
          <w:color w:val="auto"/>
          <w:sz w:val="24"/>
          <w:szCs w:val="24"/>
          <w:highlight w:val="none"/>
        </w:rPr>
        <w:t>2.若5%＜（年度亏损金额÷年度总保费）</w:t>
      </w:r>
      <w:r>
        <w:rPr>
          <w:rFonts w:hint="eastAsia" w:ascii="宋体" w:hAnsi="宋体"/>
          <w:bCs/>
          <w:color w:val="auto"/>
          <w:sz w:val="24"/>
          <w:szCs w:val="24"/>
          <w:highlight w:val="none"/>
        </w:rPr>
        <w:t>×100%</w:t>
      </w:r>
      <w:r>
        <w:rPr>
          <w:rFonts w:hint="eastAsia" w:ascii="宋体" w:hAnsi="宋体"/>
          <w:color w:val="auto"/>
          <w:sz w:val="24"/>
          <w:szCs w:val="24"/>
          <w:highlight w:val="none"/>
        </w:rPr>
        <w:t xml:space="preserve">≤10%，我单位承诺承担50%的亏损； </w:t>
      </w:r>
    </w:p>
    <w:p>
      <w:pPr>
        <w:spacing w:line="360" w:lineRule="auto"/>
        <w:ind w:firstLine="600"/>
        <w:rPr>
          <w:rFonts w:hint="eastAsia" w:ascii="宋体" w:hAnsi="宋体"/>
          <w:color w:val="auto"/>
          <w:sz w:val="24"/>
          <w:szCs w:val="24"/>
          <w:highlight w:val="none"/>
        </w:rPr>
      </w:pPr>
      <w:r>
        <w:rPr>
          <w:rFonts w:hint="eastAsia" w:ascii="宋体" w:hAnsi="宋体"/>
          <w:color w:val="auto"/>
          <w:sz w:val="24"/>
          <w:szCs w:val="24"/>
          <w:highlight w:val="none"/>
        </w:rPr>
        <w:t>3.若10%＜（年度亏损金额÷年度总保费）</w:t>
      </w:r>
      <w:r>
        <w:rPr>
          <w:rFonts w:hint="eastAsia" w:ascii="宋体" w:hAnsi="宋体"/>
          <w:bCs/>
          <w:color w:val="auto"/>
          <w:sz w:val="24"/>
          <w:szCs w:val="24"/>
          <w:highlight w:val="none"/>
        </w:rPr>
        <w:t>×100%</w:t>
      </w:r>
      <w:r>
        <w:rPr>
          <w:rFonts w:hint="eastAsia" w:ascii="宋体" w:hAnsi="宋体"/>
          <w:color w:val="auto"/>
          <w:sz w:val="24"/>
          <w:szCs w:val="24"/>
          <w:highlight w:val="none"/>
        </w:rPr>
        <w:t xml:space="preserve">≤20%，我单位承诺承担30%的亏损； </w:t>
      </w:r>
    </w:p>
    <w:p>
      <w:pPr>
        <w:spacing w:line="360" w:lineRule="auto"/>
        <w:ind w:firstLine="600"/>
        <w:rPr>
          <w:rFonts w:ascii="宋体" w:hAnsi="宋体"/>
          <w:color w:val="auto"/>
          <w:sz w:val="24"/>
          <w:szCs w:val="24"/>
          <w:highlight w:val="none"/>
        </w:rPr>
      </w:pPr>
      <w:r>
        <w:rPr>
          <w:rFonts w:hint="eastAsia" w:ascii="宋体" w:hAnsi="宋体"/>
          <w:color w:val="auto"/>
          <w:sz w:val="24"/>
          <w:szCs w:val="24"/>
          <w:highlight w:val="none"/>
        </w:rPr>
        <w:t>4.若（年度亏损金额÷年度总保费）</w:t>
      </w:r>
      <w:r>
        <w:rPr>
          <w:rFonts w:hint="eastAsia" w:ascii="宋体" w:hAnsi="宋体"/>
          <w:bCs/>
          <w:color w:val="auto"/>
          <w:sz w:val="24"/>
          <w:szCs w:val="24"/>
          <w:highlight w:val="none"/>
        </w:rPr>
        <w:t>×100%</w:t>
      </w:r>
      <w:r>
        <w:rPr>
          <w:rFonts w:hint="eastAsia" w:ascii="宋体" w:hAnsi="宋体"/>
          <w:color w:val="auto"/>
          <w:sz w:val="24"/>
          <w:szCs w:val="24"/>
          <w:highlight w:val="none"/>
        </w:rPr>
        <w:t>＞20%，我单位承诺承担</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的亏损。</w:t>
      </w:r>
    </w:p>
    <w:p>
      <w:pPr>
        <w:pStyle w:val="69"/>
        <w:spacing w:line="360" w:lineRule="auto"/>
        <w:ind w:firstLineChars="0"/>
        <w:rPr>
          <w:rFonts w:hint="eastAsia" w:ascii="宋体" w:hAnsi="宋体" w:cs="宋体"/>
          <w:color w:val="auto"/>
          <w:sz w:val="24"/>
          <w:szCs w:val="24"/>
          <w:highlight w:val="none"/>
        </w:rPr>
      </w:pPr>
    </w:p>
    <w:p>
      <w:pPr>
        <w:spacing w:line="360" w:lineRule="auto"/>
        <w:jc w:val="left"/>
        <w:rPr>
          <w:rFonts w:hint="eastAsia" w:ascii="宋体" w:hAnsi="宋体"/>
          <w:bCs/>
          <w:color w:val="auto"/>
          <w:sz w:val="24"/>
          <w:szCs w:val="24"/>
          <w:highlight w:val="none"/>
        </w:rPr>
      </w:pPr>
    </w:p>
    <w:p>
      <w:pPr>
        <w:spacing w:line="360" w:lineRule="auto"/>
        <w:jc w:val="left"/>
        <w:rPr>
          <w:rFonts w:hint="eastAsia" w:ascii="宋体" w:hAnsi="宋体"/>
          <w:bCs/>
          <w:color w:val="auto"/>
          <w:sz w:val="24"/>
          <w:szCs w:val="24"/>
          <w:highlight w:val="none"/>
        </w:rPr>
      </w:pPr>
    </w:p>
    <w:p>
      <w:pPr>
        <w:spacing w:line="360" w:lineRule="auto"/>
        <w:jc w:val="left"/>
        <w:rPr>
          <w:rFonts w:hint="eastAsia" w:ascii="宋体" w:hAnsi="宋体"/>
          <w:bCs/>
          <w:color w:val="auto"/>
          <w:sz w:val="24"/>
          <w:szCs w:val="24"/>
          <w:highlight w:val="none"/>
        </w:rPr>
      </w:pPr>
    </w:p>
    <w:p>
      <w:pPr>
        <w:spacing w:line="360" w:lineRule="auto"/>
        <w:jc w:val="left"/>
        <w:rPr>
          <w:rFonts w:hint="eastAsia" w:ascii="宋体" w:hAnsi="宋体"/>
          <w:bCs/>
          <w:color w:val="auto"/>
          <w:sz w:val="24"/>
          <w:szCs w:val="24"/>
          <w:highlight w:val="none"/>
        </w:rPr>
      </w:pPr>
    </w:p>
    <w:p>
      <w:pPr>
        <w:spacing w:line="360" w:lineRule="auto"/>
        <w:jc w:val="left"/>
        <w:rPr>
          <w:rFonts w:hint="eastAsia" w:ascii="宋体" w:hAnsi="宋体"/>
          <w:bCs/>
          <w:color w:val="auto"/>
          <w:sz w:val="24"/>
          <w:szCs w:val="24"/>
          <w:highlight w:val="none"/>
        </w:rPr>
      </w:pPr>
    </w:p>
    <w:p>
      <w:pPr>
        <w:spacing w:line="360" w:lineRule="auto"/>
        <w:jc w:val="left"/>
        <w:rPr>
          <w:rFonts w:hint="eastAsia" w:ascii="宋体" w:hAnsi="宋体"/>
          <w:bCs/>
          <w:color w:val="auto"/>
          <w:sz w:val="24"/>
          <w:szCs w:val="24"/>
          <w:highlight w:val="none"/>
        </w:rPr>
      </w:pPr>
    </w:p>
    <w:p>
      <w:pPr>
        <w:spacing w:line="360" w:lineRule="auto"/>
        <w:jc w:val="left"/>
        <w:rPr>
          <w:rFonts w:hint="eastAsia" w:ascii="宋体" w:hAnsi="宋体"/>
          <w:bCs/>
          <w:color w:val="auto"/>
          <w:sz w:val="24"/>
          <w:szCs w:val="24"/>
          <w:highlight w:val="none"/>
        </w:rPr>
      </w:pPr>
    </w:p>
    <w:p>
      <w:pPr>
        <w:spacing w:line="360" w:lineRule="auto"/>
        <w:jc w:val="left"/>
        <w:rPr>
          <w:rFonts w:hint="eastAsia" w:ascii="宋体" w:hAnsi="宋体"/>
          <w:bCs/>
          <w:color w:val="auto"/>
          <w:sz w:val="24"/>
          <w:szCs w:val="24"/>
          <w:highlight w:val="none"/>
        </w:rPr>
      </w:pPr>
    </w:p>
    <w:p>
      <w:pPr>
        <w:spacing w:line="360" w:lineRule="auto"/>
        <w:jc w:val="left"/>
        <w:rPr>
          <w:rFonts w:hint="eastAsia" w:ascii="宋体" w:hAnsi="宋体"/>
          <w:bCs/>
          <w:color w:val="auto"/>
          <w:sz w:val="24"/>
          <w:szCs w:val="24"/>
          <w:highlight w:val="none"/>
        </w:rPr>
      </w:pPr>
    </w:p>
    <w:p>
      <w:pPr>
        <w:spacing w:line="360" w:lineRule="auto"/>
        <w:ind w:firstLine="5400" w:firstLineChars="2250"/>
        <w:rPr>
          <w:rFonts w:hint="eastAsia" w:ascii="宋体" w:hAnsi="宋体"/>
          <w:color w:val="auto"/>
          <w:sz w:val="24"/>
          <w:szCs w:val="24"/>
          <w:highlight w:val="none"/>
        </w:rPr>
      </w:pPr>
      <w:r>
        <w:rPr>
          <w:rFonts w:hint="eastAsia" w:ascii="宋体" w:hAnsi="宋体"/>
          <w:color w:val="auto"/>
          <w:sz w:val="24"/>
          <w:szCs w:val="24"/>
          <w:highlight w:val="none"/>
        </w:rPr>
        <w:t>投标人（盖章）：</w:t>
      </w:r>
    </w:p>
    <w:p>
      <w:pPr>
        <w:spacing w:line="360" w:lineRule="auto"/>
        <w:ind w:firstLine="1680" w:firstLineChars="700"/>
        <w:rPr>
          <w:rFonts w:hint="eastAsia" w:ascii="宋体" w:hAnsi="宋体"/>
          <w:color w:val="auto"/>
          <w:sz w:val="24"/>
          <w:szCs w:val="24"/>
          <w:highlight w:val="none"/>
        </w:rPr>
      </w:pPr>
      <w:r>
        <w:rPr>
          <w:rFonts w:hint="eastAsia" w:ascii="宋体" w:hAnsi="宋体"/>
          <w:color w:val="auto"/>
          <w:sz w:val="24"/>
          <w:szCs w:val="24"/>
          <w:highlight w:val="none"/>
        </w:rPr>
        <w:t>法定代表人（负责人）或被授权代表（签字或盖章）：</w:t>
      </w:r>
    </w:p>
    <w:p>
      <w:pPr>
        <w:spacing w:line="360" w:lineRule="auto"/>
        <w:ind w:firstLine="5760" w:firstLineChars="2400"/>
        <w:rPr>
          <w:rFonts w:hint="eastAsia" w:ascii="宋体" w:hAnsi="宋体"/>
          <w:color w:val="auto"/>
          <w:sz w:val="24"/>
          <w:szCs w:val="24"/>
          <w:highlight w:val="none"/>
        </w:rPr>
      </w:pPr>
      <w:r>
        <w:rPr>
          <w:rFonts w:hint="eastAsia" w:ascii="宋体" w:hAnsi="宋体"/>
          <w:color w:val="auto"/>
          <w:sz w:val="24"/>
          <w:szCs w:val="24"/>
          <w:highlight w:val="none"/>
        </w:rPr>
        <w:t xml:space="preserve">年   月   日  </w:t>
      </w:r>
    </w:p>
    <w:p>
      <w:pPr>
        <w:tabs>
          <w:tab w:val="left" w:pos="630"/>
        </w:tabs>
        <w:spacing w:line="360" w:lineRule="auto"/>
        <w:rPr>
          <w:rFonts w:hint="eastAsia" w:ascii="黑体" w:hAnsi="宋体" w:eastAsia="黑体"/>
          <w:bCs/>
          <w:color w:val="auto"/>
          <w:sz w:val="24"/>
          <w:szCs w:val="24"/>
          <w:highlight w:val="none"/>
        </w:rPr>
      </w:pPr>
    </w:p>
    <w:p>
      <w:pPr>
        <w:tabs>
          <w:tab w:val="left" w:pos="630"/>
        </w:tabs>
        <w:spacing w:line="360" w:lineRule="auto"/>
        <w:rPr>
          <w:rFonts w:hint="eastAsia" w:ascii="黑体" w:hAnsi="宋体" w:eastAsia="黑体"/>
          <w:bCs/>
          <w:color w:val="auto"/>
          <w:sz w:val="24"/>
          <w:szCs w:val="24"/>
          <w:highlight w:val="none"/>
        </w:rPr>
      </w:pPr>
    </w:p>
    <w:p>
      <w:pPr>
        <w:tabs>
          <w:tab w:val="left" w:pos="630"/>
        </w:tabs>
        <w:spacing w:line="360" w:lineRule="auto"/>
        <w:rPr>
          <w:rFonts w:hint="eastAsia" w:ascii="黑体" w:hAnsi="宋体" w:eastAsia="黑体"/>
          <w:bCs/>
          <w:color w:val="auto"/>
          <w:sz w:val="24"/>
          <w:szCs w:val="24"/>
          <w:highlight w:val="none"/>
        </w:rPr>
      </w:pPr>
    </w:p>
    <w:p>
      <w:pPr>
        <w:tabs>
          <w:tab w:val="left" w:pos="630"/>
        </w:tabs>
        <w:spacing w:line="360" w:lineRule="auto"/>
        <w:rPr>
          <w:rFonts w:hint="eastAsia" w:ascii="黑体" w:hAnsi="宋体" w:eastAsia="黑体"/>
          <w:bCs/>
          <w:color w:val="auto"/>
          <w:sz w:val="24"/>
          <w:szCs w:val="24"/>
          <w:highlight w:val="none"/>
        </w:rPr>
      </w:pPr>
    </w:p>
    <w:p>
      <w:pPr>
        <w:tabs>
          <w:tab w:val="left" w:pos="630"/>
        </w:tabs>
        <w:spacing w:line="360" w:lineRule="auto"/>
        <w:rPr>
          <w:rFonts w:hint="eastAsia" w:ascii="黑体" w:hAnsi="宋体" w:eastAsia="黑体"/>
          <w:bCs/>
          <w:color w:val="auto"/>
          <w:sz w:val="24"/>
          <w:szCs w:val="24"/>
          <w:highlight w:val="none"/>
        </w:rPr>
      </w:pPr>
    </w:p>
    <w:p>
      <w:pPr>
        <w:tabs>
          <w:tab w:val="left" w:pos="630"/>
        </w:tabs>
        <w:spacing w:line="360" w:lineRule="auto"/>
        <w:rPr>
          <w:rFonts w:hint="eastAsia" w:ascii="黑体" w:hAnsi="宋体" w:eastAsia="黑体"/>
          <w:bCs/>
          <w:color w:val="auto"/>
          <w:sz w:val="24"/>
          <w:szCs w:val="24"/>
          <w:highlight w:val="none"/>
        </w:rPr>
      </w:pPr>
    </w:p>
    <w:p>
      <w:pPr>
        <w:spacing w:line="360" w:lineRule="auto"/>
        <w:jc w:val="left"/>
        <w:rPr>
          <w:rFonts w:hint="eastAsia" w:ascii="黑体" w:hAnsi="宋体" w:eastAsia="黑体"/>
          <w:bCs/>
          <w:color w:val="auto"/>
          <w:sz w:val="24"/>
          <w:szCs w:val="24"/>
          <w:highlight w:val="none"/>
        </w:rPr>
      </w:pPr>
      <w:r>
        <w:rPr>
          <w:rFonts w:hint="eastAsia" w:ascii="黑体" w:hAnsi="宋体" w:eastAsia="黑体"/>
          <w:bCs/>
          <w:color w:val="auto"/>
          <w:sz w:val="24"/>
          <w:szCs w:val="24"/>
          <w:highlight w:val="none"/>
        </w:rPr>
        <w:t>（九）人员配置承诺书</w:t>
      </w:r>
    </w:p>
    <w:p>
      <w:pPr>
        <w:spacing w:line="360" w:lineRule="auto"/>
        <w:jc w:val="left"/>
        <w:rPr>
          <w:rFonts w:hint="eastAsia" w:ascii="黑体" w:hAnsi="黑体" w:eastAsia="黑体"/>
          <w:bCs/>
          <w:color w:val="auto"/>
          <w:sz w:val="24"/>
          <w:szCs w:val="24"/>
          <w:highlight w:val="none"/>
        </w:rPr>
      </w:pPr>
    </w:p>
    <w:p>
      <w:pPr>
        <w:jc w:val="center"/>
        <w:rPr>
          <w:rFonts w:hint="eastAsia" w:ascii="黑体" w:hAnsi="黑体" w:eastAsia="黑体"/>
          <w:bCs/>
          <w:color w:val="auto"/>
          <w:sz w:val="28"/>
          <w:szCs w:val="28"/>
          <w:highlight w:val="none"/>
        </w:rPr>
      </w:pPr>
      <w:r>
        <w:rPr>
          <w:rFonts w:hint="eastAsia" w:ascii="黑体" w:hAnsi="黑体" w:eastAsia="黑体"/>
          <w:bCs/>
          <w:color w:val="auto"/>
          <w:sz w:val="28"/>
          <w:szCs w:val="28"/>
          <w:highlight w:val="none"/>
        </w:rPr>
        <w:t>人员配置承诺书</w:t>
      </w:r>
    </w:p>
    <w:p>
      <w:pPr>
        <w:spacing w:line="360" w:lineRule="auto"/>
        <w:ind w:firstLine="480" w:firstLineChars="200"/>
        <w:contextualSpacing/>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投标人作如下承诺：</w:t>
      </w:r>
    </w:p>
    <w:p>
      <w:pPr>
        <w:spacing w:line="360" w:lineRule="auto"/>
        <w:ind w:firstLine="480" w:firstLineChars="200"/>
        <w:contextualSpacing/>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我单位</w:t>
      </w:r>
      <w:r>
        <w:rPr>
          <w:rFonts w:hint="eastAsia" w:ascii="宋体" w:hAnsi="宋体"/>
          <w:color w:val="auto"/>
          <w:sz w:val="24"/>
          <w:szCs w:val="24"/>
          <w:highlight w:val="none"/>
        </w:rPr>
        <w:t>将对本项目标段（</w:t>
      </w:r>
      <w:r>
        <w:rPr>
          <w:rFonts w:hint="eastAsia" w:ascii="宋体" w:hAnsi="宋体"/>
          <w:color w:val="auto"/>
          <w:sz w:val="24"/>
          <w:szCs w:val="24"/>
          <w:highlight w:val="none"/>
          <w:u w:val="single"/>
        </w:rPr>
        <w:t>一</w:t>
      </w:r>
      <w:r>
        <w:rPr>
          <w:rFonts w:hint="eastAsia" w:ascii="宋体" w:hAnsi="宋体"/>
          <w:color w:val="auto"/>
          <w:sz w:val="24"/>
          <w:szCs w:val="24"/>
          <w:highlight w:val="none"/>
        </w:rPr>
        <w:t>）作出人员配置承诺，</w:t>
      </w:r>
      <w:r>
        <w:rPr>
          <w:rFonts w:hint="eastAsia" w:ascii="宋体" w:hAnsi="宋体" w:cs="宋体"/>
          <w:color w:val="auto"/>
          <w:kern w:val="0"/>
          <w:sz w:val="24"/>
          <w:szCs w:val="24"/>
          <w:highlight w:val="none"/>
        </w:rPr>
        <w:t>承诺以下人员在中标合同生效45日内全部配备到位。</w:t>
      </w:r>
    </w:p>
    <w:p>
      <w:pPr>
        <w:spacing w:line="360" w:lineRule="auto"/>
        <w:ind w:firstLine="480" w:firstLineChars="200"/>
        <w:contextualSpacing/>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1.第一个服务包人员配置承诺：</w:t>
      </w:r>
    </w:p>
    <w:tbl>
      <w:tblPr>
        <w:tblStyle w:val="24"/>
        <w:tblpPr w:leftFromText="180" w:rightFromText="180" w:vertAnchor="text" w:horzAnchor="margin" w:tblpX="466" w:tblpY="201"/>
        <w:tblW w:w="8472" w:type="dxa"/>
        <w:tblInd w:w="0" w:type="dxa"/>
        <w:tblLayout w:type="autofit"/>
        <w:tblCellMar>
          <w:top w:w="0" w:type="dxa"/>
          <w:left w:w="108" w:type="dxa"/>
          <w:bottom w:w="0" w:type="dxa"/>
          <w:right w:w="108" w:type="dxa"/>
        </w:tblCellMar>
      </w:tblPr>
      <w:tblGrid>
        <w:gridCol w:w="959"/>
        <w:gridCol w:w="1843"/>
        <w:gridCol w:w="2976"/>
        <w:gridCol w:w="2694"/>
      </w:tblGrid>
      <w:tr>
        <w:tblPrEx>
          <w:tblCellMar>
            <w:top w:w="0" w:type="dxa"/>
            <w:left w:w="108" w:type="dxa"/>
            <w:bottom w:w="0" w:type="dxa"/>
            <w:right w:w="108" w:type="dxa"/>
          </w:tblCellMar>
        </w:tblPrEx>
        <w:trPr>
          <w:trHeight w:val="844" w:hRule="atLeast"/>
        </w:trPr>
        <w:tc>
          <w:tcPr>
            <w:tcW w:w="280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mc:AlternateContent>
                <mc:Choice Requires="wps">
                  <w:drawing>
                    <wp:anchor distT="0" distB="0" distL="114300" distR="114300" simplePos="0" relativeHeight="251678720" behindDoc="0" locked="0" layoutInCell="1" allowOverlap="1">
                      <wp:simplePos x="0" y="0"/>
                      <wp:positionH relativeFrom="column">
                        <wp:posOffset>-36830</wp:posOffset>
                      </wp:positionH>
                      <wp:positionV relativeFrom="paragraph">
                        <wp:posOffset>19685</wp:posOffset>
                      </wp:positionV>
                      <wp:extent cx="1749425" cy="304800"/>
                      <wp:effectExtent l="10795" t="10160" r="11430" b="8890"/>
                      <wp:wrapNone/>
                      <wp:docPr id="24" name="自选图形 10"/>
                      <wp:cNvGraphicFramePr/>
                      <a:graphic xmlns:a="http://schemas.openxmlformats.org/drawingml/2006/main">
                        <a:graphicData uri="http://schemas.microsoft.com/office/word/2010/wordprocessingShape">
                          <wps:wsp>
                            <wps:cNvCnPr>
                              <a:cxnSpLocks noChangeShapeType="1"/>
                            </wps:cNvCnPr>
                            <wps:spPr bwMode="auto">
                              <a:xfrm>
                                <a:off x="0" y="0"/>
                                <a:ext cx="1749425" cy="304800"/>
                              </a:xfrm>
                              <a:prstGeom prst="straightConnector1">
                                <a:avLst/>
                              </a:prstGeom>
                              <a:noFill/>
                              <a:ln w="9525">
                                <a:solidFill>
                                  <a:srgbClr val="000000"/>
                                </a:solidFill>
                                <a:round/>
                              </a:ln>
                            </wps:spPr>
                            <wps:bodyPr/>
                          </wps:wsp>
                        </a:graphicData>
                      </a:graphic>
                    </wp:anchor>
                  </w:drawing>
                </mc:Choice>
                <mc:Fallback>
                  <w:pict>
                    <v:shape id="自选图形 10" o:spid="_x0000_s1026" o:spt="32" type="#_x0000_t32" style="position:absolute;left:0pt;margin-left:-2.9pt;margin-top:1.55pt;height:24pt;width:137.75pt;z-index:251678720;mso-width-relative:page;mso-height-relative:page;" filled="f" stroked="t" coordsize="21600,21600" o:gfxdata="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akMUN1gAAAAcBAAAPAAAAAAAAAAEAIAAAACIAAABkcnMvZG93bnJldi54bWxQSwECFAAU&#10;AAAACACHTuJAeJYH9/MBAAC8AwAADgAAAAAAAAABACAAAAAlAQAAZHJzL2Uyb0RvYy54bWxQSwUG&#10;AAAAAAYABgBZAQAAigUAAAAA&#10;">
                      <v:fill on="f" focussize="0,0"/>
                      <v:stroke color="#000000" joinstyle="round"/>
                      <v:imagedata o:title=""/>
                      <o:lock v:ext="edit" aspectratio="f"/>
                    </v:shape>
                  </w:pict>
                </mc:Fallback>
              </mc:AlternateContent>
            </w:r>
            <w:r>
              <w:rPr>
                <w:rFonts w:ascii="宋体" w:hAnsi="宋体" w:cs="宋体"/>
                <w:color w:val="auto"/>
                <w:kern w:val="0"/>
                <w:sz w:val="18"/>
                <w:szCs w:val="18"/>
                <w:highlight w:val="none"/>
              </w:rPr>
              <mc:AlternateContent>
                <mc:Choice Requires="wps">
                  <w:drawing>
                    <wp:anchor distT="0" distB="0" distL="114300" distR="114300" simplePos="0" relativeHeight="251677696" behindDoc="0" locked="0" layoutInCell="1" allowOverlap="1">
                      <wp:simplePos x="0" y="0"/>
                      <wp:positionH relativeFrom="column">
                        <wp:posOffset>-52705</wp:posOffset>
                      </wp:positionH>
                      <wp:positionV relativeFrom="paragraph">
                        <wp:posOffset>17780</wp:posOffset>
                      </wp:positionV>
                      <wp:extent cx="772160" cy="549910"/>
                      <wp:effectExtent l="13970" t="8255" r="13970" b="13335"/>
                      <wp:wrapNone/>
                      <wp:docPr id="23" name="自选图形 9"/>
                      <wp:cNvGraphicFramePr/>
                      <a:graphic xmlns:a="http://schemas.openxmlformats.org/drawingml/2006/main">
                        <a:graphicData uri="http://schemas.microsoft.com/office/word/2010/wordprocessingShape">
                          <wps:wsp>
                            <wps:cNvCnPr>
                              <a:cxnSpLocks noChangeShapeType="1"/>
                            </wps:cNvCnPr>
                            <wps:spPr bwMode="auto">
                              <a:xfrm>
                                <a:off x="0" y="0"/>
                                <a:ext cx="772160" cy="549910"/>
                              </a:xfrm>
                              <a:prstGeom prst="straightConnector1">
                                <a:avLst/>
                              </a:prstGeom>
                              <a:noFill/>
                              <a:ln w="9525">
                                <a:solidFill>
                                  <a:srgbClr val="000000"/>
                                </a:solidFill>
                                <a:round/>
                              </a:ln>
                            </wps:spPr>
                            <wps:bodyPr/>
                          </wps:wsp>
                        </a:graphicData>
                      </a:graphic>
                    </wp:anchor>
                  </w:drawing>
                </mc:Choice>
                <mc:Fallback>
                  <w:pict>
                    <v:shape id="自选图形 9" o:spid="_x0000_s1026" o:spt="32" type="#_x0000_t32" style="position:absolute;left:0pt;margin-left:-4.15pt;margin-top:1.4pt;height:43.3pt;width:60.8pt;z-index:251677696;mso-width-relative:page;mso-height-relative:page;" filled="f" stroked="t" coordsize="21600,21600" o:gfxdata="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62Kcu1QAAAAcBAAAPAAAAAAAAAAEAIAAAACIAAABkcnMvZG93bnJldi54bWxQSwECFAAU&#10;AAAACACHTuJApjLLbfQBAAC6AwAADgAAAAAAAAABACAAAAAkAQAAZHJzL2Uyb0RvYy54bWxQSwUG&#10;AAAAAAYABgBZAQAAigUAAAAA&#10;">
                      <v:fill on="f" focussize="0,0"/>
                      <v:stroke color="#000000" joinstyle="round"/>
                      <v:imagedata o:title=""/>
                      <o:lock v:ext="edit" aspectratio="f"/>
                    </v:shape>
                  </w:pict>
                </mc:Fallback>
              </mc:AlternateContent>
            </w:r>
            <w:r>
              <w:rPr>
                <w:rFonts w:hint="eastAsia" w:ascii="宋体" w:hAnsi="宋体" w:cs="宋体"/>
                <w:color w:val="auto"/>
                <w:kern w:val="0"/>
                <w:sz w:val="18"/>
                <w:szCs w:val="18"/>
                <w:highlight w:val="none"/>
              </w:rPr>
              <w:t xml:space="preserve">                 区域</w:t>
            </w:r>
          </w:p>
          <w:p>
            <w:pPr>
              <w:widowControl/>
              <w:rPr>
                <w:rFonts w:hint="eastAsia" w:ascii="宋体" w:hAnsi="宋体" w:cs="宋体"/>
                <w:color w:val="auto"/>
                <w:kern w:val="0"/>
                <w:sz w:val="18"/>
                <w:szCs w:val="18"/>
                <w:highlight w:val="none"/>
              </w:rPr>
            </w:pPr>
          </w:p>
          <w:p>
            <w:pPr>
              <w:widowControl/>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类别       人员数量</w:t>
            </w:r>
          </w:p>
          <w:p>
            <w:pPr>
              <w:widowControl/>
              <w:ind w:firstLine="810" w:firstLineChars="450"/>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 </w:t>
            </w:r>
          </w:p>
        </w:tc>
        <w:tc>
          <w:tcPr>
            <w:tcW w:w="297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承诺配置人员数量</w:t>
            </w:r>
          </w:p>
        </w:tc>
        <w:tc>
          <w:tcPr>
            <w:tcW w:w="2694"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承诺增加的人员数量</w:t>
            </w:r>
          </w:p>
        </w:tc>
      </w:tr>
      <w:tr>
        <w:tblPrEx>
          <w:tblCellMar>
            <w:top w:w="0" w:type="dxa"/>
            <w:left w:w="108" w:type="dxa"/>
            <w:bottom w:w="0" w:type="dxa"/>
            <w:right w:w="108" w:type="dxa"/>
          </w:tblCellMar>
        </w:tblPrEx>
        <w:trPr>
          <w:trHeight w:val="460" w:hRule="atLeast"/>
        </w:trPr>
        <w:tc>
          <w:tcPr>
            <w:tcW w:w="959" w:type="dxa"/>
            <w:vMerge w:val="restart"/>
            <w:tcBorders>
              <w:top w:val="nil"/>
              <w:left w:val="single" w:color="auto" w:sz="4" w:space="0"/>
              <w:right w:val="single" w:color="auto" w:sz="4" w:space="0"/>
            </w:tcBorders>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病案审核人员</w:t>
            </w:r>
          </w:p>
        </w:tc>
        <w:tc>
          <w:tcPr>
            <w:tcW w:w="184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专职人员</w:t>
            </w:r>
          </w:p>
        </w:tc>
        <w:tc>
          <w:tcPr>
            <w:tcW w:w="2976"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不少</w:t>
            </w:r>
          </w:p>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于10人</w:t>
            </w:r>
          </w:p>
        </w:tc>
        <w:tc>
          <w:tcPr>
            <w:tcW w:w="2694"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p>
        </w:tc>
      </w:tr>
      <w:tr>
        <w:tblPrEx>
          <w:tblCellMar>
            <w:top w:w="0" w:type="dxa"/>
            <w:left w:w="108" w:type="dxa"/>
            <w:bottom w:w="0" w:type="dxa"/>
            <w:right w:w="108" w:type="dxa"/>
          </w:tblCellMar>
        </w:tblPrEx>
        <w:trPr>
          <w:trHeight w:val="440" w:hRule="atLeast"/>
        </w:trPr>
        <w:tc>
          <w:tcPr>
            <w:tcW w:w="959"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18"/>
                <w:szCs w:val="18"/>
                <w:highlight w:val="none"/>
              </w:rPr>
            </w:pPr>
          </w:p>
        </w:tc>
        <w:tc>
          <w:tcPr>
            <w:tcW w:w="184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兼职人员</w:t>
            </w:r>
          </w:p>
        </w:tc>
        <w:tc>
          <w:tcPr>
            <w:tcW w:w="2976"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不少</w:t>
            </w:r>
          </w:p>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于10人</w:t>
            </w:r>
          </w:p>
        </w:tc>
        <w:tc>
          <w:tcPr>
            <w:tcW w:w="2694"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p>
        </w:tc>
      </w:tr>
      <w:tr>
        <w:tblPrEx>
          <w:tblCellMar>
            <w:top w:w="0" w:type="dxa"/>
            <w:left w:w="108" w:type="dxa"/>
            <w:bottom w:w="0" w:type="dxa"/>
            <w:right w:w="108" w:type="dxa"/>
          </w:tblCellMar>
        </w:tblPrEx>
        <w:trPr>
          <w:trHeight w:val="451" w:hRule="atLeast"/>
        </w:trPr>
        <w:tc>
          <w:tcPr>
            <w:tcW w:w="959"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监控审核人员       </w:t>
            </w:r>
          </w:p>
        </w:tc>
        <w:tc>
          <w:tcPr>
            <w:tcW w:w="1843" w:type="dxa"/>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总</w:t>
            </w:r>
            <w:r>
              <w:rPr>
                <w:rFonts w:ascii="宋体" w:hAnsi="宋体" w:cs="宋体"/>
                <w:color w:val="auto"/>
                <w:kern w:val="0"/>
                <w:sz w:val="18"/>
                <w:szCs w:val="18"/>
                <w:highlight w:val="none"/>
              </w:rPr>
              <w:t>人数</w:t>
            </w:r>
          </w:p>
        </w:tc>
        <w:tc>
          <w:tcPr>
            <w:tcW w:w="2976"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不少</w:t>
            </w:r>
          </w:p>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于12人</w:t>
            </w:r>
          </w:p>
        </w:tc>
        <w:tc>
          <w:tcPr>
            <w:tcW w:w="2694"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p>
        </w:tc>
      </w:tr>
      <w:tr>
        <w:tblPrEx>
          <w:tblCellMar>
            <w:top w:w="0" w:type="dxa"/>
            <w:left w:w="108" w:type="dxa"/>
            <w:bottom w:w="0" w:type="dxa"/>
            <w:right w:w="108" w:type="dxa"/>
          </w:tblCellMar>
        </w:tblPrEx>
        <w:trPr>
          <w:trHeight w:val="463" w:hRule="atLeast"/>
        </w:trPr>
        <w:tc>
          <w:tcPr>
            <w:tcW w:w="95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18"/>
                <w:szCs w:val="18"/>
                <w:highlight w:val="none"/>
              </w:rPr>
            </w:pPr>
          </w:p>
        </w:tc>
        <w:tc>
          <w:tcPr>
            <w:tcW w:w="1843" w:type="dxa"/>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其中医学类专业</w:t>
            </w:r>
          </w:p>
        </w:tc>
        <w:tc>
          <w:tcPr>
            <w:tcW w:w="2976"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不少</w:t>
            </w:r>
          </w:p>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于50%</w:t>
            </w:r>
          </w:p>
        </w:tc>
        <w:tc>
          <w:tcPr>
            <w:tcW w:w="2694"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p>
        </w:tc>
      </w:tr>
      <w:tr>
        <w:tblPrEx>
          <w:tblCellMar>
            <w:top w:w="0" w:type="dxa"/>
            <w:left w:w="108" w:type="dxa"/>
            <w:bottom w:w="0" w:type="dxa"/>
            <w:right w:w="108" w:type="dxa"/>
          </w:tblCellMar>
        </w:tblPrEx>
        <w:trPr>
          <w:trHeight w:val="469" w:hRule="atLeast"/>
        </w:trPr>
        <w:tc>
          <w:tcPr>
            <w:tcW w:w="2802"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驻院服务人员</w:t>
            </w:r>
          </w:p>
        </w:tc>
        <w:tc>
          <w:tcPr>
            <w:tcW w:w="2976"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不少</w:t>
            </w:r>
          </w:p>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于32人</w:t>
            </w:r>
          </w:p>
        </w:tc>
        <w:tc>
          <w:tcPr>
            <w:tcW w:w="2694"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p>
        </w:tc>
      </w:tr>
      <w:tr>
        <w:tblPrEx>
          <w:tblCellMar>
            <w:top w:w="0" w:type="dxa"/>
            <w:left w:w="108" w:type="dxa"/>
            <w:bottom w:w="0" w:type="dxa"/>
            <w:right w:w="108" w:type="dxa"/>
          </w:tblCellMar>
        </w:tblPrEx>
        <w:trPr>
          <w:trHeight w:val="515" w:hRule="atLeast"/>
        </w:trPr>
        <w:tc>
          <w:tcPr>
            <w:tcW w:w="2802"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巡查人员</w:t>
            </w:r>
          </w:p>
        </w:tc>
        <w:tc>
          <w:tcPr>
            <w:tcW w:w="2976"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不少</w:t>
            </w:r>
          </w:p>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于8人</w:t>
            </w:r>
          </w:p>
        </w:tc>
        <w:tc>
          <w:tcPr>
            <w:tcW w:w="2694"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p>
        </w:tc>
      </w:tr>
      <w:tr>
        <w:tblPrEx>
          <w:tblCellMar>
            <w:top w:w="0" w:type="dxa"/>
            <w:left w:w="108" w:type="dxa"/>
            <w:bottom w:w="0" w:type="dxa"/>
            <w:right w:w="108" w:type="dxa"/>
          </w:tblCellMar>
        </w:tblPrEx>
        <w:trPr>
          <w:trHeight w:val="410" w:hRule="atLeast"/>
        </w:trPr>
        <w:tc>
          <w:tcPr>
            <w:tcW w:w="280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color w:val="auto"/>
                <w:kern w:val="0"/>
                <w:sz w:val="18"/>
                <w:szCs w:val="18"/>
                <w:highlight w:val="none"/>
              </w:rPr>
            </w:pPr>
            <w:r>
              <w:rPr>
                <w:rFonts w:hint="eastAsia" w:ascii="宋体" w:hAnsi="宋体" w:cs="宋体"/>
                <w:b/>
                <w:color w:val="auto"/>
                <w:kern w:val="0"/>
                <w:sz w:val="18"/>
                <w:szCs w:val="18"/>
                <w:highlight w:val="none"/>
              </w:rPr>
              <w:t>专职人员总数</w:t>
            </w:r>
          </w:p>
        </w:tc>
        <w:tc>
          <w:tcPr>
            <w:tcW w:w="297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62人</w:t>
            </w:r>
          </w:p>
        </w:tc>
        <w:tc>
          <w:tcPr>
            <w:tcW w:w="269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p>
        </w:tc>
      </w:tr>
    </w:tbl>
    <w:p>
      <w:pPr>
        <w:spacing w:line="360" w:lineRule="auto"/>
        <w:ind w:firstLine="480" w:firstLineChars="200"/>
        <w:contextualSpacing/>
        <w:rPr>
          <w:rFonts w:hint="eastAsia" w:ascii="宋体" w:hAnsi="宋体" w:cs="宋体"/>
          <w:color w:val="auto"/>
          <w:kern w:val="0"/>
          <w:sz w:val="24"/>
          <w:szCs w:val="24"/>
          <w:highlight w:val="none"/>
        </w:rPr>
      </w:pPr>
    </w:p>
    <w:p>
      <w:pPr>
        <w:spacing w:line="360" w:lineRule="auto"/>
        <w:ind w:firstLine="480" w:firstLineChars="200"/>
        <w:contextualSpacing/>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 xml:space="preserve">2.第二个服务包人员配置承诺： </w:t>
      </w:r>
    </w:p>
    <w:tbl>
      <w:tblPr>
        <w:tblStyle w:val="24"/>
        <w:tblpPr w:leftFromText="180" w:rightFromText="180" w:vertAnchor="text" w:horzAnchor="page" w:tblpXSpec="center" w:tblpY="177"/>
        <w:tblW w:w="8472" w:type="dxa"/>
        <w:tblInd w:w="0" w:type="dxa"/>
        <w:tblLayout w:type="autofit"/>
        <w:tblCellMar>
          <w:top w:w="0" w:type="dxa"/>
          <w:left w:w="108" w:type="dxa"/>
          <w:bottom w:w="0" w:type="dxa"/>
          <w:right w:w="108" w:type="dxa"/>
        </w:tblCellMar>
      </w:tblPr>
      <w:tblGrid>
        <w:gridCol w:w="1809"/>
        <w:gridCol w:w="1134"/>
        <w:gridCol w:w="2835"/>
        <w:gridCol w:w="2694"/>
      </w:tblGrid>
      <w:tr>
        <w:tblPrEx>
          <w:tblCellMar>
            <w:top w:w="0" w:type="dxa"/>
            <w:left w:w="108" w:type="dxa"/>
            <w:bottom w:w="0" w:type="dxa"/>
            <w:right w:w="108" w:type="dxa"/>
          </w:tblCellMar>
        </w:tblPrEx>
        <w:trPr>
          <w:trHeight w:val="980" w:hRule="atLeast"/>
        </w:trPr>
        <w:tc>
          <w:tcPr>
            <w:tcW w:w="2943"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360" w:firstLineChars="200"/>
              <w:rPr>
                <w:rFonts w:ascii="宋体" w:hAnsi="宋体" w:cs="宋体"/>
                <w:color w:val="auto"/>
                <w:kern w:val="0"/>
                <w:sz w:val="18"/>
                <w:szCs w:val="18"/>
                <w:highlight w:val="none"/>
              </w:rPr>
            </w:pPr>
            <w:r>
              <w:rPr>
                <w:rFonts w:ascii="宋体" w:hAnsi="宋体" w:cs="宋体"/>
                <w:color w:val="auto"/>
                <w:kern w:val="0"/>
                <w:sz w:val="18"/>
                <w:szCs w:val="18"/>
                <w:highlight w:val="none"/>
              </w:rPr>
              <mc:AlternateContent>
                <mc:Choice Requires="wps">
                  <w:drawing>
                    <wp:anchor distT="0" distB="0" distL="114300" distR="114300" simplePos="0" relativeHeight="251679744" behindDoc="0" locked="0" layoutInCell="1" allowOverlap="1">
                      <wp:simplePos x="0" y="0"/>
                      <wp:positionH relativeFrom="column">
                        <wp:posOffset>-44450</wp:posOffset>
                      </wp:positionH>
                      <wp:positionV relativeFrom="paragraph">
                        <wp:posOffset>15875</wp:posOffset>
                      </wp:positionV>
                      <wp:extent cx="1864360" cy="276225"/>
                      <wp:effectExtent l="12700" t="6350" r="8890" b="12700"/>
                      <wp:wrapNone/>
                      <wp:docPr id="22" name="自选图形 11"/>
                      <wp:cNvGraphicFramePr/>
                      <a:graphic xmlns:a="http://schemas.openxmlformats.org/drawingml/2006/main">
                        <a:graphicData uri="http://schemas.microsoft.com/office/word/2010/wordprocessingShape">
                          <wps:wsp>
                            <wps:cNvCnPr>
                              <a:cxnSpLocks noChangeShapeType="1"/>
                            </wps:cNvCnPr>
                            <wps:spPr bwMode="auto">
                              <a:xfrm>
                                <a:off x="0" y="0"/>
                                <a:ext cx="1864360" cy="276225"/>
                              </a:xfrm>
                              <a:prstGeom prst="straightConnector1">
                                <a:avLst/>
                              </a:prstGeom>
                              <a:noFill/>
                              <a:ln w="9525">
                                <a:solidFill>
                                  <a:srgbClr val="000000"/>
                                </a:solidFill>
                                <a:round/>
                              </a:ln>
                            </wps:spPr>
                            <wps:bodyPr/>
                          </wps:wsp>
                        </a:graphicData>
                      </a:graphic>
                    </wp:anchor>
                  </w:drawing>
                </mc:Choice>
                <mc:Fallback>
                  <w:pict>
                    <v:shape id="自选图形 11" o:spid="_x0000_s1026" o:spt="32" type="#_x0000_t32" style="position:absolute;left:0pt;margin-left:-3.5pt;margin-top:1.25pt;height:21.75pt;width:146.8pt;z-index:251679744;mso-width-relative:page;mso-height-relative:page;" filled="f" stroked="t" coordsize="21600,21600" o:gfxdata="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Bmi0kXXAAAABwEAAA8AAAAAAAAAAQAgAAAAIgAAAGRycy9kb3ducmV2LnhtbFBLAQIUABQA&#10;AAAIAIdO4kCVZXWO8QEAALwDAAAOAAAAAAAAAAEAIAAAACYBAABkcnMvZTJvRG9jLnhtbFBLBQYA&#10;AAAABgAGAFkBAACJBQAAAAA=&#10;">
                      <v:fill on="f" focussize="0,0"/>
                      <v:stroke color="#000000" joinstyle="round"/>
                      <v:imagedata o:title=""/>
                      <o:lock v:ext="edit" aspectratio="f"/>
                    </v:shape>
                  </w:pict>
                </mc:Fallback>
              </mc:AlternateContent>
            </w:r>
            <w:r>
              <w:rPr>
                <w:rFonts w:ascii="宋体" w:hAnsi="宋体" w:cs="宋体"/>
                <w:color w:val="auto"/>
                <w:kern w:val="0"/>
                <w:sz w:val="18"/>
                <w:szCs w:val="18"/>
                <w:highlight w:val="none"/>
              </w:rPr>
              <mc:AlternateContent>
                <mc:Choice Requires="wps">
                  <w:drawing>
                    <wp:anchor distT="0" distB="0" distL="114300" distR="114300" simplePos="0" relativeHeight="251680768" behindDoc="0" locked="0" layoutInCell="1" allowOverlap="1">
                      <wp:simplePos x="0" y="0"/>
                      <wp:positionH relativeFrom="column">
                        <wp:posOffset>-52070</wp:posOffset>
                      </wp:positionH>
                      <wp:positionV relativeFrom="paragraph">
                        <wp:posOffset>6350</wp:posOffset>
                      </wp:positionV>
                      <wp:extent cx="1165225" cy="619760"/>
                      <wp:effectExtent l="5080" t="6350" r="10795" b="12065"/>
                      <wp:wrapNone/>
                      <wp:docPr id="21" name="自选图形 12"/>
                      <wp:cNvGraphicFramePr/>
                      <a:graphic xmlns:a="http://schemas.openxmlformats.org/drawingml/2006/main">
                        <a:graphicData uri="http://schemas.microsoft.com/office/word/2010/wordprocessingShape">
                          <wps:wsp>
                            <wps:cNvCnPr>
                              <a:cxnSpLocks noChangeShapeType="1"/>
                            </wps:cNvCnPr>
                            <wps:spPr bwMode="auto">
                              <a:xfrm>
                                <a:off x="0" y="0"/>
                                <a:ext cx="1165225" cy="619760"/>
                              </a:xfrm>
                              <a:prstGeom prst="straightConnector1">
                                <a:avLst/>
                              </a:prstGeom>
                              <a:noFill/>
                              <a:ln w="9525">
                                <a:solidFill>
                                  <a:srgbClr val="000000"/>
                                </a:solidFill>
                                <a:round/>
                              </a:ln>
                            </wps:spPr>
                            <wps:bodyPr/>
                          </wps:wsp>
                        </a:graphicData>
                      </a:graphic>
                    </wp:anchor>
                  </w:drawing>
                </mc:Choice>
                <mc:Fallback>
                  <w:pict>
                    <v:shape id="自选图形 12" o:spid="_x0000_s1026" o:spt="32" type="#_x0000_t32" style="position:absolute;left:0pt;margin-left:-4.1pt;margin-top:0.5pt;height:48.8pt;width:91.75pt;z-index:251680768;mso-width-relative:page;mso-height-relative:page;" filled="f" stroked="t" coordsize="21600,21600" o:gfxdata="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8cChWdYAAAAHAQAADwAAAAAAAAABACAAAAAiAAAAZHJzL2Rvd25yZXYueG1sUEsBAhQAFAAA&#10;AAgAh07iQPOHoqHxAQAAvAMAAA4AAAAAAAAAAQAgAAAAJQEAAGRycy9lMm9Eb2MueG1sUEsFBgAA&#10;AAAGAAYAWQEAAIgFAAAAAA==&#10;">
                      <v:fill on="f" focussize="0,0"/>
                      <v:stroke color="#000000" joinstyle="round"/>
                      <v:imagedata o:title=""/>
                      <o:lock v:ext="edit" aspectratio="f"/>
                    </v:shape>
                  </w:pict>
                </mc:Fallback>
              </mc:AlternateContent>
            </w:r>
            <w:r>
              <w:rPr>
                <w:rFonts w:hint="eastAsia" w:ascii="宋体" w:hAnsi="宋体" w:cs="宋体"/>
                <w:color w:val="auto"/>
                <w:kern w:val="0"/>
                <w:sz w:val="18"/>
                <w:szCs w:val="18"/>
                <w:highlight w:val="none"/>
              </w:rPr>
              <w:t xml:space="preserve">                     区域</w:t>
            </w:r>
          </w:p>
          <w:p>
            <w:pPr>
              <w:widowControl/>
              <w:spacing w:line="360" w:lineRule="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类别            人员</w:t>
            </w:r>
          </w:p>
        </w:tc>
        <w:tc>
          <w:tcPr>
            <w:tcW w:w="283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承诺配置人员数量</w:t>
            </w:r>
          </w:p>
        </w:tc>
        <w:tc>
          <w:tcPr>
            <w:tcW w:w="2694"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承诺增加的人员数量</w:t>
            </w:r>
          </w:p>
        </w:tc>
      </w:tr>
      <w:tr>
        <w:tblPrEx>
          <w:tblCellMar>
            <w:top w:w="0" w:type="dxa"/>
            <w:left w:w="108" w:type="dxa"/>
            <w:bottom w:w="0" w:type="dxa"/>
            <w:right w:w="108" w:type="dxa"/>
          </w:tblCellMar>
        </w:tblPrEx>
        <w:trPr>
          <w:trHeight w:val="412" w:hRule="atLeast"/>
        </w:trPr>
        <w:tc>
          <w:tcPr>
            <w:tcW w:w="1809" w:type="dxa"/>
            <w:vMerge w:val="restart"/>
            <w:tcBorders>
              <w:top w:val="single" w:color="auto" w:sz="4" w:space="0"/>
              <w:left w:val="single" w:color="auto" w:sz="4" w:space="0"/>
              <w:right w:val="single" w:color="auto" w:sz="4" w:space="0"/>
            </w:tcBorders>
            <w:vAlign w:val="center"/>
          </w:tcPr>
          <w:p>
            <w:pPr>
              <w:widowControl/>
              <w:spacing w:line="36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康复护理</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专家</w:t>
            </w:r>
          </w:p>
        </w:tc>
        <w:tc>
          <w:tcPr>
            <w:tcW w:w="2835"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不少</w:t>
            </w:r>
          </w:p>
          <w:p>
            <w:pPr>
              <w:widowControl/>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于3人</w:t>
            </w:r>
          </w:p>
        </w:tc>
        <w:tc>
          <w:tcPr>
            <w:tcW w:w="2694"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color w:val="auto"/>
                <w:kern w:val="0"/>
                <w:sz w:val="18"/>
                <w:szCs w:val="18"/>
                <w:highlight w:val="none"/>
              </w:rPr>
            </w:pPr>
          </w:p>
        </w:tc>
      </w:tr>
      <w:tr>
        <w:tblPrEx>
          <w:tblCellMar>
            <w:top w:w="0" w:type="dxa"/>
            <w:left w:w="108" w:type="dxa"/>
            <w:bottom w:w="0" w:type="dxa"/>
            <w:right w:w="108" w:type="dxa"/>
          </w:tblCellMar>
        </w:tblPrEx>
        <w:trPr>
          <w:trHeight w:val="283" w:hRule="atLeast"/>
        </w:trPr>
        <w:tc>
          <w:tcPr>
            <w:tcW w:w="1809" w:type="dxa"/>
            <w:vMerge w:val="continue"/>
            <w:tcBorders>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 w:val="18"/>
                <w:szCs w:val="18"/>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其他人员</w:t>
            </w:r>
          </w:p>
        </w:tc>
        <w:tc>
          <w:tcPr>
            <w:tcW w:w="2835"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不少</w:t>
            </w:r>
          </w:p>
          <w:p>
            <w:pPr>
              <w:widowControl/>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于9人</w:t>
            </w:r>
          </w:p>
        </w:tc>
        <w:tc>
          <w:tcPr>
            <w:tcW w:w="2694"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color w:val="auto"/>
                <w:kern w:val="0"/>
                <w:sz w:val="18"/>
                <w:szCs w:val="18"/>
                <w:highlight w:val="none"/>
              </w:rPr>
            </w:pPr>
          </w:p>
        </w:tc>
      </w:tr>
      <w:tr>
        <w:tblPrEx>
          <w:tblCellMar>
            <w:top w:w="0" w:type="dxa"/>
            <w:left w:w="108" w:type="dxa"/>
            <w:bottom w:w="0" w:type="dxa"/>
            <w:right w:w="108" w:type="dxa"/>
          </w:tblCellMar>
        </w:tblPrEx>
        <w:trPr>
          <w:trHeight w:val="299" w:hRule="atLeast"/>
        </w:trPr>
        <w:tc>
          <w:tcPr>
            <w:tcW w:w="2943"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协议管理</w:t>
            </w:r>
          </w:p>
        </w:tc>
        <w:tc>
          <w:tcPr>
            <w:tcW w:w="283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不少</w:t>
            </w:r>
          </w:p>
          <w:p>
            <w:pPr>
              <w:widowControl/>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于12人</w:t>
            </w:r>
          </w:p>
        </w:tc>
        <w:tc>
          <w:tcPr>
            <w:tcW w:w="269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auto"/>
                <w:kern w:val="0"/>
                <w:sz w:val="18"/>
                <w:szCs w:val="18"/>
                <w:highlight w:val="none"/>
              </w:rPr>
            </w:pPr>
          </w:p>
        </w:tc>
      </w:tr>
      <w:tr>
        <w:tblPrEx>
          <w:tblCellMar>
            <w:top w:w="0" w:type="dxa"/>
            <w:left w:w="108" w:type="dxa"/>
            <w:bottom w:w="0" w:type="dxa"/>
            <w:right w:w="108" w:type="dxa"/>
          </w:tblCellMar>
        </w:tblPrEx>
        <w:trPr>
          <w:trHeight w:val="299" w:hRule="atLeast"/>
        </w:trPr>
        <w:tc>
          <w:tcPr>
            <w:tcW w:w="2943"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大病保险困难救助管理</w:t>
            </w:r>
          </w:p>
        </w:tc>
        <w:tc>
          <w:tcPr>
            <w:tcW w:w="283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不少</w:t>
            </w:r>
          </w:p>
          <w:p>
            <w:pPr>
              <w:widowControl/>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于4人</w:t>
            </w:r>
          </w:p>
        </w:tc>
        <w:tc>
          <w:tcPr>
            <w:tcW w:w="269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auto"/>
                <w:kern w:val="0"/>
                <w:sz w:val="18"/>
                <w:szCs w:val="18"/>
                <w:highlight w:val="none"/>
              </w:rPr>
            </w:pPr>
          </w:p>
        </w:tc>
      </w:tr>
      <w:tr>
        <w:tblPrEx>
          <w:tblCellMar>
            <w:top w:w="0" w:type="dxa"/>
            <w:left w:w="108" w:type="dxa"/>
            <w:bottom w:w="0" w:type="dxa"/>
            <w:right w:w="108" w:type="dxa"/>
          </w:tblCellMar>
        </w:tblPrEx>
        <w:trPr>
          <w:trHeight w:val="426" w:hRule="atLeast"/>
        </w:trPr>
        <w:tc>
          <w:tcPr>
            <w:tcW w:w="2943"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服务总人数</w:t>
            </w:r>
          </w:p>
        </w:tc>
        <w:tc>
          <w:tcPr>
            <w:tcW w:w="283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不少</w:t>
            </w:r>
          </w:p>
          <w:p>
            <w:pPr>
              <w:widowControl/>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于28人</w:t>
            </w:r>
          </w:p>
        </w:tc>
        <w:tc>
          <w:tcPr>
            <w:tcW w:w="269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auto"/>
                <w:kern w:val="0"/>
                <w:sz w:val="18"/>
                <w:szCs w:val="18"/>
                <w:highlight w:val="none"/>
              </w:rPr>
            </w:pPr>
          </w:p>
        </w:tc>
      </w:tr>
    </w:tbl>
    <w:p>
      <w:pPr>
        <w:spacing w:line="360" w:lineRule="auto"/>
        <w:ind w:firstLine="480" w:firstLineChars="200"/>
        <w:contextualSpacing/>
        <w:rPr>
          <w:rFonts w:hint="eastAsia" w:ascii="宋体" w:hAnsi="宋体" w:cs="宋体"/>
          <w:color w:val="auto"/>
          <w:kern w:val="0"/>
          <w:sz w:val="24"/>
          <w:szCs w:val="24"/>
          <w:highlight w:val="none"/>
        </w:rPr>
      </w:pPr>
    </w:p>
    <w:p>
      <w:pPr>
        <w:spacing w:line="360" w:lineRule="auto"/>
        <w:ind w:firstLine="480" w:firstLineChars="200"/>
        <w:contextualSpacing/>
        <w:rPr>
          <w:rFonts w:hint="eastAsia" w:ascii="宋体" w:hAnsi="宋体" w:cs="宋体"/>
          <w:color w:val="auto"/>
          <w:kern w:val="0"/>
          <w:sz w:val="24"/>
          <w:szCs w:val="24"/>
          <w:highlight w:val="none"/>
        </w:rPr>
      </w:pPr>
    </w:p>
    <w:p>
      <w:pPr>
        <w:spacing w:line="360" w:lineRule="auto"/>
        <w:ind w:firstLine="480" w:firstLineChars="200"/>
        <w:contextualSpacing/>
        <w:rPr>
          <w:rFonts w:hint="eastAsia" w:ascii="宋体" w:hAnsi="宋体" w:cs="宋体"/>
          <w:color w:val="auto"/>
          <w:kern w:val="0"/>
          <w:sz w:val="24"/>
          <w:szCs w:val="24"/>
          <w:highlight w:val="none"/>
        </w:rPr>
      </w:pPr>
    </w:p>
    <w:p>
      <w:pPr>
        <w:spacing w:line="360" w:lineRule="auto"/>
        <w:ind w:firstLine="480" w:firstLineChars="200"/>
        <w:contextualSpacing/>
        <w:rPr>
          <w:rFonts w:hint="eastAsia" w:ascii="宋体" w:hAnsi="宋体" w:cs="宋体"/>
          <w:color w:val="auto"/>
          <w:kern w:val="0"/>
          <w:sz w:val="24"/>
          <w:szCs w:val="24"/>
          <w:highlight w:val="none"/>
        </w:rPr>
      </w:pPr>
    </w:p>
    <w:p>
      <w:pPr>
        <w:spacing w:line="360" w:lineRule="auto"/>
        <w:ind w:firstLine="480" w:firstLineChars="200"/>
        <w:contextualSpacing/>
        <w:rPr>
          <w:rFonts w:hint="eastAsia" w:ascii="宋体" w:hAnsi="宋体" w:cs="宋体"/>
          <w:color w:val="auto"/>
          <w:kern w:val="0"/>
          <w:sz w:val="24"/>
          <w:szCs w:val="24"/>
          <w:highlight w:val="none"/>
        </w:rPr>
      </w:pPr>
    </w:p>
    <w:p>
      <w:pPr>
        <w:spacing w:line="360" w:lineRule="auto"/>
        <w:ind w:firstLine="480" w:firstLineChars="200"/>
        <w:contextualSpacing/>
        <w:rPr>
          <w:rFonts w:hint="eastAsia" w:ascii="宋体" w:hAnsi="宋体" w:cs="宋体"/>
          <w:color w:val="auto"/>
          <w:kern w:val="0"/>
          <w:sz w:val="24"/>
          <w:szCs w:val="24"/>
          <w:highlight w:val="none"/>
        </w:rPr>
      </w:pPr>
    </w:p>
    <w:p>
      <w:pPr>
        <w:spacing w:line="360" w:lineRule="auto"/>
        <w:ind w:firstLine="480" w:firstLineChars="200"/>
        <w:contextualSpacing/>
        <w:rPr>
          <w:rFonts w:hint="eastAsia" w:ascii="宋体" w:hAnsi="宋体" w:cs="宋体"/>
          <w:color w:val="auto"/>
          <w:kern w:val="0"/>
          <w:sz w:val="24"/>
          <w:szCs w:val="24"/>
          <w:highlight w:val="none"/>
        </w:rPr>
      </w:pPr>
    </w:p>
    <w:p>
      <w:pPr>
        <w:spacing w:line="360" w:lineRule="auto"/>
        <w:ind w:firstLine="480" w:firstLineChars="200"/>
        <w:contextualSpacing/>
        <w:rPr>
          <w:rFonts w:hint="eastAsia" w:ascii="宋体" w:hAnsi="宋体" w:cs="宋体"/>
          <w:color w:val="auto"/>
          <w:kern w:val="0"/>
          <w:sz w:val="24"/>
          <w:szCs w:val="24"/>
          <w:highlight w:val="none"/>
        </w:rPr>
      </w:pPr>
    </w:p>
    <w:p>
      <w:pPr>
        <w:spacing w:line="360" w:lineRule="auto"/>
        <w:ind w:firstLine="480" w:firstLineChars="200"/>
        <w:contextualSpacing/>
        <w:rPr>
          <w:rFonts w:hint="eastAsia" w:ascii="宋体" w:hAnsi="宋体" w:cs="宋体"/>
          <w:color w:val="auto"/>
          <w:kern w:val="0"/>
          <w:sz w:val="24"/>
          <w:szCs w:val="24"/>
          <w:highlight w:val="none"/>
        </w:rPr>
      </w:pPr>
    </w:p>
    <w:p>
      <w:pPr>
        <w:spacing w:line="360" w:lineRule="auto"/>
        <w:ind w:firstLine="480" w:firstLineChars="200"/>
        <w:contextualSpacing/>
        <w:rPr>
          <w:rFonts w:hint="eastAsia" w:ascii="宋体" w:hAnsi="宋体" w:cs="宋体"/>
          <w:color w:val="auto"/>
          <w:kern w:val="0"/>
          <w:sz w:val="24"/>
          <w:szCs w:val="24"/>
          <w:highlight w:val="none"/>
        </w:rPr>
      </w:pPr>
    </w:p>
    <w:p>
      <w:pPr>
        <w:spacing w:line="360" w:lineRule="auto"/>
        <w:ind w:firstLine="480" w:firstLineChars="200"/>
        <w:contextualSpacing/>
        <w:rPr>
          <w:rFonts w:hint="eastAsia" w:ascii="宋体" w:hAnsi="宋体" w:cs="宋体"/>
          <w:color w:val="auto"/>
          <w:kern w:val="0"/>
          <w:sz w:val="24"/>
          <w:szCs w:val="24"/>
          <w:highlight w:val="none"/>
        </w:rPr>
      </w:pPr>
    </w:p>
    <w:p>
      <w:pPr>
        <w:spacing w:line="360" w:lineRule="auto"/>
        <w:ind w:firstLine="480" w:firstLineChars="200"/>
        <w:contextualSpacing/>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3.第三个服务包人员配置承诺：</w:t>
      </w:r>
    </w:p>
    <w:tbl>
      <w:tblPr>
        <w:tblStyle w:val="24"/>
        <w:tblW w:w="8505" w:type="dxa"/>
        <w:tblInd w:w="392" w:type="dxa"/>
        <w:tblLayout w:type="autofit"/>
        <w:tblCellMar>
          <w:top w:w="0" w:type="dxa"/>
          <w:left w:w="108" w:type="dxa"/>
          <w:bottom w:w="0" w:type="dxa"/>
          <w:right w:w="108" w:type="dxa"/>
        </w:tblCellMar>
      </w:tblPr>
      <w:tblGrid>
        <w:gridCol w:w="2977"/>
        <w:gridCol w:w="2835"/>
        <w:gridCol w:w="2693"/>
      </w:tblGrid>
      <w:tr>
        <w:tblPrEx>
          <w:tblCellMar>
            <w:top w:w="0" w:type="dxa"/>
            <w:left w:w="108" w:type="dxa"/>
            <w:bottom w:w="0" w:type="dxa"/>
            <w:right w:w="108" w:type="dxa"/>
          </w:tblCellMar>
        </w:tblPrEx>
        <w:trPr>
          <w:trHeight w:val="865" w:hRule="atLeast"/>
        </w:trPr>
        <w:tc>
          <w:tcPr>
            <w:tcW w:w="297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 w:val="18"/>
                <w:szCs w:val="18"/>
                <w:highlight w:val="none"/>
              </w:rPr>
            </w:pPr>
            <w:r>
              <w:rPr>
                <w:rFonts w:ascii="宋体" w:hAnsi="宋体" w:cs="宋体"/>
                <w:color w:val="auto"/>
                <w:kern w:val="0"/>
                <w:sz w:val="18"/>
                <w:szCs w:val="18"/>
                <w:highlight w:val="none"/>
              </w:rPr>
              <mc:AlternateContent>
                <mc:Choice Requires="wps">
                  <w:drawing>
                    <wp:anchor distT="0" distB="0" distL="114300" distR="114300" simplePos="0" relativeHeight="251681792" behindDoc="0" locked="0" layoutInCell="1" allowOverlap="1">
                      <wp:simplePos x="0" y="0"/>
                      <wp:positionH relativeFrom="column">
                        <wp:posOffset>-53975</wp:posOffset>
                      </wp:positionH>
                      <wp:positionV relativeFrom="paragraph">
                        <wp:posOffset>4445</wp:posOffset>
                      </wp:positionV>
                      <wp:extent cx="1855470" cy="317500"/>
                      <wp:effectExtent l="12700" t="13970" r="8255" b="11430"/>
                      <wp:wrapNone/>
                      <wp:docPr id="20" name="自选图形 14"/>
                      <wp:cNvGraphicFramePr/>
                      <a:graphic xmlns:a="http://schemas.openxmlformats.org/drawingml/2006/main">
                        <a:graphicData uri="http://schemas.microsoft.com/office/word/2010/wordprocessingShape">
                          <wps:wsp>
                            <wps:cNvCnPr>
                              <a:cxnSpLocks noChangeShapeType="1"/>
                            </wps:cNvCnPr>
                            <wps:spPr bwMode="auto">
                              <a:xfrm>
                                <a:off x="0" y="0"/>
                                <a:ext cx="1855470" cy="317500"/>
                              </a:xfrm>
                              <a:prstGeom prst="straightConnector1">
                                <a:avLst/>
                              </a:prstGeom>
                              <a:noFill/>
                              <a:ln w="9525">
                                <a:solidFill>
                                  <a:srgbClr val="000000"/>
                                </a:solidFill>
                                <a:round/>
                              </a:ln>
                            </wps:spPr>
                            <wps:bodyPr/>
                          </wps:wsp>
                        </a:graphicData>
                      </a:graphic>
                    </wp:anchor>
                  </w:drawing>
                </mc:Choice>
                <mc:Fallback>
                  <w:pict>
                    <v:shape id="自选图形 14" o:spid="_x0000_s1026" o:spt="32" type="#_x0000_t32" style="position:absolute;left:0pt;margin-left:-4.25pt;margin-top:0.35pt;height:25pt;width:146.1pt;z-index:251681792;mso-width-relative:page;mso-height-relative:page;" filled="f" stroked="t" coordsize="21600,21600" o:gfxdata="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5HziO1QAAAAYBAAAPAAAAAAAAAAEAIAAAACIAAABkcnMvZG93bnJldi54bWxQSwECFAAU&#10;AAAACACHTuJAjLea4fQBAAC8AwAADgAAAAAAAAABACAAAAAkAQAAZHJzL2Uyb0RvYy54bWxQSwUG&#10;AAAAAAYABgBZAQAAigUAAAAA&#10;">
                      <v:fill on="f" focussize="0,0"/>
                      <v:stroke color="#000000" joinstyle="round"/>
                      <v:imagedata o:title=""/>
                      <o:lock v:ext="edit" aspectratio="f"/>
                    </v:shape>
                  </w:pict>
                </mc:Fallback>
              </mc:AlternateContent>
            </w:r>
            <w:r>
              <w:rPr>
                <w:rFonts w:ascii="宋体" w:hAnsi="宋体" w:cs="宋体"/>
                <w:color w:val="auto"/>
                <w:kern w:val="0"/>
                <w:sz w:val="18"/>
                <w:szCs w:val="18"/>
                <w:highlight w:val="none"/>
              </w:rPr>
              <mc:AlternateContent>
                <mc:Choice Requires="wps">
                  <w:drawing>
                    <wp:anchor distT="0" distB="0" distL="114300" distR="114300" simplePos="0" relativeHeight="251682816" behindDoc="0" locked="0" layoutInCell="1" allowOverlap="1">
                      <wp:simplePos x="0" y="0"/>
                      <wp:positionH relativeFrom="column">
                        <wp:posOffset>-61595</wp:posOffset>
                      </wp:positionH>
                      <wp:positionV relativeFrom="paragraph">
                        <wp:posOffset>0</wp:posOffset>
                      </wp:positionV>
                      <wp:extent cx="784860" cy="550545"/>
                      <wp:effectExtent l="5080" t="9525" r="10160" b="11430"/>
                      <wp:wrapNone/>
                      <wp:docPr id="19" name="自选图形 13"/>
                      <wp:cNvGraphicFramePr/>
                      <a:graphic xmlns:a="http://schemas.openxmlformats.org/drawingml/2006/main">
                        <a:graphicData uri="http://schemas.microsoft.com/office/word/2010/wordprocessingShape">
                          <wps:wsp>
                            <wps:cNvCnPr>
                              <a:cxnSpLocks noChangeShapeType="1"/>
                            </wps:cNvCnPr>
                            <wps:spPr bwMode="auto">
                              <a:xfrm>
                                <a:off x="0" y="0"/>
                                <a:ext cx="784860" cy="550545"/>
                              </a:xfrm>
                              <a:prstGeom prst="straightConnector1">
                                <a:avLst/>
                              </a:prstGeom>
                              <a:noFill/>
                              <a:ln w="9525">
                                <a:solidFill>
                                  <a:srgbClr val="000000"/>
                                </a:solidFill>
                                <a:round/>
                              </a:ln>
                            </wps:spPr>
                            <wps:bodyPr/>
                          </wps:wsp>
                        </a:graphicData>
                      </a:graphic>
                    </wp:anchor>
                  </w:drawing>
                </mc:Choice>
                <mc:Fallback>
                  <w:pict>
                    <v:shape id="自选图形 13" o:spid="_x0000_s1026" o:spt="32" type="#_x0000_t32" style="position:absolute;left:0pt;margin-left:-4.85pt;margin-top:0pt;height:43.35pt;width:61.8pt;z-index:251682816;mso-width-relative:page;mso-height-relative:page;" filled="f" stroked="t" coordsize="21600,21600" o:gfxdata="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jZMrX1gAAAAYBAAAPAAAAAAAAAAEAIAAAACIAAABkcnMvZG93bnJldi54bWxQSwECFAAU&#10;AAAACACHTuJA5vHLzfMBAAC7AwAADgAAAAAAAAABACAAAAAlAQAAZHJzL2Uyb0RvYy54bWxQSwUG&#10;AAAAAAYABgBZAQAAigUAAAAA&#10;">
                      <v:fill on="f" focussize="0,0"/>
                      <v:stroke color="#000000" joinstyle="round"/>
                      <v:imagedata o:title=""/>
                      <o:lock v:ext="edit" aspectratio="f"/>
                    </v:shape>
                  </w:pict>
                </mc:Fallback>
              </mc:AlternateContent>
            </w:r>
            <w:r>
              <w:rPr>
                <w:rFonts w:hint="eastAsia" w:ascii="宋体" w:hAnsi="宋体" w:cs="宋体"/>
                <w:color w:val="auto"/>
                <w:kern w:val="0"/>
                <w:sz w:val="18"/>
                <w:szCs w:val="18"/>
                <w:highlight w:val="none"/>
              </w:rPr>
              <w:t xml:space="preserve">         区域                 </w:t>
            </w:r>
          </w:p>
          <w:p>
            <w:pPr>
              <w:spacing w:line="360" w:lineRule="auto"/>
              <w:rPr>
                <w:rFonts w:ascii="宋体" w:hAnsi="宋体" w:cs="宋体"/>
                <w:color w:val="auto"/>
                <w:sz w:val="18"/>
                <w:szCs w:val="18"/>
                <w:highlight w:val="none"/>
              </w:rPr>
            </w:pPr>
            <w:r>
              <w:rPr>
                <w:rFonts w:hint="eastAsia" w:ascii="宋体" w:hAnsi="宋体" w:cs="宋体"/>
                <w:color w:val="auto"/>
                <w:sz w:val="18"/>
                <w:szCs w:val="18"/>
                <w:highlight w:val="none"/>
              </w:rPr>
              <w:t xml:space="preserve"> 类别         人员</w:t>
            </w:r>
          </w:p>
        </w:tc>
        <w:tc>
          <w:tcPr>
            <w:tcW w:w="283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承诺配置人员数量</w:t>
            </w:r>
          </w:p>
        </w:tc>
        <w:tc>
          <w:tcPr>
            <w:tcW w:w="269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承诺增加的人员数量</w:t>
            </w:r>
          </w:p>
        </w:tc>
      </w:tr>
      <w:tr>
        <w:tblPrEx>
          <w:tblCellMar>
            <w:top w:w="0" w:type="dxa"/>
            <w:left w:w="108" w:type="dxa"/>
            <w:bottom w:w="0" w:type="dxa"/>
            <w:right w:w="108" w:type="dxa"/>
          </w:tblCellMar>
        </w:tblPrEx>
        <w:trPr>
          <w:trHeight w:val="440" w:hRule="atLeast"/>
        </w:trPr>
        <w:tc>
          <w:tcPr>
            <w:tcW w:w="2977"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医保管理岗</w:t>
            </w:r>
          </w:p>
        </w:tc>
        <w:tc>
          <w:tcPr>
            <w:tcW w:w="2835"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不少</w:t>
            </w:r>
          </w:p>
          <w:p>
            <w:pPr>
              <w:widowControl/>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于8人</w:t>
            </w:r>
          </w:p>
        </w:tc>
        <w:tc>
          <w:tcPr>
            <w:tcW w:w="2693"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color w:val="auto"/>
                <w:kern w:val="0"/>
                <w:sz w:val="18"/>
                <w:szCs w:val="18"/>
                <w:highlight w:val="none"/>
              </w:rPr>
            </w:pPr>
          </w:p>
        </w:tc>
      </w:tr>
      <w:tr>
        <w:tblPrEx>
          <w:tblCellMar>
            <w:top w:w="0" w:type="dxa"/>
            <w:left w:w="108" w:type="dxa"/>
            <w:bottom w:w="0" w:type="dxa"/>
            <w:right w:w="108" w:type="dxa"/>
          </w:tblCellMar>
        </w:tblPrEx>
        <w:trPr>
          <w:trHeight w:val="519" w:hRule="atLeast"/>
        </w:trPr>
        <w:tc>
          <w:tcPr>
            <w:tcW w:w="2977"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窗口岗</w:t>
            </w:r>
          </w:p>
        </w:tc>
        <w:tc>
          <w:tcPr>
            <w:tcW w:w="2835"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不少</w:t>
            </w:r>
          </w:p>
          <w:p>
            <w:pPr>
              <w:widowControl/>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于27人</w:t>
            </w:r>
          </w:p>
        </w:tc>
        <w:tc>
          <w:tcPr>
            <w:tcW w:w="2693"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color w:val="auto"/>
                <w:kern w:val="0"/>
                <w:sz w:val="18"/>
                <w:szCs w:val="18"/>
                <w:highlight w:val="none"/>
              </w:rPr>
            </w:pPr>
          </w:p>
        </w:tc>
      </w:tr>
      <w:tr>
        <w:tblPrEx>
          <w:tblCellMar>
            <w:top w:w="0" w:type="dxa"/>
            <w:left w:w="108" w:type="dxa"/>
            <w:bottom w:w="0" w:type="dxa"/>
            <w:right w:w="108" w:type="dxa"/>
          </w:tblCellMar>
        </w:tblPrEx>
        <w:trPr>
          <w:trHeight w:val="301" w:hRule="atLeast"/>
        </w:trPr>
        <w:tc>
          <w:tcPr>
            <w:tcW w:w="297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总人数</w:t>
            </w:r>
          </w:p>
        </w:tc>
        <w:tc>
          <w:tcPr>
            <w:tcW w:w="283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不少</w:t>
            </w:r>
          </w:p>
          <w:p>
            <w:pPr>
              <w:widowControl/>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于35人</w:t>
            </w:r>
          </w:p>
        </w:tc>
        <w:tc>
          <w:tcPr>
            <w:tcW w:w="269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auto"/>
                <w:kern w:val="0"/>
                <w:sz w:val="18"/>
                <w:szCs w:val="18"/>
                <w:highlight w:val="none"/>
              </w:rPr>
            </w:pPr>
          </w:p>
        </w:tc>
      </w:tr>
    </w:tbl>
    <w:p>
      <w:pPr>
        <w:spacing w:line="360" w:lineRule="auto"/>
        <w:ind w:firstLine="480" w:firstLineChars="200"/>
        <w:contextualSpacing/>
        <w:rPr>
          <w:rFonts w:hint="eastAsia" w:ascii="宋体" w:hAnsi="宋体" w:cs="宋体"/>
          <w:color w:val="auto"/>
          <w:kern w:val="0"/>
          <w:sz w:val="24"/>
          <w:szCs w:val="24"/>
          <w:highlight w:val="none"/>
        </w:rPr>
      </w:pPr>
    </w:p>
    <w:p>
      <w:pPr>
        <w:spacing w:line="360" w:lineRule="auto"/>
        <w:ind w:firstLine="480" w:firstLineChars="200"/>
        <w:contextualSpacing/>
        <w:rPr>
          <w:rFonts w:hint="eastAsia" w:ascii="宋体" w:hAnsi="宋体" w:cs="宋体"/>
          <w:color w:val="auto"/>
          <w:kern w:val="0"/>
          <w:sz w:val="24"/>
          <w:szCs w:val="24"/>
          <w:highlight w:val="none"/>
        </w:rPr>
      </w:pPr>
    </w:p>
    <w:p>
      <w:pPr>
        <w:spacing w:line="48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投标人（盖章）：</w:t>
      </w:r>
    </w:p>
    <w:p>
      <w:pPr>
        <w:spacing w:line="480" w:lineRule="auto"/>
        <w:ind w:firstLine="480" w:firstLineChars="200"/>
        <w:rPr>
          <w:rFonts w:ascii="宋体" w:hAnsi="宋体"/>
          <w:bCs/>
          <w:color w:val="auto"/>
          <w:sz w:val="24"/>
          <w:szCs w:val="24"/>
          <w:highlight w:val="none"/>
        </w:rPr>
      </w:pPr>
      <w:r>
        <w:rPr>
          <w:rFonts w:hint="eastAsia" w:ascii="宋体" w:hAnsi="宋体"/>
          <w:color w:val="auto"/>
          <w:sz w:val="24"/>
          <w:szCs w:val="24"/>
          <w:highlight w:val="none"/>
        </w:rPr>
        <w:t>法定代表人（负责人）或被授权代表（签字或盖章）</w:t>
      </w:r>
      <w:r>
        <w:rPr>
          <w:rFonts w:hint="eastAsia" w:ascii="宋体" w:hAnsi="宋体"/>
          <w:bCs/>
          <w:color w:val="auto"/>
          <w:sz w:val="24"/>
          <w:szCs w:val="24"/>
          <w:highlight w:val="none"/>
        </w:rPr>
        <w:t>：</w:t>
      </w:r>
    </w:p>
    <w:p>
      <w:pPr>
        <w:spacing w:line="360" w:lineRule="auto"/>
        <w:ind w:firstLine="1440" w:firstLineChars="600"/>
        <w:jc w:val="left"/>
        <w:rPr>
          <w:rFonts w:hint="eastAsia" w:ascii="黑体" w:hAnsi="宋体" w:eastAsia="黑体"/>
          <w:bCs/>
          <w:color w:val="auto"/>
          <w:sz w:val="24"/>
          <w:szCs w:val="24"/>
          <w:highlight w:val="none"/>
        </w:rPr>
      </w:pPr>
      <w:r>
        <w:rPr>
          <w:rFonts w:hint="eastAsia" w:ascii="宋体" w:hAnsi="宋体"/>
          <w:color w:val="auto"/>
          <w:sz w:val="24"/>
          <w:szCs w:val="24"/>
          <w:highlight w:val="none"/>
        </w:rPr>
        <w:t>年   月   日</w:t>
      </w:r>
    </w:p>
    <w:p>
      <w:pPr>
        <w:spacing w:line="360" w:lineRule="auto"/>
        <w:jc w:val="left"/>
        <w:rPr>
          <w:rFonts w:hint="eastAsia" w:ascii="黑体" w:hAnsi="宋体" w:eastAsia="黑体"/>
          <w:bCs/>
          <w:color w:val="auto"/>
          <w:sz w:val="24"/>
          <w:szCs w:val="24"/>
          <w:highlight w:val="none"/>
        </w:rPr>
      </w:pPr>
    </w:p>
    <w:p>
      <w:pPr>
        <w:spacing w:line="360" w:lineRule="auto"/>
        <w:jc w:val="left"/>
        <w:rPr>
          <w:rFonts w:hint="eastAsia" w:ascii="黑体" w:hAnsi="宋体" w:eastAsia="黑体"/>
          <w:bCs/>
          <w:color w:val="auto"/>
          <w:sz w:val="24"/>
          <w:szCs w:val="24"/>
          <w:highlight w:val="none"/>
        </w:rPr>
      </w:pPr>
    </w:p>
    <w:p>
      <w:pPr>
        <w:spacing w:line="360" w:lineRule="auto"/>
        <w:jc w:val="left"/>
        <w:rPr>
          <w:rFonts w:hint="eastAsia" w:ascii="黑体" w:hAnsi="宋体" w:eastAsia="黑体"/>
          <w:bCs/>
          <w:color w:val="auto"/>
          <w:sz w:val="24"/>
          <w:szCs w:val="24"/>
          <w:highlight w:val="none"/>
        </w:rPr>
      </w:pPr>
    </w:p>
    <w:p>
      <w:pPr>
        <w:spacing w:line="360" w:lineRule="auto"/>
        <w:jc w:val="left"/>
        <w:rPr>
          <w:rFonts w:hint="eastAsia" w:ascii="黑体" w:hAnsi="宋体" w:eastAsia="黑体"/>
          <w:bCs/>
          <w:color w:val="auto"/>
          <w:sz w:val="24"/>
          <w:szCs w:val="24"/>
          <w:highlight w:val="none"/>
        </w:rPr>
      </w:pPr>
    </w:p>
    <w:p>
      <w:pPr>
        <w:spacing w:line="360" w:lineRule="auto"/>
        <w:jc w:val="left"/>
        <w:rPr>
          <w:rFonts w:hint="eastAsia" w:ascii="黑体" w:hAnsi="宋体" w:eastAsia="黑体"/>
          <w:bCs/>
          <w:color w:val="auto"/>
          <w:sz w:val="24"/>
          <w:szCs w:val="24"/>
          <w:highlight w:val="none"/>
        </w:rPr>
      </w:pPr>
    </w:p>
    <w:p>
      <w:pPr>
        <w:jc w:val="center"/>
        <w:rPr>
          <w:rFonts w:hint="eastAsia" w:ascii="黑体" w:hAnsi="黑体" w:eastAsia="黑体"/>
          <w:bCs/>
          <w:color w:val="auto"/>
          <w:sz w:val="28"/>
          <w:szCs w:val="28"/>
          <w:highlight w:val="none"/>
        </w:rPr>
      </w:pPr>
    </w:p>
    <w:p>
      <w:pPr>
        <w:jc w:val="center"/>
        <w:rPr>
          <w:rFonts w:hint="eastAsia" w:ascii="黑体" w:hAnsi="黑体" w:eastAsia="黑体"/>
          <w:bCs/>
          <w:color w:val="auto"/>
          <w:sz w:val="28"/>
          <w:szCs w:val="28"/>
          <w:highlight w:val="none"/>
        </w:rPr>
      </w:pPr>
    </w:p>
    <w:p>
      <w:pPr>
        <w:jc w:val="center"/>
        <w:rPr>
          <w:rFonts w:hint="eastAsia" w:ascii="黑体" w:hAnsi="黑体" w:eastAsia="黑体"/>
          <w:bCs/>
          <w:color w:val="auto"/>
          <w:sz w:val="28"/>
          <w:szCs w:val="28"/>
          <w:highlight w:val="none"/>
        </w:rPr>
      </w:pPr>
    </w:p>
    <w:p>
      <w:pPr>
        <w:jc w:val="center"/>
        <w:rPr>
          <w:rFonts w:hint="eastAsia" w:ascii="黑体" w:hAnsi="黑体" w:eastAsia="黑体"/>
          <w:bCs/>
          <w:color w:val="auto"/>
          <w:sz w:val="28"/>
          <w:szCs w:val="28"/>
          <w:highlight w:val="none"/>
        </w:rPr>
      </w:pPr>
    </w:p>
    <w:p>
      <w:pPr>
        <w:jc w:val="center"/>
        <w:rPr>
          <w:rFonts w:hint="eastAsia" w:ascii="黑体" w:hAnsi="黑体" w:eastAsia="黑体"/>
          <w:bCs/>
          <w:color w:val="auto"/>
          <w:sz w:val="28"/>
          <w:szCs w:val="28"/>
          <w:highlight w:val="none"/>
        </w:rPr>
      </w:pPr>
    </w:p>
    <w:p>
      <w:pPr>
        <w:jc w:val="center"/>
        <w:rPr>
          <w:rFonts w:hint="eastAsia" w:ascii="黑体" w:hAnsi="黑体" w:eastAsia="黑体"/>
          <w:bCs/>
          <w:color w:val="auto"/>
          <w:sz w:val="28"/>
          <w:szCs w:val="28"/>
          <w:highlight w:val="none"/>
        </w:rPr>
      </w:pPr>
    </w:p>
    <w:p>
      <w:pPr>
        <w:jc w:val="center"/>
        <w:rPr>
          <w:rFonts w:hint="eastAsia" w:ascii="黑体" w:hAnsi="黑体" w:eastAsia="黑体"/>
          <w:bCs/>
          <w:color w:val="auto"/>
          <w:sz w:val="28"/>
          <w:szCs w:val="28"/>
          <w:highlight w:val="none"/>
        </w:rPr>
      </w:pPr>
    </w:p>
    <w:p>
      <w:pPr>
        <w:jc w:val="center"/>
        <w:rPr>
          <w:rFonts w:hint="eastAsia" w:ascii="黑体" w:hAnsi="黑体" w:eastAsia="黑体"/>
          <w:bCs/>
          <w:color w:val="auto"/>
          <w:sz w:val="28"/>
          <w:szCs w:val="28"/>
          <w:highlight w:val="none"/>
        </w:rPr>
      </w:pPr>
    </w:p>
    <w:p>
      <w:pPr>
        <w:jc w:val="center"/>
        <w:rPr>
          <w:rFonts w:hint="eastAsia" w:ascii="黑体" w:hAnsi="黑体" w:eastAsia="黑体"/>
          <w:bCs/>
          <w:color w:val="auto"/>
          <w:sz w:val="28"/>
          <w:szCs w:val="28"/>
          <w:highlight w:val="none"/>
        </w:rPr>
      </w:pPr>
    </w:p>
    <w:p>
      <w:pPr>
        <w:jc w:val="center"/>
        <w:rPr>
          <w:rFonts w:hint="eastAsia" w:ascii="黑体" w:hAnsi="黑体" w:eastAsia="黑体"/>
          <w:bCs/>
          <w:color w:val="auto"/>
          <w:sz w:val="28"/>
          <w:szCs w:val="28"/>
          <w:highlight w:val="none"/>
        </w:rPr>
      </w:pPr>
    </w:p>
    <w:p>
      <w:pPr>
        <w:jc w:val="center"/>
        <w:rPr>
          <w:rFonts w:hint="eastAsia" w:ascii="黑体" w:hAnsi="黑体" w:eastAsia="黑体"/>
          <w:bCs/>
          <w:color w:val="auto"/>
          <w:sz w:val="28"/>
          <w:szCs w:val="28"/>
          <w:highlight w:val="none"/>
        </w:rPr>
      </w:pPr>
      <w:r>
        <w:rPr>
          <w:rFonts w:hint="eastAsia" w:ascii="黑体" w:hAnsi="黑体" w:eastAsia="黑体"/>
          <w:bCs/>
          <w:color w:val="auto"/>
          <w:sz w:val="28"/>
          <w:szCs w:val="28"/>
          <w:highlight w:val="none"/>
        </w:rPr>
        <w:t>人员配置承诺书</w:t>
      </w:r>
    </w:p>
    <w:p>
      <w:pPr>
        <w:spacing w:line="360" w:lineRule="auto"/>
        <w:ind w:firstLine="480" w:firstLineChars="200"/>
        <w:contextualSpacing/>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投标人作如下承诺：</w:t>
      </w:r>
    </w:p>
    <w:p>
      <w:pPr>
        <w:spacing w:line="360" w:lineRule="auto"/>
        <w:ind w:firstLine="480" w:firstLineChars="200"/>
        <w:contextualSpacing/>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我单位</w:t>
      </w:r>
      <w:r>
        <w:rPr>
          <w:rFonts w:hint="eastAsia" w:ascii="宋体" w:hAnsi="宋体"/>
          <w:color w:val="auto"/>
          <w:sz w:val="24"/>
          <w:szCs w:val="24"/>
          <w:highlight w:val="none"/>
        </w:rPr>
        <w:t>将对本项目标段（</w:t>
      </w:r>
      <w:r>
        <w:rPr>
          <w:rFonts w:hint="eastAsia" w:ascii="宋体" w:hAnsi="宋体"/>
          <w:color w:val="auto"/>
          <w:sz w:val="24"/>
          <w:szCs w:val="24"/>
          <w:highlight w:val="none"/>
          <w:u w:val="single"/>
        </w:rPr>
        <w:t>二</w:t>
      </w:r>
      <w:r>
        <w:rPr>
          <w:rFonts w:hint="eastAsia" w:ascii="宋体" w:hAnsi="宋体"/>
          <w:color w:val="auto"/>
          <w:sz w:val="24"/>
          <w:szCs w:val="24"/>
          <w:highlight w:val="none"/>
        </w:rPr>
        <w:t>）作出人员配置承诺，</w:t>
      </w:r>
      <w:r>
        <w:rPr>
          <w:rFonts w:hint="eastAsia" w:ascii="宋体" w:hAnsi="宋体" w:cs="宋体"/>
          <w:color w:val="auto"/>
          <w:kern w:val="0"/>
          <w:sz w:val="24"/>
          <w:szCs w:val="24"/>
          <w:highlight w:val="none"/>
        </w:rPr>
        <w:t>承诺以下人员在中标合同生效45日内全部配备到位。</w:t>
      </w:r>
    </w:p>
    <w:p>
      <w:pPr>
        <w:spacing w:line="360" w:lineRule="auto"/>
        <w:ind w:firstLine="480" w:firstLineChars="200"/>
        <w:contextualSpacing/>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1.第一个服务包人员配置承诺：</w:t>
      </w:r>
    </w:p>
    <w:tbl>
      <w:tblPr>
        <w:tblStyle w:val="24"/>
        <w:tblpPr w:leftFromText="180" w:rightFromText="180" w:vertAnchor="text" w:horzAnchor="margin" w:tblpX="182" w:tblpY="201"/>
        <w:tblW w:w="8789" w:type="dxa"/>
        <w:tblInd w:w="0" w:type="dxa"/>
        <w:tblLayout w:type="autofit"/>
        <w:tblCellMar>
          <w:top w:w="0" w:type="dxa"/>
          <w:left w:w="108" w:type="dxa"/>
          <w:bottom w:w="0" w:type="dxa"/>
          <w:right w:w="108" w:type="dxa"/>
        </w:tblCellMar>
      </w:tblPr>
      <w:tblGrid>
        <w:gridCol w:w="1526"/>
        <w:gridCol w:w="2126"/>
        <w:gridCol w:w="2552"/>
        <w:gridCol w:w="2585"/>
      </w:tblGrid>
      <w:tr>
        <w:tblPrEx>
          <w:tblCellMar>
            <w:top w:w="0" w:type="dxa"/>
            <w:left w:w="108" w:type="dxa"/>
            <w:bottom w:w="0" w:type="dxa"/>
            <w:right w:w="108" w:type="dxa"/>
          </w:tblCellMar>
        </w:tblPrEx>
        <w:trPr>
          <w:trHeight w:val="844" w:hRule="atLeast"/>
        </w:trPr>
        <w:tc>
          <w:tcPr>
            <w:tcW w:w="365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mc:AlternateContent>
                <mc:Choice Requires="wps">
                  <w:drawing>
                    <wp:anchor distT="0" distB="0" distL="114300" distR="114300" simplePos="0" relativeHeight="251684864" behindDoc="0" locked="0" layoutInCell="1" allowOverlap="1">
                      <wp:simplePos x="0" y="0"/>
                      <wp:positionH relativeFrom="column">
                        <wp:posOffset>-36830</wp:posOffset>
                      </wp:positionH>
                      <wp:positionV relativeFrom="paragraph">
                        <wp:posOffset>19685</wp:posOffset>
                      </wp:positionV>
                      <wp:extent cx="2295525" cy="302895"/>
                      <wp:effectExtent l="10795" t="10160" r="8255" b="10795"/>
                      <wp:wrapNone/>
                      <wp:docPr id="18" name="自选图形 10"/>
                      <wp:cNvGraphicFramePr/>
                      <a:graphic xmlns:a="http://schemas.openxmlformats.org/drawingml/2006/main">
                        <a:graphicData uri="http://schemas.microsoft.com/office/word/2010/wordprocessingShape">
                          <wps:wsp>
                            <wps:cNvCnPr>
                              <a:cxnSpLocks noChangeShapeType="1"/>
                            </wps:cNvCnPr>
                            <wps:spPr bwMode="auto">
                              <a:xfrm>
                                <a:off x="0" y="0"/>
                                <a:ext cx="2295525" cy="302895"/>
                              </a:xfrm>
                              <a:prstGeom prst="straightConnector1">
                                <a:avLst/>
                              </a:prstGeom>
                              <a:noFill/>
                              <a:ln w="9525">
                                <a:solidFill>
                                  <a:srgbClr val="000000"/>
                                </a:solidFill>
                                <a:round/>
                              </a:ln>
                            </wps:spPr>
                            <wps:bodyPr/>
                          </wps:wsp>
                        </a:graphicData>
                      </a:graphic>
                    </wp:anchor>
                  </w:drawing>
                </mc:Choice>
                <mc:Fallback>
                  <w:pict>
                    <v:shape id="自选图形 10" o:spid="_x0000_s1026" o:spt="32" type="#_x0000_t32" style="position:absolute;left:0pt;margin-left:-2.9pt;margin-top:1.55pt;height:23.85pt;width:180.75pt;z-index:251684864;mso-width-relative:page;mso-height-relative:page;" filled="f" stroked="t" coordsize="21600,21600" o:gfxdata="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uaLxJNYAAAAHAQAADwAAAAAAAAABACAAAAAiAAAAZHJzL2Rvd25yZXYueG1sUEsBAhQAFAAA&#10;AAgAh07iQKCG0CHxAQAAvAMAAA4AAAAAAAAAAQAgAAAAJQEAAGRycy9lMm9Eb2MueG1sUEsFBgAA&#10;AAAGAAYAWQEAAIgFAAAAAA==&#10;">
                      <v:fill on="f" focussize="0,0"/>
                      <v:stroke color="#000000" joinstyle="round"/>
                      <v:imagedata o:title=""/>
                      <o:lock v:ext="edit" aspectratio="f"/>
                    </v:shape>
                  </w:pict>
                </mc:Fallback>
              </mc:AlternateContent>
            </w:r>
            <w:r>
              <w:rPr>
                <w:rFonts w:ascii="宋体" w:hAnsi="宋体" w:cs="宋体"/>
                <w:color w:val="auto"/>
                <w:kern w:val="0"/>
                <w:sz w:val="18"/>
                <w:szCs w:val="18"/>
                <w:highlight w:val="none"/>
              </w:rPr>
              <mc:AlternateContent>
                <mc:Choice Requires="wps">
                  <w:drawing>
                    <wp:anchor distT="0" distB="0" distL="114300" distR="114300" simplePos="0" relativeHeight="251683840" behindDoc="0" locked="0" layoutInCell="1" allowOverlap="1">
                      <wp:simplePos x="0" y="0"/>
                      <wp:positionH relativeFrom="column">
                        <wp:posOffset>-52705</wp:posOffset>
                      </wp:positionH>
                      <wp:positionV relativeFrom="paragraph">
                        <wp:posOffset>17780</wp:posOffset>
                      </wp:positionV>
                      <wp:extent cx="772160" cy="549910"/>
                      <wp:effectExtent l="13970" t="8255" r="13970" b="13335"/>
                      <wp:wrapNone/>
                      <wp:docPr id="17" name="自选图形 9"/>
                      <wp:cNvGraphicFramePr/>
                      <a:graphic xmlns:a="http://schemas.openxmlformats.org/drawingml/2006/main">
                        <a:graphicData uri="http://schemas.microsoft.com/office/word/2010/wordprocessingShape">
                          <wps:wsp>
                            <wps:cNvCnPr>
                              <a:cxnSpLocks noChangeShapeType="1"/>
                            </wps:cNvCnPr>
                            <wps:spPr bwMode="auto">
                              <a:xfrm>
                                <a:off x="0" y="0"/>
                                <a:ext cx="772160" cy="549910"/>
                              </a:xfrm>
                              <a:prstGeom prst="straightConnector1">
                                <a:avLst/>
                              </a:prstGeom>
                              <a:noFill/>
                              <a:ln w="9525">
                                <a:solidFill>
                                  <a:srgbClr val="000000"/>
                                </a:solidFill>
                                <a:round/>
                              </a:ln>
                            </wps:spPr>
                            <wps:bodyPr/>
                          </wps:wsp>
                        </a:graphicData>
                      </a:graphic>
                    </wp:anchor>
                  </w:drawing>
                </mc:Choice>
                <mc:Fallback>
                  <w:pict>
                    <v:shape id="自选图形 9" o:spid="_x0000_s1026" o:spt="32" type="#_x0000_t32" style="position:absolute;left:0pt;margin-left:-4.15pt;margin-top:1.4pt;height:43.3pt;width:60.8pt;z-index:251683840;mso-width-relative:page;mso-height-relative:page;" filled="f" stroked="t" coordsize="21600,21600" o:gfxdata="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LrYpy7VAAAABwEAAA8AAAAAAAAAAQAgAAAAIgAAAGRycy9kb3ducmV2LnhtbFBLAQIUABQA&#10;AAAIAIdO4kB29MEo8wEAALoDAAAOAAAAAAAAAAEAIAAAACQBAABkcnMvZTJvRG9jLnhtbFBLBQYA&#10;AAAABgAGAFkBAACJBQAAAAA=&#10;">
                      <v:fill on="f" focussize="0,0"/>
                      <v:stroke color="#000000" joinstyle="round"/>
                      <v:imagedata o:title=""/>
                      <o:lock v:ext="edit" aspectratio="f"/>
                    </v:shape>
                  </w:pict>
                </mc:Fallback>
              </mc:AlternateContent>
            </w:r>
            <w:r>
              <w:rPr>
                <w:rFonts w:hint="eastAsia" w:ascii="宋体" w:hAnsi="宋体" w:cs="宋体"/>
                <w:color w:val="auto"/>
                <w:kern w:val="0"/>
                <w:sz w:val="18"/>
                <w:szCs w:val="18"/>
                <w:highlight w:val="none"/>
              </w:rPr>
              <w:t xml:space="preserve">                 区域</w:t>
            </w:r>
          </w:p>
          <w:p>
            <w:pPr>
              <w:widowControl/>
              <w:rPr>
                <w:rFonts w:hint="eastAsia" w:ascii="宋体" w:hAnsi="宋体" w:cs="宋体"/>
                <w:color w:val="auto"/>
                <w:kern w:val="0"/>
                <w:sz w:val="18"/>
                <w:szCs w:val="18"/>
                <w:highlight w:val="none"/>
              </w:rPr>
            </w:pPr>
          </w:p>
          <w:p>
            <w:pPr>
              <w:widowControl/>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类别          人员数量</w:t>
            </w:r>
          </w:p>
          <w:p>
            <w:pPr>
              <w:widowControl/>
              <w:ind w:firstLine="810" w:firstLineChars="450"/>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 </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承诺配置人员数量</w:t>
            </w:r>
          </w:p>
        </w:tc>
        <w:tc>
          <w:tcPr>
            <w:tcW w:w="258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承诺增加的人员数量</w:t>
            </w:r>
          </w:p>
        </w:tc>
      </w:tr>
      <w:tr>
        <w:tblPrEx>
          <w:tblCellMar>
            <w:top w:w="0" w:type="dxa"/>
            <w:left w:w="108" w:type="dxa"/>
            <w:bottom w:w="0" w:type="dxa"/>
            <w:right w:w="108" w:type="dxa"/>
          </w:tblCellMar>
        </w:tblPrEx>
        <w:trPr>
          <w:trHeight w:val="460" w:hRule="atLeast"/>
        </w:trPr>
        <w:tc>
          <w:tcPr>
            <w:tcW w:w="1526" w:type="dxa"/>
            <w:vMerge w:val="restart"/>
            <w:tcBorders>
              <w:top w:val="nil"/>
              <w:left w:val="single" w:color="auto" w:sz="4" w:space="0"/>
              <w:right w:val="single" w:color="auto" w:sz="4" w:space="0"/>
            </w:tcBorders>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病案审核人员</w:t>
            </w:r>
          </w:p>
        </w:tc>
        <w:tc>
          <w:tcPr>
            <w:tcW w:w="212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专职人员</w:t>
            </w:r>
          </w:p>
        </w:tc>
        <w:tc>
          <w:tcPr>
            <w:tcW w:w="255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不少</w:t>
            </w:r>
          </w:p>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于3人</w:t>
            </w:r>
          </w:p>
        </w:tc>
        <w:tc>
          <w:tcPr>
            <w:tcW w:w="2585"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18"/>
                <w:szCs w:val="18"/>
                <w:highlight w:val="none"/>
              </w:rPr>
            </w:pPr>
          </w:p>
        </w:tc>
      </w:tr>
      <w:tr>
        <w:tblPrEx>
          <w:tblCellMar>
            <w:top w:w="0" w:type="dxa"/>
            <w:left w:w="108" w:type="dxa"/>
            <w:bottom w:w="0" w:type="dxa"/>
            <w:right w:w="108" w:type="dxa"/>
          </w:tblCellMar>
        </w:tblPrEx>
        <w:trPr>
          <w:trHeight w:val="440" w:hRule="atLeast"/>
        </w:trPr>
        <w:tc>
          <w:tcPr>
            <w:tcW w:w="1526"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18"/>
                <w:szCs w:val="18"/>
                <w:highlight w:val="none"/>
              </w:rPr>
            </w:pPr>
          </w:p>
        </w:tc>
        <w:tc>
          <w:tcPr>
            <w:tcW w:w="212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兼职人员</w:t>
            </w:r>
          </w:p>
        </w:tc>
        <w:tc>
          <w:tcPr>
            <w:tcW w:w="255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不少</w:t>
            </w:r>
          </w:p>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于9人</w:t>
            </w:r>
          </w:p>
        </w:tc>
        <w:tc>
          <w:tcPr>
            <w:tcW w:w="2585"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18"/>
                <w:szCs w:val="18"/>
                <w:highlight w:val="none"/>
              </w:rPr>
            </w:pPr>
          </w:p>
        </w:tc>
      </w:tr>
      <w:tr>
        <w:tblPrEx>
          <w:tblCellMar>
            <w:top w:w="0" w:type="dxa"/>
            <w:left w:w="108" w:type="dxa"/>
            <w:bottom w:w="0" w:type="dxa"/>
            <w:right w:w="108" w:type="dxa"/>
          </w:tblCellMar>
        </w:tblPrEx>
        <w:trPr>
          <w:trHeight w:val="451" w:hRule="atLeast"/>
        </w:trPr>
        <w:tc>
          <w:tcPr>
            <w:tcW w:w="1526"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监控审核人员       </w:t>
            </w:r>
          </w:p>
        </w:tc>
        <w:tc>
          <w:tcPr>
            <w:tcW w:w="2126" w:type="dxa"/>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总</w:t>
            </w:r>
            <w:r>
              <w:rPr>
                <w:rFonts w:ascii="宋体" w:hAnsi="宋体" w:cs="宋体"/>
                <w:color w:val="auto"/>
                <w:kern w:val="0"/>
                <w:sz w:val="18"/>
                <w:szCs w:val="18"/>
                <w:highlight w:val="none"/>
              </w:rPr>
              <w:t>人数</w:t>
            </w:r>
          </w:p>
        </w:tc>
        <w:tc>
          <w:tcPr>
            <w:tcW w:w="2552"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不少于</w:t>
            </w:r>
          </w:p>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7人</w:t>
            </w:r>
          </w:p>
        </w:tc>
        <w:tc>
          <w:tcPr>
            <w:tcW w:w="2585"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18"/>
                <w:szCs w:val="18"/>
                <w:highlight w:val="none"/>
              </w:rPr>
            </w:pPr>
          </w:p>
        </w:tc>
      </w:tr>
      <w:tr>
        <w:tblPrEx>
          <w:tblCellMar>
            <w:top w:w="0" w:type="dxa"/>
            <w:left w:w="108" w:type="dxa"/>
            <w:bottom w:w="0" w:type="dxa"/>
            <w:right w:w="108" w:type="dxa"/>
          </w:tblCellMar>
        </w:tblPrEx>
        <w:trPr>
          <w:trHeight w:val="463" w:hRule="atLeast"/>
        </w:trPr>
        <w:tc>
          <w:tcPr>
            <w:tcW w:w="152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18"/>
                <w:szCs w:val="18"/>
                <w:highlight w:val="none"/>
              </w:rPr>
            </w:pPr>
          </w:p>
        </w:tc>
        <w:tc>
          <w:tcPr>
            <w:tcW w:w="2126" w:type="dxa"/>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其中医学类专业</w:t>
            </w:r>
          </w:p>
        </w:tc>
        <w:tc>
          <w:tcPr>
            <w:tcW w:w="255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不少</w:t>
            </w:r>
          </w:p>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于50%</w:t>
            </w:r>
          </w:p>
        </w:tc>
        <w:tc>
          <w:tcPr>
            <w:tcW w:w="2585"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18"/>
                <w:szCs w:val="18"/>
                <w:highlight w:val="none"/>
              </w:rPr>
            </w:pPr>
          </w:p>
        </w:tc>
      </w:tr>
      <w:tr>
        <w:tblPrEx>
          <w:tblCellMar>
            <w:top w:w="0" w:type="dxa"/>
            <w:left w:w="108" w:type="dxa"/>
            <w:bottom w:w="0" w:type="dxa"/>
            <w:right w:w="108" w:type="dxa"/>
          </w:tblCellMar>
        </w:tblPrEx>
        <w:trPr>
          <w:trHeight w:val="469" w:hRule="atLeast"/>
        </w:trPr>
        <w:tc>
          <w:tcPr>
            <w:tcW w:w="3652"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驻院服务人员</w:t>
            </w:r>
          </w:p>
        </w:tc>
        <w:tc>
          <w:tcPr>
            <w:tcW w:w="2552"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不少</w:t>
            </w:r>
          </w:p>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于4人</w:t>
            </w:r>
          </w:p>
        </w:tc>
        <w:tc>
          <w:tcPr>
            <w:tcW w:w="2585"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18"/>
                <w:szCs w:val="18"/>
                <w:highlight w:val="none"/>
              </w:rPr>
            </w:pPr>
          </w:p>
        </w:tc>
      </w:tr>
      <w:tr>
        <w:tblPrEx>
          <w:tblCellMar>
            <w:top w:w="0" w:type="dxa"/>
            <w:left w:w="108" w:type="dxa"/>
            <w:bottom w:w="0" w:type="dxa"/>
            <w:right w:w="108" w:type="dxa"/>
          </w:tblCellMar>
        </w:tblPrEx>
        <w:trPr>
          <w:trHeight w:val="515" w:hRule="atLeast"/>
        </w:trPr>
        <w:tc>
          <w:tcPr>
            <w:tcW w:w="3652"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巡查人员</w:t>
            </w:r>
          </w:p>
        </w:tc>
        <w:tc>
          <w:tcPr>
            <w:tcW w:w="255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不少</w:t>
            </w:r>
          </w:p>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于7人</w:t>
            </w:r>
          </w:p>
        </w:tc>
        <w:tc>
          <w:tcPr>
            <w:tcW w:w="2585"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18"/>
                <w:szCs w:val="18"/>
                <w:highlight w:val="none"/>
              </w:rPr>
            </w:pPr>
          </w:p>
        </w:tc>
      </w:tr>
      <w:tr>
        <w:tblPrEx>
          <w:tblCellMar>
            <w:top w:w="0" w:type="dxa"/>
            <w:left w:w="108" w:type="dxa"/>
            <w:bottom w:w="0" w:type="dxa"/>
            <w:right w:w="108" w:type="dxa"/>
          </w:tblCellMar>
        </w:tblPrEx>
        <w:trPr>
          <w:trHeight w:val="410" w:hRule="atLeast"/>
        </w:trPr>
        <w:tc>
          <w:tcPr>
            <w:tcW w:w="365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color w:val="auto"/>
                <w:kern w:val="0"/>
                <w:sz w:val="18"/>
                <w:szCs w:val="18"/>
                <w:highlight w:val="none"/>
              </w:rPr>
            </w:pPr>
            <w:r>
              <w:rPr>
                <w:rFonts w:hint="eastAsia" w:ascii="宋体" w:hAnsi="宋体" w:cs="宋体"/>
                <w:b/>
                <w:color w:val="auto"/>
                <w:kern w:val="0"/>
                <w:sz w:val="18"/>
                <w:szCs w:val="18"/>
                <w:highlight w:val="none"/>
              </w:rPr>
              <w:t>专职人员总数</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21人</w:t>
            </w:r>
          </w:p>
        </w:tc>
        <w:tc>
          <w:tcPr>
            <w:tcW w:w="258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
                <w:color w:val="auto"/>
                <w:kern w:val="0"/>
                <w:sz w:val="18"/>
                <w:szCs w:val="18"/>
                <w:highlight w:val="none"/>
              </w:rPr>
            </w:pPr>
          </w:p>
        </w:tc>
      </w:tr>
    </w:tbl>
    <w:p>
      <w:pPr>
        <w:spacing w:line="360" w:lineRule="auto"/>
        <w:ind w:firstLine="480" w:firstLineChars="200"/>
        <w:contextualSpacing/>
        <w:rPr>
          <w:rFonts w:hint="eastAsia" w:ascii="宋体" w:hAnsi="宋体" w:cs="宋体"/>
          <w:color w:val="auto"/>
          <w:kern w:val="0"/>
          <w:sz w:val="24"/>
          <w:szCs w:val="24"/>
          <w:highlight w:val="none"/>
        </w:rPr>
      </w:pPr>
    </w:p>
    <w:p>
      <w:pPr>
        <w:spacing w:line="360" w:lineRule="auto"/>
        <w:ind w:firstLine="480" w:firstLineChars="200"/>
        <w:contextualSpacing/>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 xml:space="preserve">2.第二个服务包人员配置承诺： </w:t>
      </w:r>
    </w:p>
    <w:tbl>
      <w:tblPr>
        <w:tblStyle w:val="24"/>
        <w:tblpPr w:leftFromText="180" w:rightFromText="180" w:vertAnchor="text" w:horzAnchor="page" w:tblpXSpec="center" w:tblpY="177"/>
        <w:tblW w:w="8755" w:type="dxa"/>
        <w:tblInd w:w="0" w:type="dxa"/>
        <w:tblLayout w:type="autofit"/>
        <w:tblCellMar>
          <w:top w:w="0" w:type="dxa"/>
          <w:left w:w="108" w:type="dxa"/>
          <w:bottom w:w="0" w:type="dxa"/>
          <w:right w:w="108" w:type="dxa"/>
        </w:tblCellMar>
      </w:tblPr>
      <w:tblGrid>
        <w:gridCol w:w="1668"/>
        <w:gridCol w:w="1842"/>
        <w:gridCol w:w="2552"/>
        <w:gridCol w:w="2693"/>
      </w:tblGrid>
      <w:tr>
        <w:tblPrEx>
          <w:tblCellMar>
            <w:top w:w="0" w:type="dxa"/>
            <w:left w:w="108" w:type="dxa"/>
            <w:bottom w:w="0" w:type="dxa"/>
            <w:right w:w="108" w:type="dxa"/>
          </w:tblCellMar>
        </w:tblPrEx>
        <w:trPr>
          <w:trHeight w:val="980" w:hRule="atLeast"/>
        </w:trPr>
        <w:tc>
          <w:tcPr>
            <w:tcW w:w="3510"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360" w:firstLineChars="200"/>
              <w:rPr>
                <w:rFonts w:ascii="宋体" w:hAnsi="宋体" w:cs="宋体"/>
                <w:color w:val="auto"/>
                <w:kern w:val="0"/>
                <w:sz w:val="18"/>
                <w:szCs w:val="18"/>
                <w:highlight w:val="none"/>
              </w:rPr>
            </w:pPr>
            <w:r>
              <w:rPr>
                <w:rFonts w:ascii="宋体" w:hAnsi="宋体" w:cs="宋体"/>
                <w:color w:val="auto"/>
                <w:kern w:val="0"/>
                <w:sz w:val="18"/>
                <w:szCs w:val="18"/>
                <w:highlight w:val="none"/>
              </w:rPr>
              <mc:AlternateContent>
                <mc:Choice Requires="wps">
                  <w:drawing>
                    <wp:anchor distT="0" distB="0" distL="114300" distR="114300" simplePos="0" relativeHeight="251685888" behindDoc="0" locked="0" layoutInCell="1" allowOverlap="1">
                      <wp:simplePos x="0" y="0"/>
                      <wp:positionH relativeFrom="column">
                        <wp:posOffset>-50800</wp:posOffset>
                      </wp:positionH>
                      <wp:positionV relativeFrom="paragraph">
                        <wp:posOffset>13335</wp:posOffset>
                      </wp:positionV>
                      <wp:extent cx="2207895" cy="314325"/>
                      <wp:effectExtent l="6350" t="13335" r="5080" b="5715"/>
                      <wp:wrapNone/>
                      <wp:docPr id="16" name="自选图形 11"/>
                      <wp:cNvGraphicFramePr/>
                      <a:graphic xmlns:a="http://schemas.openxmlformats.org/drawingml/2006/main">
                        <a:graphicData uri="http://schemas.microsoft.com/office/word/2010/wordprocessingShape">
                          <wps:wsp>
                            <wps:cNvCnPr>
                              <a:cxnSpLocks noChangeShapeType="1"/>
                            </wps:cNvCnPr>
                            <wps:spPr bwMode="auto">
                              <a:xfrm>
                                <a:off x="0" y="0"/>
                                <a:ext cx="2207895" cy="314325"/>
                              </a:xfrm>
                              <a:prstGeom prst="straightConnector1">
                                <a:avLst/>
                              </a:prstGeom>
                              <a:noFill/>
                              <a:ln w="9525">
                                <a:solidFill>
                                  <a:srgbClr val="000000"/>
                                </a:solidFill>
                                <a:round/>
                              </a:ln>
                            </wps:spPr>
                            <wps:bodyPr/>
                          </wps:wsp>
                        </a:graphicData>
                      </a:graphic>
                    </wp:anchor>
                  </w:drawing>
                </mc:Choice>
                <mc:Fallback>
                  <w:pict>
                    <v:shape id="自选图形 11" o:spid="_x0000_s1026" o:spt="32" type="#_x0000_t32" style="position:absolute;left:0pt;margin-left:-4pt;margin-top:1.05pt;height:24.75pt;width:173.85pt;z-index:251685888;mso-width-relative:page;mso-height-relative:page;" filled="f" stroked="t" coordsize="21600,21600" o:gfxdata="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T9baS1wAAAAcBAAAPAAAAAAAAAAEAIAAAACIAAABkcnMvZG93bnJldi54bWxQSwECFAAU&#10;AAAACACHTuJAn8x6XPIBAAC8AwAADgAAAAAAAAABACAAAAAmAQAAZHJzL2Uyb0RvYy54bWxQSwUG&#10;AAAAAAYABgBZAQAAigUAAAAA&#10;">
                      <v:fill on="f" focussize="0,0"/>
                      <v:stroke color="#000000" joinstyle="round"/>
                      <v:imagedata o:title=""/>
                      <o:lock v:ext="edit" aspectratio="f"/>
                    </v:shape>
                  </w:pict>
                </mc:Fallback>
              </mc:AlternateContent>
            </w:r>
            <w:r>
              <w:rPr>
                <w:rFonts w:ascii="宋体" w:hAnsi="宋体" w:cs="宋体"/>
                <w:color w:val="auto"/>
                <w:kern w:val="0"/>
                <w:sz w:val="18"/>
                <w:szCs w:val="18"/>
                <w:highlight w:val="none"/>
              </w:rPr>
              <mc:AlternateContent>
                <mc:Choice Requires="wps">
                  <w:drawing>
                    <wp:anchor distT="0" distB="0" distL="114300" distR="114300" simplePos="0" relativeHeight="251686912" behindDoc="0" locked="0" layoutInCell="1" allowOverlap="1">
                      <wp:simplePos x="0" y="0"/>
                      <wp:positionH relativeFrom="column">
                        <wp:posOffset>-52070</wp:posOffset>
                      </wp:positionH>
                      <wp:positionV relativeFrom="paragraph">
                        <wp:posOffset>6350</wp:posOffset>
                      </wp:positionV>
                      <wp:extent cx="1165225" cy="619760"/>
                      <wp:effectExtent l="5080" t="6350" r="10795" b="12065"/>
                      <wp:wrapNone/>
                      <wp:docPr id="15" name="自选图形 12"/>
                      <wp:cNvGraphicFramePr/>
                      <a:graphic xmlns:a="http://schemas.openxmlformats.org/drawingml/2006/main">
                        <a:graphicData uri="http://schemas.microsoft.com/office/word/2010/wordprocessingShape">
                          <wps:wsp>
                            <wps:cNvCnPr>
                              <a:cxnSpLocks noChangeShapeType="1"/>
                            </wps:cNvCnPr>
                            <wps:spPr bwMode="auto">
                              <a:xfrm>
                                <a:off x="0" y="0"/>
                                <a:ext cx="1165225" cy="619760"/>
                              </a:xfrm>
                              <a:prstGeom prst="straightConnector1">
                                <a:avLst/>
                              </a:prstGeom>
                              <a:noFill/>
                              <a:ln w="9525">
                                <a:solidFill>
                                  <a:srgbClr val="000000"/>
                                </a:solidFill>
                                <a:round/>
                              </a:ln>
                            </wps:spPr>
                            <wps:bodyPr/>
                          </wps:wsp>
                        </a:graphicData>
                      </a:graphic>
                    </wp:anchor>
                  </w:drawing>
                </mc:Choice>
                <mc:Fallback>
                  <w:pict>
                    <v:shape id="自选图形 12" o:spid="_x0000_s1026" o:spt="32" type="#_x0000_t32" style="position:absolute;left:0pt;margin-left:-4.1pt;margin-top:0.5pt;height:48.8pt;width:91.75pt;z-index:251686912;mso-width-relative:page;mso-height-relative:page;" filled="f" stroked="t" coordsize="21600,21600" o:gfxdata="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xwKFZ1gAAAAcBAAAPAAAAAAAAAAEAIAAAACIAAABkcnMvZG93bnJldi54bWxQSwECFAAUAAAA&#10;CACHTuJAY2CdUvABAAC8AwAADgAAAAAAAAABACAAAAAlAQAAZHJzL2Uyb0RvYy54bWxQSwUGAAAA&#10;AAYABgBZAQAAhwUAAAAA&#10;">
                      <v:fill on="f" focussize="0,0"/>
                      <v:stroke color="#000000" joinstyle="round"/>
                      <v:imagedata o:title=""/>
                      <o:lock v:ext="edit" aspectratio="f"/>
                    </v:shape>
                  </w:pict>
                </mc:Fallback>
              </mc:AlternateContent>
            </w:r>
            <w:r>
              <w:rPr>
                <w:rFonts w:hint="eastAsia" w:ascii="宋体" w:hAnsi="宋体" w:cs="宋体"/>
                <w:color w:val="auto"/>
                <w:kern w:val="0"/>
                <w:sz w:val="18"/>
                <w:szCs w:val="18"/>
                <w:highlight w:val="none"/>
              </w:rPr>
              <w:t xml:space="preserve">                   区域</w:t>
            </w:r>
          </w:p>
          <w:p>
            <w:pPr>
              <w:widowControl/>
              <w:spacing w:line="360" w:lineRule="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类别             人员</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承诺配置人员数量</w:t>
            </w:r>
          </w:p>
        </w:tc>
        <w:tc>
          <w:tcPr>
            <w:tcW w:w="269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承诺增加的人员数量</w:t>
            </w:r>
          </w:p>
        </w:tc>
      </w:tr>
      <w:tr>
        <w:tblPrEx>
          <w:tblCellMar>
            <w:top w:w="0" w:type="dxa"/>
            <w:left w:w="108" w:type="dxa"/>
            <w:bottom w:w="0" w:type="dxa"/>
            <w:right w:w="108" w:type="dxa"/>
          </w:tblCellMar>
        </w:tblPrEx>
        <w:trPr>
          <w:trHeight w:val="412" w:hRule="atLeast"/>
        </w:trPr>
        <w:tc>
          <w:tcPr>
            <w:tcW w:w="1668" w:type="dxa"/>
            <w:vMerge w:val="restart"/>
            <w:tcBorders>
              <w:top w:val="single" w:color="auto" w:sz="4" w:space="0"/>
              <w:left w:val="single" w:color="auto" w:sz="4" w:space="0"/>
              <w:right w:val="single" w:color="auto" w:sz="4" w:space="0"/>
            </w:tcBorders>
            <w:vAlign w:val="center"/>
          </w:tcPr>
          <w:p>
            <w:pPr>
              <w:widowControl/>
              <w:spacing w:line="36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康复护理</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专家</w:t>
            </w:r>
          </w:p>
        </w:tc>
        <w:tc>
          <w:tcPr>
            <w:tcW w:w="255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不少</w:t>
            </w:r>
          </w:p>
          <w:p>
            <w:pPr>
              <w:widowControl/>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于2人</w:t>
            </w:r>
          </w:p>
        </w:tc>
        <w:tc>
          <w:tcPr>
            <w:tcW w:w="2693"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color w:val="auto"/>
                <w:kern w:val="0"/>
                <w:sz w:val="18"/>
                <w:szCs w:val="18"/>
                <w:highlight w:val="none"/>
              </w:rPr>
            </w:pPr>
          </w:p>
        </w:tc>
      </w:tr>
      <w:tr>
        <w:tblPrEx>
          <w:tblCellMar>
            <w:top w:w="0" w:type="dxa"/>
            <w:left w:w="108" w:type="dxa"/>
            <w:bottom w:w="0" w:type="dxa"/>
            <w:right w:w="108" w:type="dxa"/>
          </w:tblCellMar>
        </w:tblPrEx>
        <w:trPr>
          <w:trHeight w:val="283" w:hRule="atLeast"/>
        </w:trPr>
        <w:tc>
          <w:tcPr>
            <w:tcW w:w="1668" w:type="dxa"/>
            <w:vMerge w:val="continue"/>
            <w:tcBorders>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 w:val="18"/>
                <w:szCs w:val="18"/>
                <w:highlight w:val="none"/>
              </w:rPr>
            </w:pP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其他人员</w:t>
            </w:r>
          </w:p>
        </w:tc>
        <w:tc>
          <w:tcPr>
            <w:tcW w:w="255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不少</w:t>
            </w:r>
          </w:p>
          <w:p>
            <w:pPr>
              <w:widowControl/>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于4人</w:t>
            </w:r>
          </w:p>
        </w:tc>
        <w:tc>
          <w:tcPr>
            <w:tcW w:w="2693"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color w:val="auto"/>
                <w:kern w:val="0"/>
                <w:sz w:val="18"/>
                <w:szCs w:val="18"/>
                <w:highlight w:val="none"/>
              </w:rPr>
            </w:pPr>
          </w:p>
        </w:tc>
      </w:tr>
      <w:tr>
        <w:tblPrEx>
          <w:tblCellMar>
            <w:top w:w="0" w:type="dxa"/>
            <w:left w:w="108" w:type="dxa"/>
            <w:bottom w:w="0" w:type="dxa"/>
            <w:right w:w="108" w:type="dxa"/>
          </w:tblCellMar>
        </w:tblPrEx>
        <w:trPr>
          <w:trHeight w:val="299" w:hRule="atLeast"/>
        </w:trPr>
        <w:tc>
          <w:tcPr>
            <w:tcW w:w="3510"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协议管理</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不少</w:t>
            </w:r>
          </w:p>
          <w:p>
            <w:pPr>
              <w:widowControl/>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于6人</w:t>
            </w:r>
          </w:p>
        </w:tc>
        <w:tc>
          <w:tcPr>
            <w:tcW w:w="269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auto"/>
                <w:kern w:val="0"/>
                <w:sz w:val="18"/>
                <w:szCs w:val="18"/>
                <w:highlight w:val="none"/>
              </w:rPr>
            </w:pPr>
          </w:p>
        </w:tc>
      </w:tr>
      <w:tr>
        <w:tblPrEx>
          <w:tblCellMar>
            <w:top w:w="0" w:type="dxa"/>
            <w:left w:w="108" w:type="dxa"/>
            <w:bottom w:w="0" w:type="dxa"/>
            <w:right w:w="108" w:type="dxa"/>
          </w:tblCellMar>
        </w:tblPrEx>
        <w:trPr>
          <w:trHeight w:val="299" w:hRule="atLeast"/>
        </w:trPr>
        <w:tc>
          <w:tcPr>
            <w:tcW w:w="3510"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大病保险困难救助管理</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不少</w:t>
            </w:r>
          </w:p>
          <w:p>
            <w:pPr>
              <w:widowControl/>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于2人</w:t>
            </w:r>
          </w:p>
        </w:tc>
        <w:tc>
          <w:tcPr>
            <w:tcW w:w="269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auto"/>
                <w:kern w:val="0"/>
                <w:sz w:val="18"/>
                <w:szCs w:val="18"/>
                <w:highlight w:val="none"/>
              </w:rPr>
            </w:pPr>
          </w:p>
        </w:tc>
      </w:tr>
      <w:tr>
        <w:tblPrEx>
          <w:tblCellMar>
            <w:top w:w="0" w:type="dxa"/>
            <w:left w:w="108" w:type="dxa"/>
            <w:bottom w:w="0" w:type="dxa"/>
            <w:right w:w="108" w:type="dxa"/>
          </w:tblCellMar>
        </w:tblPrEx>
        <w:trPr>
          <w:trHeight w:val="426" w:hRule="atLeast"/>
        </w:trPr>
        <w:tc>
          <w:tcPr>
            <w:tcW w:w="3510"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服务总人数</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不少</w:t>
            </w:r>
          </w:p>
          <w:p>
            <w:pPr>
              <w:widowControl/>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于14人</w:t>
            </w:r>
          </w:p>
        </w:tc>
        <w:tc>
          <w:tcPr>
            <w:tcW w:w="269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auto"/>
                <w:kern w:val="0"/>
                <w:sz w:val="18"/>
                <w:szCs w:val="18"/>
                <w:highlight w:val="none"/>
              </w:rPr>
            </w:pPr>
          </w:p>
        </w:tc>
      </w:tr>
    </w:tbl>
    <w:p>
      <w:pPr>
        <w:spacing w:line="360" w:lineRule="auto"/>
        <w:ind w:firstLine="480" w:firstLineChars="200"/>
        <w:contextualSpacing/>
        <w:rPr>
          <w:rFonts w:hint="eastAsia" w:ascii="宋体" w:hAnsi="宋体" w:cs="宋体"/>
          <w:color w:val="auto"/>
          <w:kern w:val="0"/>
          <w:sz w:val="24"/>
          <w:szCs w:val="24"/>
          <w:highlight w:val="none"/>
        </w:rPr>
      </w:pPr>
    </w:p>
    <w:p>
      <w:pPr>
        <w:spacing w:line="360" w:lineRule="auto"/>
        <w:ind w:firstLine="480" w:firstLineChars="200"/>
        <w:contextualSpacing/>
        <w:rPr>
          <w:rFonts w:hint="eastAsia" w:ascii="宋体" w:hAnsi="宋体" w:cs="宋体"/>
          <w:color w:val="auto"/>
          <w:kern w:val="0"/>
          <w:sz w:val="24"/>
          <w:szCs w:val="24"/>
          <w:highlight w:val="none"/>
        </w:rPr>
      </w:pPr>
    </w:p>
    <w:p>
      <w:pPr>
        <w:spacing w:line="360" w:lineRule="auto"/>
        <w:ind w:firstLine="480" w:firstLineChars="200"/>
        <w:contextualSpacing/>
        <w:rPr>
          <w:rFonts w:hint="eastAsia" w:ascii="宋体" w:hAnsi="宋体" w:cs="宋体"/>
          <w:color w:val="auto"/>
          <w:kern w:val="0"/>
          <w:sz w:val="24"/>
          <w:szCs w:val="24"/>
          <w:highlight w:val="none"/>
        </w:rPr>
      </w:pPr>
    </w:p>
    <w:p>
      <w:pPr>
        <w:spacing w:line="360" w:lineRule="auto"/>
        <w:ind w:firstLine="480" w:firstLineChars="200"/>
        <w:contextualSpacing/>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3.第三个服务包人员配置承诺：</w:t>
      </w:r>
    </w:p>
    <w:tbl>
      <w:tblPr>
        <w:tblStyle w:val="24"/>
        <w:tblW w:w="8789" w:type="dxa"/>
        <w:tblInd w:w="250" w:type="dxa"/>
        <w:tblLayout w:type="autofit"/>
        <w:tblCellMar>
          <w:top w:w="0" w:type="dxa"/>
          <w:left w:w="108" w:type="dxa"/>
          <w:bottom w:w="0" w:type="dxa"/>
          <w:right w:w="108" w:type="dxa"/>
        </w:tblCellMar>
      </w:tblPr>
      <w:tblGrid>
        <w:gridCol w:w="3544"/>
        <w:gridCol w:w="2551"/>
        <w:gridCol w:w="2694"/>
      </w:tblGrid>
      <w:tr>
        <w:tblPrEx>
          <w:tblCellMar>
            <w:top w:w="0" w:type="dxa"/>
            <w:left w:w="108" w:type="dxa"/>
            <w:bottom w:w="0" w:type="dxa"/>
            <w:right w:w="108" w:type="dxa"/>
          </w:tblCellMar>
        </w:tblPrEx>
        <w:trPr>
          <w:trHeight w:val="865" w:hRule="atLeast"/>
        </w:trPr>
        <w:tc>
          <w:tcPr>
            <w:tcW w:w="354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 w:val="18"/>
                <w:szCs w:val="18"/>
                <w:highlight w:val="none"/>
              </w:rPr>
            </w:pPr>
            <w:r>
              <w:rPr>
                <w:rFonts w:ascii="宋体" w:hAnsi="宋体" w:cs="宋体"/>
                <w:color w:val="auto"/>
                <w:kern w:val="0"/>
                <w:sz w:val="18"/>
                <w:szCs w:val="18"/>
                <w:highlight w:val="none"/>
              </w:rPr>
              <mc:AlternateContent>
                <mc:Choice Requires="wps">
                  <w:drawing>
                    <wp:anchor distT="0" distB="0" distL="114300" distR="114300" simplePos="0" relativeHeight="251688960" behindDoc="0" locked="0" layoutInCell="1" allowOverlap="1">
                      <wp:simplePos x="0" y="0"/>
                      <wp:positionH relativeFrom="column">
                        <wp:posOffset>-55880</wp:posOffset>
                      </wp:positionH>
                      <wp:positionV relativeFrom="paragraph">
                        <wp:posOffset>5715</wp:posOffset>
                      </wp:positionV>
                      <wp:extent cx="1244600" cy="550545"/>
                      <wp:effectExtent l="10795" t="5715" r="11430" b="5715"/>
                      <wp:wrapNone/>
                      <wp:docPr id="14" name="自选图形 13"/>
                      <wp:cNvGraphicFramePr/>
                      <a:graphic xmlns:a="http://schemas.openxmlformats.org/drawingml/2006/main">
                        <a:graphicData uri="http://schemas.microsoft.com/office/word/2010/wordprocessingShape">
                          <wps:wsp>
                            <wps:cNvCnPr>
                              <a:cxnSpLocks noChangeShapeType="1"/>
                            </wps:cNvCnPr>
                            <wps:spPr bwMode="auto">
                              <a:xfrm>
                                <a:off x="0" y="0"/>
                                <a:ext cx="1244600" cy="550545"/>
                              </a:xfrm>
                              <a:prstGeom prst="straightConnector1">
                                <a:avLst/>
                              </a:prstGeom>
                              <a:noFill/>
                              <a:ln w="9525">
                                <a:solidFill>
                                  <a:srgbClr val="000000"/>
                                </a:solidFill>
                                <a:round/>
                              </a:ln>
                            </wps:spPr>
                            <wps:bodyPr/>
                          </wps:wsp>
                        </a:graphicData>
                      </a:graphic>
                    </wp:anchor>
                  </w:drawing>
                </mc:Choice>
                <mc:Fallback>
                  <w:pict>
                    <v:shape id="自选图形 13" o:spid="_x0000_s1026" o:spt="32" type="#_x0000_t32" style="position:absolute;left:0pt;margin-left:-4.4pt;margin-top:0.45pt;height:43.35pt;width:98pt;z-index:251688960;mso-width-relative:page;mso-height-relative:page;" filled="f" stroked="t" coordsize="21600,21600" o:gfxdata="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flDpdUAAAAGAQAADwAAAAAAAAABACAAAAAiAAAAZHJzL2Rvd25yZXYueG1sUEsBAhQAFAAA&#10;AAgAh07iQJscyubyAQAAvAMAAA4AAAAAAAAAAQAgAAAAJAEAAGRycy9lMm9Eb2MueG1sUEsFBgAA&#10;AAAGAAYAWQEAAIgFAAAAAA==&#10;">
                      <v:fill on="f" focussize="0,0"/>
                      <v:stroke color="#000000" joinstyle="round"/>
                      <v:imagedata o:title=""/>
                      <o:lock v:ext="edit" aspectratio="f"/>
                    </v:shape>
                  </w:pict>
                </mc:Fallback>
              </mc:AlternateContent>
            </w:r>
            <w:r>
              <w:rPr>
                <w:rFonts w:ascii="宋体" w:hAnsi="宋体" w:cs="宋体"/>
                <w:color w:val="auto"/>
                <w:kern w:val="0"/>
                <w:sz w:val="18"/>
                <w:szCs w:val="18"/>
                <w:highlight w:val="none"/>
              </w:rPr>
              <mc:AlternateContent>
                <mc:Choice Requires="wps">
                  <w:drawing>
                    <wp:anchor distT="0" distB="0" distL="114300" distR="114300" simplePos="0" relativeHeight="251687936" behindDoc="0" locked="0" layoutInCell="1" allowOverlap="1">
                      <wp:simplePos x="0" y="0"/>
                      <wp:positionH relativeFrom="column">
                        <wp:posOffset>-48895</wp:posOffset>
                      </wp:positionH>
                      <wp:positionV relativeFrom="paragraph">
                        <wp:posOffset>7620</wp:posOffset>
                      </wp:positionV>
                      <wp:extent cx="2231390" cy="246380"/>
                      <wp:effectExtent l="8255" t="7620" r="8255" b="12700"/>
                      <wp:wrapNone/>
                      <wp:docPr id="13" name="自选图形 14"/>
                      <wp:cNvGraphicFramePr/>
                      <a:graphic xmlns:a="http://schemas.openxmlformats.org/drawingml/2006/main">
                        <a:graphicData uri="http://schemas.microsoft.com/office/word/2010/wordprocessingShape">
                          <wps:wsp>
                            <wps:cNvCnPr>
                              <a:cxnSpLocks noChangeShapeType="1"/>
                            </wps:cNvCnPr>
                            <wps:spPr bwMode="auto">
                              <a:xfrm>
                                <a:off x="0" y="0"/>
                                <a:ext cx="2231390" cy="246380"/>
                              </a:xfrm>
                              <a:prstGeom prst="straightConnector1">
                                <a:avLst/>
                              </a:prstGeom>
                              <a:noFill/>
                              <a:ln w="9525">
                                <a:solidFill>
                                  <a:srgbClr val="000000"/>
                                </a:solidFill>
                                <a:round/>
                              </a:ln>
                            </wps:spPr>
                            <wps:bodyPr/>
                          </wps:wsp>
                        </a:graphicData>
                      </a:graphic>
                    </wp:anchor>
                  </w:drawing>
                </mc:Choice>
                <mc:Fallback>
                  <w:pict>
                    <v:shape id="自选图形 14" o:spid="_x0000_s1026" o:spt="32" type="#_x0000_t32" style="position:absolute;left:0pt;margin-left:-3.85pt;margin-top:0.6pt;height:19.4pt;width:175.7pt;z-index:251687936;mso-width-relative:page;mso-height-relative:page;" filled="f" stroked="t" coordsize="21600,21600" o:gfxdata="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NrMWZdUAAAAHAQAADwAAAAAAAAABACAAAAAiAAAAZHJzL2Rvd25yZXYueG1sUEsBAhQA&#10;FAAAAAgAh07iQEOV2dr1AQAAvAMAAA4AAAAAAAAAAQAgAAAAJAEAAGRycy9lMm9Eb2MueG1sUEsF&#10;BgAAAAAGAAYAWQEAAIsFAAAAAA==&#10;">
                      <v:fill on="f" focussize="0,0"/>
                      <v:stroke color="#000000" joinstyle="round"/>
                      <v:imagedata o:title=""/>
                      <o:lock v:ext="edit" aspectratio="f"/>
                    </v:shape>
                  </w:pict>
                </mc:Fallback>
              </mc:AlternateContent>
            </w:r>
            <w:r>
              <w:rPr>
                <w:rFonts w:hint="eastAsia" w:ascii="宋体" w:hAnsi="宋体" w:cs="宋体"/>
                <w:color w:val="auto"/>
                <w:kern w:val="0"/>
                <w:sz w:val="18"/>
                <w:szCs w:val="18"/>
                <w:highlight w:val="none"/>
              </w:rPr>
              <w:t xml:space="preserve">                      区域                 </w:t>
            </w:r>
          </w:p>
          <w:p>
            <w:pPr>
              <w:spacing w:line="360" w:lineRule="auto"/>
              <w:rPr>
                <w:rFonts w:ascii="宋体" w:hAnsi="宋体" w:cs="宋体"/>
                <w:color w:val="auto"/>
                <w:sz w:val="18"/>
                <w:szCs w:val="18"/>
                <w:highlight w:val="none"/>
              </w:rPr>
            </w:pPr>
            <w:r>
              <w:rPr>
                <w:rFonts w:hint="eastAsia" w:ascii="宋体" w:hAnsi="宋体" w:cs="宋体"/>
                <w:color w:val="auto"/>
                <w:sz w:val="18"/>
                <w:szCs w:val="18"/>
                <w:highlight w:val="none"/>
              </w:rPr>
              <w:t xml:space="preserve"> 类别             人员</w:t>
            </w:r>
          </w:p>
        </w:tc>
        <w:tc>
          <w:tcPr>
            <w:tcW w:w="255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承诺配置人员数量</w:t>
            </w:r>
          </w:p>
        </w:tc>
        <w:tc>
          <w:tcPr>
            <w:tcW w:w="2694"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承诺增加的人员数量</w:t>
            </w:r>
          </w:p>
        </w:tc>
      </w:tr>
      <w:tr>
        <w:tblPrEx>
          <w:tblCellMar>
            <w:top w:w="0" w:type="dxa"/>
            <w:left w:w="108" w:type="dxa"/>
            <w:bottom w:w="0" w:type="dxa"/>
            <w:right w:w="108" w:type="dxa"/>
          </w:tblCellMar>
        </w:tblPrEx>
        <w:trPr>
          <w:trHeight w:val="440" w:hRule="atLeast"/>
        </w:trPr>
        <w:tc>
          <w:tcPr>
            <w:tcW w:w="3544"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医保管理岗</w:t>
            </w:r>
          </w:p>
        </w:tc>
        <w:tc>
          <w:tcPr>
            <w:tcW w:w="2551"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不少</w:t>
            </w:r>
          </w:p>
          <w:p>
            <w:pPr>
              <w:widowControl/>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于3人</w:t>
            </w:r>
          </w:p>
        </w:tc>
        <w:tc>
          <w:tcPr>
            <w:tcW w:w="2694" w:type="dxa"/>
            <w:tcBorders>
              <w:top w:val="nil"/>
              <w:left w:val="nil"/>
              <w:bottom w:val="single" w:color="auto" w:sz="4" w:space="0"/>
              <w:right w:val="single" w:color="auto" w:sz="4" w:space="0"/>
            </w:tcBorders>
            <w:vAlign w:val="center"/>
          </w:tcPr>
          <w:p>
            <w:pPr>
              <w:widowControl/>
              <w:spacing w:line="276" w:lineRule="auto"/>
              <w:jc w:val="center"/>
              <w:rPr>
                <w:rFonts w:ascii="宋体" w:hAnsi="宋体" w:cs="宋体"/>
                <w:color w:val="auto"/>
                <w:kern w:val="0"/>
                <w:sz w:val="18"/>
                <w:szCs w:val="18"/>
                <w:highlight w:val="none"/>
              </w:rPr>
            </w:pPr>
          </w:p>
        </w:tc>
      </w:tr>
      <w:tr>
        <w:tblPrEx>
          <w:tblCellMar>
            <w:top w:w="0" w:type="dxa"/>
            <w:left w:w="108" w:type="dxa"/>
            <w:bottom w:w="0" w:type="dxa"/>
            <w:right w:w="108" w:type="dxa"/>
          </w:tblCellMar>
        </w:tblPrEx>
        <w:trPr>
          <w:trHeight w:val="519" w:hRule="atLeast"/>
        </w:trPr>
        <w:tc>
          <w:tcPr>
            <w:tcW w:w="3544"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窗口岗</w:t>
            </w:r>
          </w:p>
        </w:tc>
        <w:tc>
          <w:tcPr>
            <w:tcW w:w="2551"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不少</w:t>
            </w:r>
          </w:p>
          <w:p>
            <w:pPr>
              <w:widowControl/>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于12人</w:t>
            </w:r>
          </w:p>
        </w:tc>
        <w:tc>
          <w:tcPr>
            <w:tcW w:w="2694" w:type="dxa"/>
            <w:tcBorders>
              <w:top w:val="nil"/>
              <w:left w:val="nil"/>
              <w:bottom w:val="single" w:color="auto" w:sz="4" w:space="0"/>
              <w:right w:val="single" w:color="auto" w:sz="4" w:space="0"/>
            </w:tcBorders>
            <w:vAlign w:val="center"/>
          </w:tcPr>
          <w:p>
            <w:pPr>
              <w:widowControl/>
              <w:spacing w:line="276" w:lineRule="auto"/>
              <w:jc w:val="center"/>
              <w:rPr>
                <w:rFonts w:ascii="宋体" w:hAnsi="宋体" w:cs="宋体"/>
                <w:color w:val="auto"/>
                <w:kern w:val="0"/>
                <w:sz w:val="18"/>
                <w:szCs w:val="18"/>
                <w:highlight w:val="none"/>
              </w:rPr>
            </w:pPr>
          </w:p>
        </w:tc>
      </w:tr>
      <w:tr>
        <w:tblPrEx>
          <w:tblCellMar>
            <w:top w:w="0" w:type="dxa"/>
            <w:left w:w="108" w:type="dxa"/>
            <w:bottom w:w="0" w:type="dxa"/>
            <w:right w:w="108" w:type="dxa"/>
          </w:tblCellMar>
        </w:tblPrEx>
        <w:trPr>
          <w:trHeight w:val="301" w:hRule="atLeast"/>
        </w:trPr>
        <w:tc>
          <w:tcPr>
            <w:tcW w:w="354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总人数</w:t>
            </w:r>
          </w:p>
        </w:tc>
        <w:tc>
          <w:tcPr>
            <w:tcW w:w="255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不少</w:t>
            </w:r>
          </w:p>
          <w:p>
            <w:pPr>
              <w:widowControl/>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于15人</w:t>
            </w:r>
          </w:p>
        </w:tc>
        <w:tc>
          <w:tcPr>
            <w:tcW w:w="269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auto"/>
                <w:kern w:val="0"/>
                <w:sz w:val="18"/>
                <w:szCs w:val="18"/>
                <w:highlight w:val="none"/>
              </w:rPr>
            </w:pPr>
          </w:p>
        </w:tc>
      </w:tr>
    </w:tbl>
    <w:p>
      <w:pPr>
        <w:spacing w:line="360" w:lineRule="auto"/>
        <w:ind w:firstLine="480" w:firstLineChars="200"/>
        <w:contextualSpacing/>
        <w:rPr>
          <w:rFonts w:hint="eastAsia" w:ascii="宋体" w:hAnsi="宋体" w:cs="宋体"/>
          <w:color w:val="auto"/>
          <w:kern w:val="0"/>
          <w:sz w:val="24"/>
          <w:szCs w:val="24"/>
          <w:highlight w:val="none"/>
        </w:rPr>
      </w:pPr>
    </w:p>
    <w:p>
      <w:pPr>
        <w:spacing w:line="360" w:lineRule="auto"/>
        <w:ind w:firstLine="480" w:firstLineChars="200"/>
        <w:contextualSpacing/>
        <w:rPr>
          <w:rFonts w:hint="eastAsia" w:ascii="宋体" w:hAnsi="宋体" w:cs="宋体"/>
          <w:color w:val="auto"/>
          <w:kern w:val="0"/>
          <w:sz w:val="24"/>
          <w:szCs w:val="24"/>
          <w:highlight w:val="none"/>
        </w:rPr>
      </w:pPr>
    </w:p>
    <w:p>
      <w:pPr>
        <w:spacing w:line="48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投标人（盖章）：</w:t>
      </w:r>
    </w:p>
    <w:p>
      <w:pPr>
        <w:spacing w:line="480" w:lineRule="auto"/>
        <w:ind w:firstLine="480" w:firstLineChars="200"/>
        <w:rPr>
          <w:rFonts w:ascii="宋体" w:hAnsi="宋体"/>
          <w:bCs/>
          <w:color w:val="auto"/>
          <w:sz w:val="24"/>
          <w:szCs w:val="24"/>
          <w:highlight w:val="none"/>
        </w:rPr>
      </w:pPr>
      <w:r>
        <w:rPr>
          <w:rFonts w:hint="eastAsia" w:ascii="宋体" w:hAnsi="宋体"/>
          <w:color w:val="auto"/>
          <w:sz w:val="24"/>
          <w:szCs w:val="24"/>
          <w:highlight w:val="none"/>
        </w:rPr>
        <w:t>法定代表人（负责人）或被授权代表（签字或盖章）</w:t>
      </w:r>
      <w:r>
        <w:rPr>
          <w:rFonts w:hint="eastAsia" w:ascii="宋体" w:hAnsi="宋体"/>
          <w:bCs/>
          <w:color w:val="auto"/>
          <w:sz w:val="24"/>
          <w:szCs w:val="24"/>
          <w:highlight w:val="none"/>
        </w:rPr>
        <w:t>：</w:t>
      </w:r>
    </w:p>
    <w:p>
      <w:pPr>
        <w:spacing w:line="360" w:lineRule="auto"/>
        <w:ind w:firstLine="1440" w:firstLineChars="600"/>
        <w:jc w:val="left"/>
        <w:rPr>
          <w:rFonts w:hint="eastAsia" w:ascii="黑体" w:hAnsi="宋体" w:eastAsia="黑体"/>
          <w:bCs/>
          <w:color w:val="auto"/>
          <w:sz w:val="24"/>
          <w:szCs w:val="24"/>
          <w:highlight w:val="none"/>
        </w:rPr>
      </w:pPr>
      <w:r>
        <w:rPr>
          <w:rFonts w:hint="eastAsia" w:ascii="宋体" w:hAnsi="宋体"/>
          <w:color w:val="auto"/>
          <w:sz w:val="24"/>
          <w:szCs w:val="24"/>
          <w:highlight w:val="none"/>
        </w:rPr>
        <w:t>年   月   日</w:t>
      </w:r>
    </w:p>
    <w:p>
      <w:pPr>
        <w:spacing w:line="360" w:lineRule="auto"/>
        <w:ind w:firstLine="480" w:firstLineChars="200"/>
        <w:contextualSpacing/>
        <w:rPr>
          <w:rFonts w:hint="eastAsia" w:ascii="宋体" w:hAnsi="宋体" w:cs="宋体"/>
          <w:color w:val="auto"/>
          <w:kern w:val="0"/>
          <w:sz w:val="24"/>
          <w:szCs w:val="24"/>
          <w:highlight w:val="none"/>
        </w:rPr>
      </w:pPr>
    </w:p>
    <w:p>
      <w:pPr>
        <w:spacing w:line="360" w:lineRule="auto"/>
        <w:ind w:firstLine="480" w:firstLineChars="200"/>
        <w:contextualSpacing/>
        <w:rPr>
          <w:rFonts w:hint="eastAsia" w:ascii="宋体" w:hAnsi="宋体" w:cs="宋体"/>
          <w:color w:val="auto"/>
          <w:kern w:val="0"/>
          <w:sz w:val="24"/>
          <w:szCs w:val="24"/>
          <w:highlight w:val="none"/>
        </w:rPr>
      </w:pPr>
    </w:p>
    <w:p>
      <w:pPr>
        <w:jc w:val="center"/>
        <w:rPr>
          <w:rFonts w:hint="eastAsia" w:ascii="黑体" w:hAnsi="黑体" w:eastAsia="黑体"/>
          <w:bCs/>
          <w:color w:val="auto"/>
          <w:sz w:val="28"/>
          <w:szCs w:val="28"/>
          <w:highlight w:val="none"/>
        </w:rPr>
      </w:pPr>
    </w:p>
    <w:p>
      <w:pPr>
        <w:jc w:val="center"/>
        <w:rPr>
          <w:rFonts w:hint="eastAsia" w:ascii="黑体" w:hAnsi="黑体" w:eastAsia="黑体"/>
          <w:bCs/>
          <w:color w:val="auto"/>
          <w:sz w:val="28"/>
          <w:szCs w:val="28"/>
          <w:highlight w:val="none"/>
        </w:rPr>
      </w:pPr>
    </w:p>
    <w:p>
      <w:pPr>
        <w:jc w:val="center"/>
        <w:rPr>
          <w:rFonts w:hint="eastAsia" w:ascii="黑体" w:hAnsi="黑体" w:eastAsia="黑体"/>
          <w:bCs/>
          <w:color w:val="auto"/>
          <w:sz w:val="28"/>
          <w:szCs w:val="28"/>
          <w:highlight w:val="none"/>
        </w:rPr>
      </w:pPr>
    </w:p>
    <w:p>
      <w:pPr>
        <w:jc w:val="center"/>
        <w:rPr>
          <w:rFonts w:hint="eastAsia" w:ascii="黑体" w:hAnsi="黑体" w:eastAsia="黑体"/>
          <w:bCs/>
          <w:color w:val="auto"/>
          <w:sz w:val="28"/>
          <w:szCs w:val="28"/>
          <w:highlight w:val="none"/>
        </w:rPr>
      </w:pPr>
    </w:p>
    <w:p>
      <w:pPr>
        <w:jc w:val="center"/>
        <w:rPr>
          <w:rFonts w:hint="eastAsia" w:ascii="黑体" w:hAnsi="黑体" w:eastAsia="黑体"/>
          <w:bCs/>
          <w:color w:val="auto"/>
          <w:sz w:val="28"/>
          <w:szCs w:val="28"/>
          <w:highlight w:val="none"/>
        </w:rPr>
      </w:pPr>
    </w:p>
    <w:p>
      <w:pPr>
        <w:jc w:val="center"/>
        <w:rPr>
          <w:rFonts w:hint="eastAsia" w:ascii="黑体" w:hAnsi="黑体" w:eastAsia="黑体"/>
          <w:bCs/>
          <w:color w:val="auto"/>
          <w:sz w:val="28"/>
          <w:szCs w:val="28"/>
          <w:highlight w:val="none"/>
        </w:rPr>
      </w:pPr>
    </w:p>
    <w:p>
      <w:pPr>
        <w:jc w:val="center"/>
        <w:rPr>
          <w:rFonts w:hint="eastAsia" w:ascii="黑体" w:hAnsi="黑体" w:eastAsia="黑体"/>
          <w:bCs/>
          <w:color w:val="auto"/>
          <w:sz w:val="28"/>
          <w:szCs w:val="28"/>
          <w:highlight w:val="none"/>
        </w:rPr>
      </w:pPr>
    </w:p>
    <w:p>
      <w:pPr>
        <w:jc w:val="center"/>
        <w:rPr>
          <w:rFonts w:hint="eastAsia" w:ascii="黑体" w:hAnsi="黑体" w:eastAsia="黑体"/>
          <w:bCs/>
          <w:color w:val="auto"/>
          <w:sz w:val="28"/>
          <w:szCs w:val="28"/>
          <w:highlight w:val="none"/>
        </w:rPr>
      </w:pPr>
    </w:p>
    <w:p>
      <w:pPr>
        <w:jc w:val="center"/>
        <w:rPr>
          <w:rFonts w:hint="eastAsia" w:ascii="黑体" w:hAnsi="黑体" w:eastAsia="黑体"/>
          <w:bCs/>
          <w:color w:val="auto"/>
          <w:sz w:val="28"/>
          <w:szCs w:val="28"/>
          <w:highlight w:val="none"/>
        </w:rPr>
      </w:pPr>
    </w:p>
    <w:p>
      <w:pPr>
        <w:jc w:val="center"/>
        <w:rPr>
          <w:rFonts w:hint="eastAsia" w:ascii="黑体" w:hAnsi="黑体" w:eastAsia="黑体"/>
          <w:bCs/>
          <w:color w:val="auto"/>
          <w:sz w:val="28"/>
          <w:szCs w:val="28"/>
          <w:highlight w:val="none"/>
        </w:rPr>
      </w:pPr>
    </w:p>
    <w:p>
      <w:pPr>
        <w:jc w:val="center"/>
        <w:rPr>
          <w:rFonts w:hint="eastAsia" w:ascii="黑体" w:hAnsi="黑体" w:eastAsia="黑体"/>
          <w:bCs/>
          <w:color w:val="auto"/>
          <w:sz w:val="28"/>
          <w:szCs w:val="28"/>
          <w:highlight w:val="none"/>
        </w:rPr>
      </w:pPr>
    </w:p>
    <w:p>
      <w:pPr>
        <w:jc w:val="center"/>
        <w:rPr>
          <w:rFonts w:hint="eastAsia" w:ascii="黑体" w:hAnsi="黑体" w:eastAsia="黑体"/>
          <w:bCs/>
          <w:color w:val="auto"/>
          <w:sz w:val="28"/>
          <w:szCs w:val="28"/>
          <w:highlight w:val="none"/>
        </w:rPr>
      </w:pPr>
    </w:p>
    <w:p>
      <w:pPr>
        <w:jc w:val="center"/>
        <w:rPr>
          <w:rFonts w:hint="eastAsia" w:ascii="黑体" w:hAnsi="黑体" w:eastAsia="黑体"/>
          <w:bCs/>
          <w:color w:val="auto"/>
          <w:sz w:val="28"/>
          <w:szCs w:val="28"/>
          <w:highlight w:val="none"/>
        </w:rPr>
      </w:pPr>
      <w:r>
        <w:rPr>
          <w:rFonts w:hint="eastAsia" w:ascii="黑体" w:hAnsi="黑体" w:eastAsia="黑体"/>
          <w:bCs/>
          <w:color w:val="auto"/>
          <w:sz w:val="28"/>
          <w:szCs w:val="28"/>
          <w:highlight w:val="none"/>
        </w:rPr>
        <w:t>人员配置承诺书</w:t>
      </w:r>
    </w:p>
    <w:p>
      <w:pPr>
        <w:spacing w:line="360" w:lineRule="auto"/>
        <w:ind w:firstLine="480" w:firstLineChars="200"/>
        <w:contextualSpacing/>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投标人作如下承诺：</w:t>
      </w:r>
    </w:p>
    <w:p>
      <w:pPr>
        <w:spacing w:line="360" w:lineRule="auto"/>
        <w:ind w:firstLine="480" w:firstLineChars="200"/>
        <w:contextualSpacing/>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我单位</w:t>
      </w:r>
      <w:r>
        <w:rPr>
          <w:rFonts w:hint="eastAsia" w:ascii="宋体" w:hAnsi="宋体"/>
          <w:color w:val="auto"/>
          <w:sz w:val="24"/>
          <w:szCs w:val="24"/>
          <w:highlight w:val="none"/>
        </w:rPr>
        <w:t>将对本项目标段（</w:t>
      </w:r>
      <w:r>
        <w:rPr>
          <w:rFonts w:hint="eastAsia" w:ascii="宋体" w:hAnsi="宋体"/>
          <w:color w:val="auto"/>
          <w:sz w:val="24"/>
          <w:szCs w:val="24"/>
          <w:highlight w:val="none"/>
          <w:u w:val="single"/>
        </w:rPr>
        <w:t>三</w:t>
      </w:r>
      <w:r>
        <w:rPr>
          <w:rFonts w:hint="eastAsia" w:ascii="宋体" w:hAnsi="宋体"/>
          <w:color w:val="auto"/>
          <w:sz w:val="24"/>
          <w:szCs w:val="24"/>
          <w:highlight w:val="none"/>
        </w:rPr>
        <w:t>）作出人员配置承诺，</w:t>
      </w:r>
      <w:r>
        <w:rPr>
          <w:rFonts w:hint="eastAsia" w:ascii="宋体" w:hAnsi="宋体" w:cs="宋体"/>
          <w:color w:val="auto"/>
          <w:kern w:val="0"/>
          <w:sz w:val="24"/>
          <w:szCs w:val="24"/>
          <w:highlight w:val="none"/>
        </w:rPr>
        <w:t>承诺以下人员在中标合同生效45日内全部配备到位。</w:t>
      </w:r>
    </w:p>
    <w:p>
      <w:pPr>
        <w:spacing w:line="360" w:lineRule="auto"/>
        <w:ind w:firstLine="480" w:firstLineChars="200"/>
        <w:contextualSpacing/>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1.第一个服务包人员配置承诺：</w:t>
      </w:r>
    </w:p>
    <w:tbl>
      <w:tblPr>
        <w:tblStyle w:val="24"/>
        <w:tblpPr w:leftFromText="180" w:rightFromText="180" w:vertAnchor="text" w:horzAnchor="margin" w:tblpX="574" w:tblpY="201"/>
        <w:tblW w:w="8397" w:type="dxa"/>
        <w:tblInd w:w="0" w:type="dxa"/>
        <w:tblLayout w:type="autofit"/>
        <w:tblCellMar>
          <w:top w:w="0" w:type="dxa"/>
          <w:left w:w="108" w:type="dxa"/>
          <w:bottom w:w="0" w:type="dxa"/>
          <w:right w:w="108" w:type="dxa"/>
        </w:tblCellMar>
      </w:tblPr>
      <w:tblGrid>
        <w:gridCol w:w="1309"/>
        <w:gridCol w:w="1985"/>
        <w:gridCol w:w="2693"/>
        <w:gridCol w:w="2410"/>
      </w:tblGrid>
      <w:tr>
        <w:tblPrEx>
          <w:tblCellMar>
            <w:top w:w="0" w:type="dxa"/>
            <w:left w:w="108" w:type="dxa"/>
            <w:bottom w:w="0" w:type="dxa"/>
            <w:right w:w="108" w:type="dxa"/>
          </w:tblCellMar>
        </w:tblPrEx>
        <w:trPr>
          <w:trHeight w:val="844" w:hRule="atLeast"/>
        </w:trPr>
        <w:tc>
          <w:tcPr>
            <w:tcW w:w="329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mc:AlternateContent>
                <mc:Choice Requires="wps">
                  <w:drawing>
                    <wp:anchor distT="0" distB="0" distL="114300" distR="114300" simplePos="0" relativeHeight="251689984" behindDoc="0" locked="0" layoutInCell="1" allowOverlap="1">
                      <wp:simplePos x="0" y="0"/>
                      <wp:positionH relativeFrom="column">
                        <wp:posOffset>-46355</wp:posOffset>
                      </wp:positionH>
                      <wp:positionV relativeFrom="paragraph">
                        <wp:posOffset>22225</wp:posOffset>
                      </wp:positionV>
                      <wp:extent cx="967105" cy="549910"/>
                      <wp:effectExtent l="10795" t="12700" r="12700" b="8890"/>
                      <wp:wrapNone/>
                      <wp:docPr id="12" name="自选图形 9"/>
                      <wp:cNvGraphicFramePr/>
                      <a:graphic xmlns:a="http://schemas.openxmlformats.org/drawingml/2006/main">
                        <a:graphicData uri="http://schemas.microsoft.com/office/word/2010/wordprocessingShape">
                          <wps:wsp>
                            <wps:cNvCnPr>
                              <a:cxnSpLocks noChangeShapeType="1"/>
                            </wps:cNvCnPr>
                            <wps:spPr bwMode="auto">
                              <a:xfrm>
                                <a:off x="0" y="0"/>
                                <a:ext cx="967105" cy="549910"/>
                              </a:xfrm>
                              <a:prstGeom prst="straightConnector1">
                                <a:avLst/>
                              </a:prstGeom>
                              <a:noFill/>
                              <a:ln w="9525">
                                <a:solidFill>
                                  <a:srgbClr val="000000"/>
                                </a:solidFill>
                                <a:round/>
                              </a:ln>
                            </wps:spPr>
                            <wps:bodyPr/>
                          </wps:wsp>
                        </a:graphicData>
                      </a:graphic>
                    </wp:anchor>
                  </w:drawing>
                </mc:Choice>
                <mc:Fallback>
                  <w:pict>
                    <v:shape id="自选图形 9" o:spid="_x0000_s1026" o:spt="32" type="#_x0000_t32" style="position:absolute;left:0pt;margin-left:-3.65pt;margin-top:1.75pt;height:43.3pt;width:76.15pt;z-index:251689984;mso-width-relative:page;mso-height-relative:page;" filled="f" stroked="t" coordsize="21600,21600" o:gfxdata="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F7lkvTWAAAABwEAAA8AAAAAAAAAAQAgAAAAIgAAAGRycy9kb3ducmV2LnhtbFBLAQIUABQA&#10;AAAIAIdO4kBv4WtF8gEAALoDAAAOAAAAAAAAAAEAIAAAACUBAABkcnMvZTJvRG9jLnhtbFBLBQYA&#10;AAAABgAGAFkBAACJBQAAAAA=&#10;">
                      <v:fill on="f" focussize="0,0"/>
                      <v:stroke color="#000000" joinstyle="round"/>
                      <v:imagedata o:title=""/>
                      <o:lock v:ext="edit" aspectratio="f"/>
                    </v:shape>
                  </w:pict>
                </mc:Fallback>
              </mc:AlternateContent>
            </w:r>
            <w:r>
              <w:rPr>
                <w:rFonts w:ascii="宋体" w:hAnsi="宋体" w:cs="宋体"/>
                <w:color w:val="auto"/>
                <w:kern w:val="0"/>
                <w:sz w:val="18"/>
                <w:szCs w:val="18"/>
                <w:highlight w:val="none"/>
              </w:rPr>
              <mc:AlternateContent>
                <mc:Choice Requires="wps">
                  <w:drawing>
                    <wp:anchor distT="0" distB="0" distL="114300" distR="114300" simplePos="0" relativeHeight="251691008" behindDoc="0" locked="0" layoutInCell="1" allowOverlap="1">
                      <wp:simplePos x="0" y="0"/>
                      <wp:positionH relativeFrom="column">
                        <wp:posOffset>-36830</wp:posOffset>
                      </wp:positionH>
                      <wp:positionV relativeFrom="paragraph">
                        <wp:posOffset>21590</wp:posOffset>
                      </wp:positionV>
                      <wp:extent cx="2054860" cy="285750"/>
                      <wp:effectExtent l="10795" t="12065" r="10795" b="6985"/>
                      <wp:wrapNone/>
                      <wp:docPr id="11" name="自选图形 10"/>
                      <wp:cNvGraphicFramePr/>
                      <a:graphic xmlns:a="http://schemas.openxmlformats.org/drawingml/2006/main">
                        <a:graphicData uri="http://schemas.microsoft.com/office/word/2010/wordprocessingShape">
                          <wps:wsp>
                            <wps:cNvCnPr>
                              <a:cxnSpLocks noChangeShapeType="1"/>
                            </wps:cNvCnPr>
                            <wps:spPr bwMode="auto">
                              <a:xfrm>
                                <a:off x="0" y="0"/>
                                <a:ext cx="2054860" cy="285750"/>
                              </a:xfrm>
                              <a:prstGeom prst="straightConnector1">
                                <a:avLst/>
                              </a:prstGeom>
                              <a:noFill/>
                              <a:ln w="9525">
                                <a:solidFill>
                                  <a:srgbClr val="000000"/>
                                </a:solidFill>
                                <a:round/>
                              </a:ln>
                            </wps:spPr>
                            <wps:bodyPr/>
                          </wps:wsp>
                        </a:graphicData>
                      </a:graphic>
                    </wp:anchor>
                  </w:drawing>
                </mc:Choice>
                <mc:Fallback>
                  <w:pict>
                    <v:shape id="自选图形 10" o:spid="_x0000_s1026" o:spt="32" type="#_x0000_t32" style="position:absolute;left:0pt;margin-left:-2.9pt;margin-top:1.7pt;height:22.5pt;width:161.8pt;z-index:251691008;mso-width-relative:page;mso-height-relative:page;" filled="f" stroked="t" coordsize="21600,21600" o:gfxdata="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BdjSy/WAAAABwEAAA8AAAAAAAAAAQAgAAAAIgAAAGRycy9kb3ducmV2LnhtbFBLAQIU&#10;ABQAAAAIAIdO4kDwm8Pl9QEAALwDAAAOAAAAAAAAAAEAIAAAACUBAABkcnMvZTJvRG9jLnhtbFBL&#10;BQYAAAAABgAGAFkBAACMBQAAAAA=&#10;">
                      <v:fill on="f" focussize="0,0"/>
                      <v:stroke color="#000000" joinstyle="round"/>
                      <v:imagedata o:title=""/>
                      <o:lock v:ext="edit" aspectratio="f"/>
                    </v:shape>
                  </w:pict>
                </mc:Fallback>
              </mc:AlternateContent>
            </w:r>
            <w:r>
              <w:rPr>
                <w:rFonts w:hint="eastAsia" w:ascii="宋体" w:hAnsi="宋体" w:cs="宋体"/>
                <w:color w:val="auto"/>
                <w:kern w:val="0"/>
                <w:sz w:val="18"/>
                <w:szCs w:val="18"/>
                <w:highlight w:val="none"/>
              </w:rPr>
              <w:t xml:space="preserve">                       区域</w:t>
            </w:r>
          </w:p>
          <w:p>
            <w:pPr>
              <w:widowControl/>
              <w:rPr>
                <w:rFonts w:hint="eastAsia" w:ascii="宋体" w:hAnsi="宋体" w:cs="宋体"/>
                <w:color w:val="auto"/>
                <w:kern w:val="0"/>
                <w:sz w:val="18"/>
                <w:szCs w:val="18"/>
                <w:highlight w:val="none"/>
              </w:rPr>
            </w:pPr>
          </w:p>
          <w:p>
            <w:pPr>
              <w:widowControl/>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类别            人员数量</w:t>
            </w:r>
          </w:p>
          <w:p>
            <w:pPr>
              <w:widowControl/>
              <w:ind w:firstLine="810" w:firstLineChars="450"/>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 </w:t>
            </w:r>
          </w:p>
        </w:tc>
        <w:tc>
          <w:tcPr>
            <w:tcW w:w="26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承诺配置人员数量</w:t>
            </w:r>
          </w:p>
        </w:tc>
        <w:tc>
          <w:tcPr>
            <w:tcW w:w="241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承诺增加的人员数量</w:t>
            </w:r>
          </w:p>
        </w:tc>
      </w:tr>
      <w:tr>
        <w:tblPrEx>
          <w:tblCellMar>
            <w:top w:w="0" w:type="dxa"/>
            <w:left w:w="108" w:type="dxa"/>
            <w:bottom w:w="0" w:type="dxa"/>
            <w:right w:w="108" w:type="dxa"/>
          </w:tblCellMar>
        </w:tblPrEx>
        <w:trPr>
          <w:trHeight w:val="460" w:hRule="atLeast"/>
        </w:trPr>
        <w:tc>
          <w:tcPr>
            <w:tcW w:w="1309" w:type="dxa"/>
            <w:vMerge w:val="restart"/>
            <w:tcBorders>
              <w:top w:val="nil"/>
              <w:left w:val="single" w:color="auto" w:sz="4" w:space="0"/>
              <w:right w:val="single" w:color="auto" w:sz="4" w:space="0"/>
            </w:tcBorders>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病案审核人员</w:t>
            </w:r>
          </w:p>
        </w:tc>
        <w:tc>
          <w:tcPr>
            <w:tcW w:w="198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专职人员</w:t>
            </w:r>
          </w:p>
        </w:tc>
        <w:tc>
          <w:tcPr>
            <w:tcW w:w="2693"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不少</w:t>
            </w:r>
          </w:p>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于2人</w:t>
            </w:r>
          </w:p>
        </w:tc>
        <w:tc>
          <w:tcPr>
            <w:tcW w:w="2410"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p>
        </w:tc>
      </w:tr>
      <w:tr>
        <w:tblPrEx>
          <w:tblCellMar>
            <w:top w:w="0" w:type="dxa"/>
            <w:left w:w="108" w:type="dxa"/>
            <w:bottom w:w="0" w:type="dxa"/>
            <w:right w:w="108" w:type="dxa"/>
          </w:tblCellMar>
        </w:tblPrEx>
        <w:trPr>
          <w:trHeight w:val="440" w:hRule="atLeast"/>
        </w:trPr>
        <w:tc>
          <w:tcPr>
            <w:tcW w:w="1309"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18"/>
                <w:szCs w:val="18"/>
                <w:highlight w:val="none"/>
              </w:rPr>
            </w:pPr>
          </w:p>
        </w:tc>
        <w:tc>
          <w:tcPr>
            <w:tcW w:w="198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兼职人员</w:t>
            </w:r>
          </w:p>
        </w:tc>
        <w:tc>
          <w:tcPr>
            <w:tcW w:w="2693"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不少</w:t>
            </w:r>
          </w:p>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于2人</w:t>
            </w:r>
          </w:p>
        </w:tc>
        <w:tc>
          <w:tcPr>
            <w:tcW w:w="2410"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p>
        </w:tc>
      </w:tr>
      <w:tr>
        <w:tblPrEx>
          <w:tblCellMar>
            <w:top w:w="0" w:type="dxa"/>
            <w:left w:w="108" w:type="dxa"/>
            <w:bottom w:w="0" w:type="dxa"/>
            <w:right w:w="108" w:type="dxa"/>
          </w:tblCellMar>
        </w:tblPrEx>
        <w:trPr>
          <w:trHeight w:val="451" w:hRule="atLeast"/>
        </w:trPr>
        <w:tc>
          <w:tcPr>
            <w:tcW w:w="1309"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监控审核人员       </w:t>
            </w:r>
          </w:p>
        </w:tc>
        <w:tc>
          <w:tcPr>
            <w:tcW w:w="1985" w:type="dxa"/>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总</w:t>
            </w:r>
            <w:r>
              <w:rPr>
                <w:rFonts w:ascii="宋体" w:hAnsi="宋体" w:cs="宋体"/>
                <w:color w:val="auto"/>
                <w:kern w:val="0"/>
                <w:sz w:val="18"/>
                <w:szCs w:val="18"/>
                <w:highlight w:val="none"/>
              </w:rPr>
              <w:t>人数</w:t>
            </w:r>
          </w:p>
        </w:tc>
        <w:tc>
          <w:tcPr>
            <w:tcW w:w="2693"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不少</w:t>
            </w:r>
          </w:p>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于2人</w:t>
            </w:r>
          </w:p>
        </w:tc>
        <w:tc>
          <w:tcPr>
            <w:tcW w:w="2410" w:type="dxa"/>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18"/>
                <w:szCs w:val="18"/>
                <w:highlight w:val="none"/>
              </w:rPr>
            </w:pPr>
          </w:p>
        </w:tc>
      </w:tr>
      <w:tr>
        <w:tblPrEx>
          <w:tblCellMar>
            <w:top w:w="0" w:type="dxa"/>
            <w:left w:w="108" w:type="dxa"/>
            <w:bottom w:w="0" w:type="dxa"/>
            <w:right w:w="108" w:type="dxa"/>
          </w:tblCellMar>
        </w:tblPrEx>
        <w:trPr>
          <w:trHeight w:val="463" w:hRule="atLeast"/>
        </w:trPr>
        <w:tc>
          <w:tcPr>
            <w:tcW w:w="13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18"/>
                <w:szCs w:val="18"/>
                <w:highlight w:val="none"/>
              </w:rPr>
            </w:pPr>
          </w:p>
        </w:tc>
        <w:tc>
          <w:tcPr>
            <w:tcW w:w="1985" w:type="dxa"/>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其中医学类专业</w:t>
            </w:r>
          </w:p>
        </w:tc>
        <w:tc>
          <w:tcPr>
            <w:tcW w:w="2693"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不少</w:t>
            </w:r>
          </w:p>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于50%</w:t>
            </w:r>
          </w:p>
        </w:tc>
        <w:tc>
          <w:tcPr>
            <w:tcW w:w="2410" w:type="dxa"/>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18"/>
                <w:szCs w:val="18"/>
                <w:highlight w:val="none"/>
              </w:rPr>
            </w:pPr>
          </w:p>
        </w:tc>
      </w:tr>
      <w:tr>
        <w:tblPrEx>
          <w:tblCellMar>
            <w:top w:w="0" w:type="dxa"/>
            <w:left w:w="108" w:type="dxa"/>
            <w:bottom w:w="0" w:type="dxa"/>
            <w:right w:w="108" w:type="dxa"/>
          </w:tblCellMar>
        </w:tblPrEx>
        <w:trPr>
          <w:trHeight w:val="469" w:hRule="atLeast"/>
        </w:trPr>
        <w:tc>
          <w:tcPr>
            <w:tcW w:w="3294"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驻院服务人员</w:t>
            </w:r>
          </w:p>
        </w:tc>
        <w:tc>
          <w:tcPr>
            <w:tcW w:w="2693"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不少</w:t>
            </w:r>
          </w:p>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于22人</w:t>
            </w:r>
          </w:p>
        </w:tc>
        <w:tc>
          <w:tcPr>
            <w:tcW w:w="2410"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p>
        </w:tc>
      </w:tr>
      <w:tr>
        <w:tblPrEx>
          <w:tblCellMar>
            <w:top w:w="0" w:type="dxa"/>
            <w:left w:w="108" w:type="dxa"/>
            <w:bottom w:w="0" w:type="dxa"/>
            <w:right w:w="108" w:type="dxa"/>
          </w:tblCellMar>
        </w:tblPrEx>
        <w:trPr>
          <w:trHeight w:val="515" w:hRule="atLeast"/>
        </w:trPr>
        <w:tc>
          <w:tcPr>
            <w:tcW w:w="3294"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巡查人员</w:t>
            </w:r>
          </w:p>
        </w:tc>
        <w:tc>
          <w:tcPr>
            <w:tcW w:w="269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不少于2人</w:t>
            </w:r>
          </w:p>
        </w:tc>
        <w:tc>
          <w:tcPr>
            <w:tcW w:w="2410"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p>
        </w:tc>
      </w:tr>
      <w:tr>
        <w:tblPrEx>
          <w:tblCellMar>
            <w:top w:w="0" w:type="dxa"/>
            <w:left w:w="108" w:type="dxa"/>
            <w:bottom w:w="0" w:type="dxa"/>
            <w:right w:w="108" w:type="dxa"/>
          </w:tblCellMar>
        </w:tblPrEx>
        <w:trPr>
          <w:trHeight w:val="410" w:hRule="atLeast"/>
        </w:trPr>
        <w:tc>
          <w:tcPr>
            <w:tcW w:w="329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color w:val="auto"/>
                <w:kern w:val="0"/>
                <w:sz w:val="18"/>
                <w:szCs w:val="18"/>
                <w:highlight w:val="none"/>
              </w:rPr>
            </w:pPr>
            <w:r>
              <w:rPr>
                <w:rFonts w:hint="eastAsia" w:ascii="宋体" w:hAnsi="宋体" w:cs="宋体"/>
                <w:b/>
                <w:color w:val="auto"/>
                <w:kern w:val="0"/>
                <w:sz w:val="18"/>
                <w:szCs w:val="18"/>
                <w:highlight w:val="none"/>
              </w:rPr>
              <w:t>专职人员总数</w:t>
            </w:r>
          </w:p>
        </w:tc>
        <w:tc>
          <w:tcPr>
            <w:tcW w:w="26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28人</w:t>
            </w:r>
          </w:p>
        </w:tc>
        <w:tc>
          <w:tcPr>
            <w:tcW w:w="2410"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b/>
                <w:color w:val="auto"/>
                <w:kern w:val="0"/>
                <w:sz w:val="18"/>
                <w:szCs w:val="18"/>
                <w:highlight w:val="none"/>
              </w:rPr>
            </w:pPr>
          </w:p>
        </w:tc>
      </w:tr>
    </w:tbl>
    <w:p>
      <w:pPr>
        <w:spacing w:line="360" w:lineRule="auto"/>
        <w:ind w:firstLine="480" w:firstLineChars="200"/>
        <w:contextualSpacing/>
        <w:rPr>
          <w:rFonts w:hint="eastAsia" w:ascii="宋体" w:hAnsi="宋体" w:cs="宋体"/>
          <w:color w:val="auto"/>
          <w:kern w:val="0"/>
          <w:sz w:val="24"/>
          <w:szCs w:val="24"/>
          <w:highlight w:val="none"/>
        </w:rPr>
      </w:pPr>
    </w:p>
    <w:p>
      <w:pPr>
        <w:spacing w:line="360" w:lineRule="auto"/>
        <w:ind w:firstLine="480" w:firstLineChars="200"/>
        <w:contextualSpacing/>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 xml:space="preserve">2.第二个服务包人员配置承诺： </w:t>
      </w:r>
    </w:p>
    <w:tbl>
      <w:tblPr>
        <w:tblStyle w:val="24"/>
        <w:tblpPr w:leftFromText="180" w:rightFromText="180" w:vertAnchor="text" w:horzAnchor="page" w:tblpXSpec="center" w:tblpY="177"/>
        <w:tblW w:w="8472" w:type="dxa"/>
        <w:tblInd w:w="0" w:type="dxa"/>
        <w:tblLayout w:type="autofit"/>
        <w:tblCellMar>
          <w:top w:w="0" w:type="dxa"/>
          <w:left w:w="108" w:type="dxa"/>
          <w:bottom w:w="0" w:type="dxa"/>
          <w:right w:w="108" w:type="dxa"/>
        </w:tblCellMar>
      </w:tblPr>
      <w:tblGrid>
        <w:gridCol w:w="1384"/>
        <w:gridCol w:w="1985"/>
        <w:gridCol w:w="2693"/>
        <w:gridCol w:w="2410"/>
      </w:tblGrid>
      <w:tr>
        <w:tblPrEx>
          <w:tblCellMar>
            <w:top w:w="0" w:type="dxa"/>
            <w:left w:w="108" w:type="dxa"/>
            <w:bottom w:w="0" w:type="dxa"/>
            <w:right w:w="108" w:type="dxa"/>
          </w:tblCellMar>
        </w:tblPrEx>
        <w:trPr>
          <w:trHeight w:val="980" w:hRule="atLeast"/>
        </w:trPr>
        <w:tc>
          <w:tcPr>
            <w:tcW w:w="3369"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360" w:firstLineChars="200"/>
              <w:rPr>
                <w:rFonts w:ascii="宋体" w:hAnsi="宋体" w:cs="宋体"/>
                <w:color w:val="auto"/>
                <w:kern w:val="0"/>
                <w:sz w:val="18"/>
                <w:szCs w:val="18"/>
                <w:highlight w:val="none"/>
              </w:rPr>
            </w:pPr>
            <w:r>
              <w:rPr>
                <w:rFonts w:ascii="宋体" w:hAnsi="宋体" w:cs="宋体"/>
                <w:color w:val="auto"/>
                <w:kern w:val="0"/>
                <w:sz w:val="18"/>
                <w:szCs w:val="18"/>
                <w:highlight w:val="none"/>
              </w:rPr>
              <mc:AlternateContent>
                <mc:Choice Requires="wps">
                  <w:drawing>
                    <wp:anchor distT="0" distB="0" distL="114300" distR="114300" simplePos="0" relativeHeight="251692032" behindDoc="0" locked="0" layoutInCell="1" allowOverlap="1">
                      <wp:simplePos x="0" y="0"/>
                      <wp:positionH relativeFrom="column">
                        <wp:posOffset>-44450</wp:posOffset>
                      </wp:positionH>
                      <wp:positionV relativeFrom="paragraph">
                        <wp:posOffset>18415</wp:posOffset>
                      </wp:positionV>
                      <wp:extent cx="2120265" cy="311785"/>
                      <wp:effectExtent l="12700" t="8890" r="10160" b="12700"/>
                      <wp:wrapNone/>
                      <wp:docPr id="10" name="自选图形 11"/>
                      <wp:cNvGraphicFramePr/>
                      <a:graphic xmlns:a="http://schemas.openxmlformats.org/drawingml/2006/main">
                        <a:graphicData uri="http://schemas.microsoft.com/office/word/2010/wordprocessingShape">
                          <wps:wsp>
                            <wps:cNvCnPr>
                              <a:cxnSpLocks noChangeShapeType="1"/>
                            </wps:cNvCnPr>
                            <wps:spPr bwMode="auto">
                              <a:xfrm>
                                <a:off x="0" y="0"/>
                                <a:ext cx="2120265" cy="311785"/>
                              </a:xfrm>
                              <a:prstGeom prst="straightConnector1">
                                <a:avLst/>
                              </a:prstGeom>
                              <a:noFill/>
                              <a:ln w="9525">
                                <a:solidFill>
                                  <a:srgbClr val="000000"/>
                                </a:solidFill>
                                <a:round/>
                              </a:ln>
                            </wps:spPr>
                            <wps:bodyPr/>
                          </wps:wsp>
                        </a:graphicData>
                      </a:graphic>
                    </wp:anchor>
                  </w:drawing>
                </mc:Choice>
                <mc:Fallback>
                  <w:pict>
                    <v:shape id="自选图形 11" o:spid="_x0000_s1026" o:spt="32" type="#_x0000_t32" style="position:absolute;left:0pt;margin-left:-3.5pt;margin-top:1.45pt;height:24.55pt;width:166.95pt;z-index:251692032;mso-width-relative:page;mso-height-relative:page;" filled="f" stroked="t" coordsize="21600,21600" o:gfxdata="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JJ/GY1wAAAAcBAAAPAAAAAAAAAAEAIAAAACIAAABkcnMvZG93bnJldi54bWxQSwECFAAU&#10;AAAACACHTuJAVbBMBvIBAAC8AwAADgAAAAAAAAABACAAAAAmAQAAZHJzL2Uyb0RvYy54bWxQSwUG&#10;AAAAAAYABgBZAQAAigUAAAAA&#10;">
                      <v:fill on="f" focussize="0,0"/>
                      <v:stroke color="#000000" joinstyle="round"/>
                      <v:imagedata o:title=""/>
                      <o:lock v:ext="edit" aspectratio="f"/>
                    </v:shape>
                  </w:pict>
                </mc:Fallback>
              </mc:AlternateContent>
            </w:r>
            <w:r>
              <w:rPr>
                <w:rFonts w:ascii="宋体" w:hAnsi="宋体" w:cs="宋体"/>
                <w:color w:val="auto"/>
                <w:kern w:val="0"/>
                <w:sz w:val="18"/>
                <w:szCs w:val="18"/>
                <w:highlight w:val="none"/>
              </w:rPr>
              <mc:AlternateContent>
                <mc:Choice Requires="wps">
                  <w:drawing>
                    <wp:anchor distT="0" distB="0" distL="114300" distR="114300" simplePos="0" relativeHeight="251693056" behindDoc="0" locked="0" layoutInCell="1" allowOverlap="1">
                      <wp:simplePos x="0" y="0"/>
                      <wp:positionH relativeFrom="column">
                        <wp:posOffset>-52070</wp:posOffset>
                      </wp:positionH>
                      <wp:positionV relativeFrom="paragraph">
                        <wp:posOffset>6350</wp:posOffset>
                      </wp:positionV>
                      <wp:extent cx="1165225" cy="619760"/>
                      <wp:effectExtent l="5080" t="6350" r="10795" b="12065"/>
                      <wp:wrapNone/>
                      <wp:docPr id="9" name="自选图形 12"/>
                      <wp:cNvGraphicFramePr/>
                      <a:graphic xmlns:a="http://schemas.openxmlformats.org/drawingml/2006/main">
                        <a:graphicData uri="http://schemas.microsoft.com/office/word/2010/wordprocessingShape">
                          <wps:wsp>
                            <wps:cNvCnPr>
                              <a:cxnSpLocks noChangeShapeType="1"/>
                            </wps:cNvCnPr>
                            <wps:spPr bwMode="auto">
                              <a:xfrm>
                                <a:off x="0" y="0"/>
                                <a:ext cx="1165225" cy="619760"/>
                              </a:xfrm>
                              <a:prstGeom prst="straightConnector1">
                                <a:avLst/>
                              </a:prstGeom>
                              <a:noFill/>
                              <a:ln w="9525">
                                <a:solidFill>
                                  <a:srgbClr val="000000"/>
                                </a:solidFill>
                                <a:round/>
                              </a:ln>
                            </wps:spPr>
                            <wps:bodyPr/>
                          </wps:wsp>
                        </a:graphicData>
                      </a:graphic>
                    </wp:anchor>
                  </w:drawing>
                </mc:Choice>
                <mc:Fallback>
                  <w:pict>
                    <v:shape id="自选图形 12" o:spid="_x0000_s1026" o:spt="32" type="#_x0000_t32" style="position:absolute;left:0pt;margin-left:-4.1pt;margin-top:0.5pt;height:48.8pt;width:91.75pt;z-index:251693056;mso-width-relative:page;mso-height-relative:page;" filled="f" stroked="t" coordsize="21600,21600" o:gfxdata="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HAoVnWAAAABwEAAA8AAAAAAAAAAQAgAAAAIgAAAGRycy9kb3ducmV2LnhtbFBLAQIUABQAAAAI&#10;AIdO4kDxJcsS7wEAALsDAAAOAAAAAAAAAAEAIAAAACUBAABkcnMvZTJvRG9jLnhtbFBLBQYAAAAA&#10;BgAGAFkBAACGBQAAAAA=&#10;">
                      <v:fill on="f" focussize="0,0"/>
                      <v:stroke color="#000000" joinstyle="round"/>
                      <v:imagedata o:title=""/>
                      <o:lock v:ext="edit" aspectratio="f"/>
                    </v:shape>
                  </w:pict>
                </mc:Fallback>
              </mc:AlternateContent>
            </w:r>
            <w:r>
              <w:rPr>
                <w:rFonts w:hint="eastAsia" w:ascii="宋体" w:hAnsi="宋体" w:cs="宋体"/>
                <w:color w:val="auto"/>
                <w:kern w:val="0"/>
                <w:sz w:val="18"/>
                <w:szCs w:val="18"/>
                <w:highlight w:val="none"/>
              </w:rPr>
              <w:t xml:space="preserve">                区域</w:t>
            </w:r>
          </w:p>
          <w:p>
            <w:pPr>
              <w:widowControl/>
              <w:spacing w:line="360" w:lineRule="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类别          人员</w:t>
            </w:r>
          </w:p>
        </w:tc>
        <w:tc>
          <w:tcPr>
            <w:tcW w:w="26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承诺配置人员数量</w:t>
            </w:r>
          </w:p>
        </w:tc>
        <w:tc>
          <w:tcPr>
            <w:tcW w:w="241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承诺增加的人员数量</w:t>
            </w:r>
          </w:p>
        </w:tc>
      </w:tr>
      <w:tr>
        <w:tblPrEx>
          <w:tblCellMar>
            <w:top w:w="0" w:type="dxa"/>
            <w:left w:w="108" w:type="dxa"/>
            <w:bottom w:w="0" w:type="dxa"/>
            <w:right w:w="108" w:type="dxa"/>
          </w:tblCellMar>
        </w:tblPrEx>
        <w:trPr>
          <w:trHeight w:val="412" w:hRule="atLeast"/>
        </w:trPr>
        <w:tc>
          <w:tcPr>
            <w:tcW w:w="1384" w:type="dxa"/>
            <w:vMerge w:val="restart"/>
            <w:tcBorders>
              <w:top w:val="single" w:color="auto" w:sz="4" w:space="0"/>
              <w:left w:val="single" w:color="auto" w:sz="4" w:space="0"/>
              <w:right w:val="single" w:color="auto" w:sz="4" w:space="0"/>
            </w:tcBorders>
            <w:vAlign w:val="center"/>
          </w:tcPr>
          <w:p>
            <w:pPr>
              <w:widowControl/>
              <w:spacing w:line="36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康复护理</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专家</w:t>
            </w:r>
          </w:p>
        </w:tc>
        <w:tc>
          <w:tcPr>
            <w:tcW w:w="269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不少</w:t>
            </w:r>
          </w:p>
          <w:p>
            <w:pPr>
              <w:widowControl/>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于2人</w:t>
            </w:r>
          </w:p>
        </w:tc>
        <w:tc>
          <w:tcPr>
            <w:tcW w:w="2410" w:type="dxa"/>
            <w:tcBorders>
              <w:top w:val="single" w:color="auto" w:sz="4" w:space="0"/>
              <w:left w:val="nil"/>
              <w:bottom w:val="single" w:color="auto" w:sz="4" w:space="0"/>
              <w:right w:val="single" w:color="auto" w:sz="4" w:space="0"/>
            </w:tcBorders>
            <w:vAlign w:val="center"/>
          </w:tcPr>
          <w:p>
            <w:pPr>
              <w:widowControl/>
              <w:spacing w:line="276" w:lineRule="auto"/>
              <w:jc w:val="center"/>
              <w:rPr>
                <w:rFonts w:ascii="宋体" w:hAnsi="宋体" w:cs="宋体"/>
                <w:color w:val="auto"/>
                <w:kern w:val="0"/>
                <w:sz w:val="18"/>
                <w:szCs w:val="18"/>
                <w:highlight w:val="none"/>
              </w:rPr>
            </w:pPr>
          </w:p>
        </w:tc>
      </w:tr>
      <w:tr>
        <w:tblPrEx>
          <w:tblCellMar>
            <w:top w:w="0" w:type="dxa"/>
            <w:left w:w="108" w:type="dxa"/>
            <w:bottom w:w="0" w:type="dxa"/>
            <w:right w:w="108" w:type="dxa"/>
          </w:tblCellMar>
        </w:tblPrEx>
        <w:trPr>
          <w:trHeight w:val="283" w:hRule="atLeast"/>
        </w:trPr>
        <w:tc>
          <w:tcPr>
            <w:tcW w:w="1384" w:type="dxa"/>
            <w:vMerge w:val="continue"/>
            <w:tcBorders>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 w:val="18"/>
                <w:szCs w:val="18"/>
                <w:highlight w:val="none"/>
              </w:rPr>
            </w:pPr>
          </w:p>
        </w:tc>
        <w:tc>
          <w:tcPr>
            <w:tcW w:w="198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其他人员</w:t>
            </w:r>
          </w:p>
        </w:tc>
        <w:tc>
          <w:tcPr>
            <w:tcW w:w="269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不少</w:t>
            </w:r>
          </w:p>
          <w:p>
            <w:pPr>
              <w:widowControl/>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于2人</w:t>
            </w:r>
          </w:p>
        </w:tc>
        <w:tc>
          <w:tcPr>
            <w:tcW w:w="241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auto"/>
                <w:kern w:val="0"/>
                <w:sz w:val="18"/>
                <w:szCs w:val="18"/>
                <w:highlight w:val="none"/>
              </w:rPr>
            </w:pPr>
          </w:p>
        </w:tc>
      </w:tr>
      <w:tr>
        <w:tblPrEx>
          <w:tblCellMar>
            <w:top w:w="0" w:type="dxa"/>
            <w:left w:w="108" w:type="dxa"/>
            <w:bottom w:w="0" w:type="dxa"/>
            <w:right w:w="108" w:type="dxa"/>
          </w:tblCellMar>
        </w:tblPrEx>
        <w:trPr>
          <w:trHeight w:val="299" w:hRule="atLeast"/>
        </w:trPr>
        <w:tc>
          <w:tcPr>
            <w:tcW w:w="3369"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协议管理</w:t>
            </w:r>
          </w:p>
        </w:tc>
        <w:tc>
          <w:tcPr>
            <w:tcW w:w="26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不少</w:t>
            </w:r>
          </w:p>
          <w:p>
            <w:pPr>
              <w:widowControl/>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于2人</w:t>
            </w:r>
          </w:p>
        </w:tc>
        <w:tc>
          <w:tcPr>
            <w:tcW w:w="241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auto"/>
                <w:kern w:val="0"/>
                <w:sz w:val="18"/>
                <w:szCs w:val="18"/>
                <w:highlight w:val="none"/>
              </w:rPr>
            </w:pPr>
          </w:p>
        </w:tc>
      </w:tr>
      <w:tr>
        <w:tblPrEx>
          <w:tblCellMar>
            <w:top w:w="0" w:type="dxa"/>
            <w:left w:w="108" w:type="dxa"/>
            <w:bottom w:w="0" w:type="dxa"/>
            <w:right w:w="108" w:type="dxa"/>
          </w:tblCellMar>
        </w:tblPrEx>
        <w:trPr>
          <w:trHeight w:val="299" w:hRule="atLeast"/>
        </w:trPr>
        <w:tc>
          <w:tcPr>
            <w:tcW w:w="3369"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大病保险困难救助管理</w:t>
            </w:r>
          </w:p>
        </w:tc>
        <w:tc>
          <w:tcPr>
            <w:tcW w:w="26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不少</w:t>
            </w:r>
          </w:p>
          <w:p>
            <w:pPr>
              <w:widowControl/>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于2人</w:t>
            </w:r>
          </w:p>
        </w:tc>
        <w:tc>
          <w:tcPr>
            <w:tcW w:w="241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auto"/>
                <w:kern w:val="0"/>
                <w:sz w:val="18"/>
                <w:szCs w:val="18"/>
                <w:highlight w:val="none"/>
              </w:rPr>
            </w:pPr>
          </w:p>
        </w:tc>
      </w:tr>
      <w:tr>
        <w:tblPrEx>
          <w:tblCellMar>
            <w:top w:w="0" w:type="dxa"/>
            <w:left w:w="108" w:type="dxa"/>
            <w:bottom w:w="0" w:type="dxa"/>
            <w:right w:w="108" w:type="dxa"/>
          </w:tblCellMar>
        </w:tblPrEx>
        <w:trPr>
          <w:trHeight w:val="426" w:hRule="atLeast"/>
        </w:trPr>
        <w:tc>
          <w:tcPr>
            <w:tcW w:w="3369"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服务总人数</w:t>
            </w:r>
          </w:p>
        </w:tc>
        <w:tc>
          <w:tcPr>
            <w:tcW w:w="26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不少</w:t>
            </w:r>
          </w:p>
          <w:p>
            <w:pPr>
              <w:widowControl/>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于8人</w:t>
            </w:r>
          </w:p>
        </w:tc>
        <w:tc>
          <w:tcPr>
            <w:tcW w:w="241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auto"/>
                <w:kern w:val="0"/>
                <w:sz w:val="18"/>
                <w:szCs w:val="18"/>
                <w:highlight w:val="none"/>
              </w:rPr>
            </w:pPr>
          </w:p>
        </w:tc>
      </w:tr>
    </w:tbl>
    <w:p>
      <w:pPr>
        <w:spacing w:line="360" w:lineRule="auto"/>
        <w:ind w:firstLine="480" w:firstLineChars="200"/>
        <w:contextualSpacing/>
        <w:rPr>
          <w:rFonts w:hint="eastAsia" w:ascii="宋体" w:hAnsi="宋体" w:cs="宋体"/>
          <w:color w:val="auto"/>
          <w:kern w:val="0"/>
          <w:sz w:val="24"/>
          <w:szCs w:val="24"/>
          <w:highlight w:val="none"/>
        </w:rPr>
      </w:pPr>
    </w:p>
    <w:p>
      <w:pPr>
        <w:spacing w:line="360" w:lineRule="auto"/>
        <w:ind w:firstLine="480" w:firstLineChars="200"/>
        <w:contextualSpacing/>
        <w:rPr>
          <w:rFonts w:hint="eastAsia" w:ascii="宋体" w:hAnsi="宋体" w:cs="宋体"/>
          <w:color w:val="auto"/>
          <w:kern w:val="0"/>
          <w:sz w:val="24"/>
          <w:szCs w:val="24"/>
          <w:highlight w:val="none"/>
        </w:rPr>
      </w:pPr>
    </w:p>
    <w:p>
      <w:pPr>
        <w:spacing w:line="360" w:lineRule="auto"/>
        <w:ind w:firstLine="480" w:firstLineChars="200"/>
        <w:contextualSpacing/>
        <w:rPr>
          <w:rFonts w:hint="eastAsia" w:ascii="宋体" w:hAnsi="宋体" w:cs="宋体"/>
          <w:color w:val="auto"/>
          <w:kern w:val="0"/>
          <w:sz w:val="24"/>
          <w:szCs w:val="24"/>
          <w:highlight w:val="none"/>
        </w:rPr>
      </w:pPr>
    </w:p>
    <w:p>
      <w:pPr>
        <w:spacing w:line="360" w:lineRule="auto"/>
        <w:ind w:firstLine="480" w:firstLineChars="200"/>
        <w:contextualSpacing/>
        <w:rPr>
          <w:rFonts w:hint="eastAsia" w:ascii="宋体" w:hAnsi="宋体" w:cs="宋体"/>
          <w:color w:val="auto"/>
          <w:kern w:val="0"/>
          <w:sz w:val="24"/>
          <w:szCs w:val="24"/>
          <w:highlight w:val="none"/>
        </w:rPr>
      </w:pPr>
    </w:p>
    <w:p>
      <w:pPr>
        <w:spacing w:line="360" w:lineRule="auto"/>
        <w:ind w:firstLine="480" w:firstLineChars="200"/>
        <w:contextualSpacing/>
        <w:rPr>
          <w:rFonts w:hint="eastAsia" w:ascii="宋体" w:hAnsi="宋体" w:cs="宋体"/>
          <w:color w:val="auto"/>
          <w:kern w:val="0"/>
          <w:sz w:val="24"/>
          <w:szCs w:val="24"/>
          <w:highlight w:val="none"/>
        </w:rPr>
      </w:pPr>
    </w:p>
    <w:p>
      <w:pPr>
        <w:spacing w:line="360" w:lineRule="auto"/>
        <w:ind w:firstLine="480" w:firstLineChars="200"/>
        <w:contextualSpacing/>
        <w:rPr>
          <w:rFonts w:hint="eastAsia" w:ascii="宋体" w:hAnsi="宋体" w:cs="宋体"/>
          <w:color w:val="auto"/>
          <w:kern w:val="0"/>
          <w:sz w:val="24"/>
          <w:szCs w:val="24"/>
          <w:highlight w:val="none"/>
        </w:rPr>
      </w:pPr>
    </w:p>
    <w:p>
      <w:pPr>
        <w:spacing w:line="360" w:lineRule="auto"/>
        <w:ind w:firstLine="480" w:firstLineChars="200"/>
        <w:contextualSpacing/>
        <w:rPr>
          <w:rFonts w:hint="eastAsia" w:ascii="宋体" w:hAnsi="宋体" w:cs="宋体"/>
          <w:color w:val="auto"/>
          <w:kern w:val="0"/>
          <w:sz w:val="24"/>
          <w:szCs w:val="24"/>
          <w:highlight w:val="none"/>
        </w:rPr>
      </w:pPr>
    </w:p>
    <w:p>
      <w:pPr>
        <w:spacing w:line="360" w:lineRule="auto"/>
        <w:ind w:firstLine="480" w:firstLineChars="200"/>
        <w:contextualSpacing/>
        <w:rPr>
          <w:rFonts w:hint="eastAsia" w:ascii="宋体" w:hAnsi="宋体" w:cs="宋体"/>
          <w:color w:val="auto"/>
          <w:kern w:val="0"/>
          <w:sz w:val="24"/>
          <w:szCs w:val="24"/>
          <w:highlight w:val="none"/>
        </w:rPr>
      </w:pPr>
    </w:p>
    <w:p>
      <w:pPr>
        <w:spacing w:line="360" w:lineRule="auto"/>
        <w:ind w:firstLine="480" w:firstLineChars="200"/>
        <w:contextualSpacing/>
        <w:rPr>
          <w:rFonts w:hint="eastAsia" w:ascii="宋体" w:hAnsi="宋体" w:cs="宋体"/>
          <w:color w:val="auto"/>
          <w:kern w:val="0"/>
          <w:sz w:val="24"/>
          <w:szCs w:val="24"/>
          <w:highlight w:val="none"/>
        </w:rPr>
      </w:pPr>
    </w:p>
    <w:p>
      <w:pPr>
        <w:spacing w:line="360" w:lineRule="auto"/>
        <w:ind w:firstLine="480" w:firstLineChars="200"/>
        <w:contextualSpacing/>
        <w:rPr>
          <w:rFonts w:hint="eastAsia" w:ascii="宋体" w:hAnsi="宋体" w:cs="宋体"/>
          <w:color w:val="auto"/>
          <w:kern w:val="0"/>
          <w:sz w:val="24"/>
          <w:szCs w:val="24"/>
          <w:highlight w:val="none"/>
        </w:rPr>
      </w:pPr>
    </w:p>
    <w:p>
      <w:pPr>
        <w:spacing w:line="360" w:lineRule="auto"/>
        <w:ind w:firstLine="480" w:firstLineChars="200"/>
        <w:contextualSpacing/>
        <w:rPr>
          <w:rFonts w:hint="eastAsia" w:ascii="宋体" w:hAnsi="宋体" w:cs="宋体"/>
          <w:color w:val="auto"/>
          <w:kern w:val="0"/>
          <w:sz w:val="24"/>
          <w:szCs w:val="24"/>
          <w:highlight w:val="none"/>
        </w:rPr>
      </w:pPr>
    </w:p>
    <w:p>
      <w:pPr>
        <w:spacing w:line="360" w:lineRule="auto"/>
        <w:ind w:firstLine="480" w:firstLineChars="200"/>
        <w:contextualSpacing/>
        <w:rPr>
          <w:rFonts w:hint="eastAsia" w:ascii="宋体" w:hAnsi="宋体" w:cs="宋体"/>
          <w:color w:val="auto"/>
          <w:kern w:val="0"/>
          <w:sz w:val="24"/>
          <w:szCs w:val="24"/>
          <w:highlight w:val="none"/>
        </w:rPr>
      </w:pPr>
    </w:p>
    <w:p>
      <w:pPr>
        <w:spacing w:line="360" w:lineRule="auto"/>
        <w:ind w:firstLine="480" w:firstLineChars="200"/>
        <w:contextualSpacing/>
        <w:rPr>
          <w:rFonts w:hint="eastAsia" w:ascii="宋体" w:hAnsi="宋体" w:cs="宋体"/>
          <w:color w:val="auto"/>
          <w:kern w:val="0"/>
          <w:sz w:val="24"/>
          <w:szCs w:val="24"/>
          <w:highlight w:val="none"/>
        </w:rPr>
      </w:pPr>
    </w:p>
    <w:p>
      <w:pPr>
        <w:spacing w:line="360" w:lineRule="auto"/>
        <w:ind w:firstLine="480" w:firstLineChars="200"/>
        <w:contextualSpacing/>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3.第三个服务包人员配置承诺：</w:t>
      </w:r>
    </w:p>
    <w:tbl>
      <w:tblPr>
        <w:tblStyle w:val="24"/>
        <w:tblW w:w="8505" w:type="dxa"/>
        <w:tblInd w:w="392" w:type="dxa"/>
        <w:tblLayout w:type="autofit"/>
        <w:tblCellMar>
          <w:top w:w="0" w:type="dxa"/>
          <w:left w:w="108" w:type="dxa"/>
          <w:bottom w:w="0" w:type="dxa"/>
          <w:right w:w="108" w:type="dxa"/>
        </w:tblCellMar>
      </w:tblPr>
      <w:tblGrid>
        <w:gridCol w:w="3402"/>
        <w:gridCol w:w="2693"/>
        <w:gridCol w:w="2410"/>
      </w:tblGrid>
      <w:tr>
        <w:tblPrEx>
          <w:tblCellMar>
            <w:top w:w="0" w:type="dxa"/>
            <w:left w:w="108" w:type="dxa"/>
            <w:bottom w:w="0" w:type="dxa"/>
            <w:right w:w="108" w:type="dxa"/>
          </w:tblCellMar>
        </w:tblPrEx>
        <w:trPr>
          <w:trHeight w:val="865" w:hRule="atLeast"/>
        </w:trPr>
        <w:tc>
          <w:tcPr>
            <w:tcW w:w="340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 w:val="18"/>
                <w:szCs w:val="18"/>
                <w:highlight w:val="none"/>
              </w:rPr>
            </w:pPr>
            <w:r>
              <w:rPr>
                <w:rFonts w:ascii="宋体" w:hAnsi="宋体" w:cs="宋体"/>
                <w:color w:val="auto"/>
                <w:kern w:val="0"/>
                <w:sz w:val="18"/>
                <w:szCs w:val="18"/>
                <w:highlight w:val="none"/>
              </w:rPr>
              <mc:AlternateContent>
                <mc:Choice Requires="wps">
                  <w:drawing>
                    <wp:anchor distT="0" distB="0" distL="114300" distR="114300" simplePos="0" relativeHeight="251695104" behindDoc="0" locked="0" layoutInCell="1" allowOverlap="1">
                      <wp:simplePos x="0" y="0"/>
                      <wp:positionH relativeFrom="column">
                        <wp:posOffset>-60960</wp:posOffset>
                      </wp:positionH>
                      <wp:positionV relativeFrom="paragraph">
                        <wp:posOffset>6985</wp:posOffset>
                      </wp:positionV>
                      <wp:extent cx="1265555" cy="550545"/>
                      <wp:effectExtent l="5715" t="6985" r="5080" b="13970"/>
                      <wp:wrapNone/>
                      <wp:docPr id="8" name="自选图形 13"/>
                      <wp:cNvGraphicFramePr/>
                      <a:graphic xmlns:a="http://schemas.openxmlformats.org/drawingml/2006/main">
                        <a:graphicData uri="http://schemas.microsoft.com/office/word/2010/wordprocessingShape">
                          <wps:wsp>
                            <wps:cNvCnPr>
                              <a:cxnSpLocks noChangeShapeType="1"/>
                            </wps:cNvCnPr>
                            <wps:spPr bwMode="auto">
                              <a:xfrm>
                                <a:off x="0" y="0"/>
                                <a:ext cx="1265555" cy="550545"/>
                              </a:xfrm>
                              <a:prstGeom prst="straightConnector1">
                                <a:avLst/>
                              </a:prstGeom>
                              <a:noFill/>
                              <a:ln w="9525">
                                <a:solidFill>
                                  <a:srgbClr val="000000"/>
                                </a:solidFill>
                                <a:round/>
                              </a:ln>
                            </wps:spPr>
                            <wps:bodyPr/>
                          </wps:wsp>
                        </a:graphicData>
                      </a:graphic>
                    </wp:anchor>
                  </w:drawing>
                </mc:Choice>
                <mc:Fallback>
                  <w:pict>
                    <v:shape id="自选图形 13" o:spid="_x0000_s1026" o:spt="32" type="#_x0000_t32" style="position:absolute;left:0pt;margin-left:-4.8pt;margin-top:0.55pt;height:43.35pt;width:99.65pt;z-index:251695104;mso-width-relative:page;mso-height-relative:page;" filled="f" stroked="t" coordsize="21600,21600" o:gfxdata="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ESvfGDVAAAABwEAAA8AAAAAAAAAAQAgAAAAIgAAAGRycy9kb3ducmV2LnhtbFBLAQIUABQAAAAI&#10;AIdO4kDbwso98AEAALsDAAAOAAAAAAAAAAEAIAAAACQBAABkcnMvZTJvRG9jLnhtbFBLBQYAAAAA&#10;BgAGAFkBAACGBQAAAAA=&#10;">
                      <v:fill on="f" focussize="0,0"/>
                      <v:stroke color="#000000" joinstyle="round"/>
                      <v:imagedata o:title=""/>
                      <o:lock v:ext="edit" aspectratio="f"/>
                    </v:shape>
                  </w:pict>
                </mc:Fallback>
              </mc:AlternateContent>
            </w:r>
            <w:r>
              <w:rPr>
                <w:rFonts w:ascii="宋体" w:hAnsi="宋体" w:cs="宋体"/>
                <w:color w:val="auto"/>
                <w:kern w:val="0"/>
                <w:sz w:val="18"/>
                <w:szCs w:val="18"/>
                <w:highlight w:val="none"/>
              </w:rPr>
              <mc:AlternateContent>
                <mc:Choice Requires="wps">
                  <w:drawing>
                    <wp:anchor distT="0" distB="0" distL="114300" distR="114300" simplePos="0" relativeHeight="251694080" behindDoc="0" locked="0" layoutInCell="1" allowOverlap="1">
                      <wp:simplePos x="0" y="0"/>
                      <wp:positionH relativeFrom="column">
                        <wp:posOffset>-53975</wp:posOffset>
                      </wp:positionH>
                      <wp:positionV relativeFrom="paragraph">
                        <wp:posOffset>8890</wp:posOffset>
                      </wp:positionV>
                      <wp:extent cx="2133600" cy="260985"/>
                      <wp:effectExtent l="12700" t="8890" r="6350" b="6350"/>
                      <wp:wrapNone/>
                      <wp:docPr id="7" name="自选图形 14"/>
                      <wp:cNvGraphicFramePr/>
                      <a:graphic xmlns:a="http://schemas.openxmlformats.org/drawingml/2006/main">
                        <a:graphicData uri="http://schemas.microsoft.com/office/word/2010/wordprocessingShape">
                          <wps:wsp>
                            <wps:cNvCnPr>
                              <a:cxnSpLocks noChangeShapeType="1"/>
                            </wps:cNvCnPr>
                            <wps:spPr bwMode="auto">
                              <a:xfrm>
                                <a:off x="0" y="0"/>
                                <a:ext cx="2133600" cy="260985"/>
                              </a:xfrm>
                              <a:prstGeom prst="straightConnector1">
                                <a:avLst/>
                              </a:prstGeom>
                              <a:noFill/>
                              <a:ln w="9525">
                                <a:solidFill>
                                  <a:srgbClr val="000000"/>
                                </a:solidFill>
                                <a:round/>
                              </a:ln>
                            </wps:spPr>
                            <wps:bodyPr/>
                          </wps:wsp>
                        </a:graphicData>
                      </a:graphic>
                    </wp:anchor>
                  </w:drawing>
                </mc:Choice>
                <mc:Fallback>
                  <w:pict>
                    <v:shape id="自选图形 14" o:spid="_x0000_s1026" o:spt="32" type="#_x0000_t32" style="position:absolute;left:0pt;margin-left:-4.25pt;margin-top:0.7pt;height:20.55pt;width:168pt;z-index:251694080;mso-width-relative:page;mso-height-relative:page;" filled="f" stroked="t" coordsize="21600,21600" o:gfxdata="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Bos88DVAAAABwEAAA8AAAAAAAAAAQAgAAAAIgAAAGRycy9kb3ducmV2LnhtbFBLAQIUABQA&#10;AAAIAIdO4kDDjDvK8wEAALsDAAAOAAAAAAAAAAEAIAAAACQBAABkcnMvZTJvRG9jLnhtbFBLBQYA&#10;AAAABgAGAFkBAACJBQAAAAA=&#10;">
                      <v:fill on="f" focussize="0,0"/>
                      <v:stroke color="#000000" joinstyle="round"/>
                      <v:imagedata o:title=""/>
                      <o:lock v:ext="edit" aspectratio="f"/>
                    </v:shape>
                  </w:pict>
                </mc:Fallback>
              </mc:AlternateContent>
            </w:r>
            <w:r>
              <w:rPr>
                <w:rFonts w:hint="eastAsia" w:ascii="宋体" w:hAnsi="宋体" w:cs="宋体"/>
                <w:color w:val="auto"/>
                <w:kern w:val="0"/>
                <w:sz w:val="18"/>
                <w:szCs w:val="18"/>
                <w:highlight w:val="none"/>
              </w:rPr>
              <w:t xml:space="preserve">                     区域                 </w:t>
            </w:r>
          </w:p>
          <w:p>
            <w:pPr>
              <w:spacing w:line="360" w:lineRule="auto"/>
              <w:rPr>
                <w:rFonts w:ascii="宋体" w:hAnsi="宋体" w:cs="宋体"/>
                <w:color w:val="auto"/>
                <w:sz w:val="18"/>
                <w:szCs w:val="18"/>
                <w:highlight w:val="none"/>
              </w:rPr>
            </w:pPr>
            <w:r>
              <w:rPr>
                <w:rFonts w:hint="eastAsia" w:ascii="宋体" w:hAnsi="宋体" w:cs="宋体"/>
                <w:color w:val="auto"/>
                <w:sz w:val="18"/>
                <w:szCs w:val="18"/>
                <w:highlight w:val="none"/>
              </w:rPr>
              <w:t xml:space="preserve"> 类别              人员</w:t>
            </w:r>
          </w:p>
        </w:tc>
        <w:tc>
          <w:tcPr>
            <w:tcW w:w="269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承诺配置人员数量</w:t>
            </w:r>
          </w:p>
        </w:tc>
        <w:tc>
          <w:tcPr>
            <w:tcW w:w="241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承诺增加的人员数量</w:t>
            </w:r>
          </w:p>
        </w:tc>
      </w:tr>
      <w:tr>
        <w:tblPrEx>
          <w:tblCellMar>
            <w:top w:w="0" w:type="dxa"/>
            <w:left w:w="108" w:type="dxa"/>
            <w:bottom w:w="0" w:type="dxa"/>
            <w:right w:w="108" w:type="dxa"/>
          </w:tblCellMar>
        </w:tblPrEx>
        <w:trPr>
          <w:trHeight w:val="440" w:hRule="atLeast"/>
        </w:trPr>
        <w:tc>
          <w:tcPr>
            <w:tcW w:w="3402"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医保管理岗</w:t>
            </w:r>
          </w:p>
        </w:tc>
        <w:tc>
          <w:tcPr>
            <w:tcW w:w="2693"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不少</w:t>
            </w:r>
          </w:p>
          <w:p>
            <w:pPr>
              <w:widowControl/>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于2人</w:t>
            </w:r>
          </w:p>
        </w:tc>
        <w:tc>
          <w:tcPr>
            <w:tcW w:w="2410" w:type="dxa"/>
            <w:tcBorders>
              <w:top w:val="nil"/>
              <w:left w:val="nil"/>
              <w:bottom w:val="single" w:color="auto" w:sz="4" w:space="0"/>
              <w:right w:val="single" w:color="auto" w:sz="4" w:space="0"/>
            </w:tcBorders>
            <w:vAlign w:val="center"/>
          </w:tcPr>
          <w:p>
            <w:pPr>
              <w:widowControl/>
              <w:spacing w:line="276" w:lineRule="auto"/>
              <w:jc w:val="center"/>
              <w:rPr>
                <w:rFonts w:ascii="宋体" w:hAnsi="宋体" w:cs="宋体"/>
                <w:color w:val="auto"/>
                <w:kern w:val="0"/>
                <w:sz w:val="18"/>
                <w:szCs w:val="18"/>
                <w:highlight w:val="none"/>
              </w:rPr>
            </w:pPr>
          </w:p>
        </w:tc>
      </w:tr>
      <w:tr>
        <w:tblPrEx>
          <w:tblCellMar>
            <w:top w:w="0" w:type="dxa"/>
            <w:left w:w="108" w:type="dxa"/>
            <w:bottom w:w="0" w:type="dxa"/>
            <w:right w:w="108" w:type="dxa"/>
          </w:tblCellMar>
        </w:tblPrEx>
        <w:trPr>
          <w:trHeight w:val="519" w:hRule="atLeast"/>
        </w:trPr>
        <w:tc>
          <w:tcPr>
            <w:tcW w:w="3402"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窗口岗</w:t>
            </w:r>
          </w:p>
        </w:tc>
        <w:tc>
          <w:tcPr>
            <w:tcW w:w="2693"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不少</w:t>
            </w:r>
          </w:p>
          <w:p>
            <w:pPr>
              <w:widowControl/>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于14人</w:t>
            </w:r>
          </w:p>
        </w:tc>
        <w:tc>
          <w:tcPr>
            <w:tcW w:w="2410" w:type="dxa"/>
            <w:tcBorders>
              <w:top w:val="nil"/>
              <w:left w:val="nil"/>
              <w:bottom w:val="single" w:color="auto" w:sz="4" w:space="0"/>
              <w:right w:val="single" w:color="auto" w:sz="4" w:space="0"/>
            </w:tcBorders>
            <w:vAlign w:val="center"/>
          </w:tcPr>
          <w:p>
            <w:pPr>
              <w:widowControl/>
              <w:spacing w:line="276" w:lineRule="auto"/>
              <w:jc w:val="center"/>
              <w:rPr>
                <w:rFonts w:ascii="宋体" w:hAnsi="宋体" w:cs="宋体"/>
                <w:color w:val="auto"/>
                <w:kern w:val="0"/>
                <w:sz w:val="18"/>
                <w:szCs w:val="18"/>
                <w:highlight w:val="none"/>
              </w:rPr>
            </w:pPr>
          </w:p>
        </w:tc>
      </w:tr>
      <w:tr>
        <w:tblPrEx>
          <w:tblCellMar>
            <w:top w:w="0" w:type="dxa"/>
            <w:left w:w="108" w:type="dxa"/>
            <w:bottom w:w="0" w:type="dxa"/>
            <w:right w:w="108" w:type="dxa"/>
          </w:tblCellMar>
        </w:tblPrEx>
        <w:trPr>
          <w:trHeight w:val="301" w:hRule="atLeast"/>
        </w:trPr>
        <w:tc>
          <w:tcPr>
            <w:tcW w:w="340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总人数</w:t>
            </w:r>
          </w:p>
        </w:tc>
        <w:tc>
          <w:tcPr>
            <w:tcW w:w="269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不少</w:t>
            </w:r>
          </w:p>
          <w:p>
            <w:pPr>
              <w:widowControl/>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于16人</w:t>
            </w:r>
          </w:p>
        </w:tc>
        <w:tc>
          <w:tcPr>
            <w:tcW w:w="241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auto"/>
                <w:kern w:val="0"/>
                <w:sz w:val="18"/>
                <w:szCs w:val="18"/>
                <w:highlight w:val="none"/>
              </w:rPr>
            </w:pPr>
          </w:p>
        </w:tc>
      </w:tr>
    </w:tbl>
    <w:p>
      <w:pPr>
        <w:spacing w:line="360" w:lineRule="auto"/>
        <w:ind w:firstLine="480" w:firstLineChars="200"/>
        <w:contextualSpacing/>
        <w:rPr>
          <w:rFonts w:hint="eastAsia" w:ascii="宋体" w:hAnsi="宋体" w:cs="宋体"/>
          <w:color w:val="auto"/>
          <w:kern w:val="0"/>
          <w:sz w:val="24"/>
          <w:szCs w:val="24"/>
          <w:highlight w:val="none"/>
        </w:rPr>
      </w:pPr>
    </w:p>
    <w:p>
      <w:pPr>
        <w:spacing w:line="360" w:lineRule="auto"/>
        <w:ind w:firstLine="480" w:firstLineChars="200"/>
        <w:contextualSpacing/>
        <w:rPr>
          <w:rFonts w:hint="eastAsia" w:ascii="宋体" w:hAnsi="宋体" w:cs="宋体"/>
          <w:color w:val="auto"/>
          <w:kern w:val="0"/>
          <w:sz w:val="24"/>
          <w:szCs w:val="24"/>
          <w:highlight w:val="none"/>
        </w:rPr>
      </w:pPr>
    </w:p>
    <w:p>
      <w:pPr>
        <w:spacing w:line="48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投标人（盖章）：</w:t>
      </w:r>
    </w:p>
    <w:p>
      <w:pPr>
        <w:spacing w:line="480" w:lineRule="auto"/>
        <w:ind w:firstLine="480" w:firstLineChars="200"/>
        <w:rPr>
          <w:rFonts w:ascii="宋体" w:hAnsi="宋体"/>
          <w:bCs/>
          <w:color w:val="auto"/>
          <w:sz w:val="24"/>
          <w:szCs w:val="24"/>
          <w:highlight w:val="none"/>
        </w:rPr>
      </w:pPr>
      <w:r>
        <w:rPr>
          <w:rFonts w:hint="eastAsia" w:ascii="宋体" w:hAnsi="宋体"/>
          <w:color w:val="auto"/>
          <w:sz w:val="24"/>
          <w:szCs w:val="24"/>
          <w:highlight w:val="none"/>
        </w:rPr>
        <w:t>法定代表人（负责人）或被授权代表（签字或盖章）</w:t>
      </w:r>
      <w:r>
        <w:rPr>
          <w:rFonts w:hint="eastAsia" w:ascii="宋体" w:hAnsi="宋体"/>
          <w:bCs/>
          <w:color w:val="auto"/>
          <w:sz w:val="24"/>
          <w:szCs w:val="24"/>
          <w:highlight w:val="none"/>
        </w:rPr>
        <w:t>：</w:t>
      </w:r>
    </w:p>
    <w:p>
      <w:pPr>
        <w:spacing w:line="360" w:lineRule="auto"/>
        <w:ind w:firstLine="1440" w:firstLineChars="600"/>
        <w:jc w:val="left"/>
        <w:rPr>
          <w:rFonts w:hint="eastAsia" w:ascii="黑体" w:hAnsi="宋体" w:eastAsia="黑体"/>
          <w:bCs/>
          <w:color w:val="auto"/>
          <w:sz w:val="24"/>
          <w:szCs w:val="24"/>
          <w:highlight w:val="none"/>
        </w:rPr>
      </w:pPr>
      <w:r>
        <w:rPr>
          <w:rFonts w:hint="eastAsia" w:ascii="宋体" w:hAnsi="宋体"/>
          <w:color w:val="auto"/>
          <w:sz w:val="24"/>
          <w:szCs w:val="24"/>
          <w:highlight w:val="none"/>
        </w:rPr>
        <w:t>年   月   日</w:t>
      </w:r>
    </w:p>
    <w:p>
      <w:pPr>
        <w:spacing w:line="360" w:lineRule="auto"/>
        <w:jc w:val="left"/>
        <w:rPr>
          <w:rFonts w:hint="eastAsia" w:ascii="黑体" w:hAnsi="宋体" w:eastAsia="黑体"/>
          <w:bCs/>
          <w:color w:val="auto"/>
          <w:sz w:val="24"/>
          <w:szCs w:val="24"/>
          <w:highlight w:val="none"/>
        </w:rPr>
      </w:pPr>
    </w:p>
    <w:p>
      <w:pPr>
        <w:spacing w:line="360" w:lineRule="auto"/>
        <w:jc w:val="left"/>
        <w:rPr>
          <w:rFonts w:hint="eastAsia" w:ascii="黑体" w:hAnsi="宋体" w:eastAsia="黑体"/>
          <w:bCs/>
          <w:color w:val="auto"/>
          <w:sz w:val="24"/>
          <w:szCs w:val="24"/>
          <w:highlight w:val="none"/>
        </w:rPr>
      </w:pPr>
    </w:p>
    <w:p>
      <w:pPr>
        <w:spacing w:line="360" w:lineRule="auto"/>
        <w:jc w:val="left"/>
        <w:rPr>
          <w:rFonts w:hint="eastAsia" w:ascii="黑体" w:hAnsi="宋体" w:eastAsia="黑体"/>
          <w:bCs/>
          <w:color w:val="auto"/>
          <w:sz w:val="24"/>
          <w:szCs w:val="24"/>
          <w:highlight w:val="none"/>
        </w:rPr>
      </w:pPr>
    </w:p>
    <w:p>
      <w:pPr>
        <w:spacing w:line="360" w:lineRule="auto"/>
        <w:jc w:val="left"/>
        <w:rPr>
          <w:rFonts w:hint="eastAsia" w:ascii="黑体" w:hAnsi="宋体" w:eastAsia="黑体"/>
          <w:bCs/>
          <w:color w:val="auto"/>
          <w:sz w:val="24"/>
          <w:szCs w:val="24"/>
          <w:highlight w:val="none"/>
        </w:rPr>
      </w:pPr>
    </w:p>
    <w:p>
      <w:pPr>
        <w:spacing w:line="360" w:lineRule="auto"/>
        <w:jc w:val="left"/>
        <w:rPr>
          <w:rFonts w:ascii="黑体" w:hAnsi="宋体" w:eastAsia="黑体"/>
          <w:bCs/>
          <w:color w:val="auto"/>
          <w:sz w:val="24"/>
          <w:szCs w:val="24"/>
          <w:highlight w:val="none"/>
        </w:rPr>
      </w:pPr>
      <w:r>
        <w:rPr>
          <w:rFonts w:ascii="黑体" w:hAnsi="宋体" w:eastAsia="黑体"/>
          <w:bCs/>
          <w:color w:val="auto"/>
          <w:sz w:val="24"/>
          <w:szCs w:val="24"/>
          <w:highlight w:val="none"/>
        </w:rPr>
        <w:br w:type="page"/>
      </w:r>
      <w:r>
        <w:rPr>
          <w:rFonts w:hint="eastAsia" w:ascii="黑体" w:hAnsi="宋体" w:eastAsia="黑体"/>
          <w:bCs/>
          <w:color w:val="auto"/>
          <w:sz w:val="24"/>
          <w:szCs w:val="24"/>
          <w:highlight w:val="none"/>
        </w:rPr>
        <w:t>（十）中小企业声明函（格式）</w:t>
      </w:r>
    </w:p>
    <w:p>
      <w:pPr>
        <w:jc w:val="left"/>
        <w:rPr>
          <w:rFonts w:ascii="黑体" w:hAnsi="宋体" w:eastAsia="黑体"/>
          <w:bCs/>
          <w:color w:val="auto"/>
          <w:sz w:val="24"/>
          <w:szCs w:val="24"/>
          <w:highlight w:val="none"/>
        </w:rPr>
      </w:pPr>
    </w:p>
    <w:p>
      <w:pPr>
        <w:jc w:val="left"/>
        <w:rPr>
          <w:rFonts w:hint="eastAsia" w:ascii="黑体" w:hAnsi="宋体" w:eastAsia="黑体"/>
          <w:bCs/>
          <w:color w:val="auto"/>
          <w:sz w:val="24"/>
          <w:szCs w:val="24"/>
          <w:highlight w:val="none"/>
        </w:rPr>
      </w:pPr>
    </w:p>
    <w:p>
      <w:pPr>
        <w:jc w:val="center"/>
        <w:rPr>
          <w:rFonts w:ascii="黑体" w:eastAsia="黑体"/>
          <w:bCs/>
          <w:color w:val="auto"/>
          <w:sz w:val="28"/>
          <w:szCs w:val="28"/>
          <w:highlight w:val="none"/>
        </w:rPr>
      </w:pPr>
      <w:r>
        <w:rPr>
          <w:rFonts w:hint="eastAsia" w:ascii="黑体" w:eastAsia="黑体"/>
          <w:bCs/>
          <w:color w:val="auto"/>
          <w:sz w:val="28"/>
          <w:szCs w:val="28"/>
          <w:highlight w:val="none"/>
        </w:rPr>
        <w:t>中小企业声明函（服务）</w:t>
      </w:r>
    </w:p>
    <w:p>
      <w:pPr>
        <w:spacing w:line="588" w:lineRule="exact"/>
        <w:rPr>
          <w:rFonts w:hint="eastAsia" w:ascii="宋体" w:hAnsi="宋体"/>
          <w:b/>
          <w:color w:val="auto"/>
          <w:spacing w:val="6"/>
          <w:sz w:val="30"/>
          <w:szCs w:val="30"/>
          <w:highlight w:val="none"/>
        </w:rPr>
      </w:pPr>
    </w:p>
    <w:p>
      <w:pPr>
        <w:spacing w:line="360" w:lineRule="auto"/>
        <w:ind w:firstLine="504"/>
        <w:rPr>
          <w:rFonts w:hint="eastAsia" w:ascii="宋体" w:hAnsi="宋体"/>
          <w:color w:val="auto"/>
          <w:spacing w:val="6"/>
          <w:sz w:val="24"/>
          <w:szCs w:val="24"/>
          <w:highlight w:val="none"/>
        </w:rPr>
      </w:pPr>
      <w:r>
        <w:rPr>
          <w:rFonts w:hint="eastAsia" w:ascii="宋体" w:hAnsi="宋体"/>
          <w:color w:val="auto"/>
          <w:spacing w:val="6"/>
          <w:sz w:val="24"/>
          <w:szCs w:val="24"/>
          <w:highlight w:val="none"/>
        </w:rPr>
        <w:t>本公司（联合体）郑重声明，根据《政府采购促进中小企业发展管理办法》（财库</w:t>
      </w:r>
      <w:r>
        <w:rPr>
          <w:rFonts w:hint="eastAsia" w:ascii="宋体" w:hAnsi="宋体"/>
          <w:bCs/>
          <w:color w:val="auto"/>
          <w:sz w:val="24"/>
          <w:szCs w:val="24"/>
          <w:highlight w:val="none"/>
        </w:rPr>
        <w:t>〔2020〕</w:t>
      </w:r>
      <w:r>
        <w:rPr>
          <w:rFonts w:hint="eastAsia" w:ascii="宋体" w:hAnsi="宋体"/>
          <w:color w:val="auto"/>
          <w:spacing w:val="6"/>
          <w:sz w:val="24"/>
          <w:szCs w:val="24"/>
          <w:highlight w:val="none"/>
        </w:rPr>
        <w:t>46号）的规定，本公司（联合体）参加（单位名称）的（项目名称）采购活动，</w:t>
      </w:r>
      <w:r>
        <w:rPr>
          <w:rFonts w:hint="eastAsia" w:ascii="宋体" w:hAnsi="宋体"/>
          <w:b/>
          <w:color w:val="auto"/>
          <w:spacing w:val="6"/>
          <w:sz w:val="24"/>
          <w:szCs w:val="24"/>
          <w:highlight w:val="none"/>
        </w:rPr>
        <w:t>服务全部由符合政府要求的中小企业承接。</w:t>
      </w:r>
      <w:r>
        <w:rPr>
          <w:rFonts w:hint="eastAsia" w:ascii="宋体" w:hAnsi="宋体"/>
          <w:color w:val="auto"/>
          <w:spacing w:val="6"/>
          <w:sz w:val="24"/>
          <w:szCs w:val="24"/>
          <w:highlight w:val="none"/>
        </w:rPr>
        <w:t>_相关企业（含联合体中的中小企业、签订分包意向协议的中小企业）的具体情况如下：</w:t>
      </w:r>
    </w:p>
    <w:p>
      <w:pPr>
        <w:snapToGrid w:val="0"/>
        <w:spacing w:line="360" w:lineRule="auto"/>
        <w:ind w:firstLine="504" w:firstLineChars="200"/>
        <w:rPr>
          <w:rFonts w:hint="eastAsia" w:ascii="宋体" w:hAnsi="宋体"/>
          <w:color w:val="auto"/>
          <w:sz w:val="24"/>
          <w:highlight w:val="none"/>
        </w:rPr>
      </w:pPr>
      <w:r>
        <w:rPr>
          <w:rFonts w:hint="eastAsia" w:ascii="宋体" w:hAnsi="宋体"/>
          <w:color w:val="auto"/>
          <w:spacing w:val="6"/>
          <w:sz w:val="24"/>
          <w:szCs w:val="24"/>
          <w:highlight w:val="none"/>
        </w:rPr>
        <w:t>1.</w:t>
      </w:r>
      <w:r>
        <w:rPr>
          <w:rFonts w:hint="eastAsia" w:ascii="宋体" w:hAnsi="宋体"/>
          <w:color w:val="auto"/>
          <w:sz w:val="24"/>
          <w:highlight w:val="none"/>
          <w:u w:val="single"/>
        </w:rPr>
        <w:t>（标的名称）</w:t>
      </w:r>
      <w:r>
        <w:rPr>
          <w:rFonts w:hint="eastAsia" w:ascii="宋体" w:hAnsi="宋体"/>
          <w:color w:val="auto"/>
          <w:sz w:val="24"/>
          <w:highlight w:val="none"/>
        </w:rPr>
        <w:t>，属于</w:t>
      </w:r>
      <w:r>
        <w:rPr>
          <w:rFonts w:hint="eastAsia" w:ascii="宋体" w:hAnsi="宋体"/>
          <w:color w:val="auto"/>
          <w:sz w:val="24"/>
          <w:highlight w:val="none"/>
          <w:u w:val="single"/>
        </w:rPr>
        <w:t>（采购文件中明确的所属行业）</w:t>
      </w:r>
      <w:r>
        <w:rPr>
          <w:rFonts w:hint="eastAsia" w:ascii="宋体" w:hAnsi="宋体"/>
          <w:color w:val="auto"/>
          <w:sz w:val="24"/>
          <w:highlight w:val="none"/>
        </w:rPr>
        <w:t>；承建（承接）企业为</w:t>
      </w:r>
      <w:r>
        <w:rPr>
          <w:rFonts w:hint="eastAsia" w:ascii="宋体" w:hAnsi="宋体"/>
          <w:color w:val="auto"/>
          <w:sz w:val="24"/>
          <w:highlight w:val="none"/>
          <w:u w:val="single"/>
        </w:rPr>
        <w:t>（企业名称）</w:t>
      </w:r>
      <w:r>
        <w:rPr>
          <w:rFonts w:hint="eastAsia" w:ascii="宋体" w:hAnsi="宋体"/>
          <w:color w:val="auto"/>
          <w:sz w:val="24"/>
          <w:highlight w:val="none"/>
        </w:rPr>
        <w:t>，从业人员人，营业收入为万元，资产总额为万元，属于</w:t>
      </w:r>
      <w:r>
        <w:rPr>
          <w:rFonts w:hint="eastAsia" w:ascii="宋体" w:hAnsi="宋体"/>
          <w:color w:val="auto"/>
          <w:sz w:val="24"/>
          <w:highlight w:val="none"/>
          <w:u w:val="single"/>
        </w:rPr>
        <w:t>（中型企业、小型企业、微型企业）</w:t>
      </w:r>
      <w:r>
        <w:rPr>
          <w:rFonts w:hint="eastAsia" w:ascii="宋体" w:hAnsi="宋体"/>
          <w:color w:val="auto"/>
          <w:sz w:val="24"/>
          <w:highlight w:val="none"/>
        </w:rPr>
        <w:t>；</w:t>
      </w:r>
    </w:p>
    <w:p>
      <w:pPr>
        <w:snapToGrid w:val="0"/>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2.</w:t>
      </w:r>
      <w:r>
        <w:rPr>
          <w:rFonts w:hint="eastAsia" w:ascii="宋体" w:hAnsi="宋体"/>
          <w:color w:val="auto"/>
          <w:sz w:val="24"/>
          <w:highlight w:val="none"/>
          <w:u w:val="single"/>
        </w:rPr>
        <w:t>（标的名称）</w:t>
      </w:r>
      <w:r>
        <w:rPr>
          <w:rFonts w:hint="eastAsia" w:ascii="宋体" w:hAnsi="宋体"/>
          <w:color w:val="auto"/>
          <w:sz w:val="24"/>
          <w:highlight w:val="none"/>
        </w:rPr>
        <w:t>，属于</w:t>
      </w:r>
      <w:r>
        <w:rPr>
          <w:rFonts w:hint="eastAsia" w:ascii="宋体" w:hAnsi="宋体"/>
          <w:color w:val="auto"/>
          <w:sz w:val="24"/>
          <w:highlight w:val="none"/>
          <w:u w:val="single"/>
        </w:rPr>
        <w:t>（采购文件中明确的所属行业）</w:t>
      </w:r>
      <w:r>
        <w:rPr>
          <w:rFonts w:hint="eastAsia" w:ascii="宋体" w:hAnsi="宋体"/>
          <w:color w:val="auto"/>
          <w:sz w:val="24"/>
          <w:highlight w:val="none"/>
        </w:rPr>
        <w:t>；承建（承接）企业为</w:t>
      </w:r>
      <w:r>
        <w:rPr>
          <w:rFonts w:hint="eastAsia" w:ascii="宋体" w:hAnsi="宋体"/>
          <w:color w:val="auto"/>
          <w:sz w:val="24"/>
          <w:highlight w:val="none"/>
          <w:u w:val="single"/>
        </w:rPr>
        <w:t>（企业名称）</w:t>
      </w:r>
      <w:r>
        <w:rPr>
          <w:rFonts w:hint="eastAsia" w:ascii="宋体" w:hAnsi="宋体"/>
          <w:color w:val="auto"/>
          <w:sz w:val="24"/>
          <w:highlight w:val="none"/>
        </w:rPr>
        <w:t>，从业人员人，营业收入为万元，资产总额为万元，属于</w:t>
      </w:r>
      <w:r>
        <w:rPr>
          <w:rFonts w:hint="eastAsia" w:ascii="宋体" w:hAnsi="宋体"/>
          <w:color w:val="auto"/>
          <w:sz w:val="24"/>
          <w:highlight w:val="none"/>
          <w:u w:val="single"/>
        </w:rPr>
        <w:t>（中型企业、小型企业、微型企业）</w:t>
      </w:r>
      <w:r>
        <w:rPr>
          <w:rFonts w:hint="eastAsia" w:ascii="宋体" w:hAnsi="宋体"/>
          <w:color w:val="auto"/>
          <w:sz w:val="24"/>
          <w:highlight w:val="none"/>
        </w:rPr>
        <w:t>；</w:t>
      </w:r>
    </w:p>
    <w:p>
      <w:pPr>
        <w:snapToGrid w:val="0"/>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以上企业，不属于大企业的分支机构，不存在控股股东为大企业的情形，也不存在与大企业的负责人为同一人的情形。</w:t>
      </w:r>
    </w:p>
    <w:p>
      <w:pPr>
        <w:snapToGrid w:val="0"/>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本企业对上述声明内容的真实性负责。如有虚假，将依法承担相应责任。</w:t>
      </w:r>
    </w:p>
    <w:p>
      <w:pPr>
        <w:tabs>
          <w:tab w:val="left" w:pos="4860"/>
        </w:tabs>
        <w:spacing w:line="360" w:lineRule="auto"/>
        <w:ind w:right="1560" w:firstLine="504" w:firstLineChars="200"/>
        <w:jc w:val="left"/>
        <w:rPr>
          <w:rFonts w:hint="eastAsia" w:ascii="宋体" w:hAnsi="宋体"/>
          <w:color w:val="auto"/>
          <w:spacing w:val="6"/>
          <w:sz w:val="24"/>
          <w:szCs w:val="24"/>
          <w:highlight w:val="none"/>
        </w:rPr>
      </w:pPr>
      <w:r>
        <w:rPr>
          <w:rFonts w:hint="eastAsia" w:ascii="宋体" w:hAnsi="宋体"/>
          <w:color w:val="auto"/>
          <w:spacing w:val="6"/>
          <w:sz w:val="24"/>
          <w:szCs w:val="24"/>
          <w:highlight w:val="none"/>
        </w:rPr>
        <w:t xml:space="preserve">投标人名称（盖章）： </w:t>
      </w:r>
    </w:p>
    <w:p>
      <w:pPr>
        <w:spacing w:line="360" w:lineRule="auto"/>
        <w:jc w:val="left"/>
        <w:rPr>
          <w:rFonts w:hint="eastAsia" w:ascii="宋体" w:hAnsi="宋体"/>
          <w:color w:val="auto"/>
          <w:spacing w:val="6"/>
          <w:sz w:val="24"/>
          <w:szCs w:val="24"/>
          <w:highlight w:val="none"/>
        </w:rPr>
      </w:pPr>
      <w:r>
        <w:rPr>
          <w:rFonts w:hint="eastAsia" w:ascii="宋体" w:hAnsi="宋体"/>
          <w:color w:val="auto"/>
          <w:spacing w:val="6"/>
          <w:sz w:val="24"/>
          <w:szCs w:val="24"/>
          <w:highlight w:val="none"/>
        </w:rPr>
        <w:t xml:space="preserve">                             日  期：</w:t>
      </w:r>
    </w:p>
    <w:p>
      <w:pPr>
        <w:rPr>
          <w:rFonts w:hint="eastAsia"/>
          <w:color w:val="auto"/>
          <w:highlight w:val="none"/>
        </w:rPr>
      </w:pPr>
    </w:p>
    <w:p>
      <w:pPr>
        <w:rPr>
          <w:color w:val="auto"/>
          <w:highlight w:val="none"/>
        </w:rPr>
      </w:pPr>
    </w:p>
    <w:p>
      <w:pPr>
        <w:snapToGrid w:val="0"/>
        <w:spacing w:line="360" w:lineRule="auto"/>
        <w:ind w:firstLine="480" w:firstLineChars="200"/>
        <w:rPr>
          <w:rFonts w:ascii="宋体" w:hAnsi="宋体"/>
          <w:color w:val="auto"/>
          <w:sz w:val="24"/>
          <w:highlight w:val="none"/>
        </w:rPr>
      </w:pPr>
      <w:r>
        <w:rPr>
          <w:rFonts w:hint="eastAsia" w:ascii="宋体" w:hAnsi="宋体"/>
          <w:color w:val="auto"/>
          <w:sz w:val="24"/>
          <w:highlight w:val="none"/>
        </w:rPr>
        <w:t>说明：</w:t>
      </w:r>
    </w:p>
    <w:p>
      <w:pPr>
        <w:snapToGrid w:val="0"/>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1.从业人员、营业收入、资产总额填报上一年度数据，无上一年度数据的新成立企业可不填报；</w:t>
      </w:r>
    </w:p>
    <w:p>
      <w:pPr>
        <w:tabs>
          <w:tab w:val="left" w:pos="840"/>
          <w:tab w:val="left" w:pos="1050"/>
        </w:tabs>
        <w:spacing w:line="360" w:lineRule="auto"/>
        <w:ind w:firstLine="480" w:firstLineChars="200"/>
        <w:rPr>
          <w:rFonts w:hint="eastAsia" w:ascii="宋体" w:hAnsi="宋体"/>
          <w:bCs/>
          <w:color w:val="auto"/>
          <w:sz w:val="24"/>
          <w:szCs w:val="24"/>
          <w:highlight w:val="none"/>
        </w:rPr>
      </w:pPr>
      <w:r>
        <w:rPr>
          <w:rFonts w:hint="eastAsia" w:ascii="宋体" w:hAnsi="宋体"/>
          <w:color w:val="auto"/>
          <w:sz w:val="24"/>
          <w:highlight w:val="none"/>
        </w:rPr>
        <w:t>2.本声明为承诺制，若中标后中小企业声明函随中标公告一起挂网公示。</w:t>
      </w:r>
    </w:p>
    <w:p>
      <w:pPr>
        <w:outlineLvl w:val="0"/>
        <w:rPr>
          <w:rFonts w:ascii="黑体" w:hAnsi="宋体" w:eastAsia="黑体"/>
          <w:bCs/>
          <w:color w:val="auto"/>
          <w:sz w:val="24"/>
          <w:szCs w:val="24"/>
          <w:highlight w:val="none"/>
        </w:rPr>
      </w:pPr>
      <w:r>
        <w:rPr>
          <w:rFonts w:hint="eastAsia" w:ascii="黑体" w:hAnsi="黑体" w:eastAsia="黑体"/>
          <w:bCs/>
          <w:color w:val="auto"/>
          <w:sz w:val="24"/>
          <w:szCs w:val="24"/>
          <w:highlight w:val="none"/>
        </w:rPr>
        <w:br w:type="page"/>
      </w:r>
      <w:r>
        <w:rPr>
          <w:rFonts w:hint="eastAsia" w:ascii="黑体" w:hAnsi="宋体" w:eastAsia="黑体"/>
          <w:bCs/>
          <w:color w:val="auto"/>
          <w:sz w:val="24"/>
          <w:szCs w:val="24"/>
          <w:highlight w:val="none"/>
        </w:rPr>
        <w:t>（十一）残疾人福利性单位声明函（格式）</w:t>
      </w:r>
    </w:p>
    <w:p>
      <w:pPr>
        <w:spacing w:line="588" w:lineRule="exact"/>
        <w:rPr>
          <w:rFonts w:hint="eastAsia" w:ascii="仿宋_GB2312" w:eastAsia="仿宋_GB2312"/>
          <w:b/>
          <w:color w:val="auto"/>
          <w:spacing w:val="6"/>
          <w:sz w:val="30"/>
          <w:szCs w:val="30"/>
          <w:highlight w:val="none"/>
        </w:rPr>
      </w:pPr>
    </w:p>
    <w:p>
      <w:pPr>
        <w:ind w:firstLine="560"/>
        <w:jc w:val="center"/>
        <w:rPr>
          <w:rFonts w:hint="eastAsia" w:ascii="黑体" w:eastAsia="黑体"/>
          <w:bCs/>
          <w:color w:val="auto"/>
          <w:sz w:val="28"/>
          <w:szCs w:val="28"/>
          <w:highlight w:val="none"/>
        </w:rPr>
      </w:pPr>
      <w:r>
        <w:rPr>
          <w:rFonts w:hint="eastAsia" w:ascii="黑体" w:eastAsia="黑体"/>
          <w:bCs/>
          <w:color w:val="auto"/>
          <w:sz w:val="28"/>
          <w:szCs w:val="28"/>
          <w:highlight w:val="none"/>
        </w:rPr>
        <w:t>残疾人福利性单位声明函</w:t>
      </w:r>
    </w:p>
    <w:p>
      <w:pPr>
        <w:jc w:val="center"/>
        <w:rPr>
          <w:rFonts w:hint="eastAsia" w:ascii="黑体" w:eastAsia="黑体"/>
          <w:bCs/>
          <w:color w:val="auto"/>
          <w:sz w:val="28"/>
          <w:szCs w:val="28"/>
          <w:highlight w:val="none"/>
        </w:rPr>
      </w:pPr>
    </w:p>
    <w:p>
      <w:pPr>
        <w:spacing w:line="360" w:lineRule="auto"/>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0" w:lineRule="exact"/>
        <w:ind w:firstLine="480" w:firstLineChars="200"/>
        <w:rPr>
          <w:rFonts w:hint="eastAsia" w:ascii="宋体" w:hAnsi="宋体"/>
          <w:bCs/>
          <w:color w:val="auto"/>
          <w:sz w:val="24"/>
          <w:szCs w:val="24"/>
          <w:highlight w:val="none"/>
        </w:rPr>
      </w:pPr>
      <w:r>
        <w:rPr>
          <w:rFonts w:hint="eastAsia" w:ascii="宋体" w:hAnsi="宋体"/>
          <w:color w:val="auto"/>
          <w:sz w:val="24"/>
          <w:szCs w:val="24"/>
          <w:highlight w:val="none"/>
        </w:rPr>
        <w:t>本单位对上述声明的真实性负责。如有虚假，将依法承担相应责任。</w:t>
      </w:r>
    </w:p>
    <w:p>
      <w:pPr>
        <w:spacing w:line="580" w:lineRule="exact"/>
        <w:ind w:firstLine="480" w:firstLineChars="200"/>
        <w:rPr>
          <w:rFonts w:hint="eastAsia" w:ascii="宋体" w:hAnsi="宋体"/>
          <w:bCs/>
          <w:color w:val="auto"/>
          <w:sz w:val="24"/>
          <w:szCs w:val="24"/>
          <w:highlight w:val="none"/>
        </w:rPr>
      </w:pPr>
    </w:p>
    <w:p>
      <w:pPr>
        <w:spacing w:line="580" w:lineRule="exact"/>
        <w:ind w:firstLine="480" w:firstLineChars="200"/>
        <w:rPr>
          <w:rFonts w:hint="eastAsia" w:ascii="宋体" w:hAnsi="宋体"/>
          <w:bCs/>
          <w:color w:val="auto"/>
          <w:sz w:val="24"/>
          <w:szCs w:val="24"/>
          <w:highlight w:val="none"/>
        </w:rPr>
      </w:pPr>
    </w:p>
    <w:p>
      <w:pPr>
        <w:spacing w:line="580" w:lineRule="exact"/>
        <w:ind w:firstLine="504" w:firstLineChars="200"/>
        <w:rPr>
          <w:rFonts w:hint="eastAsia" w:ascii="宋体" w:hAnsi="宋体"/>
          <w:color w:val="auto"/>
          <w:spacing w:val="6"/>
          <w:sz w:val="24"/>
          <w:szCs w:val="24"/>
          <w:highlight w:val="none"/>
        </w:rPr>
      </w:pPr>
      <w:r>
        <w:rPr>
          <w:rFonts w:hint="eastAsia" w:ascii="宋体" w:hAnsi="宋体"/>
          <w:color w:val="auto"/>
          <w:spacing w:val="6"/>
          <w:sz w:val="24"/>
          <w:szCs w:val="24"/>
          <w:highlight w:val="none"/>
        </w:rPr>
        <w:t xml:space="preserve">   投标人（盖章）：</w:t>
      </w:r>
    </w:p>
    <w:p>
      <w:pPr>
        <w:spacing w:line="580" w:lineRule="exact"/>
        <w:ind w:firstLine="960" w:firstLineChars="400"/>
        <w:rPr>
          <w:rFonts w:hint="eastAsia" w:ascii="宋体" w:hAnsi="宋体"/>
          <w:bCs/>
          <w:color w:val="auto"/>
          <w:sz w:val="24"/>
          <w:szCs w:val="24"/>
          <w:highlight w:val="none"/>
        </w:rPr>
      </w:pPr>
      <w:r>
        <w:rPr>
          <w:rFonts w:hint="eastAsia" w:ascii="宋体" w:hAnsi="宋体"/>
          <w:bCs/>
          <w:color w:val="auto"/>
          <w:sz w:val="24"/>
          <w:szCs w:val="24"/>
          <w:highlight w:val="none"/>
        </w:rPr>
        <w:t>日  期：</w:t>
      </w:r>
    </w:p>
    <w:p>
      <w:pPr>
        <w:spacing w:line="400" w:lineRule="exact"/>
        <w:rPr>
          <w:rFonts w:hint="eastAsia" w:ascii="仿宋" w:hAnsi="仿宋" w:eastAsia="仿宋"/>
          <w:color w:val="auto"/>
          <w:highlight w:val="none"/>
        </w:rPr>
      </w:pPr>
    </w:p>
    <w:p>
      <w:pPr>
        <w:rPr>
          <w:rFonts w:hint="eastAsia" w:ascii="仿宋" w:hAnsi="仿宋" w:eastAsia="仿宋"/>
          <w:color w:val="auto"/>
          <w:highlight w:val="none"/>
        </w:rPr>
      </w:pPr>
    </w:p>
    <w:p>
      <w:pPr>
        <w:spacing w:line="480" w:lineRule="auto"/>
        <w:rPr>
          <w:rFonts w:hint="eastAsia" w:ascii="宋体" w:hAnsi="宋体"/>
          <w:bCs/>
          <w:color w:val="auto"/>
          <w:sz w:val="24"/>
          <w:szCs w:val="24"/>
          <w:highlight w:val="none"/>
        </w:rPr>
      </w:pPr>
    </w:p>
    <w:p>
      <w:pPr>
        <w:spacing w:line="480" w:lineRule="auto"/>
        <w:rPr>
          <w:rFonts w:hint="eastAsia" w:ascii="宋体" w:hAnsi="宋体"/>
          <w:bCs/>
          <w:color w:val="auto"/>
          <w:sz w:val="24"/>
          <w:szCs w:val="24"/>
          <w:highlight w:val="none"/>
        </w:rPr>
      </w:pPr>
    </w:p>
    <w:p>
      <w:pPr>
        <w:overflowPunct w:val="0"/>
        <w:spacing w:line="360" w:lineRule="auto"/>
        <w:rPr>
          <w:rFonts w:hint="eastAsia" w:ascii="黑体" w:hAnsi="宋体" w:eastAsia="黑体"/>
          <w:bCs/>
          <w:color w:val="auto"/>
          <w:sz w:val="24"/>
          <w:szCs w:val="24"/>
          <w:highlight w:val="none"/>
        </w:rPr>
      </w:pPr>
      <w:r>
        <w:rPr>
          <w:rFonts w:hint="eastAsia" w:ascii="楷体_GB2312" w:eastAsia="楷体_GB2312"/>
          <w:b/>
          <w:color w:val="auto"/>
          <w:sz w:val="30"/>
          <w:szCs w:val="30"/>
          <w:highlight w:val="none"/>
        </w:rPr>
        <w:br w:type="page"/>
      </w:r>
      <w:r>
        <w:rPr>
          <w:rFonts w:hint="eastAsia" w:ascii="黑体" w:hAnsi="黑体" w:eastAsia="黑体"/>
          <w:bCs/>
          <w:color w:val="auto"/>
          <w:sz w:val="24"/>
          <w:szCs w:val="24"/>
          <w:highlight w:val="none"/>
        </w:rPr>
        <w:t>（十二）</w:t>
      </w:r>
      <w:r>
        <w:rPr>
          <w:rFonts w:hint="eastAsia" w:ascii="黑体" w:hAnsi="宋体" w:eastAsia="黑体"/>
          <w:bCs/>
          <w:color w:val="auto"/>
          <w:sz w:val="24"/>
          <w:szCs w:val="24"/>
          <w:highlight w:val="none"/>
        </w:rPr>
        <w:t>投标人基本状况一览表（格式）</w:t>
      </w:r>
    </w:p>
    <w:p>
      <w:pPr>
        <w:spacing w:line="400" w:lineRule="exact"/>
        <w:rPr>
          <w:rFonts w:hint="eastAsia" w:ascii="黑体" w:hAnsi="宋体" w:eastAsia="黑体"/>
          <w:bCs/>
          <w:color w:val="auto"/>
          <w:sz w:val="24"/>
          <w:szCs w:val="24"/>
          <w:highlight w:val="none"/>
        </w:rPr>
      </w:pPr>
    </w:p>
    <w:p>
      <w:pPr>
        <w:jc w:val="center"/>
        <w:rPr>
          <w:rFonts w:hint="eastAsia" w:ascii="黑体" w:hAnsi="黑体" w:eastAsia="黑体"/>
          <w:bCs/>
          <w:color w:val="auto"/>
          <w:sz w:val="28"/>
          <w:szCs w:val="28"/>
          <w:highlight w:val="none"/>
        </w:rPr>
      </w:pPr>
      <w:r>
        <w:rPr>
          <w:rFonts w:hint="eastAsia" w:ascii="黑体" w:hAnsi="黑体" w:eastAsia="黑体"/>
          <w:bCs/>
          <w:color w:val="auto"/>
          <w:sz w:val="28"/>
          <w:szCs w:val="28"/>
          <w:highlight w:val="none"/>
        </w:rPr>
        <w:t>投标人基本状况一览表（表一）</w:t>
      </w:r>
    </w:p>
    <w:p>
      <w:pPr>
        <w:spacing w:line="360" w:lineRule="auto"/>
        <w:rPr>
          <w:rFonts w:hint="eastAsia" w:ascii="黑体" w:eastAsia="黑体"/>
          <w:bCs/>
          <w:color w:val="auto"/>
          <w:sz w:val="24"/>
          <w:szCs w:val="24"/>
          <w:highlight w:val="none"/>
        </w:rPr>
      </w:pPr>
      <w:r>
        <w:rPr>
          <w:rFonts w:hint="eastAsia" w:ascii="黑体" w:eastAsia="黑体"/>
          <w:bCs/>
          <w:color w:val="auto"/>
          <w:sz w:val="24"/>
          <w:szCs w:val="24"/>
          <w:highlight w:val="none"/>
        </w:rPr>
        <w:t xml:space="preserve">投标人名称（盖章）                                   </w:t>
      </w:r>
    </w:p>
    <w:p>
      <w:pPr>
        <w:rPr>
          <w:rFonts w:hint="eastAsia" w:ascii="黑体" w:eastAsia="黑体"/>
          <w:bCs/>
          <w:color w:val="auto"/>
          <w:sz w:val="24"/>
          <w:szCs w:val="24"/>
          <w:highlight w:val="none"/>
        </w:rPr>
      </w:pPr>
      <w:r>
        <w:rPr>
          <w:rFonts w:hint="eastAsia" w:ascii="黑体" w:eastAsia="黑体"/>
          <w:bCs/>
          <w:color w:val="auto"/>
          <w:sz w:val="24"/>
          <w:szCs w:val="24"/>
          <w:highlight w:val="none"/>
        </w:rPr>
        <w:t>法定代表人（或无锡市级机构负责人）或被授权代表（签字或盖章）：</w:t>
      </w:r>
    </w:p>
    <w:tbl>
      <w:tblPr>
        <w:tblStyle w:val="24"/>
        <w:tblW w:w="9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94"/>
        <w:gridCol w:w="1575"/>
        <w:gridCol w:w="1276"/>
        <w:gridCol w:w="2007"/>
        <w:gridCol w:w="1074"/>
        <w:gridCol w:w="1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2594" w:type="dxa"/>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无锡市级机构公司名称</w:t>
            </w:r>
          </w:p>
        </w:tc>
        <w:tc>
          <w:tcPr>
            <w:tcW w:w="7126" w:type="dxa"/>
            <w:gridSpan w:val="5"/>
            <w:vAlign w:val="center"/>
          </w:tcPr>
          <w:p>
            <w:pPr>
              <w:spacing w:line="36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2594" w:type="dxa"/>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无锡市级机构公司地址</w:t>
            </w:r>
          </w:p>
        </w:tc>
        <w:tc>
          <w:tcPr>
            <w:tcW w:w="4858" w:type="dxa"/>
            <w:gridSpan w:val="3"/>
            <w:vAlign w:val="center"/>
          </w:tcPr>
          <w:p>
            <w:pPr>
              <w:spacing w:line="360" w:lineRule="auto"/>
              <w:jc w:val="center"/>
              <w:rPr>
                <w:rFonts w:ascii="宋体" w:hAnsi="宋体"/>
                <w:color w:val="auto"/>
                <w:szCs w:val="21"/>
                <w:highlight w:val="none"/>
              </w:rPr>
            </w:pPr>
          </w:p>
        </w:tc>
        <w:tc>
          <w:tcPr>
            <w:tcW w:w="1074" w:type="dxa"/>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电 话</w:t>
            </w:r>
          </w:p>
        </w:tc>
        <w:tc>
          <w:tcPr>
            <w:tcW w:w="1194" w:type="dxa"/>
            <w:vAlign w:val="center"/>
          </w:tcPr>
          <w:p>
            <w:pPr>
              <w:spacing w:line="36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2594" w:type="dxa"/>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无锡市级机构公司负责人</w:t>
            </w:r>
          </w:p>
        </w:tc>
        <w:tc>
          <w:tcPr>
            <w:tcW w:w="4858" w:type="dxa"/>
            <w:gridSpan w:val="3"/>
            <w:vAlign w:val="center"/>
          </w:tcPr>
          <w:p>
            <w:pPr>
              <w:spacing w:line="360" w:lineRule="auto"/>
              <w:jc w:val="center"/>
              <w:rPr>
                <w:rFonts w:ascii="宋体" w:hAnsi="宋体"/>
                <w:color w:val="auto"/>
                <w:szCs w:val="21"/>
                <w:highlight w:val="none"/>
              </w:rPr>
            </w:pPr>
          </w:p>
        </w:tc>
        <w:tc>
          <w:tcPr>
            <w:tcW w:w="1074" w:type="dxa"/>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企业性质</w:t>
            </w:r>
          </w:p>
        </w:tc>
        <w:tc>
          <w:tcPr>
            <w:tcW w:w="1194" w:type="dxa"/>
            <w:vAlign w:val="center"/>
          </w:tcPr>
          <w:p>
            <w:pPr>
              <w:spacing w:line="36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0" w:hRule="atLeast"/>
          <w:jc w:val="center"/>
        </w:trPr>
        <w:tc>
          <w:tcPr>
            <w:tcW w:w="2594" w:type="dxa"/>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总公司注册资本</w:t>
            </w:r>
          </w:p>
        </w:tc>
        <w:tc>
          <w:tcPr>
            <w:tcW w:w="2851" w:type="dxa"/>
            <w:gridSpan w:val="2"/>
            <w:vAlign w:val="center"/>
          </w:tcPr>
          <w:p>
            <w:pPr>
              <w:spacing w:line="360" w:lineRule="auto"/>
              <w:ind w:firstLine="1470" w:firstLineChars="700"/>
              <w:rPr>
                <w:rFonts w:ascii="宋体" w:hAnsi="宋体"/>
                <w:color w:val="auto"/>
                <w:szCs w:val="21"/>
                <w:highlight w:val="none"/>
              </w:rPr>
            </w:pPr>
            <w:r>
              <w:rPr>
                <w:rFonts w:hint="eastAsia" w:ascii="宋体" w:hAnsi="宋体"/>
                <w:color w:val="auto"/>
                <w:szCs w:val="21"/>
                <w:highlight w:val="none"/>
              </w:rPr>
              <w:t>万元</w:t>
            </w:r>
          </w:p>
        </w:tc>
        <w:tc>
          <w:tcPr>
            <w:tcW w:w="2007" w:type="dxa"/>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无锡机构职工总数</w:t>
            </w:r>
          </w:p>
          <w:p>
            <w:pPr>
              <w:spacing w:line="360" w:lineRule="auto"/>
              <w:jc w:val="center"/>
              <w:rPr>
                <w:rFonts w:ascii="宋体" w:hAnsi="宋体"/>
                <w:color w:val="auto"/>
                <w:szCs w:val="21"/>
                <w:highlight w:val="none"/>
              </w:rPr>
            </w:pPr>
            <w:r>
              <w:rPr>
                <w:rFonts w:hint="eastAsia" w:ascii="宋体" w:hAnsi="宋体"/>
                <w:color w:val="auto"/>
                <w:szCs w:val="21"/>
                <w:highlight w:val="none"/>
              </w:rPr>
              <w:t>（以缴纳社保金的人数为准，含江阴、宜兴</w:t>
            </w:r>
            <w:r>
              <w:rPr>
                <w:rFonts w:ascii="宋体" w:hAnsi="宋体"/>
                <w:color w:val="auto"/>
                <w:szCs w:val="21"/>
                <w:highlight w:val="none"/>
              </w:rPr>
              <w:t>）</w:t>
            </w:r>
          </w:p>
        </w:tc>
        <w:tc>
          <w:tcPr>
            <w:tcW w:w="2268" w:type="dxa"/>
            <w:gridSpan w:val="2"/>
            <w:vAlign w:val="center"/>
          </w:tcPr>
          <w:p>
            <w:pPr>
              <w:spacing w:line="360" w:lineRule="auto"/>
              <w:ind w:firstLine="1470" w:firstLineChars="700"/>
              <w:rPr>
                <w:rFonts w:ascii="宋体" w:hAnsi="宋体"/>
                <w:color w:val="auto"/>
                <w:szCs w:val="21"/>
                <w:highlight w:val="none"/>
              </w:rPr>
            </w:pPr>
            <w:r>
              <w:rPr>
                <w:rFonts w:hint="eastAsia" w:ascii="宋体" w:hAnsi="宋体"/>
                <w:color w:val="auto"/>
                <w:szCs w:val="21"/>
                <w:highlight w:val="none"/>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jc w:val="center"/>
        </w:trPr>
        <w:tc>
          <w:tcPr>
            <w:tcW w:w="2594" w:type="dxa"/>
            <w:tcBorders>
              <w:bottom w:val="single" w:color="auto" w:sz="4" w:space="0"/>
            </w:tcBorders>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年度</w:t>
            </w:r>
          </w:p>
        </w:tc>
        <w:tc>
          <w:tcPr>
            <w:tcW w:w="1575" w:type="dxa"/>
            <w:tcBorders>
              <w:bottom w:val="single" w:color="auto" w:sz="4" w:space="0"/>
            </w:tcBorders>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无锡全辖</w:t>
            </w:r>
          </w:p>
          <w:p>
            <w:pPr>
              <w:spacing w:line="360" w:lineRule="auto"/>
              <w:jc w:val="center"/>
              <w:rPr>
                <w:rFonts w:ascii="宋体" w:hAnsi="宋体"/>
                <w:color w:val="auto"/>
                <w:szCs w:val="21"/>
                <w:highlight w:val="none"/>
              </w:rPr>
            </w:pPr>
            <w:r>
              <w:rPr>
                <w:rFonts w:hint="eastAsia" w:ascii="宋体" w:hAnsi="宋体"/>
                <w:color w:val="auto"/>
                <w:szCs w:val="21"/>
                <w:highlight w:val="none"/>
              </w:rPr>
              <w:t>保险费收入</w:t>
            </w:r>
          </w:p>
          <w:p>
            <w:pPr>
              <w:spacing w:line="360" w:lineRule="auto"/>
              <w:jc w:val="center"/>
              <w:rPr>
                <w:rFonts w:ascii="宋体" w:hAnsi="宋体"/>
                <w:color w:val="auto"/>
                <w:szCs w:val="21"/>
                <w:highlight w:val="none"/>
              </w:rPr>
            </w:pPr>
            <w:r>
              <w:rPr>
                <w:rFonts w:hint="eastAsia" w:ascii="宋体" w:hAnsi="宋体"/>
                <w:color w:val="auto"/>
                <w:szCs w:val="21"/>
                <w:highlight w:val="none"/>
              </w:rPr>
              <w:t>总额</w:t>
            </w:r>
          </w:p>
        </w:tc>
        <w:tc>
          <w:tcPr>
            <w:tcW w:w="1276" w:type="dxa"/>
            <w:tcBorders>
              <w:bottom w:val="single" w:color="auto" w:sz="4" w:space="0"/>
            </w:tcBorders>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无锡全辖</w:t>
            </w:r>
          </w:p>
          <w:p>
            <w:pPr>
              <w:spacing w:line="360" w:lineRule="auto"/>
              <w:jc w:val="center"/>
              <w:rPr>
                <w:rFonts w:ascii="宋体" w:hAnsi="宋体"/>
                <w:color w:val="auto"/>
                <w:szCs w:val="21"/>
                <w:highlight w:val="none"/>
              </w:rPr>
            </w:pPr>
            <w:r>
              <w:rPr>
                <w:rFonts w:hint="eastAsia" w:ascii="宋体" w:hAnsi="宋体"/>
                <w:color w:val="auto"/>
                <w:szCs w:val="21"/>
                <w:highlight w:val="none"/>
              </w:rPr>
              <w:t>保险费</w:t>
            </w:r>
          </w:p>
          <w:p>
            <w:pPr>
              <w:spacing w:line="360" w:lineRule="auto"/>
              <w:jc w:val="center"/>
              <w:rPr>
                <w:rFonts w:ascii="宋体" w:hAnsi="宋体"/>
                <w:color w:val="auto"/>
                <w:szCs w:val="21"/>
                <w:highlight w:val="none"/>
              </w:rPr>
            </w:pPr>
            <w:r>
              <w:rPr>
                <w:rFonts w:hint="eastAsia" w:ascii="宋体" w:hAnsi="宋体"/>
                <w:color w:val="auto"/>
                <w:szCs w:val="21"/>
                <w:highlight w:val="none"/>
              </w:rPr>
              <w:t>占比%</w:t>
            </w:r>
          </w:p>
        </w:tc>
        <w:tc>
          <w:tcPr>
            <w:tcW w:w="2007" w:type="dxa"/>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无锡全辖</w:t>
            </w:r>
          </w:p>
          <w:p>
            <w:pPr>
              <w:spacing w:line="360" w:lineRule="auto"/>
              <w:jc w:val="center"/>
              <w:rPr>
                <w:rFonts w:ascii="宋体" w:hAnsi="宋体"/>
                <w:color w:val="auto"/>
                <w:szCs w:val="21"/>
                <w:highlight w:val="none"/>
              </w:rPr>
            </w:pPr>
            <w:r>
              <w:rPr>
                <w:rFonts w:hint="eastAsia" w:ascii="宋体" w:hAnsi="宋体"/>
                <w:color w:val="auto"/>
                <w:szCs w:val="21"/>
                <w:highlight w:val="none"/>
              </w:rPr>
              <w:t>健康险保险费</w:t>
            </w:r>
          </w:p>
          <w:p>
            <w:pPr>
              <w:spacing w:line="360" w:lineRule="auto"/>
              <w:jc w:val="center"/>
              <w:rPr>
                <w:rFonts w:ascii="宋体" w:hAnsi="宋体"/>
                <w:color w:val="auto"/>
                <w:szCs w:val="21"/>
                <w:highlight w:val="none"/>
              </w:rPr>
            </w:pPr>
            <w:r>
              <w:rPr>
                <w:rFonts w:hint="eastAsia" w:ascii="宋体" w:hAnsi="宋体"/>
                <w:color w:val="auto"/>
                <w:szCs w:val="21"/>
                <w:highlight w:val="none"/>
              </w:rPr>
              <w:t>收入总额</w:t>
            </w:r>
          </w:p>
        </w:tc>
        <w:tc>
          <w:tcPr>
            <w:tcW w:w="2268" w:type="dxa"/>
            <w:gridSpan w:val="2"/>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无锡全辖健康险占比%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9" w:hRule="atLeast"/>
          <w:jc w:val="center"/>
        </w:trPr>
        <w:tc>
          <w:tcPr>
            <w:tcW w:w="2594" w:type="dxa"/>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20</w:t>
            </w:r>
            <w:r>
              <w:rPr>
                <w:rFonts w:ascii="宋体" w:hAnsi="宋体"/>
                <w:color w:val="auto"/>
                <w:szCs w:val="21"/>
                <w:highlight w:val="none"/>
              </w:rPr>
              <w:t>2</w:t>
            </w:r>
            <w:r>
              <w:rPr>
                <w:rFonts w:hint="eastAsia" w:ascii="宋体" w:hAnsi="宋体"/>
                <w:color w:val="auto"/>
                <w:szCs w:val="21"/>
                <w:highlight w:val="none"/>
              </w:rPr>
              <w:t>1</w:t>
            </w:r>
          </w:p>
        </w:tc>
        <w:tc>
          <w:tcPr>
            <w:tcW w:w="1575" w:type="dxa"/>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 xml:space="preserve">       万元</w:t>
            </w:r>
          </w:p>
        </w:tc>
        <w:tc>
          <w:tcPr>
            <w:tcW w:w="1276" w:type="dxa"/>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 xml:space="preserve">  %</w:t>
            </w:r>
          </w:p>
        </w:tc>
        <w:tc>
          <w:tcPr>
            <w:tcW w:w="2007" w:type="dxa"/>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 xml:space="preserve">     万元</w:t>
            </w:r>
          </w:p>
        </w:tc>
        <w:tc>
          <w:tcPr>
            <w:tcW w:w="2268" w:type="dxa"/>
            <w:gridSpan w:val="2"/>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 xml:space="preserve">       %</w:t>
            </w:r>
          </w:p>
        </w:tc>
      </w:tr>
    </w:tbl>
    <w:p>
      <w:pPr>
        <w:outlineLvl w:val="0"/>
        <w:rPr>
          <w:rFonts w:hint="eastAsia" w:ascii="楷体_GB2312" w:eastAsia="楷体_GB2312"/>
          <w:b/>
          <w:color w:val="auto"/>
          <w:sz w:val="30"/>
          <w:szCs w:val="30"/>
          <w:highlight w:val="none"/>
        </w:rPr>
      </w:pPr>
      <w:r>
        <w:rPr>
          <w:rFonts w:hint="eastAsia" w:ascii="宋体" w:hAnsi="宋体"/>
          <w:b/>
          <w:color w:val="auto"/>
          <w:sz w:val="24"/>
          <w:szCs w:val="24"/>
          <w:highlight w:val="none"/>
        </w:rPr>
        <w:t>注：20</w:t>
      </w:r>
      <w:r>
        <w:rPr>
          <w:rFonts w:ascii="宋体" w:hAnsi="宋体"/>
          <w:b/>
          <w:color w:val="auto"/>
          <w:sz w:val="24"/>
          <w:szCs w:val="24"/>
          <w:highlight w:val="none"/>
        </w:rPr>
        <w:t>2</w:t>
      </w:r>
      <w:r>
        <w:rPr>
          <w:rFonts w:hint="eastAsia" w:ascii="宋体" w:hAnsi="宋体"/>
          <w:b/>
          <w:color w:val="auto"/>
          <w:sz w:val="24"/>
          <w:szCs w:val="24"/>
          <w:highlight w:val="none"/>
        </w:rPr>
        <w:t>1年度无锡全辖保费收入及相应比例、20</w:t>
      </w:r>
      <w:r>
        <w:rPr>
          <w:rFonts w:ascii="宋体" w:hAnsi="宋体"/>
          <w:b/>
          <w:color w:val="auto"/>
          <w:sz w:val="24"/>
          <w:szCs w:val="24"/>
          <w:highlight w:val="none"/>
        </w:rPr>
        <w:t>2</w:t>
      </w:r>
      <w:r>
        <w:rPr>
          <w:rFonts w:hint="eastAsia" w:ascii="宋体" w:hAnsi="宋体"/>
          <w:b/>
          <w:color w:val="auto"/>
          <w:sz w:val="24"/>
          <w:szCs w:val="24"/>
          <w:highlight w:val="none"/>
        </w:rPr>
        <w:t>1年度无锡全辖健康险保费收入总额及相应比例以无锡市保险行业协会提供的2021年度数据为准。</w:t>
      </w:r>
    </w:p>
    <w:p>
      <w:pPr>
        <w:spacing w:line="360" w:lineRule="auto"/>
        <w:ind w:firstLine="840" w:firstLineChars="300"/>
        <w:jc w:val="center"/>
        <w:rPr>
          <w:rFonts w:hint="eastAsia" w:ascii="黑体" w:hAnsi="宋体" w:eastAsia="黑体"/>
          <w:bCs/>
          <w:color w:val="auto"/>
          <w:sz w:val="28"/>
          <w:szCs w:val="28"/>
          <w:highlight w:val="none"/>
        </w:rPr>
      </w:pPr>
    </w:p>
    <w:p>
      <w:pPr>
        <w:outlineLvl w:val="0"/>
        <w:rPr>
          <w:rFonts w:hint="eastAsia" w:ascii="楷体_GB2312" w:eastAsia="楷体_GB2312"/>
          <w:b/>
          <w:color w:val="auto"/>
          <w:sz w:val="30"/>
          <w:szCs w:val="30"/>
          <w:highlight w:val="none"/>
        </w:rPr>
      </w:pPr>
    </w:p>
    <w:p>
      <w:pPr>
        <w:outlineLvl w:val="0"/>
        <w:rPr>
          <w:rFonts w:hint="eastAsia" w:ascii="楷体_GB2312" w:eastAsia="楷体_GB2312"/>
          <w:b/>
          <w:color w:val="auto"/>
          <w:sz w:val="30"/>
          <w:szCs w:val="30"/>
          <w:highlight w:val="none"/>
        </w:rPr>
      </w:pPr>
    </w:p>
    <w:p>
      <w:pPr>
        <w:outlineLvl w:val="0"/>
        <w:rPr>
          <w:rFonts w:hint="eastAsia" w:ascii="楷体_GB2312" w:eastAsia="楷体_GB2312"/>
          <w:b/>
          <w:color w:val="auto"/>
          <w:sz w:val="30"/>
          <w:szCs w:val="30"/>
          <w:highlight w:val="none"/>
        </w:rPr>
      </w:pPr>
    </w:p>
    <w:p>
      <w:pPr>
        <w:outlineLvl w:val="0"/>
        <w:rPr>
          <w:rFonts w:hint="eastAsia" w:ascii="楷体_GB2312" w:eastAsia="楷体_GB2312"/>
          <w:b/>
          <w:color w:val="auto"/>
          <w:sz w:val="30"/>
          <w:szCs w:val="30"/>
          <w:highlight w:val="none"/>
        </w:rPr>
      </w:pPr>
    </w:p>
    <w:p>
      <w:pPr>
        <w:outlineLvl w:val="0"/>
        <w:rPr>
          <w:rFonts w:hint="eastAsia" w:ascii="楷体_GB2312" w:eastAsia="楷体_GB2312"/>
          <w:b/>
          <w:color w:val="auto"/>
          <w:sz w:val="30"/>
          <w:szCs w:val="30"/>
          <w:highlight w:val="none"/>
        </w:rPr>
      </w:pPr>
    </w:p>
    <w:p>
      <w:pPr>
        <w:outlineLvl w:val="0"/>
        <w:rPr>
          <w:rFonts w:hint="eastAsia" w:ascii="楷体_GB2312" w:eastAsia="楷体_GB2312"/>
          <w:b/>
          <w:color w:val="auto"/>
          <w:sz w:val="30"/>
          <w:szCs w:val="30"/>
          <w:highlight w:val="none"/>
        </w:rPr>
      </w:pPr>
    </w:p>
    <w:p>
      <w:pPr>
        <w:outlineLvl w:val="0"/>
        <w:rPr>
          <w:rFonts w:hint="eastAsia" w:ascii="楷体_GB2312" w:eastAsia="楷体_GB2312"/>
          <w:b/>
          <w:color w:val="auto"/>
          <w:sz w:val="30"/>
          <w:szCs w:val="30"/>
          <w:highlight w:val="none"/>
        </w:rPr>
      </w:pPr>
    </w:p>
    <w:p>
      <w:pPr>
        <w:outlineLvl w:val="0"/>
        <w:rPr>
          <w:rFonts w:hint="eastAsia" w:ascii="楷体_GB2312" w:eastAsia="楷体_GB2312"/>
          <w:b/>
          <w:color w:val="auto"/>
          <w:sz w:val="30"/>
          <w:szCs w:val="30"/>
          <w:highlight w:val="none"/>
        </w:rPr>
      </w:pPr>
    </w:p>
    <w:p>
      <w:pPr>
        <w:outlineLvl w:val="0"/>
        <w:rPr>
          <w:rFonts w:hint="eastAsia" w:ascii="楷体_GB2312" w:eastAsia="楷体_GB2312"/>
          <w:b/>
          <w:color w:val="auto"/>
          <w:sz w:val="30"/>
          <w:szCs w:val="30"/>
          <w:highlight w:val="none"/>
        </w:rPr>
      </w:pPr>
    </w:p>
    <w:p>
      <w:pPr>
        <w:outlineLvl w:val="0"/>
        <w:rPr>
          <w:rFonts w:ascii="楷体_GB2312" w:eastAsia="楷体_GB2312"/>
          <w:b/>
          <w:color w:val="auto"/>
          <w:sz w:val="30"/>
          <w:szCs w:val="30"/>
          <w:highlight w:val="none"/>
        </w:rPr>
      </w:pPr>
      <w:r>
        <w:rPr>
          <w:rFonts w:hint="eastAsia" w:ascii="楷体_GB2312" w:eastAsia="楷体_GB2312"/>
          <w:b/>
          <w:color w:val="auto"/>
          <w:sz w:val="30"/>
          <w:szCs w:val="30"/>
          <w:highlight w:val="none"/>
        </w:rPr>
        <mc:AlternateContent>
          <mc:Choice Requires="wps">
            <w:drawing>
              <wp:anchor distT="0" distB="0" distL="114300" distR="114300" simplePos="0" relativeHeight="251660288" behindDoc="0" locked="0" layoutInCell="1" allowOverlap="1">
                <wp:simplePos x="0" y="0"/>
                <wp:positionH relativeFrom="column">
                  <wp:posOffset>4704715</wp:posOffset>
                </wp:positionH>
                <wp:positionV relativeFrom="paragraph">
                  <wp:posOffset>178435</wp:posOffset>
                </wp:positionV>
                <wp:extent cx="1378585" cy="747395"/>
                <wp:effectExtent l="8890" t="6985" r="12700" b="7620"/>
                <wp:wrapNone/>
                <wp:docPr id="6" name="矩形 216"/>
                <wp:cNvGraphicFramePr/>
                <a:graphic xmlns:a="http://schemas.openxmlformats.org/drawingml/2006/main">
                  <a:graphicData uri="http://schemas.microsoft.com/office/word/2010/wordprocessingShape">
                    <wps:wsp>
                      <wps:cNvSpPr>
                        <a:spLocks noChangeArrowheads="1"/>
                      </wps:cNvSpPr>
                      <wps:spPr bwMode="auto">
                        <a:xfrm>
                          <a:off x="0" y="0"/>
                          <a:ext cx="1378585" cy="747395"/>
                        </a:xfrm>
                        <a:prstGeom prst="rect">
                          <a:avLst/>
                        </a:prstGeom>
                        <a:solidFill>
                          <a:srgbClr val="FFFFFF"/>
                        </a:solidFill>
                        <a:ln w="9525">
                          <a:solidFill>
                            <a:srgbClr val="000000"/>
                          </a:solidFill>
                          <a:miter lim="800000"/>
                        </a:ln>
                      </wps:spPr>
                      <wps:txbx>
                        <w:txbxContent>
                          <w:p>
                            <w:pPr>
                              <w:jc w:val="center"/>
                              <w:rPr>
                                <w:b/>
                                <w:sz w:val="72"/>
                                <w:szCs w:val="72"/>
                              </w:rPr>
                            </w:pPr>
                            <w:r>
                              <w:rPr>
                                <w:rFonts w:hint="eastAsia"/>
                                <w:b/>
                                <w:sz w:val="72"/>
                                <w:szCs w:val="72"/>
                              </w:rPr>
                              <w:t>正本</w:t>
                            </w:r>
                          </w:p>
                        </w:txbxContent>
                      </wps:txbx>
                      <wps:bodyPr rot="0" vert="horz" wrap="square" lIns="91440" tIns="45720" rIns="91440" bIns="45720" anchor="t" anchorCtr="0" upright="1">
                        <a:noAutofit/>
                      </wps:bodyPr>
                    </wps:wsp>
                  </a:graphicData>
                </a:graphic>
              </wp:anchor>
            </w:drawing>
          </mc:Choice>
          <mc:Fallback>
            <w:pict>
              <v:rect id="矩形 216" o:spid="_x0000_s1026" o:spt="1" style="position:absolute;left:0pt;margin-left:370.45pt;margin-top:14.05pt;height:58.85pt;width:108.55pt;z-index:251660288;mso-width-relative:page;mso-height-relative:page;" fillcolor="#FFFFFF" filled="t" stroked="t" coordsize="21600,21600" o:gfxdata="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IRxnWbYAAAACgEAAA8AAAAAAAAAAQAgAAAAIgAAAGRycy9k&#10;b3ducmV2LnhtbFBLAQIUABQAAAAIAIdO4kDAbCfpOwIAAHwEAAAOAAAAAAAAAAEAIAAAACcBAABk&#10;cnMvZTJvRG9jLnhtbFBLBQYAAAAABgAGAFkBAADUBQAAAAA=&#10;">
                <v:fill on="t" focussize="0,0"/>
                <v:stroke color="#000000" miterlimit="8" joinstyle="miter"/>
                <v:imagedata o:title=""/>
                <o:lock v:ext="edit" aspectratio="f"/>
                <v:textbox>
                  <w:txbxContent>
                    <w:p>
                      <w:pPr>
                        <w:jc w:val="center"/>
                        <w:rPr>
                          <w:b/>
                          <w:sz w:val="72"/>
                          <w:szCs w:val="72"/>
                        </w:rPr>
                      </w:pPr>
                      <w:r>
                        <w:rPr>
                          <w:rFonts w:hint="eastAsia"/>
                          <w:b/>
                          <w:sz w:val="72"/>
                          <w:szCs w:val="72"/>
                        </w:rPr>
                        <w:t>正本</w:t>
                      </w:r>
                    </w:p>
                  </w:txbxContent>
                </v:textbox>
              </v:rect>
            </w:pict>
          </mc:Fallback>
        </mc:AlternateContent>
      </w:r>
      <w:r>
        <w:rPr>
          <w:rFonts w:hint="eastAsia" w:ascii="楷体_GB2312" w:eastAsia="楷体_GB2312"/>
          <w:b/>
          <w:color w:val="auto"/>
          <w:sz w:val="30"/>
          <w:szCs w:val="30"/>
          <w:highlight w:val="none"/>
        </w:rPr>
        <w:t>六、投标文件格式（技术标·暗标）</w:t>
      </w:r>
    </w:p>
    <w:p>
      <w:pPr>
        <w:jc w:val="center"/>
        <w:rPr>
          <w:rFonts w:hint="eastAsia" w:ascii="黑体" w:hAnsi="华文中宋" w:eastAsia="黑体"/>
          <w:bCs/>
          <w:color w:val="auto"/>
          <w:sz w:val="52"/>
          <w:szCs w:val="52"/>
          <w:highlight w:val="none"/>
        </w:rPr>
      </w:pPr>
    </w:p>
    <w:p>
      <w:pPr>
        <w:jc w:val="center"/>
        <w:rPr>
          <w:rFonts w:hint="eastAsia" w:ascii="黑体" w:hAnsi="华文中宋" w:eastAsia="黑体"/>
          <w:bCs/>
          <w:color w:val="auto"/>
          <w:sz w:val="52"/>
          <w:szCs w:val="52"/>
          <w:highlight w:val="none"/>
        </w:rPr>
      </w:pPr>
      <w:r>
        <w:rPr>
          <w:rFonts w:hint="eastAsia" w:ascii="黑体" w:hAnsi="华文中宋" w:eastAsia="黑体"/>
          <w:bCs/>
          <w:color w:val="auto"/>
          <w:sz w:val="52"/>
          <w:szCs w:val="52"/>
          <w:highlight w:val="none"/>
        </w:rPr>
        <w:t>无锡市城乡居民大病保险项目</w:t>
      </w:r>
    </w:p>
    <w:p>
      <w:pPr>
        <w:rPr>
          <w:rFonts w:ascii="黑体" w:eastAsia="黑体"/>
          <w:bCs/>
          <w:color w:val="auto"/>
          <w:sz w:val="52"/>
          <w:szCs w:val="52"/>
          <w:highlight w:val="none"/>
        </w:rPr>
      </w:pPr>
    </w:p>
    <w:p>
      <w:pPr>
        <w:jc w:val="center"/>
        <w:rPr>
          <w:rFonts w:ascii="黑体" w:eastAsia="黑体"/>
          <w:bCs/>
          <w:color w:val="auto"/>
          <w:sz w:val="52"/>
          <w:szCs w:val="52"/>
          <w:highlight w:val="none"/>
        </w:rPr>
      </w:pPr>
      <w:r>
        <w:rPr>
          <w:rFonts w:hint="eastAsia" w:ascii="黑体" w:eastAsia="黑体"/>
          <w:bCs/>
          <w:color w:val="auto"/>
          <w:sz w:val="52"/>
          <w:szCs w:val="52"/>
          <w:highlight w:val="none"/>
        </w:rPr>
        <w:t>投标文件（标段一）</w:t>
      </w:r>
    </w:p>
    <w:p>
      <w:pPr>
        <w:jc w:val="center"/>
        <w:rPr>
          <w:rFonts w:ascii="黑体" w:hAnsi="华文中宋" w:eastAsia="黑体"/>
          <w:bCs/>
          <w:color w:val="auto"/>
          <w:sz w:val="52"/>
          <w:szCs w:val="52"/>
          <w:highlight w:val="none"/>
        </w:rPr>
      </w:pPr>
      <w:r>
        <w:rPr>
          <w:rFonts w:hint="eastAsia" w:ascii="黑体" w:hAnsi="华文中宋" w:eastAsia="黑体"/>
          <w:bCs/>
          <w:color w:val="auto"/>
          <w:sz w:val="52"/>
          <w:szCs w:val="52"/>
          <w:highlight w:val="none"/>
        </w:rPr>
        <w:t>技术标（暗标）</w:t>
      </w:r>
    </w:p>
    <w:p>
      <w:pPr>
        <w:rPr>
          <w:rFonts w:ascii="黑体" w:eastAsia="黑体"/>
          <w:bCs/>
          <w:color w:val="auto"/>
          <w:sz w:val="28"/>
          <w:szCs w:val="28"/>
          <w:highlight w:val="none"/>
        </w:rPr>
      </w:pPr>
    </w:p>
    <w:p>
      <w:pPr>
        <w:outlineLvl w:val="0"/>
        <w:rPr>
          <w:rFonts w:ascii="仿宋" w:hAnsi="仿宋" w:eastAsia="仿宋"/>
          <w:bCs/>
          <w:color w:val="auto"/>
          <w:sz w:val="30"/>
          <w:szCs w:val="30"/>
          <w:highlight w:val="none"/>
        </w:rPr>
      </w:pPr>
      <w:r>
        <w:rPr>
          <w:rFonts w:hint="eastAsia" w:ascii="仿宋" w:hAnsi="仿宋" w:eastAsia="仿宋"/>
          <w:bCs/>
          <w:color w:val="auto"/>
          <w:sz w:val="30"/>
          <w:szCs w:val="30"/>
          <w:highlight w:val="none"/>
        </w:rPr>
        <w:t>（封面规格：以上为1号黑体，不加粗，本条制作时不打印）</w:t>
      </w:r>
    </w:p>
    <w:p>
      <w:pPr>
        <w:outlineLvl w:val="0"/>
        <w:rPr>
          <w:rFonts w:ascii="黑体" w:hAnsi="宋体" w:eastAsia="黑体"/>
          <w:bCs/>
          <w:color w:val="auto"/>
          <w:sz w:val="30"/>
          <w:szCs w:val="30"/>
          <w:highlight w:val="none"/>
        </w:rPr>
      </w:pPr>
      <w:r>
        <w:rPr>
          <w:rFonts w:hint="eastAsia" w:ascii="仿宋" w:hAnsi="仿宋" w:eastAsia="仿宋"/>
          <w:bCs/>
          <w:color w:val="auto"/>
          <w:sz w:val="30"/>
          <w:szCs w:val="30"/>
          <w:highlight w:val="none"/>
        </w:rPr>
        <w:t>（封面规格：以下为2号黑体，不加粗，本条制作时不打印）</w:t>
      </w:r>
    </w:p>
    <w:p>
      <w:pPr>
        <w:rPr>
          <w:rFonts w:ascii="黑体" w:eastAsia="黑体"/>
          <w:bCs/>
          <w:color w:val="auto"/>
          <w:sz w:val="28"/>
          <w:szCs w:val="28"/>
          <w:highlight w:val="none"/>
        </w:rPr>
      </w:pPr>
    </w:p>
    <w:p>
      <w:pPr>
        <w:rPr>
          <w:rFonts w:ascii="黑体" w:eastAsia="黑体"/>
          <w:bCs/>
          <w:color w:val="auto"/>
          <w:sz w:val="28"/>
          <w:szCs w:val="28"/>
          <w:highlight w:val="none"/>
        </w:rPr>
      </w:pPr>
    </w:p>
    <w:p>
      <w:pPr>
        <w:ind w:firstLine="2640" w:firstLineChars="600"/>
        <w:rPr>
          <w:rFonts w:hint="eastAsia" w:ascii="黑体" w:eastAsia="黑体"/>
          <w:bCs/>
          <w:color w:val="auto"/>
          <w:sz w:val="44"/>
          <w:szCs w:val="44"/>
          <w:highlight w:val="none"/>
        </w:rPr>
      </w:pPr>
      <w:r>
        <w:rPr>
          <w:rFonts w:hint="eastAsia" w:ascii="黑体" w:eastAsia="黑体"/>
          <w:bCs/>
          <w:color w:val="auto"/>
          <w:sz w:val="44"/>
          <w:szCs w:val="44"/>
          <w:highlight w:val="none"/>
        </w:rPr>
        <w:t>编号：HTBXJJCG2023-01</w:t>
      </w:r>
    </w:p>
    <w:p>
      <w:pPr>
        <w:jc w:val="center"/>
        <w:rPr>
          <w:rFonts w:ascii="黑体" w:eastAsia="黑体"/>
          <w:bCs/>
          <w:color w:val="auto"/>
          <w:sz w:val="44"/>
          <w:szCs w:val="44"/>
          <w:highlight w:val="none"/>
        </w:rPr>
      </w:pPr>
    </w:p>
    <w:p>
      <w:pPr>
        <w:ind w:firstLine="2640" w:firstLineChars="600"/>
        <w:rPr>
          <w:rFonts w:ascii="黑体" w:eastAsia="黑体"/>
          <w:bCs/>
          <w:color w:val="auto"/>
          <w:sz w:val="24"/>
          <w:szCs w:val="24"/>
          <w:highlight w:val="none"/>
        </w:rPr>
      </w:pPr>
      <w:r>
        <w:rPr>
          <w:rFonts w:hint="eastAsia" w:ascii="黑体" w:eastAsia="黑体"/>
          <w:bCs/>
          <w:color w:val="auto"/>
          <w:sz w:val="44"/>
          <w:szCs w:val="44"/>
          <w:highlight w:val="none"/>
        </w:rPr>
        <w:t>投标人编号：</w:t>
      </w:r>
      <w:r>
        <w:rPr>
          <w:rFonts w:ascii="黑体" w:eastAsia="黑体"/>
          <w:bCs/>
          <w:color w:val="auto"/>
          <w:sz w:val="24"/>
          <w:szCs w:val="24"/>
          <w:highlight w:val="none"/>
        </w:rPr>
        <w:t xml:space="preserve"> </w:t>
      </w:r>
    </w:p>
    <w:p>
      <w:pPr>
        <w:ind w:firstLine="2640" w:firstLineChars="600"/>
        <w:rPr>
          <w:rFonts w:ascii="黑体" w:eastAsia="黑体"/>
          <w:bCs/>
          <w:color w:val="auto"/>
          <w:sz w:val="44"/>
          <w:szCs w:val="44"/>
          <w:highlight w:val="none"/>
        </w:rPr>
      </w:pPr>
    </w:p>
    <w:p>
      <w:pPr>
        <w:rPr>
          <w:rFonts w:ascii="黑体" w:eastAsia="黑体"/>
          <w:bCs/>
          <w:color w:val="auto"/>
          <w:sz w:val="32"/>
          <w:highlight w:val="none"/>
        </w:rPr>
      </w:pPr>
    </w:p>
    <w:p>
      <w:pPr>
        <w:rPr>
          <w:rFonts w:ascii="黑体" w:eastAsia="黑体"/>
          <w:bCs/>
          <w:color w:val="auto"/>
          <w:sz w:val="32"/>
          <w:highlight w:val="none"/>
        </w:rPr>
      </w:pPr>
    </w:p>
    <w:p>
      <w:pPr>
        <w:jc w:val="center"/>
        <w:rPr>
          <w:rFonts w:ascii="黑体" w:eastAsia="黑体"/>
          <w:bCs/>
          <w:color w:val="auto"/>
          <w:sz w:val="44"/>
          <w:szCs w:val="44"/>
          <w:highlight w:val="none"/>
        </w:rPr>
      </w:pPr>
      <w:r>
        <w:rPr>
          <w:rFonts w:hint="eastAsia" w:ascii="黑体" w:eastAsia="黑体"/>
          <w:bCs/>
          <w:color w:val="auto"/>
          <w:sz w:val="44"/>
          <w:szCs w:val="44"/>
          <w:highlight w:val="none"/>
        </w:rPr>
        <w:t>二○二三年三月二十日</w:t>
      </w:r>
    </w:p>
    <w:p>
      <w:pPr>
        <w:rPr>
          <w:rFonts w:hint="eastAsia" w:ascii="楷体_GB2312" w:eastAsia="楷体_GB2312"/>
          <w:b/>
          <w:color w:val="auto"/>
          <w:sz w:val="30"/>
          <w:szCs w:val="30"/>
          <w:highlight w:val="none"/>
        </w:rPr>
      </w:pPr>
    </w:p>
    <w:p>
      <w:pPr>
        <w:spacing w:line="400" w:lineRule="exact"/>
        <w:ind w:left="1675" w:leftChars="798"/>
        <w:rPr>
          <w:rFonts w:hint="eastAsia" w:ascii="宋体" w:hAnsi="宋体"/>
          <w:bCs/>
          <w:color w:val="auto"/>
          <w:sz w:val="24"/>
          <w:szCs w:val="24"/>
          <w:highlight w:val="none"/>
        </w:rPr>
      </w:pPr>
    </w:p>
    <w:p>
      <w:pPr>
        <w:spacing w:line="400" w:lineRule="exact"/>
        <w:ind w:left="1675" w:leftChars="798"/>
        <w:rPr>
          <w:rFonts w:hint="eastAsia" w:ascii="宋体" w:hAnsi="宋体"/>
          <w:bCs/>
          <w:color w:val="auto"/>
          <w:sz w:val="24"/>
          <w:szCs w:val="24"/>
          <w:highlight w:val="none"/>
        </w:rPr>
      </w:pPr>
    </w:p>
    <w:p>
      <w:pPr>
        <w:spacing w:line="400" w:lineRule="exact"/>
        <w:ind w:left="1675" w:leftChars="798"/>
        <w:rPr>
          <w:rFonts w:ascii="宋体" w:hAnsi="宋体"/>
          <w:bCs/>
          <w:color w:val="auto"/>
          <w:sz w:val="24"/>
          <w:szCs w:val="24"/>
          <w:highlight w:val="none"/>
        </w:rPr>
      </w:pPr>
      <w:r>
        <w:rPr>
          <w:rFonts w:hint="eastAsia" w:ascii="黑体" w:hAnsi="华文中宋" w:eastAsia="黑体"/>
          <w:bCs/>
          <w:color w:val="auto"/>
          <w:sz w:val="52"/>
          <w:szCs w:val="52"/>
          <w:highlight w:val="none"/>
        </w:rPr>
        <mc:AlternateContent>
          <mc:Choice Requires="wps">
            <w:drawing>
              <wp:anchor distT="0" distB="0" distL="114300" distR="114300" simplePos="0" relativeHeight="251661312" behindDoc="0" locked="0" layoutInCell="1" allowOverlap="1">
                <wp:simplePos x="0" y="0"/>
                <wp:positionH relativeFrom="column">
                  <wp:posOffset>4817110</wp:posOffset>
                </wp:positionH>
                <wp:positionV relativeFrom="paragraph">
                  <wp:posOffset>234315</wp:posOffset>
                </wp:positionV>
                <wp:extent cx="1378585" cy="747395"/>
                <wp:effectExtent l="6985" t="5715" r="5080" b="8890"/>
                <wp:wrapNone/>
                <wp:docPr id="5" name="矩形 221"/>
                <wp:cNvGraphicFramePr/>
                <a:graphic xmlns:a="http://schemas.openxmlformats.org/drawingml/2006/main">
                  <a:graphicData uri="http://schemas.microsoft.com/office/word/2010/wordprocessingShape">
                    <wps:wsp>
                      <wps:cNvSpPr>
                        <a:spLocks noChangeArrowheads="1"/>
                      </wps:cNvSpPr>
                      <wps:spPr bwMode="auto">
                        <a:xfrm>
                          <a:off x="0" y="0"/>
                          <a:ext cx="1378585" cy="747395"/>
                        </a:xfrm>
                        <a:prstGeom prst="rect">
                          <a:avLst/>
                        </a:prstGeom>
                        <a:solidFill>
                          <a:srgbClr val="FFFFFF"/>
                        </a:solidFill>
                        <a:ln w="9525">
                          <a:solidFill>
                            <a:srgbClr val="000000"/>
                          </a:solidFill>
                          <a:miter lim="800000"/>
                        </a:ln>
                      </wps:spPr>
                      <wps:txbx>
                        <w:txbxContent>
                          <w:p>
                            <w:pPr>
                              <w:jc w:val="center"/>
                              <w:rPr>
                                <w:b/>
                                <w:sz w:val="72"/>
                                <w:szCs w:val="72"/>
                              </w:rPr>
                            </w:pPr>
                            <w:r>
                              <w:rPr>
                                <w:rFonts w:hint="eastAsia"/>
                                <w:b/>
                                <w:sz w:val="72"/>
                                <w:szCs w:val="72"/>
                              </w:rPr>
                              <w:t>副本</w:t>
                            </w:r>
                          </w:p>
                        </w:txbxContent>
                      </wps:txbx>
                      <wps:bodyPr rot="0" vert="horz" wrap="square" lIns="91440" tIns="45720" rIns="91440" bIns="45720" anchor="t" anchorCtr="0" upright="1">
                        <a:noAutofit/>
                      </wps:bodyPr>
                    </wps:wsp>
                  </a:graphicData>
                </a:graphic>
              </wp:anchor>
            </w:drawing>
          </mc:Choice>
          <mc:Fallback>
            <w:pict>
              <v:rect id="矩形 221" o:spid="_x0000_s1026" o:spt="1" style="position:absolute;left:0pt;margin-left:379.3pt;margin-top:18.45pt;height:58.85pt;width:108.55pt;z-index:251661312;mso-width-relative:page;mso-height-relative:page;" fillcolor="#FFFFFF" filled="t" stroked="t" coordsize="21600,21600" o:gfxdata="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75ePsdkAAAAKAQAADwAAAAAAAAABACAAAAAiAAAAZHJzL2Rv&#10;d25yZXYueG1sUEsBAhQAFAAAAAgAh07iQOp4ekw5AgAAfAQAAA4AAAAAAAAAAQAgAAAAKAEAAGRy&#10;cy9lMm9Eb2MueG1sUEsFBgAAAAAGAAYAWQEAANMFAAAAAA==&#10;">
                <v:fill on="t" focussize="0,0"/>
                <v:stroke color="#000000" miterlimit="8" joinstyle="miter"/>
                <v:imagedata o:title=""/>
                <o:lock v:ext="edit" aspectratio="f"/>
                <v:textbox>
                  <w:txbxContent>
                    <w:p>
                      <w:pPr>
                        <w:jc w:val="center"/>
                        <w:rPr>
                          <w:b/>
                          <w:sz w:val="72"/>
                          <w:szCs w:val="72"/>
                        </w:rPr>
                      </w:pPr>
                      <w:r>
                        <w:rPr>
                          <w:rFonts w:hint="eastAsia"/>
                          <w:b/>
                          <w:sz w:val="72"/>
                          <w:szCs w:val="72"/>
                        </w:rPr>
                        <w:t>副本</w:t>
                      </w:r>
                    </w:p>
                  </w:txbxContent>
                </v:textbox>
              </v:rect>
            </w:pict>
          </mc:Fallback>
        </mc:AlternateContent>
      </w:r>
    </w:p>
    <w:p>
      <w:pPr>
        <w:rPr>
          <w:rFonts w:ascii="黑体" w:hAnsi="华文中宋" w:eastAsia="黑体"/>
          <w:bCs/>
          <w:color w:val="auto"/>
          <w:sz w:val="44"/>
          <w:szCs w:val="44"/>
          <w:highlight w:val="none"/>
        </w:rPr>
      </w:pPr>
    </w:p>
    <w:p>
      <w:pPr>
        <w:jc w:val="center"/>
        <w:rPr>
          <w:rFonts w:hint="eastAsia" w:ascii="黑体" w:hAnsi="华文中宋" w:eastAsia="黑体"/>
          <w:bCs/>
          <w:color w:val="auto"/>
          <w:sz w:val="52"/>
          <w:szCs w:val="52"/>
          <w:highlight w:val="none"/>
        </w:rPr>
      </w:pPr>
    </w:p>
    <w:p>
      <w:pPr>
        <w:jc w:val="center"/>
        <w:rPr>
          <w:rFonts w:hint="eastAsia" w:ascii="黑体" w:eastAsia="黑体"/>
          <w:bCs/>
          <w:color w:val="auto"/>
          <w:sz w:val="52"/>
          <w:szCs w:val="52"/>
          <w:highlight w:val="none"/>
        </w:rPr>
      </w:pPr>
      <w:r>
        <w:rPr>
          <w:rFonts w:hint="eastAsia" w:ascii="黑体" w:hAnsi="华文中宋" w:eastAsia="黑体"/>
          <w:bCs/>
          <w:color w:val="auto"/>
          <w:sz w:val="52"/>
          <w:szCs w:val="52"/>
          <w:highlight w:val="none"/>
        </w:rPr>
        <w:t>无锡市城乡居民大病保险项目</w:t>
      </w:r>
    </w:p>
    <w:p>
      <w:pPr>
        <w:ind w:firstLine="3640" w:firstLineChars="700"/>
        <w:rPr>
          <w:rFonts w:hint="eastAsia" w:ascii="黑体" w:eastAsia="黑体"/>
          <w:bCs/>
          <w:color w:val="auto"/>
          <w:sz w:val="52"/>
          <w:szCs w:val="52"/>
          <w:highlight w:val="none"/>
        </w:rPr>
      </w:pPr>
    </w:p>
    <w:p>
      <w:pPr>
        <w:jc w:val="center"/>
        <w:rPr>
          <w:rFonts w:ascii="黑体" w:eastAsia="黑体"/>
          <w:bCs/>
          <w:color w:val="auto"/>
          <w:sz w:val="52"/>
          <w:szCs w:val="52"/>
          <w:highlight w:val="none"/>
        </w:rPr>
      </w:pPr>
      <w:r>
        <w:rPr>
          <w:rFonts w:hint="eastAsia" w:ascii="黑体" w:eastAsia="黑体"/>
          <w:bCs/>
          <w:color w:val="auto"/>
          <w:sz w:val="52"/>
          <w:szCs w:val="52"/>
          <w:highlight w:val="none"/>
        </w:rPr>
        <w:t>投标文件（标段一）</w:t>
      </w:r>
    </w:p>
    <w:p>
      <w:pPr>
        <w:jc w:val="center"/>
        <w:rPr>
          <w:rFonts w:ascii="黑体" w:hAnsi="华文中宋" w:eastAsia="黑体"/>
          <w:bCs/>
          <w:color w:val="auto"/>
          <w:sz w:val="52"/>
          <w:szCs w:val="52"/>
          <w:highlight w:val="none"/>
        </w:rPr>
      </w:pPr>
      <w:r>
        <w:rPr>
          <w:rFonts w:hint="eastAsia" w:ascii="黑体" w:hAnsi="华文中宋" w:eastAsia="黑体"/>
          <w:bCs/>
          <w:color w:val="auto"/>
          <w:sz w:val="52"/>
          <w:szCs w:val="52"/>
          <w:highlight w:val="none"/>
        </w:rPr>
        <w:t>技术标（暗标）</w:t>
      </w:r>
    </w:p>
    <w:p>
      <w:pPr>
        <w:rPr>
          <w:rFonts w:ascii="黑体" w:eastAsia="黑体"/>
          <w:bCs/>
          <w:color w:val="auto"/>
          <w:sz w:val="28"/>
          <w:szCs w:val="28"/>
          <w:highlight w:val="none"/>
        </w:rPr>
      </w:pPr>
    </w:p>
    <w:p>
      <w:pPr>
        <w:outlineLvl w:val="0"/>
        <w:rPr>
          <w:rFonts w:ascii="仿宋" w:hAnsi="仿宋" w:eastAsia="仿宋"/>
          <w:bCs/>
          <w:color w:val="auto"/>
          <w:sz w:val="30"/>
          <w:szCs w:val="30"/>
          <w:highlight w:val="none"/>
        </w:rPr>
      </w:pPr>
      <w:r>
        <w:rPr>
          <w:rFonts w:hint="eastAsia" w:ascii="仿宋" w:hAnsi="仿宋" w:eastAsia="仿宋"/>
          <w:bCs/>
          <w:color w:val="auto"/>
          <w:sz w:val="30"/>
          <w:szCs w:val="30"/>
          <w:highlight w:val="none"/>
        </w:rPr>
        <w:t>（封面规格：以上为1号黑体，不加粗，本条制作时不打印）</w:t>
      </w:r>
    </w:p>
    <w:p>
      <w:pPr>
        <w:outlineLvl w:val="0"/>
        <w:rPr>
          <w:rFonts w:ascii="仿宋" w:hAnsi="仿宋" w:eastAsia="仿宋"/>
          <w:bCs/>
          <w:color w:val="auto"/>
          <w:sz w:val="30"/>
          <w:szCs w:val="30"/>
          <w:highlight w:val="none"/>
        </w:rPr>
      </w:pPr>
      <w:r>
        <w:rPr>
          <w:rFonts w:hint="eastAsia" w:ascii="仿宋" w:hAnsi="仿宋" w:eastAsia="仿宋"/>
          <w:bCs/>
          <w:color w:val="auto"/>
          <w:sz w:val="30"/>
          <w:szCs w:val="30"/>
          <w:highlight w:val="none"/>
        </w:rPr>
        <w:t>（封面规格：以下为2号黑体，不加粗，本条制作时不打印）</w:t>
      </w:r>
    </w:p>
    <w:p>
      <w:pPr>
        <w:rPr>
          <w:rFonts w:ascii="黑体" w:eastAsia="黑体"/>
          <w:bCs/>
          <w:color w:val="auto"/>
          <w:sz w:val="28"/>
          <w:szCs w:val="28"/>
          <w:highlight w:val="none"/>
        </w:rPr>
      </w:pPr>
    </w:p>
    <w:p>
      <w:pPr>
        <w:rPr>
          <w:rFonts w:ascii="黑体" w:eastAsia="黑体"/>
          <w:bCs/>
          <w:color w:val="auto"/>
          <w:sz w:val="28"/>
          <w:szCs w:val="28"/>
          <w:highlight w:val="none"/>
        </w:rPr>
      </w:pPr>
    </w:p>
    <w:p>
      <w:pPr>
        <w:ind w:firstLine="2640" w:firstLineChars="600"/>
        <w:rPr>
          <w:rFonts w:hint="eastAsia" w:ascii="黑体" w:eastAsia="黑体"/>
          <w:bCs/>
          <w:color w:val="auto"/>
          <w:sz w:val="44"/>
          <w:szCs w:val="44"/>
          <w:highlight w:val="none"/>
        </w:rPr>
      </w:pPr>
      <w:r>
        <w:rPr>
          <w:rFonts w:hint="eastAsia" w:ascii="黑体" w:eastAsia="黑体"/>
          <w:bCs/>
          <w:color w:val="auto"/>
          <w:sz w:val="44"/>
          <w:szCs w:val="44"/>
          <w:highlight w:val="none"/>
        </w:rPr>
        <w:t>编号：HTBXJJCG2023-01</w:t>
      </w:r>
    </w:p>
    <w:p>
      <w:pPr>
        <w:jc w:val="center"/>
        <w:rPr>
          <w:rFonts w:ascii="黑体" w:eastAsia="黑体"/>
          <w:bCs/>
          <w:color w:val="auto"/>
          <w:sz w:val="44"/>
          <w:szCs w:val="44"/>
          <w:highlight w:val="none"/>
        </w:rPr>
      </w:pPr>
    </w:p>
    <w:p>
      <w:pPr>
        <w:ind w:firstLine="2640" w:firstLineChars="600"/>
        <w:rPr>
          <w:rFonts w:ascii="黑体" w:eastAsia="黑体"/>
          <w:bCs/>
          <w:color w:val="auto"/>
          <w:sz w:val="24"/>
          <w:szCs w:val="24"/>
          <w:highlight w:val="none"/>
        </w:rPr>
      </w:pPr>
      <w:r>
        <w:rPr>
          <w:rFonts w:hint="eastAsia" w:ascii="黑体" w:eastAsia="黑体"/>
          <w:bCs/>
          <w:color w:val="auto"/>
          <w:sz w:val="44"/>
          <w:szCs w:val="44"/>
          <w:highlight w:val="none"/>
        </w:rPr>
        <w:t>投标人编号：</w:t>
      </w:r>
      <w:r>
        <w:rPr>
          <w:rFonts w:ascii="黑体" w:eastAsia="黑体"/>
          <w:bCs/>
          <w:color w:val="auto"/>
          <w:sz w:val="24"/>
          <w:szCs w:val="24"/>
          <w:highlight w:val="none"/>
        </w:rPr>
        <w:t xml:space="preserve"> </w:t>
      </w:r>
    </w:p>
    <w:p>
      <w:pPr>
        <w:ind w:firstLine="2640" w:firstLineChars="600"/>
        <w:rPr>
          <w:rFonts w:ascii="黑体" w:eastAsia="黑体"/>
          <w:bCs/>
          <w:color w:val="auto"/>
          <w:sz w:val="44"/>
          <w:szCs w:val="44"/>
          <w:highlight w:val="none"/>
        </w:rPr>
      </w:pPr>
    </w:p>
    <w:p>
      <w:pPr>
        <w:rPr>
          <w:rFonts w:ascii="黑体" w:eastAsia="黑体"/>
          <w:bCs/>
          <w:color w:val="auto"/>
          <w:sz w:val="32"/>
          <w:highlight w:val="none"/>
        </w:rPr>
      </w:pPr>
    </w:p>
    <w:p>
      <w:pPr>
        <w:rPr>
          <w:rFonts w:ascii="黑体" w:eastAsia="黑体"/>
          <w:bCs/>
          <w:color w:val="auto"/>
          <w:sz w:val="32"/>
          <w:highlight w:val="none"/>
        </w:rPr>
      </w:pPr>
    </w:p>
    <w:p>
      <w:pPr>
        <w:jc w:val="center"/>
        <w:rPr>
          <w:rFonts w:hint="eastAsia" w:ascii="黑体" w:eastAsia="黑体"/>
          <w:bCs/>
          <w:color w:val="auto"/>
          <w:sz w:val="44"/>
          <w:szCs w:val="44"/>
          <w:highlight w:val="none"/>
        </w:rPr>
      </w:pPr>
      <w:r>
        <w:rPr>
          <w:rFonts w:hint="eastAsia" w:ascii="黑体" w:eastAsia="黑体"/>
          <w:bCs/>
          <w:color w:val="auto"/>
          <w:sz w:val="44"/>
          <w:szCs w:val="44"/>
          <w:highlight w:val="none"/>
        </w:rPr>
        <w:t>二○二三年三月二十日</w:t>
      </w:r>
    </w:p>
    <w:p>
      <w:pPr>
        <w:spacing w:line="400" w:lineRule="exact"/>
        <w:rPr>
          <w:rFonts w:hint="eastAsia" w:ascii="黑体" w:eastAsia="黑体"/>
          <w:bCs/>
          <w:color w:val="auto"/>
          <w:sz w:val="44"/>
          <w:szCs w:val="44"/>
          <w:highlight w:val="none"/>
        </w:rPr>
      </w:pPr>
    </w:p>
    <w:p>
      <w:pPr>
        <w:spacing w:line="400" w:lineRule="exact"/>
        <w:jc w:val="left"/>
        <w:rPr>
          <w:rFonts w:hint="eastAsia" w:ascii="黑体" w:hAnsi="黑体" w:eastAsia="黑体"/>
          <w:bCs/>
          <w:color w:val="auto"/>
          <w:sz w:val="24"/>
          <w:szCs w:val="24"/>
          <w:highlight w:val="none"/>
        </w:rPr>
      </w:pPr>
    </w:p>
    <w:p>
      <w:pPr>
        <w:spacing w:line="400" w:lineRule="exact"/>
        <w:jc w:val="left"/>
        <w:rPr>
          <w:rFonts w:hint="eastAsia" w:ascii="黑体" w:hAnsi="黑体" w:eastAsia="黑体"/>
          <w:bCs/>
          <w:color w:val="auto"/>
          <w:sz w:val="24"/>
          <w:szCs w:val="24"/>
          <w:highlight w:val="none"/>
        </w:rPr>
      </w:pPr>
    </w:p>
    <w:p>
      <w:pPr>
        <w:outlineLvl w:val="0"/>
        <w:rPr>
          <w:rFonts w:ascii="楷体_GB2312" w:eastAsia="楷体_GB2312"/>
          <w:b/>
          <w:color w:val="auto"/>
          <w:sz w:val="30"/>
          <w:szCs w:val="30"/>
          <w:highlight w:val="none"/>
        </w:rPr>
      </w:pPr>
      <w:r>
        <w:rPr>
          <w:rFonts w:ascii="黑体" w:hAnsi="黑体" w:eastAsia="黑体"/>
          <w:bCs/>
          <w:color w:val="auto"/>
          <w:sz w:val="24"/>
          <w:szCs w:val="24"/>
          <w:highlight w:val="none"/>
        </w:rPr>
        <w:br w:type="page"/>
      </w:r>
    </w:p>
    <w:p>
      <w:pPr>
        <w:jc w:val="center"/>
        <w:rPr>
          <w:rFonts w:hint="eastAsia" w:ascii="黑体" w:hAnsi="华文中宋" w:eastAsia="黑体"/>
          <w:bCs/>
          <w:color w:val="auto"/>
          <w:sz w:val="52"/>
          <w:szCs w:val="52"/>
          <w:highlight w:val="none"/>
        </w:rPr>
      </w:pPr>
      <w:r>
        <w:rPr>
          <w:rFonts w:hint="eastAsia" w:ascii="黑体" w:hAnsi="华文中宋" w:eastAsia="黑体"/>
          <w:bCs/>
          <w:color w:val="auto"/>
          <w:sz w:val="52"/>
          <w:szCs w:val="52"/>
          <w:highlight w:val="none"/>
        </w:rPr>
        <mc:AlternateContent>
          <mc:Choice Requires="wps">
            <w:drawing>
              <wp:anchor distT="0" distB="0" distL="114300" distR="114300" simplePos="0" relativeHeight="251676672" behindDoc="0" locked="0" layoutInCell="1" allowOverlap="1">
                <wp:simplePos x="0" y="0"/>
                <wp:positionH relativeFrom="column">
                  <wp:posOffset>4746625</wp:posOffset>
                </wp:positionH>
                <wp:positionV relativeFrom="paragraph">
                  <wp:posOffset>-305435</wp:posOffset>
                </wp:positionV>
                <wp:extent cx="1378585" cy="747395"/>
                <wp:effectExtent l="12700" t="8890" r="8890" b="5715"/>
                <wp:wrapNone/>
                <wp:docPr id="4" name="矩形 216"/>
                <wp:cNvGraphicFramePr/>
                <a:graphic xmlns:a="http://schemas.openxmlformats.org/drawingml/2006/main">
                  <a:graphicData uri="http://schemas.microsoft.com/office/word/2010/wordprocessingShape">
                    <wps:wsp>
                      <wps:cNvSpPr>
                        <a:spLocks noChangeArrowheads="1"/>
                      </wps:cNvSpPr>
                      <wps:spPr bwMode="auto">
                        <a:xfrm>
                          <a:off x="0" y="0"/>
                          <a:ext cx="1378585" cy="747395"/>
                        </a:xfrm>
                        <a:prstGeom prst="rect">
                          <a:avLst/>
                        </a:prstGeom>
                        <a:solidFill>
                          <a:srgbClr val="FFFFFF"/>
                        </a:solidFill>
                        <a:ln w="9525">
                          <a:solidFill>
                            <a:srgbClr val="000000"/>
                          </a:solidFill>
                          <a:miter lim="800000"/>
                        </a:ln>
                      </wps:spPr>
                      <wps:txbx>
                        <w:txbxContent>
                          <w:p>
                            <w:pPr>
                              <w:jc w:val="center"/>
                              <w:rPr>
                                <w:b/>
                                <w:sz w:val="72"/>
                                <w:szCs w:val="72"/>
                              </w:rPr>
                            </w:pPr>
                            <w:r>
                              <w:rPr>
                                <w:rFonts w:hint="eastAsia"/>
                                <w:b/>
                                <w:sz w:val="72"/>
                                <w:szCs w:val="72"/>
                              </w:rPr>
                              <w:t>正本</w:t>
                            </w:r>
                          </w:p>
                        </w:txbxContent>
                      </wps:txbx>
                      <wps:bodyPr rot="0" vert="horz" wrap="square" lIns="91440" tIns="45720" rIns="91440" bIns="45720" anchor="t" anchorCtr="0" upright="1">
                        <a:noAutofit/>
                      </wps:bodyPr>
                    </wps:wsp>
                  </a:graphicData>
                </a:graphic>
              </wp:anchor>
            </w:drawing>
          </mc:Choice>
          <mc:Fallback>
            <w:pict>
              <v:rect id="矩形 216" o:spid="_x0000_s1026" o:spt="1" style="position:absolute;left:0pt;margin-left:373.75pt;margin-top:-24.05pt;height:58.85pt;width:108.55pt;z-index:251676672;mso-width-relative:page;mso-height-relative:page;" fillcolor="#FFFFFF" filled="t" stroked="t" coordsize="21600,21600" o:gfxdata="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30MjUNoAAAAKAQAADwAAAAAAAAABACAAAAAiAAAAZHJz&#10;L2Rvd25yZXYueG1sUEsBAhQAFAAAAAgAh07iQJAXQSI7AgAAfAQAAA4AAAAAAAAAAQAgAAAAKQEA&#10;AGRycy9lMm9Eb2MueG1sUEsFBgAAAAAGAAYAWQEAANYFAAAAAA==&#10;">
                <v:fill on="t" focussize="0,0"/>
                <v:stroke color="#000000" miterlimit="8" joinstyle="miter"/>
                <v:imagedata o:title=""/>
                <o:lock v:ext="edit" aspectratio="f"/>
                <v:textbox>
                  <w:txbxContent>
                    <w:p>
                      <w:pPr>
                        <w:jc w:val="center"/>
                        <w:rPr>
                          <w:b/>
                          <w:sz w:val="72"/>
                          <w:szCs w:val="72"/>
                        </w:rPr>
                      </w:pPr>
                      <w:r>
                        <w:rPr>
                          <w:rFonts w:hint="eastAsia"/>
                          <w:b/>
                          <w:sz w:val="72"/>
                          <w:szCs w:val="72"/>
                        </w:rPr>
                        <w:t>正本</w:t>
                      </w:r>
                    </w:p>
                  </w:txbxContent>
                </v:textbox>
              </v:rect>
            </w:pict>
          </mc:Fallback>
        </mc:AlternateContent>
      </w:r>
    </w:p>
    <w:p>
      <w:pPr>
        <w:jc w:val="center"/>
        <w:rPr>
          <w:rFonts w:hint="eastAsia" w:ascii="黑体" w:hAnsi="华文中宋" w:eastAsia="黑体"/>
          <w:bCs/>
          <w:color w:val="auto"/>
          <w:sz w:val="52"/>
          <w:szCs w:val="52"/>
          <w:highlight w:val="none"/>
        </w:rPr>
      </w:pPr>
      <w:r>
        <w:rPr>
          <w:rFonts w:hint="eastAsia" w:ascii="黑体" w:hAnsi="华文中宋" w:eastAsia="黑体"/>
          <w:bCs/>
          <w:color w:val="auto"/>
          <w:sz w:val="52"/>
          <w:szCs w:val="52"/>
          <w:highlight w:val="none"/>
        </w:rPr>
        <w:t>无锡市城乡居民大病保险项目</w:t>
      </w:r>
    </w:p>
    <w:p>
      <w:pPr>
        <w:rPr>
          <w:rFonts w:ascii="黑体" w:eastAsia="黑体"/>
          <w:bCs/>
          <w:color w:val="auto"/>
          <w:sz w:val="52"/>
          <w:szCs w:val="52"/>
          <w:highlight w:val="none"/>
        </w:rPr>
      </w:pPr>
    </w:p>
    <w:p>
      <w:pPr>
        <w:jc w:val="center"/>
        <w:rPr>
          <w:rFonts w:ascii="黑体" w:eastAsia="黑体"/>
          <w:bCs/>
          <w:color w:val="auto"/>
          <w:sz w:val="52"/>
          <w:szCs w:val="52"/>
          <w:highlight w:val="none"/>
        </w:rPr>
      </w:pPr>
      <w:r>
        <w:rPr>
          <w:rFonts w:hint="eastAsia" w:ascii="黑体" w:eastAsia="黑体"/>
          <w:bCs/>
          <w:color w:val="auto"/>
          <w:sz w:val="52"/>
          <w:szCs w:val="52"/>
          <w:highlight w:val="none"/>
        </w:rPr>
        <w:t>投标文件（标段二）</w:t>
      </w:r>
    </w:p>
    <w:p>
      <w:pPr>
        <w:jc w:val="center"/>
        <w:rPr>
          <w:rFonts w:ascii="黑体" w:hAnsi="华文中宋" w:eastAsia="黑体"/>
          <w:bCs/>
          <w:color w:val="auto"/>
          <w:sz w:val="52"/>
          <w:szCs w:val="52"/>
          <w:highlight w:val="none"/>
        </w:rPr>
      </w:pPr>
      <w:r>
        <w:rPr>
          <w:rFonts w:hint="eastAsia" w:ascii="黑体" w:hAnsi="华文中宋" w:eastAsia="黑体"/>
          <w:bCs/>
          <w:color w:val="auto"/>
          <w:sz w:val="52"/>
          <w:szCs w:val="52"/>
          <w:highlight w:val="none"/>
        </w:rPr>
        <w:t>技术标（暗标）</w:t>
      </w:r>
    </w:p>
    <w:p>
      <w:pPr>
        <w:rPr>
          <w:rFonts w:ascii="黑体" w:eastAsia="黑体"/>
          <w:bCs/>
          <w:color w:val="auto"/>
          <w:sz w:val="28"/>
          <w:szCs w:val="28"/>
          <w:highlight w:val="none"/>
        </w:rPr>
      </w:pPr>
    </w:p>
    <w:p>
      <w:pPr>
        <w:outlineLvl w:val="0"/>
        <w:rPr>
          <w:rFonts w:ascii="仿宋" w:hAnsi="仿宋" w:eastAsia="仿宋"/>
          <w:bCs/>
          <w:color w:val="auto"/>
          <w:sz w:val="30"/>
          <w:szCs w:val="30"/>
          <w:highlight w:val="none"/>
        </w:rPr>
      </w:pPr>
      <w:r>
        <w:rPr>
          <w:rFonts w:hint="eastAsia" w:ascii="仿宋" w:hAnsi="仿宋" w:eastAsia="仿宋"/>
          <w:bCs/>
          <w:color w:val="auto"/>
          <w:sz w:val="30"/>
          <w:szCs w:val="30"/>
          <w:highlight w:val="none"/>
        </w:rPr>
        <w:t>（封面规格：以上为1号黑体，不加粗，本条制作时不打印）</w:t>
      </w:r>
    </w:p>
    <w:p>
      <w:pPr>
        <w:outlineLvl w:val="0"/>
        <w:rPr>
          <w:rFonts w:ascii="黑体" w:hAnsi="宋体" w:eastAsia="黑体"/>
          <w:bCs/>
          <w:color w:val="auto"/>
          <w:sz w:val="30"/>
          <w:szCs w:val="30"/>
          <w:highlight w:val="none"/>
        </w:rPr>
      </w:pPr>
      <w:r>
        <w:rPr>
          <w:rFonts w:hint="eastAsia" w:ascii="仿宋" w:hAnsi="仿宋" w:eastAsia="仿宋"/>
          <w:bCs/>
          <w:color w:val="auto"/>
          <w:sz w:val="30"/>
          <w:szCs w:val="30"/>
          <w:highlight w:val="none"/>
        </w:rPr>
        <w:t>（封面规格：以下为2号黑体，不加粗，本条制作时不打印）</w:t>
      </w:r>
    </w:p>
    <w:p>
      <w:pPr>
        <w:rPr>
          <w:rFonts w:ascii="黑体" w:eastAsia="黑体"/>
          <w:bCs/>
          <w:color w:val="auto"/>
          <w:sz w:val="28"/>
          <w:szCs w:val="28"/>
          <w:highlight w:val="none"/>
        </w:rPr>
      </w:pPr>
    </w:p>
    <w:p>
      <w:pPr>
        <w:rPr>
          <w:rFonts w:ascii="黑体" w:eastAsia="黑体"/>
          <w:bCs/>
          <w:color w:val="auto"/>
          <w:sz w:val="28"/>
          <w:szCs w:val="28"/>
          <w:highlight w:val="none"/>
        </w:rPr>
      </w:pPr>
    </w:p>
    <w:p>
      <w:pPr>
        <w:ind w:firstLine="2640" w:firstLineChars="600"/>
        <w:rPr>
          <w:rFonts w:hint="eastAsia" w:ascii="黑体" w:eastAsia="黑体"/>
          <w:bCs/>
          <w:color w:val="auto"/>
          <w:sz w:val="44"/>
          <w:szCs w:val="44"/>
          <w:highlight w:val="none"/>
        </w:rPr>
      </w:pPr>
      <w:r>
        <w:rPr>
          <w:rFonts w:hint="eastAsia" w:ascii="黑体" w:eastAsia="黑体"/>
          <w:bCs/>
          <w:color w:val="auto"/>
          <w:sz w:val="44"/>
          <w:szCs w:val="44"/>
          <w:highlight w:val="none"/>
        </w:rPr>
        <w:t>编号：HTBXJJCG2023-01</w:t>
      </w:r>
    </w:p>
    <w:p>
      <w:pPr>
        <w:jc w:val="center"/>
        <w:rPr>
          <w:rFonts w:ascii="黑体" w:eastAsia="黑体"/>
          <w:bCs/>
          <w:color w:val="auto"/>
          <w:sz w:val="44"/>
          <w:szCs w:val="44"/>
          <w:highlight w:val="none"/>
        </w:rPr>
      </w:pPr>
    </w:p>
    <w:p>
      <w:pPr>
        <w:ind w:firstLine="2640" w:firstLineChars="600"/>
        <w:rPr>
          <w:rFonts w:ascii="黑体" w:eastAsia="黑体"/>
          <w:bCs/>
          <w:color w:val="auto"/>
          <w:sz w:val="24"/>
          <w:szCs w:val="24"/>
          <w:highlight w:val="none"/>
        </w:rPr>
      </w:pPr>
      <w:r>
        <w:rPr>
          <w:rFonts w:hint="eastAsia" w:ascii="黑体" w:eastAsia="黑体"/>
          <w:bCs/>
          <w:color w:val="auto"/>
          <w:sz w:val="44"/>
          <w:szCs w:val="44"/>
          <w:highlight w:val="none"/>
        </w:rPr>
        <w:t>投标人编号：</w:t>
      </w:r>
      <w:r>
        <w:rPr>
          <w:rFonts w:ascii="黑体" w:eastAsia="黑体"/>
          <w:bCs/>
          <w:color w:val="auto"/>
          <w:sz w:val="24"/>
          <w:szCs w:val="24"/>
          <w:highlight w:val="none"/>
        </w:rPr>
        <w:t xml:space="preserve"> </w:t>
      </w:r>
    </w:p>
    <w:p>
      <w:pPr>
        <w:ind w:firstLine="2640" w:firstLineChars="600"/>
        <w:rPr>
          <w:rFonts w:ascii="黑体" w:eastAsia="黑体"/>
          <w:bCs/>
          <w:color w:val="auto"/>
          <w:sz w:val="44"/>
          <w:szCs w:val="44"/>
          <w:highlight w:val="none"/>
        </w:rPr>
      </w:pPr>
    </w:p>
    <w:p>
      <w:pPr>
        <w:rPr>
          <w:rFonts w:ascii="黑体" w:eastAsia="黑体"/>
          <w:bCs/>
          <w:color w:val="auto"/>
          <w:sz w:val="32"/>
          <w:highlight w:val="none"/>
        </w:rPr>
      </w:pPr>
    </w:p>
    <w:p>
      <w:pPr>
        <w:rPr>
          <w:rFonts w:ascii="黑体" w:eastAsia="黑体"/>
          <w:bCs/>
          <w:color w:val="auto"/>
          <w:sz w:val="32"/>
          <w:highlight w:val="none"/>
        </w:rPr>
      </w:pPr>
    </w:p>
    <w:p>
      <w:pPr>
        <w:jc w:val="center"/>
        <w:rPr>
          <w:rFonts w:ascii="黑体" w:eastAsia="黑体"/>
          <w:bCs/>
          <w:color w:val="auto"/>
          <w:sz w:val="44"/>
          <w:szCs w:val="44"/>
          <w:highlight w:val="none"/>
        </w:rPr>
      </w:pPr>
      <w:r>
        <w:rPr>
          <w:rFonts w:hint="eastAsia" w:ascii="黑体" w:eastAsia="黑体"/>
          <w:bCs/>
          <w:color w:val="auto"/>
          <w:sz w:val="44"/>
          <w:szCs w:val="44"/>
          <w:highlight w:val="none"/>
        </w:rPr>
        <w:t>二○二三年三月二十日</w:t>
      </w:r>
    </w:p>
    <w:p>
      <w:pPr>
        <w:rPr>
          <w:rFonts w:hint="eastAsia" w:ascii="楷体_GB2312" w:eastAsia="楷体_GB2312"/>
          <w:b/>
          <w:color w:val="auto"/>
          <w:sz w:val="30"/>
          <w:szCs w:val="30"/>
          <w:highlight w:val="none"/>
        </w:rPr>
      </w:pPr>
    </w:p>
    <w:p>
      <w:pPr>
        <w:rPr>
          <w:rFonts w:ascii="楷体_GB2312" w:eastAsia="楷体_GB2312"/>
          <w:b/>
          <w:color w:val="auto"/>
          <w:sz w:val="30"/>
          <w:szCs w:val="30"/>
          <w:highlight w:val="none"/>
        </w:rPr>
      </w:pPr>
    </w:p>
    <w:p>
      <w:pPr>
        <w:spacing w:line="400" w:lineRule="exact"/>
        <w:ind w:left="1675" w:leftChars="798"/>
        <w:rPr>
          <w:rFonts w:ascii="宋体" w:hAnsi="宋体"/>
          <w:bCs/>
          <w:color w:val="auto"/>
          <w:sz w:val="24"/>
          <w:szCs w:val="24"/>
          <w:highlight w:val="none"/>
        </w:rPr>
      </w:pPr>
    </w:p>
    <w:p>
      <w:pPr>
        <w:rPr>
          <w:rFonts w:ascii="黑体" w:hAnsi="华文中宋" w:eastAsia="黑体"/>
          <w:bCs/>
          <w:color w:val="auto"/>
          <w:sz w:val="44"/>
          <w:szCs w:val="44"/>
          <w:highlight w:val="none"/>
        </w:rPr>
      </w:pPr>
      <w:r>
        <w:rPr>
          <w:rFonts w:hint="eastAsia" w:ascii="黑体" w:hAnsi="华文中宋" w:eastAsia="黑体"/>
          <w:bCs/>
          <w:color w:val="auto"/>
          <w:sz w:val="52"/>
          <w:szCs w:val="52"/>
          <w:highlight w:val="none"/>
        </w:rPr>
        <mc:AlternateContent>
          <mc:Choice Requires="wps">
            <w:drawing>
              <wp:anchor distT="0" distB="0" distL="114300" distR="114300" simplePos="0" relativeHeight="251668480" behindDoc="0" locked="0" layoutInCell="1" allowOverlap="1">
                <wp:simplePos x="0" y="0"/>
                <wp:positionH relativeFrom="column">
                  <wp:posOffset>4817110</wp:posOffset>
                </wp:positionH>
                <wp:positionV relativeFrom="paragraph">
                  <wp:posOffset>241935</wp:posOffset>
                </wp:positionV>
                <wp:extent cx="1378585" cy="747395"/>
                <wp:effectExtent l="6985" t="13335" r="5080" b="10795"/>
                <wp:wrapNone/>
                <wp:docPr id="3" name="矩形 221"/>
                <wp:cNvGraphicFramePr/>
                <a:graphic xmlns:a="http://schemas.openxmlformats.org/drawingml/2006/main">
                  <a:graphicData uri="http://schemas.microsoft.com/office/word/2010/wordprocessingShape">
                    <wps:wsp>
                      <wps:cNvSpPr>
                        <a:spLocks noChangeArrowheads="1"/>
                      </wps:cNvSpPr>
                      <wps:spPr bwMode="auto">
                        <a:xfrm>
                          <a:off x="0" y="0"/>
                          <a:ext cx="1378585" cy="747395"/>
                        </a:xfrm>
                        <a:prstGeom prst="rect">
                          <a:avLst/>
                        </a:prstGeom>
                        <a:solidFill>
                          <a:srgbClr val="FFFFFF"/>
                        </a:solidFill>
                        <a:ln w="9525">
                          <a:solidFill>
                            <a:srgbClr val="000000"/>
                          </a:solidFill>
                          <a:miter lim="800000"/>
                        </a:ln>
                      </wps:spPr>
                      <wps:txbx>
                        <w:txbxContent>
                          <w:p>
                            <w:pPr>
                              <w:jc w:val="center"/>
                              <w:rPr>
                                <w:b/>
                                <w:sz w:val="72"/>
                                <w:szCs w:val="72"/>
                              </w:rPr>
                            </w:pPr>
                            <w:r>
                              <w:rPr>
                                <w:rFonts w:hint="eastAsia"/>
                                <w:b/>
                                <w:sz w:val="72"/>
                                <w:szCs w:val="72"/>
                              </w:rPr>
                              <w:t>副本</w:t>
                            </w:r>
                          </w:p>
                        </w:txbxContent>
                      </wps:txbx>
                      <wps:bodyPr rot="0" vert="horz" wrap="square" lIns="91440" tIns="45720" rIns="91440" bIns="45720" anchor="t" anchorCtr="0" upright="1">
                        <a:noAutofit/>
                      </wps:bodyPr>
                    </wps:wsp>
                  </a:graphicData>
                </a:graphic>
              </wp:anchor>
            </w:drawing>
          </mc:Choice>
          <mc:Fallback>
            <w:pict>
              <v:rect id="矩形 221" o:spid="_x0000_s1026" o:spt="1" style="position:absolute;left:0pt;margin-left:379.3pt;margin-top:19.05pt;height:58.85pt;width:108.55pt;z-index:251668480;mso-width-relative:page;mso-height-relative:page;" fillcolor="#FFFFFF" filled="t" stroked="t" coordsize="21600,21600" o:gfxdata="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BntgrDYAAAACgEAAA8AAAAAAAAAAQAgAAAAIgAAAGRycy9kb3du&#10;cmV2LnhtbFBLAQIUABQAAAAIAIdO4kBb86HKOAIAAHwEAAAOAAAAAAAAAAEAIAAAACcBAABkcnMv&#10;ZTJvRG9jLnhtbFBLBQYAAAAABgAGAFkBAADRBQAAAAA=&#10;">
                <v:fill on="t" focussize="0,0"/>
                <v:stroke color="#000000" miterlimit="8" joinstyle="miter"/>
                <v:imagedata o:title=""/>
                <o:lock v:ext="edit" aspectratio="f"/>
                <v:textbox>
                  <w:txbxContent>
                    <w:p>
                      <w:pPr>
                        <w:jc w:val="center"/>
                        <w:rPr>
                          <w:b/>
                          <w:sz w:val="72"/>
                          <w:szCs w:val="72"/>
                        </w:rPr>
                      </w:pPr>
                      <w:r>
                        <w:rPr>
                          <w:rFonts w:hint="eastAsia"/>
                          <w:b/>
                          <w:sz w:val="72"/>
                          <w:szCs w:val="72"/>
                        </w:rPr>
                        <w:t>副本</w:t>
                      </w:r>
                    </w:p>
                  </w:txbxContent>
                </v:textbox>
              </v:rect>
            </w:pict>
          </mc:Fallback>
        </mc:AlternateContent>
      </w:r>
    </w:p>
    <w:p>
      <w:pPr>
        <w:jc w:val="center"/>
        <w:rPr>
          <w:rFonts w:hint="eastAsia" w:ascii="黑体" w:hAnsi="华文中宋" w:eastAsia="黑体"/>
          <w:bCs/>
          <w:color w:val="auto"/>
          <w:sz w:val="52"/>
          <w:szCs w:val="52"/>
          <w:highlight w:val="none"/>
        </w:rPr>
      </w:pPr>
    </w:p>
    <w:p>
      <w:pPr>
        <w:jc w:val="center"/>
        <w:rPr>
          <w:rFonts w:hint="eastAsia" w:ascii="黑体" w:eastAsia="黑体"/>
          <w:bCs/>
          <w:color w:val="auto"/>
          <w:sz w:val="52"/>
          <w:szCs w:val="52"/>
          <w:highlight w:val="none"/>
        </w:rPr>
      </w:pPr>
      <w:r>
        <w:rPr>
          <w:rFonts w:hint="eastAsia" w:ascii="黑体" w:hAnsi="华文中宋" w:eastAsia="黑体"/>
          <w:bCs/>
          <w:color w:val="auto"/>
          <w:sz w:val="52"/>
          <w:szCs w:val="52"/>
          <w:highlight w:val="none"/>
        </w:rPr>
        <w:t>无锡市城乡居民大病保险项目</w:t>
      </w:r>
    </w:p>
    <w:p>
      <w:pPr>
        <w:ind w:firstLine="3640" w:firstLineChars="700"/>
        <w:rPr>
          <w:rFonts w:hint="eastAsia" w:ascii="黑体" w:eastAsia="黑体"/>
          <w:bCs/>
          <w:color w:val="auto"/>
          <w:sz w:val="52"/>
          <w:szCs w:val="52"/>
          <w:highlight w:val="none"/>
        </w:rPr>
      </w:pPr>
    </w:p>
    <w:p>
      <w:pPr>
        <w:jc w:val="center"/>
        <w:rPr>
          <w:rFonts w:ascii="黑体" w:eastAsia="黑体"/>
          <w:bCs/>
          <w:color w:val="auto"/>
          <w:sz w:val="52"/>
          <w:szCs w:val="52"/>
          <w:highlight w:val="none"/>
        </w:rPr>
      </w:pPr>
      <w:r>
        <w:rPr>
          <w:rFonts w:hint="eastAsia" w:ascii="黑体" w:eastAsia="黑体"/>
          <w:bCs/>
          <w:color w:val="auto"/>
          <w:sz w:val="52"/>
          <w:szCs w:val="52"/>
          <w:highlight w:val="none"/>
        </w:rPr>
        <w:t>投标文件（标段二）</w:t>
      </w:r>
    </w:p>
    <w:p>
      <w:pPr>
        <w:jc w:val="center"/>
        <w:rPr>
          <w:rFonts w:ascii="黑体" w:hAnsi="华文中宋" w:eastAsia="黑体"/>
          <w:bCs/>
          <w:color w:val="auto"/>
          <w:sz w:val="52"/>
          <w:szCs w:val="52"/>
          <w:highlight w:val="none"/>
        </w:rPr>
      </w:pPr>
      <w:r>
        <w:rPr>
          <w:rFonts w:hint="eastAsia" w:ascii="黑体" w:hAnsi="华文中宋" w:eastAsia="黑体"/>
          <w:bCs/>
          <w:color w:val="auto"/>
          <w:sz w:val="52"/>
          <w:szCs w:val="52"/>
          <w:highlight w:val="none"/>
        </w:rPr>
        <w:t>技术标（暗标）</w:t>
      </w:r>
    </w:p>
    <w:p>
      <w:pPr>
        <w:rPr>
          <w:rFonts w:ascii="黑体" w:eastAsia="黑体"/>
          <w:bCs/>
          <w:color w:val="auto"/>
          <w:sz w:val="28"/>
          <w:szCs w:val="28"/>
          <w:highlight w:val="none"/>
        </w:rPr>
      </w:pPr>
    </w:p>
    <w:p>
      <w:pPr>
        <w:outlineLvl w:val="0"/>
        <w:rPr>
          <w:rFonts w:ascii="仿宋" w:hAnsi="仿宋" w:eastAsia="仿宋"/>
          <w:bCs/>
          <w:color w:val="auto"/>
          <w:sz w:val="30"/>
          <w:szCs w:val="30"/>
          <w:highlight w:val="none"/>
        </w:rPr>
      </w:pPr>
      <w:r>
        <w:rPr>
          <w:rFonts w:hint="eastAsia" w:ascii="仿宋" w:hAnsi="仿宋" w:eastAsia="仿宋"/>
          <w:bCs/>
          <w:color w:val="auto"/>
          <w:sz w:val="30"/>
          <w:szCs w:val="30"/>
          <w:highlight w:val="none"/>
        </w:rPr>
        <w:t>（封面规格：以上为1号黑体，不加粗，本条制作时不打印）</w:t>
      </w:r>
    </w:p>
    <w:p>
      <w:pPr>
        <w:outlineLvl w:val="0"/>
        <w:rPr>
          <w:rFonts w:ascii="仿宋" w:hAnsi="仿宋" w:eastAsia="仿宋"/>
          <w:bCs/>
          <w:color w:val="auto"/>
          <w:sz w:val="30"/>
          <w:szCs w:val="30"/>
          <w:highlight w:val="none"/>
        </w:rPr>
      </w:pPr>
      <w:r>
        <w:rPr>
          <w:rFonts w:hint="eastAsia" w:ascii="仿宋" w:hAnsi="仿宋" w:eastAsia="仿宋"/>
          <w:bCs/>
          <w:color w:val="auto"/>
          <w:sz w:val="30"/>
          <w:szCs w:val="30"/>
          <w:highlight w:val="none"/>
        </w:rPr>
        <w:t>（封面规格：以下为2号黑体，不加粗，本条制作时不打印）</w:t>
      </w:r>
    </w:p>
    <w:p>
      <w:pPr>
        <w:rPr>
          <w:rFonts w:ascii="黑体" w:eastAsia="黑体"/>
          <w:bCs/>
          <w:color w:val="auto"/>
          <w:sz w:val="28"/>
          <w:szCs w:val="28"/>
          <w:highlight w:val="none"/>
        </w:rPr>
      </w:pPr>
    </w:p>
    <w:p>
      <w:pPr>
        <w:rPr>
          <w:rFonts w:ascii="黑体" w:eastAsia="黑体"/>
          <w:bCs/>
          <w:color w:val="auto"/>
          <w:sz w:val="28"/>
          <w:szCs w:val="28"/>
          <w:highlight w:val="none"/>
        </w:rPr>
      </w:pPr>
    </w:p>
    <w:p>
      <w:pPr>
        <w:ind w:firstLine="2640" w:firstLineChars="600"/>
        <w:rPr>
          <w:rFonts w:hint="eastAsia" w:ascii="黑体" w:eastAsia="黑体"/>
          <w:bCs/>
          <w:color w:val="auto"/>
          <w:sz w:val="44"/>
          <w:szCs w:val="44"/>
          <w:highlight w:val="none"/>
        </w:rPr>
      </w:pPr>
      <w:r>
        <w:rPr>
          <w:rFonts w:hint="eastAsia" w:ascii="黑体" w:eastAsia="黑体"/>
          <w:bCs/>
          <w:color w:val="auto"/>
          <w:sz w:val="44"/>
          <w:szCs w:val="44"/>
          <w:highlight w:val="none"/>
        </w:rPr>
        <w:t>编号：HTBXJJCG2023-01</w:t>
      </w:r>
    </w:p>
    <w:p>
      <w:pPr>
        <w:jc w:val="center"/>
        <w:rPr>
          <w:rFonts w:ascii="黑体" w:eastAsia="黑体"/>
          <w:bCs/>
          <w:color w:val="auto"/>
          <w:sz w:val="44"/>
          <w:szCs w:val="44"/>
          <w:highlight w:val="none"/>
        </w:rPr>
      </w:pPr>
    </w:p>
    <w:p>
      <w:pPr>
        <w:ind w:firstLine="2640" w:firstLineChars="600"/>
        <w:rPr>
          <w:rFonts w:ascii="黑体" w:eastAsia="黑体"/>
          <w:bCs/>
          <w:color w:val="auto"/>
          <w:sz w:val="24"/>
          <w:szCs w:val="24"/>
          <w:highlight w:val="none"/>
        </w:rPr>
      </w:pPr>
      <w:r>
        <w:rPr>
          <w:rFonts w:hint="eastAsia" w:ascii="黑体" w:eastAsia="黑体"/>
          <w:bCs/>
          <w:color w:val="auto"/>
          <w:sz w:val="44"/>
          <w:szCs w:val="44"/>
          <w:highlight w:val="none"/>
        </w:rPr>
        <w:t>投标人编号：</w:t>
      </w:r>
      <w:r>
        <w:rPr>
          <w:rFonts w:ascii="黑体" w:eastAsia="黑体"/>
          <w:bCs/>
          <w:color w:val="auto"/>
          <w:sz w:val="24"/>
          <w:szCs w:val="24"/>
          <w:highlight w:val="none"/>
        </w:rPr>
        <w:t xml:space="preserve"> </w:t>
      </w:r>
    </w:p>
    <w:p>
      <w:pPr>
        <w:ind w:firstLine="2640" w:firstLineChars="600"/>
        <w:rPr>
          <w:rFonts w:ascii="黑体" w:eastAsia="黑体"/>
          <w:bCs/>
          <w:color w:val="auto"/>
          <w:sz w:val="44"/>
          <w:szCs w:val="44"/>
          <w:highlight w:val="none"/>
        </w:rPr>
      </w:pPr>
    </w:p>
    <w:p>
      <w:pPr>
        <w:rPr>
          <w:rFonts w:ascii="黑体" w:eastAsia="黑体"/>
          <w:bCs/>
          <w:color w:val="auto"/>
          <w:sz w:val="32"/>
          <w:highlight w:val="none"/>
        </w:rPr>
      </w:pPr>
    </w:p>
    <w:p>
      <w:pPr>
        <w:rPr>
          <w:rFonts w:ascii="黑体" w:eastAsia="黑体"/>
          <w:bCs/>
          <w:color w:val="auto"/>
          <w:sz w:val="32"/>
          <w:highlight w:val="none"/>
        </w:rPr>
      </w:pPr>
    </w:p>
    <w:p>
      <w:pPr>
        <w:spacing w:line="400" w:lineRule="exact"/>
        <w:jc w:val="center"/>
        <w:rPr>
          <w:rFonts w:ascii="黑体" w:eastAsia="黑体"/>
          <w:bCs/>
          <w:color w:val="auto"/>
          <w:sz w:val="44"/>
          <w:szCs w:val="44"/>
          <w:highlight w:val="none"/>
        </w:rPr>
      </w:pPr>
      <w:r>
        <w:rPr>
          <w:rFonts w:hint="eastAsia" w:ascii="黑体" w:eastAsia="黑体"/>
          <w:bCs/>
          <w:color w:val="auto"/>
          <w:sz w:val="44"/>
          <w:szCs w:val="44"/>
          <w:highlight w:val="none"/>
        </w:rPr>
        <w:t>二○二三年三月二十日</w:t>
      </w:r>
    </w:p>
    <w:p>
      <w:pPr>
        <w:outlineLvl w:val="0"/>
        <w:rPr>
          <w:rFonts w:ascii="楷体_GB2312" w:eastAsia="楷体_GB2312"/>
          <w:b/>
          <w:color w:val="auto"/>
          <w:sz w:val="30"/>
          <w:szCs w:val="30"/>
          <w:highlight w:val="none"/>
        </w:rPr>
      </w:pPr>
      <w:r>
        <w:rPr>
          <w:rFonts w:ascii="黑体" w:eastAsia="黑体"/>
          <w:bCs/>
          <w:color w:val="auto"/>
          <w:sz w:val="44"/>
          <w:szCs w:val="44"/>
          <w:highlight w:val="none"/>
        </w:rPr>
        <w:br w:type="page"/>
      </w:r>
    </w:p>
    <w:p>
      <w:pPr>
        <w:jc w:val="center"/>
        <w:rPr>
          <w:rFonts w:hint="eastAsia" w:ascii="黑体" w:hAnsi="华文中宋" w:eastAsia="黑体"/>
          <w:bCs/>
          <w:color w:val="auto"/>
          <w:sz w:val="52"/>
          <w:szCs w:val="52"/>
          <w:highlight w:val="none"/>
        </w:rPr>
      </w:pPr>
      <w:r>
        <w:rPr>
          <w:rFonts w:ascii="楷体_GB2312" w:eastAsia="楷体_GB2312"/>
          <w:b/>
          <w:color w:val="auto"/>
          <w:sz w:val="30"/>
          <w:szCs w:val="30"/>
          <w:highlight w:val="none"/>
        </w:rPr>
        <mc:AlternateContent>
          <mc:Choice Requires="wps">
            <w:drawing>
              <wp:anchor distT="0" distB="0" distL="114300" distR="114300" simplePos="0" relativeHeight="251677696" behindDoc="0" locked="0" layoutInCell="1" allowOverlap="1">
                <wp:simplePos x="0" y="0"/>
                <wp:positionH relativeFrom="column">
                  <wp:posOffset>4899025</wp:posOffset>
                </wp:positionH>
                <wp:positionV relativeFrom="paragraph">
                  <wp:posOffset>-201930</wp:posOffset>
                </wp:positionV>
                <wp:extent cx="1378585" cy="747395"/>
                <wp:effectExtent l="12700" t="7620" r="8890" b="6985"/>
                <wp:wrapNone/>
                <wp:docPr id="2" name="矩形 216"/>
                <wp:cNvGraphicFramePr/>
                <a:graphic xmlns:a="http://schemas.openxmlformats.org/drawingml/2006/main">
                  <a:graphicData uri="http://schemas.microsoft.com/office/word/2010/wordprocessingShape">
                    <wps:wsp>
                      <wps:cNvSpPr>
                        <a:spLocks noChangeArrowheads="1"/>
                      </wps:cNvSpPr>
                      <wps:spPr bwMode="auto">
                        <a:xfrm>
                          <a:off x="0" y="0"/>
                          <a:ext cx="1378585" cy="747395"/>
                        </a:xfrm>
                        <a:prstGeom prst="rect">
                          <a:avLst/>
                        </a:prstGeom>
                        <a:solidFill>
                          <a:srgbClr val="FFFFFF"/>
                        </a:solidFill>
                        <a:ln w="9525">
                          <a:solidFill>
                            <a:srgbClr val="000000"/>
                          </a:solidFill>
                          <a:miter lim="800000"/>
                        </a:ln>
                      </wps:spPr>
                      <wps:txbx>
                        <w:txbxContent>
                          <w:p>
                            <w:pPr>
                              <w:jc w:val="center"/>
                              <w:rPr>
                                <w:b/>
                                <w:sz w:val="72"/>
                                <w:szCs w:val="72"/>
                              </w:rPr>
                            </w:pPr>
                            <w:r>
                              <w:rPr>
                                <w:rFonts w:hint="eastAsia"/>
                                <w:b/>
                                <w:sz w:val="72"/>
                                <w:szCs w:val="72"/>
                              </w:rPr>
                              <w:t>正本</w:t>
                            </w:r>
                          </w:p>
                        </w:txbxContent>
                      </wps:txbx>
                      <wps:bodyPr rot="0" vert="horz" wrap="square" lIns="91440" tIns="45720" rIns="91440" bIns="45720" anchor="t" anchorCtr="0" upright="1">
                        <a:noAutofit/>
                      </wps:bodyPr>
                    </wps:wsp>
                  </a:graphicData>
                </a:graphic>
              </wp:anchor>
            </w:drawing>
          </mc:Choice>
          <mc:Fallback>
            <w:pict>
              <v:rect id="矩形 216" o:spid="_x0000_s1026" o:spt="1" style="position:absolute;left:0pt;margin-left:385.75pt;margin-top:-15.9pt;height:58.85pt;width:108.55pt;z-index:251677696;mso-width-relative:page;mso-height-relative:page;" fillcolor="#FFFFFF" filled="t" stroked="t" coordsize="21600,21600" o:gfxdata="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fjRHo2QAAAAoBAAAPAAAAAAAAAAEAIAAAACIAAABkcnMv&#10;ZG93bnJldi54bWxQSwECFAAUAAAACACHTuJAIZyapDsCAAB8BAAADgAAAAAAAAABACAAAAAoAQAA&#10;ZHJzL2Uyb0RvYy54bWxQSwUGAAAAAAYABgBZAQAA1QUAAAAA&#10;">
                <v:fill on="t" focussize="0,0"/>
                <v:stroke color="#000000" miterlimit="8" joinstyle="miter"/>
                <v:imagedata o:title=""/>
                <o:lock v:ext="edit" aspectratio="f"/>
                <v:textbox>
                  <w:txbxContent>
                    <w:p>
                      <w:pPr>
                        <w:jc w:val="center"/>
                        <w:rPr>
                          <w:b/>
                          <w:sz w:val="72"/>
                          <w:szCs w:val="72"/>
                        </w:rPr>
                      </w:pPr>
                      <w:r>
                        <w:rPr>
                          <w:rFonts w:hint="eastAsia"/>
                          <w:b/>
                          <w:sz w:val="72"/>
                          <w:szCs w:val="72"/>
                        </w:rPr>
                        <w:t>正本</w:t>
                      </w:r>
                    </w:p>
                  </w:txbxContent>
                </v:textbox>
              </v:rect>
            </w:pict>
          </mc:Fallback>
        </mc:AlternateContent>
      </w:r>
    </w:p>
    <w:p>
      <w:pPr>
        <w:jc w:val="center"/>
        <w:rPr>
          <w:rFonts w:hint="eastAsia" w:ascii="黑体" w:hAnsi="华文中宋" w:eastAsia="黑体"/>
          <w:bCs/>
          <w:color w:val="auto"/>
          <w:sz w:val="52"/>
          <w:szCs w:val="52"/>
          <w:highlight w:val="none"/>
        </w:rPr>
      </w:pPr>
      <w:r>
        <w:rPr>
          <w:rFonts w:hint="eastAsia" w:ascii="黑体" w:hAnsi="华文中宋" w:eastAsia="黑体"/>
          <w:bCs/>
          <w:color w:val="auto"/>
          <w:sz w:val="52"/>
          <w:szCs w:val="52"/>
          <w:highlight w:val="none"/>
        </w:rPr>
        <w:t>无锡市城乡居民大病保险项目</w:t>
      </w:r>
    </w:p>
    <w:p>
      <w:pPr>
        <w:rPr>
          <w:rFonts w:ascii="黑体" w:eastAsia="黑体"/>
          <w:bCs/>
          <w:color w:val="auto"/>
          <w:sz w:val="52"/>
          <w:szCs w:val="52"/>
          <w:highlight w:val="none"/>
        </w:rPr>
      </w:pPr>
    </w:p>
    <w:p>
      <w:pPr>
        <w:jc w:val="center"/>
        <w:rPr>
          <w:rFonts w:ascii="黑体" w:eastAsia="黑体"/>
          <w:bCs/>
          <w:color w:val="auto"/>
          <w:sz w:val="52"/>
          <w:szCs w:val="52"/>
          <w:highlight w:val="none"/>
        </w:rPr>
      </w:pPr>
      <w:r>
        <w:rPr>
          <w:rFonts w:hint="eastAsia" w:ascii="黑体" w:eastAsia="黑体"/>
          <w:bCs/>
          <w:color w:val="auto"/>
          <w:sz w:val="52"/>
          <w:szCs w:val="52"/>
          <w:highlight w:val="none"/>
        </w:rPr>
        <w:t>投标文件（标段三）</w:t>
      </w:r>
    </w:p>
    <w:p>
      <w:pPr>
        <w:jc w:val="center"/>
        <w:rPr>
          <w:rFonts w:ascii="黑体" w:hAnsi="华文中宋" w:eastAsia="黑体"/>
          <w:bCs/>
          <w:color w:val="auto"/>
          <w:sz w:val="52"/>
          <w:szCs w:val="52"/>
          <w:highlight w:val="none"/>
        </w:rPr>
      </w:pPr>
      <w:r>
        <w:rPr>
          <w:rFonts w:hint="eastAsia" w:ascii="黑体" w:hAnsi="华文中宋" w:eastAsia="黑体"/>
          <w:bCs/>
          <w:color w:val="auto"/>
          <w:sz w:val="52"/>
          <w:szCs w:val="52"/>
          <w:highlight w:val="none"/>
        </w:rPr>
        <w:t>技术标（暗标）</w:t>
      </w:r>
    </w:p>
    <w:p>
      <w:pPr>
        <w:rPr>
          <w:rFonts w:ascii="黑体" w:eastAsia="黑体"/>
          <w:bCs/>
          <w:color w:val="auto"/>
          <w:sz w:val="28"/>
          <w:szCs w:val="28"/>
          <w:highlight w:val="none"/>
        </w:rPr>
      </w:pPr>
    </w:p>
    <w:p>
      <w:pPr>
        <w:outlineLvl w:val="0"/>
        <w:rPr>
          <w:rFonts w:ascii="仿宋" w:hAnsi="仿宋" w:eastAsia="仿宋"/>
          <w:bCs/>
          <w:color w:val="auto"/>
          <w:sz w:val="30"/>
          <w:szCs w:val="30"/>
          <w:highlight w:val="none"/>
        </w:rPr>
      </w:pPr>
      <w:r>
        <w:rPr>
          <w:rFonts w:hint="eastAsia" w:ascii="仿宋" w:hAnsi="仿宋" w:eastAsia="仿宋"/>
          <w:bCs/>
          <w:color w:val="auto"/>
          <w:sz w:val="30"/>
          <w:szCs w:val="30"/>
          <w:highlight w:val="none"/>
        </w:rPr>
        <w:t>（封面规格：以上为1号黑体，不加粗，本条制作时不打印）</w:t>
      </w:r>
    </w:p>
    <w:p>
      <w:pPr>
        <w:outlineLvl w:val="0"/>
        <w:rPr>
          <w:rFonts w:ascii="黑体" w:hAnsi="宋体" w:eastAsia="黑体"/>
          <w:bCs/>
          <w:color w:val="auto"/>
          <w:sz w:val="30"/>
          <w:szCs w:val="30"/>
          <w:highlight w:val="none"/>
        </w:rPr>
      </w:pPr>
      <w:r>
        <w:rPr>
          <w:rFonts w:hint="eastAsia" w:ascii="仿宋" w:hAnsi="仿宋" w:eastAsia="仿宋"/>
          <w:bCs/>
          <w:color w:val="auto"/>
          <w:sz w:val="30"/>
          <w:szCs w:val="30"/>
          <w:highlight w:val="none"/>
        </w:rPr>
        <w:t>（封面规格：以下为2号黑体，不加粗，本条制作时不打印）</w:t>
      </w:r>
    </w:p>
    <w:p>
      <w:pPr>
        <w:rPr>
          <w:rFonts w:ascii="黑体" w:eastAsia="黑体"/>
          <w:bCs/>
          <w:color w:val="auto"/>
          <w:sz w:val="28"/>
          <w:szCs w:val="28"/>
          <w:highlight w:val="none"/>
        </w:rPr>
      </w:pPr>
    </w:p>
    <w:p>
      <w:pPr>
        <w:rPr>
          <w:rFonts w:ascii="黑体" w:eastAsia="黑体"/>
          <w:bCs/>
          <w:color w:val="auto"/>
          <w:sz w:val="28"/>
          <w:szCs w:val="28"/>
          <w:highlight w:val="none"/>
        </w:rPr>
      </w:pPr>
    </w:p>
    <w:p>
      <w:pPr>
        <w:ind w:firstLine="2640" w:firstLineChars="600"/>
        <w:rPr>
          <w:rFonts w:hint="eastAsia" w:ascii="黑体" w:eastAsia="黑体"/>
          <w:bCs/>
          <w:color w:val="auto"/>
          <w:sz w:val="44"/>
          <w:szCs w:val="44"/>
          <w:highlight w:val="none"/>
        </w:rPr>
      </w:pPr>
      <w:r>
        <w:rPr>
          <w:rFonts w:hint="eastAsia" w:ascii="黑体" w:eastAsia="黑体"/>
          <w:bCs/>
          <w:color w:val="auto"/>
          <w:sz w:val="44"/>
          <w:szCs w:val="44"/>
          <w:highlight w:val="none"/>
        </w:rPr>
        <w:t>编号：HTBXJJCG2023-01</w:t>
      </w:r>
    </w:p>
    <w:p>
      <w:pPr>
        <w:jc w:val="center"/>
        <w:rPr>
          <w:rFonts w:ascii="黑体" w:eastAsia="黑体"/>
          <w:bCs/>
          <w:color w:val="auto"/>
          <w:sz w:val="44"/>
          <w:szCs w:val="44"/>
          <w:highlight w:val="none"/>
        </w:rPr>
      </w:pPr>
    </w:p>
    <w:p>
      <w:pPr>
        <w:ind w:firstLine="2640" w:firstLineChars="600"/>
        <w:rPr>
          <w:rFonts w:ascii="黑体" w:eastAsia="黑体"/>
          <w:bCs/>
          <w:color w:val="auto"/>
          <w:sz w:val="24"/>
          <w:szCs w:val="24"/>
          <w:highlight w:val="none"/>
        </w:rPr>
      </w:pPr>
      <w:r>
        <w:rPr>
          <w:rFonts w:hint="eastAsia" w:ascii="黑体" w:eastAsia="黑体"/>
          <w:bCs/>
          <w:color w:val="auto"/>
          <w:sz w:val="44"/>
          <w:szCs w:val="44"/>
          <w:highlight w:val="none"/>
        </w:rPr>
        <w:t>投标人编号：</w:t>
      </w:r>
      <w:r>
        <w:rPr>
          <w:rFonts w:ascii="黑体" w:eastAsia="黑体"/>
          <w:bCs/>
          <w:color w:val="auto"/>
          <w:sz w:val="24"/>
          <w:szCs w:val="24"/>
          <w:highlight w:val="none"/>
        </w:rPr>
        <w:t xml:space="preserve"> </w:t>
      </w:r>
    </w:p>
    <w:p>
      <w:pPr>
        <w:ind w:firstLine="2640" w:firstLineChars="600"/>
        <w:rPr>
          <w:rFonts w:ascii="黑体" w:eastAsia="黑体"/>
          <w:bCs/>
          <w:color w:val="auto"/>
          <w:sz w:val="44"/>
          <w:szCs w:val="44"/>
          <w:highlight w:val="none"/>
        </w:rPr>
      </w:pPr>
    </w:p>
    <w:p>
      <w:pPr>
        <w:rPr>
          <w:rFonts w:ascii="黑体" w:eastAsia="黑体"/>
          <w:bCs/>
          <w:color w:val="auto"/>
          <w:sz w:val="32"/>
          <w:highlight w:val="none"/>
        </w:rPr>
      </w:pPr>
    </w:p>
    <w:p>
      <w:pPr>
        <w:rPr>
          <w:rFonts w:ascii="黑体" w:eastAsia="黑体"/>
          <w:bCs/>
          <w:color w:val="auto"/>
          <w:sz w:val="32"/>
          <w:highlight w:val="none"/>
        </w:rPr>
      </w:pPr>
    </w:p>
    <w:p>
      <w:pPr>
        <w:jc w:val="center"/>
        <w:rPr>
          <w:rFonts w:ascii="黑体" w:eastAsia="黑体"/>
          <w:bCs/>
          <w:color w:val="auto"/>
          <w:sz w:val="44"/>
          <w:szCs w:val="44"/>
          <w:highlight w:val="none"/>
        </w:rPr>
      </w:pPr>
      <w:r>
        <w:rPr>
          <w:rFonts w:hint="eastAsia" w:ascii="黑体" w:eastAsia="黑体"/>
          <w:bCs/>
          <w:color w:val="auto"/>
          <w:sz w:val="44"/>
          <w:szCs w:val="44"/>
          <w:highlight w:val="none"/>
        </w:rPr>
        <w:t>二○二三年三月二十日</w:t>
      </w:r>
    </w:p>
    <w:p>
      <w:pPr>
        <w:rPr>
          <w:rFonts w:hint="eastAsia" w:ascii="楷体_GB2312" w:eastAsia="楷体_GB2312"/>
          <w:b/>
          <w:color w:val="auto"/>
          <w:sz w:val="30"/>
          <w:szCs w:val="30"/>
          <w:highlight w:val="none"/>
        </w:rPr>
      </w:pPr>
    </w:p>
    <w:p>
      <w:pPr>
        <w:rPr>
          <w:rFonts w:ascii="楷体_GB2312" w:eastAsia="楷体_GB2312"/>
          <w:b/>
          <w:color w:val="auto"/>
          <w:sz w:val="30"/>
          <w:szCs w:val="30"/>
          <w:highlight w:val="none"/>
        </w:rPr>
      </w:pPr>
    </w:p>
    <w:p>
      <w:pPr>
        <w:spacing w:line="400" w:lineRule="exact"/>
        <w:ind w:left="1675" w:leftChars="798"/>
        <w:rPr>
          <w:rFonts w:ascii="宋体" w:hAnsi="宋体"/>
          <w:bCs/>
          <w:color w:val="auto"/>
          <w:sz w:val="24"/>
          <w:szCs w:val="24"/>
          <w:highlight w:val="none"/>
        </w:rPr>
      </w:pPr>
    </w:p>
    <w:p>
      <w:pPr>
        <w:rPr>
          <w:rFonts w:ascii="黑体" w:hAnsi="华文中宋" w:eastAsia="黑体"/>
          <w:bCs/>
          <w:color w:val="auto"/>
          <w:sz w:val="44"/>
          <w:szCs w:val="44"/>
          <w:highlight w:val="none"/>
        </w:rPr>
      </w:pPr>
      <w:r>
        <w:rPr>
          <w:rFonts w:hint="eastAsia" w:ascii="黑体" w:hAnsi="华文中宋" w:eastAsia="黑体"/>
          <w:bCs/>
          <w:color w:val="auto"/>
          <w:sz w:val="52"/>
          <w:szCs w:val="52"/>
          <w:highlight w:val="none"/>
        </w:rPr>
        <mc:AlternateContent>
          <mc:Choice Requires="wps">
            <w:drawing>
              <wp:anchor distT="0" distB="0" distL="114300" distR="114300" simplePos="0" relativeHeight="251669504" behindDoc="0" locked="0" layoutInCell="1" allowOverlap="1">
                <wp:simplePos x="0" y="0"/>
                <wp:positionH relativeFrom="column">
                  <wp:posOffset>4817110</wp:posOffset>
                </wp:positionH>
                <wp:positionV relativeFrom="paragraph">
                  <wp:posOffset>241935</wp:posOffset>
                </wp:positionV>
                <wp:extent cx="1378585" cy="747395"/>
                <wp:effectExtent l="6985" t="13335" r="5080" b="10795"/>
                <wp:wrapNone/>
                <wp:docPr id="1" name="矩形 221"/>
                <wp:cNvGraphicFramePr/>
                <a:graphic xmlns:a="http://schemas.openxmlformats.org/drawingml/2006/main">
                  <a:graphicData uri="http://schemas.microsoft.com/office/word/2010/wordprocessingShape">
                    <wps:wsp>
                      <wps:cNvSpPr>
                        <a:spLocks noChangeArrowheads="1"/>
                      </wps:cNvSpPr>
                      <wps:spPr bwMode="auto">
                        <a:xfrm>
                          <a:off x="0" y="0"/>
                          <a:ext cx="1378585" cy="747395"/>
                        </a:xfrm>
                        <a:prstGeom prst="rect">
                          <a:avLst/>
                        </a:prstGeom>
                        <a:solidFill>
                          <a:srgbClr val="FFFFFF"/>
                        </a:solidFill>
                        <a:ln w="9525">
                          <a:solidFill>
                            <a:srgbClr val="000000"/>
                          </a:solidFill>
                          <a:miter lim="800000"/>
                        </a:ln>
                      </wps:spPr>
                      <wps:txbx>
                        <w:txbxContent>
                          <w:p>
                            <w:pPr>
                              <w:jc w:val="center"/>
                              <w:rPr>
                                <w:b/>
                                <w:sz w:val="72"/>
                                <w:szCs w:val="72"/>
                              </w:rPr>
                            </w:pPr>
                            <w:r>
                              <w:rPr>
                                <w:rFonts w:hint="eastAsia"/>
                                <w:b/>
                                <w:sz w:val="72"/>
                                <w:szCs w:val="72"/>
                              </w:rPr>
                              <w:t>副本</w:t>
                            </w:r>
                          </w:p>
                        </w:txbxContent>
                      </wps:txbx>
                      <wps:bodyPr rot="0" vert="horz" wrap="square" lIns="91440" tIns="45720" rIns="91440" bIns="45720" anchor="t" anchorCtr="0" upright="1">
                        <a:noAutofit/>
                      </wps:bodyPr>
                    </wps:wsp>
                  </a:graphicData>
                </a:graphic>
              </wp:anchor>
            </w:drawing>
          </mc:Choice>
          <mc:Fallback>
            <w:pict>
              <v:rect id="矩形 221" o:spid="_x0000_s1026" o:spt="1" style="position:absolute;left:0pt;margin-left:379.3pt;margin-top:19.05pt;height:58.85pt;width:108.55pt;z-index:251669504;mso-width-relative:page;mso-height-relative:page;" fillcolor="#FFFFFF" filled="t" stroked="t" coordsize="21600,21600" o:gfxdata="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AZ7YKw2AAAAAoBAAAPAAAAAAAAAAEAIAAAACIAAABkcnMvZG93&#10;bnJldi54bWxQSwECFAAUAAAACACHTuJAC4jHATkCAAB8BAAADgAAAAAAAAABACAAAAAnAQAAZHJz&#10;L2Uyb0RvYy54bWxQSwUGAAAAAAYABgBZAQAA0gUAAAAA&#10;">
                <v:fill on="t" focussize="0,0"/>
                <v:stroke color="#000000" miterlimit="8" joinstyle="miter"/>
                <v:imagedata o:title=""/>
                <o:lock v:ext="edit" aspectratio="f"/>
                <v:textbox>
                  <w:txbxContent>
                    <w:p>
                      <w:pPr>
                        <w:jc w:val="center"/>
                        <w:rPr>
                          <w:b/>
                          <w:sz w:val="72"/>
                          <w:szCs w:val="72"/>
                        </w:rPr>
                      </w:pPr>
                      <w:r>
                        <w:rPr>
                          <w:rFonts w:hint="eastAsia"/>
                          <w:b/>
                          <w:sz w:val="72"/>
                          <w:szCs w:val="72"/>
                        </w:rPr>
                        <w:t>副本</w:t>
                      </w:r>
                    </w:p>
                  </w:txbxContent>
                </v:textbox>
              </v:rect>
            </w:pict>
          </mc:Fallback>
        </mc:AlternateContent>
      </w:r>
    </w:p>
    <w:p>
      <w:pPr>
        <w:jc w:val="center"/>
        <w:rPr>
          <w:rFonts w:hint="eastAsia" w:ascii="黑体" w:hAnsi="华文中宋" w:eastAsia="黑体"/>
          <w:bCs/>
          <w:color w:val="auto"/>
          <w:sz w:val="52"/>
          <w:szCs w:val="52"/>
          <w:highlight w:val="none"/>
        </w:rPr>
      </w:pPr>
    </w:p>
    <w:p>
      <w:pPr>
        <w:jc w:val="center"/>
        <w:rPr>
          <w:rFonts w:hint="eastAsia" w:ascii="黑体" w:eastAsia="黑体"/>
          <w:bCs/>
          <w:color w:val="auto"/>
          <w:sz w:val="52"/>
          <w:szCs w:val="52"/>
          <w:highlight w:val="none"/>
        </w:rPr>
      </w:pPr>
      <w:r>
        <w:rPr>
          <w:rFonts w:hint="eastAsia" w:ascii="黑体" w:hAnsi="华文中宋" w:eastAsia="黑体"/>
          <w:bCs/>
          <w:color w:val="auto"/>
          <w:sz w:val="52"/>
          <w:szCs w:val="52"/>
          <w:highlight w:val="none"/>
        </w:rPr>
        <w:t>无锡市城乡居民大病保险项目</w:t>
      </w:r>
    </w:p>
    <w:p>
      <w:pPr>
        <w:ind w:firstLine="3640" w:firstLineChars="700"/>
        <w:rPr>
          <w:rFonts w:hint="eastAsia" w:ascii="黑体" w:eastAsia="黑体"/>
          <w:bCs/>
          <w:color w:val="auto"/>
          <w:sz w:val="52"/>
          <w:szCs w:val="52"/>
          <w:highlight w:val="none"/>
        </w:rPr>
      </w:pPr>
    </w:p>
    <w:p>
      <w:pPr>
        <w:jc w:val="center"/>
        <w:rPr>
          <w:rFonts w:ascii="黑体" w:eastAsia="黑体"/>
          <w:bCs/>
          <w:color w:val="auto"/>
          <w:sz w:val="52"/>
          <w:szCs w:val="52"/>
          <w:highlight w:val="none"/>
        </w:rPr>
      </w:pPr>
      <w:r>
        <w:rPr>
          <w:rFonts w:hint="eastAsia" w:ascii="黑体" w:eastAsia="黑体"/>
          <w:bCs/>
          <w:color w:val="auto"/>
          <w:sz w:val="52"/>
          <w:szCs w:val="52"/>
          <w:highlight w:val="none"/>
        </w:rPr>
        <w:t>投标文件（标段三）</w:t>
      </w:r>
    </w:p>
    <w:p>
      <w:pPr>
        <w:jc w:val="center"/>
        <w:rPr>
          <w:rFonts w:ascii="黑体" w:hAnsi="华文中宋" w:eastAsia="黑体"/>
          <w:bCs/>
          <w:color w:val="auto"/>
          <w:sz w:val="52"/>
          <w:szCs w:val="52"/>
          <w:highlight w:val="none"/>
        </w:rPr>
      </w:pPr>
      <w:r>
        <w:rPr>
          <w:rFonts w:hint="eastAsia" w:ascii="黑体" w:hAnsi="华文中宋" w:eastAsia="黑体"/>
          <w:bCs/>
          <w:color w:val="auto"/>
          <w:sz w:val="52"/>
          <w:szCs w:val="52"/>
          <w:highlight w:val="none"/>
        </w:rPr>
        <w:t>技术标（暗标）</w:t>
      </w:r>
    </w:p>
    <w:p>
      <w:pPr>
        <w:rPr>
          <w:rFonts w:ascii="黑体" w:eastAsia="黑体"/>
          <w:bCs/>
          <w:color w:val="auto"/>
          <w:sz w:val="28"/>
          <w:szCs w:val="28"/>
          <w:highlight w:val="none"/>
        </w:rPr>
      </w:pPr>
    </w:p>
    <w:p>
      <w:pPr>
        <w:outlineLvl w:val="0"/>
        <w:rPr>
          <w:rFonts w:ascii="仿宋" w:hAnsi="仿宋" w:eastAsia="仿宋"/>
          <w:bCs/>
          <w:color w:val="auto"/>
          <w:sz w:val="30"/>
          <w:szCs w:val="30"/>
          <w:highlight w:val="none"/>
        </w:rPr>
      </w:pPr>
      <w:r>
        <w:rPr>
          <w:rFonts w:hint="eastAsia" w:ascii="仿宋" w:hAnsi="仿宋" w:eastAsia="仿宋"/>
          <w:bCs/>
          <w:color w:val="auto"/>
          <w:sz w:val="30"/>
          <w:szCs w:val="30"/>
          <w:highlight w:val="none"/>
        </w:rPr>
        <w:t>（封面规格：以上为1号黑体，不加粗，本条制作时不打印）</w:t>
      </w:r>
    </w:p>
    <w:p>
      <w:pPr>
        <w:outlineLvl w:val="0"/>
        <w:rPr>
          <w:rFonts w:ascii="仿宋" w:hAnsi="仿宋" w:eastAsia="仿宋"/>
          <w:bCs/>
          <w:color w:val="auto"/>
          <w:sz w:val="30"/>
          <w:szCs w:val="30"/>
          <w:highlight w:val="none"/>
        </w:rPr>
      </w:pPr>
      <w:r>
        <w:rPr>
          <w:rFonts w:hint="eastAsia" w:ascii="仿宋" w:hAnsi="仿宋" w:eastAsia="仿宋"/>
          <w:bCs/>
          <w:color w:val="auto"/>
          <w:sz w:val="30"/>
          <w:szCs w:val="30"/>
          <w:highlight w:val="none"/>
        </w:rPr>
        <w:t>（封面规格：以下为2号黑体，不加粗，本条制作时不打印）</w:t>
      </w:r>
    </w:p>
    <w:p>
      <w:pPr>
        <w:rPr>
          <w:rFonts w:ascii="黑体" w:eastAsia="黑体"/>
          <w:bCs/>
          <w:color w:val="auto"/>
          <w:sz w:val="28"/>
          <w:szCs w:val="28"/>
          <w:highlight w:val="none"/>
        </w:rPr>
      </w:pPr>
    </w:p>
    <w:p>
      <w:pPr>
        <w:rPr>
          <w:rFonts w:ascii="黑体" w:eastAsia="黑体"/>
          <w:bCs/>
          <w:color w:val="auto"/>
          <w:sz w:val="28"/>
          <w:szCs w:val="28"/>
          <w:highlight w:val="none"/>
        </w:rPr>
      </w:pPr>
    </w:p>
    <w:p>
      <w:pPr>
        <w:ind w:firstLine="2640" w:firstLineChars="600"/>
        <w:rPr>
          <w:rFonts w:hint="eastAsia" w:ascii="黑体" w:eastAsia="黑体"/>
          <w:bCs/>
          <w:color w:val="auto"/>
          <w:sz w:val="44"/>
          <w:szCs w:val="44"/>
          <w:highlight w:val="none"/>
        </w:rPr>
      </w:pPr>
      <w:r>
        <w:rPr>
          <w:rFonts w:hint="eastAsia" w:ascii="黑体" w:eastAsia="黑体"/>
          <w:bCs/>
          <w:color w:val="auto"/>
          <w:sz w:val="44"/>
          <w:szCs w:val="44"/>
          <w:highlight w:val="none"/>
        </w:rPr>
        <w:t>编号：HTBXJJCG2023-01</w:t>
      </w:r>
    </w:p>
    <w:p>
      <w:pPr>
        <w:jc w:val="center"/>
        <w:rPr>
          <w:rFonts w:ascii="黑体" w:eastAsia="黑体"/>
          <w:bCs/>
          <w:color w:val="auto"/>
          <w:sz w:val="44"/>
          <w:szCs w:val="44"/>
          <w:highlight w:val="none"/>
        </w:rPr>
      </w:pPr>
    </w:p>
    <w:p>
      <w:pPr>
        <w:ind w:firstLine="2640" w:firstLineChars="600"/>
        <w:rPr>
          <w:rFonts w:ascii="黑体" w:eastAsia="黑体"/>
          <w:bCs/>
          <w:color w:val="auto"/>
          <w:sz w:val="24"/>
          <w:szCs w:val="24"/>
          <w:highlight w:val="none"/>
        </w:rPr>
      </w:pPr>
      <w:r>
        <w:rPr>
          <w:rFonts w:hint="eastAsia" w:ascii="黑体" w:eastAsia="黑体"/>
          <w:bCs/>
          <w:color w:val="auto"/>
          <w:sz w:val="44"/>
          <w:szCs w:val="44"/>
          <w:highlight w:val="none"/>
        </w:rPr>
        <w:t>投标人编号：</w:t>
      </w:r>
      <w:r>
        <w:rPr>
          <w:rFonts w:ascii="黑体" w:eastAsia="黑体"/>
          <w:bCs/>
          <w:color w:val="auto"/>
          <w:sz w:val="24"/>
          <w:szCs w:val="24"/>
          <w:highlight w:val="none"/>
        </w:rPr>
        <w:t xml:space="preserve"> </w:t>
      </w:r>
    </w:p>
    <w:p>
      <w:pPr>
        <w:ind w:firstLine="2640" w:firstLineChars="600"/>
        <w:rPr>
          <w:rFonts w:hint="eastAsia" w:ascii="黑体" w:eastAsia="黑体"/>
          <w:bCs/>
          <w:color w:val="auto"/>
          <w:sz w:val="44"/>
          <w:szCs w:val="44"/>
          <w:highlight w:val="none"/>
        </w:rPr>
      </w:pPr>
    </w:p>
    <w:p>
      <w:pPr>
        <w:ind w:firstLine="2640" w:firstLineChars="600"/>
        <w:rPr>
          <w:rFonts w:hint="eastAsia" w:ascii="黑体" w:eastAsia="黑体"/>
          <w:bCs/>
          <w:color w:val="auto"/>
          <w:sz w:val="44"/>
          <w:szCs w:val="44"/>
          <w:highlight w:val="none"/>
        </w:rPr>
      </w:pPr>
    </w:p>
    <w:p>
      <w:pPr>
        <w:ind w:firstLine="2640" w:firstLineChars="600"/>
        <w:rPr>
          <w:rFonts w:hint="eastAsia" w:ascii="黑体" w:eastAsia="黑体"/>
          <w:bCs/>
          <w:color w:val="auto"/>
          <w:sz w:val="44"/>
          <w:szCs w:val="44"/>
          <w:highlight w:val="none"/>
        </w:rPr>
      </w:pPr>
    </w:p>
    <w:p>
      <w:pPr>
        <w:ind w:firstLine="2640" w:firstLineChars="600"/>
        <w:rPr>
          <w:rFonts w:hint="eastAsia" w:ascii="黑体" w:eastAsia="黑体"/>
          <w:bCs/>
          <w:color w:val="auto"/>
          <w:sz w:val="44"/>
          <w:szCs w:val="44"/>
          <w:highlight w:val="none"/>
        </w:rPr>
      </w:pPr>
    </w:p>
    <w:p>
      <w:pPr>
        <w:spacing w:line="400" w:lineRule="exact"/>
        <w:ind w:firstLine="2640" w:firstLineChars="600"/>
        <w:jc w:val="left"/>
        <w:rPr>
          <w:rFonts w:ascii="黑体" w:hAnsi="黑体" w:eastAsia="黑体"/>
          <w:bCs/>
          <w:color w:val="auto"/>
          <w:sz w:val="24"/>
          <w:szCs w:val="24"/>
          <w:highlight w:val="none"/>
        </w:rPr>
      </w:pPr>
      <w:r>
        <w:rPr>
          <w:rFonts w:hint="eastAsia" w:ascii="黑体" w:eastAsia="黑体"/>
          <w:bCs/>
          <w:color w:val="auto"/>
          <w:sz w:val="44"/>
          <w:szCs w:val="44"/>
          <w:highlight w:val="none"/>
        </w:rPr>
        <w:t>二○二三年三月二十日</w:t>
      </w:r>
      <w:r>
        <w:rPr>
          <w:rFonts w:ascii="黑体" w:eastAsia="黑体"/>
          <w:bCs/>
          <w:color w:val="auto"/>
          <w:sz w:val="44"/>
          <w:szCs w:val="44"/>
          <w:highlight w:val="none"/>
        </w:rPr>
        <w:br w:type="page"/>
      </w:r>
      <w:r>
        <w:rPr>
          <w:rFonts w:hint="eastAsia" w:ascii="黑体" w:hAnsi="黑体" w:eastAsia="黑体"/>
          <w:bCs/>
          <w:color w:val="auto"/>
          <w:sz w:val="24"/>
          <w:szCs w:val="24"/>
          <w:highlight w:val="none"/>
        </w:rPr>
        <w:t>技术标（暗标·目录，格式）投标文件请投标人按以下目录的顺序进行制作，每一项允许相应的展开。未按顺序制作的，将认定为暗示性标志。(</w:t>
      </w:r>
      <w:r>
        <w:rPr>
          <w:rFonts w:hint="eastAsia" w:ascii="黑体" w:hAnsi="黑体" w:eastAsia="黑体"/>
          <w:b/>
          <w:bCs/>
          <w:color w:val="auto"/>
          <w:sz w:val="24"/>
          <w:szCs w:val="24"/>
          <w:highlight w:val="none"/>
        </w:rPr>
        <w:t>字体:宋体,字号:小3号,不加粗</w:t>
      </w:r>
      <w:r>
        <w:rPr>
          <w:rFonts w:hint="eastAsia" w:ascii="黑体" w:hAnsi="黑体" w:eastAsia="黑体"/>
          <w:bCs/>
          <w:color w:val="auto"/>
          <w:sz w:val="24"/>
          <w:szCs w:val="24"/>
          <w:highlight w:val="none"/>
        </w:rPr>
        <w:t>)</w:t>
      </w:r>
      <w:r>
        <w:rPr>
          <w:rFonts w:hint="eastAsia" w:ascii="宋体" w:hAnsi="宋体"/>
          <w:bCs/>
          <w:color w:val="auto"/>
          <w:sz w:val="30"/>
          <w:szCs w:val="30"/>
          <w:highlight w:val="none"/>
        </w:rPr>
        <w:t xml:space="preserve"> </w:t>
      </w:r>
      <w:r>
        <w:rPr>
          <w:rFonts w:hint="eastAsia" w:ascii="黑体" w:hAnsi="黑体" w:eastAsia="黑体"/>
          <w:bCs/>
          <w:color w:val="auto"/>
          <w:sz w:val="24"/>
          <w:szCs w:val="24"/>
          <w:highlight w:val="none"/>
        </w:rPr>
        <w:t>（此条投标文件制作时不打印）</w:t>
      </w:r>
    </w:p>
    <w:p>
      <w:pPr>
        <w:spacing w:line="400" w:lineRule="exact"/>
        <w:jc w:val="center"/>
        <w:rPr>
          <w:rFonts w:ascii="宋体" w:hAnsi="宋体"/>
          <w:bCs/>
          <w:color w:val="auto"/>
          <w:sz w:val="30"/>
          <w:szCs w:val="30"/>
          <w:highlight w:val="none"/>
        </w:rPr>
      </w:pPr>
    </w:p>
    <w:p>
      <w:pPr>
        <w:spacing w:line="360" w:lineRule="auto"/>
        <w:jc w:val="center"/>
        <w:rPr>
          <w:rFonts w:hint="eastAsia" w:ascii="宋体" w:hAnsi="宋体"/>
          <w:bCs/>
          <w:color w:val="auto"/>
          <w:sz w:val="30"/>
          <w:szCs w:val="30"/>
          <w:highlight w:val="none"/>
        </w:rPr>
      </w:pPr>
    </w:p>
    <w:p>
      <w:pPr>
        <w:spacing w:line="360" w:lineRule="auto"/>
        <w:jc w:val="center"/>
        <w:rPr>
          <w:rFonts w:hint="eastAsia" w:ascii="宋体" w:hAnsi="宋体"/>
          <w:bCs/>
          <w:color w:val="auto"/>
          <w:sz w:val="30"/>
          <w:szCs w:val="30"/>
          <w:highlight w:val="none"/>
        </w:rPr>
      </w:pPr>
    </w:p>
    <w:p>
      <w:pPr>
        <w:spacing w:line="360" w:lineRule="auto"/>
        <w:jc w:val="center"/>
        <w:rPr>
          <w:rFonts w:hint="eastAsia" w:ascii="宋体" w:hAnsi="宋体"/>
          <w:bCs/>
          <w:color w:val="auto"/>
          <w:sz w:val="30"/>
          <w:szCs w:val="30"/>
          <w:highlight w:val="none"/>
        </w:rPr>
      </w:pPr>
      <w:r>
        <w:rPr>
          <w:rFonts w:hint="eastAsia" w:ascii="宋体" w:hAnsi="宋体"/>
          <w:bCs/>
          <w:color w:val="auto"/>
          <w:sz w:val="30"/>
          <w:szCs w:val="30"/>
          <w:highlight w:val="none"/>
        </w:rPr>
        <w:t>技术标（暗标）目录</w:t>
      </w:r>
    </w:p>
    <w:p>
      <w:pPr>
        <w:spacing w:line="360" w:lineRule="auto"/>
        <w:jc w:val="center"/>
        <w:rPr>
          <w:rFonts w:ascii="宋体" w:hAnsi="宋体"/>
          <w:bCs/>
          <w:color w:val="auto"/>
          <w:sz w:val="30"/>
          <w:szCs w:val="30"/>
          <w:highlight w:val="none"/>
        </w:rPr>
      </w:pPr>
    </w:p>
    <w:p>
      <w:pPr>
        <w:spacing w:line="360" w:lineRule="auto"/>
        <w:rPr>
          <w:rFonts w:hint="eastAsia" w:ascii="宋体" w:hAnsi="宋体"/>
          <w:bCs/>
          <w:color w:val="auto"/>
          <w:sz w:val="30"/>
          <w:szCs w:val="30"/>
          <w:highlight w:val="none"/>
        </w:rPr>
      </w:pPr>
      <w:r>
        <w:rPr>
          <w:rFonts w:hint="eastAsia" w:ascii="宋体" w:hAnsi="宋体"/>
          <w:bCs/>
          <w:color w:val="auto"/>
          <w:sz w:val="30"/>
          <w:szCs w:val="30"/>
          <w:highlight w:val="none"/>
        </w:rPr>
        <w:t xml:space="preserve">1.保险方案 </w:t>
      </w:r>
      <w:r>
        <w:rPr>
          <w:rFonts w:ascii="宋体" w:hAnsi="宋体"/>
          <w:bCs/>
          <w:color w:val="auto"/>
          <w:sz w:val="30"/>
          <w:szCs w:val="30"/>
          <w:highlight w:val="none"/>
        </w:rPr>
        <w:t>…………………………………………………………………</w:t>
      </w:r>
    </w:p>
    <w:p>
      <w:pPr>
        <w:spacing w:line="360" w:lineRule="auto"/>
        <w:rPr>
          <w:rFonts w:hint="eastAsia" w:ascii="宋体" w:hAnsi="宋体"/>
          <w:bCs/>
          <w:color w:val="auto"/>
          <w:sz w:val="30"/>
          <w:szCs w:val="30"/>
          <w:highlight w:val="none"/>
        </w:rPr>
      </w:pPr>
      <w:r>
        <w:rPr>
          <w:rFonts w:hint="eastAsia" w:ascii="宋体" w:hAnsi="宋体"/>
          <w:bCs/>
          <w:color w:val="auto"/>
          <w:sz w:val="30"/>
          <w:szCs w:val="30"/>
          <w:highlight w:val="none"/>
        </w:rPr>
        <w:t xml:space="preserve">2.管理方案 </w:t>
      </w:r>
      <w:r>
        <w:rPr>
          <w:rFonts w:ascii="宋体" w:hAnsi="宋体"/>
          <w:bCs/>
          <w:color w:val="auto"/>
          <w:sz w:val="30"/>
          <w:szCs w:val="30"/>
          <w:highlight w:val="none"/>
        </w:rPr>
        <w:t>…………………………………………………………………</w:t>
      </w:r>
    </w:p>
    <w:p>
      <w:pPr>
        <w:spacing w:line="360" w:lineRule="auto"/>
        <w:rPr>
          <w:rFonts w:hint="eastAsia" w:ascii="宋体" w:hAnsi="宋体"/>
          <w:bCs/>
          <w:color w:val="auto"/>
          <w:sz w:val="30"/>
          <w:szCs w:val="30"/>
          <w:highlight w:val="none"/>
        </w:rPr>
      </w:pPr>
      <w:r>
        <w:rPr>
          <w:rFonts w:hint="eastAsia" w:ascii="宋体" w:hAnsi="宋体"/>
          <w:bCs/>
          <w:color w:val="auto"/>
          <w:sz w:val="30"/>
          <w:szCs w:val="30"/>
          <w:highlight w:val="none"/>
        </w:rPr>
        <w:t>2.1项目总体实施方案</w:t>
      </w:r>
      <w:r>
        <w:rPr>
          <w:rFonts w:ascii="宋体" w:hAnsi="宋体"/>
          <w:bCs/>
          <w:color w:val="auto"/>
          <w:sz w:val="30"/>
          <w:szCs w:val="30"/>
          <w:highlight w:val="none"/>
        </w:rPr>
        <w:t>………………………………………………………</w:t>
      </w:r>
    </w:p>
    <w:p>
      <w:pPr>
        <w:spacing w:line="360" w:lineRule="auto"/>
        <w:rPr>
          <w:rFonts w:hint="eastAsia" w:ascii="宋体" w:hAnsi="宋体"/>
          <w:bCs/>
          <w:color w:val="auto"/>
          <w:sz w:val="30"/>
          <w:szCs w:val="30"/>
          <w:highlight w:val="none"/>
        </w:rPr>
      </w:pPr>
      <w:r>
        <w:rPr>
          <w:rFonts w:hint="eastAsia" w:ascii="宋体" w:hAnsi="宋体"/>
          <w:bCs/>
          <w:color w:val="auto"/>
          <w:sz w:val="30"/>
          <w:szCs w:val="30"/>
          <w:highlight w:val="none"/>
        </w:rPr>
        <w:t>2.2常规管理方案</w:t>
      </w:r>
      <w:r>
        <w:rPr>
          <w:rFonts w:ascii="宋体" w:hAnsi="宋体"/>
          <w:bCs/>
          <w:color w:val="auto"/>
          <w:sz w:val="30"/>
          <w:szCs w:val="30"/>
          <w:highlight w:val="none"/>
        </w:rPr>
        <w:t>……………………………………………………………</w:t>
      </w:r>
    </w:p>
    <w:p>
      <w:pPr>
        <w:spacing w:line="360" w:lineRule="auto"/>
        <w:rPr>
          <w:rFonts w:hint="eastAsia" w:ascii="宋体" w:hAnsi="宋体"/>
          <w:bCs/>
          <w:color w:val="auto"/>
          <w:sz w:val="30"/>
          <w:szCs w:val="30"/>
          <w:highlight w:val="none"/>
        </w:rPr>
      </w:pPr>
      <w:r>
        <w:rPr>
          <w:rFonts w:hint="eastAsia" w:ascii="宋体" w:hAnsi="宋体"/>
          <w:bCs/>
          <w:color w:val="auto"/>
          <w:sz w:val="30"/>
          <w:szCs w:val="30"/>
          <w:highlight w:val="none"/>
        </w:rPr>
        <w:t xml:space="preserve">2.3第一个服务包：巡查稽核、派员驻点、外伤控制核查等方案 </w:t>
      </w:r>
      <w:r>
        <w:rPr>
          <w:rFonts w:ascii="宋体" w:hAnsi="宋体"/>
          <w:bCs/>
          <w:color w:val="auto"/>
          <w:sz w:val="30"/>
          <w:szCs w:val="30"/>
          <w:highlight w:val="none"/>
        </w:rPr>
        <w:t>…………</w:t>
      </w:r>
    </w:p>
    <w:p>
      <w:pPr>
        <w:spacing w:line="360" w:lineRule="auto"/>
        <w:rPr>
          <w:rFonts w:ascii="宋体" w:hAnsi="宋体"/>
          <w:bCs/>
          <w:color w:val="auto"/>
          <w:sz w:val="30"/>
          <w:szCs w:val="30"/>
          <w:highlight w:val="none"/>
        </w:rPr>
      </w:pPr>
      <w:r>
        <w:rPr>
          <w:rFonts w:hint="eastAsia" w:ascii="宋体" w:hAnsi="宋体"/>
          <w:bCs/>
          <w:color w:val="auto"/>
          <w:sz w:val="30"/>
          <w:szCs w:val="30"/>
          <w:highlight w:val="none"/>
        </w:rPr>
        <w:t xml:space="preserve">2.4第二个服务包：定点康复机构、定点护理院的出入院鉴定、定点医药机构协议管理和大病保险困难群众的管理工作方案 </w:t>
      </w:r>
      <w:r>
        <w:rPr>
          <w:rFonts w:ascii="宋体" w:hAnsi="宋体"/>
          <w:bCs/>
          <w:color w:val="auto"/>
          <w:sz w:val="30"/>
          <w:szCs w:val="30"/>
          <w:highlight w:val="none"/>
        </w:rPr>
        <w:t>…………………</w:t>
      </w:r>
    </w:p>
    <w:p>
      <w:pPr>
        <w:spacing w:line="360" w:lineRule="auto"/>
        <w:rPr>
          <w:rFonts w:ascii="宋体" w:hAnsi="宋体"/>
          <w:bCs/>
          <w:color w:val="auto"/>
          <w:sz w:val="30"/>
          <w:szCs w:val="30"/>
          <w:highlight w:val="none"/>
        </w:rPr>
      </w:pPr>
      <w:r>
        <w:rPr>
          <w:rFonts w:hint="eastAsia" w:ascii="宋体" w:hAnsi="宋体"/>
          <w:bCs/>
          <w:color w:val="auto"/>
          <w:sz w:val="30"/>
          <w:szCs w:val="30"/>
          <w:highlight w:val="none"/>
        </w:rPr>
        <w:t>2.5第三个服务包：医保管理及窗口服务方案</w:t>
      </w:r>
      <w:r>
        <w:rPr>
          <w:rFonts w:ascii="宋体" w:hAnsi="宋体"/>
          <w:bCs/>
          <w:color w:val="auto"/>
          <w:sz w:val="30"/>
          <w:szCs w:val="30"/>
          <w:highlight w:val="none"/>
        </w:rPr>
        <w:t>……………………………</w:t>
      </w:r>
    </w:p>
    <w:p>
      <w:pPr>
        <w:spacing w:line="360" w:lineRule="auto"/>
        <w:rPr>
          <w:rFonts w:ascii="宋体" w:hAnsi="宋体"/>
          <w:bCs/>
          <w:color w:val="auto"/>
          <w:sz w:val="30"/>
          <w:szCs w:val="30"/>
          <w:highlight w:val="none"/>
        </w:rPr>
      </w:pPr>
      <w:r>
        <w:rPr>
          <w:rFonts w:hint="eastAsia" w:ascii="宋体" w:hAnsi="宋体"/>
          <w:bCs/>
          <w:color w:val="auto"/>
          <w:sz w:val="30"/>
          <w:szCs w:val="30"/>
          <w:highlight w:val="none"/>
        </w:rPr>
        <w:t xml:space="preserve">2.6管理协同方案 </w:t>
      </w:r>
      <w:r>
        <w:rPr>
          <w:rFonts w:ascii="宋体" w:hAnsi="宋体"/>
          <w:bCs/>
          <w:color w:val="auto"/>
          <w:sz w:val="30"/>
          <w:szCs w:val="30"/>
          <w:highlight w:val="none"/>
        </w:rPr>
        <w:t>…………………………………………………………</w:t>
      </w:r>
    </w:p>
    <w:p>
      <w:pPr>
        <w:tabs>
          <w:tab w:val="left" w:pos="525"/>
        </w:tabs>
        <w:spacing w:line="360" w:lineRule="auto"/>
        <w:rPr>
          <w:rFonts w:ascii="宋体" w:hAnsi="宋体"/>
          <w:bCs/>
          <w:color w:val="auto"/>
          <w:sz w:val="30"/>
          <w:szCs w:val="30"/>
          <w:highlight w:val="none"/>
        </w:rPr>
      </w:pPr>
      <w:r>
        <w:rPr>
          <w:rFonts w:hint="eastAsia" w:ascii="宋体" w:hAnsi="宋体"/>
          <w:bCs/>
          <w:color w:val="auto"/>
          <w:sz w:val="30"/>
          <w:szCs w:val="30"/>
          <w:highlight w:val="none"/>
        </w:rPr>
        <w:t xml:space="preserve">3.创新性方案 </w:t>
      </w:r>
      <w:r>
        <w:rPr>
          <w:rFonts w:ascii="宋体" w:hAnsi="宋体"/>
          <w:bCs/>
          <w:color w:val="auto"/>
          <w:sz w:val="30"/>
          <w:szCs w:val="30"/>
          <w:highlight w:val="none"/>
        </w:rPr>
        <w:t>………………………………………………………………</w:t>
      </w:r>
    </w:p>
    <w:p>
      <w:pPr>
        <w:spacing w:line="400" w:lineRule="exact"/>
        <w:rPr>
          <w:rFonts w:hint="eastAsia" w:ascii="宋体" w:hAnsi="宋体"/>
          <w:bCs/>
          <w:color w:val="auto"/>
          <w:sz w:val="30"/>
          <w:szCs w:val="30"/>
          <w:highlight w:val="none"/>
        </w:rPr>
      </w:pPr>
    </w:p>
    <w:p>
      <w:pPr>
        <w:spacing w:line="400" w:lineRule="exact"/>
        <w:rPr>
          <w:rFonts w:hint="eastAsia" w:ascii="黑体" w:hAnsi="宋体" w:eastAsia="黑体"/>
          <w:bCs/>
          <w:color w:val="auto"/>
          <w:sz w:val="24"/>
          <w:szCs w:val="24"/>
          <w:highlight w:val="none"/>
        </w:rPr>
      </w:pPr>
      <w:r>
        <w:rPr>
          <w:rFonts w:hint="eastAsia" w:ascii="宋体" w:hAnsi="宋体"/>
          <w:bCs/>
          <w:color w:val="auto"/>
          <w:sz w:val="30"/>
          <w:szCs w:val="30"/>
          <w:highlight w:val="none"/>
        </w:rPr>
        <w:t>注：虚线右端页码请投标人自行编制（此条投标文件制作时不打印）</w:t>
      </w:r>
    </w:p>
    <w:p>
      <w:pPr>
        <w:spacing w:line="400" w:lineRule="exact"/>
        <w:rPr>
          <w:rFonts w:hint="eastAsia" w:ascii="黑体" w:hAnsi="宋体" w:eastAsia="黑体"/>
          <w:bCs/>
          <w:color w:val="auto"/>
          <w:sz w:val="24"/>
          <w:szCs w:val="24"/>
          <w:highlight w:val="none"/>
        </w:rPr>
      </w:pPr>
    </w:p>
    <w:p>
      <w:pPr>
        <w:spacing w:line="400" w:lineRule="exact"/>
        <w:rPr>
          <w:rFonts w:hint="eastAsia" w:ascii="黑体" w:hAnsi="宋体" w:eastAsia="黑体"/>
          <w:bCs/>
          <w:color w:val="auto"/>
          <w:sz w:val="24"/>
          <w:szCs w:val="24"/>
          <w:highlight w:val="none"/>
        </w:rPr>
      </w:pPr>
    </w:p>
    <w:p>
      <w:pPr>
        <w:spacing w:line="400" w:lineRule="exact"/>
        <w:rPr>
          <w:rFonts w:hint="eastAsia" w:ascii="黑体" w:hAnsi="黑体" w:eastAsia="黑体"/>
          <w:color w:val="auto"/>
          <w:sz w:val="24"/>
          <w:szCs w:val="24"/>
          <w:highlight w:val="none"/>
        </w:rPr>
      </w:pPr>
    </w:p>
    <w:p>
      <w:pPr>
        <w:spacing w:line="400" w:lineRule="exact"/>
        <w:rPr>
          <w:rFonts w:hint="eastAsia" w:ascii="黑体" w:hAnsi="黑体" w:eastAsia="黑体"/>
          <w:color w:val="auto"/>
          <w:sz w:val="24"/>
          <w:szCs w:val="24"/>
          <w:highlight w:val="none"/>
        </w:rPr>
      </w:pPr>
    </w:p>
    <w:p>
      <w:pPr>
        <w:spacing w:line="400" w:lineRule="exact"/>
        <w:rPr>
          <w:rFonts w:hint="eastAsia" w:ascii="黑体" w:hAnsi="黑体" w:eastAsia="黑体"/>
          <w:color w:val="auto"/>
          <w:sz w:val="24"/>
          <w:szCs w:val="24"/>
          <w:highlight w:val="none"/>
        </w:rPr>
      </w:pPr>
    </w:p>
    <w:p>
      <w:pPr>
        <w:spacing w:line="400" w:lineRule="exact"/>
        <w:rPr>
          <w:rFonts w:hint="eastAsia" w:ascii="黑体" w:hAnsi="黑体" w:eastAsia="黑体"/>
          <w:color w:val="auto"/>
          <w:sz w:val="24"/>
          <w:szCs w:val="24"/>
          <w:highlight w:val="none"/>
        </w:rPr>
      </w:pPr>
    </w:p>
    <w:p>
      <w:pPr>
        <w:spacing w:line="400" w:lineRule="exact"/>
        <w:rPr>
          <w:rFonts w:hint="eastAsia" w:ascii="黑体" w:hAnsi="黑体" w:eastAsia="黑体"/>
          <w:color w:val="auto"/>
          <w:sz w:val="24"/>
          <w:szCs w:val="24"/>
          <w:highlight w:val="none"/>
        </w:rPr>
      </w:pPr>
    </w:p>
    <w:p>
      <w:pPr>
        <w:spacing w:line="400" w:lineRule="exact"/>
        <w:rPr>
          <w:rFonts w:hint="eastAsia" w:ascii="黑体" w:hAnsi="黑体" w:eastAsia="黑体"/>
          <w:color w:val="auto"/>
          <w:sz w:val="24"/>
          <w:szCs w:val="24"/>
          <w:highlight w:val="none"/>
        </w:rPr>
      </w:pPr>
    </w:p>
    <w:p>
      <w:pPr>
        <w:spacing w:line="360" w:lineRule="auto"/>
        <w:rPr>
          <w:rFonts w:ascii="黑体" w:hAnsi="黑体" w:eastAsia="黑体"/>
          <w:color w:val="auto"/>
          <w:sz w:val="24"/>
          <w:szCs w:val="24"/>
          <w:highlight w:val="none"/>
        </w:rPr>
      </w:pPr>
    </w:p>
    <w:p>
      <w:pPr>
        <w:spacing w:line="360" w:lineRule="auto"/>
        <w:rPr>
          <w:rFonts w:ascii="黑体" w:hAnsi="黑体" w:eastAsia="黑体"/>
          <w:color w:val="auto"/>
          <w:sz w:val="24"/>
          <w:szCs w:val="24"/>
          <w:highlight w:val="none"/>
        </w:rPr>
      </w:pPr>
      <w:r>
        <w:rPr>
          <w:rFonts w:hint="eastAsia" w:ascii="黑体" w:hAnsi="黑体" w:eastAsia="黑体"/>
          <w:color w:val="auto"/>
          <w:sz w:val="24"/>
          <w:szCs w:val="24"/>
          <w:highlight w:val="none"/>
        </w:rPr>
        <w:t>附1：</w:t>
      </w:r>
    </w:p>
    <w:p>
      <w:pPr>
        <w:spacing w:line="360" w:lineRule="auto"/>
        <w:jc w:val="center"/>
        <w:rPr>
          <w:rFonts w:ascii="黑体" w:hAnsi="黑体" w:eastAsia="黑体"/>
          <w:b/>
          <w:color w:val="auto"/>
          <w:sz w:val="36"/>
          <w:szCs w:val="36"/>
          <w:highlight w:val="none"/>
        </w:rPr>
      </w:pPr>
      <w:r>
        <w:rPr>
          <w:rFonts w:hint="eastAsia" w:ascii="黑体" w:hAnsi="黑体" w:eastAsia="黑体"/>
          <w:b/>
          <w:color w:val="auto"/>
          <w:sz w:val="36"/>
          <w:szCs w:val="36"/>
          <w:highlight w:val="none"/>
        </w:rPr>
        <w:t>政府采购履约担保函（项目用）</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 xml:space="preserve"> 编号：</w:t>
      </w:r>
    </w:p>
    <w:p>
      <w:pPr>
        <w:spacing w:line="360" w:lineRule="auto"/>
        <w:rPr>
          <w:rFonts w:ascii="宋体" w:hAnsi="宋体"/>
          <w:color w:val="auto"/>
          <w:highlight w:val="none"/>
        </w:rPr>
      </w:pPr>
    </w:p>
    <w:p>
      <w:pPr>
        <w:spacing w:line="360" w:lineRule="auto"/>
        <w:rPr>
          <w:rFonts w:ascii="宋体" w:hAnsi="宋体"/>
          <w:color w:val="auto"/>
          <w:sz w:val="24"/>
          <w:szCs w:val="24"/>
          <w:highlight w:val="none"/>
        </w:rPr>
      </w:pPr>
      <w:r>
        <w:rPr>
          <w:rFonts w:hint="eastAsia" w:ascii="宋体" w:hAnsi="宋体"/>
          <w:color w:val="auto"/>
          <w:sz w:val="24"/>
          <w:szCs w:val="24"/>
          <w:highlight w:val="none"/>
        </w:rPr>
        <w:t>（采购人）：</w:t>
      </w:r>
    </w:p>
    <w:p>
      <w:pPr>
        <w:spacing w:line="360" w:lineRule="auto"/>
        <w:rPr>
          <w:rFonts w:ascii="宋体" w:hAnsi="宋体"/>
          <w:color w:val="auto"/>
          <w:sz w:val="24"/>
          <w:szCs w:val="24"/>
          <w:highlight w:val="none"/>
        </w:rPr>
      </w:pP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鉴于你方与（以下简称供应商）于年月日签定编号为   的《政府采购合同》（以下简称主合同），且依据该合同的约定，供应商应在 年 月 日前向你方交纳履约保证金，且可以履约担保函的形式交纳履约保证金。应供应商的申请，我方以保证的方式向你方提供如下履约保证金担保：</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一、保证责任的情形及保证金额</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（一）在供应商出现下列情形之一时，我方承担保证责任：</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1．将中标项目转让给他人，或者在投标文件中未说明，且未经采购招标机构人同意，将中标项目分包给他人的；</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 xml:space="preserve">　　2．主合同约定的应当缴纳履约保证金的情形: </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未按主合同约定的质量、数量和期限供应货物/提供服务/完成工程的。</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（二）我方的保证范围是主合同约定的合同价款总额的%数额为元（大写），币种为。（即主合同履约保证金金额）</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二、保证的方式及保证期间</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我方保证的方式为：连带责任保证。</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我方保证的期间为：自本合同生效之日起至供应商按照主合同约定的供货/完工期限届满后日内。</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如果供应商未按主合同约定向贵方供应货物/提供服务/完成工程的，由我方在保证金额内向你方支付上述款项。</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三、承担保证责任的程序</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1．你方要求我方承担保证责任的，应在本保函保证期间内向我方发出书面索赔通知。索赔通知应写明要求索赔的金额，支付款项应到达的帐号。并附有证明供应商违约事实的证明材料。</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如果你方与供应商因货物质量问题产生争议，你方还需同时提供部门出具的质量检测报告，或经诉讼（仲裁）程序裁决后的裁决书、调解书，本保证人即按照检测结果或裁决书、调解书决定是否承担保证责任。</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2．我方收到你方的书面索赔通知及相应证明材料，在工作日内进行核定后按照本保函的承诺承担保证责任。</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四、保证责任的终止</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1．保证期间届满你方未向我方书面主张保证责任的，自保证期间届满次日起，我方保证责任自动终止。保证期间届满前，主合同约定的货物\工程\服务全部验收合格的，自验收合格日起，我方保证责任自动终止。</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2．我方按照本保函向你方履行了保证责任后，自我方向你方支付款项（支付款项从我方账户划出）之日起，保证责任即终止。</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3．按照法律法规的规定或出现应终止我方保证责任的其它情形的，我方在本保函项下的保证责任亦终止。</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4．你方与供应商修改主合同，加重我方保证责任的，我方对加重部分不承担保证责任，但该等修改事先经我方书面同意的除外；你方与供应商修改主合同履行期限，我方保证期间仍依修改前的履行期限计算，但该等修改事先经我方书面同意的除外。</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五、免责条款</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1．因你方违反主合同约定致使供应商不能履行义务的，我方不承担保证责任。</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2．依照法律法规的规定或你方与供应商的另行约定，全部或者部分免除供应商应缴纳的保证金义务的，我方亦免除相应的保证责任。</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3．因不可抗力造成供应商不能履行供货义务的，我方不承担保证责任。</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六、争议的解决</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因本保函发生的纠纷，由你我双方协商解决，协商不成的，通过诉讼程序解决，诉讼管辖地法院为法院。</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七、保函的生效</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本保函自我方加盖公章之日起生效。</w:t>
      </w:r>
    </w:p>
    <w:p>
      <w:pPr>
        <w:spacing w:line="360" w:lineRule="auto"/>
        <w:rPr>
          <w:rFonts w:ascii="宋体" w:hAnsi="宋体"/>
          <w:color w:val="auto"/>
          <w:sz w:val="24"/>
          <w:szCs w:val="24"/>
          <w:highlight w:val="none"/>
        </w:rPr>
      </w:pPr>
    </w:p>
    <w:p>
      <w:pPr>
        <w:spacing w:line="360" w:lineRule="auto"/>
        <w:rPr>
          <w:rFonts w:ascii="宋体" w:hAnsi="宋体"/>
          <w:color w:val="auto"/>
          <w:sz w:val="24"/>
          <w:szCs w:val="24"/>
          <w:highlight w:val="none"/>
        </w:rPr>
      </w:pPr>
    </w:p>
    <w:p>
      <w:pPr>
        <w:spacing w:line="360" w:lineRule="auto"/>
        <w:ind w:firstLine="6960" w:firstLineChars="2900"/>
        <w:rPr>
          <w:rFonts w:ascii="宋体" w:hAnsi="宋体"/>
          <w:color w:val="auto"/>
          <w:sz w:val="24"/>
          <w:szCs w:val="24"/>
          <w:highlight w:val="none"/>
        </w:rPr>
      </w:pPr>
      <w:r>
        <w:rPr>
          <w:rFonts w:hint="eastAsia" w:ascii="宋体" w:hAnsi="宋体"/>
          <w:color w:val="auto"/>
          <w:sz w:val="24"/>
          <w:szCs w:val="24"/>
          <w:highlight w:val="none"/>
        </w:rPr>
        <w:t>保证人：（公章）</w:t>
      </w:r>
    </w:p>
    <w:p>
      <w:pPr>
        <w:spacing w:line="360" w:lineRule="auto"/>
        <w:rPr>
          <w:rFonts w:ascii="宋体" w:hAnsi="宋体"/>
          <w:color w:val="auto"/>
          <w:sz w:val="24"/>
          <w:szCs w:val="24"/>
          <w:highlight w:val="none"/>
        </w:rPr>
      </w:pPr>
    </w:p>
    <w:p>
      <w:pPr>
        <w:spacing w:line="360" w:lineRule="auto"/>
        <w:rPr>
          <w:rFonts w:ascii="仿宋_GB2312" w:hAnsi="仿宋" w:eastAsia="仿宋_GB2312"/>
          <w:b/>
          <w:color w:val="auto"/>
          <w:sz w:val="30"/>
          <w:szCs w:val="30"/>
          <w:highlight w:val="none"/>
        </w:rPr>
      </w:pPr>
      <w:r>
        <w:rPr>
          <w:rFonts w:hint="eastAsia" w:ascii="宋体" w:hAnsi="宋体"/>
          <w:color w:val="auto"/>
          <w:sz w:val="24"/>
          <w:szCs w:val="24"/>
          <w:highlight w:val="none"/>
        </w:rPr>
        <w:t xml:space="preserve">                                                          年     月      日</w:t>
      </w:r>
    </w:p>
    <w:p>
      <w:pPr>
        <w:spacing w:line="400" w:lineRule="exact"/>
        <w:rPr>
          <w:rFonts w:hint="eastAsia" w:ascii="黑体" w:eastAsia="黑体"/>
          <w:color w:val="auto"/>
          <w:sz w:val="24"/>
          <w:szCs w:val="24"/>
          <w:highlight w:val="none"/>
        </w:rPr>
      </w:pPr>
    </w:p>
    <w:p>
      <w:pPr>
        <w:spacing w:line="400" w:lineRule="exact"/>
        <w:rPr>
          <w:rFonts w:ascii="黑体" w:eastAsia="黑体"/>
          <w:color w:val="auto"/>
          <w:sz w:val="24"/>
          <w:szCs w:val="24"/>
          <w:highlight w:val="none"/>
        </w:rPr>
      </w:pPr>
    </w:p>
    <w:p>
      <w:pPr>
        <w:spacing w:line="400" w:lineRule="exact"/>
        <w:rPr>
          <w:rFonts w:ascii="黑体" w:eastAsia="黑体"/>
          <w:color w:val="auto"/>
          <w:sz w:val="24"/>
          <w:szCs w:val="24"/>
          <w:highlight w:val="none"/>
        </w:rPr>
      </w:pPr>
    </w:p>
    <w:p>
      <w:pPr>
        <w:rPr>
          <w:rFonts w:ascii="黑体" w:eastAsia="黑体"/>
          <w:color w:val="auto"/>
          <w:sz w:val="24"/>
          <w:szCs w:val="24"/>
          <w:highlight w:val="none"/>
        </w:rPr>
      </w:pPr>
      <w:r>
        <w:rPr>
          <w:rFonts w:hint="eastAsia" w:ascii="黑体" w:eastAsia="黑体"/>
          <w:color w:val="auto"/>
          <w:sz w:val="24"/>
          <w:szCs w:val="24"/>
          <w:highlight w:val="none"/>
        </w:rPr>
        <w:t>附2：</w:t>
      </w:r>
    </w:p>
    <w:p>
      <w:pPr>
        <w:jc w:val="center"/>
        <w:rPr>
          <w:rFonts w:ascii="黑体" w:hAnsi="黑体" w:eastAsia="黑体"/>
          <w:b/>
          <w:color w:val="auto"/>
          <w:sz w:val="36"/>
          <w:szCs w:val="36"/>
          <w:highlight w:val="none"/>
        </w:rPr>
      </w:pPr>
    </w:p>
    <w:p>
      <w:pPr>
        <w:jc w:val="center"/>
        <w:rPr>
          <w:rFonts w:hint="eastAsia" w:ascii="黑体" w:hAnsi="黑体" w:eastAsia="黑体"/>
          <w:b/>
          <w:color w:val="auto"/>
          <w:sz w:val="36"/>
          <w:szCs w:val="36"/>
          <w:highlight w:val="none"/>
        </w:rPr>
      </w:pPr>
      <w:r>
        <w:rPr>
          <w:rFonts w:hint="eastAsia" w:ascii="黑体" w:hAnsi="黑体" w:eastAsia="黑体"/>
          <w:b/>
          <w:color w:val="auto"/>
          <w:sz w:val="36"/>
          <w:szCs w:val="36"/>
          <w:highlight w:val="none"/>
        </w:rPr>
        <w:t>无锡市政府采购合同融资政策告知函</w:t>
      </w:r>
    </w:p>
    <w:p>
      <w:pPr>
        <w:spacing w:line="580" w:lineRule="exact"/>
        <w:rPr>
          <w:rFonts w:hint="eastAsia" w:ascii="宋体" w:hAnsi="宋体" w:cs="宋体"/>
          <w:color w:val="auto"/>
          <w:sz w:val="24"/>
          <w:szCs w:val="24"/>
          <w:highlight w:val="none"/>
        </w:rPr>
      </w:pPr>
    </w:p>
    <w:p>
      <w:pPr>
        <w:spacing w:line="580" w:lineRule="exact"/>
        <w:rPr>
          <w:rFonts w:hint="eastAsia" w:ascii="宋体"/>
          <w:color w:val="auto"/>
          <w:sz w:val="24"/>
          <w:szCs w:val="24"/>
          <w:highlight w:val="none"/>
        </w:rPr>
      </w:pPr>
      <w:r>
        <w:rPr>
          <w:rFonts w:hint="eastAsia" w:ascii="宋体" w:hAnsi="宋体" w:cs="宋体"/>
          <w:color w:val="auto"/>
          <w:sz w:val="24"/>
          <w:szCs w:val="24"/>
          <w:highlight w:val="none"/>
        </w:rPr>
        <w:t>各供应商：</w:t>
      </w:r>
    </w:p>
    <w:p>
      <w:pPr>
        <w:spacing w:line="580" w:lineRule="exact"/>
        <w:ind w:firstLine="480" w:firstLineChars="200"/>
        <w:rPr>
          <w:rFonts w:hint="eastAsia" w:ascii="宋体"/>
          <w:color w:val="auto"/>
          <w:sz w:val="24"/>
          <w:szCs w:val="24"/>
          <w:highlight w:val="none"/>
        </w:rPr>
      </w:pPr>
      <w:r>
        <w:rPr>
          <w:rFonts w:hint="eastAsia" w:ascii="宋体" w:hAnsi="宋体" w:cs="宋体"/>
          <w:color w:val="auto"/>
          <w:sz w:val="24"/>
          <w:szCs w:val="24"/>
          <w:highlight w:val="none"/>
        </w:rPr>
        <w:t>欢迎贵公司参与无锡市政府采购活动！</w:t>
      </w:r>
    </w:p>
    <w:p>
      <w:pPr>
        <w:spacing w:line="580" w:lineRule="exact"/>
        <w:ind w:firstLine="480" w:firstLineChars="200"/>
        <w:rPr>
          <w:rFonts w:hint="eastAsia" w:ascii="宋体"/>
          <w:color w:val="auto"/>
          <w:sz w:val="24"/>
          <w:szCs w:val="24"/>
          <w:highlight w:val="none"/>
        </w:rPr>
      </w:pPr>
      <w:r>
        <w:rPr>
          <w:rFonts w:hint="eastAsia" w:ascii="宋体" w:hAnsi="宋体" w:cs="宋体"/>
          <w:color w:val="auto"/>
          <w:sz w:val="24"/>
          <w:szCs w:val="24"/>
          <w:highlight w:val="none"/>
        </w:rPr>
        <w:t>政府采购合同融资是无锡市财政局和中国人民银行无锡市中心支行共同支持企业发展，针对参与政府采购活动的企业融资难、融资贵、融资慢、融资繁问题推出的一项融资政策。贵公司若成为本次政府采购项目的中标成交供应商，可持政府采购合同在线向金融机构申请贷款，无需抵押、担保，融资机构将根据《关于开展政府采购合同融资工作的通知》（锡财购〔2020〕17号），按照双方自愿的原则提供便捷、优惠的贷款服务。</w:t>
      </w:r>
    </w:p>
    <w:p>
      <w:pPr>
        <w:spacing w:line="580" w:lineRule="exact"/>
        <w:ind w:firstLine="480" w:firstLineChars="200"/>
        <w:rPr>
          <w:rFonts w:hint="eastAsia" w:ascii="宋体"/>
          <w:color w:val="auto"/>
          <w:sz w:val="24"/>
          <w:szCs w:val="24"/>
          <w:highlight w:val="none"/>
        </w:rPr>
      </w:pPr>
      <w:r>
        <w:rPr>
          <w:rFonts w:hint="eastAsia" w:ascii="宋体" w:hAnsi="宋体" w:cs="宋体"/>
          <w:color w:val="auto"/>
          <w:sz w:val="24"/>
          <w:szCs w:val="24"/>
          <w:highlight w:val="none"/>
        </w:rPr>
        <w:t>贷款渠道和提供贷款的金融机构，可在无锡政府采购网无锡市政府采购交易管理一体化系统查询联系。</w:t>
      </w:r>
    </w:p>
    <w:p>
      <w:pPr>
        <w:rPr>
          <w:rFonts w:hint="eastAsia" w:ascii="宋体" w:hAnsi="宋体"/>
          <w:color w:val="auto"/>
          <w:sz w:val="24"/>
          <w:szCs w:val="24"/>
          <w:highlight w:val="none"/>
        </w:rPr>
      </w:pPr>
    </w:p>
    <w:p>
      <w:pPr>
        <w:spacing w:line="400" w:lineRule="exact"/>
        <w:rPr>
          <w:rFonts w:hint="eastAsia" w:ascii="宋体" w:hAnsi="宋体"/>
          <w:b/>
          <w:color w:val="auto"/>
          <w:sz w:val="30"/>
          <w:szCs w:val="30"/>
          <w:highlight w:val="none"/>
        </w:rPr>
      </w:pPr>
    </w:p>
    <w:p>
      <w:pPr>
        <w:spacing w:line="400" w:lineRule="exact"/>
        <w:rPr>
          <w:rFonts w:hint="eastAsia" w:ascii="黑体" w:eastAsia="黑体"/>
          <w:color w:val="auto"/>
          <w:sz w:val="24"/>
          <w:szCs w:val="24"/>
          <w:highlight w:val="none"/>
        </w:rPr>
      </w:pPr>
    </w:p>
    <w:sectPr>
      <w:headerReference r:id="rId3" w:type="default"/>
      <w:footerReference r:id="rId4" w:type="default"/>
      <w:footerReference r:id="rId5" w:type="even"/>
      <w:pgSz w:w="11906" w:h="16838"/>
      <w:pgMar w:top="1134" w:right="1133" w:bottom="993" w:left="1418" w:header="624" w:footer="907" w:gutter="0"/>
      <w:pgNumType w:start="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楷体_GB2312">
    <w:altName w:val="楷体"/>
    <w:panose1 w:val="00000000000000000000"/>
    <w:charset w:val="86"/>
    <w:family w:val="modern"/>
    <w:pitch w:val="default"/>
    <w:sig w:usb0="00000000" w:usb1="00000000" w:usb2="00000010" w:usb3="00000000" w:csb0="00040000" w:csb1="00000000"/>
  </w:font>
  <w:font w:name="Cambria">
    <w:altName w:val="Segoe Print"/>
    <w:panose1 w:val="02040503050406030204"/>
    <w:charset w:val="00"/>
    <w:family w:val="roman"/>
    <w:pitch w:val="default"/>
    <w:sig w:usb0="00000000" w:usb1="00000000" w:usb2="02000000" w:usb3="00000000" w:csb0="0000019F" w:csb1="00000000"/>
  </w:font>
  <w:font w:name="华文中宋">
    <w:altName w:val="宋体"/>
    <w:panose1 w:val="02010600040101010101"/>
    <w:charset w:val="86"/>
    <w:family w:val="auto"/>
    <w:pitch w:val="default"/>
    <w:sig w:usb0="00000000" w:usb1="00000000" w:usb2="00000010" w:usb3="00000000" w:csb0="0004009F" w:csb1="00000000"/>
  </w:font>
  <w:font w:name="Arial Unicode MS">
    <w:altName w:val="宋体"/>
    <w:panose1 w:val="020B0604020202020204"/>
    <w:charset w:val="86"/>
    <w:family w:val="swiss"/>
    <w:pitch w:val="default"/>
    <w:sig w:usb0="00000000" w:usb1="00000000" w:usb2="0000003F" w:usb3="00000000" w:csb0="003F01FF" w:csb1="00000000"/>
  </w:font>
  <w:font w:name="華康中楷體">
    <w:altName w:val="Microsoft JhengHei"/>
    <w:panose1 w:val="00000000000000000000"/>
    <w:charset w:val="88"/>
    <w:family w:val="modern"/>
    <w:pitch w:val="default"/>
    <w:sig w:usb0="00000000" w:usb1="00000000" w:usb2="00000010" w:usb3="00000000" w:csb0="00100000"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华文新魏">
    <w:altName w:val="宋体"/>
    <w:panose1 w:val="02010800040101010101"/>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Segoe UI">
    <w:panose1 w:val="020B0502040204020203"/>
    <w:charset w:val="00"/>
    <w:family w:val="auto"/>
    <w:pitch w:val="default"/>
    <w:sig w:usb0="E4002EFF" w:usb1="C000E47F" w:usb2="00000009" w:usb3="00000000" w:csb0="200001FF" w:csb1="00000000"/>
  </w:font>
  <w:font w:name="Segoe Print">
    <w:panose1 w:val="02000600000000000000"/>
    <w:charset w:val="00"/>
    <w:family w:val="auto"/>
    <w:pitch w:val="default"/>
    <w:sig w:usb0="0000028F" w:usb1="00000000" w:usb2="00000000" w:usb3="00000000" w:csb0="2000009F" w:csb1="47010000"/>
  </w:font>
  <w:font w:name="Microsoft JhengHe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page" w:x="6029" w:y="201"/>
      <w:rPr>
        <w:rStyle w:val="28"/>
      </w:rPr>
    </w:pPr>
    <w:r>
      <w:rPr>
        <w:rStyle w:val="28"/>
      </w:rPr>
      <w:fldChar w:fldCharType="begin"/>
    </w:r>
    <w:r>
      <w:rPr>
        <w:rStyle w:val="28"/>
      </w:rPr>
      <w:instrText xml:space="preserve">PAGE  </w:instrText>
    </w:r>
    <w:r>
      <w:rPr>
        <w:rStyle w:val="28"/>
      </w:rPr>
      <w:fldChar w:fldCharType="separate"/>
    </w:r>
    <w:r>
      <w:rPr>
        <w:rStyle w:val="28"/>
      </w:rPr>
      <w:t>11</w:t>
    </w:r>
    <w:r>
      <w:rPr>
        <w:rStyle w:val="28"/>
      </w:rPr>
      <w:fldChar w:fldCharType="end"/>
    </w:r>
  </w:p>
  <w:p>
    <w:pPr>
      <w:pStyle w:val="1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28"/>
      </w:rPr>
    </w:pPr>
    <w:r>
      <w:rPr>
        <w:rStyle w:val="28"/>
      </w:rPr>
      <w:fldChar w:fldCharType="begin"/>
    </w:r>
    <w:r>
      <w:rPr>
        <w:rStyle w:val="28"/>
      </w:rPr>
      <w:instrText xml:space="preserve">PAGE  </w:instrText>
    </w:r>
    <w:r>
      <w:rPr>
        <w:rStyle w:val="28"/>
      </w:rPr>
      <w:fldChar w:fldCharType="separate"/>
    </w:r>
    <w:r>
      <w:rPr>
        <w:rStyle w:val="28"/>
        <w:lang w:val="en-US" w:eastAsia="zh-CN"/>
      </w:rPr>
      <w:t>1</w:t>
    </w:r>
    <w:r>
      <w:rPr>
        <w:rStyle w:val="28"/>
      </w:rPr>
      <w:fldChar w:fldCharType="end"/>
    </w:r>
  </w:p>
  <w:p>
    <w:pPr>
      <w:pStyle w:val="1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both"/>
      <w:rPr>
        <w:rFonts w:hint="eastAsia" w:ascii="华文新魏" w:eastAsia="华文新魏"/>
        <w:b/>
        <w:sz w:val="21"/>
        <w:szCs w:val="21"/>
      </w:rPr>
    </w:pPr>
    <w:r>
      <w:rPr>
        <w:rFonts w:hint="eastAsia" w:ascii="华文新魏" w:eastAsia="华文新魏"/>
        <w:b/>
        <w:sz w:val="21"/>
        <w:szCs w:val="21"/>
      </w:rPr>
      <w:t>HTBXJJCG2023-01无锡市城乡居民大病保险项目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500223E"/>
    <w:multiLevelType w:val="multilevel"/>
    <w:tmpl w:val="5500223E"/>
    <w:lvl w:ilvl="0" w:tentative="0">
      <w:start w:val="1"/>
      <w:numFmt w:val="decimal"/>
      <w:lvlText w:val="%1）"/>
      <w:lvlJc w:val="left"/>
      <w:pPr>
        <w:ind w:left="915" w:hanging="384"/>
      </w:pPr>
      <w:rPr>
        <w:rFonts w:hint="default"/>
      </w:rPr>
    </w:lvl>
    <w:lvl w:ilvl="1" w:tentative="0">
      <w:start w:val="1"/>
      <w:numFmt w:val="decimalEnclosedCircle"/>
      <w:lvlText w:val="%2"/>
      <w:lvlJc w:val="left"/>
      <w:pPr>
        <w:ind w:left="1371" w:hanging="420"/>
      </w:pPr>
      <w:rPr>
        <w:rFonts w:hint="default" w:ascii="Times New Roman" w:hAnsi="Times New Roman" w:eastAsia="宋体"/>
        <w:sz w:val="21"/>
      </w:rPr>
    </w:lvl>
    <w:lvl w:ilvl="2" w:tentative="0">
      <w:start w:val="1"/>
      <w:numFmt w:val="lowerRoman"/>
      <w:lvlText w:val="%3."/>
      <w:lvlJc w:val="right"/>
      <w:pPr>
        <w:ind w:left="1791" w:hanging="420"/>
      </w:pPr>
    </w:lvl>
    <w:lvl w:ilvl="3" w:tentative="0">
      <w:start w:val="1"/>
      <w:numFmt w:val="decimal"/>
      <w:lvlText w:val="%4."/>
      <w:lvlJc w:val="left"/>
      <w:pPr>
        <w:ind w:left="2211" w:hanging="420"/>
      </w:pPr>
    </w:lvl>
    <w:lvl w:ilvl="4" w:tentative="0">
      <w:start w:val="1"/>
      <w:numFmt w:val="lowerLetter"/>
      <w:lvlText w:val="%5)"/>
      <w:lvlJc w:val="left"/>
      <w:pPr>
        <w:ind w:left="2631" w:hanging="420"/>
      </w:pPr>
    </w:lvl>
    <w:lvl w:ilvl="5" w:tentative="0">
      <w:start w:val="1"/>
      <w:numFmt w:val="lowerRoman"/>
      <w:lvlText w:val="%6."/>
      <w:lvlJc w:val="right"/>
      <w:pPr>
        <w:ind w:left="3051" w:hanging="420"/>
      </w:pPr>
    </w:lvl>
    <w:lvl w:ilvl="6" w:tentative="0">
      <w:start w:val="1"/>
      <w:numFmt w:val="decimal"/>
      <w:lvlText w:val="%7."/>
      <w:lvlJc w:val="left"/>
      <w:pPr>
        <w:ind w:left="3471" w:hanging="420"/>
      </w:pPr>
    </w:lvl>
    <w:lvl w:ilvl="7" w:tentative="0">
      <w:start w:val="1"/>
      <w:numFmt w:val="lowerLetter"/>
      <w:lvlText w:val="%8)"/>
      <w:lvlJc w:val="left"/>
      <w:pPr>
        <w:ind w:left="3891" w:hanging="420"/>
      </w:pPr>
    </w:lvl>
    <w:lvl w:ilvl="8" w:tentative="0">
      <w:start w:val="1"/>
      <w:numFmt w:val="lowerRoman"/>
      <w:lvlText w:val="%9."/>
      <w:lvlJc w:val="right"/>
      <w:pPr>
        <w:ind w:left="4311" w:hanging="420"/>
      </w:pPr>
    </w:lvl>
  </w:abstractNum>
  <w:abstractNum w:abstractNumId="1">
    <w:nsid w:val="71D54D18"/>
    <w:multiLevelType w:val="multilevel"/>
    <w:tmpl w:val="71D54D18"/>
    <w:lvl w:ilvl="0" w:tentative="0">
      <w:start w:val="1"/>
      <w:numFmt w:val="upperLetter"/>
      <w:pStyle w:val="6"/>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7A4340BD"/>
    <w:multiLevelType w:val="multilevel"/>
    <w:tmpl w:val="7A4340BD"/>
    <w:lvl w:ilvl="0" w:tentative="0">
      <w:start w:val="1"/>
      <w:numFmt w:val="japaneseCounting"/>
      <w:lvlText w:val="（%1）"/>
      <w:lvlJc w:val="left"/>
      <w:pPr>
        <w:tabs>
          <w:tab w:val="left" w:pos="855"/>
        </w:tabs>
        <w:ind w:left="855" w:hanging="855"/>
      </w:pPr>
      <w:rPr>
        <w:rFonts w:hint="eastAsia"/>
      </w:rPr>
    </w:lvl>
    <w:lvl w:ilvl="1" w:tentative="0">
      <w:start w:val="3"/>
      <w:numFmt w:val="decimal"/>
      <w:lvlText w:val="%2."/>
      <w:lvlJc w:val="left"/>
      <w:pPr>
        <w:tabs>
          <w:tab w:val="left" w:pos="1125"/>
        </w:tabs>
        <w:ind w:left="1125" w:hanging="705"/>
      </w:pPr>
      <w:rPr>
        <w:rFonts w:hint="default"/>
      </w:rPr>
    </w:lvl>
    <w:lvl w:ilvl="2" w:tentative="0">
      <w:start w:val="1"/>
      <w:numFmt w:val="decimal"/>
      <w:lvlText w:val="%3."/>
      <w:lvlJc w:val="left"/>
      <w:pPr>
        <w:tabs>
          <w:tab w:val="left" w:pos="1740"/>
        </w:tabs>
        <w:ind w:left="1740" w:hanging="900"/>
      </w:pPr>
      <w:rPr>
        <w:rFonts w:hint="eastAsia"/>
      </w:rPr>
    </w:lvl>
    <w:lvl w:ilvl="3" w:tentative="0">
      <w:start w:val="1"/>
      <w:numFmt w:val="decimal"/>
      <w:lvlText w:val="（%4）"/>
      <w:lvlJc w:val="left"/>
      <w:pPr>
        <w:tabs>
          <w:tab w:val="left" w:pos="1980"/>
        </w:tabs>
        <w:ind w:left="1980" w:hanging="720"/>
      </w:pPr>
      <w:rPr>
        <w:rFonts w:hint="eastAsia" w:ascii="宋体" w:hAnsi="宋体" w:eastAsia="宋体"/>
        <w:sz w:val="24"/>
        <w:szCs w:val="24"/>
      </w:rPr>
    </w:lvl>
    <w:lvl w:ilvl="4" w:tentative="0">
      <w:start w:val="1"/>
      <w:numFmt w:val="lowerLetter"/>
      <w:lvlText w:val="%5."/>
      <w:lvlJc w:val="left"/>
      <w:pPr>
        <w:tabs>
          <w:tab w:val="left" w:pos="2040"/>
        </w:tabs>
        <w:ind w:left="2040" w:hanging="360"/>
      </w:pPr>
      <w:rPr>
        <w:rFonts w:hint="eastAsia"/>
      </w:rPr>
    </w:lvl>
    <w:lvl w:ilvl="5" w:tentative="0">
      <w:start w:val="1"/>
      <w:numFmt w:val="decimal"/>
      <w:lvlText w:val="%6．"/>
      <w:lvlJc w:val="left"/>
      <w:pPr>
        <w:tabs>
          <w:tab w:val="left" w:pos="2820"/>
        </w:tabs>
        <w:ind w:left="2820" w:hanging="720"/>
      </w:pPr>
      <w:rPr>
        <w:rFonts w:hint="eastAsia"/>
      </w:rPr>
    </w:lvl>
    <w:lvl w:ilvl="6" w:tentative="0">
      <w:start w:val="1"/>
      <w:numFmt w:val="japaneseCounting"/>
      <w:lvlText w:val="%7."/>
      <w:lvlJc w:val="left"/>
      <w:pPr>
        <w:ind w:left="2910" w:hanging="390"/>
      </w:pPr>
      <w:rPr>
        <w:rFonts w:hint="default"/>
      </w:r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dit="forms" w:enforcement="1" w:cryptProviderType="rsaFull" w:cryptAlgorithmClass="hash" w:cryptAlgorithmType="typeAny" w:cryptAlgorithmSid="4" w:cryptSpinCount="0" w:hash="ZK48HkKXUgWxkh8IfPPM6Idfd+Y=" w:salt="wIaeYKaAVg6ep49ywgsVTg=="/>
  <w:defaultTabStop w:val="425"/>
  <w:drawingGridHorizontalSpacing w:val="105"/>
  <w:drawingGridVerticalSpacing w:val="156"/>
  <w:noPunctuationKerning w:val="1"/>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wZWFlYzBhZDFiMzg1NjJjZTQxNGNhZjhjNGM2ZDkifQ=="/>
  </w:docVars>
  <w:rsids>
    <w:rsidRoot w:val="00DF573C"/>
    <w:rsid w:val="00000408"/>
    <w:rsid w:val="00000E40"/>
    <w:rsid w:val="00001DED"/>
    <w:rsid w:val="000023AA"/>
    <w:rsid w:val="000026B5"/>
    <w:rsid w:val="000029B5"/>
    <w:rsid w:val="00003BB7"/>
    <w:rsid w:val="00004E3C"/>
    <w:rsid w:val="00005574"/>
    <w:rsid w:val="0000589D"/>
    <w:rsid w:val="000059C6"/>
    <w:rsid w:val="000069D6"/>
    <w:rsid w:val="0000726C"/>
    <w:rsid w:val="00007427"/>
    <w:rsid w:val="00007660"/>
    <w:rsid w:val="000118EE"/>
    <w:rsid w:val="00011EBC"/>
    <w:rsid w:val="000126A1"/>
    <w:rsid w:val="00012D7D"/>
    <w:rsid w:val="00014E87"/>
    <w:rsid w:val="00014FB5"/>
    <w:rsid w:val="000164AA"/>
    <w:rsid w:val="00016DBE"/>
    <w:rsid w:val="000172BD"/>
    <w:rsid w:val="00017368"/>
    <w:rsid w:val="00017C56"/>
    <w:rsid w:val="0002155A"/>
    <w:rsid w:val="000217A2"/>
    <w:rsid w:val="00021884"/>
    <w:rsid w:val="0002193A"/>
    <w:rsid w:val="000222D9"/>
    <w:rsid w:val="000232F5"/>
    <w:rsid w:val="0002423E"/>
    <w:rsid w:val="000265F9"/>
    <w:rsid w:val="00026646"/>
    <w:rsid w:val="000266D3"/>
    <w:rsid w:val="00026886"/>
    <w:rsid w:val="00026C58"/>
    <w:rsid w:val="00030757"/>
    <w:rsid w:val="00030977"/>
    <w:rsid w:val="00030AC6"/>
    <w:rsid w:val="00030D54"/>
    <w:rsid w:val="0003134C"/>
    <w:rsid w:val="000313AC"/>
    <w:rsid w:val="00031E2B"/>
    <w:rsid w:val="00032238"/>
    <w:rsid w:val="0003230A"/>
    <w:rsid w:val="000328CA"/>
    <w:rsid w:val="00032F69"/>
    <w:rsid w:val="00033104"/>
    <w:rsid w:val="00033784"/>
    <w:rsid w:val="00034839"/>
    <w:rsid w:val="00035AD5"/>
    <w:rsid w:val="00035C98"/>
    <w:rsid w:val="00036F76"/>
    <w:rsid w:val="00037C89"/>
    <w:rsid w:val="00037D45"/>
    <w:rsid w:val="000408CC"/>
    <w:rsid w:val="000418F6"/>
    <w:rsid w:val="000423AC"/>
    <w:rsid w:val="00042939"/>
    <w:rsid w:val="00043134"/>
    <w:rsid w:val="0004390A"/>
    <w:rsid w:val="0004490D"/>
    <w:rsid w:val="00045174"/>
    <w:rsid w:val="000451E8"/>
    <w:rsid w:val="00046554"/>
    <w:rsid w:val="00046CEA"/>
    <w:rsid w:val="000474F8"/>
    <w:rsid w:val="00050560"/>
    <w:rsid w:val="00050701"/>
    <w:rsid w:val="0005148B"/>
    <w:rsid w:val="0005158A"/>
    <w:rsid w:val="000515A0"/>
    <w:rsid w:val="00051B1B"/>
    <w:rsid w:val="000524BA"/>
    <w:rsid w:val="00052884"/>
    <w:rsid w:val="00052A46"/>
    <w:rsid w:val="0005303D"/>
    <w:rsid w:val="0005467C"/>
    <w:rsid w:val="00054688"/>
    <w:rsid w:val="00056F7A"/>
    <w:rsid w:val="00056FFB"/>
    <w:rsid w:val="000571CE"/>
    <w:rsid w:val="000573DB"/>
    <w:rsid w:val="000607A3"/>
    <w:rsid w:val="000613C7"/>
    <w:rsid w:val="000620EA"/>
    <w:rsid w:val="000621E3"/>
    <w:rsid w:val="00063D30"/>
    <w:rsid w:val="000642DD"/>
    <w:rsid w:val="00064A4C"/>
    <w:rsid w:val="00064B3B"/>
    <w:rsid w:val="00064C9E"/>
    <w:rsid w:val="00065301"/>
    <w:rsid w:val="00066591"/>
    <w:rsid w:val="000677EB"/>
    <w:rsid w:val="000707C6"/>
    <w:rsid w:val="0007171A"/>
    <w:rsid w:val="00071BAE"/>
    <w:rsid w:val="00071CD2"/>
    <w:rsid w:val="00072C22"/>
    <w:rsid w:val="000730F6"/>
    <w:rsid w:val="00073744"/>
    <w:rsid w:val="0007382C"/>
    <w:rsid w:val="00073882"/>
    <w:rsid w:val="00075547"/>
    <w:rsid w:val="00075F99"/>
    <w:rsid w:val="00076405"/>
    <w:rsid w:val="00077338"/>
    <w:rsid w:val="00077A6F"/>
    <w:rsid w:val="00077D63"/>
    <w:rsid w:val="00080365"/>
    <w:rsid w:val="00080672"/>
    <w:rsid w:val="00082051"/>
    <w:rsid w:val="00082297"/>
    <w:rsid w:val="00082F26"/>
    <w:rsid w:val="0008315B"/>
    <w:rsid w:val="00083B7A"/>
    <w:rsid w:val="000841CE"/>
    <w:rsid w:val="0008460D"/>
    <w:rsid w:val="00084A8D"/>
    <w:rsid w:val="00085FA8"/>
    <w:rsid w:val="00086EA5"/>
    <w:rsid w:val="000874F2"/>
    <w:rsid w:val="0009040F"/>
    <w:rsid w:val="000924F5"/>
    <w:rsid w:val="000925D3"/>
    <w:rsid w:val="0009476C"/>
    <w:rsid w:val="00094DA3"/>
    <w:rsid w:val="00094F12"/>
    <w:rsid w:val="00095187"/>
    <w:rsid w:val="0009523D"/>
    <w:rsid w:val="00095D15"/>
    <w:rsid w:val="000961CA"/>
    <w:rsid w:val="000969C7"/>
    <w:rsid w:val="00096E1A"/>
    <w:rsid w:val="000A09A1"/>
    <w:rsid w:val="000A1CCD"/>
    <w:rsid w:val="000A3907"/>
    <w:rsid w:val="000A3BA5"/>
    <w:rsid w:val="000A49FC"/>
    <w:rsid w:val="000A4B00"/>
    <w:rsid w:val="000A511D"/>
    <w:rsid w:val="000A5807"/>
    <w:rsid w:val="000A63D0"/>
    <w:rsid w:val="000A68B0"/>
    <w:rsid w:val="000A7AB5"/>
    <w:rsid w:val="000A7AF1"/>
    <w:rsid w:val="000A7DDE"/>
    <w:rsid w:val="000B0E91"/>
    <w:rsid w:val="000B2126"/>
    <w:rsid w:val="000B2466"/>
    <w:rsid w:val="000B5069"/>
    <w:rsid w:val="000B5383"/>
    <w:rsid w:val="000B5A7E"/>
    <w:rsid w:val="000B6EB9"/>
    <w:rsid w:val="000B706D"/>
    <w:rsid w:val="000B71C0"/>
    <w:rsid w:val="000B769A"/>
    <w:rsid w:val="000B77DC"/>
    <w:rsid w:val="000B7C27"/>
    <w:rsid w:val="000C0BDE"/>
    <w:rsid w:val="000C1B0A"/>
    <w:rsid w:val="000C1C48"/>
    <w:rsid w:val="000C400A"/>
    <w:rsid w:val="000C40E9"/>
    <w:rsid w:val="000C51BE"/>
    <w:rsid w:val="000C5A36"/>
    <w:rsid w:val="000C66C4"/>
    <w:rsid w:val="000C6992"/>
    <w:rsid w:val="000C6B6A"/>
    <w:rsid w:val="000C6B7F"/>
    <w:rsid w:val="000C6C1C"/>
    <w:rsid w:val="000C6E6E"/>
    <w:rsid w:val="000C7276"/>
    <w:rsid w:val="000C7548"/>
    <w:rsid w:val="000C7A1C"/>
    <w:rsid w:val="000C7FC1"/>
    <w:rsid w:val="000D03BE"/>
    <w:rsid w:val="000D0607"/>
    <w:rsid w:val="000D1BAC"/>
    <w:rsid w:val="000D2B82"/>
    <w:rsid w:val="000D2F4A"/>
    <w:rsid w:val="000D3120"/>
    <w:rsid w:val="000D483E"/>
    <w:rsid w:val="000D498B"/>
    <w:rsid w:val="000D4BAE"/>
    <w:rsid w:val="000D613E"/>
    <w:rsid w:val="000D6232"/>
    <w:rsid w:val="000D7255"/>
    <w:rsid w:val="000D7F0E"/>
    <w:rsid w:val="000E02A1"/>
    <w:rsid w:val="000E074B"/>
    <w:rsid w:val="000E0F49"/>
    <w:rsid w:val="000E16A6"/>
    <w:rsid w:val="000E172F"/>
    <w:rsid w:val="000E1B04"/>
    <w:rsid w:val="000E3E0F"/>
    <w:rsid w:val="000E4A23"/>
    <w:rsid w:val="000E5910"/>
    <w:rsid w:val="000E6272"/>
    <w:rsid w:val="000E6752"/>
    <w:rsid w:val="000E6F5C"/>
    <w:rsid w:val="000E7599"/>
    <w:rsid w:val="000E75B2"/>
    <w:rsid w:val="000E76B9"/>
    <w:rsid w:val="000E7E8A"/>
    <w:rsid w:val="000F165F"/>
    <w:rsid w:val="000F2075"/>
    <w:rsid w:val="000F2AAB"/>
    <w:rsid w:val="000F3BB0"/>
    <w:rsid w:val="000F407E"/>
    <w:rsid w:val="000F598E"/>
    <w:rsid w:val="000F5D5C"/>
    <w:rsid w:val="000F61DF"/>
    <w:rsid w:val="000F6B89"/>
    <w:rsid w:val="000F7297"/>
    <w:rsid w:val="000F773D"/>
    <w:rsid w:val="00100FDF"/>
    <w:rsid w:val="0010137B"/>
    <w:rsid w:val="00101B14"/>
    <w:rsid w:val="00101D2F"/>
    <w:rsid w:val="0010212F"/>
    <w:rsid w:val="001023C7"/>
    <w:rsid w:val="001029C3"/>
    <w:rsid w:val="00102A45"/>
    <w:rsid w:val="00102CAE"/>
    <w:rsid w:val="0010332A"/>
    <w:rsid w:val="0010442D"/>
    <w:rsid w:val="00104FF7"/>
    <w:rsid w:val="001051EC"/>
    <w:rsid w:val="0010522A"/>
    <w:rsid w:val="001054BF"/>
    <w:rsid w:val="001058E5"/>
    <w:rsid w:val="001062AE"/>
    <w:rsid w:val="0010637F"/>
    <w:rsid w:val="001064B3"/>
    <w:rsid w:val="0010689E"/>
    <w:rsid w:val="00106F76"/>
    <w:rsid w:val="00107693"/>
    <w:rsid w:val="00107E30"/>
    <w:rsid w:val="00110E1B"/>
    <w:rsid w:val="00110F12"/>
    <w:rsid w:val="0011100F"/>
    <w:rsid w:val="00111364"/>
    <w:rsid w:val="00111D83"/>
    <w:rsid w:val="00112BE9"/>
    <w:rsid w:val="00113758"/>
    <w:rsid w:val="00113F36"/>
    <w:rsid w:val="001140F9"/>
    <w:rsid w:val="0011509F"/>
    <w:rsid w:val="001154DC"/>
    <w:rsid w:val="0011639E"/>
    <w:rsid w:val="001168E3"/>
    <w:rsid w:val="00117497"/>
    <w:rsid w:val="001175A3"/>
    <w:rsid w:val="001200CC"/>
    <w:rsid w:val="0012021D"/>
    <w:rsid w:val="001204B9"/>
    <w:rsid w:val="0012076F"/>
    <w:rsid w:val="00121623"/>
    <w:rsid w:val="00121AC0"/>
    <w:rsid w:val="00121DA1"/>
    <w:rsid w:val="00121F3C"/>
    <w:rsid w:val="00122650"/>
    <w:rsid w:val="0012305E"/>
    <w:rsid w:val="00123423"/>
    <w:rsid w:val="00124A12"/>
    <w:rsid w:val="00124E8E"/>
    <w:rsid w:val="00125237"/>
    <w:rsid w:val="00125B46"/>
    <w:rsid w:val="00126236"/>
    <w:rsid w:val="00126347"/>
    <w:rsid w:val="00126844"/>
    <w:rsid w:val="00126F99"/>
    <w:rsid w:val="001270B8"/>
    <w:rsid w:val="00127204"/>
    <w:rsid w:val="001279F9"/>
    <w:rsid w:val="00127C23"/>
    <w:rsid w:val="001300C2"/>
    <w:rsid w:val="0013161B"/>
    <w:rsid w:val="00131AAA"/>
    <w:rsid w:val="00133274"/>
    <w:rsid w:val="00133FE9"/>
    <w:rsid w:val="00136774"/>
    <w:rsid w:val="00136E96"/>
    <w:rsid w:val="0013733C"/>
    <w:rsid w:val="00137622"/>
    <w:rsid w:val="00137CBE"/>
    <w:rsid w:val="00140943"/>
    <w:rsid w:val="00140E57"/>
    <w:rsid w:val="001418EF"/>
    <w:rsid w:val="0014246E"/>
    <w:rsid w:val="001425FE"/>
    <w:rsid w:val="001426E4"/>
    <w:rsid w:val="0014328B"/>
    <w:rsid w:val="00143535"/>
    <w:rsid w:val="00143BCD"/>
    <w:rsid w:val="00143C09"/>
    <w:rsid w:val="001446D4"/>
    <w:rsid w:val="00145315"/>
    <w:rsid w:val="001458FA"/>
    <w:rsid w:val="00146C47"/>
    <w:rsid w:val="00146E20"/>
    <w:rsid w:val="00147958"/>
    <w:rsid w:val="00150C24"/>
    <w:rsid w:val="00150F8A"/>
    <w:rsid w:val="0015182E"/>
    <w:rsid w:val="00152F85"/>
    <w:rsid w:val="00153777"/>
    <w:rsid w:val="0015523C"/>
    <w:rsid w:val="00156D1E"/>
    <w:rsid w:val="00157101"/>
    <w:rsid w:val="00157FEA"/>
    <w:rsid w:val="00161252"/>
    <w:rsid w:val="00161B33"/>
    <w:rsid w:val="00162308"/>
    <w:rsid w:val="001631E5"/>
    <w:rsid w:val="00163D20"/>
    <w:rsid w:val="00163E30"/>
    <w:rsid w:val="00165152"/>
    <w:rsid w:val="00165B69"/>
    <w:rsid w:val="00165C27"/>
    <w:rsid w:val="00165F94"/>
    <w:rsid w:val="001661D9"/>
    <w:rsid w:val="00166680"/>
    <w:rsid w:val="00166984"/>
    <w:rsid w:val="00166C2D"/>
    <w:rsid w:val="001678A7"/>
    <w:rsid w:val="0017040E"/>
    <w:rsid w:val="00170CAE"/>
    <w:rsid w:val="001712B2"/>
    <w:rsid w:val="0017184A"/>
    <w:rsid w:val="00171A9B"/>
    <w:rsid w:val="001720E7"/>
    <w:rsid w:val="00172D45"/>
    <w:rsid w:val="00172E82"/>
    <w:rsid w:val="001737DA"/>
    <w:rsid w:val="0017421A"/>
    <w:rsid w:val="00175782"/>
    <w:rsid w:val="001758E6"/>
    <w:rsid w:val="00176158"/>
    <w:rsid w:val="001767CD"/>
    <w:rsid w:val="0017680A"/>
    <w:rsid w:val="00176B34"/>
    <w:rsid w:val="001801BF"/>
    <w:rsid w:val="00180FA8"/>
    <w:rsid w:val="0018114E"/>
    <w:rsid w:val="00182D09"/>
    <w:rsid w:val="00182F84"/>
    <w:rsid w:val="00183B52"/>
    <w:rsid w:val="00183EFD"/>
    <w:rsid w:val="00184043"/>
    <w:rsid w:val="001843C1"/>
    <w:rsid w:val="00184A56"/>
    <w:rsid w:val="001858B8"/>
    <w:rsid w:val="0018599C"/>
    <w:rsid w:val="00186C58"/>
    <w:rsid w:val="00187595"/>
    <w:rsid w:val="0019022E"/>
    <w:rsid w:val="00190883"/>
    <w:rsid w:val="00191385"/>
    <w:rsid w:val="00191CFF"/>
    <w:rsid w:val="00192136"/>
    <w:rsid w:val="00192EB6"/>
    <w:rsid w:val="00192F50"/>
    <w:rsid w:val="00193614"/>
    <w:rsid w:val="001937FA"/>
    <w:rsid w:val="001941FE"/>
    <w:rsid w:val="001955FE"/>
    <w:rsid w:val="00195A54"/>
    <w:rsid w:val="00196335"/>
    <w:rsid w:val="001973C7"/>
    <w:rsid w:val="001A0154"/>
    <w:rsid w:val="001A0431"/>
    <w:rsid w:val="001A091C"/>
    <w:rsid w:val="001A123A"/>
    <w:rsid w:val="001A1B11"/>
    <w:rsid w:val="001A23D3"/>
    <w:rsid w:val="001A37A8"/>
    <w:rsid w:val="001A3AC2"/>
    <w:rsid w:val="001A4498"/>
    <w:rsid w:val="001A4531"/>
    <w:rsid w:val="001A4A93"/>
    <w:rsid w:val="001A4B19"/>
    <w:rsid w:val="001A4B2C"/>
    <w:rsid w:val="001A6D69"/>
    <w:rsid w:val="001A7936"/>
    <w:rsid w:val="001A7B4E"/>
    <w:rsid w:val="001B16A1"/>
    <w:rsid w:val="001B2620"/>
    <w:rsid w:val="001B2ABE"/>
    <w:rsid w:val="001B31E0"/>
    <w:rsid w:val="001B39A2"/>
    <w:rsid w:val="001B4529"/>
    <w:rsid w:val="001B452B"/>
    <w:rsid w:val="001B534D"/>
    <w:rsid w:val="001B62FF"/>
    <w:rsid w:val="001B6F4A"/>
    <w:rsid w:val="001B7C68"/>
    <w:rsid w:val="001C00C9"/>
    <w:rsid w:val="001C028B"/>
    <w:rsid w:val="001C03AE"/>
    <w:rsid w:val="001C1CC1"/>
    <w:rsid w:val="001C2180"/>
    <w:rsid w:val="001C233C"/>
    <w:rsid w:val="001C2AA3"/>
    <w:rsid w:val="001C3236"/>
    <w:rsid w:val="001C354B"/>
    <w:rsid w:val="001C4311"/>
    <w:rsid w:val="001C4787"/>
    <w:rsid w:val="001C47D6"/>
    <w:rsid w:val="001C578A"/>
    <w:rsid w:val="001C57D0"/>
    <w:rsid w:val="001C61D4"/>
    <w:rsid w:val="001C7255"/>
    <w:rsid w:val="001C76B0"/>
    <w:rsid w:val="001C7EF4"/>
    <w:rsid w:val="001D0829"/>
    <w:rsid w:val="001D1AF6"/>
    <w:rsid w:val="001D200A"/>
    <w:rsid w:val="001D231D"/>
    <w:rsid w:val="001D2F7B"/>
    <w:rsid w:val="001D4B40"/>
    <w:rsid w:val="001D4F97"/>
    <w:rsid w:val="001D53F7"/>
    <w:rsid w:val="001D6278"/>
    <w:rsid w:val="001D649E"/>
    <w:rsid w:val="001D64D7"/>
    <w:rsid w:val="001D72D5"/>
    <w:rsid w:val="001D7C8B"/>
    <w:rsid w:val="001E005D"/>
    <w:rsid w:val="001E23FE"/>
    <w:rsid w:val="001E29CD"/>
    <w:rsid w:val="001E3355"/>
    <w:rsid w:val="001E45DF"/>
    <w:rsid w:val="001E465A"/>
    <w:rsid w:val="001E5091"/>
    <w:rsid w:val="001E512E"/>
    <w:rsid w:val="001E5B63"/>
    <w:rsid w:val="001E5E36"/>
    <w:rsid w:val="001E68A6"/>
    <w:rsid w:val="001F01AD"/>
    <w:rsid w:val="001F0529"/>
    <w:rsid w:val="001F0933"/>
    <w:rsid w:val="001F0B35"/>
    <w:rsid w:val="001F0CE1"/>
    <w:rsid w:val="001F1262"/>
    <w:rsid w:val="001F1509"/>
    <w:rsid w:val="001F177D"/>
    <w:rsid w:val="001F3080"/>
    <w:rsid w:val="001F4444"/>
    <w:rsid w:val="001F503F"/>
    <w:rsid w:val="001F675D"/>
    <w:rsid w:val="001F79A7"/>
    <w:rsid w:val="001F7B64"/>
    <w:rsid w:val="001F7F0D"/>
    <w:rsid w:val="00200760"/>
    <w:rsid w:val="00200B59"/>
    <w:rsid w:val="00201206"/>
    <w:rsid w:val="0020191A"/>
    <w:rsid w:val="00201C37"/>
    <w:rsid w:val="00202455"/>
    <w:rsid w:val="00202C79"/>
    <w:rsid w:val="002034AF"/>
    <w:rsid w:val="00203676"/>
    <w:rsid w:val="002042E1"/>
    <w:rsid w:val="00204335"/>
    <w:rsid w:val="00204BEA"/>
    <w:rsid w:val="00205A15"/>
    <w:rsid w:val="00206068"/>
    <w:rsid w:val="002063D0"/>
    <w:rsid w:val="002069BD"/>
    <w:rsid w:val="00207649"/>
    <w:rsid w:val="002076AB"/>
    <w:rsid w:val="00210AE0"/>
    <w:rsid w:val="00210C8E"/>
    <w:rsid w:val="00211B08"/>
    <w:rsid w:val="00211C54"/>
    <w:rsid w:val="00211C9A"/>
    <w:rsid w:val="00213094"/>
    <w:rsid w:val="00214D6D"/>
    <w:rsid w:val="00214E13"/>
    <w:rsid w:val="00216060"/>
    <w:rsid w:val="002161B2"/>
    <w:rsid w:val="00216406"/>
    <w:rsid w:val="0021691D"/>
    <w:rsid w:val="00216ED1"/>
    <w:rsid w:val="00220000"/>
    <w:rsid w:val="0022069E"/>
    <w:rsid w:val="0022189B"/>
    <w:rsid w:val="00222E28"/>
    <w:rsid w:val="00222F82"/>
    <w:rsid w:val="00223601"/>
    <w:rsid w:val="00223C18"/>
    <w:rsid w:val="00223E9B"/>
    <w:rsid w:val="0022435D"/>
    <w:rsid w:val="002258CA"/>
    <w:rsid w:val="00225C15"/>
    <w:rsid w:val="00225DD9"/>
    <w:rsid w:val="00226336"/>
    <w:rsid w:val="00226754"/>
    <w:rsid w:val="00227357"/>
    <w:rsid w:val="00227561"/>
    <w:rsid w:val="00227652"/>
    <w:rsid w:val="00227FCF"/>
    <w:rsid w:val="002306CC"/>
    <w:rsid w:val="00230792"/>
    <w:rsid w:val="00231580"/>
    <w:rsid w:val="0023159F"/>
    <w:rsid w:val="00231FA2"/>
    <w:rsid w:val="002336E1"/>
    <w:rsid w:val="00233CAE"/>
    <w:rsid w:val="00234A0C"/>
    <w:rsid w:val="00234F5B"/>
    <w:rsid w:val="002355B8"/>
    <w:rsid w:val="00235F38"/>
    <w:rsid w:val="00236D85"/>
    <w:rsid w:val="0023725D"/>
    <w:rsid w:val="00240165"/>
    <w:rsid w:val="00240325"/>
    <w:rsid w:val="002416CE"/>
    <w:rsid w:val="00242164"/>
    <w:rsid w:val="00242230"/>
    <w:rsid w:val="00242D29"/>
    <w:rsid w:val="00242F19"/>
    <w:rsid w:val="0024398A"/>
    <w:rsid w:val="00243B99"/>
    <w:rsid w:val="00243C79"/>
    <w:rsid w:val="00243F50"/>
    <w:rsid w:val="00245B79"/>
    <w:rsid w:val="00245DAD"/>
    <w:rsid w:val="00246146"/>
    <w:rsid w:val="002465FE"/>
    <w:rsid w:val="00246732"/>
    <w:rsid w:val="00246C9C"/>
    <w:rsid w:val="0024701B"/>
    <w:rsid w:val="00250A0C"/>
    <w:rsid w:val="00250B89"/>
    <w:rsid w:val="00250EA7"/>
    <w:rsid w:val="00251435"/>
    <w:rsid w:val="0025332A"/>
    <w:rsid w:val="00253CCF"/>
    <w:rsid w:val="00254666"/>
    <w:rsid w:val="00254EEE"/>
    <w:rsid w:val="0025502C"/>
    <w:rsid w:val="00255F4E"/>
    <w:rsid w:val="0025620E"/>
    <w:rsid w:val="0025678A"/>
    <w:rsid w:val="00256B70"/>
    <w:rsid w:val="00256F57"/>
    <w:rsid w:val="0026133B"/>
    <w:rsid w:val="002613C6"/>
    <w:rsid w:val="0026191A"/>
    <w:rsid w:val="002622D2"/>
    <w:rsid w:val="00262307"/>
    <w:rsid w:val="00262466"/>
    <w:rsid w:val="0026355D"/>
    <w:rsid w:val="00263BA8"/>
    <w:rsid w:val="00263CFC"/>
    <w:rsid w:val="0026406E"/>
    <w:rsid w:val="0026434F"/>
    <w:rsid w:val="002650E6"/>
    <w:rsid w:val="00265617"/>
    <w:rsid w:val="00265A48"/>
    <w:rsid w:val="0026667A"/>
    <w:rsid w:val="0026693D"/>
    <w:rsid w:val="002670B4"/>
    <w:rsid w:val="002677FF"/>
    <w:rsid w:val="00270390"/>
    <w:rsid w:val="002705F1"/>
    <w:rsid w:val="00271F0F"/>
    <w:rsid w:val="002727D6"/>
    <w:rsid w:val="00272C2A"/>
    <w:rsid w:val="00273060"/>
    <w:rsid w:val="00273A9C"/>
    <w:rsid w:val="00273B74"/>
    <w:rsid w:val="0027438B"/>
    <w:rsid w:val="002747B3"/>
    <w:rsid w:val="00274814"/>
    <w:rsid w:val="00274D40"/>
    <w:rsid w:val="00275A26"/>
    <w:rsid w:val="00275BCA"/>
    <w:rsid w:val="002762F6"/>
    <w:rsid w:val="00276305"/>
    <w:rsid w:val="0027640E"/>
    <w:rsid w:val="0027688A"/>
    <w:rsid w:val="0027763C"/>
    <w:rsid w:val="0027767E"/>
    <w:rsid w:val="002800E0"/>
    <w:rsid w:val="00280883"/>
    <w:rsid w:val="0028097D"/>
    <w:rsid w:val="00280E0B"/>
    <w:rsid w:val="002810F2"/>
    <w:rsid w:val="002817D9"/>
    <w:rsid w:val="00281A78"/>
    <w:rsid w:val="00281C27"/>
    <w:rsid w:val="00282126"/>
    <w:rsid w:val="00283624"/>
    <w:rsid w:val="002836F9"/>
    <w:rsid w:val="0028380F"/>
    <w:rsid w:val="0028392A"/>
    <w:rsid w:val="00284B1C"/>
    <w:rsid w:val="00285B95"/>
    <w:rsid w:val="002866D9"/>
    <w:rsid w:val="00287ABC"/>
    <w:rsid w:val="00287FF0"/>
    <w:rsid w:val="00290340"/>
    <w:rsid w:val="00290959"/>
    <w:rsid w:val="0029136A"/>
    <w:rsid w:val="00291B7D"/>
    <w:rsid w:val="002924EC"/>
    <w:rsid w:val="00292B86"/>
    <w:rsid w:val="00292C26"/>
    <w:rsid w:val="00292D5F"/>
    <w:rsid w:val="002937B3"/>
    <w:rsid w:val="0029405C"/>
    <w:rsid w:val="002940D3"/>
    <w:rsid w:val="00294150"/>
    <w:rsid w:val="00294592"/>
    <w:rsid w:val="00294711"/>
    <w:rsid w:val="00294798"/>
    <w:rsid w:val="00294A7E"/>
    <w:rsid w:val="002959CD"/>
    <w:rsid w:val="00295A07"/>
    <w:rsid w:val="0029708B"/>
    <w:rsid w:val="00297AB4"/>
    <w:rsid w:val="00297AE8"/>
    <w:rsid w:val="002A02AC"/>
    <w:rsid w:val="002A0D9D"/>
    <w:rsid w:val="002A19C8"/>
    <w:rsid w:val="002A1C60"/>
    <w:rsid w:val="002A3312"/>
    <w:rsid w:val="002A3434"/>
    <w:rsid w:val="002A4564"/>
    <w:rsid w:val="002A4B0E"/>
    <w:rsid w:val="002A4CF8"/>
    <w:rsid w:val="002A570F"/>
    <w:rsid w:val="002A5F80"/>
    <w:rsid w:val="002A6278"/>
    <w:rsid w:val="002B0936"/>
    <w:rsid w:val="002B117A"/>
    <w:rsid w:val="002B19C5"/>
    <w:rsid w:val="002B1D25"/>
    <w:rsid w:val="002B2161"/>
    <w:rsid w:val="002B3464"/>
    <w:rsid w:val="002B3E6D"/>
    <w:rsid w:val="002B4AFB"/>
    <w:rsid w:val="002B4C35"/>
    <w:rsid w:val="002B5502"/>
    <w:rsid w:val="002B589E"/>
    <w:rsid w:val="002B5B69"/>
    <w:rsid w:val="002B648F"/>
    <w:rsid w:val="002B6DD9"/>
    <w:rsid w:val="002C0484"/>
    <w:rsid w:val="002C10B8"/>
    <w:rsid w:val="002C1492"/>
    <w:rsid w:val="002C180B"/>
    <w:rsid w:val="002C1C0C"/>
    <w:rsid w:val="002C1F5D"/>
    <w:rsid w:val="002C21EA"/>
    <w:rsid w:val="002C29F8"/>
    <w:rsid w:val="002C451A"/>
    <w:rsid w:val="002C45F4"/>
    <w:rsid w:val="002C572D"/>
    <w:rsid w:val="002C592D"/>
    <w:rsid w:val="002C60F2"/>
    <w:rsid w:val="002C69C3"/>
    <w:rsid w:val="002D0A3A"/>
    <w:rsid w:val="002D0FC5"/>
    <w:rsid w:val="002D1E83"/>
    <w:rsid w:val="002D28C4"/>
    <w:rsid w:val="002D29E6"/>
    <w:rsid w:val="002D3A8D"/>
    <w:rsid w:val="002D3B6F"/>
    <w:rsid w:val="002D42A1"/>
    <w:rsid w:val="002D441C"/>
    <w:rsid w:val="002D47E4"/>
    <w:rsid w:val="002D4C93"/>
    <w:rsid w:val="002D5717"/>
    <w:rsid w:val="002D6946"/>
    <w:rsid w:val="002E1C6B"/>
    <w:rsid w:val="002E1CA2"/>
    <w:rsid w:val="002E21C5"/>
    <w:rsid w:val="002E3548"/>
    <w:rsid w:val="002E4836"/>
    <w:rsid w:val="002E4AF7"/>
    <w:rsid w:val="002E514D"/>
    <w:rsid w:val="002E5AAF"/>
    <w:rsid w:val="002E5FDB"/>
    <w:rsid w:val="002E631F"/>
    <w:rsid w:val="002E640D"/>
    <w:rsid w:val="002E72B1"/>
    <w:rsid w:val="002E7666"/>
    <w:rsid w:val="002E7ABD"/>
    <w:rsid w:val="002E7D55"/>
    <w:rsid w:val="002E7D83"/>
    <w:rsid w:val="002E7F68"/>
    <w:rsid w:val="002F01C7"/>
    <w:rsid w:val="002F13A3"/>
    <w:rsid w:val="002F1A23"/>
    <w:rsid w:val="002F4399"/>
    <w:rsid w:val="002F5BED"/>
    <w:rsid w:val="002F696D"/>
    <w:rsid w:val="002F7A10"/>
    <w:rsid w:val="0030025F"/>
    <w:rsid w:val="00301242"/>
    <w:rsid w:val="00301385"/>
    <w:rsid w:val="00301FF3"/>
    <w:rsid w:val="003028C7"/>
    <w:rsid w:val="003038E2"/>
    <w:rsid w:val="00303F2E"/>
    <w:rsid w:val="00310077"/>
    <w:rsid w:val="0031013E"/>
    <w:rsid w:val="00310698"/>
    <w:rsid w:val="00311450"/>
    <w:rsid w:val="00311A45"/>
    <w:rsid w:val="00313114"/>
    <w:rsid w:val="00314863"/>
    <w:rsid w:val="00316692"/>
    <w:rsid w:val="00316F46"/>
    <w:rsid w:val="003176C9"/>
    <w:rsid w:val="00317B86"/>
    <w:rsid w:val="00317F59"/>
    <w:rsid w:val="00321432"/>
    <w:rsid w:val="003217A0"/>
    <w:rsid w:val="003219AE"/>
    <w:rsid w:val="00322309"/>
    <w:rsid w:val="00322742"/>
    <w:rsid w:val="003231C6"/>
    <w:rsid w:val="00323419"/>
    <w:rsid w:val="00323429"/>
    <w:rsid w:val="00323B91"/>
    <w:rsid w:val="0032513E"/>
    <w:rsid w:val="0032643C"/>
    <w:rsid w:val="003265C7"/>
    <w:rsid w:val="00326F45"/>
    <w:rsid w:val="003276AA"/>
    <w:rsid w:val="003276E0"/>
    <w:rsid w:val="00327788"/>
    <w:rsid w:val="003304F7"/>
    <w:rsid w:val="003307C9"/>
    <w:rsid w:val="003312C6"/>
    <w:rsid w:val="0033156D"/>
    <w:rsid w:val="00332244"/>
    <w:rsid w:val="003323DF"/>
    <w:rsid w:val="00334501"/>
    <w:rsid w:val="00334A14"/>
    <w:rsid w:val="00334D03"/>
    <w:rsid w:val="0033560C"/>
    <w:rsid w:val="00335C78"/>
    <w:rsid w:val="00335D42"/>
    <w:rsid w:val="00336133"/>
    <w:rsid w:val="0033631E"/>
    <w:rsid w:val="00336B4B"/>
    <w:rsid w:val="00336DDF"/>
    <w:rsid w:val="00337071"/>
    <w:rsid w:val="00337777"/>
    <w:rsid w:val="0033785F"/>
    <w:rsid w:val="00340DCE"/>
    <w:rsid w:val="0034171B"/>
    <w:rsid w:val="00341A02"/>
    <w:rsid w:val="00342056"/>
    <w:rsid w:val="00342D3A"/>
    <w:rsid w:val="00342F05"/>
    <w:rsid w:val="003435C2"/>
    <w:rsid w:val="00344266"/>
    <w:rsid w:val="003443FF"/>
    <w:rsid w:val="00344D68"/>
    <w:rsid w:val="003462CF"/>
    <w:rsid w:val="00346730"/>
    <w:rsid w:val="003469AE"/>
    <w:rsid w:val="00346C7C"/>
    <w:rsid w:val="00347182"/>
    <w:rsid w:val="0034721D"/>
    <w:rsid w:val="00347A14"/>
    <w:rsid w:val="00347C62"/>
    <w:rsid w:val="003506E6"/>
    <w:rsid w:val="00350C59"/>
    <w:rsid w:val="00351578"/>
    <w:rsid w:val="003520E7"/>
    <w:rsid w:val="003532AA"/>
    <w:rsid w:val="00353F4F"/>
    <w:rsid w:val="003547B5"/>
    <w:rsid w:val="00354AE8"/>
    <w:rsid w:val="003559A4"/>
    <w:rsid w:val="00355AED"/>
    <w:rsid w:val="00357223"/>
    <w:rsid w:val="00357862"/>
    <w:rsid w:val="00357DFC"/>
    <w:rsid w:val="003600F7"/>
    <w:rsid w:val="003601EB"/>
    <w:rsid w:val="00360F50"/>
    <w:rsid w:val="0036191A"/>
    <w:rsid w:val="003624E5"/>
    <w:rsid w:val="0036316D"/>
    <w:rsid w:val="0036363A"/>
    <w:rsid w:val="00363D35"/>
    <w:rsid w:val="00363D7C"/>
    <w:rsid w:val="003640EE"/>
    <w:rsid w:val="003642BA"/>
    <w:rsid w:val="0036488F"/>
    <w:rsid w:val="00364CD0"/>
    <w:rsid w:val="00364DE7"/>
    <w:rsid w:val="003653D0"/>
    <w:rsid w:val="00365647"/>
    <w:rsid w:val="003656F6"/>
    <w:rsid w:val="003659AF"/>
    <w:rsid w:val="00366302"/>
    <w:rsid w:val="003669F2"/>
    <w:rsid w:val="00366C7D"/>
    <w:rsid w:val="003673F5"/>
    <w:rsid w:val="00367507"/>
    <w:rsid w:val="00367CA1"/>
    <w:rsid w:val="003722D5"/>
    <w:rsid w:val="003726B8"/>
    <w:rsid w:val="00372D62"/>
    <w:rsid w:val="0037389B"/>
    <w:rsid w:val="003744C5"/>
    <w:rsid w:val="00376B6F"/>
    <w:rsid w:val="00376DC6"/>
    <w:rsid w:val="0037765C"/>
    <w:rsid w:val="0037776E"/>
    <w:rsid w:val="00380653"/>
    <w:rsid w:val="003808D1"/>
    <w:rsid w:val="00380A6B"/>
    <w:rsid w:val="00381258"/>
    <w:rsid w:val="00381E18"/>
    <w:rsid w:val="00382273"/>
    <w:rsid w:val="003829CD"/>
    <w:rsid w:val="003836F2"/>
    <w:rsid w:val="003856B8"/>
    <w:rsid w:val="00385DAD"/>
    <w:rsid w:val="00386428"/>
    <w:rsid w:val="003864F7"/>
    <w:rsid w:val="00387837"/>
    <w:rsid w:val="003903D6"/>
    <w:rsid w:val="003904BB"/>
    <w:rsid w:val="00390E72"/>
    <w:rsid w:val="00391569"/>
    <w:rsid w:val="00391A05"/>
    <w:rsid w:val="00391C5D"/>
    <w:rsid w:val="00391C98"/>
    <w:rsid w:val="00391C9F"/>
    <w:rsid w:val="003923AF"/>
    <w:rsid w:val="00393D36"/>
    <w:rsid w:val="003952AF"/>
    <w:rsid w:val="003959A0"/>
    <w:rsid w:val="003963C7"/>
    <w:rsid w:val="0039647A"/>
    <w:rsid w:val="003A08FE"/>
    <w:rsid w:val="003A0DFA"/>
    <w:rsid w:val="003A272E"/>
    <w:rsid w:val="003A40CB"/>
    <w:rsid w:val="003A6478"/>
    <w:rsid w:val="003A68AB"/>
    <w:rsid w:val="003A69E6"/>
    <w:rsid w:val="003A7013"/>
    <w:rsid w:val="003A7133"/>
    <w:rsid w:val="003A7E78"/>
    <w:rsid w:val="003B0204"/>
    <w:rsid w:val="003B0E3A"/>
    <w:rsid w:val="003B15E1"/>
    <w:rsid w:val="003B1936"/>
    <w:rsid w:val="003B1B8A"/>
    <w:rsid w:val="003B2635"/>
    <w:rsid w:val="003B330D"/>
    <w:rsid w:val="003B6B51"/>
    <w:rsid w:val="003B6F45"/>
    <w:rsid w:val="003B769B"/>
    <w:rsid w:val="003B7E4B"/>
    <w:rsid w:val="003C0051"/>
    <w:rsid w:val="003C01F1"/>
    <w:rsid w:val="003C033A"/>
    <w:rsid w:val="003C045E"/>
    <w:rsid w:val="003C0B59"/>
    <w:rsid w:val="003C1A5F"/>
    <w:rsid w:val="003C1D35"/>
    <w:rsid w:val="003C1FB9"/>
    <w:rsid w:val="003C2115"/>
    <w:rsid w:val="003C2577"/>
    <w:rsid w:val="003C2BF4"/>
    <w:rsid w:val="003C3260"/>
    <w:rsid w:val="003C4407"/>
    <w:rsid w:val="003C4EFA"/>
    <w:rsid w:val="003C63AE"/>
    <w:rsid w:val="003C64AC"/>
    <w:rsid w:val="003C664B"/>
    <w:rsid w:val="003C74C4"/>
    <w:rsid w:val="003C7A6D"/>
    <w:rsid w:val="003D1172"/>
    <w:rsid w:val="003D1291"/>
    <w:rsid w:val="003D1756"/>
    <w:rsid w:val="003D1D25"/>
    <w:rsid w:val="003D1D61"/>
    <w:rsid w:val="003D3581"/>
    <w:rsid w:val="003D39AD"/>
    <w:rsid w:val="003D422B"/>
    <w:rsid w:val="003D432A"/>
    <w:rsid w:val="003D4770"/>
    <w:rsid w:val="003D4AE6"/>
    <w:rsid w:val="003D4CE1"/>
    <w:rsid w:val="003D54DA"/>
    <w:rsid w:val="003D61C4"/>
    <w:rsid w:val="003D62D2"/>
    <w:rsid w:val="003D77F5"/>
    <w:rsid w:val="003E05C1"/>
    <w:rsid w:val="003E12ED"/>
    <w:rsid w:val="003E1E77"/>
    <w:rsid w:val="003E2369"/>
    <w:rsid w:val="003E2DDC"/>
    <w:rsid w:val="003E2E4E"/>
    <w:rsid w:val="003E3642"/>
    <w:rsid w:val="003E4039"/>
    <w:rsid w:val="003E58C6"/>
    <w:rsid w:val="003E5E1D"/>
    <w:rsid w:val="003E66D8"/>
    <w:rsid w:val="003E6E14"/>
    <w:rsid w:val="003E7E57"/>
    <w:rsid w:val="003F06C4"/>
    <w:rsid w:val="003F2321"/>
    <w:rsid w:val="003F26D7"/>
    <w:rsid w:val="003F2792"/>
    <w:rsid w:val="003F3CD3"/>
    <w:rsid w:val="003F4932"/>
    <w:rsid w:val="003F4FC6"/>
    <w:rsid w:val="003F5909"/>
    <w:rsid w:val="003F592E"/>
    <w:rsid w:val="003F6FAC"/>
    <w:rsid w:val="003F7237"/>
    <w:rsid w:val="003F796D"/>
    <w:rsid w:val="0040029C"/>
    <w:rsid w:val="004014A5"/>
    <w:rsid w:val="00401C4C"/>
    <w:rsid w:val="00403B56"/>
    <w:rsid w:val="00403CDD"/>
    <w:rsid w:val="00404828"/>
    <w:rsid w:val="00404ED6"/>
    <w:rsid w:val="00405349"/>
    <w:rsid w:val="00405C34"/>
    <w:rsid w:val="00405CE9"/>
    <w:rsid w:val="004063AA"/>
    <w:rsid w:val="0040754E"/>
    <w:rsid w:val="00407564"/>
    <w:rsid w:val="00407E98"/>
    <w:rsid w:val="00410DAF"/>
    <w:rsid w:val="00410E12"/>
    <w:rsid w:val="00411201"/>
    <w:rsid w:val="004118CD"/>
    <w:rsid w:val="00411B16"/>
    <w:rsid w:val="004141B1"/>
    <w:rsid w:val="0041551F"/>
    <w:rsid w:val="0041597D"/>
    <w:rsid w:val="00416D3C"/>
    <w:rsid w:val="00417611"/>
    <w:rsid w:val="00417628"/>
    <w:rsid w:val="0041763A"/>
    <w:rsid w:val="00417E8E"/>
    <w:rsid w:val="0042026B"/>
    <w:rsid w:val="00420607"/>
    <w:rsid w:val="00420B4A"/>
    <w:rsid w:val="004217F4"/>
    <w:rsid w:val="00421E85"/>
    <w:rsid w:val="00422197"/>
    <w:rsid w:val="00423133"/>
    <w:rsid w:val="00423756"/>
    <w:rsid w:val="00424E47"/>
    <w:rsid w:val="0042526A"/>
    <w:rsid w:val="0042622F"/>
    <w:rsid w:val="004264A3"/>
    <w:rsid w:val="00427C11"/>
    <w:rsid w:val="00427F4B"/>
    <w:rsid w:val="00430851"/>
    <w:rsid w:val="00432011"/>
    <w:rsid w:val="004323CE"/>
    <w:rsid w:val="00433925"/>
    <w:rsid w:val="004341BD"/>
    <w:rsid w:val="00435597"/>
    <w:rsid w:val="00435EB8"/>
    <w:rsid w:val="00436198"/>
    <w:rsid w:val="00436682"/>
    <w:rsid w:val="00436AA6"/>
    <w:rsid w:val="00436AC1"/>
    <w:rsid w:val="00436B0D"/>
    <w:rsid w:val="00437921"/>
    <w:rsid w:val="00437AA4"/>
    <w:rsid w:val="00437DA5"/>
    <w:rsid w:val="0044147E"/>
    <w:rsid w:val="0044364E"/>
    <w:rsid w:val="00443C6F"/>
    <w:rsid w:val="004449C6"/>
    <w:rsid w:val="00444E27"/>
    <w:rsid w:val="0044647E"/>
    <w:rsid w:val="00446528"/>
    <w:rsid w:val="004478B6"/>
    <w:rsid w:val="004502F3"/>
    <w:rsid w:val="004514B9"/>
    <w:rsid w:val="0045299A"/>
    <w:rsid w:val="00452EAF"/>
    <w:rsid w:val="004533FC"/>
    <w:rsid w:val="00454604"/>
    <w:rsid w:val="00456931"/>
    <w:rsid w:val="00457896"/>
    <w:rsid w:val="00457AAC"/>
    <w:rsid w:val="00457CFB"/>
    <w:rsid w:val="00457D4C"/>
    <w:rsid w:val="00461E79"/>
    <w:rsid w:val="00462397"/>
    <w:rsid w:val="00462C2C"/>
    <w:rsid w:val="00462EE7"/>
    <w:rsid w:val="00463604"/>
    <w:rsid w:val="004644AC"/>
    <w:rsid w:val="004644D8"/>
    <w:rsid w:val="0046659E"/>
    <w:rsid w:val="00466910"/>
    <w:rsid w:val="00466CC1"/>
    <w:rsid w:val="004674C5"/>
    <w:rsid w:val="00467A61"/>
    <w:rsid w:val="004704A5"/>
    <w:rsid w:val="0047057C"/>
    <w:rsid w:val="0047090E"/>
    <w:rsid w:val="00470A78"/>
    <w:rsid w:val="00471105"/>
    <w:rsid w:val="00471172"/>
    <w:rsid w:val="00472779"/>
    <w:rsid w:val="0047286B"/>
    <w:rsid w:val="00472ACC"/>
    <w:rsid w:val="004735CD"/>
    <w:rsid w:val="00473DD7"/>
    <w:rsid w:val="00474839"/>
    <w:rsid w:val="00475743"/>
    <w:rsid w:val="00475905"/>
    <w:rsid w:val="00475AB1"/>
    <w:rsid w:val="00477AB7"/>
    <w:rsid w:val="00477F2E"/>
    <w:rsid w:val="004806E3"/>
    <w:rsid w:val="00480A2F"/>
    <w:rsid w:val="00481354"/>
    <w:rsid w:val="004814B3"/>
    <w:rsid w:val="0048165F"/>
    <w:rsid w:val="00481AA1"/>
    <w:rsid w:val="00481AD5"/>
    <w:rsid w:val="0048215E"/>
    <w:rsid w:val="00482EDF"/>
    <w:rsid w:val="00485053"/>
    <w:rsid w:val="004852FD"/>
    <w:rsid w:val="004856E2"/>
    <w:rsid w:val="004867C0"/>
    <w:rsid w:val="00486B2A"/>
    <w:rsid w:val="00486B96"/>
    <w:rsid w:val="0048745F"/>
    <w:rsid w:val="0048768B"/>
    <w:rsid w:val="00487DEA"/>
    <w:rsid w:val="004907B4"/>
    <w:rsid w:val="00490C4E"/>
    <w:rsid w:val="00491234"/>
    <w:rsid w:val="0049207A"/>
    <w:rsid w:val="00492696"/>
    <w:rsid w:val="00493742"/>
    <w:rsid w:val="00493BA7"/>
    <w:rsid w:val="004943B3"/>
    <w:rsid w:val="00496304"/>
    <w:rsid w:val="00496347"/>
    <w:rsid w:val="00496762"/>
    <w:rsid w:val="004A0673"/>
    <w:rsid w:val="004A105D"/>
    <w:rsid w:val="004A27B7"/>
    <w:rsid w:val="004A33B4"/>
    <w:rsid w:val="004A354D"/>
    <w:rsid w:val="004A393D"/>
    <w:rsid w:val="004A3A42"/>
    <w:rsid w:val="004A4058"/>
    <w:rsid w:val="004A4252"/>
    <w:rsid w:val="004A4663"/>
    <w:rsid w:val="004A4DD8"/>
    <w:rsid w:val="004A52E6"/>
    <w:rsid w:val="004A5371"/>
    <w:rsid w:val="004A6CA2"/>
    <w:rsid w:val="004A7691"/>
    <w:rsid w:val="004A7A59"/>
    <w:rsid w:val="004A7C50"/>
    <w:rsid w:val="004B086E"/>
    <w:rsid w:val="004B3833"/>
    <w:rsid w:val="004B3CAC"/>
    <w:rsid w:val="004B4A07"/>
    <w:rsid w:val="004B4ACD"/>
    <w:rsid w:val="004B5D99"/>
    <w:rsid w:val="004B5E72"/>
    <w:rsid w:val="004B77D0"/>
    <w:rsid w:val="004C036B"/>
    <w:rsid w:val="004C0AF3"/>
    <w:rsid w:val="004C0EE0"/>
    <w:rsid w:val="004C1599"/>
    <w:rsid w:val="004C162E"/>
    <w:rsid w:val="004C2502"/>
    <w:rsid w:val="004C2C0E"/>
    <w:rsid w:val="004C2E63"/>
    <w:rsid w:val="004C438E"/>
    <w:rsid w:val="004C4735"/>
    <w:rsid w:val="004C4F22"/>
    <w:rsid w:val="004C5583"/>
    <w:rsid w:val="004C576E"/>
    <w:rsid w:val="004C5B10"/>
    <w:rsid w:val="004C5CCE"/>
    <w:rsid w:val="004C6F99"/>
    <w:rsid w:val="004D042F"/>
    <w:rsid w:val="004D102D"/>
    <w:rsid w:val="004D26D7"/>
    <w:rsid w:val="004D3835"/>
    <w:rsid w:val="004D47E2"/>
    <w:rsid w:val="004D487D"/>
    <w:rsid w:val="004D4ADA"/>
    <w:rsid w:val="004D5E29"/>
    <w:rsid w:val="004D6356"/>
    <w:rsid w:val="004D7251"/>
    <w:rsid w:val="004D72DD"/>
    <w:rsid w:val="004E01D3"/>
    <w:rsid w:val="004E0A18"/>
    <w:rsid w:val="004E141E"/>
    <w:rsid w:val="004E17FE"/>
    <w:rsid w:val="004E1B92"/>
    <w:rsid w:val="004E1F9E"/>
    <w:rsid w:val="004E2040"/>
    <w:rsid w:val="004E22C2"/>
    <w:rsid w:val="004E271E"/>
    <w:rsid w:val="004E30A2"/>
    <w:rsid w:val="004E371C"/>
    <w:rsid w:val="004E3C8B"/>
    <w:rsid w:val="004E3FA7"/>
    <w:rsid w:val="004E4DCF"/>
    <w:rsid w:val="004E5740"/>
    <w:rsid w:val="004E5948"/>
    <w:rsid w:val="004E5EAF"/>
    <w:rsid w:val="004E6021"/>
    <w:rsid w:val="004E710E"/>
    <w:rsid w:val="004E7193"/>
    <w:rsid w:val="004E7874"/>
    <w:rsid w:val="004E795E"/>
    <w:rsid w:val="004E7AC2"/>
    <w:rsid w:val="004E7CD1"/>
    <w:rsid w:val="004F1002"/>
    <w:rsid w:val="004F1163"/>
    <w:rsid w:val="004F1F57"/>
    <w:rsid w:val="004F28BC"/>
    <w:rsid w:val="004F32F5"/>
    <w:rsid w:val="004F338D"/>
    <w:rsid w:val="004F3FB9"/>
    <w:rsid w:val="004F41FF"/>
    <w:rsid w:val="004F4C5E"/>
    <w:rsid w:val="004F4CC7"/>
    <w:rsid w:val="004F5B65"/>
    <w:rsid w:val="004F6FC6"/>
    <w:rsid w:val="004F7449"/>
    <w:rsid w:val="004F7C08"/>
    <w:rsid w:val="004F7CD1"/>
    <w:rsid w:val="005002F1"/>
    <w:rsid w:val="00500F8B"/>
    <w:rsid w:val="00501F99"/>
    <w:rsid w:val="00502112"/>
    <w:rsid w:val="00503211"/>
    <w:rsid w:val="00504726"/>
    <w:rsid w:val="00504A07"/>
    <w:rsid w:val="005067A3"/>
    <w:rsid w:val="00506FEB"/>
    <w:rsid w:val="005070CD"/>
    <w:rsid w:val="00507258"/>
    <w:rsid w:val="00510E66"/>
    <w:rsid w:val="00510EC2"/>
    <w:rsid w:val="005113DF"/>
    <w:rsid w:val="00511692"/>
    <w:rsid w:val="00511BE1"/>
    <w:rsid w:val="00511E9C"/>
    <w:rsid w:val="00512A82"/>
    <w:rsid w:val="00512D09"/>
    <w:rsid w:val="00513E45"/>
    <w:rsid w:val="005149A4"/>
    <w:rsid w:val="00514BB0"/>
    <w:rsid w:val="00514D15"/>
    <w:rsid w:val="00514F6F"/>
    <w:rsid w:val="00515333"/>
    <w:rsid w:val="005166A7"/>
    <w:rsid w:val="00516D71"/>
    <w:rsid w:val="00516F78"/>
    <w:rsid w:val="005171AB"/>
    <w:rsid w:val="00517348"/>
    <w:rsid w:val="005215B4"/>
    <w:rsid w:val="00521A3D"/>
    <w:rsid w:val="00522571"/>
    <w:rsid w:val="005227AA"/>
    <w:rsid w:val="00523559"/>
    <w:rsid w:val="00523BBF"/>
    <w:rsid w:val="00523DE1"/>
    <w:rsid w:val="00525B01"/>
    <w:rsid w:val="00525D80"/>
    <w:rsid w:val="005264E8"/>
    <w:rsid w:val="005265CC"/>
    <w:rsid w:val="00526B86"/>
    <w:rsid w:val="00527332"/>
    <w:rsid w:val="00527EEE"/>
    <w:rsid w:val="00530185"/>
    <w:rsid w:val="00530998"/>
    <w:rsid w:val="00531D41"/>
    <w:rsid w:val="00532635"/>
    <w:rsid w:val="00534079"/>
    <w:rsid w:val="005344B2"/>
    <w:rsid w:val="005345DC"/>
    <w:rsid w:val="00535381"/>
    <w:rsid w:val="00535708"/>
    <w:rsid w:val="0053596C"/>
    <w:rsid w:val="0053598A"/>
    <w:rsid w:val="00535EAD"/>
    <w:rsid w:val="00536A4F"/>
    <w:rsid w:val="00536AC9"/>
    <w:rsid w:val="00536CF8"/>
    <w:rsid w:val="005375D1"/>
    <w:rsid w:val="00540136"/>
    <w:rsid w:val="00540166"/>
    <w:rsid w:val="00540B4E"/>
    <w:rsid w:val="005418CA"/>
    <w:rsid w:val="00544D0E"/>
    <w:rsid w:val="00546868"/>
    <w:rsid w:val="00546C2A"/>
    <w:rsid w:val="00546E4C"/>
    <w:rsid w:val="00546FB9"/>
    <w:rsid w:val="00547344"/>
    <w:rsid w:val="0054741A"/>
    <w:rsid w:val="00551424"/>
    <w:rsid w:val="00551E09"/>
    <w:rsid w:val="00552838"/>
    <w:rsid w:val="00552AFE"/>
    <w:rsid w:val="00554609"/>
    <w:rsid w:val="0055605F"/>
    <w:rsid w:val="0055665A"/>
    <w:rsid w:val="00556951"/>
    <w:rsid w:val="0056090B"/>
    <w:rsid w:val="005613E6"/>
    <w:rsid w:val="00562500"/>
    <w:rsid w:val="00562F66"/>
    <w:rsid w:val="00563BA3"/>
    <w:rsid w:val="00563CC6"/>
    <w:rsid w:val="0056409E"/>
    <w:rsid w:val="00564427"/>
    <w:rsid w:val="005644B9"/>
    <w:rsid w:val="0056501F"/>
    <w:rsid w:val="00565FB1"/>
    <w:rsid w:val="005670C8"/>
    <w:rsid w:val="00567AD1"/>
    <w:rsid w:val="00570D11"/>
    <w:rsid w:val="005713EB"/>
    <w:rsid w:val="0057143D"/>
    <w:rsid w:val="00571A8C"/>
    <w:rsid w:val="00572517"/>
    <w:rsid w:val="00573A35"/>
    <w:rsid w:val="0057461F"/>
    <w:rsid w:val="00574954"/>
    <w:rsid w:val="0057529D"/>
    <w:rsid w:val="0057572C"/>
    <w:rsid w:val="00577588"/>
    <w:rsid w:val="00580920"/>
    <w:rsid w:val="00580AC2"/>
    <w:rsid w:val="00581631"/>
    <w:rsid w:val="00581FCE"/>
    <w:rsid w:val="005828D8"/>
    <w:rsid w:val="0058567B"/>
    <w:rsid w:val="00585BE6"/>
    <w:rsid w:val="005901A1"/>
    <w:rsid w:val="005914A8"/>
    <w:rsid w:val="005919D4"/>
    <w:rsid w:val="005920EF"/>
    <w:rsid w:val="0059252B"/>
    <w:rsid w:val="0059259B"/>
    <w:rsid w:val="005929D5"/>
    <w:rsid w:val="005932BA"/>
    <w:rsid w:val="00593B8D"/>
    <w:rsid w:val="005941E6"/>
    <w:rsid w:val="005955C5"/>
    <w:rsid w:val="005958CF"/>
    <w:rsid w:val="00596CBD"/>
    <w:rsid w:val="005A228C"/>
    <w:rsid w:val="005A29A7"/>
    <w:rsid w:val="005A2E0E"/>
    <w:rsid w:val="005A2F87"/>
    <w:rsid w:val="005A321A"/>
    <w:rsid w:val="005A3E6D"/>
    <w:rsid w:val="005A3F96"/>
    <w:rsid w:val="005A4229"/>
    <w:rsid w:val="005A431B"/>
    <w:rsid w:val="005A4931"/>
    <w:rsid w:val="005A56A1"/>
    <w:rsid w:val="005A5836"/>
    <w:rsid w:val="005A5A33"/>
    <w:rsid w:val="005A60FF"/>
    <w:rsid w:val="005A6906"/>
    <w:rsid w:val="005A7069"/>
    <w:rsid w:val="005A7205"/>
    <w:rsid w:val="005A7FA4"/>
    <w:rsid w:val="005B039E"/>
    <w:rsid w:val="005B11A1"/>
    <w:rsid w:val="005B1B42"/>
    <w:rsid w:val="005B3296"/>
    <w:rsid w:val="005B4162"/>
    <w:rsid w:val="005B5510"/>
    <w:rsid w:val="005B69AA"/>
    <w:rsid w:val="005B6CB8"/>
    <w:rsid w:val="005B7326"/>
    <w:rsid w:val="005C1930"/>
    <w:rsid w:val="005C1BE0"/>
    <w:rsid w:val="005C20C0"/>
    <w:rsid w:val="005C3427"/>
    <w:rsid w:val="005C3B69"/>
    <w:rsid w:val="005C3EA9"/>
    <w:rsid w:val="005C50EC"/>
    <w:rsid w:val="005C53B9"/>
    <w:rsid w:val="005C53D6"/>
    <w:rsid w:val="005C612E"/>
    <w:rsid w:val="005C644B"/>
    <w:rsid w:val="005C67F8"/>
    <w:rsid w:val="005C7B47"/>
    <w:rsid w:val="005D039A"/>
    <w:rsid w:val="005D0B09"/>
    <w:rsid w:val="005D227B"/>
    <w:rsid w:val="005D22BB"/>
    <w:rsid w:val="005D2A5D"/>
    <w:rsid w:val="005D2F4F"/>
    <w:rsid w:val="005D3C2A"/>
    <w:rsid w:val="005D4004"/>
    <w:rsid w:val="005D4602"/>
    <w:rsid w:val="005D5106"/>
    <w:rsid w:val="005D6FBE"/>
    <w:rsid w:val="005D710C"/>
    <w:rsid w:val="005D719C"/>
    <w:rsid w:val="005D750D"/>
    <w:rsid w:val="005D781C"/>
    <w:rsid w:val="005E0E9E"/>
    <w:rsid w:val="005E1885"/>
    <w:rsid w:val="005E23C1"/>
    <w:rsid w:val="005E2AC6"/>
    <w:rsid w:val="005E2C06"/>
    <w:rsid w:val="005E322E"/>
    <w:rsid w:val="005E3A2A"/>
    <w:rsid w:val="005E3D85"/>
    <w:rsid w:val="005E4D98"/>
    <w:rsid w:val="005E5FDD"/>
    <w:rsid w:val="005E612C"/>
    <w:rsid w:val="005E739D"/>
    <w:rsid w:val="005F0347"/>
    <w:rsid w:val="005F044F"/>
    <w:rsid w:val="005F2B62"/>
    <w:rsid w:val="005F2CAE"/>
    <w:rsid w:val="005F384B"/>
    <w:rsid w:val="005F43DC"/>
    <w:rsid w:val="005F45BA"/>
    <w:rsid w:val="005F4FE2"/>
    <w:rsid w:val="005F5334"/>
    <w:rsid w:val="005F56B6"/>
    <w:rsid w:val="005F578E"/>
    <w:rsid w:val="005F5D89"/>
    <w:rsid w:val="005F692D"/>
    <w:rsid w:val="005F6CA5"/>
    <w:rsid w:val="005F7475"/>
    <w:rsid w:val="005F76A1"/>
    <w:rsid w:val="005F7D5E"/>
    <w:rsid w:val="005F7D76"/>
    <w:rsid w:val="006006D0"/>
    <w:rsid w:val="00600FDA"/>
    <w:rsid w:val="006014D2"/>
    <w:rsid w:val="00601E4F"/>
    <w:rsid w:val="006024CC"/>
    <w:rsid w:val="006026E8"/>
    <w:rsid w:val="00603BD3"/>
    <w:rsid w:val="006044E8"/>
    <w:rsid w:val="00604D98"/>
    <w:rsid w:val="00604EE7"/>
    <w:rsid w:val="0060599C"/>
    <w:rsid w:val="00605CBE"/>
    <w:rsid w:val="006068AD"/>
    <w:rsid w:val="00606977"/>
    <w:rsid w:val="00610128"/>
    <w:rsid w:val="0061017D"/>
    <w:rsid w:val="00610808"/>
    <w:rsid w:val="0061144F"/>
    <w:rsid w:val="00611FB5"/>
    <w:rsid w:val="00614614"/>
    <w:rsid w:val="00614CB9"/>
    <w:rsid w:val="00615405"/>
    <w:rsid w:val="00615700"/>
    <w:rsid w:val="00615847"/>
    <w:rsid w:val="00616443"/>
    <w:rsid w:val="00616662"/>
    <w:rsid w:val="00616AA9"/>
    <w:rsid w:val="00617220"/>
    <w:rsid w:val="00617859"/>
    <w:rsid w:val="00617F32"/>
    <w:rsid w:val="006205B5"/>
    <w:rsid w:val="00620DD0"/>
    <w:rsid w:val="00620F39"/>
    <w:rsid w:val="006210D8"/>
    <w:rsid w:val="006211AB"/>
    <w:rsid w:val="0062126E"/>
    <w:rsid w:val="0062148A"/>
    <w:rsid w:val="00622A2B"/>
    <w:rsid w:val="00622BED"/>
    <w:rsid w:val="00623B06"/>
    <w:rsid w:val="0062550D"/>
    <w:rsid w:val="00626007"/>
    <w:rsid w:val="00626636"/>
    <w:rsid w:val="00626A85"/>
    <w:rsid w:val="00627AE8"/>
    <w:rsid w:val="00627BF2"/>
    <w:rsid w:val="00630085"/>
    <w:rsid w:val="00630341"/>
    <w:rsid w:val="00630B31"/>
    <w:rsid w:val="00631122"/>
    <w:rsid w:val="00631CCD"/>
    <w:rsid w:val="00633F52"/>
    <w:rsid w:val="0063576C"/>
    <w:rsid w:val="00635923"/>
    <w:rsid w:val="00636643"/>
    <w:rsid w:val="0063712C"/>
    <w:rsid w:val="00637663"/>
    <w:rsid w:val="006403C1"/>
    <w:rsid w:val="00640C79"/>
    <w:rsid w:val="0064148F"/>
    <w:rsid w:val="00641E6F"/>
    <w:rsid w:val="00642412"/>
    <w:rsid w:val="00642E59"/>
    <w:rsid w:val="006435DD"/>
    <w:rsid w:val="00644047"/>
    <w:rsid w:val="0064447A"/>
    <w:rsid w:val="00645215"/>
    <w:rsid w:val="00646207"/>
    <w:rsid w:val="00647271"/>
    <w:rsid w:val="00647989"/>
    <w:rsid w:val="00647A12"/>
    <w:rsid w:val="006501A2"/>
    <w:rsid w:val="00650D2A"/>
    <w:rsid w:val="00650DD5"/>
    <w:rsid w:val="0065232B"/>
    <w:rsid w:val="00652C02"/>
    <w:rsid w:val="006543F4"/>
    <w:rsid w:val="0065584F"/>
    <w:rsid w:val="00655CD8"/>
    <w:rsid w:val="006571D4"/>
    <w:rsid w:val="006572B3"/>
    <w:rsid w:val="006573FA"/>
    <w:rsid w:val="00657973"/>
    <w:rsid w:val="0066023E"/>
    <w:rsid w:val="00661573"/>
    <w:rsid w:val="00661642"/>
    <w:rsid w:val="00661793"/>
    <w:rsid w:val="00662A10"/>
    <w:rsid w:val="0066386B"/>
    <w:rsid w:val="00663D0E"/>
    <w:rsid w:val="00664697"/>
    <w:rsid w:val="00664FC6"/>
    <w:rsid w:val="00665CEC"/>
    <w:rsid w:val="00666FC6"/>
    <w:rsid w:val="006677CE"/>
    <w:rsid w:val="00667B98"/>
    <w:rsid w:val="00670085"/>
    <w:rsid w:val="0067108F"/>
    <w:rsid w:val="0067292E"/>
    <w:rsid w:val="006734CD"/>
    <w:rsid w:val="0067464B"/>
    <w:rsid w:val="006750A8"/>
    <w:rsid w:val="00675B5D"/>
    <w:rsid w:val="006760DF"/>
    <w:rsid w:val="00676A44"/>
    <w:rsid w:val="00677F1F"/>
    <w:rsid w:val="00680046"/>
    <w:rsid w:val="0068064D"/>
    <w:rsid w:val="0068083C"/>
    <w:rsid w:val="006809EF"/>
    <w:rsid w:val="00681542"/>
    <w:rsid w:val="00681591"/>
    <w:rsid w:val="006816CF"/>
    <w:rsid w:val="0068182C"/>
    <w:rsid w:val="00681FA6"/>
    <w:rsid w:val="00683CBE"/>
    <w:rsid w:val="00683DC1"/>
    <w:rsid w:val="00684370"/>
    <w:rsid w:val="00684738"/>
    <w:rsid w:val="00684862"/>
    <w:rsid w:val="00684B5C"/>
    <w:rsid w:val="00684B9A"/>
    <w:rsid w:val="006879FA"/>
    <w:rsid w:val="00687A6F"/>
    <w:rsid w:val="00690553"/>
    <w:rsid w:val="00691C6D"/>
    <w:rsid w:val="00692918"/>
    <w:rsid w:val="00693421"/>
    <w:rsid w:val="0069362F"/>
    <w:rsid w:val="0069400C"/>
    <w:rsid w:val="00695B43"/>
    <w:rsid w:val="0069675A"/>
    <w:rsid w:val="00696E54"/>
    <w:rsid w:val="00697D0D"/>
    <w:rsid w:val="00697E39"/>
    <w:rsid w:val="006A02E5"/>
    <w:rsid w:val="006A0C10"/>
    <w:rsid w:val="006A146A"/>
    <w:rsid w:val="006A1D50"/>
    <w:rsid w:val="006A1DDA"/>
    <w:rsid w:val="006A2787"/>
    <w:rsid w:val="006A3556"/>
    <w:rsid w:val="006A36BD"/>
    <w:rsid w:val="006A5211"/>
    <w:rsid w:val="006A5486"/>
    <w:rsid w:val="006A562E"/>
    <w:rsid w:val="006A6814"/>
    <w:rsid w:val="006A685A"/>
    <w:rsid w:val="006A73A6"/>
    <w:rsid w:val="006B00EE"/>
    <w:rsid w:val="006B0833"/>
    <w:rsid w:val="006B0E03"/>
    <w:rsid w:val="006B1479"/>
    <w:rsid w:val="006B18A7"/>
    <w:rsid w:val="006B19BB"/>
    <w:rsid w:val="006B1DB1"/>
    <w:rsid w:val="006B3416"/>
    <w:rsid w:val="006B3746"/>
    <w:rsid w:val="006B3C24"/>
    <w:rsid w:val="006B47B3"/>
    <w:rsid w:val="006B52DB"/>
    <w:rsid w:val="006B6A69"/>
    <w:rsid w:val="006B6B0B"/>
    <w:rsid w:val="006B6B90"/>
    <w:rsid w:val="006B6CD3"/>
    <w:rsid w:val="006B746F"/>
    <w:rsid w:val="006B753A"/>
    <w:rsid w:val="006B774E"/>
    <w:rsid w:val="006C051B"/>
    <w:rsid w:val="006C0D41"/>
    <w:rsid w:val="006C0E15"/>
    <w:rsid w:val="006C0E2E"/>
    <w:rsid w:val="006C1110"/>
    <w:rsid w:val="006C1481"/>
    <w:rsid w:val="006C17E6"/>
    <w:rsid w:val="006C25AD"/>
    <w:rsid w:val="006C295B"/>
    <w:rsid w:val="006C33F5"/>
    <w:rsid w:val="006C3420"/>
    <w:rsid w:val="006C3562"/>
    <w:rsid w:val="006C38CA"/>
    <w:rsid w:val="006C4D50"/>
    <w:rsid w:val="006C5071"/>
    <w:rsid w:val="006C5766"/>
    <w:rsid w:val="006C577C"/>
    <w:rsid w:val="006C61DF"/>
    <w:rsid w:val="006C679A"/>
    <w:rsid w:val="006C69F1"/>
    <w:rsid w:val="006C760D"/>
    <w:rsid w:val="006D0E22"/>
    <w:rsid w:val="006D1970"/>
    <w:rsid w:val="006D21CA"/>
    <w:rsid w:val="006D220B"/>
    <w:rsid w:val="006D26F1"/>
    <w:rsid w:val="006D27FD"/>
    <w:rsid w:val="006D2F7C"/>
    <w:rsid w:val="006D2FA6"/>
    <w:rsid w:val="006D385F"/>
    <w:rsid w:val="006D3DF2"/>
    <w:rsid w:val="006D4060"/>
    <w:rsid w:val="006D4132"/>
    <w:rsid w:val="006D4D5F"/>
    <w:rsid w:val="006D539F"/>
    <w:rsid w:val="006D59AE"/>
    <w:rsid w:val="006D5BAB"/>
    <w:rsid w:val="006D636B"/>
    <w:rsid w:val="006D70C3"/>
    <w:rsid w:val="006D7848"/>
    <w:rsid w:val="006D7E57"/>
    <w:rsid w:val="006E0005"/>
    <w:rsid w:val="006E08D3"/>
    <w:rsid w:val="006E113C"/>
    <w:rsid w:val="006E2E6D"/>
    <w:rsid w:val="006E3721"/>
    <w:rsid w:val="006E3A74"/>
    <w:rsid w:val="006E4979"/>
    <w:rsid w:val="006E4AC9"/>
    <w:rsid w:val="006E54E3"/>
    <w:rsid w:val="006E61E2"/>
    <w:rsid w:val="006E6E31"/>
    <w:rsid w:val="006E7C47"/>
    <w:rsid w:val="006F130E"/>
    <w:rsid w:val="006F18C0"/>
    <w:rsid w:val="006F1AB1"/>
    <w:rsid w:val="006F1D07"/>
    <w:rsid w:val="006F21DF"/>
    <w:rsid w:val="006F2942"/>
    <w:rsid w:val="006F2F40"/>
    <w:rsid w:val="006F2FD7"/>
    <w:rsid w:val="006F3E5E"/>
    <w:rsid w:val="006F5BAD"/>
    <w:rsid w:val="006F5BD6"/>
    <w:rsid w:val="006F5C1E"/>
    <w:rsid w:val="006F5FA5"/>
    <w:rsid w:val="006F6E8F"/>
    <w:rsid w:val="0070123D"/>
    <w:rsid w:val="007014CC"/>
    <w:rsid w:val="0070187B"/>
    <w:rsid w:val="00701C4A"/>
    <w:rsid w:val="00702374"/>
    <w:rsid w:val="007023C1"/>
    <w:rsid w:val="007028C0"/>
    <w:rsid w:val="00702B00"/>
    <w:rsid w:val="00702D3C"/>
    <w:rsid w:val="00702E8F"/>
    <w:rsid w:val="0070319F"/>
    <w:rsid w:val="00703319"/>
    <w:rsid w:val="00703991"/>
    <w:rsid w:val="007041A2"/>
    <w:rsid w:val="007047BA"/>
    <w:rsid w:val="00704E16"/>
    <w:rsid w:val="00704E8D"/>
    <w:rsid w:val="00705673"/>
    <w:rsid w:val="007068DF"/>
    <w:rsid w:val="00706BBD"/>
    <w:rsid w:val="00707126"/>
    <w:rsid w:val="00707922"/>
    <w:rsid w:val="00707B7C"/>
    <w:rsid w:val="00710006"/>
    <w:rsid w:val="00710290"/>
    <w:rsid w:val="00710325"/>
    <w:rsid w:val="00710478"/>
    <w:rsid w:val="007108A9"/>
    <w:rsid w:val="00711558"/>
    <w:rsid w:val="00711878"/>
    <w:rsid w:val="00711CB4"/>
    <w:rsid w:val="00711DE7"/>
    <w:rsid w:val="0071232F"/>
    <w:rsid w:val="00712D8F"/>
    <w:rsid w:val="007136BE"/>
    <w:rsid w:val="00714C2B"/>
    <w:rsid w:val="00715A11"/>
    <w:rsid w:val="00715B8D"/>
    <w:rsid w:val="00715FC5"/>
    <w:rsid w:val="007162D9"/>
    <w:rsid w:val="00721043"/>
    <w:rsid w:val="00721E02"/>
    <w:rsid w:val="00722858"/>
    <w:rsid w:val="0072314E"/>
    <w:rsid w:val="00723C16"/>
    <w:rsid w:val="00724310"/>
    <w:rsid w:val="0072615A"/>
    <w:rsid w:val="00726E56"/>
    <w:rsid w:val="00730300"/>
    <w:rsid w:val="00730687"/>
    <w:rsid w:val="00730751"/>
    <w:rsid w:val="007319DA"/>
    <w:rsid w:val="00731C67"/>
    <w:rsid w:val="00731F0B"/>
    <w:rsid w:val="0073222D"/>
    <w:rsid w:val="00733178"/>
    <w:rsid w:val="00733749"/>
    <w:rsid w:val="00733A71"/>
    <w:rsid w:val="00734F8C"/>
    <w:rsid w:val="00735645"/>
    <w:rsid w:val="00736C6A"/>
    <w:rsid w:val="00736CFC"/>
    <w:rsid w:val="00737D9F"/>
    <w:rsid w:val="0074031A"/>
    <w:rsid w:val="007408E2"/>
    <w:rsid w:val="0074112C"/>
    <w:rsid w:val="0074240A"/>
    <w:rsid w:val="007430E9"/>
    <w:rsid w:val="00743682"/>
    <w:rsid w:val="0074381A"/>
    <w:rsid w:val="00744876"/>
    <w:rsid w:val="007455B5"/>
    <w:rsid w:val="00746527"/>
    <w:rsid w:val="0074702A"/>
    <w:rsid w:val="007508A8"/>
    <w:rsid w:val="00750AB5"/>
    <w:rsid w:val="00751185"/>
    <w:rsid w:val="00751607"/>
    <w:rsid w:val="00751A69"/>
    <w:rsid w:val="0075236C"/>
    <w:rsid w:val="0075250C"/>
    <w:rsid w:val="0075272F"/>
    <w:rsid w:val="007527BD"/>
    <w:rsid w:val="0075288A"/>
    <w:rsid w:val="00752AFC"/>
    <w:rsid w:val="0075323B"/>
    <w:rsid w:val="007532E3"/>
    <w:rsid w:val="0075370D"/>
    <w:rsid w:val="00753ED4"/>
    <w:rsid w:val="0075599A"/>
    <w:rsid w:val="00755C90"/>
    <w:rsid w:val="00755F38"/>
    <w:rsid w:val="00756464"/>
    <w:rsid w:val="00756471"/>
    <w:rsid w:val="007574DA"/>
    <w:rsid w:val="0075752C"/>
    <w:rsid w:val="00757EE7"/>
    <w:rsid w:val="007605B3"/>
    <w:rsid w:val="00760F1A"/>
    <w:rsid w:val="00761EB8"/>
    <w:rsid w:val="00762009"/>
    <w:rsid w:val="007633FB"/>
    <w:rsid w:val="00763C0A"/>
    <w:rsid w:val="00763DCB"/>
    <w:rsid w:val="007648BE"/>
    <w:rsid w:val="00765223"/>
    <w:rsid w:val="00765EA7"/>
    <w:rsid w:val="0076631B"/>
    <w:rsid w:val="00767926"/>
    <w:rsid w:val="00767970"/>
    <w:rsid w:val="00767A38"/>
    <w:rsid w:val="00767D62"/>
    <w:rsid w:val="007702C3"/>
    <w:rsid w:val="00770A85"/>
    <w:rsid w:val="00770D7E"/>
    <w:rsid w:val="00773BC0"/>
    <w:rsid w:val="00774323"/>
    <w:rsid w:val="00774419"/>
    <w:rsid w:val="00774E32"/>
    <w:rsid w:val="00774EE9"/>
    <w:rsid w:val="00774F72"/>
    <w:rsid w:val="007753D1"/>
    <w:rsid w:val="00775402"/>
    <w:rsid w:val="00775DFA"/>
    <w:rsid w:val="00776C06"/>
    <w:rsid w:val="007819FB"/>
    <w:rsid w:val="00781D5A"/>
    <w:rsid w:val="00781DEA"/>
    <w:rsid w:val="00781DEC"/>
    <w:rsid w:val="00782287"/>
    <w:rsid w:val="00782365"/>
    <w:rsid w:val="00782A8C"/>
    <w:rsid w:val="007831EF"/>
    <w:rsid w:val="0078329A"/>
    <w:rsid w:val="00783610"/>
    <w:rsid w:val="00783A18"/>
    <w:rsid w:val="00784F6D"/>
    <w:rsid w:val="0078595E"/>
    <w:rsid w:val="00785EA8"/>
    <w:rsid w:val="00786834"/>
    <w:rsid w:val="00786DFF"/>
    <w:rsid w:val="00787515"/>
    <w:rsid w:val="00787DC4"/>
    <w:rsid w:val="00790598"/>
    <w:rsid w:val="007911AB"/>
    <w:rsid w:val="0079184F"/>
    <w:rsid w:val="007921AC"/>
    <w:rsid w:val="00792371"/>
    <w:rsid w:val="007925F9"/>
    <w:rsid w:val="00792685"/>
    <w:rsid w:val="00793441"/>
    <w:rsid w:val="00793534"/>
    <w:rsid w:val="00793C8A"/>
    <w:rsid w:val="00793CA3"/>
    <w:rsid w:val="00793CDA"/>
    <w:rsid w:val="00797491"/>
    <w:rsid w:val="007A165C"/>
    <w:rsid w:val="007A208C"/>
    <w:rsid w:val="007A3E2E"/>
    <w:rsid w:val="007A450F"/>
    <w:rsid w:val="007A4741"/>
    <w:rsid w:val="007A52EC"/>
    <w:rsid w:val="007A6698"/>
    <w:rsid w:val="007A72C5"/>
    <w:rsid w:val="007B1A42"/>
    <w:rsid w:val="007B2417"/>
    <w:rsid w:val="007B290D"/>
    <w:rsid w:val="007B2BB6"/>
    <w:rsid w:val="007B31D7"/>
    <w:rsid w:val="007B386C"/>
    <w:rsid w:val="007B3DC7"/>
    <w:rsid w:val="007B4245"/>
    <w:rsid w:val="007B5939"/>
    <w:rsid w:val="007B622E"/>
    <w:rsid w:val="007B6913"/>
    <w:rsid w:val="007B6FE8"/>
    <w:rsid w:val="007B7107"/>
    <w:rsid w:val="007B7449"/>
    <w:rsid w:val="007B758C"/>
    <w:rsid w:val="007B76D5"/>
    <w:rsid w:val="007B7879"/>
    <w:rsid w:val="007C0023"/>
    <w:rsid w:val="007C0BEB"/>
    <w:rsid w:val="007C1063"/>
    <w:rsid w:val="007C1646"/>
    <w:rsid w:val="007C1D57"/>
    <w:rsid w:val="007C1DA6"/>
    <w:rsid w:val="007C3970"/>
    <w:rsid w:val="007C3B7C"/>
    <w:rsid w:val="007C4330"/>
    <w:rsid w:val="007C4D32"/>
    <w:rsid w:val="007C5A95"/>
    <w:rsid w:val="007C602B"/>
    <w:rsid w:val="007C6C10"/>
    <w:rsid w:val="007C7566"/>
    <w:rsid w:val="007C7886"/>
    <w:rsid w:val="007D0A7F"/>
    <w:rsid w:val="007D0D03"/>
    <w:rsid w:val="007D140D"/>
    <w:rsid w:val="007D16FF"/>
    <w:rsid w:val="007D2AE3"/>
    <w:rsid w:val="007D347F"/>
    <w:rsid w:val="007D3F37"/>
    <w:rsid w:val="007D434A"/>
    <w:rsid w:val="007D544F"/>
    <w:rsid w:val="007D5FDB"/>
    <w:rsid w:val="007D76D0"/>
    <w:rsid w:val="007D7707"/>
    <w:rsid w:val="007D7954"/>
    <w:rsid w:val="007D7B33"/>
    <w:rsid w:val="007E038D"/>
    <w:rsid w:val="007E0ED6"/>
    <w:rsid w:val="007E1034"/>
    <w:rsid w:val="007E178D"/>
    <w:rsid w:val="007E2C85"/>
    <w:rsid w:val="007E3055"/>
    <w:rsid w:val="007E366D"/>
    <w:rsid w:val="007E3F23"/>
    <w:rsid w:val="007E4006"/>
    <w:rsid w:val="007E494C"/>
    <w:rsid w:val="007E674E"/>
    <w:rsid w:val="007E6763"/>
    <w:rsid w:val="007E6BE3"/>
    <w:rsid w:val="007E75F4"/>
    <w:rsid w:val="007E785C"/>
    <w:rsid w:val="007F0253"/>
    <w:rsid w:val="007F05E1"/>
    <w:rsid w:val="007F1132"/>
    <w:rsid w:val="007F283F"/>
    <w:rsid w:val="007F2855"/>
    <w:rsid w:val="007F34DC"/>
    <w:rsid w:val="007F39FA"/>
    <w:rsid w:val="007F4E66"/>
    <w:rsid w:val="007F5100"/>
    <w:rsid w:val="007F57D6"/>
    <w:rsid w:val="007F5AB6"/>
    <w:rsid w:val="007F6F4C"/>
    <w:rsid w:val="007F7816"/>
    <w:rsid w:val="007F797A"/>
    <w:rsid w:val="007F7AA9"/>
    <w:rsid w:val="007F7B24"/>
    <w:rsid w:val="00800FDA"/>
    <w:rsid w:val="008013E0"/>
    <w:rsid w:val="0080157D"/>
    <w:rsid w:val="0080224A"/>
    <w:rsid w:val="00802300"/>
    <w:rsid w:val="008025F0"/>
    <w:rsid w:val="00805648"/>
    <w:rsid w:val="00805878"/>
    <w:rsid w:val="00805A07"/>
    <w:rsid w:val="00806084"/>
    <w:rsid w:val="00806363"/>
    <w:rsid w:val="0081036B"/>
    <w:rsid w:val="00810767"/>
    <w:rsid w:val="00810A9F"/>
    <w:rsid w:val="00810CE1"/>
    <w:rsid w:val="00810E5F"/>
    <w:rsid w:val="0081181C"/>
    <w:rsid w:val="00812623"/>
    <w:rsid w:val="008127F1"/>
    <w:rsid w:val="00812AAF"/>
    <w:rsid w:val="00812AE9"/>
    <w:rsid w:val="00812B5E"/>
    <w:rsid w:val="0081324F"/>
    <w:rsid w:val="00814286"/>
    <w:rsid w:val="00814292"/>
    <w:rsid w:val="00814794"/>
    <w:rsid w:val="00814924"/>
    <w:rsid w:val="008150D5"/>
    <w:rsid w:val="00815884"/>
    <w:rsid w:val="008159D9"/>
    <w:rsid w:val="00815C97"/>
    <w:rsid w:val="00816136"/>
    <w:rsid w:val="0081659F"/>
    <w:rsid w:val="0081700B"/>
    <w:rsid w:val="008170E0"/>
    <w:rsid w:val="00817860"/>
    <w:rsid w:val="00817F99"/>
    <w:rsid w:val="008215CF"/>
    <w:rsid w:val="00822564"/>
    <w:rsid w:val="00823C08"/>
    <w:rsid w:val="00823DF1"/>
    <w:rsid w:val="008249CB"/>
    <w:rsid w:val="00824E89"/>
    <w:rsid w:val="00825F3C"/>
    <w:rsid w:val="00826925"/>
    <w:rsid w:val="00826989"/>
    <w:rsid w:val="00826C02"/>
    <w:rsid w:val="00830C71"/>
    <w:rsid w:val="008316F5"/>
    <w:rsid w:val="00832A55"/>
    <w:rsid w:val="00832A66"/>
    <w:rsid w:val="00833702"/>
    <w:rsid w:val="00833809"/>
    <w:rsid w:val="00834DC5"/>
    <w:rsid w:val="0083568E"/>
    <w:rsid w:val="00836C9D"/>
    <w:rsid w:val="00836DEF"/>
    <w:rsid w:val="0084047F"/>
    <w:rsid w:val="008406A7"/>
    <w:rsid w:val="00840CB0"/>
    <w:rsid w:val="0084150B"/>
    <w:rsid w:val="00841DEB"/>
    <w:rsid w:val="0084202A"/>
    <w:rsid w:val="0084304E"/>
    <w:rsid w:val="00843234"/>
    <w:rsid w:val="0084336A"/>
    <w:rsid w:val="008433AE"/>
    <w:rsid w:val="00843628"/>
    <w:rsid w:val="00843694"/>
    <w:rsid w:val="008439D5"/>
    <w:rsid w:val="00843E99"/>
    <w:rsid w:val="00844075"/>
    <w:rsid w:val="008443DE"/>
    <w:rsid w:val="008450A9"/>
    <w:rsid w:val="008459AD"/>
    <w:rsid w:val="008466D0"/>
    <w:rsid w:val="00846EF7"/>
    <w:rsid w:val="00847274"/>
    <w:rsid w:val="00847523"/>
    <w:rsid w:val="00847701"/>
    <w:rsid w:val="00850ED8"/>
    <w:rsid w:val="0085176F"/>
    <w:rsid w:val="00851E01"/>
    <w:rsid w:val="00852075"/>
    <w:rsid w:val="00852EAB"/>
    <w:rsid w:val="00853419"/>
    <w:rsid w:val="008558D4"/>
    <w:rsid w:val="00855E27"/>
    <w:rsid w:val="0085746B"/>
    <w:rsid w:val="008576A7"/>
    <w:rsid w:val="00860724"/>
    <w:rsid w:val="00860946"/>
    <w:rsid w:val="008624ED"/>
    <w:rsid w:val="008650EA"/>
    <w:rsid w:val="0086561E"/>
    <w:rsid w:val="00865E63"/>
    <w:rsid w:val="00870BE3"/>
    <w:rsid w:val="0087167B"/>
    <w:rsid w:val="0087169F"/>
    <w:rsid w:val="00871F52"/>
    <w:rsid w:val="0087221A"/>
    <w:rsid w:val="00872479"/>
    <w:rsid w:val="008727AF"/>
    <w:rsid w:val="0087296D"/>
    <w:rsid w:val="00872EF2"/>
    <w:rsid w:val="00873307"/>
    <w:rsid w:val="0087370F"/>
    <w:rsid w:val="00874108"/>
    <w:rsid w:val="00874323"/>
    <w:rsid w:val="00876416"/>
    <w:rsid w:val="00880544"/>
    <w:rsid w:val="008808FF"/>
    <w:rsid w:val="00880E02"/>
    <w:rsid w:val="00881533"/>
    <w:rsid w:val="00881E90"/>
    <w:rsid w:val="008835F4"/>
    <w:rsid w:val="0088369B"/>
    <w:rsid w:val="008853F4"/>
    <w:rsid w:val="00885D9E"/>
    <w:rsid w:val="00886C19"/>
    <w:rsid w:val="0088710F"/>
    <w:rsid w:val="008911FE"/>
    <w:rsid w:val="00891554"/>
    <w:rsid w:val="0089221C"/>
    <w:rsid w:val="00892752"/>
    <w:rsid w:val="00893832"/>
    <w:rsid w:val="008943EE"/>
    <w:rsid w:val="008947F9"/>
    <w:rsid w:val="00894E31"/>
    <w:rsid w:val="008951B8"/>
    <w:rsid w:val="008951D3"/>
    <w:rsid w:val="0089571E"/>
    <w:rsid w:val="00896F08"/>
    <w:rsid w:val="0089724F"/>
    <w:rsid w:val="00897F14"/>
    <w:rsid w:val="00897F5D"/>
    <w:rsid w:val="008A0707"/>
    <w:rsid w:val="008A09C0"/>
    <w:rsid w:val="008A142D"/>
    <w:rsid w:val="008A1FC4"/>
    <w:rsid w:val="008A20E7"/>
    <w:rsid w:val="008A253F"/>
    <w:rsid w:val="008A2E89"/>
    <w:rsid w:val="008A3009"/>
    <w:rsid w:val="008A30D1"/>
    <w:rsid w:val="008A38CD"/>
    <w:rsid w:val="008A404E"/>
    <w:rsid w:val="008A48E8"/>
    <w:rsid w:val="008A50AB"/>
    <w:rsid w:val="008A522F"/>
    <w:rsid w:val="008A5B89"/>
    <w:rsid w:val="008A5D14"/>
    <w:rsid w:val="008A5F78"/>
    <w:rsid w:val="008A618F"/>
    <w:rsid w:val="008A7608"/>
    <w:rsid w:val="008A7D55"/>
    <w:rsid w:val="008A7E74"/>
    <w:rsid w:val="008A7EDA"/>
    <w:rsid w:val="008B1D9D"/>
    <w:rsid w:val="008B1EB2"/>
    <w:rsid w:val="008B1FA4"/>
    <w:rsid w:val="008B23F2"/>
    <w:rsid w:val="008B2417"/>
    <w:rsid w:val="008B3E8A"/>
    <w:rsid w:val="008B4B1B"/>
    <w:rsid w:val="008B4BA6"/>
    <w:rsid w:val="008B4CC5"/>
    <w:rsid w:val="008B55AA"/>
    <w:rsid w:val="008B6693"/>
    <w:rsid w:val="008B6827"/>
    <w:rsid w:val="008B698A"/>
    <w:rsid w:val="008B6FFF"/>
    <w:rsid w:val="008C12E2"/>
    <w:rsid w:val="008C1361"/>
    <w:rsid w:val="008C1FD3"/>
    <w:rsid w:val="008C32BF"/>
    <w:rsid w:val="008C3DE0"/>
    <w:rsid w:val="008C4616"/>
    <w:rsid w:val="008C489C"/>
    <w:rsid w:val="008C5420"/>
    <w:rsid w:val="008C7912"/>
    <w:rsid w:val="008C7A4F"/>
    <w:rsid w:val="008D03EE"/>
    <w:rsid w:val="008D05EC"/>
    <w:rsid w:val="008D0DCE"/>
    <w:rsid w:val="008D0F0A"/>
    <w:rsid w:val="008D1302"/>
    <w:rsid w:val="008D1354"/>
    <w:rsid w:val="008D1415"/>
    <w:rsid w:val="008D2549"/>
    <w:rsid w:val="008D3271"/>
    <w:rsid w:val="008D3CCE"/>
    <w:rsid w:val="008D434E"/>
    <w:rsid w:val="008D446D"/>
    <w:rsid w:val="008D4A65"/>
    <w:rsid w:val="008D556A"/>
    <w:rsid w:val="008D5FFF"/>
    <w:rsid w:val="008D6C6F"/>
    <w:rsid w:val="008D6F50"/>
    <w:rsid w:val="008D7E18"/>
    <w:rsid w:val="008E065A"/>
    <w:rsid w:val="008E0A01"/>
    <w:rsid w:val="008E1182"/>
    <w:rsid w:val="008E14E0"/>
    <w:rsid w:val="008E1D06"/>
    <w:rsid w:val="008E1DDD"/>
    <w:rsid w:val="008E1F54"/>
    <w:rsid w:val="008E2E2F"/>
    <w:rsid w:val="008E4022"/>
    <w:rsid w:val="008E407C"/>
    <w:rsid w:val="008E4C8B"/>
    <w:rsid w:val="008E70CC"/>
    <w:rsid w:val="008E7E65"/>
    <w:rsid w:val="008F016F"/>
    <w:rsid w:val="008F03CD"/>
    <w:rsid w:val="008F0670"/>
    <w:rsid w:val="008F06EE"/>
    <w:rsid w:val="008F1177"/>
    <w:rsid w:val="008F12B8"/>
    <w:rsid w:val="008F14BE"/>
    <w:rsid w:val="008F158D"/>
    <w:rsid w:val="008F1987"/>
    <w:rsid w:val="008F1F36"/>
    <w:rsid w:val="008F20E5"/>
    <w:rsid w:val="008F24D1"/>
    <w:rsid w:val="008F56D8"/>
    <w:rsid w:val="008F5EDC"/>
    <w:rsid w:val="008F6539"/>
    <w:rsid w:val="008F76C6"/>
    <w:rsid w:val="009006B0"/>
    <w:rsid w:val="0090159C"/>
    <w:rsid w:val="009017A0"/>
    <w:rsid w:val="00901893"/>
    <w:rsid w:val="00904A23"/>
    <w:rsid w:val="009063DB"/>
    <w:rsid w:val="009066C9"/>
    <w:rsid w:val="00906E20"/>
    <w:rsid w:val="00907000"/>
    <w:rsid w:val="00907888"/>
    <w:rsid w:val="009078C3"/>
    <w:rsid w:val="00910F53"/>
    <w:rsid w:val="0091175A"/>
    <w:rsid w:val="00912AC0"/>
    <w:rsid w:val="00912F5A"/>
    <w:rsid w:val="00913069"/>
    <w:rsid w:val="00913307"/>
    <w:rsid w:val="00913807"/>
    <w:rsid w:val="00914866"/>
    <w:rsid w:val="009163D0"/>
    <w:rsid w:val="00916ABE"/>
    <w:rsid w:val="00917A2E"/>
    <w:rsid w:val="00917DC0"/>
    <w:rsid w:val="00917FFC"/>
    <w:rsid w:val="009214D1"/>
    <w:rsid w:val="00922283"/>
    <w:rsid w:val="00922CDE"/>
    <w:rsid w:val="00923087"/>
    <w:rsid w:val="009231FE"/>
    <w:rsid w:val="00923593"/>
    <w:rsid w:val="00923F0B"/>
    <w:rsid w:val="0092401F"/>
    <w:rsid w:val="00924FAD"/>
    <w:rsid w:val="00925236"/>
    <w:rsid w:val="00925618"/>
    <w:rsid w:val="00925A58"/>
    <w:rsid w:val="00925C9A"/>
    <w:rsid w:val="0092622E"/>
    <w:rsid w:val="00926680"/>
    <w:rsid w:val="009267F0"/>
    <w:rsid w:val="00926911"/>
    <w:rsid w:val="00930B54"/>
    <w:rsid w:val="0093148D"/>
    <w:rsid w:val="00931C93"/>
    <w:rsid w:val="0093234E"/>
    <w:rsid w:val="00932C35"/>
    <w:rsid w:val="009335EC"/>
    <w:rsid w:val="00935AB2"/>
    <w:rsid w:val="00936D12"/>
    <w:rsid w:val="00937062"/>
    <w:rsid w:val="0093737F"/>
    <w:rsid w:val="009374E9"/>
    <w:rsid w:val="00940BB9"/>
    <w:rsid w:val="00941359"/>
    <w:rsid w:val="00941953"/>
    <w:rsid w:val="0094285F"/>
    <w:rsid w:val="0094355E"/>
    <w:rsid w:val="00943E2D"/>
    <w:rsid w:val="009441E2"/>
    <w:rsid w:val="009443EA"/>
    <w:rsid w:val="00944BB7"/>
    <w:rsid w:val="00944ECE"/>
    <w:rsid w:val="00945861"/>
    <w:rsid w:val="00946A15"/>
    <w:rsid w:val="0094784F"/>
    <w:rsid w:val="00950AB4"/>
    <w:rsid w:val="00952254"/>
    <w:rsid w:val="00954046"/>
    <w:rsid w:val="00954611"/>
    <w:rsid w:val="00955448"/>
    <w:rsid w:val="00955A98"/>
    <w:rsid w:val="00955C5D"/>
    <w:rsid w:val="00957A1F"/>
    <w:rsid w:val="009600A4"/>
    <w:rsid w:val="00960868"/>
    <w:rsid w:val="00962189"/>
    <w:rsid w:val="00962E06"/>
    <w:rsid w:val="00963314"/>
    <w:rsid w:val="009635B3"/>
    <w:rsid w:val="00963B56"/>
    <w:rsid w:val="00964086"/>
    <w:rsid w:val="009641CB"/>
    <w:rsid w:val="009646D1"/>
    <w:rsid w:val="00964760"/>
    <w:rsid w:val="00964B19"/>
    <w:rsid w:val="00964E7E"/>
    <w:rsid w:val="00965578"/>
    <w:rsid w:val="00965ABE"/>
    <w:rsid w:val="00967640"/>
    <w:rsid w:val="00967E58"/>
    <w:rsid w:val="00970412"/>
    <w:rsid w:val="009708A2"/>
    <w:rsid w:val="00970C3A"/>
    <w:rsid w:val="0097334B"/>
    <w:rsid w:val="0097353E"/>
    <w:rsid w:val="00973927"/>
    <w:rsid w:val="00974810"/>
    <w:rsid w:val="00975919"/>
    <w:rsid w:val="00976608"/>
    <w:rsid w:val="0097661A"/>
    <w:rsid w:val="009767BD"/>
    <w:rsid w:val="009768B2"/>
    <w:rsid w:val="00977AFB"/>
    <w:rsid w:val="009805C7"/>
    <w:rsid w:val="00980B96"/>
    <w:rsid w:val="00980D22"/>
    <w:rsid w:val="009818B6"/>
    <w:rsid w:val="009825E0"/>
    <w:rsid w:val="009833DE"/>
    <w:rsid w:val="00985E5A"/>
    <w:rsid w:val="00990064"/>
    <w:rsid w:val="00990FE8"/>
    <w:rsid w:val="0099184D"/>
    <w:rsid w:val="00992385"/>
    <w:rsid w:val="009924B3"/>
    <w:rsid w:val="00994094"/>
    <w:rsid w:val="0099434A"/>
    <w:rsid w:val="00994D51"/>
    <w:rsid w:val="009952BE"/>
    <w:rsid w:val="00995504"/>
    <w:rsid w:val="00995583"/>
    <w:rsid w:val="00995D19"/>
    <w:rsid w:val="00995D3C"/>
    <w:rsid w:val="009977E4"/>
    <w:rsid w:val="009A01F9"/>
    <w:rsid w:val="009A2D21"/>
    <w:rsid w:val="009A49FF"/>
    <w:rsid w:val="009A4DDF"/>
    <w:rsid w:val="009A506F"/>
    <w:rsid w:val="009A5A5E"/>
    <w:rsid w:val="009A63F6"/>
    <w:rsid w:val="009A6CBE"/>
    <w:rsid w:val="009B00E4"/>
    <w:rsid w:val="009B184C"/>
    <w:rsid w:val="009B1F29"/>
    <w:rsid w:val="009B2985"/>
    <w:rsid w:val="009B2A87"/>
    <w:rsid w:val="009B2CD8"/>
    <w:rsid w:val="009B44C7"/>
    <w:rsid w:val="009B4738"/>
    <w:rsid w:val="009B6331"/>
    <w:rsid w:val="009B6F25"/>
    <w:rsid w:val="009B7B6C"/>
    <w:rsid w:val="009C03D8"/>
    <w:rsid w:val="009C0EC4"/>
    <w:rsid w:val="009C1D4C"/>
    <w:rsid w:val="009C1D6F"/>
    <w:rsid w:val="009C1DD5"/>
    <w:rsid w:val="009C28A3"/>
    <w:rsid w:val="009C29CE"/>
    <w:rsid w:val="009C31BE"/>
    <w:rsid w:val="009C3293"/>
    <w:rsid w:val="009C344C"/>
    <w:rsid w:val="009C450E"/>
    <w:rsid w:val="009C563F"/>
    <w:rsid w:val="009C601A"/>
    <w:rsid w:val="009C60F9"/>
    <w:rsid w:val="009C63B4"/>
    <w:rsid w:val="009D06EB"/>
    <w:rsid w:val="009D1EE1"/>
    <w:rsid w:val="009D201A"/>
    <w:rsid w:val="009D23E1"/>
    <w:rsid w:val="009D3BE4"/>
    <w:rsid w:val="009D4087"/>
    <w:rsid w:val="009D4ED7"/>
    <w:rsid w:val="009D5C3B"/>
    <w:rsid w:val="009D6BA1"/>
    <w:rsid w:val="009D733D"/>
    <w:rsid w:val="009D7510"/>
    <w:rsid w:val="009E1290"/>
    <w:rsid w:val="009E159A"/>
    <w:rsid w:val="009E21A7"/>
    <w:rsid w:val="009E229E"/>
    <w:rsid w:val="009E2403"/>
    <w:rsid w:val="009E27DF"/>
    <w:rsid w:val="009E35E6"/>
    <w:rsid w:val="009E67D6"/>
    <w:rsid w:val="009E6EFC"/>
    <w:rsid w:val="009E7080"/>
    <w:rsid w:val="009E7407"/>
    <w:rsid w:val="009E7971"/>
    <w:rsid w:val="009F03FD"/>
    <w:rsid w:val="009F14C5"/>
    <w:rsid w:val="009F15A7"/>
    <w:rsid w:val="009F26C5"/>
    <w:rsid w:val="009F2C67"/>
    <w:rsid w:val="009F34C3"/>
    <w:rsid w:val="009F35E7"/>
    <w:rsid w:val="009F453D"/>
    <w:rsid w:val="009F4CDC"/>
    <w:rsid w:val="009F4F98"/>
    <w:rsid w:val="009F5B11"/>
    <w:rsid w:val="009F5BA6"/>
    <w:rsid w:val="009F5BF2"/>
    <w:rsid w:val="009F6613"/>
    <w:rsid w:val="009F681C"/>
    <w:rsid w:val="009F69AC"/>
    <w:rsid w:val="009F6FEE"/>
    <w:rsid w:val="009F79DA"/>
    <w:rsid w:val="009F7FF5"/>
    <w:rsid w:val="00A0075E"/>
    <w:rsid w:val="00A01048"/>
    <w:rsid w:val="00A0113D"/>
    <w:rsid w:val="00A0234D"/>
    <w:rsid w:val="00A02986"/>
    <w:rsid w:val="00A030A0"/>
    <w:rsid w:val="00A03D57"/>
    <w:rsid w:val="00A0437C"/>
    <w:rsid w:val="00A049A2"/>
    <w:rsid w:val="00A04B1C"/>
    <w:rsid w:val="00A0566F"/>
    <w:rsid w:val="00A07A10"/>
    <w:rsid w:val="00A11DFA"/>
    <w:rsid w:val="00A12A63"/>
    <w:rsid w:val="00A12DB3"/>
    <w:rsid w:val="00A1385B"/>
    <w:rsid w:val="00A13D14"/>
    <w:rsid w:val="00A13F89"/>
    <w:rsid w:val="00A14109"/>
    <w:rsid w:val="00A14958"/>
    <w:rsid w:val="00A156A7"/>
    <w:rsid w:val="00A15EE3"/>
    <w:rsid w:val="00A1627A"/>
    <w:rsid w:val="00A1674C"/>
    <w:rsid w:val="00A16ABC"/>
    <w:rsid w:val="00A16B26"/>
    <w:rsid w:val="00A16ECD"/>
    <w:rsid w:val="00A16F5B"/>
    <w:rsid w:val="00A1708C"/>
    <w:rsid w:val="00A1732C"/>
    <w:rsid w:val="00A17E21"/>
    <w:rsid w:val="00A20263"/>
    <w:rsid w:val="00A20404"/>
    <w:rsid w:val="00A2042D"/>
    <w:rsid w:val="00A217C8"/>
    <w:rsid w:val="00A21A89"/>
    <w:rsid w:val="00A223BC"/>
    <w:rsid w:val="00A22B8D"/>
    <w:rsid w:val="00A22C83"/>
    <w:rsid w:val="00A22CEB"/>
    <w:rsid w:val="00A23A6E"/>
    <w:rsid w:val="00A24D01"/>
    <w:rsid w:val="00A24D23"/>
    <w:rsid w:val="00A24FA3"/>
    <w:rsid w:val="00A253D7"/>
    <w:rsid w:val="00A27522"/>
    <w:rsid w:val="00A2778A"/>
    <w:rsid w:val="00A279A4"/>
    <w:rsid w:val="00A3019C"/>
    <w:rsid w:val="00A30D97"/>
    <w:rsid w:val="00A337A3"/>
    <w:rsid w:val="00A33A17"/>
    <w:rsid w:val="00A33F41"/>
    <w:rsid w:val="00A34FB8"/>
    <w:rsid w:val="00A3553E"/>
    <w:rsid w:val="00A36AD0"/>
    <w:rsid w:val="00A36E0D"/>
    <w:rsid w:val="00A36E21"/>
    <w:rsid w:val="00A40869"/>
    <w:rsid w:val="00A40D68"/>
    <w:rsid w:val="00A4179D"/>
    <w:rsid w:val="00A41952"/>
    <w:rsid w:val="00A42B14"/>
    <w:rsid w:val="00A436A0"/>
    <w:rsid w:val="00A4371E"/>
    <w:rsid w:val="00A448A2"/>
    <w:rsid w:val="00A458EA"/>
    <w:rsid w:val="00A45AD2"/>
    <w:rsid w:val="00A45C7F"/>
    <w:rsid w:val="00A45E4D"/>
    <w:rsid w:val="00A45ED1"/>
    <w:rsid w:val="00A462B9"/>
    <w:rsid w:val="00A467C2"/>
    <w:rsid w:val="00A5066D"/>
    <w:rsid w:val="00A509B6"/>
    <w:rsid w:val="00A51907"/>
    <w:rsid w:val="00A520E1"/>
    <w:rsid w:val="00A5231C"/>
    <w:rsid w:val="00A528C4"/>
    <w:rsid w:val="00A52BE5"/>
    <w:rsid w:val="00A52ED2"/>
    <w:rsid w:val="00A5322C"/>
    <w:rsid w:val="00A5379C"/>
    <w:rsid w:val="00A55136"/>
    <w:rsid w:val="00A559D7"/>
    <w:rsid w:val="00A56CF0"/>
    <w:rsid w:val="00A572AC"/>
    <w:rsid w:val="00A57839"/>
    <w:rsid w:val="00A57D46"/>
    <w:rsid w:val="00A60403"/>
    <w:rsid w:val="00A607C7"/>
    <w:rsid w:val="00A616FF"/>
    <w:rsid w:val="00A61D74"/>
    <w:rsid w:val="00A62726"/>
    <w:rsid w:val="00A63021"/>
    <w:rsid w:val="00A6374E"/>
    <w:rsid w:val="00A63BC3"/>
    <w:rsid w:val="00A6412A"/>
    <w:rsid w:val="00A64866"/>
    <w:rsid w:val="00A651C8"/>
    <w:rsid w:val="00A657F4"/>
    <w:rsid w:val="00A65959"/>
    <w:rsid w:val="00A65E87"/>
    <w:rsid w:val="00A71169"/>
    <w:rsid w:val="00A71B94"/>
    <w:rsid w:val="00A71ECE"/>
    <w:rsid w:val="00A728F9"/>
    <w:rsid w:val="00A7368E"/>
    <w:rsid w:val="00A73813"/>
    <w:rsid w:val="00A745D0"/>
    <w:rsid w:val="00A74C14"/>
    <w:rsid w:val="00A75958"/>
    <w:rsid w:val="00A75CC2"/>
    <w:rsid w:val="00A75FD0"/>
    <w:rsid w:val="00A762BF"/>
    <w:rsid w:val="00A76720"/>
    <w:rsid w:val="00A77807"/>
    <w:rsid w:val="00A803E9"/>
    <w:rsid w:val="00A804D3"/>
    <w:rsid w:val="00A804E6"/>
    <w:rsid w:val="00A80A25"/>
    <w:rsid w:val="00A818F7"/>
    <w:rsid w:val="00A81EFD"/>
    <w:rsid w:val="00A82D62"/>
    <w:rsid w:val="00A8324C"/>
    <w:rsid w:val="00A8374D"/>
    <w:rsid w:val="00A8477B"/>
    <w:rsid w:val="00A84AF4"/>
    <w:rsid w:val="00A8500D"/>
    <w:rsid w:val="00A85A49"/>
    <w:rsid w:val="00A8656D"/>
    <w:rsid w:val="00A86C16"/>
    <w:rsid w:val="00A871DF"/>
    <w:rsid w:val="00A873A6"/>
    <w:rsid w:val="00A87D68"/>
    <w:rsid w:val="00A90193"/>
    <w:rsid w:val="00A9073F"/>
    <w:rsid w:val="00A909AB"/>
    <w:rsid w:val="00A90F4C"/>
    <w:rsid w:val="00A91170"/>
    <w:rsid w:val="00A91EC1"/>
    <w:rsid w:val="00A92FEB"/>
    <w:rsid w:val="00A93136"/>
    <w:rsid w:val="00A9334F"/>
    <w:rsid w:val="00A94F94"/>
    <w:rsid w:val="00A958D3"/>
    <w:rsid w:val="00A95A6F"/>
    <w:rsid w:val="00A95BC7"/>
    <w:rsid w:val="00A9771B"/>
    <w:rsid w:val="00A97955"/>
    <w:rsid w:val="00AA016C"/>
    <w:rsid w:val="00AA082A"/>
    <w:rsid w:val="00AA2E7C"/>
    <w:rsid w:val="00AA3029"/>
    <w:rsid w:val="00AA33C1"/>
    <w:rsid w:val="00AA36EC"/>
    <w:rsid w:val="00AA3E25"/>
    <w:rsid w:val="00AA4689"/>
    <w:rsid w:val="00AA5975"/>
    <w:rsid w:val="00AA6B4F"/>
    <w:rsid w:val="00AA6BAE"/>
    <w:rsid w:val="00AA6C0E"/>
    <w:rsid w:val="00AA790A"/>
    <w:rsid w:val="00AB1889"/>
    <w:rsid w:val="00AB1901"/>
    <w:rsid w:val="00AB1F1B"/>
    <w:rsid w:val="00AB263D"/>
    <w:rsid w:val="00AB31AB"/>
    <w:rsid w:val="00AB32DD"/>
    <w:rsid w:val="00AB526C"/>
    <w:rsid w:val="00AB67FC"/>
    <w:rsid w:val="00AB699B"/>
    <w:rsid w:val="00AB6A02"/>
    <w:rsid w:val="00AB7ADF"/>
    <w:rsid w:val="00AB7F31"/>
    <w:rsid w:val="00AB7F81"/>
    <w:rsid w:val="00AB7FF3"/>
    <w:rsid w:val="00AC03A9"/>
    <w:rsid w:val="00AC1E22"/>
    <w:rsid w:val="00AC2414"/>
    <w:rsid w:val="00AC2489"/>
    <w:rsid w:val="00AC2511"/>
    <w:rsid w:val="00AC3932"/>
    <w:rsid w:val="00AC3BC8"/>
    <w:rsid w:val="00AC3C9E"/>
    <w:rsid w:val="00AC4082"/>
    <w:rsid w:val="00AC46C4"/>
    <w:rsid w:val="00AC4E7F"/>
    <w:rsid w:val="00AC50AD"/>
    <w:rsid w:val="00AC603F"/>
    <w:rsid w:val="00AC62F2"/>
    <w:rsid w:val="00AC6372"/>
    <w:rsid w:val="00AC64BC"/>
    <w:rsid w:val="00AC6BA3"/>
    <w:rsid w:val="00AC7C19"/>
    <w:rsid w:val="00AD057A"/>
    <w:rsid w:val="00AD12BA"/>
    <w:rsid w:val="00AD1A81"/>
    <w:rsid w:val="00AD1C12"/>
    <w:rsid w:val="00AD1E74"/>
    <w:rsid w:val="00AD23AD"/>
    <w:rsid w:val="00AD315A"/>
    <w:rsid w:val="00AD4341"/>
    <w:rsid w:val="00AD4D21"/>
    <w:rsid w:val="00AD5D23"/>
    <w:rsid w:val="00AD631E"/>
    <w:rsid w:val="00AD6524"/>
    <w:rsid w:val="00AD6C36"/>
    <w:rsid w:val="00AD71FF"/>
    <w:rsid w:val="00AE0443"/>
    <w:rsid w:val="00AE1240"/>
    <w:rsid w:val="00AE1C2C"/>
    <w:rsid w:val="00AE20B0"/>
    <w:rsid w:val="00AE2414"/>
    <w:rsid w:val="00AE266F"/>
    <w:rsid w:val="00AE272C"/>
    <w:rsid w:val="00AE3140"/>
    <w:rsid w:val="00AE3798"/>
    <w:rsid w:val="00AE3C5F"/>
    <w:rsid w:val="00AE45BC"/>
    <w:rsid w:val="00AE4F76"/>
    <w:rsid w:val="00AE5559"/>
    <w:rsid w:val="00AE5796"/>
    <w:rsid w:val="00AF126F"/>
    <w:rsid w:val="00AF1EB5"/>
    <w:rsid w:val="00AF34B2"/>
    <w:rsid w:val="00AF3662"/>
    <w:rsid w:val="00AF4063"/>
    <w:rsid w:val="00AF4759"/>
    <w:rsid w:val="00AF4CB5"/>
    <w:rsid w:val="00AF542B"/>
    <w:rsid w:val="00AF56F2"/>
    <w:rsid w:val="00AF5E6F"/>
    <w:rsid w:val="00AF6D33"/>
    <w:rsid w:val="00AF704C"/>
    <w:rsid w:val="00AF7811"/>
    <w:rsid w:val="00AF7A00"/>
    <w:rsid w:val="00B00BC0"/>
    <w:rsid w:val="00B0170F"/>
    <w:rsid w:val="00B01CDF"/>
    <w:rsid w:val="00B021E2"/>
    <w:rsid w:val="00B02392"/>
    <w:rsid w:val="00B02BEC"/>
    <w:rsid w:val="00B02D38"/>
    <w:rsid w:val="00B0346B"/>
    <w:rsid w:val="00B0352F"/>
    <w:rsid w:val="00B04242"/>
    <w:rsid w:val="00B0462F"/>
    <w:rsid w:val="00B0477D"/>
    <w:rsid w:val="00B058E5"/>
    <w:rsid w:val="00B05F7E"/>
    <w:rsid w:val="00B060CC"/>
    <w:rsid w:val="00B06A38"/>
    <w:rsid w:val="00B06EB1"/>
    <w:rsid w:val="00B07592"/>
    <w:rsid w:val="00B0761F"/>
    <w:rsid w:val="00B07826"/>
    <w:rsid w:val="00B07F31"/>
    <w:rsid w:val="00B106DD"/>
    <w:rsid w:val="00B1196F"/>
    <w:rsid w:val="00B11B01"/>
    <w:rsid w:val="00B11E8E"/>
    <w:rsid w:val="00B1240B"/>
    <w:rsid w:val="00B125F8"/>
    <w:rsid w:val="00B13627"/>
    <w:rsid w:val="00B14003"/>
    <w:rsid w:val="00B141B9"/>
    <w:rsid w:val="00B14DCF"/>
    <w:rsid w:val="00B15813"/>
    <w:rsid w:val="00B15878"/>
    <w:rsid w:val="00B15C0D"/>
    <w:rsid w:val="00B1697B"/>
    <w:rsid w:val="00B16D09"/>
    <w:rsid w:val="00B1754F"/>
    <w:rsid w:val="00B17C2C"/>
    <w:rsid w:val="00B17FB5"/>
    <w:rsid w:val="00B2008A"/>
    <w:rsid w:val="00B205FD"/>
    <w:rsid w:val="00B21F73"/>
    <w:rsid w:val="00B2249B"/>
    <w:rsid w:val="00B2278A"/>
    <w:rsid w:val="00B22D8C"/>
    <w:rsid w:val="00B23F32"/>
    <w:rsid w:val="00B24D56"/>
    <w:rsid w:val="00B24D9E"/>
    <w:rsid w:val="00B25E97"/>
    <w:rsid w:val="00B26376"/>
    <w:rsid w:val="00B2670C"/>
    <w:rsid w:val="00B26C72"/>
    <w:rsid w:val="00B276BC"/>
    <w:rsid w:val="00B27EE7"/>
    <w:rsid w:val="00B30A82"/>
    <w:rsid w:val="00B33579"/>
    <w:rsid w:val="00B34A3E"/>
    <w:rsid w:val="00B34E51"/>
    <w:rsid w:val="00B35236"/>
    <w:rsid w:val="00B35437"/>
    <w:rsid w:val="00B35515"/>
    <w:rsid w:val="00B36156"/>
    <w:rsid w:val="00B36E9C"/>
    <w:rsid w:val="00B4055D"/>
    <w:rsid w:val="00B40732"/>
    <w:rsid w:val="00B40A4E"/>
    <w:rsid w:val="00B4112C"/>
    <w:rsid w:val="00B42A09"/>
    <w:rsid w:val="00B42E95"/>
    <w:rsid w:val="00B4301F"/>
    <w:rsid w:val="00B432B1"/>
    <w:rsid w:val="00B4384E"/>
    <w:rsid w:val="00B43AC5"/>
    <w:rsid w:val="00B449C4"/>
    <w:rsid w:val="00B45FA8"/>
    <w:rsid w:val="00B46472"/>
    <w:rsid w:val="00B46711"/>
    <w:rsid w:val="00B47E6D"/>
    <w:rsid w:val="00B51978"/>
    <w:rsid w:val="00B51ED9"/>
    <w:rsid w:val="00B526F3"/>
    <w:rsid w:val="00B530C1"/>
    <w:rsid w:val="00B53BDA"/>
    <w:rsid w:val="00B53D67"/>
    <w:rsid w:val="00B53E34"/>
    <w:rsid w:val="00B53F9F"/>
    <w:rsid w:val="00B55DBB"/>
    <w:rsid w:val="00B56555"/>
    <w:rsid w:val="00B56802"/>
    <w:rsid w:val="00B56A09"/>
    <w:rsid w:val="00B56AD6"/>
    <w:rsid w:val="00B570CF"/>
    <w:rsid w:val="00B57598"/>
    <w:rsid w:val="00B57C2D"/>
    <w:rsid w:val="00B607BA"/>
    <w:rsid w:val="00B60BE0"/>
    <w:rsid w:val="00B62486"/>
    <w:rsid w:val="00B62B25"/>
    <w:rsid w:val="00B63478"/>
    <w:rsid w:val="00B63C3A"/>
    <w:rsid w:val="00B640DE"/>
    <w:rsid w:val="00B64AE1"/>
    <w:rsid w:val="00B661B2"/>
    <w:rsid w:val="00B665FC"/>
    <w:rsid w:val="00B66ED7"/>
    <w:rsid w:val="00B6734A"/>
    <w:rsid w:val="00B70649"/>
    <w:rsid w:val="00B70C78"/>
    <w:rsid w:val="00B70ED4"/>
    <w:rsid w:val="00B712FE"/>
    <w:rsid w:val="00B726DC"/>
    <w:rsid w:val="00B72E3B"/>
    <w:rsid w:val="00B73662"/>
    <w:rsid w:val="00B736EB"/>
    <w:rsid w:val="00B74590"/>
    <w:rsid w:val="00B74C7C"/>
    <w:rsid w:val="00B75462"/>
    <w:rsid w:val="00B75906"/>
    <w:rsid w:val="00B75A65"/>
    <w:rsid w:val="00B75F99"/>
    <w:rsid w:val="00B7622E"/>
    <w:rsid w:val="00B77076"/>
    <w:rsid w:val="00B7747E"/>
    <w:rsid w:val="00B77DC9"/>
    <w:rsid w:val="00B806C4"/>
    <w:rsid w:val="00B8108F"/>
    <w:rsid w:val="00B8244D"/>
    <w:rsid w:val="00B8298B"/>
    <w:rsid w:val="00B82C39"/>
    <w:rsid w:val="00B836B5"/>
    <w:rsid w:val="00B83B0E"/>
    <w:rsid w:val="00B83F78"/>
    <w:rsid w:val="00B8453C"/>
    <w:rsid w:val="00B84B11"/>
    <w:rsid w:val="00B8568B"/>
    <w:rsid w:val="00B85A58"/>
    <w:rsid w:val="00B85ABB"/>
    <w:rsid w:val="00B8657B"/>
    <w:rsid w:val="00B86B0F"/>
    <w:rsid w:val="00B87461"/>
    <w:rsid w:val="00B908B3"/>
    <w:rsid w:val="00B90ACD"/>
    <w:rsid w:val="00B90E0D"/>
    <w:rsid w:val="00B91450"/>
    <w:rsid w:val="00B92C89"/>
    <w:rsid w:val="00B92EA3"/>
    <w:rsid w:val="00B9331A"/>
    <w:rsid w:val="00B934C5"/>
    <w:rsid w:val="00B93BEE"/>
    <w:rsid w:val="00B941E6"/>
    <w:rsid w:val="00B946F1"/>
    <w:rsid w:val="00B9488E"/>
    <w:rsid w:val="00B95D94"/>
    <w:rsid w:val="00B960F0"/>
    <w:rsid w:val="00B9636D"/>
    <w:rsid w:val="00B96837"/>
    <w:rsid w:val="00B97524"/>
    <w:rsid w:val="00B97C45"/>
    <w:rsid w:val="00B97DBE"/>
    <w:rsid w:val="00BA0842"/>
    <w:rsid w:val="00BA14C4"/>
    <w:rsid w:val="00BA250D"/>
    <w:rsid w:val="00BA2D2D"/>
    <w:rsid w:val="00BA2E10"/>
    <w:rsid w:val="00BA2F31"/>
    <w:rsid w:val="00BA3410"/>
    <w:rsid w:val="00BA353F"/>
    <w:rsid w:val="00BA3731"/>
    <w:rsid w:val="00BA4731"/>
    <w:rsid w:val="00BA47A8"/>
    <w:rsid w:val="00BA57F2"/>
    <w:rsid w:val="00BA6082"/>
    <w:rsid w:val="00BA6389"/>
    <w:rsid w:val="00BA63F1"/>
    <w:rsid w:val="00BA662E"/>
    <w:rsid w:val="00BA69B7"/>
    <w:rsid w:val="00BA7A74"/>
    <w:rsid w:val="00BB0AFF"/>
    <w:rsid w:val="00BB191C"/>
    <w:rsid w:val="00BB1B1A"/>
    <w:rsid w:val="00BB3B52"/>
    <w:rsid w:val="00BB3DFC"/>
    <w:rsid w:val="00BB3EC6"/>
    <w:rsid w:val="00BB51DA"/>
    <w:rsid w:val="00BB5347"/>
    <w:rsid w:val="00BB5900"/>
    <w:rsid w:val="00BB6499"/>
    <w:rsid w:val="00BB6BF9"/>
    <w:rsid w:val="00BB6E9E"/>
    <w:rsid w:val="00BB6F78"/>
    <w:rsid w:val="00BB729B"/>
    <w:rsid w:val="00BB7D2D"/>
    <w:rsid w:val="00BC0BFC"/>
    <w:rsid w:val="00BC0D30"/>
    <w:rsid w:val="00BC0F65"/>
    <w:rsid w:val="00BC0FF9"/>
    <w:rsid w:val="00BC1050"/>
    <w:rsid w:val="00BC187C"/>
    <w:rsid w:val="00BC1913"/>
    <w:rsid w:val="00BC19E4"/>
    <w:rsid w:val="00BC1F9E"/>
    <w:rsid w:val="00BC24FE"/>
    <w:rsid w:val="00BC2975"/>
    <w:rsid w:val="00BC3ACE"/>
    <w:rsid w:val="00BC3B46"/>
    <w:rsid w:val="00BC3C50"/>
    <w:rsid w:val="00BC3FBD"/>
    <w:rsid w:val="00BC4377"/>
    <w:rsid w:val="00BC4A24"/>
    <w:rsid w:val="00BC4C17"/>
    <w:rsid w:val="00BC4EA9"/>
    <w:rsid w:val="00BC54EB"/>
    <w:rsid w:val="00BC5AE0"/>
    <w:rsid w:val="00BC608D"/>
    <w:rsid w:val="00BC6F88"/>
    <w:rsid w:val="00BC786D"/>
    <w:rsid w:val="00BD0BA6"/>
    <w:rsid w:val="00BD185B"/>
    <w:rsid w:val="00BD20CC"/>
    <w:rsid w:val="00BD2615"/>
    <w:rsid w:val="00BD28A6"/>
    <w:rsid w:val="00BD2A46"/>
    <w:rsid w:val="00BD2F67"/>
    <w:rsid w:val="00BD3056"/>
    <w:rsid w:val="00BD32BE"/>
    <w:rsid w:val="00BD3650"/>
    <w:rsid w:val="00BD4054"/>
    <w:rsid w:val="00BD5D18"/>
    <w:rsid w:val="00BD64B5"/>
    <w:rsid w:val="00BD7ABA"/>
    <w:rsid w:val="00BD7F36"/>
    <w:rsid w:val="00BE05D1"/>
    <w:rsid w:val="00BE0929"/>
    <w:rsid w:val="00BE0A96"/>
    <w:rsid w:val="00BE103A"/>
    <w:rsid w:val="00BE10EE"/>
    <w:rsid w:val="00BE14C2"/>
    <w:rsid w:val="00BE2E19"/>
    <w:rsid w:val="00BE394F"/>
    <w:rsid w:val="00BE4197"/>
    <w:rsid w:val="00BE41C3"/>
    <w:rsid w:val="00BE4705"/>
    <w:rsid w:val="00BE5B99"/>
    <w:rsid w:val="00BE5BD8"/>
    <w:rsid w:val="00BE5D00"/>
    <w:rsid w:val="00BE5D85"/>
    <w:rsid w:val="00BE5DD8"/>
    <w:rsid w:val="00BE60A0"/>
    <w:rsid w:val="00BE62BD"/>
    <w:rsid w:val="00BE6512"/>
    <w:rsid w:val="00BE6B30"/>
    <w:rsid w:val="00BE7584"/>
    <w:rsid w:val="00BE79D6"/>
    <w:rsid w:val="00BF025B"/>
    <w:rsid w:val="00BF1F51"/>
    <w:rsid w:val="00BF3041"/>
    <w:rsid w:val="00BF310A"/>
    <w:rsid w:val="00BF3136"/>
    <w:rsid w:val="00BF34E9"/>
    <w:rsid w:val="00BF4579"/>
    <w:rsid w:val="00BF4A20"/>
    <w:rsid w:val="00BF4B1A"/>
    <w:rsid w:val="00BF54B4"/>
    <w:rsid w:val="00BF57E5"/>
    <w:rsid w:val="00BF5E40"/>
    <w:rsid w:val="00BF6D1B"/>
    <w:rsid w:val="00BF6DDF"/>
    <w:rsid w:val="00BF6ED0"/>
    <w:rsid w:val="00BF6EFE"/>
    <w:rsid w:val="00BF76C3"/>
    <w:rsid w:val="00BF7890"/>
    <w:rsid w:val="00BF7E8A"/>
    <w:rsid w:val="00BF7E9F"/>
    <w:rsid w:val="00C0073F"/>
    <w:rsid w:val="00C01C6E"/>
    <w:rsid w:val="00C02335"/>
    <w:rsid w:val="00C0270D"/>
    <w:rsid w:val="00C034C9"/>
    <w:rsid w:val="00C045B5"/>
    <w:rsid w:val="00C045FE"/>
    <w:rsid w:val="00C061E9"/>
    <w:rsid w:val="00C06F66"/>
    <w:rsid w:val="00C076A7"/>
    <w:rsid w:val="00C10F7C"/>
    <w:rsid w:val="00C11F13"/>
    <w:rsid w:val="00C12439"/>
    <w:rsid w:val="00C1246A"/>
    <w:rsid w:val="00C12CBF"/>
    <w:rsid w:val="00C13DC2"/>
    <w:rsid w:val="00C13F81"/>
    <w:rsid w:val="00C14753"/>
    <w:rsid w:val="00C14E29"/>
    <w:rsid w:val="00C1589F"/>
    <w:rsid w:val="00C172C8"/>
    <w:rsid w:val="00C1787A"/>
    <w:rsid w:val="00C17983"/>
    <w:rsid w:val="00C201ED"/>
    <w:rsid w:val="00C203CD"/>
    <w:rsid w:val="00C21AF5"/>
    <w:rsid w:val="00C21BC8"/>
    <w:rsid w:val="00C21CD7"/>
    <w:rsid w:val="00C22244"/>
    <w:rsid w:val="00C22E6A"/>
    <w:rsid w:val="00C23072"/>
    <w:rsid w:val="00C23F71"/>
    <w:rsid w:val="00C24274"/>
    <w:rsid w:val="00C2493A"/>
    <w:rsid w:val="00C25817"/>
    <w:rsid w:val="00C26138"/>
    <w:rsid w:val="00C2711E"/>
    <w:rsid w:val="00C278DA"/>
    <w:rsid w:val="00C30A4F"/>
    <w:rsid w:val="00C30A52"/>
    <w:rsid w:val="00C30CF1"/>
    <w:rsid w:val="00C30E4C"/>
    <w:rsid w:val="00C31E32"/>
    <w:rsid w:val="00C326DD"/>
    <w:rsid w:val="00C32884"/>
    <w:rsid w:val="00C33F8C"/>
    <w:rsid w:val="00C3489F"/>
    <w:rsid w:val="00C359A7"/>
    <w:rsid w:val="00C4003D"/>
    <w:rsid w:val="00C41F86"/>
    <w:rsid w:val="00C42D49"/>
    <w:rsid w:val="00C4349E"/>
    <w:rsid w:val="00C43974"/>
    <w:rsid w:val="00C439D7"/>
    <w:rsid w:val="00C43C1C"/>
    <w:rsid w:val="00C43D13"/>
    <w:rsid w:val="00C441C2"/>
    <w:rsid w:val="00C44429"/>
    <w:rsid w:val="00C44EC6"/>
    <w:rsid w:val="00C44F59"/>
    <w:rsid w:val="00C4517E"/>
    <w:rsid w:val="00C4652F"/>
    <w:rsid w:val="00C46EF5"/>
    <w:rsid w:val="00C47715"/>
    <w:rsid w:val="00C50784"/>
    <w:rsid w:val="00C5116D"/>
    <w:rsid w:val="00C52E1C"/>
    <w:rsid w:val="00C52F20"/>
    <w:rsid w:val="00C545C6"/>
    <w:rsid w:val="00C55C65"/>
    <w:rsid w:val="00C55DDC"/>
    <w:rsid w:val="00C56ACF"/>
    <w:rsid w:val="00C577B9"/>
    <w:rsid w:val="00C57C79"/>
    <w:rsid w:val="00C60064"/>
    <w:rsid w:val="00C602CD"/>
    <w:rsid w:val="00C617C5"/>
    <w:rsid w:val="00C62234"/>
    <w:rsid w:val="00C623CA"/>
    <w:rsid w:val="00C62F6B"/>
    <w:rsid w:val="00C652A2"/>
    <w:rsid w:val="00C65BC2"/>
    <w:rsid w:val="00C65D31"/>
    <w:rsid w:val="00C662B6"/>
    <w:rsid w:val="00C6723A"/>
    <w:rsid w:val="00C675F8"/>
    <w:rsid w:val="00C67804"/>
    <w:rsid w:val="00C67A15"/>
    <w:rsid w:val="00C67CCC"/>
    <w:rsid w:val="00C70377"/>
    <w:rsid w:val="00C70FF4"/>
    <w:rsid w:val="00C71615"/>
    <w:rsid w:val="00C71967"/>
    <w:rsid w:val="00C71FB0"/>
    <w:rsid w:val="00C71FC7"/>
    <w:rsid w:val="00C73321"/>
    <w:rsid w:val="00C73B8C"/>
    <w:rsid w:val="00C73BBE"/>
    <w:rsid w:val="00C74B7C"/>
    <w:rsid w:val="00C75270"/>
    <w:rsid w:val="00C75A44"/>
    <w:rsid w:val="00C7656B"/>
    <w:rsid w:val="00C76CB9"/>
    <w:rsid w:val="00C778BD"/>
    <w:rsid w:val="00C80D7D"/>
    <w:rsid w:val="00C81085"/>
    <w:rsid w:val="00C81438"/>
    <w:rsid w:val="00C81DB1"/>
    <w:rsid w:val="00C822BE"/>
    <w:rsid w:val="00C828F8"/>
    <w:rsid w:val="00C83EC2"/>
    <w:rsid w:val="00C849B1"/>
    <w:rsid w:val="00C85632"/>
    <w:rsid w:val="00C856E8"/>
    <w:rsid w:val="00C86125"/>
    <w:rsid w:val="00C86353"/>
    <w:rsid w:val="00C87141"/>
    <w:rsid w:val="00C87BA6"/>
    <w:rsid w:val="00C90340"/>
    <w:rsid w:val="00C90DA1"/>
    <w:rsid w:val="00C91199"/>
    <w:rsid w:val="00C91D53"/>
    <w:rsid w:val="00C921E2"/>
    <w:rsid w:val="00C9477F"/>
    <w:rsid w:val="00C9495B"/>
    <w:rsid w:val="00C94A77"/>
    <w:rsid w:val="00C95004"/>
    <w:rsid w:val="00C95BBF"/>
    <w:rsid w:val="00C97BA8"/>
    <w:rsid w:val="00CA06ED"/>
    <w:rsid w:val="00CA0825"/>
    <w:rsid w:val="00CA0B6C"/>
    <w:rsid w:val="00CA1D07"/>
    <w:rsid w:val="00CA22E7"/>
    <w:rsid w:val="00CA3827"/>
    <w:rsid w:val="00CA59AB"/>
    <w:rsid w:val="00CA5A0F"/>
    <w:rsid w:val="00CA5F3D"/>
    <w:rsid w:val="00CA6387"/>
    <w:rsid w:val="00CA6648"/>
    <w:rsid w:val="00CA6FD1"/>
    <w:rsid w:val="00CB0388"/>
    <w:rsid w:val="00CB20FF"/>
    <w:rsid w:val="00CB2292"/>
    <w:rsid w:val="00CB22CE"/>
    <w:rsid w:val="00CB281D"/>
    <w:rsid w:val="00CB2A45"/>
    <w:rsid w:val="00CB2AE8"/>
    <w:rsid w:val="00CB517D"/>
    <w:rsid w:val="00CB6299"/>
    <w:rsid w:val="00CB62A2"/>
    <w:rsid w:val="00CB71FB"/>
    <w:rsid w:val="00CC0B84"/>
    <w:rsid w:val="00CC12EA"/>
    <w:rsid w:val="00CC1F66"/>
    <w:rsid w:val="00CC27EC"/>
    <w:rsid w:val="00CC2C3D"/>
    <w:rsid w:val="00CC4363"/>
    <w:rsid w:val="00CC4CC2"/>
    <w:rsid w:val="00CC5C72"/>
    <w:rsid w:val="00CC5D6A"/>
    <w:rsid w:val="00CC75EC"/>
    <w:rsid w:val="00CC7A83"/>
    <w:rsid w:val="00CD0DB5"/>
    <w:rsid w:val="00CD235A"/>
    <w:rsid w:val="00CD32AA"/>
    <w:rsid w:val="00CD3CE4"/>
    <w:rsid w:val="00CD40FC"/>
    <w:rsid w:val="00CD490A"/>
    <w:rsid w:val="00CD5612"/>
    <w:rsid w:val="00CD6A64"/>
    <w:rsid w:val="00CD6E6C"/>
    <w:rsid w:val="00CD7B37"/>
    <w:rsid w:val="00CD7BD7"/>
    <w:rsid w:val="00CD7D49"/>
    <w:rsid w:val="00CD7D70"/>
    <w:rsid w:val="00CE1793"/>
    <w:rsid w:val="00CE1A8F"/>
    <w:rsid w:val="00CE23EB"/>
    <w:rsid w:val="00CE26B8"/>
    <w:rsid w:val="00CE26DD"/>
    <w:rsid w:val="00CE2C61"/>
    <w:rsid w:val="00CE4660"/>
    <w:rsid w:val="00CE483E"/>
    <w:rsid w:val="00CE4F02"/>
    <w:rsid w:val="00CE51CB"/>
    <w:rsid w:val="00CE55F3"/>
    <w:rsid w:val="00CE5A83"/>
    <w:rsid w:val="00CE654B"/>
    <w:rsid w:val="00CE6834"/>
    <w:rsid w:val="00CE6C8C"/>
    <w:rsid w:val="00CE6FE0"/>
    <w:rsid w:val="00CE752A"/>
    <w:rsid w:val="00CE7F1F"/>
    <w:rsid w:val="00CE7FD5"/>
    <w:rsid w:val="00CF21CF"/>
    <w:rsid w:val="00CF2855"/>
    <w:rsid w:val="00CF29DA"/>
    <w:rsid w:val="00CF34E1"/>
    <w:rsid w:val="00CF3C9B"/>
    <w:rsid w:val="00CF4884"/>
    <w:rsid w:val="00CF5A30"/>
    <w:rsid w:val="00CF723E"/>
    <w:rsid w:val="00D00B73"/>
    <w:rsid w:val="00D01729"/>
    <w:rsid w:val="00D01D6B"/>
    <w:rsid w:val="00D02375"/>
    <w:rsid w:val="00D025CD"/>
    <w:rsid w:val="00D0291F"/>
    <w:rsid w:val="00D02CCE"/>
    <w:rsid w:val="00D03101"/>
    <w:rsid w:val="00D032FB"/>
    <w:rsid w:val="00D04746"/>
    <w:rsid w:val="00D04996"/>
    <w:rsid w:val="00D04D00"/>
    <w:rsid w:val="00D05096"/>
    <w:rsid w:val="00D052D9"/>
    <w:rsid w:val="00D06109"/>
    <w:rsid w:val="00D069EA"/>
    <w:rsid w:val="00D07670"/>
    <w:rsid w:val="00D0768A"/>
    <w:rsid w:val="00D11FD8"/>
    <w:rsid w:val="00D128A0"/>
    <w:rsid w:val="00D13CA9"/>
    <w:rsid w:val="00D13CEA"/>
    <w:rsid w:val="00D13E9D"/>
    <w:rsid w:val="00D141B4"/>
    <w:rsid w:val="00D14210"/>
    <w:rsid w:val="00D142A4"/>
    <w:rsid w:val="00D14CAC"/>
    <w:rsid w:val="00D1550B"/>
    <w:rsid w:val="00D16031"/>
    <w:rsid w:val="00D161FB"/>
    <w:rsid w:val="00D17ADF"/>
    <w:rsid w:val="00D17CCF"/>
    <w:rsid w:val="00D200A8"/>
    <w:rsid w:val="00D205EC"/>
    <w:rsid w:val="00D2158E"/>
    <w:rsid w:val="00D221EA"/>
    <w:rsid w:val="00D2244B"/>
    <w:rsid w:val="00D22AB0"/>
    <w:rsid w:val="00D23131"/>
    <w:rsid w:val="00D23766"/>
    <w:rsid w:val="00D2399D"/>
    <w:rsid w:val="00D2408B"/>
    <w:rsid w:val="00D24530"/>
    <w:rsid w:val="00D24A45"/>
    <w:rsid w:val="00D25308"/>
    <w:rsid w:val="00D25360"/>
    <w:rsid w:val="00D25C2E"/>
    <w:rsid w:val="00D25F3A"/>
    <w:rsid w:val="00D278A7"/>
    <w:rsid w:val="00D310C6"/>
    <w:rsid w:val="00D313B7"/>
    <w:rsid w:val="00D31A94"/>
    <w:rsid w:val="00D32B44"/>
    <w:rsid w:val="00D330A1"/>
    <w:rsid w:val="00D33D7F"/>
    <w:rsid w:val="00D35484"/>
    <w:rsid w:val="00D36700"/>
    <w:rsid w:val="00D36A55"/>
    <w:rsid w:val="00D42048"/>
    <w:rsid w:val="00D4268B"/>
    <w:rsid w:val="00D43A6C"/>
    <w:rsid w:val="00D44544"/>
    <w:rsid w:val="00D44B3F"/>
    <w:rsid w:val="00D46825"/>
    <w:rsid w:val="00D46D56"/>
    <w:rsid w:val="00D46D63"/>
    <w:rsid w:val="00D4718E"/>
    <w:rsid w:val="00D473C2"/>
    <w:rsid w:val="00D47DA1"/>
    <w:rsid w:val="00D50622"/>
    <w:rsid w:val="00D5179E"/>
    <w:rsid w:val="00D51A15"/>
    <w:rsid w:val="00D52FF6"/>
    <w:rsid w:val="00D543FA"/>
    <w:rsid w:val="00D5461E"/>
    <w:rsid w:val="00D5469D"/>
    <w:rsid w:val="00D56567"/>
    <w:rsid w:val="00D60755"/>
    <w:rsid w:val="00D6075D"/>
    <w:rsid w:val="00D6096B"/>
    <w:rsid w:val="00D60F32"/>
    <w:rsid w:val="00D63224"/>
    <w:rsid w:val="00D658D7"/>
    <w:rsid w:val="00D65EAE"/>
    <w:rsid w:val="00D66BB5"/>
    <w:rsid w:val="00D677A2"/>
    <w:rsid w:val="00D67D96"/>
    <w:rsid w:val="00D713B3"/>
    <w:rsid w:val="00D72526"/>
    <w:rsid w:val="00D74402"/>
    <w:rsid w:val="00D74A5C"/>
    <w:rsid w:val="00D753AA"/>
    <w:rsid w:val="00D773DA"/>
    <w:rsid w:val="00D77D04"/>
    <w:rsid w:val="00D80872"/>
    <w:rsid w:val="00D8239D"/>
    <w:rsid w:val="00D843DB"/>
    <w:rsid w:val="00D84AFD"/>
    <w:rsid w:val="00D84DD2"/>
    <w:rsid w:val="00D84E38"/>
    <w:rsid w:val="00D85304"/>
    <w:rsid w:val="00D85579"/>
    <w:rsid w:val="00D85EF8"/>
    <w:rsid w:val="00D860A5"/>
    <w:rsid w:val="00D86147"/>
    <w:rsid w:val="00D879EC"/>
    <w:rsid w:val="00D87B65"/>
    <w:rsid w:val="00D87FC4"/>
    <w:rsid w:val="00D90F20"/>
    <w:rsid w:val="00D919FB"/>
    <w:rsid w:val="00D91CA4"/>
    <w:rsid w:val="00D91D63"/>
    <w:rsid w:val="00D92F8E"/>
    <w:rsid w:val="00D93363"/>
    <w:rsid w:val="00D9400E"/>
    <w:rsid w:val="00D946A5"/>
    <w:rsid w:val="00D957CB"/>
    <w:rsid w:val="00D95986"/>
    <w:rsid w:val="00D965E0"/>
    <w:rsid w:val="00D96BCC"/>
    <w:rsid w:val="00D9719F"/>
    <w:rsid w:val="00D974A8"/>
    <w:rsid w:val="00D977B5"/>
    <w:rsid w:val="00D97CAC"/>
    <w:rsid w:val="00DA019B"/>
    <w:rsid w:val="00DA05D0"/>
    <w:rsid w:val="00DA06C0"/>
    <w:rsid w:val="00DA09DC"/>
    <w:rsid w:val="00DA0C8E"/>
    <w:rsid w:val="00DA0DFA"/>
    <w:rsid w:val="00DA1189"/>
    <w:rsid w:val="00DA1E6B"/>
    <w:rsid w:val="00DA2738"/>
    <w:rsid w:val="00DA2BFC"/>
    <w:rsid w:val="00DA2E53"/>
    <w:rsid w:val="00DA3872"/>
    <w:rsid w:val="00DA3EE6"/>
    <w:rsid w:val="00DA409A"/>
    <w:rsid w:val="00DA4412"/>
    <w:rsid w:val="00DA48DC"/>
    <w:rsid w:val="00DA5BB9"/>
    <w:rsid w:val="00DA5FD1"/>
    <w:rsid w:val="00DA6F20"/>
    <w:rsid w:val="00DB0189"/>
    <w:rsid w:val="00DB06D4"/>
    <w:rsid w:val="00DB0B43"/>
    <w:rsid w:val="00DB1306"/>
    <w:rsid w:val="00DB184B"/>
    <w:rsid w:val="00DB26A3"/>
    <w:rsid w:val="00DB2C07"/>
    <w:rsid w:val="00DB39EC"/>
    <w:rsid w:val="00DB4A38"/>
    <w:rsid w:val="00DB4B6E"/>
    <w:rsid w:val="00DB5085"/>
    <w:rsid w:val="00DB53D3"/>
    <w:rsid w:val="00DB5C8B"/>
    <w:rsid w:val="00DB618B"/>
    <w:rsid w:val="00DB7024"/>
    <w:rsid w:val="00DB72A8"/>
    <w:rsid w:val="00DB7C23"/>
    <w:rsid w:val="00DB7F0E"/>
    <w:rsid w:val="00DC11B8"/>
    <w:rsid w:val="00DC3BA7"/>
    <w:rsid w:val="00DC3EDE"/>
    <w:rsid w:val="00DC4E07"/>
    <w:rsid w:val="00DC5E32"/>
    <w:rsid w:val="00DC5F7C"/>
    <w:rsid w:val="00DC7715"/>
    <w:rsid w:val="00DD0442"/>
    <w:rsid w:val="00DD0EC0"/>
    <w:rsid w:val="00DD15AB"/>
    <w:rsid w:val="00DD1F99"/>
    <w:rsid w:val="00DD2136"/>
    <w:rsid w:val="00DD344D"/>
    <w:rsid w:val="00DD3E5E"/>
    <w:rsid w:val="00DD41B3"/>
    <w:rsid w:val="00DD430D"/>
    <w:rsid w:val="00DD5A1D"/>
    <w:rsid w:val="00DD624B"/>
    <w:rsid w:val="00DD7383"/>
    <w:rsid w:val="00DD743A"/>
    <w:rsid w:val="00DD7495"/>
    <w:rsid w:val="00DE0C9A"/>
    <w:rsid w:val="00DE0FA8"/>
    <w:rsid w:val="00DE168D"/>
    <w:rsid w:val="00DE2DFB"/>
    <w:rsid w:val="00DE2EAE"/>
    <w:rsid w:val="00DE4274"/>
    <w:rsid w:val="00DE45C7"/>
    <w:rsid w:val="00DE4784"/>
    <w:rsid w:val="00DE4CE6"/>
    <w:rsid w:val="00DE6AA7"/>
    <w:rsid w:val="00DE719F"/>
    <w:rsid w:val="00DE783C"/>
    <w:rsid w:val="00DF01D9"/>
    <w:rsid w:val="00DF195B"/>
    <w:rsid w:val="00DF1AB4"/>
    <w:rsid w:val="00DF25D2"/>
    <w:rsid w:val="00DF272F"/>
    <w:rsid w:val="00DF3444"/>
    <w:rsid w:val="00DF37DB"/>
    <w:rsid w:val="00DF573C"/>
    <w:rsid w:val="00DF586E"/>
    <w:rsid w:val="00DF5A36"/>
    <w:rsid w:val="00DF5D88"/>
    <w:rsid w:val="00DF6963"/>
    <w:rsid w:val="00DF753F"/>
    <w:rsid w:val="00E00588"/>
    <w:rsid w:val="00E0086B"/>
    <w:rsid w:val="00E01300"/>
    <w:rsid w:val="00E01C78"/>
    <w:rsid w:val="00E01DA8"/>
    <w:rsid w:val="00E03013"/>
    <w:rsid w:val="00E03366"/>
    <w:rsid w:val="00E04099"/>
    <w:rsid w:val="00E044B8"/>
    <w:rsid w:val="00E06668"/>
    <w:rsid w:val="00E10384"/>
    <w:rsid w:val="00E111AB"/>
    <w:rsid w:val="00E127DA"/>
    <w:rsid w:val="00E13566"/>
    <w:rsid w:val="00E13797"/>
    <w:rsid w:val="00E13CF9"/>
    <w:rsid w:val="00E148F7"/>
    <w:rsid w:val="00E14F46"/>
    <w:rsid w:val="00E156F4"/>
    <w:rsid w:val="00E17261"/>
    <w:rsid w:val="00E21144"/>
    <w:rsid w:val="00E2322B"/>
    <w:rsid w:val="00E23317"/>
    <w:rsid w:val="00E234C2"/>
    <w:rsid w:val="00E23B96"/>
    <w:rsid w:val="00E23CD9"/>
    <w:rsid w:val="00E2429B"/>
    <w:rsid w:val="00E2447F"/>
    <w:rsid w:val="00E24C79"/>
    <w:rsid w:val="00E24D58"/>
    <w:rsid w:val="00E250AE"/>
    <w:rsid w:val="00E255FE"/>
    <w:rsid w:val="00E25613"/>
    <w:rsid w:val="00E25A80"/>
    <w:rsid w:val="00E261E4"/>
    <w:rsid w:val="00E272FC"/>
    <w:rsid w:val="00E2766B"/>
    <w:rsid w:val="00E27678"/>
    <w:rsid w:val="00E27895"/>
    <w:rsid w:val="00E308E0"/>
    <w:rsid w:val="00E31522"/>
    <w:rsid w:val="00E31537"/>
    <w:rsid w:val="00E31708"/>
    <w:rsid w:val="00E32268"/>
    <w:rsid w:val="00E32935"/>
    <w:rsid w:val="00E33819"/>
    <w:rsid w:val="00E339AE"/>
    <w:rsid w:val="00E3436B"/>
    <w:rsid w:val="00E359F7"/>
    <w:rsid w:val="00E35F75"/>
    <w:rsid w:val="00E372B8"/>
    <w:rsid w:val="00E37D20"/>
    <w:rsid w:val="00E37DBD"/>
    <w:rsid w:val="00E40548"/>
    <w:rsid w:val="00E40595"/>
    <w:rsid w:val="00E40A35"/>
    <w:rsid w:val="00E40FC3"/>
    <w:rsid w:val="00E41662"/>
    <w:rsid w:val="00E41C25"/>
    <w:rsid w:val="00E42024"/>
    <w:rsid w:val="00E42345"/>
    <w:rsid w:val="00E42C5A"/>
    <w:rsid w:val="00E44044"/>
    <w:rsid w:val="00E44856"/>
    <w:rsid w:val="00E44BC1"/>
    <w:rsid w:val="00E46FA6"/>
    <w:rsid w:val="00E508A3"/>
    <w:rsid w:val="00E5134E"/>
    <w:rsid w:val="00E51925"/>
    <w:rsid w:val="00E51AF3"/>
    <w:rsid w:val="00E52A2E"/>
    <w:rsid w:val="00E53530"/>
    <w:rsid w:val="00E545D9"/>
    <w:rsid w:val="00E54EC6"/>
    <w:rsid w:val="00E550D4"/>
    <w:rsid w:val="00E55C2C"/>
    <w:rsid w:val="00E55D78"/>
    <w:rsid w:val="00E55E97"/>
    <w:rsid w:val="00E569C9"/>
    <w:rsid w:val="00E56F77"/>
    <w:rsid w:val="00E57A64"/>
    <w:rsid w:val="00E608D5"/>
    <w:rsid w:val="00E60A76"/>
    <w:rsid w:val="00E62E57"/>
    <w:rsid w:val="00E6361B"/>
    <w:rsid w:val="00E63C23"/>
    <w:rsid w:val="00E63E77"/>
    <w:rsid w:val="00E64644"/>
    <w:rsid w:val="00E64886"/>
    <w:rsid w:val="00E64926"/>
    <w:rsid w:val="00E653CB"/>
    <w:rsid w:val="00E65543"/>
    <w:rsid w:val="00E65BBD"/>
    <w:rsid w:val="00E661FB"/>
    <w:rsid w:val="00E6775C"/>
    <w:rsid w:val="00E70821"/>
    <w:rsid w:val="00E71773"/>
    <w:rsid w:val="00E721DF"/>
    <w:rsid w:val="00E747D8"/>
    <w:rsid w:val="00E74C44"/>
    <w:rsid w:val="00E755CD"/>
    <w:rsid w:val="00E75A9B"/>
    <w:rsid w:val="00E801F2"/>
    <w:rsid w:val="00E82D15"/>
    <w:rsid w:val="00E82ED0"/>
    <w:rsid w:val="00E82F3E"/>
    <w:rsid w:val="00E8326C"/>
    <w:rsid w:val="00E83363"/>
    <w:rsid w:val="00E83486"/>
    <w:rsid w:val="00E842CD"/>
    <w:rsid w:val="00E843A3"/>
    <w:rsid w:val="00E84593"/>
    <w:rsid w:val="00E86020"/>
    <w:rsid w:val="00E8602D"/>
    <w:rsid w:val="00E86361"/>
    <w:rsid w:val="00E86A9A"/>
    <w:rsid w:val="00E90D04"/>
    <w:rsid w:val="00E90FB0"/>
    <w:rsid w:val="00E90FF9"/>
    <w:rsid w:val="00E91ABB"/>
    <w:rsid w:val="00E91F6B"/>
    <w:rsid w:val="00E9267E"/>
    <w:rsid w:val="00E928A6"/>
    <w:rsid w:val="00E92BC8"/>
    <w:rsid w:val="00E92D20"/>
    <w:rsid w:val="00E92E25"/>
    <w:rsid w:val="00E93D8A"/>
    <w:rsid w:val="00E93FBB"/>
    <w:rsid w:val="00E9414C"/>
    <w:rsid w:val="00E94A75"/>
    <w:rsid w:val="00E95B96"/>
    <w:rsid w:val="00E961CA"/>
    <w:rsid w:val="00E96492"/>
    <w:rsid w:val="00E96838"/>
    <w:rsid w:val="00E9793D"/>
    <w:rsid w:val="00EA00B2"/>
    <w:rsid w:val="00EA047D"/>
    <w:rsid w:val="00EA049D"/>
    <w:rsid w:val="00EA1BC6"/>
    <w:rsid w:val="00EA1EC5"/>
    <w:rsid w:val="00EA21D6"/>
    <w:rsid w:val="00EA23C0"/>
    <w:rsid w:val="00EA3245"/>
    <w:rsid w:val="00EA38A4"/>
    <w:rsid w:val="00EA4E0C"/>
    <w:rsid w:val="00EA537D"/>
    <w:rsid w:val="00EA54C1"/>
    <w:rsid w:val="00EA60C7"/>
    <w:rsid w:val="00EA7028"/>
    <w:rsid w:val="00EA7E4A"/>
    <w:rsid w:val="00EA7FC7"/>
    <w:rsid w:val="00EB16AA"/>
    <w:rsid w:val="00EB19FC"/>
    <w:rsid w:val="00EB1BFF"/>
    <w:rsid w:val="00EB1E23"/>
    <w:rsid w:val="00EB389B"/>
    <w:rsid w:val="00EB411F"/>
    <w:rsid w:val="00EB423A"/>
    <w:rsid w:val="00EB4660"/>
    <w:rsid w:val="00EB4AE8"/>
    <w:rsid w:val="00EB5860"/>
    <w:rsid w:val="00EB5CCA"/>
    <w:rsid w:val="00EB78F0"/>
    <w:rsid w:val="00EB7998"/>
    <w:rsid w:val="00EC0043"/>
    <w:rsid w:val="00EC0067"/>
    <w:rsid w:val="00EC0273"/>
    <w:rsid w:val="00EC02FD"/>
    <w:rsid w:val="00EC0A61"/>
    <w:rsid w:val="00EC185F"/>
    <w:rsid w:val="00EC1F05"/>
    <w:rsid w:val="00EC399A"/>
    <w:rsid w:val="00EC3B9F"/>
    <w:rsid w:val="00EC48A4"/>
    <w:rsid w:val="00EC4B40"/>
    <w:rsid w:val="00EC4D3F"/>
    <w:rsid w:val="00EC5001"/>
    <w:rsid w:val="00EC5022"/>
    <w:rsid w:val="00EC5B7E"/>
    <w:rsid w:val="00EC5DCF"/>
    <w:rsid w:val="00EC6179"/>
    <w:rsid w:val="00EC6B23"/>
    <w:rsid w:val="00ED0130"/>
    <w:rsid w:val="00ED106C"/>
    <w:rsid w:val="00ED159D"/>
    <w:rsid w:val="00ED223A"/>
    <w:rsid w:val="00ED28D5"/>
    <w:rsid w:val="00ED29E2"/>
    <w:rsid w:val="00ED328B"/>
    <w:rsid w:val="00ED4BE1"/>
    <w:rsid w:val="00ED6C1C"/>
    <w:rsid w:val="00ED7611"/>
    <w:rsid w:val="00ED7B2D"/>
    <w:rsid w:val="00EE0287"/>
    <w:rsid w:val="00EE0575"/>
    <w:rsid w:val="00EE07F3"/>
    <w:rsid w:val="00EE083A"/>
    <w:rsid w:val="00EE10D8"/>
    <w:rsid w:val="00EE14FD"/>
    <w:rsid w:val="00EE2536"/>
    <w:rsid w:val="00EE294B"/>
    <w:rsid w:val="00EE2B8E"/>
    <w:rsid w:val="00EE2E0D"/>
    <w:rsid w:val="00EE3584"/>
    <w:rsid w:val="00EE370B"/>
    <w:rsid w:val="00EE38E1"/>
    <w:rsid w:val="00EE442B"/>
    <w:rsid w:val="00EE49FD"/>
    <w:rsid w:val="00EE5241"/>
    <w:rsid w:val="00EE69F1"/>
    <w:rsid w:val="00EE6BCE"/>
    <w:rsid w:val="00EE70ED"/>
    <w:rsid w:val="00EE770B"/>
    <w:rsid w:val="00EE7E6B"/>
    <w:rsid w:val="00EF04DC"/>
    <w:rsid w:val="00EF0A60"/>
    <w:rsid w:val="00EF10EB"/>
    <w:rsid w:val="00EF1EC4"/>
    <w:rsid w:val="00EF2283"/>
    <w:rsid w:val="00EF278B"/>
    <w:rsid w:val="00EF2BA8"/>
    <w:rsid w:val="00EF431A"/>
    <w:rsid w:val="00EF454E"/>
    <w:rsid w:val="00EF584D"/>
    <w:rsid w:val="00EF77A8"/>
    <w:rsid w:val="00F00745"/>
    <w:rsid w:val="00F01C7E"/>
    <w:rsid w:val="00F02799"/>
    <w:rsid w:val="00F029A5"/>
    <w:rsid w:val="00F02B26"/>
    <w:rsid w:val="00F0318D"/>
    <w:rsid w:val="00F0363E"/>
    <w:rsid w:val="00F049EC"/>
    <w:rsid w:val="00F05681"/>
    <w:rsid w:val="00F06118"/>
    <w:rsid w:val="00F0615E"/>
    <w:rsid w:val="00F06EED"/>
    <w:rsid w:val="00F10183"/>
    <w:rsid w:val="00F10552"/>
    <w:rsid w:val="00F10BC3"/>
    <w:rsid w:val="00F11AB6"/>
    <w:rsid w:val="00F124D9"/>
    <w:rsid w:val="00F12D79"/>
    <w:rsid w:val="00F138D5"/>
    <w:rsid w:val="00F13C70"/>
    <w:rsid w:val="00F13D1E"/>
    <w:rsid w:val="00F14AE2"/>
    <w:rsid w:val="00F14EC9"/>
    <w:rsid w:val="00F1626F"/>
    <w:rsid w:val="00F164BF"/>
    <w:rsid w:val="00F1746A"/>
    <w:rsid w:val="00F1746F"/>
    <w:rsid w:val="00F178FC"/>
    <w:rsid w:val="00F2001E"/>
    <w:rsid w:val="00F20371"/>
    <w:rsid w:val="00F203BC"/>
    <w:rsid w:val="00F20926"/>
    <w:rsid w:val="00F21FB6"/>
    <w:rsid w:val="00F239FB"/>
    <w:rsid w:val="00F240D2"/>
    <w:rsid w:val="00F24B62"/>
    <w:rsid w:val="00F251C9"/>
    <w:rsid w:val="00F25470"/>
    <w:rsid w:val="00F2597B"/>
    <w:rsid w:val="00F27340"/>
    <w:rsid w:val="00F27EB2"/>
    <w:rsid w:val="00F30CA9"/>
    <w:rsid w:val="00F31FD6"/>
    <w:rsid w:val="00F32F06"/>
    <w:rsid w:val="00F33188"/>
    <w:rsid w:val="00F33788"/>
    <w:rsid w:val="00F33804"/>
    <w:rsid w:val="00F33C2B"/>
    <w:rsid w:val="00F3409B"/>
    <w:rsid w:val="00F35581"/>
    <w:rsid w:val="00F35C4F"/>
    <w:rsid w:val="00F36CB0"/>
    <w:rsid w:val="00F3747F"/>
    <w:rsid w:val="00F376F2"/>
    <w:rsid w:val="00F379C6"/>
    <w:rsid w:val="00F37F19"/>
    <w:rsid w:val="00F401F9"/>
    <w:rsid w:val="00F403C6"/>
    <w:rsid w:val="00F4074B"/>
    <w:rsid w:val="00F40CB8"/>
    <w:rsid w:val="00F41254"/>
    <w:rsid w:val="00F41553"/>
    <w:rsid w:val="00F417DC"/>
    <w:rsid w:val="00F41C0E"/>
    <w:rsid w:val="00F427B7"/>
    <w:rsid w:val="00F43D76"/>
    <w:rsid w:val="00F449C0"/>
    <w:rsid w:val="00F44B97"/>
    <w:rsid w:val="00F4639F"/>
    <w:rsid w:val="00F469DC"/>
    <w:rsid w:val="00F46C9D"/>
    <w:rsid w:val="00F46D50"/>
    <w:rsid w:val="00F47867"/>
    <w:rsid w:val="00F479CF"/>
    <w:rsid w:val="00F50604"/>
    <w:rsid w:val="00F5488E"/>
    <w:rsid w:val="00F565CE"/>
    <w:rsid w:val="00F56853"/>
    <w:rsid w:val="00F57E04"/>
    <w:rsid w:val="00F601BD"/>
    <w:rsid w:val="00F606A9"/>
    <w:rsid w:val="00F6172B"/>
    <w:rsid w:val="00F61997"/>
    <w:rsid w:val="00F6310B"/>
    <w:rsid w:val="00F63366"/>
    <w:rsid w:val="00F63895"/>
    <w:rsid w:val="00F638FE"/>
    <w:rsid w:val="00F64164"/>
    <w:rsid w:val="00F658FB"/>
    <w:rsid w:val="00F65B1A"/>
    <w:rsid w:val="00F6629F"/>
    <w:rsid w:val="00F6639E"/>
    <w:rsid w:val="00F67327"/>
    <w:rsid w:val="00F70D08"/>
    <w:rsid w:val="00F711B3"/>
    <w:rsid w:val="00F719E3"/>
    <w:rsid w:val="00F71D0F"/>
    <w:rsid w:val="00F72D65"/>
    <w:rsid w:val="00F73003"/>
    <w:rsid w:val="00F731F5"/>
    <w:rsid w:val="00F733DA"/>
    <w:rsid w:val="00F734E0"/>
    <w:rsid w:val="00F739D3"/>
    <w:rsid w:val="00F73B65"/>
    <w:rsid w:val="00F7451E"/>
    <w:rsid w:val="00F74737"/>
    <w:rsid w:val="00F74B5B"/>
    <w:rsid w:val="00F75A6D"/>
    <w:rsid w:val="00F76083"/>
    <w:rsid w:val="00F76210"/>
    <w:rsid w:val="00F76DD8"/>
    <w:rsid w:val="00F80276"/>
    <w:rsid w:val="00F80F6F"/>
    <w:rsid w:val="00F81004"/>
    <w:rsid w:val="00F81B51"/>
    <w:rsid w:val="00F8216A"/>
    <w:rsid w:val="00F8369D"/>
    <w:rsid w:val="00F84A11"/>
    <w:rsid w:val="00F86787"/>
    <w:rsid w:val="00F86E3C"/>
    <w:rsid w:val="00F86EA2"/>
    <w:rsid w:val="00F87BE6"/>
    <w:rsid w:val="00F91096"/>
    <w:rsid w:val="00F91614"/>
    <w:rsid w:val="00F92138"/>
    <w:rsid w:val="00F923CB"/>
    <w:rsid w:val="00F92400"/>
    <w:rsid w:val="00F92557"/>
    <w:rsid w:val="00F92D0D"/>
    <w:rsid w:val="00F9320B"/>
    <w:rsid w:val="00F93BA4"/>
    <w:rsid w:val="00F94032"/>
    <w:rsid w:val="00F940B1"/>
    <w:rsid w:val="00F949F4"/>
    <w:rsid w:val="00F94DD6"/>
    <w:rsid w:val="00F96F10"/>
    <w:rsid w:val="00F97597"/>
    <w:rsid w:val="00F977C1"/>
    <w:rsid w:val="00F97C75"/>
    <w:rsid w:val="00FA12CE"/>
    <w:rsid w:val="00FA1A55"/>
    <w:rsid w:val="00FA2273"/>
    <w:rsid w:val="00FA2B0B"/>
    <w:rsid w:val="00FA36FA"/>
    <w:rsid w:val="00FA47FB"/>
    <w:rsid w:val="00FA6CB6"/>
    <w:rsid w:val="00FA6D3C"/>
    <w:rsid w:val="00FA710F"/>
    <w:rsid w:val="00FA7E45"/>
    <w:rsid w:val="00FB019C"/>
    <w:rsid w:val="00FB0375"/>
    <w:rsid w:val="00FB06FD"/>
    <w:rsid w:val="00FB0773"/>
    <w:rsid w:val="00FB128C"/>
    <w:rsid w:val="00FB19B8"/>
    <w:rsid w:val="00FB1DF0"/>
    <w:rsid w:val="00FB27AB"/>
    <w:rsid w:val="00FB2E5D"/>
    <w:rsid w:val="00FB3741"/>
    <w:rsid w:val="00FB48CE"/>
    <w:rsid w:val="00FB55CC"/>
    <w:rsid w:val="00FB5C4B"/>
    <w:rsid w:val="00FB5E92"/>
    <w:rsid w:val="00FB6D56"/>
    <w:rsid w:val="00FB7E69"/>
    <w:rsid w:val="00FC1B0D"/>
    <w:rsid w:val="00FC1C18"/>
    <w:rsid w:val="00FC1D16"/>
    <w:rsid w:val="00FC1DB0"/>
    <w:rsid w:val="00FC388E"/>
    <w:rsid w:val="00FC405A"/>
    <w:rsid w:val="00FC4289"/>
    <w:rsid w:val="00FC4BDA"/>
    <w:rsid w:val="00FC52A1"/>
    <w:rsid w:val="00FC58BD"/>
    <w:rsid w:val="00FC615A"/>
    <w:rsid w:val="00FC618F"/>
    <w:rsid w:val="00FC7148"/>
    <w:rsid w:val="00FC7CA0"/>
    <w:rsid w:val="00FD0973"/>
    <w:rsid w:val="00FD0A7B"/>
    <w:rsid w:val="00FD0C91"/>
    <w:rsid w:val="00FD1DE9"/>
    <w:rsid w:val="00FD278E"/>
    <w:rsid w:val="00FD2AA7"/>
    <w:rsid w:val="00FD2DC1"/>
    <w:rsid w:val="00FD31B4"/>
    <w:rsid w:val="00FD3D85"/>
    <w:rsid w:val="00FD3DA1"/>
    <w:rsid w:val="00FD3DD6"/>
    <w:rsid w:val="00FD4824"/>
    <w:rsid w:val="00FD539E"/>
    <w:rsid w:val="00FD54E5"/>
    <w:rsid w:val="00FD5B70"/>
    <w:rsid w:val="00FD6350"/>
    <w:rsid w:val="00FD640D"/>
    <w:rsid w:val="00FD77A2"/>
    <w:rsid w:val="00FD7EE2"/>
    <w:rsid w:val="00FE0530"/>
    <w:rsid w:val="00FE0B28"/>
    <w:rsid w:val="00FE0DE7"/>
    <w:rsid w:val="00FE0E1C"/>
    <w:rsid w:val="00FE10FC"/>
    <w:rsid w:val="00FE1778"/>
    <w:rsid w:val="00FE2C68"/>
    <w:rsid w:val="00FE2D55"/>
    <w:rsid w:val="00FE2F18"/>
    <w:rsid w:val="00FE48A6"/>
    <w:rsid w:val="00FE4F7E"/>
    <w:rsid w:val="00FE5904"/>
    <w:rsid w:val="00FE684E"/>
    <w:rsid w:val="00FE6C80"/>
    <w:rsid w:val="00FE6D57"/>
    <w:rsid w:val="00FE7B89"/>
    <w:rsid w:val="00FF0E88"/>
    <w:rsid w:val="00FF122C"/>
    <w:rsid w:val="00FF152D"/>
    <w:rsid w:val="00FF2E81"/>
    <w:rsid w:val="00FF2FC2"/>
    <w:rsid w:val="00FF3032"/>
    <w:rsid w:val="00FF3A6E"/>
    <w:rsid w:val="00FF3AC4"/>
    <w:rsid w:val="00FF4807"/>
    <w:rsid w:val="00FF4847"/>
    <w:rsid w:val="00FF4945"/>
    <w:rsid w:val="00FF4958"/>
    <w:rsid w:val="00FF53F6"/>
    <w:rsid w:val="00FF5869"/>
    <w:rsid w:val="00FF6D37"/>
    <w:rsid w:val="00FF6DEF"/>
    <w:rsid w:val="00FF7636"/>
    <w:rsid w:val="00FF7A3A"/>
    <w:rsid w:val="00FF7F46"/>
    <w:rsid w:val="06EB2DF7"/>
    <w:rsid w:val="13097DDF"/>
    <w:rsid w:val="167D4015"/>
    <w:rsid w:val="27955982"/>
    <w:rsid w:val="54E8553B"/>
    <w:rsid w:val="566C42F3"/>
    <w:rsid w:val="571E6A53"/>
    <w:rsid w:val="61932DFB"/>
    <w:rsid w:val="65606FE1"/>
    <w:rsid w:val="6A5F6626"/>
    <w:rsid w:val="71751031"/>
    <w:rsid w:val="727024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qFormat="1" w:unhideWhenUsed="0" w:uiPriority="0" w:semiHidden="0" w:name="HTML Typewriter"/>
    <w:lsdException w:unhideWhenUsed="0" w:uiPriority="0" w:semiHidden="0" w:name="HTML Variable"/>
    <w:lsdException w:qFormat="1" w:unhideWhenUsed="0" w:uiPriority="0"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jc w:val="center"/>
      <w:outlineLvl w:val="0"/>
    </w:pPr>
    <w:rPr>
      <w:rFonts w:ascii="楷体_GB2312" w:eastAsia="楷体_GB2312"/>
      <w:b/>
      <w:sz w:val="28"/>
    </w:rPr>
  </w:style>
  <w:style w:type="paragraph" w:styleId="3">
    <w:name w:val="heading 2"/>
    <w:basedOn w:val="1"/>
    <w:next w:val="1"/>
    <w:qFormat/>
    <w:uiPriority w:val="0"/>
    <w:pPr>
      <w:keepNext/>
      <w:jc w:val="center"/>
      <w:outlineLvl w:val="1"/>
    </w:pPr>
    <w:rPr>
      <w:rFonts w:ascii="楷体_GB2312" w:eastAsia="楷体_GB2312"/>
      <w:b/>
      <w:bCs/>
      <w:sz w:val="18"/>
    </w:rPr>
  </w:style>
  <w:style w:type="paragraph" w:styleId="4">
    <w:name w:val="heading 3"/>
    <w:basedOn w:val="1"/>
    <w:next w:val="1"/>
    <w:qFormat/>
    <w:uiPriority w:val="0"/>
    <w:pPr>
      <w:keepNext/>
      <w:jc w:val="center"/>
      <w:outlineLvl w:val="2"/>
    </w:pPr>
    <w:rPr>
      <w:rFonts w:eastAsia="楷体_GB2312"/>
      <w:b/>
      <w:bCs/>
      <w:sz w:val="15"/>
    </w:rPr>
  </w:style>
  <w:style w:type="paragraph" w:styleId="5">
    <w:name w:val="heading 4"/>
    <w:basedOn w:val="1"/>
    <w:next w:val="1"/>
    <w:qFormat/>
    <w:uiPriority w:val="0"/>
    <w:pPr>
      <w:keepNext/>
      <w:jc w:val="center"/>
      <w:outlineLvl w:val="3"/>
    </w:pPr>
    <w:rPr>
      <w:rFonts w:eastAsia="楷体_GB2312"/>
      <w:b/>
      <w:bCs/>
      <w:sz w:val="13"/>
    </w:rPr>
  </w:style>
  <w:style w:type="paragraph" w:styleId="6">
    <w:name w:val="heading 5"/>
    <w:basedOn w:val="1"/>
    <w:next w:val="1"/>
    <w:link w:val="41"/>
    <w:qFormat/>
    <w:uiPriority w:val="0"/>
    <w:pPr>
      <w:keepNext/>
      <w:numPr>
        <w:ilvl w:val="0"/>
        <w:numId w:val="1"/>
      </w:numPr>
      <w:outlineLvl w:val="4"/>
    </w:pPr>
    <w:rPr>
      <w:rFonts w:ascii="楷体_GB2312" w:eastAsia="楷体_GB2312"/>
      <w:bCs/>
      <w:sz w:val="28"/>
      <w:lang w:val="zh-CN" w:eastAsia="zh-CN"/>
    </w:rPr>
  </w:style>
  <w:style w:type="paragraph" w:styleId="7">
    <w:name w:val="heading 6"/>
    <w:basedOn w:val="1"/>
    <w:next w:val="1"/>
    <w:link w:val="39"/>
    <w:qFormat/>
    <w:uiPriority w:val="0"/>
    <w:pPr>
      <w:keepNext/>
      <w:keepLines/>
      <w:spacing w:before="240" w:after="64" w:line="320" w:lineRule="auto"/>
      <w:outlineLvl w:val="5"/>
    </w:pPr>
    <w:rPr>
      <w:rFonts w:ascii="Cambria" w:hAnsi="Cambria"/>
      <w:b/>
      <w:bCs/>
      <w:sz w:val="24"/>
      <w:szCs w:val="24"/>
      <w:lang w:val="zh-CN" w:eastAsia="zh-CN"/>
    </w:rPr>
  </w:style>
  <w:style w:type="character" w:default="1" w:styleId="26">
    <w:name w:val="Default Paragraph Font"/>
    <w:semiHidden/>
    <w:qFormat/>
    <w:uiPriority w:val="0"/>
  </w:style>
  <w:style w:type="table" w:default="1" w:styleId="24">
    <w:name w:val="Normal Table"/>
    <w:semiHidden/>
    <w:qFormat/>
    <w:uiPriority w:val="0"/>
    <w:tblPr>
      <w:tblCellMar>
        <w:top w:w="0" w:type="dxa"/>
        <w:left w:w="108" w:type="dxa"/>
        <w:bottom w:w="0" w:type="dxa"/>
        <w:right w:w="108" w:type="dxa"/>
      </w:tblCellMar>
    </w:tblPr>
  </w:style>
  <w:style w:type="paragraph" w:styleId="8">
    <w:name w:val="Normal Indent"/>
    <w:basedOn w:val="1"/>
    <w:qFormat/>
    <w:uiPriority w:val="0"/>
    <w:pPr>
      <w:ind w:firstLine="420"/>
    </w:pPr>
  </w:style>
  <w:style w:type="paragraph" w:styleId="9">
    <w:name w:val="Document Map"/>
    <w:basedOn w:val="1"/>
    <w:semiHidden/>
    <w:qFormat/>
    <w:uiPriority w:val="0"/>
    <w:pPr>
      <w:shd w:val="clear" w:color="auto" w:fill="000080"/>
    </w:pPr>
  </w:style>
  <w:style w:type="paragraph" w:styleId="10">
    <w:name w:val="annotation text"/>
    <w:basedOn w:val="1"/>
    <w:semiHidden/>
    <w:uiPriority w:val="0"/>
    <w:pPr>
      <w:jc w:val="left"/>
    </w:pPr>
    <w:rPr>
      <w:szCs w:val="24"/>
    </w:rPr>
  </w:style>
  <w:style w:type="paragraph" w:styleId="11">
    <w:name w:val="Body Text"/>
    <w:basedOn w:val="1"/>
    <w:qFormat/>
    <w:uiPriority w:val="0"/>
    <w:rPr>
      <w:rFonts w:ascii="华文中宋" w:eastAsia="华文中宋"/>
      <w:bCs/>
      <w:sz w:val="28"/>
    </w:rPr>
  </w:style>
  <w:style w:type="paragraph" w:styleId="12">
    <w:name w:val="Body Text Indent"/>
    <w:basedOn w:val="1"/>
    <w:qFormat/>
    <w:uiPriority w:val="0"/>
    <w:pPr>
      <w:ind w:firstLine="576"/>
    </w:pPr>
    <w:rPr>
      <w:b/>
      <w:sz w:val="30"/>
    </w:rPr>
  </w:style>
  <w:style w:type="paragraph" w:styleId="13">
    <w:name w:val="Date"/>
    <w:basedOn w:val="1"/>
    <w:next w:val="1"/>
    <w:qFormat/>
    <w:uiPriority w:val="0"/>
    <w:rPr>
      <w:rFonts w:eastAsia="黑体"/>
      <w:b/>
      <w:sz w:val="36"/>
    </w:rPr>
  </w:style>
  <w:style w:type="paragraph" w:styleId="14">
    <w:name w:val="Body Text Indent 2"/>
    <w:basedOn w:val="1"/>
    <w:qFormat/>
    <w:uiPriority w:val="0"/>
    <w:pPr>
      <w:ind w:left="900"/>
    </w:pPr>
    <w:rPr>
      <w:rFonts w:ascii="楷体_GB2312" w:eastAsia="楷体_GB2312"/>
      <w:b/>
      <w:sz w:val="28"/>
    </w:rPr>
  </w:style>
  <w:style w:type="paragraph" w:styleId="15">
    <w:name w:val="Balloon Text"/>
    <w:basedOn w:val="1"/>
    <w:semiHidden/>
    <w:qFormat/>
    <w:uiPriority w:val="0"/>
    <w:rPr>
      <w:sz w:val="18"/>
      <w:szCs w:val="18"/>
    </w:rPr>
  </w:style>
  <w:style w:type="paragraph" w:styleId="16">
    <w:name w:val="footer"/>
    <w:basedOn w:val="1"/>
    <w:qFormat/>
    <w:uiPriority w:val="0"/>
    <w:pPr>
      <w:tabs>
        <w:tab w:val="center" w:pos="4153"/>
        <w:tab w:val="right" w:pos="8306"/>
      </w:tabs>
      <w:snapToGrid w:val="0"/>
      <w:jc w:val="left"/>
    </w:pPr>
    <w:rPr>
      <w:sz w:val="18"/>
    </w:rPr>
  </w:style>
  <w:style w:type="paragraph" w:styleId="17">
    <w:name w:val="header"/>
    <w:basedOn w:val="1"/>
    <w:qFormat/>
    <w:uiPriority w:val="0"/>
    <w:pPr>
      <w:pBdr>
        <w:bottom w:val="single" w:color="auto" w:sz="6" w:space="1"/>
      </w:pBdr>
      <w:tabs>
        <w:tab w:val="center" w:pos="4153"/>
        <w:tab w:val="right" w:pos="8306"/>
      </w:tabs>
      <w:snapToGrid w:val="0"/>
      <w:jc w:val="center"/>
    </w:pPr>
    <w:rPr>
      <w:sz w:val="18"/>
    </w:rPr>
  </w:style>
  <w:style w:type="paragraph" w:styleId="18">
    <w:name w:val="Body Text Indent 3"/>
    <w:basedOn w:val="1"/>
    <w:qFormat/>
    <w:uiPriority w:val="0"/>
    <w:pPr>
      <w:ind w:left="359" w:leftChars="171" w:firstLine="359" w:firstLineChars="171"/>
    </w:pPr>
  </w:style>
  <w:style w:type="paragraph" w:styleId="19">
    <w:name w:val="Body Text 2"/>
    <w:basedOn w:val="1"/>
    <w:qFormat/>
    <w:uiPriority w:val="0"/>
    <w:pPr>
      <w:spacing w:after="120" w:line="480" w:lineRule="auto"/>
    </w:pPr>
  </w:style>
  <w:style w:type="paragraph" w:styleId="20">
    <w:name w:val="HTML Preformatted"/>
    <w:basedOn w:val="1"/>
    <w:link w:val="36"/>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kern w:val="0"/>
      <w:szCs w:val="21"/>
      <w:lang w:val="zh-CN" w:eastAsia="zh-CN"/>
    </w:rPr>
  </w:style>
  <w:style w:type="paragraph" w:styleId="21">
    <w:name w:val="Normal (Web)"/>
    <w:basedOn w:val="1"/>
    <w:qFormat/>
    <w:uiPriority w:val="0"/>
    <w:pPr>
      <w:widowControl/>
      <w:spacing w:before="100" w:beforeAutospacing="1" w:after="100" w:afterAutospacing="1"/>
      <w:jc w:val="left"/>
    </w:pPr>
    <w:rPr>
      <w:rFonts w:ascii="Arial Unicode MS" w:hAnsi="Arial Unicode MS" w:eastAsia="Arial Unicode MS"/>
      <w:color w:val="000000"/>
      <w:kern w:val="0"/>
      <w:sz w:val="24"/>
      <w:szCs w:val="24"/>
      <w:lang w:eastAsia="en-US"/>
    </w:rPr>
  </w:style>
  <w:style w:type="paragraph" w:styleId="22">
    <w:name w:val="annotation subject"/>
    <w:basedOn w:val="10"/>
    <w:next w:val="10"/>
    <w:semiHidden/>
    <w:qFormat/>
    <w:uiPriority w:val="0"/>
    <w:rPr>
      <w:b/>
      <w:bCs/>
      <w:szCs w:val="20"/>
    </w:rPr>
  </w:style>
  <w:style w:type="paragraph" w:styleId="23">
    <w:name w:val="Body Text First Indent"/>
    <w:basedOn w:val="11"/>
    <w:uiPriority w:val="0"/>
    <w:pPr>
      <w:spacing w:after="120"/>
      <w:ind w:firstLine="420" w:firstLineChars="100"/>
    </w:pPr>
    <w:rPr>
      <w:rFonts w:ascii="Times New Roman" w:eastAsia="宋体"/>
      <w:bCs w:val="0"/>
      <w:sz w:val="21"/>
    </w:rPr>
  </w:style>
  <w:style w:type="table" w:styleId="25">
    <w:name w:val="Table Grid"/>
    <w:basedOn w:val="2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Strong"/>
    <w:qFormat/>
    <w:uiPriority w:val="22"/>
    <w:rPr>
      <w:b/>
      <w:bCs/>
    </w:rPr>
  </w:style>
  <w:style w:type="character" w:styleId="28">
    <w:name w:val="page number"/>
    <w:basedOn w:val="26"/>
    <w:qFormat/>
    <w:uiPriority w:val="0"/>
  </w:style>
  <w:style w:type="character" w:styleId="29">
    <w:name w:val="HTML Typewriter"/>
    <w:qFormat/>
    <w:uiPriority w:val="0"/>
    <w:rPr>
      <w:rFonts w:ascii="宋体" w:hAnsi="宋体" w:eastAsia="宋体" w:cs="宋体"/>
      <w:sz w:val="24"/>
      <w:szCs w:val="24"/>
    </w:rPr>
  </w:style>
  <w:style w:type="character" w:styleId="30">
    <w:name w:val="Hyperlink"/>
    <w:qFormat/>
    <w:uiPriority w:val="0"/>
    <w:rPr>
      <w:color w:val="auto"/>
      <w:u w:val="none"/>
    </w:rPr>
  </w:style>
  <w:style w:type="character" w:styleId="31">
    <w:name w:val="annotation reference"/>
    <w:semiHidden/>
    <w:qFormat/>
    <w:uiPriority w:val="0"/>
    <w:rPr>
      <w:sz w:val="21"/>
      <w:szCs w:val="21"/>
    </w:rPr>
  </w:style>
  <w:style w:type="character" w:customStyle="1" w:styleId="32">
    <w:name w:val="case31"/>
    <w:qFormat/>
    <w:uiPriority w:val="0"/>
    <w:rPr>
      <w:rFonts w:hint="default"/>
      <w:sz w:val="21"/>
      <w:szCs w:val="21"/>
    </w:rPr>
  </w:style>
  <w:style w:type="character" w:customStyle="1" w:styleId="33">
    <w:name w:val="纯文本 Char"/>
    <w:link w:val="34"/>
    <w:qFormat/>
    <w:uiPriority w:val="0"/>
    <w:rPr>
      <w:rFonts w:ascii="宋体" w:hAnsi="Courier New"/>
      <w:szCs w:val="21"/>
    </w:rPr>
  </w:style>
  <w:style w:type="paragraph" w:customStyle="1" w:styleId="34">
    <w:name w:val="纯文本1"/>
    <w:basedOn w:val="1"/>
    <w:link w:val="33"/>
    <w:uiPriority w:val="0"/>
    <w:rPr>
      <w:rFonts w:ascii="宋体" w:hAnsi="Courier New"/>
      <w:kern w:val="0"/>
      <w:sz w:val="20"/>
      <w:szCs w:val="21"/>
      <w:lang w:val="zh-CN" w:eastAsia="zh-CN"/>
    </w:rPr>
  </w:style>
  <w:style w:type="character" w:customStyle="1" w:styleId="35">
    <w:name w:val="未处理的提及"/>
    <w:unhideWhenUsed/>
    <w:qFormat/>
    <w:uiPriority w:val="99"/>
    <w:rPr>
      <w:color w:val="605E5C"/>
      <w:shd w:val="clear" w:color="auto" w:fill="E1DFDD"/>
    </w:rPr>
  </w:style>
  <w:style w:type="character" w:customStyle="1" w:styleId="36">
    <w:name w:val="HTML 预设格式 Char"/>
    <w:link w:val="20"/>
    <w:qFormat/>
    <w:uiPriority w:val="99"/>
    <w:rPr>
      <w:rFonts w:ascii="Arial" w:hAnsi="Arial" w:cs="Arial"/>
      <w:sz w:val="21"/>
      <w:szCs w:val="21"/>
    </w:rPr>
  </w:style>
  <w:style w:type="character" w:customStyle="1" w:styleId="37">
    <w:name w:val="已访问的超链接1"/>
    <w:qFormat/>
    <w:uiPriority w:val="0"/>
    <w:rPr>
      <w:color w:val="auto"/>
      <w:u w:val="none"/>
    </w:rPr>
  </w:style>
  <w:style w:type="character" w:customStyle="1" w:styleId="38">
    <w:name w:val="style151"/>
    <w:qFormat/>
    <w:uiPriority w:val="0"/>
    <w:rPr>
      <w:sz w:val="18"/>
      <w:szCs w:val="18"/>
    </w:rPr>
  </w:style>
  <w:style w:type="character" w:customStyle="1" w:styleId="39">
    <w:name w:val="标题 6 Char"/>
    <w:link w:val="7"/>
    <w:qFormat/>
    <w:uiPriority w:val="0"/>
    <w:rPr>
      <w:rFonts w:ascii="Cambria" w:hAnsi="Cambria" w:eastAsia="宋体" w:cs="Times New Roman"/>
      <w:b/>
      <w:bCs/>
      <w:kern w:val="2"/>
      <w:sz w:val="24"/>
      <w:szCs w:val="24"/>
    </w:rPr>
  </w:style>
  <w:style w:type="character" w:customStyle="1" w:styleId="40">
    <w:name w:val="apple-converted-space"/>
    <w:basedOn w:val="26"/>
    <w:uiPriority w:val="0"/>
  </w:style>
  <w:style w:type="character" w:customStyle="1" w:styleId="41">
    <w:name w:val="标题 5 Char"/>
    <w:link w:val="6"/>
    <w:uiPriority w:val="0"/>
    <w:rPr>
      <w:rFonts w:ascii="楷体_GB2312" w:eastAsia="楷体_GB2312"/>
      <w:bCs/>
      <w:kern w:val="2"/>
      <w:sz w:val="28"/>
    </w:rPr>
  </w:style>
  <w:style w:type="character" w:customStyle="1" w:styleId="42">
    <w:name w:val="apple-style-span"/>
    <w:basedOn w:val="26"/>
    <w:qFormat/>
    <w:uiPriority w:val="0"/>
  </w:style>
  <w:style w:type="paragraph" w:customStyle="1" w:styleId="43">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i/>
      <w:iCs/>
      <w:kern w:val="0"/>
      <w:sz w:val="20"/>
    </w:rPr>
  </w:style>
  <w:style w:type="paragraph" w:customStyle="1" w:styleId="44">
    <w:name w:val="font10"/>
    <w:basedOn w:val="1"/>
    <w:qFormat/>
    <w:uiPriority w:val="0"/>
    <w:pPr>
      <w:widowControl/>
      <w:spacing w:before="100" w:beforeAutospacing="1" w:after="100" w:afterAutospacing="1"/>
      <w:jc w:val="left"/>
    </w:pPr>
    <w:rPr>
      <w:rFonts w:hint="eastAsia" w:ascii="楷体_GB2312" w:hAnsi="宋体" w:eastAsia="楷体_GB2312"/>
      <w:b/>
      <w:bCs/>
      <w:kern w:val="0"/>
      <w:sz w:val="18"/>
      <w:szCs w:val="18"/>
    </w:rPr>
  </w:style>
  <w:style w:type="paragraph" w:customStyle="1" w:styleId="45">
    <w:name w:val="xl4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b/>
      <w:bCs/>
      <w:kern w:val="0"/>
      <w:sz w:val="20"/>
    </w:rPr>
  </w:style>
  <w:style w:type="paragraph" w:customStyle="1" w:styleId="46">
    <w:name w:val="xl53"/>
    <w:basedOn w:val="1"/>
    <w:qFormat/>
    <w:uiPriority w:val="0"/>
    <w:pPr>
      <w:widowControl/>
      <w:pBdr>
        <w:top w:val="single" w:color="auto" w:sz="4" w:space="0"/>
        <w:bottom w:val="single" w:color="auto" w:sz="4" w:space="0"/>
        <w:right w:val="single" w:color="auto" w:sz="4" w:space="0"/>
      </w:pBdr>
      <w:shd w:val="clear" w:color="auto" w:fill="969696"/>
      <w:spacing w:before="100" w:beforeAutospacing="1" w:after="100" w:afterAutospacing="1"/>
      <w:jc w:val="center"/>
    </w:pPr>
    <w:rPr>
      <w:b/>
      <w:bCs/>
      <w:i/>
      <w:iCs/>
      <w:kern w:val="0"/>
      <w:sz w:val="20"/>
    </w:rPr>
  </w:style>
  <w:style w:type="paragraph" w:customStyle="1" w:styleId="47">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楷体_GB2312" w:hAnsi="宋体" w:eastAsia="楷体_GB2312"/>
      <w:b/>
      <w:bCs/>
      <w:kern w:val="0"/>
      <w:sz w:val="24"/>
      <w:szCs w:val="24"/>
    </w:rPr>
  </w:style>
  <w:style w:type="paragraph" w:customStyle="1" w:styleId="48">
    <w:name w:val="xl4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0"/>
    </w:rPr>
  </w:style>
  <w:style w:type="paragraph" w:customStyle="1" w:styleId="49">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50">
    <w:name w:val="xl58"/>
    <w:basedOn w:val="1"/>
    <w:qFormat/>
    <w:uiPriority w:val="0"/>
    <w:pPr>
      <w:widowControl/>
      <w:pBdr>
        <w:left w:val="single" w:color="auto" w:sz="4" w:space="0"/>
        <w:right w:val="single" w:color="auto" w:sz="4" w:space="0"/>
      </w:pBdr>
      <w:spacing w:before="100" w:beforeAutospacing="1" w:after="100" w:afterAutospacing="1"/>
      <w:jc w:val="center"/>
      <w:textAlignment w:val="center"/>
    </w:pPr>
    <w:rPr>
      <w:b/>
      <w:bCs/>
      <w:i/>
      <w:iCs/>
      <w:kern w:val="0"/>
      <w:sz w:val="20"/>
    </w:rPr>
  </w:style>
  <w:style w:type="paragraph" w:customStyle="1" w:styleId="51">
    <w:name w:val="xl45"/>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b/>
      <w:bCs/>
      <w:kern w:val="0"/>
      <w:sz w:val="20"/>
    </w:rPr>
  </w:style>
  <w:style w:type="paragraph" w:customStyle="1" w:styleId="52">
    <w:name w:val="xl62"/>
    <w:basedOn w:val="1"/>
    <w:qFormat/>
    <w:uiPriority w:val="0"/>
    <w:pPr>
      <w:widowControl/>
      <w:pBdr>
        <w:top w:val="single" w:color="auto" w:sz="4" w:space="0"/>
        <w:bottom w:val="single" w:color="auto" w:sz="4" w:space="0"/>
        <w:right w:val="single" w:color="auto" w:sz="4" w:space="0"/>
      </w:pBdr>
      <w:shd w:val="clear" w:color="auto" w:fill="969696"/>
      <w:spacing w:before="100" w:beforeAutospacing="1" w:after="100" w:afterAutospacing="1"/>
      <w:jc w:val="center"/>
      <w:textAlignment w:val="center"/>
    </w:pPr>
    <w:rPr>
      <w:b/>
      <w:bCs/>
      <w:i/>
      <w:iCs/>
      <w:kern w:val="0"/>
      <w:sz w:val="20"/>
    </w:rPr>
  </w:style>
  <w:style w:type="paragraph" w:customStyle="1" w:styleId="53">
    <w:name w:val="Char Char3 Char Char Char1 Char Char Char Char"/>
    <w:basedOn w:val="1"/>
    <w:qFormat/>
    <w:uiPriority w:val="0"/>
    <w:rPr>
      <w:szCs w:val="24"/>
    </w:rPr>
  </w:style>
  <w:style w:type="paragraph" w:customStyle="1" w:styleId="54">
    <w:name w:val="普通文字"/>
    <w:basedOn w:val="1"/>
    <w:next w:val="1"/>
    <w:qFormat/>
    <w:uiPriority w:val="0"/>
    <w:rPr>
      <w:rFonts w:ascii="宋体"/>
      <w:kern w:val="0"/>
      <w:sz w:val="24"/>
      <w:u w:color="000000"/>
      <w:lang w:val="en-US" w:eastAsia="zh-CN"/>
    </w:rPr>
  </w:style>
  <w:style w:type="paragraph" w:customStyle="1" w:styleId="55">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0"/>
    </w:rPr>
  </w:style>
  <w:style w:type="paragraph" w:customStyle="1" w:styleId="56">
    <w:name w:val="List Paragraph1"/>
    <w:basedOn w:val="1"/>
    <w:qFormat/>
    <w:uiPriority w:val="0"/>
    <w:pPr>
      <w:ind w:firstLine="420" w:firstLineChars="200"/>
    </w:pPr>
    <w:rPr>
      <w:rFonts w:ascii="Calibri" w:hAnsi="Calibri"/>
      <w:szCs w:val="22"/>
    </w:rPr>
  </w:style>
  <w:style w:type="paragraph" w:customStyle="1" w:styleId="57">
    <w:name w:val="xl5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58">
    <w:name w:val="font8"/>
    <w:basedOn w:val="1"/>
    <w:qFormat/>
    <w:uiPriority w:val="0"/>
    <w:pPr>
      <w:widowControl/>
      <w:spacing w:before="100" w:beforeAutospacing="1" w:after="100" w:afterAutospacing="1"/>
      <w:jc w:val="left"/>
    </w:pPr>
    <w:rPr>
      <w:rFonts w:hint="eastAsia" w:ascii="宋体" w:hAnsi="宋体"/>
      <w:b/>
      <w:bCs/>
      <w:i/>
      <w:iCs/>
      <w:kern w:val="0"/>
      <w:sz w:val="20"/>
    </w:rPr>
  </w:style>
  <w:style w:type="paragraph" w:customStyle="1" w:styleId="59">
    <w:name w:val="xl60"/>
    <w:basedOn w:val="1"/>
    <w:qFormat/>
    <w:uiPriority w:val="0"/>
    <w:pPr>
      <w:widowControl/>
      <w:pBdr>
        <w:top w:val="single" w:color="auto" w:sz="4" w:space="0"/>
        <w:left w:val="single" w:color="auto" w:sz="4" w:space="0"/>
        <w:bottom w:val="single" w:color="auto" w:sz="4" w:space="0"/>
      </w:pBdr>
      <w:shd w:val="clear" w:color="auto" w:fill="969696"/>
      <w:spacing w:before="100" w:beforeAutospacing="1" w:after="100" w:afterAutospacing="1"/>
      <w:jc w:val="center"/>
      <w:textAlignment w:val="center"/>
    </w:pPr>
    <w:rPr>
      <w:b/>
      <w:bCs/>
      <w:i/>
      <w:iCs/>
      <w:kern w:val="0"/>
      <w:sz w:val="20"/>
    </w:rPr>
  </w:style>
  <w:style w:type="paragraph" w:customStyle="1" w:styleId="60">
    <w:name w:val="font13"/>
    <w:basedOn w:val="1"/>
    <w:qFormat/>
    <w:uiPriority w:val="0"/>
    <w:pPr>
      <w:widowControl/>
      <w:spacing w:before="100" w:beforeAutospacing="1" w:after="100" w:afterAutospacing="1"/>
      <w:jc w:val="left"/>
    </w:pPr>
    <w:rPr>
      <w:i/>
      <w:iCs/>
      <w:kern w:val="0"/>
      <w:sz w:val="36"/>
      <w:szCs w:val="36"/>
    </w:rPr>
  </w:style>
  <w:style w:type="paragraph" w:customStyle="1" w:styleId="61">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62">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b/>
      <w:bCs/>
      <w:i/>
      <w:iCs/>
      <w:kern w:val="0"/>
      <w:sz w:val="20"/>
    </w:rPr>
  </w:style>
  <w:style w:type="paragraph" w:customStyle="1" w:styleId="63">
    <w:name w:val="灿"/>
    <w:basedOn w:val="1"/>
    <w:qFormat/>
    <w:uiPriority w:val="0"/>
    <w:pPr>
      <w:tabs>
        <w:tab w:val="left" w:pos="2160"/>
        <w:tab w:val="left" w:pos="2520"/>
        <w:tab w:val="left" w:pos="2880"/>
        <w:tab w:val="left" w:pos="3240"/>
      </w:tabs>
    </w:pPr>
    <w:rPr>
      <w:rFonts w:ascii="華康中楷體" w:hAnsi="Arial" w:eastAsia="華康中楷體"/>
      <w:snapToGrid w:val="0"/>
      <w:kern w:val="0"/>
      <w:sz w:val="24"/>
      <w:lang w:eastAsia="en-US"/>
    </w:rPr>
  </w:style>
  <w:style w:type="paragraph" w:customStyle="1" w:styleId="64">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b/>
      <w:bCs/>
      <w:i/>
      <w:iCs/>
      <w:kern w:val="0"/>
      <w:sz w:val="20"/>
    </w:rPr>
  </w:style>
  <w:style w:type="paragraph" w:customStyle="1" w:styleId="65">
    <w:name w:val=" Char Char Char Char"/>
    <w:basedOn w:val="1"/>
    <w:qFormat/>
    <w:uiPriority w:val="0"/>
    <w:pPr>
      <w:tabs>
        <w:tab w:val="left" w:pos="360"/>
      </w:tabs>
      <w:ind w:firstLine="420" w:firstLineChars="150"/>
    </w:pPr>
    <w:rPr>
      <w:rFonts w:ascii="Arial" w:hAnsi="Arial" w:cs="Arial"/>
      <w:sz w:val="20"/>
    </w:rPr>
  </w:style>
  <w:style w:type="paragraph" w:customStyle="1" w:styleId="66">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b/>
      <w:bCs/>
      <w:i/>
      <w:iCs/>
      <w:kern w:val="0"/>
      <w:sz w:val="20"/>
    </w:rPr>
  </w:style>
  <w:style w:type="paragraph" w:customStyle="1" w:styleId="67">
    <w:name w:val="font6"/>
    <w:basedOn w:val="1"/>
    <w:qFormat/>
    <w:uiPriority w:val="0"/>
    <w:pPr>
      <w:widowControl/>
      <w:spacing w:before="100" w:beforeAutospacing="1" w:after="100" w:afterAutospacing="1"/>
      <w:jc w:val="left"/>
    </w:pPr>
    <w:rPr>
      <w:rFonts w:hint="eastAsia" w:ascii="宋体" w:hAnsi="宋体"/>
      <w:b/>
      <w:bCs/>
      <w:kern w:val="0"/>
      <w:sz w:val="20"/>
    </w:rPr>
  </w:style>
  <w:style w:type="paragraph" w:customStyle="1" w:styleId="68">
    <w:name w:val="xl56"/>
    <w:basedOn w:val="1"/>
    <w:qFormat/>
    <w:uiPriority w:val="0"/>
    <w:pPr>
      <w:widowControl/>
      <w:pBdr>
        <w:top w:val="single" w:color="auto" w:sz="4" w:space="0"/>
        <w:bottom w:val="single" w:color="auto" w:sz="4" w:space="0"/>
        <w:right w:val="single" w:color="auto" w:sz="4" w:space="0"/>
      </w:pBdr>
      <w:shd w:val="clear" w:color="auto" w:fill="969696"/>
      <w:spacing w:before="100" w:beforeAutospacing="1" w:after="100" w:afterAutospacing="1"/>
      <w:jc w:val="center"/>
      <w:textAlignment w:val="center"/>
    </w:pPr>
    <w:rPr>
      <w:b/>
      <w:bCs/>
      <w:kern w:val="0"/>
      <w:sz w:val="20"/>
    </w:rPr>
  </w:style>
  <w:style w:type="paragraph" w:styleId="69">
    <w:name w:val="List Paragraph"/>
    <w:basedOn w:val="1"/>
    <w:qFormat/>
    <w:uiPriority w:val="34"/>
    <w:pPr>
      <w:ind w:firstLine="420" w:firstLineChars="200"/>
    </w:pPr>
  </w:style>
  <w:style w:type="paragraph" w:customStyle="1" w:styleId="70">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0"/>
    </w:rPr>
  </w:style>
  <w:style w:type="paragraph" w:customStyle="1" w:styleId="71">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kern w:val="0"/>
      <w:sz w:val="20"/>
    </w:rPr>
  </w:style>
  <w:style w:type="paragraph" w:customStyle="1" w:styleId="72">
    <w:name w:val="xl46"/>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4"/>
      <w:szCs w:val="24"/>
    </w:rPr>
  </w:style>
  <w:style w:type="paragraph" w:customStyle="1" w:styleId="73">
    <w:name w:val="默认段落字体 Para Char"/>
    <w:basedOn w:val="1"/>
    <w:qFormat/>
    <w:uiPriority w:val="0"/>
    <w:pPr>
      <w:tabs>
        <w:tab w:val="left" w:pos="552"/>
      </w:tabs>
      <w:ind w:left="552" w:hanging="420"/>
    </w:pPr>
    <w:rPr>
      <w:sz w:val="24"/>
      <w:szCs w:val="24"/>
    </w:rPr>
  </w:style>
  <w:style w:type="paragraph" w:customStyle="1" w:styleId="74">
    <w:name w:val="xl5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b/>
      <w:bCs/>
      <w:i/>
      <w:iCs/>
      <w:kern w:val="0"/>
      <w:sz w:val="20"/>
    </w:rPr>
  </w:style>
  <w:style w:type="paragraph" w:customStyle="1" w:styleId="75">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b/>
      <w:bCs/>
      <w:kern w:val="0"/>
      <w:sz w:val="20"/>
    </w:rPr>
  </w:style>
  <w:style w:type="paragraph" w:customStyle="1" w:styleId="76">
    <w:name w:val="xl4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77">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b/>
      <w:bCs/>
      <w:i/>
      <w:iCs/>
      <w:kern w:val="0"/>
      <w:sz w:val="20"/>
    </w:rPr>
  </w:style>
  <w:style w:type="paragraph" w:customStyle="1" w:styleId="78">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b/>
      <w:bCs/>
      <w:kern w:val="0"/>
      <w:sz w:val="20"/>
    </w:rPr>
  </w:style>
  <w:style w:type="paragraph" w:customStyle="1" w:styleId="79">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b/>
      <w:bCs/>
      <w:i/>
      <w:iCs/>
      <w:kern w:val="0"/>
      <w:sz w:val="20"/>
    </w:rPr>
  </w:style>
  <w:style w:type="paragraph" w:customStyle="1" w:styleId="80">
    <w:name w:val="xl4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szCs w:val="24"/>
    </w:rPr>
  </w:style>
  <w:style w:type="paragraph" w:customStyle="1" w:styleId="81">
    <w:name w:val="font7"/>
    <w:basedOn w:val="1"/>
    <w:qFormat/>
    <w:uiPriority w:val="0"/>
    <w:pPr>
      <w:widowControl/>
      <w:spacing w:before="100" w:beforeAutospacing="1" w:after="100" w:afterAutospacing="1"/>
      <w:jc w:val="left"/>
    </w:pPr>
    <w:rPr>
      <w:b/>
      <w:bCs/>
      <w:i/>
      <w:iCs/>
      <w:kern w:val="0"/>
      <w:sz w:val="20"/>
    </w:rPr>
  </w:style>
  <w:style w:type="paragraph" w:customStyle="1" w:styleId="82">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83">
    <w:name w:val="font9"/>
    <w:basedOn w:val="1"/>
    <w:qFormat/>
    <w:uiPriority w:val="0"/>
    <w:pPr>
      <w:widowControl/>
      <w:spacing w:before="100" w:beforeAutospacing="1" w:after="100" w:afterAutospacing="1"/>
      <w:jc w:val="left"/>
    </w:pPr>
    <w:rPr>
      <w:b/>
      <w:bCs/>
      <w:kern w:val="0"/>
      <w:sz w:val="20"/>
    </w:rPr>
  </w:style>
  <w:style w:type="paragraph" w:customStyle="1" w:styleId="84">
    <w:name w:val=" Char"/>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85">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szCs w:val="24"/>
    </w:rPr>
  </w:style>
  <w:style w:type="paragraph" w:customStyle="1" w:styleId="86">
    <w:name w:val="font12"/>
    <w:basedOn w:val="1"/>
    <w:qFormat/>
    <w:uiPriority w:val="0"/>
    <w:pPr>
      <w:widowControl/>
      <w:spacing w:before="100" w:beforeAutospacing="1" w:after="100" w:afterAutospacing="1"/>
      <w:jc w:val="left"/>
    </w:pPr>
    <w:rPr>
      <w:rFonts w:hint="eastAsia" w:ascii="宋体" w:hAnsi="宋体"/>
      <w:kern w:val="0"/>
      <w:sz w:val="36"/>
      <w:szCs w:val="36"/>
    </w:rPr>
  </w:style>
  <w:style w:type="paragraph" w:customStyle="1" w:styleId="87">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88">
    <w:name w:val="xl61"/>
    <w:basedOn w:val="1"/>
    <w:qFormat/>
    <w:uiPriority w:val="0"/>
    <w:pPr>
      <w:widowControl/>
      <w:pBdr>
        <w:top w:val="single" w:color="auto" w:sz="4" w:space="0"/>
        <w:bottom w:val="single" w:color="auto" w:sz="4" w:space="0"/>
      </w:pBdr>
      <w:shd w:val="clear" w:color="auto" w:fill="969696"/>
      <w:spacing w:before="100" w:beforeAutospacing="1" w:after="100" w:afterAutospacing="1"/>
      <w:jc w:val="center"/>
      <w:textAlignment w:val="center"/>
    </w:pPr>
    <w:rPr>
      <w:b/>
      <w:bCs/>
      <w:i/>
      <w:iCs/>
      <w:kern w:val="0"/>
      <w:sz w:val="20"/>
    </w:rPr>
  </w:style>
  <w:style w:type="paragraph" w:customStyle="1" w:styleId="89">
    <w:name w:val="Char1 Char Char Char Char Char Char"/>
    <w:basedOn w:val="1"/>
    <w:next w:val="1"/>
    <w:qFormat/>
    <w:uiPriority w:val="0"/>
    <w:pPr>
      <w:keepNext/>
      <w:keepLines/>
      <w:pageBreakBefore/>
    </w:pPr>
    <w:rPr>
      <w:rFonts w:ascii="Tahoma" w:hAnsi="Tahoma"/>
      <w:sz w:val="24"/>
    </w:rPr>
  </w:style>
  <w:style w:type="paragraph" w:customStyle="1" w:styleId="90">
    <w:name w:val="缺省文本"/>
    <w:basedOn w:val="1"/>
    <w:qFormat/>
    <w:uiPriority w:val="0"/>
    <w:pPr>
      <w:autoSpaceDE w:val="0"/>
      <w:autoSpaceDN w:val="0"/>
      <w:adjustRightInd w:val="0"/>
      <w:jc w:val="left"/>
    </w:pPr>
    <w:rPr>
      <w:kern w:val="0"/>
      <w:sz w:val="24"/>
    </w:rPr>
  </w:style>
  <w:style w:type="paragraph" w:customStyle="1" w:styleId="91">
    <w:name w:val="xl52"/>
    <w:basedOn w:val="1"/>
    <w:qFormat/>
    <w:uiPriority w:val="0"/>
    <w:pPr>
      <w:widowControl/>
      <w:pBdr>
        <w:top w:val="single" w:color="auto" w:sz="4" w:space="0"/>
        <w:bottom w:val="single" w:color="auto" w:sz="4" w:space="0"/>
      </w:pBdr>
      <w:shd w:val="clear" w:color="auto" w:fill="969696"/>
      <w:spacing w:before="100" w:beforeAutospacing="1" w:after="100" w:afterAutospacing="1"/>
      <w:jc w:val="center"/>
    </w:pPr>
    <w:rPr>
      <w:b/>
      <w:bCs/>
      <w:i/>
      <w:iCs/>
      <w:kern w:val="0"/>
      <w:sz w:val="20"/>
    </w:rPr>
  </w:style>
  <w:style w:type="paragraph" w:customStyle="1" w:styleId="92">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 w:val="20"/>
    </w:rPr>
  </w:style>
  <w:style w:type="paragraph" w:customStyle="1" w:styleId="93">
    <w:name w:val="xl55"/>
    <w:basedOn w:val="1"/>
    <w:qFormat/>
    <w:uiPriority w:val="0"/>
    <w:pPr>
      <w:widowControl/>
      <w:pBdr>
        <w:top w:val="single" w:color="auto" w:sz="4" w:space="0"/>
        <w:bottom w:val="single" w:color="auto" w:sz="4" w:space="0"/>
      </w:pBdr>
      <w:shd w:val="clear" w:color="auto" w:fill="969696"/>
      <w:spacing w:before="100" w:beforeAutospacing="1" w:after="100" w:afterAutospacing="1"/>
      <w:jc w:val="center"/>
      <w:textAlignment w:val="center"/>
    </w:pPr>
    <w:rPr>
      <w:b/>
      <w:bCs/>
      <w:kern w:val="0"/>
      <w:sz w:val="20"/>
    </w:rPr>
  </w:style>
  <w:style w:type="paragraph" w:customStyle="1" w:styleId="94">
    <w:name w:val="xl54"/>
    <w:basedOn w:val="1"/>
    <w:qFormat/>
    <w:uiPriority w:val="0"/>
    <w:pPr>
      <w:widowControl/>
      <w:pBdr>
        <w:top w:val="single" w:color="auto" w:sz="4" w:space="0"/>
        <w:left w:val="single" w:color="auto" w:sz="4" w:space="0"/>
        <w:bottom w:val="single" w:color="auto" w:sz="4" w:space="0"/>
      </w:pBdr>
      <w:shd w:val="clear" w:color="auto" w:fill="969696"/>
      <w:spacing w:before="100" w:beforeAutospacing="1" w:after="100" w:afterAutospacing="1"/>
      <w:jc w:val="center"/>
      <w:textAlignment w:val="center"/>
    </w:pPr>
    <w:rPr>
      <w:rFonts w:ascii="宋体" w:hAnsi="宋体"/>
      <w:b/>
      <w:bCs/>
      <w:kern w:val="0"/>
      <w:sz w:val="20"/>
    </w:rPr>
  </w:style>
  <w:style w:type="paragraph" w:customStyle="1" w:styleId="95">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b/>
      <w:bCs/>
      <w:kern w:val="0"/>
      <w:sz w:val="20"/>
    </w:rPr>
  </w:style>
  <w:style w:type="paragraph" w:customStyle="1" w:styleId="96">
    <w:name w:val="xl49"/>
    <w:basedOn w:val="1"/>
    <w:qFormat/>
    <w:uiPriority w:val="0"/>
    <w:pPr>
      <w:widowControl/>
      <w:pBdr>
        <w:left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97">
    <w:name w:val="xl5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b/>
      <w:bCs/>
      <w:i/>
      <w:iCs/>
      <w:kern w:val="0"/>
      <w:sz w:val="20"/>
    </w:rPr>
  </w:style>
  <w:style w:type="paragraph" w:customStyle="1" w:styleId="98">
    <w:name w:val="Revision"/>
    <w:semiHidden/>
    <w:qFormat/>
    <w:uiPriority w:val="99"/>
    <w:rPr>
      <w:rFonts w:ascii="Times New Roman" w:hAnsi="Times New Roman" w:eastAsia="宋体" w:cs="Times New Roman"/>
      <w:kern w:val="2"/>
      <w:sz w:val="21"/>
      <w:lang w:val="en-US" w:eastAsia="zh-CN" w:bidi="ar-SA"/>
    </w:rPr>
  </w:style>
  <w:style w:type="paragraph" w:customStyle="1" w:styleId="99">
    <w:name w:val="xl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 w:val="20"/>
    </w:rPr>
  </w:style>
  <w:style w:type="paragraph" w:customStyle="1" w:styleId="100">
    <w:name w:val="发文字号"/>
    <w:basedOn w:val="1"/>
    <w:qFormat/>
    <w:uiPriority w:val="0"/>
    <w:pPr>
      <w:jc w:val="center"/>
    </w:pPr>
    <w:rPr>
      <w:rFonts w:ascii="仿宋_GB2312" w:eastAsia="仿宋_GB2312"/>
      <w:sz w:val="32"/>
    </w:rPr>
  </w:style>
  <w:style w:type="paragraph" w:customStyle="1" w:styleId="101">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i/>
      <w:iCs/>
      <w:kern w:val="0"/>
      <w:sz w:val="20"/>
    </w:rPr>
  </w:style>
  <w:style w:type="paragraph" w:customStyle="1" w:styleId="102">
    <w:name w:val="font11"/>
    <w:basedOn w:val="1"/>
    <w:qFormat/>
    <w:uiPriority w:val="0"/>
    <w:pPr>
      <w:widowControl/>
      <w:spacing w:before="100" w:beforeAutospacing="1" w:after="100" w:afterAutospacing="1"/>
      <w:jc w:val="left"/>
    </w:pPr>
    <w:rPr>
      <w:b/>
      <w:bCs/>
      <w:kern w:val="0"/>
      <w:sz w:val="18"/>
      <w:szCs w:val="18"/>
    </w:rPr>
  </w:style>
  <w:style w:type="paragraph" w:customStyle="1" w:styleId="103">
    <w:name w:val="font14"/>
    <w:basedOn w:val="1"/>
    <w:qFormat/>
    <w:uiPriority w:val="0"/>
    <w:pPr>
      <w:widowControl/>
      <w:spacing w:before="100" w:beforeAutospacing="1" w:after="100" w:afterAutospacing="1"/>
      <w:jc w:val="left"/>
    </w:pPr>
    <w:rPr>
      <w:kern w:val="0"/>
      <w:sz w:val="36"/>
      <w:szCs w:val="36"/>
    </w:rPr>
  </w:style>
  <w:style w:type="paragraph" w:customStyle="1" w:styleId="104">
    <w:name w:val="xl51"/>
    <w:basedOn w:val="1"/>
    <w:qFormat/>
    <w:uiPriority w:val="0"/>
    <w:pPr>
      <w:widowControl/>
      <w:pBdr>
        <w:top w:val="single" w:color="auto" w:sz="4" w:space="0"/>
        <w:left w:val="single" w:color="auto" w:sz="4" w:space="0"/>
        <w:bottom w:val="single" w:color="auto" w:sz="4" w:space="0"/>
      </w:pBdr>
      <w:shd w:val="clear" w:color="auto" w:fill="969696"/>
      <w:spacing w:before="100" w:beforeAutospacing="1" w:after="100" w:afterAutospacing="1"/>
      <w:jc w:val="center"/>
    </w:pPr>
    <w:rPr>
      <w:b/>
      <w:bCs/>
      <w:i/>
      <w:iCs/>
      <w:kern w:val="0"/>
      <w:sz w:val="20"/>
    </w:rPr>
  </w:style>
  <w:style w:type="paragraph" w:customStyle="1" w:styleId="105">
    <w:name w:val="xl63"/>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b/>
      <w:bCs/>
      <w:kern w:val="0"/>
      <w:sz w:val="20"/>
    </w:rPr>
  </w:style>
  <w:style w:type="paragraph" w:customStyle="1" w:styleId="106">
    <w:name w:val="2 Char"/>
    <w:basedOn w:val="1"/>
    <w:qFormat/>
    <w:uiPriority w:val="0"/>
    <w:pPr>
      <w:widowControl/>
      <w:spacing w:after="160" w:line="240" w:lineRule="exact"/>
      <w:jc w:val="left"/>
    </w:pPr>
    <w:rPr>
      <w:rFonts w:ascii="Verdana" w:hAnsi="Verdana" w:eastAsia="仿宋_GB2312"/>
      <w:kern w:val="0"/>
      <w:sz w:val="24"/>
      <w:lang w:eastAsia="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dministrator\Application%20Data\Microsoft\Templates\&#36992;&#35831;&#25307;&#26631;&#200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邀请招标书</Template>
  <Company>Microsoft</Company>
  <Pages>70</Pages>
  <Words>31555</Words>
  <Characters>33354</Characters>
  <Lines>44</Lines>
  <Paragraphs>73</Paragraphs>
  <TotalTime>3</TotalTime>
  <ScaleCrop>false</ScaleCrop>
  <LinksUpToDate>false</LinksUpToDate>
  <CharactersWithSpaces>34720</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2023-02-24T14:48:00Z</dcterms:created>
  <dc:creator>zjt</dc:creator>
  <cp:lastModifiedBy>邓晓洁</cp:lastModifiedBy>
  <cp:lastPrinted>2023-02-21T03:13:00Z</cp:lastPrinted>
  <dcterms:modified xsi:type="dcterms:W3CDTF">2023-02-24T14:58:38Z</dcterms:modified>
  <dc:title>投标邀请函</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3FE993EF19FD470291310AEAA44106F3</vt:lpwstr>
  </property>
</Properties>
</file>